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drawings/drawing1.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drawings/drawing2.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drawings/drawing3.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drawings/drawing4.xml" ContentType="application/vnd.openxmlformats-officedocument.drawingml.chartshapes+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drawings/drawing5.xml" ContentType="application/vnd.openxmlformats-officedocument.drawingml.chartshapes+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drawings/drawing6.xml" ContentType="application/vnd.openxmlformats-officedocument.drawingml.chartshapes+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charts/chart36.xml" ContentType="application/vnd.openxmlformats-officedocument.drawingml.chart+xml"/>
  <Override PartName="/word/theme/themeOverride36.xml" ContentType="application/vnd.openxmlformats-officedocument.themeOverrid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37.xml" ContentType="application/vnd.openxmlformats-officedocument.drawingml.chart+xml"/>
  <Override PartName="/word/theme/themeOverride37.xml" ContentType="application/vnd.openxmlformats-officedocument.themeOverrid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38.xml" ContentType="application/vnd.openxmlformats-officedocument.drawingml.chart+xml"/>
  <Override PartName="/word/theme/themeOverride38.xml" ContentType="application/vnd.openxmlformats-officedocument.themeOverride+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charts/chart39.xml" ContentType="application/vnd.openxmlformats-officedocument.drawingml.chart+xml"/>
  <Override PartName="/word/theme/themeOverride39.xml" ContentType="application/vnd.openxmlformats-officedocument.themeOverride+xml"/>
  <Override PartName="/word/charts/chart40.xml" ContentType="application/vnd.openxmlformats-officedocument.drawingml.chart+xml"/>
  <Override PartName="/word/theme/themeOverride40.xml" ContentType="application/vnd.openxmlformats-officedocument.themeOverride+xml"/>
  <Override PartName="/word/charts/chart41.xml" ContentType="application/vnd.openxmlformats-officedocument.drawingml.chart+xml"/>
  <Override PartName="/word/theme/themeOverride41.xml" ContentType="application/vnd.openxmlformats-officedocument.themeOverride+xml"/>
  <Override PartName="/word/charts/chart42.xml" ContentType="application/vnd.openxmlformats-officedocument.drawingml.chart+xml"/>
  <Override PartName="/word/theme/themeOverride42.xml" ContentType="application/vnd.openxmlformats-officedocument.themeOverride+xml"/>
  <Override PartName="/word/charts/chart43.xml" ContentType="application/vnd.openxmlformats-officedocument.drawingml.chart+xml"/>
  <Override PartName="/word/theme/themeOverride43.xml" ContentType="application/vnd.openxmlformats-officedocument.themeOverride+xml"/>
  <Override PartName="/word/charts/chart44.xml" ContentType="application/vnd.openxmlformats-officedocument.drawingml.chart+xml"/>
  <Override PartName="/word/theme/themeOverride44.xml" ContentType="application/vnd.openxmlformats-officedocument.themeOverride+xml"/>
  <Override PartName="/word/charts/chart45.xml" ContentType="application/vnd.openxmlformats-officedocument.drawingml.chart+xml"/>
  <Override PartName="/word/theme/themeOverride45.xml" ContentType="application/vnd.openxmlformats-officedocument.themeOverride+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charts/chart46.xml" ContentType="application/vnd.openxmlformats-officedocument.drawingml.chart+xml"/>
  <Override PartName="/word/theme/themeOverride46.xml" ContentType="application/vnd.openxmlformats-officedocument.themeOverride+xml"/>
  <Override PartName="/word/charts/chart47.xml" ContentType="application/vnd.openxmlformats-officedocument.drawingml.chart+xml"/>
  <Override PartName="/word/theme/themeOverride47.xml" ContentType="application/vnd.openxmlformats-officedocument.themeOverride+xml"/>
  <Override PartName="/word/charts/chart48.xml" ContentType="application/vnd.openxmlformats-officedocument.drawingml.chart+xml"/>
  <Override PartName="/word/theme/themeOverride48.xml" ContentType="application/vnd.openxmlformats-officedocument.themeOverride+xml"/>
  <Override PartName="/word/charts/chart49.xml" ContentType="application/vnd.openxmlformats-officedocument.drawingml.chart+xml"/>
  <Override PartName="/word/theme/themeOverride49.xml" ContentType="application/vnd.openxmlformats-officedocument.themeOverride+xml"/>
  <Override PartName="/word/charts/chart50.xml" ContentType="application/vnd.openxmlformats-officedocument.drawingml.chart+xml"/>
  <Override PartName="/word/theme/themeOverride50.xml" ContentType="application/vnd.openxmlformats-officedocument.themeOverride+xml"/>
  <Override PartName="/word/drawings/drawing7.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AFD" w:rsidRDefault="00CD3AFD" w:rsidP="00CD3AFD">
      <w:pPr>
        <w:jc w:val="center"/>
        <w:rPr>
          <w:sz w:val="28"/>
          <w:szCs w:val="28"/>
          <w:lang w:val="uk-UA"/>
        </w:rPr>
      </w:pPr>
      <w:r>
        <w:rPr>
          <w:b/>
          <w:sz w:val="28"/>
          <w:szCs w:val="28"/>
          <w:lang w:val="uk-UA"/>
        </w:rPr>
        <w:t>МІНІСТЕРСТВО ОХОРОНИ ЗДОРОВ’Я УКРАЇНИ</w:t>
      </w:r>
    </w:p>
    <w:p w:rsidR="000232DE" w:rsidRPr="00CD3AFD" w:rsidRDefault="00210388" w:rsidP="00CD3AFD">
      <w:pPr>
        <w:jc w:val="center"/>
        <w:rPr>
          <w:b/>
          <w:sz w:val="28"/>
          <w:szCs w:val="28"/>
          <w:lang w:val="uk-UA"/>
        </w:rPr>
      </w:pPr>
      <w:r>
        <w:rPr>
          <w:b/>
          <w:sz w:val="28"/>
          <w:szCs w:val="28"/>
          <w:lang w:val="uk-UA"/>
        </w:rPr>
        <w:t>ХАРКІВСЬК</w:t>
      </w:r>
      <w:r w:rsidR="00F0531C">
        <w:rPr>
          <w:b/>
          <w:sz w:val="28"/>
          <w:szCs w:val="28"/>
          <w:lang w:val="uk-UA"/>
        </w:rPr>
        <w:t>А</w:t>
      </w:r>
      <w:r w:rsidR="00CD3AFD" w:rsidRPr="00CD3AFD">
        <w:rPr>
          <w:b/>
          <w:sz w:val="28"/>
          <w:szCs w:val="28"/>
          <w:lang w:val="uk-UA"/>
        </w:rPr>
        <w:t xml:space="preserve"> МЕДИЧНА АКАДЕМІЯ ПІСЛЯДИПЛОМНОЇ ОСВІТИ</w:t>
      </w:r>
    </w:p>
    <w:p w:rsidR="00CD3AFD" w:rsidRPr="00CD3AFD" w:rsidRDefault="00CD3AFD" w:rsidP="00CD3AFD">
      <w:pPr>
        <w:jc w:val="center"/>
        <w:rPr>
          <w:b/>
          <w:sz w:val="28"/>
          <w:szCs w:val="28"/>
          <w:lang w:val="uk-UA"/>
        </w:rPr>
      </w:pPr>
      <w:r w:rsidRPr="00CD3AFD">
        <w:rPr>
          <w:b/>
          <w:sz w:val="28"/>
          <w:szCs w:val="28"/>
          <w:lang w:val="uk-UA"/>
        </w:rPr>
        <w:t>КАФЕДРА ТЕРАПІЇ ТА НЕФРОЛОГІЇ</w:t>
      </w:r>
    </w:p>
    <w:p w:rsidR="00CD3AFD" w:rsidRDefault="00CD3AFD" w:rsidP="00CD3AFD">
      <w:pPr>
        <w:jc w:val="center"/>
        <w:rPr>
          <w:szCs w:val="28"/>
          <w:lang w:val="uk-UA"/>
        </w:rPr>
      </w:pPr>
    </w:p>
    <w:p w:rsidR="00CD3AFD" w:rsidRDefault="00CD3AFD" w:rsidP="00CD3AFD">
      <w:pPr>
        <w:jc w:val="right"/>
        <w:rPr>
          <w:sz w:val="28"/>
          <w:szCs w:val="28"/>
          <w:lang w:val="uk-UA"/>
        </w:rPr>
      </w:pPr>
      <w:r w:rsidRPr="00CD3AFD">
        <w:rPr>
          <w:sz w:val="28"/>
          <w:szCs w:val="28"/>
          <w:lang w:val="uk-UA"/>
        </w:rPr>
        <w:t>На правах рукопису</w:t>
      </w:r>
    </w:p>
    <w:p w:rsidR="00CD3AFD" w:rsidRPr="00CD3AFD" w:rsidRDefault="00CD3AFD" w:rsidP="00CD3AFD">
      <w:pPr>
        <w:jc w:val="right"/>
        <w:rPr>
          <w:sz w:val="28"/>
          <w:szCs w:val="28"/>
          <w:lang w:val="uk-UA"/>
        </w:rPr>
      </w:pPr>
    </w:p>
    <w:p w:rsidR="00CD3AFD" w:rsidRDefault="00CD3AFD" w:rsidP="00CD3AFD">
      <w:pPr>
        <w:jc w:val="center"/>
        <w:rPr>
          <w:b/>
          <w:sz w:val="28"/>
          <w:szCs w:val="28"/>
          <w:lang w:val="uk-UA"/>
        </w:rPr>
      </w:pPr>
      <w:r w:rsidRPr="00CD3AFD">
        <w:rPr>
          <w:b/>
          <w:sz w:val="28"/>
          <w:szCs w:val="28"/>
          <w:lang w:val="uk-UA"/>
        </w:rPr>
        <w:t>ЧУБ ОЛЬГА ІГОРІВНА</w:t>
      </w:r>
    </w:p>
    <w:p w:rsidR="00CD3AFD" w:rsidRPr="00CD3AFD" w:rsidRDefault="00CD3AFD" w:rsidP="00CD3AFD">
      <w:pPr>
        <w:jc w:val="center"/>
        <w:rPr>
          <w:b/>
          <w:sz w:val="28"/>
          <w:szCs w:val="28"/>
          <w:lang w:val="uk-UA"/>
        </w:rPr>
      </w:pPr>
    </w:p>
    <w:p w:rsidR="00CD3AFD" w:rsidRDefault="00CD3AFD" w:rsidP="00CD3AFD">
      <w:pPr>
        <w:jc w:val="center"/>
        <w:rPr>
          <w:sz w:val="28"/>
          <w:szCs w:val="28"/>
          <w:lang w:val="uk-UA"/>
        </w:rPr>
      </w:pPr>
      <w:r>
        <w:rPr>
          <w:sz w:val="28"/>
          <w:szCs w:val="28"/>
          <w:lang w:val="uk-UA"/>
        </w:rPr>
        <w:t xml:space="preserve">УДК: </w:t>
      </w:r>
      <w:r w:rsidRPr="009545D9">
        <w:rPr>
          <w:sz w:val="28"/>
          <w:szCs w:val="28"/>
          <w:lang w:val="uk-UA"/>
        </w:rPr>
        <w:t>616.61-002.3-036.1-06:616.379-008.64</w:t>
      </w:r>
      <w:r w:rsidRPr="009545D9">
        <w:rPr>
          <w:rFonts w:cstheme="minorHAnsi"/>
          <w:sz w:val="28"/>
          <w:szCs w:val="28"/>
          <w:lang w:val="uk-UA"/>
        </w:rPr>
        <w:t>]</w:t>
      </w:r>
      <w:r w:rsidRPr="009545D9">
        <w:rPr>
          <w:sz w:val="28"/>
          <w:szCs w:val="28"/>
          <w:lang w:val="uk-UA"/>
        </w:rPr>
        <w:t>-085.33+615.015.8</w:t>
      </w:r>
    </w:p>
    <w:p w:rsidR="00CD3AFD" w:rsidRPr="00CD3AFD" w:rsidRDefault="00CD3AFD" w:rsidP="00CD3AFD">
      <w:pPr>
        <w:jc w:val="center"/>
        <w:rPr>
          <w:sz w:val="28"/>
          <w:szCs w:val="28"/>
          <w:lang w:val="uk-UA"/>
        </w:rPr>
      </w:pPr>
    </w:p>
    <w:p w:rsidR="00CD3AFD" w:rsidRPr="00CD3AFD" w:rsidRDefault="009545D9" w:rsidP="00CD3AFD">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ОПТИМІЗАЦІЯ АНТИБІОТИКО-ТЕРАПІЇ ХВОРИХ НА ХРОНІЧНИЙ ПІЄЛОНЕФРИТ, ЩО ПОЄДНУЄТЬСЯ ІЗ ЦУКРОВИМ ДІАБЕТОМ 2 ТИПУ, ШЛЯХОМ ОЦІНКИ ПЛАЗМІД-ІНДУКОВАНОЇ РЕЗИСТЕНТНОСТІ</w:t>
      </w:r>
    </w:p>
    <w:p w:rsidR="00CD3AFD" w:rsidRDefault="00CD3AFD" w:rsidP="00CD3AFD">
      <w:pPr>
        <w:jc w:val="center"/>
        <w:rPr>
          <w:sz w:val="28"/>
          <w:szCs w:val="28"/>
          <w:lang w:val="uk-UA"/>
        </w:rPr>
      </w:pPr>
    </w:p>
    <w:p w:rsidR="00CD3AFD" w:rsidRDefault="00CD3AFD" w:rsidP="00CD3AFD">
      <w:pPr>
        <w:ind w:left="709" w:right="637" w:hanging="709"/>
        <w:jc w:val="center"/>
        <w:rPr>
          <w:rFonts w:ascii="Times New Roman" w:hAnsi="Times New Roman" w:cs="Times New Roman"/>
          <w:sz w:val="28"/>
          <w:szCs w:val="28"/>
          <w:lang w:val="uk-UA"/>
        </w:rPr>
      </w:pPr>
      <w:r>
        <w:rPr>
          <w:rFonts w:ascii="Times New Roman" w:hAnsi="Times New Roman" w:cs="Times New Roman"/>
          <w:sz w:val="28"/>
          <w:szCs w:val="28"/>
          <w:lang w:val="uk-UA"/>
        </w:rPr>
        <w:t>14.01.02 – внутрішні хвороби</w:t>
      </w:r>
    </w:p>
    <w:p w:rsidR="00CD3AFD" w:rsidRDefault="00CD3AFD" w:rsidP="00CD3AFD">
      <w:pPr>
        <w:spacing w:after="0" w:line="360" w:lineRule="auto"/>
        <w:ind w:right="635"/>
        <w:jc w:val="center"/>
        <w:rPr>
          <w:rFonts w:ascii="Times New Roman" w:hAnsi="Times New Roman" w:cs="Times New Roman"/>
          <w:sz w:val="28"/>
          <w:szCs w:val="28"/>
          <w:lang w:val="uk-UA"/>
        </w:rPr>
      </w:pPr>
      <w:r>
        <w:rPr>
          <w:rFonts w:ascii="Times New Roman" w:hAnsi="Times New Roman" w:cs="Times New Roman"/>
          <w:sz w:val="28"/>
          <w:szCs w:val="28"/>
          <w:lang w:val="uk-UA"/>
        </w:rPr>
        <w:t>Дисертація на здобуття наукового ступеня кандидата</w:t>
      </w:r>
    </w:p>
    <w:p w:rsidR="00CD3AFD" w:rsidRDefault="00CD3AFD" w:rsidP="00CD3AFD">
      <w:pPr>
        <w:jc w:val="center"/>
        <w:rPr>
          <w:rFonts w:ascii="Times New Roman" w:hAnsi="Times New Roman" w:cs="Times New Roman"/>
          <w:sz w:val="28"/>
          <w:szCs w:val="28"/>
          <w:lang w:val="uk-UA"/>
        </w:rPr>
      </w:pPr>
      <w:r>
        <w:rPr>
          <w:rFonts w:ascii="Times New Roman" w:hAnsi="Times New Roman" w:cs="Times New Roman"/>
          <w:sz w:val="28"/>
          <w:szCs w:val="28"/>
          <w:lang w:val="uk-UA"/>
        </w:rPr>
        <w:t>медичних наук</w:t>
      </w:r>
    </w:p>
    <w:p w:rsidR="00CD3AFD" w:rsidRDefault="00CD3AFD" w:rsidP="00CD3AFD">
      <w:pPr>
        <w:spacing w:after="0"/>
        <w:jc w:val="center"/>
        <w:rPr>
          <w:rFonts w:ascii="Times New Roman" w:hAnsi="Times New Roman" w:cs="Times New Roman"/>
          <w:sz w:val="28"/>
          <w:szCs w:val="28"/>
          <w:lang w:val="uk-UA"/>
        </w:rPr>
      </w:pPr>
    </w:p>
    <w:p w:rsidR="00CD3AFD" w:rsidRDefault="00CD3AFD" w:rsidP="00CD3AFD">
      <w:pPr>
        <w:jc w:val="right"/>
        <w:rPr>
          <w:rFonts w:ascii="Times New Roman" w:hAnsi="Times New Roman" w:cs="Times New Roman"/>
          <w:sz w:val="28"/>
          <w:szCs w:val="28"/>
          <w:lang w:val="uk-UA"/>
        </w:rPr>
      </w:pPr>
    </w:p>
    <w:p w:rsidR="00CD3AFD" w:rsidRDefault="00CD3AFD" w:rsidP="00CD3AFD">
      <w:pPr>
        <w:jc w:val="right"/>
        <w:rPr>
          <w:rFonts w:ascii="Times New Roman" w:hAnsi="Times New Roman" w:cs="Times New Roman"/>
          <w:b/>
          <w:sz w:val="28"/>
          <w:szCs w:val="28"/>
          <w:lang w:val="uk-UA"/>
        </w:rPr>
      </w:pPr>
      <w:r w:rsidRPr="00CD3AFD">
        <w:rPr>
          <w:rFonts w:ascii="Times New Roman" w:hAnsi="Times New Roman" w:cs="Times New Roman"/>
          <w:b/>
          <w:sz w:val="28"/>
          <w:szCs w:val="28"/>
          <w:lang w:val="uk-UA"/>
        </w:rPr>
        <w:t>Науковий керівник</w:t>
      </w:r>
    </w:p>
    <w:p w:rsidR="00CD3AFD" w:rsidRDefault="00CD3AFD" w:rsidP="00CD3AFD">
      <w:pPr>
        <w:jc w:val="right"/>
        <w:rPr>
          <w:rFonts w:ascii="Times New Roman" w:hAnsi="Times New Roman"/>
          <w:sz w:val="28"/>
          <w:szCs w:val="28"/>
          <w:lang w:val="uk-UA"/>
        </w:rPr>
      </w:pPr>
      <w:r w:rsidRPr="002B0272">
        <w:rPr>
          <w:rFonts w:ascii="Times New Roman" w:hAnsi="Times New Roman"/>
          <w:sz w:val="28"/>
          <w:szCs w:val="28"/>
          <w:lang w:val="uk-UA"/>
        </w:rPr>
        <w:t>д.мед.н., проф</w:t>
      </w:r>
      <w:r w:rsidR="009545D9">
        <w:rPr>
          <w:rFonts w:ascii="Times New Roman" w:hAnsi="Times New Roman"/>
          <w:sz w:val="28"/>
          <w:szCs w:val="28"/>
          <w:lang w:val="uk-UA"/>
        </w:rPr>
        <w:t>есор,</w:t>
      </w:r>
      <w:r w:rsidRPr="002B0272">
        <w:rPr>
          <w:rFonts w:ascii="Times New Roman" w:hAnsi="Times New Roman"/>
          <w:sz w:val="28"/>
          <w:szCs w:val="28"/>
          <w:lang w:val="uk-UA"/>
        </w:rPr>
        <w:t xml:space="preserve"> </w:t>
      </w:r>
      <w:r w:rsidR="009545D9">
        <w:rPr>
          <w:rFonts w:ascii="Times New Roman" w:hAnsi="Times New Roman"/>
          <w:sz w:val="28"/>
          <w:szCs w:val="28"/>
          <w:lang w:val="uk-UA"/>
        </w:rPr>
        <w:t xml:space="preserve">завідувач </w:t>
      </w:r>
      <w:r>
        <w:rPr>
          <w:rFonts w:ascii="Times New Roman" w:hAnsi="Times New Roman"/>
          <w:sz w:val="28"/>
          <w:szCs w:val="28"/>
          <w:lang w:val="uk-UA"/>
        </w:rPr>
        <w:t xml:space="preserve">кафедри терапії </w:t>
      </w:r>
      <w:r w:rsidR="009545D9">
        <w:rPr>
          <w:rFonts w:ascii="Times New Roman" w:hAnsi="Times New Roman"/>
          <w:sz w:val="28"/>
          <w:szCs w:val="28"/>
          <w:lang w:val="uk-UA"/>
        </w:rPr>
        <w:t>та</w:t>
      </w:r>
      <w:r>
        <w:rPr>
          <w:rFonts w:ascii="Times New Roman" w:hAnsi="Times New Roman"/>
          <w:sz w:val="28"/>
          <w:szCs w:val="28"/>
          <w:lang w:val="uk-UA"/>
        </w:rPr>
        <w:t xml:space="preserve"> нефрології, </w:t>
      </w:r>
    </w:p>
    <w:p w:rsidR="00CD3AFD" w:rsidRPr="00CD3AFD" w:rsidRDefault="00CD3AFD" w:rsidP="00CD3AFD">
      <w:pPr>
        <w:jc w:val="right"/>
        <w:rPr>
          <w:rFonts w:ascii="Times New Roman" w:hAnsi="Times New Roman" w:cs="Times New Roman"/>
          <w:sz w:val="28"/>
          <w:szCs w:val="28"/>
          <w:lang w:val="uk-UA"/>
        </w:rPr>
      </w:pPr>
      <w:r>
        <w:rPr>
          <w:rFonts w:ascii="Times New Roman" w:hAnsi="Times New Roman"/>
          <w:sz w:val="28"/>
          <w:szCs w:val="28"/>
          <w:lang w:val="uk-UA"/>
        </w:rPr>
        <w:t>проректор з наукової роботи ХМАПО МОЗ України</w:t>
      </w:r>
    </w:p>
    <w:p w:rsidR="00CD3AFD" w:rsidRPr="00CD3AFD" w:rsidRDefault="00CD3AFD" w:rsidP="00CD3AFD">
      <w:pPr>
        <w:jc w:val="right"/>
        <w:rPr>
          <w:rFonts w:ascii="Times New Roman" w:hAnsi="Times New Roman" w:cs="Times New Roman"/>
          <w:b/>
          <w:sz w:val="28"/>
          <w:szCs w:val="28"/>
          <w:lang w:val="uk-UA"/>
        </w:rPr>
      </w:pPr>
      <w:r w:rsidRPr="00CD3AFD">
        <w:rPr>
          <w:rFonts w:ascii="Times New Roman" w:hAnsi="Times New Roman"/>
          <w:b/>
          <w:sz w:val="28"/>
          <w:szCs w:val="28"/>
          <w:lang w:val="uk-UA"/>
        </w:rPr>
        <w:t>Більченко Олександр Вікторович</w:t>
      </w:r>
    </w:p>
    <w:p w:rsidR="00CD3AFD" w:rsidRDefault="00CD3AFD" w:rsidP="00CD3AFD">
      <w:pPr>
        <w:jc w:val="right"/>
        <w:rPr>
          <w:sz w:val="28"/>
          <w:szCs w:val="28"/>
          <w:lang w:val="uk-UA"/>
        </w:rPr>
      </w:pPr>
    </w:p>
    <w:p w:rsidR="00CD3AFD" w:rsidRDefault="00CD3AFD" w:rsidP="00CD3AFD">
      <w:pPr>
        <w:jc w:val="right"/>
        <w:rPr>
          <w:sz w:val="28"/>
          <w:szCs w:val="28"/>
          <w:lang w:val="uk-UA"/>
        </w:rPr>
      </w:pPr>
    </w:p>
    <w:p w:rsidR="00CD3AFD" w:rsidRDefault="00CD3AFD" w:rsidP="00CD3AFD">
      <w:pPr>
        <w:jc w:val="center"/>
        <w:rPr>
          <w:sz w:val="28"/>
          <w:szCs w:val="28"/>
          <w:lang w:val="uk-UA"/>
        </w:rPr>
      </w:pPr>
      <w:r>
        <w:rPr>
          <w:sz w:val="28"/>
          <w:szCs w:val="28"/>
          <w:lang w:val="uk-UA"/>
        </w:rPr>
        <w:t>Харків – 2015</w:t>
      </w:r>
    </w:p>
    <w:p w:rsidR="003A0A00" w:rsidRDefault="003A0A00" w:rsidP="003A0A00">
      <w:pPr>
        <w:spacing w:line="360" w:lineRule="auto"/>
        <w:jc w:val="center"/>
        <w:rPr>
          <w:b/>
          <w:sz w:val="28"/>
          <w:szCs w:val="28"/>
          <w:lang w:val="uk-UA"/>
        </w:rPr>
      </w:pPr>
      <w:r w:rsidRPr="004832C7">
        <w:rPr>
          <w:b/>
          <w:sz w:val="28"/>
          <w:szCs w:val="28"/>
          <w:lang w:val="uk-UA"/>
        </w:rPr>
        <w:lastRenderedPageBreak/>
        <w:t>ЗМІСТ</w:t>
      </w:r>
    </w:p>
    <w:p w:rsidR="003A0A00" w:rsidRPr="007F627B" w:rsidRDefault="003A0A00" w:rsidP="003A0A00">
      <w:pPr>
        <w:spacing w:after="0" w:line="360" w:lineRule="auto"/>
        <w:jc w:val="both"/>
        <w:rPr>
          <w:b/>
          <w:sz w:val="28"/>
          <w:szCs w:val="28"/>
          <w:lang w:val="uk-UA"/>
        </w:rPr>
      </w:pPr>
      <w:r w:rsidRPr="007F627B">
        <w:rPr>
          <w:b/>
          <w:sz w:val="28"/>
          <w:szCs w:val="28"/>
          <w:lang w:val="uk-UA"/>
        </w:rPr>
        <w:t>ПЕРЕЛІК УМОВНИХ ПОЗНАЧЕНЬ</w:t>
      </w:r>
      <w:r w:rsidRPr="0099230A">
        <w:rPr>
          <w:sz w:val="28"/>
          <w:szCs w:val="28"/>
          <w:lang w:val="uk-UA"/>
        </w:rPr>
        <w:t>………………………………</w:t>
      </w:r>
      <w:r w:rsidR="0099230A">
        <w:rPr>
          <w:sz w:val="28"/>
          <w:szCs w:val="28"/>
          <w:lang w:val="uk-UA"/>
        </w:rPr>
        <w:t>……….4</w:t>
      </w:r>
    </w:p>
    <w:p w:rsidR="003A0A00" w:rsidRPr="007F627B" w:rsidRDefault="003A0A00" w:rsidP="003A0A00">
      <w:pPr>
        <w:spacing w:after="0" w:line="360" w:lineRule="auto"/>
        <w:jc w:val="both"/>
        <w:rPr>
          <w:b/>
          <w:sz w:val="28"/>
          <w:szCs w:val="28"/>
          <w:lang w:val="uk-UA"/>
        </w:rPr>
      </w:pPr>
      <w:r w:rsidRPr="007F627B">
        <w:rPr>
          <w:b/>
          <w:sz w:val="28"/>
          <w:szCs w:val="28"/>
          <w:lang w:val="uk-UA"/>
        </w:rPr>
        <w:t>ВСТУП</w:t>
      </w:r>
      <w:r w:rsidRPr="00210388">
        <w:rPr>
          <w:sz w:val="28"/>
          <w:szCs w:val="28"/>
          <w:lang w:val="uk-UA"/>
        </w:rPr>
        <w:t>…</w:t>
      </w:r>
      <w:r w:rsidR="00210388" w:rsidRPr="00210388">
        <w:rPr>
          <w:sz w:val="28"/>
          <w:szCs w:val="28"/>
          <w:lang w:val="uk-UA"/>
        </w:rPr>
        <w:t>………………………………………………………………………..5</w:t>
      </w:r>
    </w:p>
    <w:p w:rsidR="003A0A00" w:rsidRPr="007F627B" w:rsidRDefault="003A0A00" w:rsidP="003A0A00">
      <w:pPr>
        <w:spacing w:after="0" w:line="360" w:lineRule="auto"/>
        <w:jc w:val="both"/>
        <w:rPr>
          <w:b/>
          <w:sz w:val="28"/>
          <w:szCs w:val="28"/>
          <w:lang w:val="uk-UA"/>
        </w:rPr>
      </w:pPr>
      <w:r w:rsidRPr="007F627B">
        <w:rPr>
          <w:b/>
          <w:sz w:val="28"/>
          <w:szCs w:val="28"/>
          <w:lang w:val="uk-UA"/>
        </w:rPr>
        <w:t>ГЛАВА 1.</w:t>
      </w:r>
    </w:p>
    <w:p w:rsidR="003A0A00" w:rsidRDefault="003A0A00" w:rsidP="003A0A00">
      <w:pPr>
        <w:spacing w:after="0" w:line="360" w:lineRule="auto"/>
        <w:jc w:val="both"/>
        <w:rPr>
          <w:sz w:val="28"/>
          <w:szCs w:val="28"/>
          <w:lang w:val="uk-UA"/>
        </w:rPr>
      </w:pPr>
      <w:r w:rsidRPr="007F627B">
        <w:rPr>
          <w:b/>
          <w:sz w:val="28"/>
          <w:szCs w:val="28"/>
          <w:lang w:val="uk-UA"/>
        </w:rPr>
        <w:t>ОГЛЯД ЛІТЕРАТУРИ</w:t>
      </w:r>
      <w:r w:rsidR="00210388">
        <w:rPr>
          <w:sz w:val="28"/>
          <w:szCs w:val="28"/>
          <w:lang w:val="uk-UA"/>
        </w:rPr>
        <w:t>……………………………………………………….15</w:t>
      </w:r>
    </w:p>
    <w:p w:rsidR="003A0A00" w:rsidRDefault="003A0A00" w:rsidP="003A0A00">
      <w:pPr>
        <w:spacing w:after="0" w:line="360" w:lineRule="auto"/>
        <w:jc w:val="both"/>
        <w:rPr>
          <w:sz w:val="28"/>
          <w:szCs w:val="28"/>
          <w:lang w:val="uk-UA"/>
        </w:rPr>
      </w:pPr>
      <w:r>
        <w:rPr>
          <w:sz w:val="28"/>
          <w:szCs w:val="28"/>
          <w:lang w:val="uk-UA"/>
        </w:rPr>
        <w:t xml:space="preserve">1.1 </w:t>
      </w:r>
      <w:r w:rsidRPr="003D3FE1">
        <w:rPr>
          <w:sz w:val="28"/>
          <w:szCs w:val="28"/>
          <w:lang w:val="uk-UA"/>
        </w:rPr>
        <w:t>Статистико-епідеміологічні дані щодо поширеності хронічного пієлонефриту в загальній популяції та серед пацієнтів із ЦД 2 типу</w:t>
      </w:r>
      <w:r>
        <w:rPr>
          <w:sz w:val="28"/>
          <w:szCs w:val="28"/>
          <w:lang w:val="uk-UA"/>
        </w:rPr>
        <w:t>……..1</w:t>
      </w:r>
      <w:r w:rsidR="00210388">
        <w:rPr>
          <w:sz w:val="28"/>
          <w:szCs w:val="28"/>
          <w:lang w:val="uk-UA"/>
        </w:rPr>
        <w:t>5</w:t>
      </w:r>
    </w:p>
    <w:p w:rsidR="003A0A00" w:rsidRDefault="003A0A00" w:rsidP="003A0A00">
      <w:pPr>
        <w:spacing w:after="0" w:line="360" w:lineRule="auto"/>
        <w:jc w:val="both"/>
        <w:rPr>
          <w:rFonts w:cstheme="minorHAnsi"/>
          <w:color w:val="000000"/>
          <w:sz w:val="28"/>
          <w:szCs w:val="28"/>
          <w:shd w:val="clear" w:color="auto" w:fill="FFFFFF"/>
          <w:lang w:val="uk-UA"/>
        </w:rPr>
      </w:pPr>
      <w:r w:rsidRPr="003D3FE1">
        <w:rPr>
          <w:sz w:val="28"/>
          <w:szCs w:val="28"/>
          <w:lang w:val="uk-UA"/>
        </w:rPr>
        <w:t>1.2</w:t>
      </w:r>
      <w:r>
        <w:rPr>
          <w:sz w:val="28"/>
          <w:szCs w:val="28"/>
          <w:lang w:val="uk-UA"/>
        </w:rPr>
        <w:t xml:space="preserve"> </w:t>
      </w:r>
      <w:r w:rsidRPr="003D3FE1">
        <w:rPr>
          <w:rFonts w:cstheme="minorHAnsi"/>
          <w:color w:val="000000"/>
          <w:sz w:val="28"/>
          <w:szCs w:val="28"/>
          <w:shd w:val="clear" w:color="auto" w:fill="FFFFFF"/>
          <w:lang w:val="uk-UA"/>
        </w:rPr>
        <w:t>Спектр бактеріальної флори ХП та чутливість до АБП</w:t>
      </w:r>
      <w:r w:rsidR="00210388">
        <w:rPr>
          <w:rFonts w:cstheme="minorHAnsi"/>
          <w:color w:val="000000"/>
          <w:sz w:val="28"/>
          <w:szCs w:val="28"/>
          <w:shd w:val="clear" w:color="auto" w:fill="FFFFFF"/>
          <w:lang w:val="uk-UA"/>
        </w:rPr>
        <w:t>……………….16</w:t>
      </w:r>
    </w:p>
    <w:p w:rsidR="003A0A00" w:rsidRDefault="003A0A00" w:rsidP="003A0A00">
      <w:pPr>
        <w:spacing w:after="0" w:line="360" w:lineRule="auto"/>
        <w:jc w:val="both"/>
        <w:rPr>
          <w:rFonts w:cstheme="minorHAnsi"/>
          <w:color w:val="000000" w:themeColor="text1"/>
          <w:sz w:val="28"/>
          <w:szCs w:val="28"/>
          <w:shd w:val="clear" w:color="auto" w:fill="FFFFFF"/>
          <w:lang w:val="uk-UA"/>
        </w:rPr>
      </w:pPr>
      <w:r>
        <w:rPr>
          <w:rFonts w:cstheme="minorHAnsi"/>
          <w:color w:val="000000"/>
          <w:sz w:val="28"/>
          <w:szCs w:val="28"/>
          <w:shd w:val="clear" w:color="auto" w:fill="FFFFFF"/>
          <w:lang w:val="uk-UA"/>
        </w:rPr>
        <w:t xml:space="preserve">1.3 </w:t>
      </w:r>
      <w:r w:rsidRPr="00955F56">
        <w:rPr>
          <w:rFonts w:cstheme="minorHAnsi"/>
          <w:color w:val="000000"/>
          <w:sz w:val="28"/>
          <w:szCs w:val="28"/>
          <w:shd w:val="clear" w:color="auto" w:fill="FFFFFF"/>
          <w:lang w:val="uk-UA"/>
        </w:rPr>
        <w:t xml:space="preserve">Механізми формування антибіотикорезистентності. Сучасний погляд на проблему. </w:t>
      </w:r>
      <w:r w:rsidRPr="00955F56">
        <w:rPr>
          <w:rFonts w:cstheme="minorHAnsi"/>
          <w:color w:val="000000" w:themeColor="text1"/>
          <w:sz w:val="28"/>
          <w:szCs w:val="28"/>
          <w:shd w:val="clear" w:color="auto" w:fill="FFFFFF"/>
          <w:lang w:val="uk-UA"/>
        </w:rPr>
        <w:t>Плазмід-індуковані механізми резистентності</w:t>
      </w:r>
      <w:r w:rsidR="00210388">
        <w:rPr>
          <w:rFonts w:cstheme="minorHAnsi"/>
          <w:color w:val="000000" w:themeColor="text1"/>
          <w:sz w:val="28"/>
          <w:szCs w:val="28"/>
          <w:shd w:val="clear" w:color="auto" w:fill="FFFFFF"/>
          <w:lang w:val="uk-UA"/>
        </w:rPr>
        <w:t>………………….17</w:t>
      </w:r>
    </w:p>
    <w:p w:rsidR="003A0A00" w:rsidRDefault="003A0A00" w:rsidP="003A0A00">
      <w:pPr>
        <w:spacing w:after="0" w:line="360" w:lineRule="auto"/>
        <w:ind w:firstLine="709"/>
        <w:jc w:val="both"/>
        <w:rPr>
          <w:rFonts w:cstheme="minorHAnsi"/>
          <w:color w:val="000000"/>
          <w:sz w:val="28"/>
          <w:szCs w:val="28"/>
          <w:shd w:val="clear" w:color="auto" w:fill="FFFFFF"/>
          <w:lang w:val="uk-UA"/>
        </w:rPr>
      </w:pPr>
      <w:r w:rsidRPr="00955F56">
        <w:rPr>
          <w:rFonts w:cstheme="minorHAnsi"/>
          <w:color w:val="000000"/>
          <w:sz w:val="28"/>
          <w:szCs w:val="28"/>
          <w:shd w:val="clear" w:color="auto" w:fill="FFFFFF"/>
          <w:lang w:val="uk-UA"/>
        </w:rPr>
        <w:t>1.3.1 Механізми резистентності до β-лактамних антибіотиків</w:t>
      </w:r>
      <w:r w:rsidR="00210388">
        <w:rPr>
          <w:rFonts w:cstheme="minorHAnsi"/>
          <w:color w:val="000000"/>
          <w:sz w:val="28"/>
          <w:szCs w:val="28"/>
          <w:shd w:val="clear" w:color="auto" w:fill="FFFFFF"/>
          <w:lang w:val="uk-UA"/>
        </w:rPr>
        <w:t>……...18</w:t>
      </w:r>
    </w:p>
    <w:p w:rsidR="003A0A00" w:rsidRDefault="003A0A00" w:rsidP="003A0A00">
      <w:pPr>
        <w:spacing w:after="0" w:line="360" w:lineRule="auto"/>
        <w:ind w:firstLine="709"/>
        <w:jc w:val="both"/>
        <w:rPr>
          <w:rFonts w:eastAsia="Times New Roman" w:cstheme="minorHAnsi"/>
          <w:color w:val="000000" w:themeColor="text1"/>
          <w:sz w:val="28"/>
          <w:szCs w:val="28"/>
          <w:lang w:val="uk-UA" w:eastAsia="ru-RU"/>
        </w:rPr>
      </w:pPr>
      <w:r w:rsidRPr="00955F56">
        <w:rPr>
          <w:rFonts w:eastAsia="Times New Roman" w:cstheme="minorHAnsi"/>
          <w:color w:val="000000" w:themeColor="text1"/>
          <w:sz w:val="28"/>
          <w:szCs w:val="28"/>
          <w:lang w:val="uk-UA" w:eastAsia="ru-RU"/>
        </w:rPr>
        <w:t>1.3.2 Механізми резистентності до фторхінолонів</w:t>
      </w:r>
      <w:r w:rsidR="00210388">
        <w:rPr>
          <w:rFonts w:eastAsia="Times New Roman" w:cstheme="minorHAnsi"/>
          <w:color w:val="000000" w:themeColor="text1"/>
          <w:sz w:val="28"/>
          <w:szCs w:val="28"/>
          <w:lang w:val="uk-UA" w:eastAsia="ru-RU"/>
        </w:rPr>
        <w:t>…………………...24</w:t>
      </w:r>
    </w:p>
    <w:p w:rsidR="003A0A00" w:rsidRDefault="003A0A00" w:rsidP="003A0A00">
      <w:pPr>
        <w:spacing w:after="0" w:line="360" w:lineRule="auto"/>
        <w:ind w:firstLine="709"/>
        <w:jc w:val="both"/>
        <w:rPr>
          <w:rFonts w:cstheme="minorHAnsi"/>
          <w:color w:val="000000"/>
          <w:sz w:val="28"/>
          <w:szCs w:val="28"/>
          <w:shd w:val="clear" w:color="auto" w:fill="FFFFFF"/>
          <w:lang w:val="uk-UA"/>
        </w:rPr>
      </w:pPr>
      <w:r w:rsidRPr="00955F56">
        <w:rPr>
          <w:rFonts w:cstheme="minorHAnsi"/>
          <w:color w:val="000000"/>
          <w:sz w:val="28"/>
          <w:szCs w:val="28"/>
          <w:shd w:val="clear" w:color="auto" w:fill="FFFFFF"/>
          <w:lang w:val="uk-UA"/>
        </w:rPr>
        <w:t>1.3.3 Плазміди: визначення, види, механізми інтеграції</w:t>
      </w:r>
      <w:r>
        <w:rPr>
          <w:rFonts w:cstheme="minorHAnsi"/>
          <w:color w:val="000000"/>
          <w:sz w:val="28"/>
          <w:szCs w:val="28"/>
          <w:shd w:val="clear" w:color="auto" w:fill="FFFFFF"/>
          <w:lang w:val="uk-UA"/>
        </w:rPr>
        <w:t>……………..</w:t>
      </w:r>
      <w:r w:rsidR="00210388">
        <w:rPr>
          <w:rFonts w:cstheme="minorHAnsi"/>
          <w:color w:val="000000"/>
          <w:sz w:val="28"/>
          <w:szCs w:val="28"/>
          <w:shd w:val="clear" w:color="auto" w:fill="FFFFFF"/>
          <w:lang w:val="uk-UA"/>
        </w:rPr>
        <w:t>28</w:t>
      </w:r>
    </w:p>
    <w:p w:rsidR="003A0A00" w:rsidRDefault="003A0A00" w:rsidP="003A0A00">
      <w:pPr>
        <w:spacing w:line="360" w:lineRule="auto"/>
        <w:jc w:val="both"/>
        <w:rPr>
          <w:sz w:val="28"/>
          <w:szCs w:val="28"/>
          <w:lang w:val="uk-UA"/>
        </w:rPr>
      </w:pPr>
      <w:r w:rsidRPr="00955F56">
        <w:rPr>
          <w:rFonts w:cstheme="minorHAnsi"/>
          <w:color w:val="000000"/>
          <w:sz w:val="28"/>
          <w:szCs w:val="28"/>
          <w:shd w:val="clear" w:color="auto" w:fill="FFFFFF"/>
          <w:lang w:val="uk-UA"/>
        </w:rPr>
        <w:t>1.4 Фармако-терапія інфекцій, спричинених штамами з плазмідними механізмами резистентності. Можливі шляхи подолання резистентності</w:t>
      </w:r>
      <w:r>
        <w:rPr>
          <w:rFonts w:cstheme="minorHAnsi"/>
          <w:color w:val="000000"/>
          <w:sz w:val="28"/>
          <w:szCs w:val="28"/>
          <w:shd w:val="clear" w:color="auto" w:fill="FFFFFF"/>
          <w:lang w:val="uk-UA"/>
        </w:rPr>
        <w:t>…</w:t>
      </w:r>
      <w:r w:rsidR="00210388">
        <w:rPr>
          <w:rFonts w:cstheme="minorHAnsi"/>
          <w:color w:val="000000"/>
          <w:sz w:val="28"/>
          <w:szCs w:val="28"/>
          <w:shd w:val="clear" w:color="auto" w:fill="FFFFFF"/>
          <w:lang w:val="uk-UA"/>
        </w:rPr>
        <w:t>2</w:t>
      </w:r>
      <w:r>
        <w:rPr>
          <w:rFonts w:cstheme="minorHAnsi"/>
          <w:color w:val="000000"/>
          <w:sz w:val="28"/>
          <w:szCs w:val="28"/>
          <w:shd w:val="clear" w:color="auto" w:fill="FFFFFF"/>
          <w:lang w:val="uk-UA"/>
        </w:rPr>
        <w:t>9</w:t>
      </w:r>
    </w:p>
    <w:p w:rsidR="007F627B" w:rsidRDefault="003A0A00" w:rsidP="003A0A00">
      <w:pPr>
        <w:spacing w:after="0" w:line="360" w:lineRule="auto"/>
        <w:jc w:val="both"/>
        <w:rPr>
          <w:b/>
          <w:sz w:val="28"/>
          <w:szCs w:val="28"/>
          <w:lang w:val="uk-UA"/>
        </w:rPr>
      </w:pPr>
      <w:r w:rsidRPr="007F627B">
        <w:rPr>
          <w:b/>
          <w:sz w:val="28"/>
          <w:szCs w:val="28"/>
          <w:lang w:val="uk-UA"/>
        </w:rPr>
        <w:t xml:space="preserve">ГЛАВА 2. </w:t>
      </w:r>
    </w:p>
    <w:p w:rsidR="003A0A00" w:rsidRDefault="003A0A00" w:rsidP="003A0A00">
      <w:pPr>
        <w:spacing w:after="0" w:line="360" w:lineRule="auto"/>
        <w:jc w:val="both"/>
        <w:rPr>
          <w:sz w:val="28"/>
          <w:szCs w:val="28"/>
          <w:lang w:val="uk-UA"/>
        </w:rPr>
      </w:pPr>
      <w:r w:rsidRPr="007F627B">
        <w:rPr>
          <w:b/>
          <w:sz w:val="28"/>
          <w:szCs w:val="28"/>
          <w:lang w:val="uk-UA"/>
        </w:rPr>
        <w:t>МАТЕРІАЛИ ТА МЕТОДИ ДОСЛІДЖЕННЯ</w:t>
      </w:r>
      <w:r>
        <w:rPr>
          <w:sz w:val="28"/>
          <w:szCs w:val="28"/>
          <w:lang w:val="uk-UA"/>
        </w:rPr>
        <w:t>…………………</w:t>
      </w:r>
      <w:r w:rsidR="00210388">
        <w:rPr>
          <w:sz w:val="28"/>
          <w:szCs w:val="28"/>
          <w:lang w:val="uk-UA"/>
        </w:rPr>
        <w:t>…………..3</w:t>
      </w:r>
      <w:r w:rsidR="00580EDF">
        <w:rPr>
          <w:sz w:val="28"/>
          <w:szCs w:val="28"/>
          <w:lang w:val="uk-UA"/>
        </w:rPr>
        <w:t>5</w:t>
      </w:r>
    </w:p>
    <w:p w:rsidR="003A0A00" w:rsidRDefault="003A0A00" w:rsidP="003A0A00">
      <w:pPr>
        <w:spacing w:after="0" w:line="360" w:lineRule="auto"/>
        <w:jc w:val="both"/>
        <w:rPr>
          <w:sz w:val="28"/>
          <w:szCs w:val="28"/>
          <w:lang w:val="uk-UA"/>
        </w:rPr>
      </w:pPr>
      <w:r>
        <w:rPr>
          <w:sz w:val="28"/>
          <w:szCs w:val="28"/>
          <w:lang w:val="uk-UA"/>
        </w:rPr>
        <w:t>2.1 Клінічна характеристика хворих…………………………………………</w:t>
      </w:r>
      <w:r w:rsidR="00580EDF">
        <w:rPr>
          <w:sz w:val="28"/>
          <w:szCs w:val="28"/>
          <w:lang w:val="uk-UA"/>
        </w:rPr>
        <w:t>…</w:t>
      </w:r>
      <w:r w:rsidR="00210388">
        <w:rPr>
          <w:sz w:val="28"/>
          <w:szCs w:val="28"/>
          <w:lang w:val="uk-UA"/>
        </w:rPr>
        <w:t>3</w:t>
      </w:r>
      <w:r w:rsidR="00580EDF">
        <w:rPr>
          <w:sz w:val="28"/>
          <w:szCs w:val="28"/>
          <w:lang w:val="uk-UA"/>
        </w:rPr>
        <w:t>5</w:t>
      </w:r>
    </w:p>
    <w:p w:rsidR="003A0A00" w:rsidRDefault="003A0A00" w:rsidP="003A0A00">
      <w:pPr>
        <w:spacing w:line="360" w:lineRule="auto"/>
        <w:jc w:val="both"/>
        <w:rPr>
          <w:sz w:val="28"/>
          <w:szCs w:val="28"/>
          <w:lang w:val="uk-UA"/>
        </w:rPr>
      </w:pPr>
      <w:r>
        <w:rPr>
          <w:sz w:val="28"/>
          <w:szCs w:val="28"/>
          <w:lang w:val="uk-UA"/>
        </w:rPr>
        <w:t>2.2 Методи дослідження………………………………………………………</w:t>
      </w:r>
      <w:r w:rsidR="00B60BC7">
        <w:rPr>
          <w:sz w:val="28"/>
          <w:szCs w:val="28"/>
          <w:lang w:val="uk-UA"/>
        </w:rPr>
        <w:t>..43</w:t>
      </w:r>
    </w:p>
    <w:p w:rsidR="003A0A00" w:rsidRPr="007F627B" w:rsidRDefault="003A0A00" w:rsidP="003A0A00">
      <w:pPr>
        <w:spacing w:after="0" w:line="360" w:lineRule="auto"/>
        <w:jc w:val="both"/>
        <w:rPr>
          <w:b/>
          <w:sz w:val="28"/>
          <w:szCs w:val="28"/>
          <w:lang w:val="uk-UA"/>
        </w:rPr>
      </w:pPr>
      <w:r w:rsidRPr="007F627B">
        <w:rPr>
          <w:b/>
          <w:sz w:val="28"/>
          <w:szCs w:val="28"/>
          <w:lang w:val="uk-UA"/>
        </w:rPr>
        <w:t>ГЛАВА 3.</w:t>
      </w:r>
    </w:p>
    <w:p w:rsidR="003A0A00" w:rsidRDefault="003A0A00" w:rsidP="003A0A00">
      <w:pPr>
        <w:spacing w:after="0" w:line="360" w:lineRule="auto"/>
        <w:jc w:val="both"/>
        <w:rPr>
          <w:sz w:val="28"/>
          <w:szCs w:val="28"/>
          <w:lang w:val="uk-UA"/>
        </w:rPr>
      </w:pPr>
      <w:r w:rsidRPr="007F627B">
        <w:rPr>
          <w:b/>
          <w:sz w:val="28"/>
          <w:szCs w:val="28"/>
          <w:lang w:val="uk-UA"/>
        </w:rPr>
        <w:t>ВЛАСНІ СПОСТЕРЕЖЕННЯ.</w:t>
      </w:r>
    </w:p>
    <w:p w:rsidR="00B83320" w:rsidRDefault="007F627B" w:rsidP="003A0A00">
      <w:pPr>
        <w:spacing w:after="0" w:line="360" w:lineRule="auto"/>
        <w:jc w:val="both"/>
        <w:rPr>
          <w:sz w:val="28"/>
          <w:szCs w:val="28"/>
          <w:lang w:val="uk-UA"/>
        </w:rPr>
      </w:pPr>
      <w:r>
        <w:rPr>
          <w:sz w:val="28"/>
          <w:szCs w:val="28"/>
          <w:lang w:val="uk-UA"/>
        </w:rPr>
        <w:t xml:space="preserve">3.1 </w:t>
      </w:r>
      <w:r w:rsidR="00B83320">
        <w:rPr>
          <w:sz w:val="28"/>
          <w:szCs w:val="28"/>
          <w:lang w:val="uk-UA"/>
        </w:rPr>
        <w:t>Поширеність плазмід-індукованих механізмів резистентності серед хворих на хронічний пієлонефрит і супутн</w:t>
      </w:r>
      <w:r w:rsidR="009545D9">
        <w:rPr>
          <w:sz w:val="28"/>
          <w:szCs w:val="28"/>
          <w:lang w:val="uk-UA"/>
        </w:rPr>
        <w:t>ій</w:t>
      </w:r>
      <w:r w:rsidR="00B83320">
        <w:rPr>
          <w:sz w:val="28"/>
          <w:szCs w:val="28"/>
          <w:lang w:val="uk-UA"/>
        </w:rPr>
        <w:t xml:space="preserve"> цукров</w:t>
      </w:r>
      <w:r w:rsidR="009545D9">
        <w:rPr>
          <w:sz w:val="28"/>
          <w:szCs w:val="28"/>
          <w:lang w:val="uk-UA"/>
        </w:rPr>
        <w:t>ий</w:t>
      </w:r>
      <w:r w:rsidR="00B83320">
        <w:rPr>
          <w:sz w:val="28"/>
          <w:szCs w:val="28"/>
          <w:lang w:val="uk-UA"/>
        </w:rPr>
        <w:t xml:space="preserve"> діабет 2 типу……………………………………………………………………………</w:t>
      </w:r>
      <w:r w:rsidR="00B60BC7">
        <w:rPr>
          <w:sz w:val="28"/>
          <w:szCs w:val="28"/>
          <w:lang w:val="uk-UA"/>
        </w:rPr>
        <w:t>….50</w:t>
      </w:r>
      <w:r w:rsidR="00B83320">
        <w:rPr>
          <w:sz w:val="28"/>
          <w:szCs w:val="28"/>
          <w:lang w:val="uk-UA"/>
        </w:rPr>
        <w:t xml:space="preserve">  </w:t>
      </w:r>
    </w:p>
    <w:p w:rsidR="00B83320" w:rsidRDefault="000D3AB9" w:rsidP="003A0A00">
      <w:pPr>
        <w:spacing w:after="0" w:line="360" w:lineRule="auto"/>
        <w:jc w:val="both"/>
        <w:rPr>
          <w:sz w:val="28"/>
          <w:szCs w:val="28"/>
          <w:lang w:val="uk-UA"/>
        </w:rPr>
      </w:pPr>
      <w:r>
        <w:rPr>
          <w:sz w:val="28"/>
          <w:szCs w:val="28"/>
          <w:lang w:val="uk-UA"/>
        </w:rPr>
        <w:t>3</w:t>
      </w:r>
      <w:r w:rsidR="003A0A00">
        <w:rPr>
          <w:sz w:val="28"/>
          <w:szCs w:val="28"/>
          <w:lang w:val="uk-UA"/>
        </w:rPr>
        <w:t>.</w:t>
      </w:r>
      <w:r>
        <w:rPr>
          <w:sz w:val="28"/>
          <w:szCs w:val="28"/>
          <w:lang w:val="uk-UA"/>
        </w:rPr>
        <w:t>2</w:t>
      </w:r>
      <w:r w:rsidR="003A0A00">
        <w:rPr>
          <w:sz w:val="28"/>
          <w:szCs w:val="28"/>
          <w:lang w:val="uk-UA"/>
        </w:rPr>
        <w:t xml:space="preserve"> </w:t>
      </w:r>
      <w:r w:rsidR="00B83320">
        <w:rPr>
          <w:sz w:val="28"/>
          <w:szCs w:val="28"/>
          <w:lang w:val="uk-UA"/>
        </w:rPr>
        <w:t>Основні фактори, пов’язані з наявністю плазмід-індукованих резистентності у хворих на хронічний пієлонефрит і супутній цукровий діабет 2 типу……………………………………………………………………</w:t>
      </w:r>
      <w:r w:rsidR="00B60BC7">
        <w:rPr>
          <w:sz w:val="28"/>
          <w:szCs w:val="28"/>
          <w:lang w:val="uk-UA"/>
        </w:rPr>
        <w:t>.60</w:t>
      </w:r>
    </w:p>
    <w:p w:rsidR="003A0A00" w:rsidRDefault="000D3AB9" w:rsidP="000D3AB9">
      <w:pPr>
        <w:spacing w:after="0" w:line="360" w:lineRule="auto"/>
        <w:jc w:val="both"/>
        <w:rPr>
          <w:sz w:val="28"/>
          <w:szCs w:val="28"/>
          <w:lang w:val="uk-UA"/>
        </w:rPr>
      </w:pPr>
      <w:r>
        <w:rPr>
          <w:sz w:val="28"/>
          <w:szCs w:val="28"/>
          <w:lang w:val="uk-UA"/>
        </w:rPr>
        <w:t>3</w:t>
      </w:r>
      <w:r w:rsidR="003A0A00">
        <w:rPr>
          <w:sz w:val="28"/>
          <w:szCs w:val="28"/>
          <w:lang w:val="uk-UA"/>
        </w:rPr>
        <w:t>.</w:t>
      </w:r>
      <w:r>
        <w:rPr>
          <w:sz w:val="28"/>
          <w:szCs w:val="28"/>
          <w:lang w:val="uk-UA"/>
        </w:rPr>
        <w:t>3</w:t>
      </w:r>
      <w:r w:rsidR="00B83320">
        <w:rPr>
          <w:sz w:val="28"/>
          <w:szCs w:val="28"/>
          <w:lang w:val="uk-UA"/>
        </w:rPr>
        <w:t xml:space="preserve"> Взаємозв’язок резистентності </w:t>
      </w:r>
      <w:r w:rsidR="00B83320">
        <w:rPr>
          <w:sz w:val="28"/>
          <w:szCs w:val="28"/>
          <w:lang w:val="en-US"/>
        </w:rPr>
        <w:t>in</w:t>
      </w:r>
      <w:r w:rsidR="00B83320" w:rsidRPr="00B83320">
        <w:rPr>
          <w:sz w:val="28"/>
          <w:szCs w:val="28"/>
          <w:lang w:val="uk-UA"/>
        </w:rPr>
        <w:t xml:space="preserve"> </w:t>
      </w:r>
      <w:r w:rsidR="00B83320">
        <w:rPr>
          <w:sz w:val="28"/>
          <w:szCs w:val="28"/>
          <w:lang w:val="en-US"/>
        </w:rPr>
        <w:t>vitro</w:t>
      </w:r>
      <w:r w:rsidR="00B83320" w:rsidRPr="00B83320">
        <w:rPr>
          <w:sz w:val="28"/>
          <w:szCs w:val="28"/>
          <w:lang w:val="uk-UA"/>
        </w:rPr>
        <w:t xml:space="preserve"> </w:t>
      </w:r>
      <w:r w:rsidR="00B83320">
        <w:rPr>
          <w:sz w:val="28"/>
          <w:szCs w:val="28"/>
          <w:lang w:val="uk-UA"/>
        </w:rPr>
        <w:t xml:space="preserve">до </w:t>
      </w:r>
      <w:r w:rsidR="00B83320">
        <w:rPr>
          <w:rFonts w:cstheme="minorHAnsi"/>
          <w:sz w:val="28"/>
          <w:szCs w:val="28"/>
          <w:lang w:val="uk-UA"/>
        </w:rPr>
        <w:t>β</w:t>
      </w:r>
      <w:r w:rsidR="00B83320">
        <w:rPr>
          <w:sz w:val="28"/>
          <w:szCs w:val="28"/>
          <w:lang w:val="uk-UA"/>
        </w:rPr>
        <w:t xml:space="preserve">-лактамів та фторхінолонів з наявністю плазмід-індукованих </w:t>
      </w:r>
      <w:r w:rsidR="00210388">
        <w:rPr>
          <w:sz w:val="28"/>
          <w:szCs w:val="28"/>
          <w:lang w:val="uk-UA"/>
        </w:rPr>
        <w:t>м</w:t>
      </w:r>
      <w:r w:rsidR="00B60BC7">
        <w:rPr>
          <w:sz w:val="28"/>
          <w:szCs w:val="28"/>
          <w:lang w:val="uk-UA"/>
        </w:rPr>
        <w:t>еханізмів резистентності…………..85</w:t>
      </w:r>
      <w:r w:rsidR="00B83320">
        <w:rPr>
          <w:sz w:val="28"/>
          <w:szCs w:val="28"/>
          <w:lang w:val="uk-UA"/>
        </w:rPr>
        <w:t xml:space="preserve">  </w:t>
      </w:r>
      <w:r w:rsidR="003A0A00">
        <w:rPr>
          <w:sz w:val="28"/>
          <w:szCs w:val="28"/>
          <w:lang w:val="uk-UA"/>
        </w:rPr>
        <w:t xml:space="preserve"> </w:t>
      </w:r>
      <w:r w:rsidR="00B83320">
        <w:rPr>
          <w:sz w:val="28"/>
          <w:szCs w:val="28"/>
          <w:lang w:val="uk-UA"/>
        </w:rPr>
        <w:t xml:space="preserve">    </w:t>
      </w:r>
      <w:bookmarkStart w:id="0" w:name="_GoBack"/>
      <w:bookmarkEnd w:id="0"/>
      <w:r>
        <w:rPr>
          <w:sz w:val="28"/>
          <w:szCs w:val="28"/>
          <w:lang w:val="uk-UA"/>
        </w:rPr>
        <w:lastRenderedPageBreak/>
        <w:t>3.4 Вплив плазмід-індукованих механізмів резистентності на клінічну та бактеріологічну ефективність антибіотико-терапії хворих на хронічний пієлонефрит і цукровий діабет 2 типу………………………………………</w:t>
      </w:r>
      <w:r w:rsidR="007B09A7">
        <w:rPr>
          <w:sz w:val="28"/>
          <w:szCs w:val="28"/>
          <w:lang w:val="uk-UA"/>
        </w:rPr>
        <w:t>…99</w:t>
      </w:r>
      <w:r>
        <w:rPr>
          <w:sz w:val="28"/>
          <w:szCs w:val="28"/>
          <w:lang w:val="uk-UA"/>
        </w:rPr>
        <w:t xml:space="preserve"> </w:t>
      </w:r>
    </w:p>
    <w:p w:rsidR="003A0A00" w:rsidRDefault="000D3AB9" w:rsidP="000D3AB9">
      <w:pPr>
        <w:spacing w:after="0" w:line="360" w:lineRule="auto"/>
        <w:jc w:val="both"/>
        <w:rPr>
          <w:sz w:val="28"/>
          <w:szCs w:val="28"/>
          <w:lang w:val="uk-UA"/>
        </w:rPr>
      </w:pPr>
      <w:r>
        <w:rPr>
          <w:sz w:val="28"/>
          <w:szCs w:val="28"/>
          <w:lang w:val="uk-UA"/>
        </w:rPr>
        <w:t>3</w:t>
      </w:r>
      <w:r w:rsidR="003A0A00">
        <w:rPr>
          <w:sz w:val="28"/>
          <w:szCs w:val="28"/>
          <w:lang w:val="uk-UA"/>
        </w:rPr>
        <w:t>.</w:t>
      </w:r>
      <w:r>
        <w:rPr>
          <w:sz w:val="28"/>
          <w:szCs w:val="28"/>
          <w:lang w:val="uk-UA"/>
        </w:rPr>
        <w:t>5 Взаємозв’язок плазмід-індукованих механізмів резистентності з імунологічними маркерами системного запалення у хворих на хронічний пієлонефрит і цукровий діабет 2 типу……………………………………….</w:t>
      </w:r>
      <w:r w:rsidR="00C44E33">
        <w:rPr>
          <w:sz w:val="28"/>
          <w:szCs w:val="28"/>
          <w:lang w:val="uk-UA"/>
        </w:rPr>
        <w:t>..</w:t>
      </w:r>
      <w:r>
        <w:rPr>
          <w:sz w:val="28"/>
          <w:szCs w:val="28"/>
          <w:lang w:val="uk-UA"/>
        </w:rPr>
        <w:t>1</w:t>
      </w:r>
      <w:r w:rsidR="0063467A">
        <w:rPr>
          <w:sz w:val="28"/>
          <w:szCs w:val="28"/>
          <w:lang w:val="uk-UA"/>
        </w:rPr>
        <w:t>20</w:t>
      </w:r>
    </w:p>
    <w:p w:rsidR="003A0A00" w:rsidRDefault="000D3AB9" w:rsidP="000D3AB9">
      <w:pPr>
        <w:spacing w:line="360" w:lineRule="auto"/>
        <w:jc w:val="both"/>
        <w:rPr>
          <w:sz w:val="28"/>
          <w:szCs w:val="28"/>
          <w:lang w:val="uk-UA"/>
        </w:rPr>
      </w:pPr>
      <w:r>
        <w:rPr>
          <w:sz w:val="28"/>
          <w:szCs w:val="28"/>
          <w:lang w:val="uk-UA"/>
        </w:rPr>
        <w:t>3.6</w:t>
      </w:r>
      <w:r w:rsidR="003A0A00">
        <w:rPr>
          <w:sz w:val="28"/>
          <w:szCs w:val="28"/>
          <w:lang w:val="uk-UA"/>
        </w:rPr>
        <w:t xml:space="preserve"> </w:t>
      </w:r>
      <w:r>
        <w:rPr>
          <w:sz w:val="28"/>
          <w:szCs w:val="28"/>
          <w:lang w:val="uk-UA"/>
        </w:rPr>
        <w:t>Методи диференційованого призначення антибіотико-терапії хворим на хронічний пієлонефрит і супутн</w:t>
      </w:r>
      <w:r w:rsidR="00C44E33">
        <w:rPr>
          <w:sz w:val="28"/>
          <w:szCs w:val="28"/>
          <w:lang w:val="uk-UA"/>
        </w:rPr>
        <w:t>ій</w:t>
      </w:r>
      <w:r>
        <w:rPr>
          <w:sz w:val="28"/>
          <w:szCs w:val="28"/>
          <w:lang w:val="uk-UA"/>
        </w:rPr>
        <w:t xml:space="preserve"> цукров</w:t>
      </w:r>
      <w:r w:rsidR="00C44E33">
        <w:rPr>
          <w:sz w:val="28"/>
          <w:szCs w:val="28"/>
          <w:lang w:val="uk-UA"/>
        </w:rPr>
        <w:t>ий</w:t>
      </w:r>
      <w:r>
        <w:rPr>
          <w:sz w:val="28"/>
          <w:szCs w:val="28"/>
          <w:lang w:val="uk-UA"/>
        </w:rPr>
        <w:t xml:space="preserve"> діабет 2 типу залежно від наявності плазмід-індукованих механізмів резистентності……………</w:t>
      </w:r>
      <w:r w:rsidR="00C44E33">
        <w:rPr>
          <w:sz w:val="28"/>
          <w:szCs w:val="28"/>
          <w:lang w:val="uk-UA"/>
        </w:rPr>
        <w:t>……</w:t>
      </w:r>
      <w:r>
        <w:rPr>
          <w:sz w:val="28"/>
          <w:szCs w:val="28"/>
          <w:lang w:val="uk-UA"/>
        </w:rPr>
        <w:t>1</w:t>
      </w:r>
      <w:r w:rsidR="0063467A">
        <w:rPr>
          <w:sz w:val="28"/>
          <w:szCs w:val="28"/>
          <w:lang w:val="uk-UA"/>
        </w:rPr>
        <w:t>27</w:t>
      </w:r>
    </w:p>
    <w:p w:rsidR="003A0A00" w:rsidRDefault="003A0A00" w:rsidP="003A0A00">
      <w:pPr>
        <w:spacing w:line="360" w:lineRule="auto"/>
        <w:jc w:val="both"/>
        <w:rPr>
          <w:sz w:val="28"/>
          <w:szCs w:val="28"/>
          <w:lang w:val="uk-UA"/>
        </w:rPr>
      </w:pPr>
      <w:r w:rsidRPr="000D3AB9">
        <w:rPr>
          <w:b/>
          <w:sz w:val="28"/>
          <w:szCs w:val="28"/>
          <w:lang w:val="uk-UA"/>
        </w:rPr>
        <w:t>АНАЛІЗ ТА УЗАГАЛЬНЕННЯ РЕЗУЛЬТАТІВ ДОСЛІДЖЕННЯ</w:t>
      </w:r>
      <w:r w:rsidR="000D3AB9">
        <w:rPr>
          <w:sz w:val="28"/>
          <w:szCs w:val="28"/>
          <w:lang w:val="uk-UA"/>
        </w:rPr>
        <w:t>…………………………………………………….</w:t>
      </w:r>
      <w:r>
        <w:rPr>
          <w:sz w:val="28"/>
          <w:szCs w:val="28"/>
          <w:lang w:val="uk-UA"/>
        </w:rPr>
        <w:t>………</w:t>
      </w:r>
      <w:r w:rsidR="00210388">
        <w:rPr>
          <w:sz w:val="28"/>
          <w:szCs w:val="28"/>
          <w:lang w:val="uk-UA"/>
        </w:rPr>
        <w:t>..</w:t>
      </w:r>
      <w:r>
        <w:rPr>
          <w:sz w:val="28"/>
          <w:szCs w:val="28"/>
          <w:lang w:val="uk-UA"/>
        </w:rPr>
        <w:t>1</w:t>
      </w:r>
      <w:r w:rsidR="0063467A">
        <w:rPr>
          <w:sz w:val="28"/>
          <w:szCs w:val="28"/>
          <w:lang w:val="uk-UA"/>
        </w:rPr>
        <w:t>37</w:t>
      </w:r>
    </w:p>
    <w:p w:rsidR="003A0A00" w:rsidRDefault="003A0A00" w:rsidP="003A0A00">
      <w:pPr>
        <w:spacing w:line="360" w:lineRule="auto"/>
        <w:jc w:val="both"/>
        <w:rPr>
          <w:sz w:val="28"/>
          <w:szCs w:val="28"/>
          <w:lang w:val="uk-UA"/>
        </w:rPr>
      </w:pPr>
      <w:r w:rsidRPr="000D3AB9">
        <w:rPr>
          <w:b/>
          <w:sz w:val="28"/>
          <w:szCs w:val="28"/>
          <w:lang w:val="uk-UA"/>
        </w:rPr>
        <w:t>ВИСНОВКИ</w:t>
      </w:r>
      <w:r w:rsidR="000D3AB9">
        <w:rPr>
          <w:sz w:val="28"/>
          <w:szCs w:val="28"/>
          <w:lang w:val="uk-UA"/>
        </w:rPr>
        <w:t>…………………………………………………………………</w:t>
      </w:r>
      <w:r w:rsidR="00210388">
        <w:rPr>
          <w:sz w:val="28"/>
          <w:szCs w:val="28"/>
          <w:lang w:val="uk-UA"/>
        </w:rPr>
        <w:t>...</w:t>
      </w:r>
      <w:r>
        <w:rPr>
          <w:sz w:val="28"/>
          <w:szCs w:val="28"/>
          <w:lang w:val="uk-UA"/>
        </w:rPr>
        <w:t>1</w:t>
      </w:r>
      <w:r w:rsidR="00210388">
        <w:rPr>
          <w:sz w:val="28"/>
          <w:szCs w:val="28"/>
          <w:lang w:val="uk-UA"/>
        </w:rPr>
        <w:t>5</w:t>
      </w:r>
      <w:r w:rsidR="0063467A">
        <w:rPr>
          <w:sz w:val="28"/>
          <w:szCs w:val="28"/>
          <w:lang w:val="uk-UA"/>
        </w:rPr>
        <w:t>4</w:t>
      </w:r>
    </w:p>
    <w:p w:rsidR="003A0A00" w:rsidRDefault="000D3AB9" w:rsidP="003A0A00">
      <w:pPr>
        <w:spacing w:line="360" w:lineRule="auto"/>
        <w:jc w:val="both"/>
        <w:rPr>
          <w:sz w:val="28"/>
          <w:szCs w:val="28"/>
          <w:lang w:val="uk-UA"/>
        </w:rPr>
      </w:pPr>
      <w:r>
        <w:rPr>
          <w:b/>
          <w:sz w:val="28"/>
          <w:szCs w:val="28"/>
          <w:lang w:val="uk-UA"/>
        </w:rPr>
        <w:t xml:space="preserve">ПРАКТИЧНІ </w:t>
      </w:r>
      <w:r w:rsidR="003A0A00" w:rsidRPr="000D3AB9">
        <w:rPr>
          <w:b/>
          <w:sz w:val="28"/>
          <w:szCs w:val="28"/>
          <w:lang w:val="uk-UA"/>
        </w:rPr>
        <w:t>РЕКОМЕНДАЦІЇ</w:t>
      </w:r>
      <w:r>
        <w:rPr>
          <w:sz w:val="28"/>
          <w:szCs w:val="28"/>
          <w:lang w:val="uk-UA"/>
        </w:rPr>
        <w:t>…………………………………………</w:t>
      </w:r>
      <w:r w:rsidR="00210388">
        <w:rPr>
          <w:sz w:val="28"/>
          <w:szCs w:val="28"/>
          <w:lang w:val="uk-UA"/>
        </w:rPr>
        <w:t>…</w:t>
      </w:r>
      <w:r w:rsidR="003A0A00">
        <w:rPr>
          <w:sz w:val="28"/>
          <w:szCs w:val="28"/>
          <w:lang w:val="uk-UA"/>
        </w:rPr>
        <w:t>1</w:t>
      </w:r>
      <w:r w:rsidR="00210388">
        <w:rPr>
          <w:sz w:val="28"/>
          <w:szCs w:val="28"/>
          <w:lang w:val="uk-UA"/>
        </w:rPr>
        <w:t>5</w:t>
      </w:r>
      <w:r w:rsidR="0063467A">
        <w:rPr>
          <w:sz w:val="28"/>
          <w:szCs w:val="28"/>
          <w:lang w:val="uk-UA"/>
        </w:rPr>
        <w:t>6</w:t>
      </w:r>
    </w:p>
    <w:p w:rsidR="003A0A00" w:rsidRDefault="003A0A00" w:rsidP="003A0A00">
      <w:pPr>
        <w:spacing w:line="360" w:lineRule="auto"/>
        <w:jc w:val="both"/>
        <w:rPr>
          <w:sz w:val="28"/>
          <w:szCs w:val="28"/>
          <w:lang w:val="uk-UA"/>
        </w:rPr>
      </w:pPr>
      <w:r w:rsidRPr="000D3AB9">
        <w:rPr>
          <w:b/>
          <w:sz w:val="28"/>
          <w:szCs w:val="28"/>
          <w:lang w:val="uk-UA"/>
        </w:rPr>
        <w:t>СПИСОК ВИКОРИСТАНИХ ДЖЕРЕЛ</w:t>
      </w:r>
      <w:r w:rsidR="000D3AB9">
        <w:rPr>
          <w:sz w:val="28"/>
          <w:szCs w:val="28"/>
          <w:lang w:val="uk-UA"/>
        </w:rPr>
        <w:t>………………………………</w:t>
      </w:r>
      <w:r w:rsidR="00210388">
        <w:rPr>
          <w:sz w:val="28"/>
          <w:szCs w:val="28"/>
          <w:lang w:val="uk-UA"/>
        </w:rPr>
        <w:t>….</w:t>
      </w:r>
      <w:r>
        <w:rPr>
          <w:sz w:val="28"/>
          <w:szCs w:val="28"/>
          <w:lang w:val="uk-UA"/>
        </w:rPr>
        <w:t>1</w:t>
      </w:r>
      <w:r w:rsidR="00210388">
        <w:rPr>
          <w:sz w:val="28"/>
          <w:szCs w:val="28"/>
          <w:lang w:val="uk-UA"/>
        </w:rPr>
        <w:t>5</w:t>
      </w:r>
      <w:r w:rsidR="0063467A">
        <w:rPr>
          <w:sz w:val="28"/>
          <w:szCs w:val="28"/>
          <w:lang w:val="uk-UA"/>
        </w:rPr>
        <w:t>8</w:t>
      </w:r>
    </w:p>
    <w:p w:rsidR="003A0A00" w:rsidRDefault="003A0A00"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0D3AB9" w:rsidRDefault="000D3AB9" w:rsidP="003A0A00">
      <w:pPr>
        <w:spacing w:line="360" w:lineRule="auto"/>
        <w:rPr>
          <w:b/>
          <w:sz w:val="28"/>
          <w:szCs w:val="28"/>
          <w:lang w:val="uk-UA"/>
        </w:rPr>
      </w:pPr>
    </w:p>
    <w:p w:rsidR="003A0A00" w:rsidRDefault="003A0A00" w:rsidP="003A0A00">
      <w:pPr>
        <w:spacing w:line="360" w:lineRule="auto"/>
        <w:jc w:val="center"/>
        <w:rPr>
          <w:b/>
          <w:sz w:val="28"/>
          <w:szCs w:val="28"/>
          <w:lang w:val="uk-UA"/>
        </w:rPr>
      </w:pPr>
      <w:r w:rsidRPr="00924349">
        <w:rPr>
          <w:b/>
          <w:sz w:val="28"/>
          <w:szCs w:val="28"/>
          <w:lang w:val="uk-UA"/>
        </w:rPr>
        <w:lastRenderedPageBreak/>
        <w:t>ПЕРЕЛІК УМОВНИХ ПОЗНАЧЕНЬ</w:t>
      </w:r>
    </w:p>
    <w:p w:rsidR="003A0A00" w:rsidRDefault="003A0A00" w:rsidP="003A0A00">
      <w:pPr>
        <w:spacing w:after="0" w:line="360" w:lineRule="auto"/>
        <w:jc w:val="both"/>
        <w:rPr>
          <w:sz w:val="28"/>
          <w:szCs w:val="28"/>
          <w:lang w:val="uk-UA"/>
        </w:rPr>
      </w:pPr>
      <w:r w:rsidRPr="00202EC6">
        <w:rPr>
          <w:rFonts w:cstheme="minorHAnsi"/>
          <w:sz w:val="28"/>
          <w:szCs w:val="28"/>
          <w:lang w:val="uk-UA"/>
        </w:rPr>
        <w:t>β</w:t>
      </w:r>
      <w:r w:rsidRPr="00202EC6">
        <w:rPr>
          <w:sz w:val="28"/>
          <w:szCs w:val="28"/>
          <w:lang w:val="uk-UA"/>
        </w:rPr>
        <w:t xml:space="preserve">ЛРС – </w:t>
      </w:r>
      <w:r w:rsidRPr="00202EC6">
        <w:rPr>
          <w:rFonts w:cstheme="minorHAnsi"/>
          <w:sz w:val="28"/>
          <w:szCs w:val="28"/>
          <w:lang w:val="uk-UA"/>
        </w:rPr>
        <w:t>β</w:t>
      </w:r>
      <w:r w:rsidRPr="00202EC6">
        <w:rPr>
          <w:sz w:val="28"/>
          <w:szCs w:val="28"/>
          <w:lang w:val="uk-UA"/>
        </w:rPr>
        <w:t>-лактамази розширеного спектру</w:t>
      </w:r>
    </w:p>
    <w:p w:rsidR="003A0A00" w:rsidRDefault="003A0A00" w:rsidP="003A0A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HbA</w:t>
      </w:r>
      <w:r w:rsidRPr="004051E1">
        <w:rPr>
          <w:rFonts w:ascii="Times New Roman" w:hAnsi="Times New Roman" w:cs="Times New Roman"/>
          <w:sz w:val="28"/>
          <w:szCs w:val="28"/>
          <w:lang w:val="uk-UA"/>
        </w:rPr>
        <w:t>1</w:t>
      </w:r>
      <w:r>
        <w:rPr>
          <w:rFonts w:ascii="Times New Roman" w:hAnsi="Times New Roman" w:cs="Times New Roman"/>
          <w:sz w:val="28"/>
          <w:szCs w:val="28"/>
        </w:rPr>
        <w:t>c</w:t>
      </w:r>
      <w:r>
        <w:rPr>
          <w:rFonts w:ascii="Times New Roman" w:hAnsi="Times New Roman" w:cs="Times New Roman"/>
          <w:sz w:val="28"/>
          <w:szCs w:val="28"/>
          <w:lang w:val="uk-UA"/>
        </w:rPr>
        <w:t xml:space="preserve"> – глікозильований гемоглобін</w:t>
      </w:r>
    </w:p>
    <w:p w:rsidR="003A0A00" w:rsidRPr="00EE20A0" w:rsidRDefault="003A0A00" w:rsidP="003A0A00">
      <w:pPr>
        <w:spacing w:line="360" w:lineRule="auto"/>
        <w:jc w:val="both"/>
        <w:rPr>
          <w:b/>
          <w:sz w:val="28"/>
          <w:szCs w:val="28"/>
          <w:lang w:val="uk-UA"/>
        </w:rPr>
      </w:pPr>
      <w:r w:rsidRPr="002C558C">
        <w:rPr>
          <w:rFonts w:eastAsia="Times New Roman" w:cstheme="minorHAnsi"/>
          <w:color w:val="000000" w:themeColor="text1"/>
          <w:sz w:val="28"/>
          <w:szCs w:val="28"/>
          <w:lang w:val="uk-UA" w:eastAsia="ru-RU"/>
        </w:rPr>
        <w:t>AAC (6 ') - Ib-cr</w:t>
      </w:r>
      <w:r>
        <w:rPr>
          <w:rFonts w:eastAsia="Times New Roman" w:cstheme="minorHAnsi"/>
          <w:color w:val="000000" w:themeColor="text1"/>
          <w:sz w:val="28"/>
          <w:szCs w:val="28"/>
          <w:lang w:val="uk-UA" w:eastAsia="ru-RU"/>
        </w:rPr>
        <w:t xml:space="preserve"> –</w:t>
      </w:r>
      <w:r w:rsidRPr="002C558C">
        <w:rPr>
          <w:rFonts w:eastAsia="Times New Roman" w:cstheme="minorHAnsi"/>
          <w:color w:val="000000" w:themeColor="text1"/>
          <w:sz w:val="28"/>
          <w:szCs w:val="28"/>
          <w:lang w:val="uk-UA" w:eastAsia="ru-RU"/>
        </w:rPr>
        <w:t xml:space="preserve"> аміноглікозид-ацетилтрансфераза </w:t>
      </w:r>
    </w:p>
    <w:p w:rsidR="003A0A00" w:rsidRPr="00202EC6" w:rsidRDefault="003A0A00" w:rsidP="003A0A00">
      <w:pPr>
        <w:spacing w:after="0" w:line="360" w:lineRule="auto"/>
        <w:jc w:val="both"/>
        <w:rPr>
          <w:sz w:val="28"/>
          <w:szCs w:val="28"/>
          <w:lang w:val="uk-UA"/>
        </w:rPr>
      </w:pPr>
      <w:r w:rsidRPr="00202EC6">
        <w:rPr>
          <w:sz w:val="28"/>
          <w:szCs w:val="28"/>
          <w:lang w:val="uk-UA"/>
        </w:rPr>
        <w:t>АБП – антибактеріальний препарат</w:t>
      </w:r>
    </w:p>
    <w:p w:rsidR="003A0A00" w:rsidRPr="00202EC6" w:rsidRDefault="003A0A00" w:rsidP="003A0A00">
      <w:pPr>
        <w:spacing w:after="0" w:line="360" w:lineRule="auto"/>
        <w:jc w:val="both"/>
        <w:rPr>
          <w:sz w:val="28"/>
          <w:szCs w:val="28"/>
          <w:lang w:val="uk-UA"/>
        </w:rPr>
      </w:pPr>
      <w:r w:rsidRPr="00202EC6">
        <w:rPr>
          <w:sz w:val="28"/>
          <w:szCs w:val="28"/>
          <w:lang w:val="uk-UA"/>
        </w:rPr>
        <w:t>АБТ – антибіотико-терапія</w:t>
      </w:r>
    </w:p>
    <w:p w:rsidR="003A0A00" w:rsidRPr="00202EC6" w:rsidRDefault="003A0A00" w:rsidP="003A0A00">
      <w:pPr>
        <w:pStyle w:val="a3"/>
        <w:spacing w:line="360" w:lineRule="auto"/>
        <w:rPr>
          <w:sz w:val="28"/>
          <w:szCs w:val="28"/>
          <w:lang w:val="uk-UA"/>
        </w:rPr>
      </w:pPr>
      <w:r w:rsidRPr="00202EC6">
        <w:rPr>
          <w:sz w:val="28"/>
          <w:szCs w:val="28"/>
          <w:lang w:val="uk-UA"/>
        </w:rPr>
        <w:t>АГ – артеріальна гіпертензія</w:t>
      </w:r>
    </w:p>
    <w:p w:rsidR="003A0A00" w:rsidRPr="00202EC6" w:rsidRDefault="003A0A00" w:rsidP="003A0A00">
      <w:pPr>
        <w:pStyle w:val="a3"/>
        <w:spacing w:line="360" w:lineRule="auto"/>
        <w:rPr>
          <w:sz w:val="28"/>
          <w:szCs w:val="28"/>
          <w:lang w:val="uk-UA"/>
        </w:rPr>
      </w:pPr>
      <w:r w:rsidRPr="00202EC6">
        <w:rPr>
          <w:sz w:val="28"/>
          <w:szCs w:val="28"/>
          <w:lang w:val="uk-UA"/>
        </w:rPr>
        <w:t>ДАД – діастолічний артеріальний тиск</w:t>
      </w:r>
    </w:p>
    <w:p w:rsidR="003A0A00" w:rsidRDefault="003A0A00" w:rsidP="003A0A00">
      <w:pPr>
        <w:pStyle w:val="a3"/>
        <w:spacing w:line="360" w:lineRule="auto"/>
        <w:rPr>
          <w:rFonts w:ascii="Times New Roman" w:hAnsi="Times New Roman" w:cs="Times New Roman"/>
          <w:color w:val="000000" w:themeColor="text1"/>
          <w:sz w:val="28"/>
          <w:szCs w:val="28"/>
          <w:lang w:val="uk-UA"/>
        </w:rPr>
      </w:pPr>
      <w:r w:rsidRPr="00202EC6">
        <w:rPr>
          <w:rFonts w:ascii="Times New Roman" w:hAnsi="Times New Roman" w:cs="Times New Roman"/>
          <w:color w:val="000000" w:themeColor="text1"/>
          <w:sz w:val="28"/>
          <w:szCs w:val="28"/>
          <w:lang w:val="uk-UA"/>
        </w:rPr>
        <w:t>ІСС – інфекції сечової системи</w:t>
      </w:r>
    </w:p>
    <w:p w:rsidR="003A0A00" w:rsidRPr="00202EC6" w:rsidRDefault="003A0A00" w:rsidP="003A0A00">
      <w:pPr>
        <w:pStyle w:val="a3"/>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ІЛ-6 – інтерлейкін 6</w:t>
      </w:r>
    </w:p>
    <w:p w:rsidR="003A0A00" w:rsidRPr="00202EC6" w:rsidRDefault="003A0A00" w:rsidP="003A0A00">
      <w:pPr>
        <w:pStyle w:val="a3"/>
        <w:spacing w:line="360" w:lineRule="auto"/>
        <w:rPr>
          <w:rFonts w:ascii="Times New Roman" w:hAnsi="Times New Roman" w:cs="Times New Roman"/>
          <w:color w:val="000000" w:themeColor="text1"/>
          <w:sz w:val="28"/>
          <w:szCs w:val="28"/>
          <w:lang w:val="uk-UA"/>
        </w:rPr>
      </w:pPr>
      <w:r w:rsidRPr="00202EC6">
        <w:rPr>
          <w:rFonts w:ascii="Times New Roman" w:hAnsi="Times New Roman" w:cs="Times New Roman"/>
          <w:color w:val="000000" w:themeColor="text1"/>
          <w:sz w:val="28"/>
          <w:szCs w:val="28"/>
          <w:lang w:val="uk-UA"/>
        </w:rPr>
        <w:t>МІК – мінімальна інгібуюча концентрація</w:t>
      </w:r>
    </w:p>
    <w:p w:rsidR="003A0A00" w:rsidRPr="00202EC6" w:rsidRDefault="003A0A00" w:rsidP="003A0A00">
      <w:pPr>
        <w:pStyle w:val="a3"/>
        <w:spacing w:line="360" w:lineRule="auto"/>
        <w:rPr>
          <w:sz w:val="28"/>
          <w:szCs w:val="28"/>
          <w:lang w:val="uk-UA"/>
        </w:rPr>
      </w:pPr>
      <w:r w:rsidRPr="00202EC6">
        <w:rPr>
          <w:sz w:val="28"/>
          <w:szCs w:val="28"/>
          <w:lang w:val="uk-UA"/>
        </w:rPr>
        <w:t xml:space="preserve">МЛС – </w:t>
      </w:r>
      <w:r>
        <w:rPr>
          <w:sz w:val="28"/>
          <w:szCs w:val="28"/>
          <w:lang w:val="uk-UA"/>
        </w:rPr>
        <w:t>миск</w:t>
      </w:r>
      <w:r w:rsidRPr="00202EC6">
        <w:rPr>
          <w:sz w:val="28"/>
          <w:szCs w:val="28"/>
          <w:lang w:val="uk-UA"/>
        </w:rPr>
        <w:t>о</w:t>
      </w:r>
      <w:r>
        <w:rPr>
          <w:sz w:val="28"/>
          <w:szCs w:val="28"/>
          <w:lang w:val="uk-UA"/>
        </w:rPr>
        <w:t>во</w:t>
      </w:r>
      <w:r w:rsidRPr="00202EC6">
        <w:rPr>
          <w:sz w:val="28"/>
          <w:szCs w:val="28"/>
          <w:lang w:val="uk-UA"/>
        </w:rPr>
        <w:t xml:space="preserve"> - лоханочна система</w:t>
      </w:r>
    </w:p>
    <w:p w:rsidR="003A0A00" w:rsidRDefault="003A0A00" w:rsidP="003A0A00">
      <w:pPr>
        <w:pStyle w:val="a3"/>
        <w:spacing w:line="360" w:lineRule="auto"/>
        <w:rPr>
          <w:rFonts w:ascii="Times New Roman" w:hAnsi="Times New Roman" w:cs="Times New Roman"/>
          <w:color w:val="000000" w:themeColor="text1"/>
          <w:sz w:val="28"/>
          <w:szCs w:val="28"/>
          <w:lang w:val="uk-UA"/>
        </w:rPr>
      </w:pPr>
      <w:r w:rsidRPr="00202EC6">
        <w:rPr>
          <w:rFonts w:ascii="Times New Roman" w:hAnsi="Times New Roman" w:cs="Times New Roman"/>
          <w:color w:val="000000" w:themeColor="text1"/>
          <w:sz w:val="28"/>
          <w:szCs w:val="28"/>
          <w:lang w:val="uk-UA"/>
        </w:rPr>
        <w:t>НЗТ – ниркова замісна терапія</w:t>
      </w:r>
    </w:p>
    <w:p w:rsidR="003A0A00" w:rsidRPr="00202EC6" w:rsidRDefault="003A0A00" w:rsidP="003A0A00">
      <w:pPr>
        <w:pStyle w:val="a3"/>
        <w:spacing w:line="360" w:lineRule="auto"/>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ПЛР – полімеразна ланцюжкова реакція</w:t>
      </w:r>
    </w:p>
    <w:p w:rsidR="003A0A00" w:rsidRDefault="003A0A00" w:rsidP="003A0A00">
      <w:pPr>
        <w:pStyle w:val="a3"/>
        <w:spacing w:line="360" w:lineRule="auto"/>
        <w:rPr>
          <w:sz w:val="28"/>
          <w:szCs w:val="28"/>
          <w:lang w:val="uk-UA"/>
        </w:rPr>
      </w:pPr>
      <w:r w:rsidRPr="00202EC6">
        <w:rPr>
          <w:sz w:val="28"/>
          <w:szCs w:val="28"/>
          <w:lang w:val="uk-UA"/>
        </w:rPr>
        <w:t>САД – систолічний артеріальний тиск</w:t>
      </w:r>
    </w:p>
    <w:p w:rsidR="003A0A00" w:rsidRPr="00202EC6" w:rsidRDefault="003A0A00" w:rsidP="003A0A00">
      <w:pPr>
        <w:pStyle w:val="a3"/>
        <w:spacing w:line="360" w:lineRule="auto"/>
        <w:rPr>
          <w:sz w:val="28"/>
          <w:szCs w:val="28"/>
          <w:lang w:val="uk-UA"/>
        </w:rPr>
      </w:pPr>
      <w:r>
        <w:rPr>
          <w:sz w:val="28"/>
          <w:szCs w:val="28"/>
          <w:lang w:val="uk-UA"/>
        </w:rPr>
        <w:t>СРБ – С-реактивний білок</w:t>
      </w:r>
    </w:p>
    <w:p w:rsidR="003A0A00" w:rsidRPr="00202EC6" w:rsidRDefault="003A0A00" w:rsidP="003A0A00">
      <w:pPr>
        <w:pStyle w:val="a3"/>
        <w:spacing w:line="360" w:lineRule="auto"/>
        <w:rPr>
          <w:sz w:val="28"/>
          <w:szCs w:val="28"/>
          <w:lang w:val="uk-UA"/>
        </w:rPr>
      </w:pPr>
      <w:r w:rsidRPr="00202EC6">
        <w:rPr>
          <w:sz w:val="28"/>
          <w:szCs w:val="28"/>
          <w:lang w:val="uk-UA"/>
        </w:rPr>
        <w:t>ХНН – хронічна ниркова недостатність</w:t>
      </w:r>
    </w:p>
    <w:p w:rsidR="003A0A00" w:rsidRPr="00202EC6" w:rsidRDefault="003A0A00" w:rsidP="003A0A00">
      <w:pPr>
        <w:pStyle w:val="a3"/>
        <w:spacing w:line="360" w:lineRule="auto"/>
        <w:rPr>
          <w:sz w:val="28"/>
          <w:szCs w:val="28"/>
          <w:lang w:val="uk-UA"/>
        </w:rPr>
      </w:pPr>
      <w:r w:rsidRPr="00202EC6">
        <w:rPr>
          <w:sz w:val="28"/>
          <w:szCs w:val="28"/>
          <w:lang w:val="uk-UA"/>
        </w:rPr>
        <w:t>ХП – хронічний піелонефрит</w:t>
      </w:r>
    </w:p>
    <w:p w:rsidR="003A0A00" w:rsidRPr="00202EC6" w:rsidRDefault="003A0A00" w:rsidP="003A0A00">
      <w:pPr>
        <w:pStyle w:val="a3"/>
        <w:spacing w:line="360" w:lineRule="auto"/>
        <w:rPr>
          <w:sz w:val="28"/>
          <w:szCs w:val="28"/>
          <w:lang w:val="uk-UA"/>
        </w:rPr>
      </w:pPr>
      <w:r w:rsidRPr="00202EC6">
        <w:rPr>
          <w:sz w:val="28"/>
          <w:szCs w:val="28"/>
          <w:lang w:val="uk-UA"/>
        </w:rPr>
        <w:t>ХХН – хронічна хвороба нирок</w:t>
      </w:r>
    </w:p>
    <w:p w:rsidR="003A0A00" w:rsidRPr="00202EC6" w:rsidRDefault="003A0A00" w:rsidP="003A0A00">
      <w:pPr>
        <w:pStyle w:val="a3"/>
        <w:spacing w:line="360" w:lineRule="auto"/>
        <w:rPr>
          <w:sz w:val="28"/>
          <w:szCs w:val="28"/>
          <w:lang w:val="uk-UA"/>
        </w:rPr>
      </w:pPr>
      <w:r w:rsidRPr="00202EC6">
        <w:rPr>
          <w:sz w:val="28"/>
          <w:szCs w:val="28"/>
          <w:lang w:val="uk-UA"/>
        </w:rPr>
        <w:t>ЦД – цукровий діабет</w:t>
      </w:r>
    </w:p>
    <w:p w:rsidR="003A0A00" w:rsidRDefault="003A0A00" w:rsidP="003A0A00">
      <w:pPr>
        <w:jc w:val="both"/>
        <w:rPr>
          <w:sz w:val="28"/>
          <w:szCs w:val="28"/>
          <w:lang w:val="uk-UA"/>
        </w:rPr>
      </w:pPr>
      <w:r w:rsidRPr="00202EC6">
        <w:rPr>
          <w:sz w:val="28"/>
          <w:szCs w:val="28"/>
          <w:lang w:val="uk-UA"/>
        </w:rPr>
        <w:t>ШКФ – швидкість клубочкової фільтрації</w:t>
      </w: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CE6207">
      <w:pPr>
        <w:spacing w:line="360" w:lineRule="auto"/>
        <w:jc w:val="center"/>
        <w:rPr>
          <w:b/>
          <w:sz w:val="28"/>
          <w:szCs w:val="28"/>
          <w:lang w:val="uk-UA"/>
        </w:rPr>
      </w:pPr>
      <w:r w:rsidRPr="007C6BA7">
        <w:rPr>
          <w:b/>
          <w:sz w:val="28"/>
          <w:szCs w:val="28"/>
          <w:lang w:val="uk-UA"/>
        </w:rPr>
        <w:lastRenderedPageBreak/>
        <w:t>ВСТУП</w:t>
      </w:r>
    </w:p>
    <w:p w:rsidR="00CE6207" w:rsidRPr="00007941" w:rsidRDefault="00CE6207" w:rsidP="00CE6207">
      <w:pPr>
        <w:spacing w:after="0" w:line="360" w:lineRule="auto"/>
        <w:ind w:firstLine="709"/>
        <w:jc w:val="both"/>
        <w:rPr>
          <w:rFonts w:cstheme="minorHAnsi"/>
          <w:spacing w:val="1"/>
          <w:sz w:val="28"/>
          <w:szCs w:val="28"/>
          <w:lang w:val="uk-UA"/>
        </w:rPr>
      </w:pPr>
      <w:r w:rsidRPr="007C6BA7">
        <w:rPr>
          <w:b/>
          <w:sz w:val="28"/>
          <w:szCs w:val="28"/>
          <w:lang w:val="uk-UA"/>
        </w:rPr>
        <w:t>Актуальність теми.</w:t>
      </w:r>
      <w:r>
        <w:rPr>
          <w:b/>
          <w:sz w:val="28"/>
          <w:szCs w:val="28"/>
          <w:lang w:val="uk-UA"/>
        </w:rPr>
        <w:t xml:space="preserve"> </w:t>
      </w:r>
      <w:r>
        <w:rPr>
          <w:sz w:val="28"/>
          <w:szCs w:val="28"/>
          <w:lang w:val="uk-UA"/>
        </w:rPr>
        <w:t>Інфекції сечової системи</w:t>
      </w:r>
      <w:r w:rsidRPr="005E1A55">
        <w:rPr>
          <w:sz w:val="28"/>
          <w:szCs w:val="28"/>
          <w:lang w:val="uk-UA"/>
        </w:rPr>
        <w:t xml:space="preserve"> </w:t>
      </w:r>
      <w:r>
        <w:rPr>
          <w:sz w:val="28"/>
          <w:szCs w:val="28"/>
          <w:lang w:val="uk-UA"/>
        </w:rPr>
        <w:t xml:space="preserve">(ІСС) </w:t>
      </w:r>
      <w:r w:rsidRPr="005E1A55">
        <w:rPr>
          <w:sz w:val="28"/>
          <w:szCs w:val="28"/>
          <w:lang w:val="uk-UA"/>
        </w:rPr>
        <w:t xml:space="preserve">є </w:t>
      </w:r>
      <w:r>
        <w:rPr>
          <w:sz w:val="28"/>
          <w:szCs w:val="28"/>
          <w:lang w:val="uk-UA"/>
        </w:rPr>
        <w:t xml:space="preserve">найбільш поширеною групою інфекційних захворювань у всьому світі </w:t>
      </w:r>
      <w:r>
        <w:rPr>
          <w:rFonts w:cstheme="minorHAnsi"/>
          <w:sz w:val="28"/>
          <w:szCs w:val="28"/>
          <w:lang w:val="uk-UA"/>
        </w:rPr>
        <w:t>[</w:t>
      </w:r>
      <w:r w:rsidRPr="00210408">
        <w:rPr>
          <w:rFonts w:cstheme="minorHAnsi"/>
          <w:color w:val="000000"/>
          <w:sz w:val="28"/>
          <w:szCs w:val="28"/>
          <w:lang w:val="uk-UA"/>
        </w:rPr>
        <w:t>40, 86]</w:t>
      </w:r>
      <w:r>
        <w:rPr>
          <w:rFonts w:cstheme="minorHAnsi"/>
          <w:sz w:val="28"/>
          <w:szCs w:val="28"/>
          <w:lang w:val="uk-UA"/>
        </w:rPr>
        <w:t>.</w:t>
      </w:r>
      <w:r>
        <w:rPr>
          <w:sz w:val="28"/>
          <w:szCs w:val="28"/>
          <w:lang w:val="uk-UA"/>
        </w:rPr>
        <w:t xml:space="preserve"> В Україні щорічно збільшується поширеність ІСС, переважно за рахунок хронічного пієлонефриту (ХП), оскільки на його долю в структурі вказаної групи хвороб припадає більше 90% випадків </w:t>
      </w:r>
      <w:r w:rsidRPr="004B47A2">
        <w:rPr>
          <w:rFonts w:cstheme="minorHAnsi"/>
          <w:spacing w:val="1"/>
          <w:sz w:val="28"/>
          <w:szCs w:val="28"/>
          <w:lang w:val="uk-UA"/>
        </w:rPr>
        <w:t>[</w:t>
      </w:r>
      <w:r>
        <w:rPr>
          <w:spacing w:val="1"/>
          <w:sz w:val="28"/>
          <w:szCs w:val="28"/>
          <w:lang w:val="uk-UA"/>
        </w:rPr>
        <w:t>3</w:t>
      </w:r>
      <w:r>
        <w:rPr>
          <w:rFonts w:cstheme="minorHAnsi"/>
          <w:spacing w:val="1"/>
          <w:sz w:val="28"/>
          <w:szCs w:val="28"/>
          <w:lang w:val="uk-UA"/>
        </w:rPr>
        <w:t xml:space="preserve">]. Більш того, ХП </w:t>
      </w:r>
      <w:r>
        <w:rPr>
          <w:rFonts w:cstheme="minorHAnsi"/>
          <w:color w:val="000000" w:themeColor="text1"/>
          <w:sz w:val="28"/>
          <w:szCs w:val="28"/>
          <w:lang w:val="uk-UA"/>
        </w:rPr>
        <w:t xml:space="preserve">в структурі причин ХХН V ст., за даними офіційного реєстру хворих з ХХН в Україні за 2012 рік, займає провідну позицію [8]. На тлі цукрового діабету, ХП діагностується практично у кожного четвертого хворого, що </w:t>
      </w:r>
      <w:r w:rsidRPr="003714DF">
        <w:rPr>
          <w:rFonts w:cstheme="minorHAnsi"/>
          <w:color w:val="000000" w:themeColor="text1"/>
          <w:sz w:val="28"/>
          <w:szCs w:val="28"/>
          <w:lang w:val="uk-UA"/>
        </w:rPr>
        <w:t>у 2-3 рази частіше, ніж в загальній популяції</w:t>
      </w:r>
      <w:r>
        <w:rPr>
          <w:rFonts w:cstheme="minorHAnsi"/>
          <w:color w:val="000000" w:themeColor="text1"/>
          <w:sz w:val="28"/>
          <w:szCs w:val="28"/>
          <w:lang w:val="uk-UA"/>
        </w:rPr>
        <w:t xml:space="preserve"> </w:t>
      </w:r>
      <w:r w:rsidRPr="003714DF">
        <w:rPr>
          <w:rFonts w:cstheme="minorHAnsi"/>
          <w:color w:val="000000" w:themeColor="text1"/>
          <w:sz w:val="28"/>
          <w:szCs w:val="28"/>
          <w:lang w:val="uk-UA"/>
        </w:rPr>
        <w:t>[</w:t>
      </w:r>
      <w:r>
        <w:rPr>
          <w:rFonts w:ascii="Times New Roman" w:hAnsi="Times New Roman" w:cs="Times New Roman"/>
          <w:color w:val="000000" w:themeColor="text1"/>
          <w:sz w:val="28"/>
          <w:szCs w:val="28"/>
          <w:lang w:val="uk-UA"/>
        </w:rPr>
        <w:t>7, 9</w:t>
      </w:r>
      <w:r w:rsidRPr="003714D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Pr>
          <w:rFonts w:cstheme="minorHAnsi"/>
          <w:spacing w:val="1"/>
          <w:sz w:val="28"/>
          <w:szCs w:val="28"/>
          <w:lang w:val="uk-UA"/>
        </w:rPr>
        <w:t xml:space="preserve">Крім того, </w:t>
      </w:r>
      <w:r>
        <w:rPr>
          <w:rFonts w:cstheme="minorHAnsi"/>
          <w:color w:val="000000" w:themeColor="text1"/>
          <w:sz w:val="28"/>
          <w:szCs w:val="28"/>
          <w:lang w:val="uk-UA"/>
        </w:rPr>
        <w:t>у</w:t>
      </w:r>
      <w:r w:rsidRPr="00007941">
        <w:rPr>
          <w:rFonts w:cstheme="minorHAnsi"/>
          <w:color w:val="000000" w:themeColor="text1"/>
          <w:sz w:val="28"/>
          <w:szCs w:val="28"/>
          <w:lang w:val="uk-UA"/>
        </w:rPr>
        <w:t xml:space="preserve"> пацієнтів із цукровим діабетом, ХП, в більшості випадків, протікає безсимптомно, що може призвести до серйозного пошкодження нирок з розвитком ниркової недостатності. Атипові та резистентні ІСС також частіше зустрічаються у пацієнтів </w:t>
      </w:r>
      <w:r>
        <w:rPr>
          <w:rFonts w:cstheme="minorHAnsi"/>
          <w:color w:val="000000" w:themeColor="text1"/>
          <w:sz w:val="28"/>
          <w:szCs w:val="28"/>
          <w:lang w:val="uk-UA"/>
        </w:rPr>
        <w:t>і</w:t>
      </w:r>
      <w:r w:rsidRPr="00007941">
        <w:rPr>
          <w:rFonts w:cstheme="minorHAnsi"/>
          <w:color w:val="000000" w:themeColor="text1"/>
          <w:sz w:val="28"/>
          <w:szCs w:val="28"/>
          <w:lang w:val="uk-UA"/>
        </w:rPr>
        <w:t>з ЦД [</w:t>
      </w:r>
      <w:r w:rsidRPr="00210408">
        <w:rPr>
          <w:rFonts w:cstheme="minorHAnsi"/>
          <w:sz w:val="28"/>
          <w:szCs w:val="28"/>
          <w:lang w:val="uk-UA"/>
        </w:rPr>
        <w:t>17, 109</w:t>
      </w:r>
      <w:r w:rsidRPr="00007941">
        <w:rPr>
          <w:rFonts w:cstheme="minorHAnsi"/>
          <w:sz w:val="28"/>
          <w:szCs w:val="28"/>
          <w:lang w:val="uk-UA"/>
        </w:rPr>
        <w:t>].</w:t>
      </w:r>
      <w:r w:rsidRPr="00007941">
        <w:rPr>
          <w:rFonts w:cstheme="minorHAnsi"/>
          <w:spacing w:val="1"/>
          <w:sz w:val="28"/>
          <w:szCs w:val="28"/>
          <w:lang w:val="uk-UA"/>
        </w:rPr>
        <w:t xml:space="preserve"> </w:t>
      </w:r>
      <w:r w:rsidRPr="0006327E">
        <w:rPr>
          <w:rFonts w:cstheme="minorHAnsi"/>
          <w:color w:val="000000"/>
          <w:sz w:val="28"/>
          <w:szCs w:val="28"/>
          <w:shd w:val="clear" w:color="auto" w:fill="FFFFFF"/>
          <w:lang w:val="uk-UA"/>
        </w:rPr>
        <w:t xml:space="preserve">Тому </w:t>
      </w:r>
      <w:r w:rsidRPr="000F1D03">
        <w:rPr>
          <w:rFonts w:cstheme="minorHAnsi"/>
          <w:color w:val="000000"/>
          <w:sz w:val="28"/>
          <w:szCs w:val="28"/>
          <w:shd w:val="clear" w:color="auto" w:fill="FFFFFF"/>
          <w:lang w:val="uk-UA"/>
        </w:rPr>
        <w:t>якісна</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діагностика</w:t>
      </w:r>
      <w:r w:rsidRPr="0006327E">
        <w:rPr>
          <w:rFonts w:cstheme="minorHAnsi"/>
          <w:color w:val="000000"/>
          <w:sz w:val="28"/>
          <w:szCs w:val="28"/>
          <w:shd w:val="clear" w:color="auto" w:fill="FFFFFF"/>
          <w:lang w:val="uk-UA"/>
        </w:rPr>
        <w:t xml:space="preserve"> та </w:t>
      </w:r>
      <w:r w:rsidRPr="000F1D03">
        <w:rPr>
          <w:rFonts w:cstheme="minorHAnsi"/>
          <w:color w:val="000000"/>
          <w:sz w:val="28"/>
          <w:szCs w:val="28"/>
          <w:shd w:val="clear" w:color="auto" w:fill="FFFFFF"/>
          <w:lang w:val="uk-UA"/>
        </w:rPr>
        <w:t>лікування</w:t>
      </w:r>
      <w:r w:rsidRPr="0006327E">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ХП, особливо на тлі ЦД,</w:t>
      </w:r>
      <w:r w:rsidRPr="0006327E">
        <w:rPr>
          <w:rFonts w:cstheme="minorHAnsi"/>
          <w:color w:val="000000"/>
          <w:sz w:val="28"/>
          <w:szCs w:val="28"/>
          <w:shd w:val="clear" w:color="auto" w:fill="FFFFFF"/>
          <w:lang w:val="uk-UA"/>
        </w:rPr>
        <w:t xml:space="preserve"> є </w:t>
      </w:r>
      <w:r w:rsidRPr="000F1D03">
        <w:rPr>
          <w:rFonts w:cstheme="minorHAnsi"/>
          <w:color w:val="000000"/>
          <w:sz w:val="28"/>
          <w:szCs w:val="28"/>
          <w:shd w:val="clear" w:color="auto" w:fill="FFFFFF"/>
          <w:lang w:val="uk-UA"/>
        </w:rPr>
        <w:t>актуальним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завданням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сучасної</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медичної</w:t>
      </w:r>
      <w:r w:rsidRPr="0006327E">
        <w:rPr>
          <w:rFonts w:cstheme="minorHAnsi"/>
          <w:color w:val="000000"/>
          <w:sz w:val="28"/>
          <w:szCs w:val="28"/>
          <w:shd w:val="clear" w:color="auto" w:fill="FFFFFF"/>
          <w:lang w:val="uk-UA"/>
        </w:rPr>
        <w:t xml:space="preserve"> практики.</w:t>
      </w:r>
    </w:p>
    <w:p w:rsidR="00CE6207" w:rsidRDefault="00CE6207" w:rsidP="00CE6207">
      <w:pPr>
        <w:spacing w:after="0" w:line="360" w:lineRule="auto"/>
        <w:ind w:firstLine="709"/>
        <w:jc w:val="both"/>
        <w:rPr>
          <w:rFonts w:cstheme="minorHAnsi"/>
          <w:color w:val="000000" w:themeColor="text1"/>
          <w:sz w:val="28"/>
          <w:szCs w:val="28"/>
          <w:lang w:val="uk-UA"/>
        </w:rPr>
      </w:pPr>
      <w:r>
        <w:rPr>
          <w:rFonts w:cstheme="minorHAnsi"/>
          <w:color w:val="000000" w:themeColor="text1"/>
          <w:sz w:val="28"/>
          <w:szCs w:val="28"/>
          <w:shd w:val="clear" w:color="auto" w:fill="FFFFFF"/>
          <w:lang w:val="uk-UA"/>
        </w:rPr>
        <w:t>Ефективність лікування ХП значною мірою лімітується формуванням стійкості до АБП [4</w:t>
      </w:r>
      <w:r w:rsidRPr="009D1F3C">
        <w:rPr>
          <w:rFonts w:cstheme="minorHAnsi"/>
          <w:color w:val="000000" w:themeColor="text1"/>
          <w:sz w:val="28"/>
          <w:szCs w:val="28"/>
          <w:shd w:val="clear" w:color="auto" w:fill="FFFFFF"/>
          <w:lang w:val="uk-UA"/>
        </w:rPr>
        <w:t>].</w:t>
      </w:r>
      <w:r>
        <w:rPr>
          <w:rFonts w:cstheme="minorHAnsi"/>
          <w:color w:val="000000" w:themeColor="text1"/>
          <w:sz w:val="28"/>
          <w:szCs w:val="28"/>
          <w:shd w:val="clear" w:color="auto" w:fill="FFFFFF"/>
          <w:lang w:val="uk-UA"/>
        </w:rPr>
        <w:t xml:space="preserve"> Резистентність до АБП збільшує захворюваність, смертність та витрати на лікування </w:t>
      </w:r>
      <w:r w:rsidRPr="00DD3398">
        <w:rPr>
          <w:rFonts w:cstheme="minorHAnsi"/>
          <w:sz w:val="28"/>
          <w:szCs w:val="28"/>
          <w:lang w:val="uk-UA"/>
        </w:rPr>
        <w:t>[</w:t>
      </w:r>
      <w:r>
        <w:rPr>
          <w:rFonts w:eastAsia="Times New Roman" w:cstheme="minorHAnsi"/>
          <w:sz w:val="28"/>
          <w:szCs w:val="28"/>
          <w:lang w:eastAsia="ru-RU"/>
        </w:rPr>
        <w:t>48, 49</w:t>
      </w:r>
      <w:r w:rsidRPr="00210408">
        <w:rPr>
          <w:rFonts w:cstheme="minorHAnsi"/>
          <w:color w:val="000000" w:themeColor="text1"/>
          <w:sz w:val="28"/>
          <w:szCs w:val="28"/>
        </w:rPr>
        <w:t>]</w:t>
      </w:r>
      <w:r>
        <w:rPr>
          <w:rFonts w:cstheme="minorHAnsi"/>
          <w:color w:val="000000" w:themeColor="text1"/>
          <w:sz w:val="28"/>
          <w:szCs w:val="28"/>
          <w:shd w:val="clear" w:color="auto" w:fill="FFFFFF"/>
          <w:lang w:val="uk-UA"/>
        </w:rPr>
        <w:t xml:space="preserve">. Проте, </w:t>
      </w:r>
      <w:r>
        <w:rPr>
          <w:rFonts w:eastAsia="Times New Roman" w:cstheme="minorHAnsi"/>
          <w:bCs/>
          <w:color w:val="000000" w:themeColor="text1"/>
          <w:sz w:val="28"/>
          <w:szCs w:val="28"/>
          <w:lang w:val="uk-UA" w:eastAsia="ru-RU"/>
        </w:rPr>
        <w:t>н</w:t>
      </w:r>
      <w:r w:rsidRPr="0034696C">
        <w:rPr>
          <w:rFonts w:eastAsia="Times New Roman" w:cstheme="minorHAnsi"/>
          <w:bCs/>
          <w:color w:val="000000" w:themeColor="text1"/>
          <w:sz w:val="28"/>
          <w:szCs w:val="28"/>
          <w:lang w:val="uk-UA" w:eastAsia="ru-RU"/>
        </w:rPr>
        <w:t xml:space="preserve">езважаючи на серйозність проблеми </w:t>
      </w:r>
      <w:r>
        <w:rPr>
          <w:rFonts w:eastAsia="Times New Roman" w:cstheme="minorHAnsi"/>
          <w:bCs/>
          <w:color w:val="000000" w:themeColor="text1"/>
          <w:sz w:val="28"/>
          <w:szCs w:val="28"/>
          <w:lang w:val="uk-UA" w:eastAsia="ru-RU"/>
        </w:rPr>
        <w:t>антибіотико-резистентності, і величезної</w:t>
      </w:r>
      <w:r w:rsidRPr="0034696C">
        <w:rPr>
          <w:rFonts w:eastAsia="Times New Roman" w:cstheme="minorHAnsi"/>
          <w:bCs/>
          <w:color w:val="000000" w:themeColor="text1"/>
          <w:sz w:val="28"/>
          <w:szCs w:val="28"/>
          <w:lang w:val="uk-UA" w:eastAsia="ru-RU"/>
        </w:rPr>
        <w:t xml:space="preserve"> кількості досліджень, проведених в цьому напрямку, маловивченою залишається резистентність, </w:t>
      </w:r>
      <w:r>
        <w:rPr>
          <w:rFonts w:eastAsia="Times New Roman" w:cstheme="minorHAnsi"/>
          <w:bCs/>
          <w:color w:val="000000" w:themeColor="text1"/>
          <w:sz w:val="28"/>
          <w:szCs w:val="28"/>
          <w:lang w:val="uk-UA" w:eastAsia="ru-RU"/>
        </w:rPr>
        <w:t xml:space="preserve">що </w:t>
      </w:r>
      <w:r w:rsidRPr="0034696C">
        <w:rPr>
          <w:rFonts w:eastAsia="Times New Roman" w:cstheme="minorHAnsi"/>
          <w:bCs/>
          <w:color w:val="000000" w:themeColor="text1"/>
          <w:sz w:val="28"/>
          <w:szCs w:val="28"/>
          <w:lang w:val="uk-UA" w:eastAsia="ru-RU"/>
        </w:rPr>
        <w:t>пов'язана з перенесенням генів</w:t>
      </w:r>
      <w:r>
        <w:rPr>
          <w:rFonts w:eastAsia="Times New Roman" w:cstheme="minorHAnsi"/>
          <w:bCs/>
          <w:color w:val="000000" w:themeColor="text1"/>
          <w:sz w:val="28"/>
          <w:szCs w:val="28"/>
          <w:lang w:val="uk-UA" w:eastAsia="ru-RU"/>
        </w:rPr>
        <w:t xml:space="preserve"> </w:t>
      </w:r>
      <w:r w:rsidRPr="0034696C">
        <w:rPr>
          <w:rFonts w:eastAsia="Times New Roman" w:cstheme="minorHAnsi"/>
          <w:bCs/>
          <w:color w:val="000000" w:themeColor="text1"/>
          <w:sz w:val="28"/>
          <w:szCs w:val="28"/>
          <w:lang w:val="uk-UA" w:eastAsia="ru-RU"/>
        </w:rPr>
        <w:t xml:space="preserve"> стійкості </w:t>
      </w:r>
      <w:r>
        <w:rPr>
          <w:rFonts w:eastAsia="Times New Roman" w:cstheme="minorHAnsi"/>
          <w:bCs/>
          <w:color w:val="000000" w:themeColor="text1"/>
          <w:sz w:val="28"/>
          <w:szCs w:val="28"/>
          <w:lang w:val="uk-UA" w:eastAsia="ru-RU"/>
        </w:rPr>
        <w:t>між бактеріями мобільними ДНК - плазмідами</w:t>
      </w:r>
      <w:r w:rsidRPr="0034696C">
        <w:rPr>
          <w:rFonts w:eastAsia="Times New Roman" w:cstheme="minorHAnsi"/>
          <w:bCs/>
          <w:color w:val="000000" w:themeColor="text1"/>
          <w:sz w:val="28"/>
          <w:szCs w:val="28"/>
          <w:lang w:val="uk-UA" w:eastAsia="ru-RU"/>
        </w:rPr>
        <w:t>.</w:t>
      </w:r>
      <w:r>
        <w:rPr>
          <w:rFonts w:eastAsia="Times New Roman" w:cstheme="minorHAnsi"/>
          <w:bCs/>
          <w:color w:val="000000" w:themeColor="text1"/>
          <w:sz w:val="28"/>
          <w:szCs w:val="28"/>
          <w:lang w:val="uk-UA" w:eastAsia="ru-RU"/>
        </w:rPr>
        <w:t xml:space="preserve"> За даними </w:t>
      </w:r>
      <w:r w:rsidRPr="001B7F2F">
        <w:rPr>
          <w:sz w:val="28"/>
          <w:szCs w:val="28"/>
          <w:lang w:val="uk-UA"/>
        </w:rPr>
        <w:t>EARS-Net</w:t>
      </w:r>
      <w:r>
        <w:rPr>
          <w:sz w:val="28"/>
          <w:szCs w:val="28"/>
          <w:lang w:val="uk-UA"/>
        </w:rPr>
        <w:t>,</w:t>
      </w:r>
      <w:r w:rsidRPr="0034696C">
        <w:rPr>
          <w:rFonts w:cstheme="minorHAnsi"/>
          <w:color w:val="000000" w:themeColor="text1"/>
          <w:sz w:val="28"/>
          <w:szCs w:val="28"/>
          <w:lang w:val="uk-UA"/>
        </w:rPr>
        <w:t xml:space="preserve"> </w:t>
      </w:r>
      <w:r w:rsidRPr="00641A94">
        <w:rPr>
          <w:rFonts w:cstheme="minorHAnsi"/>
          <w:sz w:val="28"/>
          <w:szCs w:val="28"/>
          <w:lang w:val="uk-UA"/>
        </w:rPr>
        <w:t>в більшості європейських країн</w:t>
      </w:r>
      <w:r>
        <w:rPr>
          <w:rFonts w:cstheme="minorHAnsi"/>
          <w:sz w:val="28"/>
          <w:szCs w:val="28"/>
          <w:lang w:val="uk-UA"/>
        </w:rPr>
        <w:t>,</w:t>
      </w:r>
      <w:r w:rsidRPr="00641A94">
        <w:rPr>
          <w:rFonts w:cstheme="minorHAnsi"/>
          <w:sz w:val="28"/>
          <w:szCs w:val="28"/>
          <w:lang w:val="uk-UA"/>
        </w:rPr>
        <w:t xml:space="preserve"> </w:t>
      </w:r>
      <w:r w:rsidRPr="008E0FD9">
        <w:rPr>
          <w:rFonts w:cstheme="minorHAnsi"/>
          <w:sz w:val="28"/>
          <w:szCs w:val="28"/>
          <w:lang w:val="uk-UA"/>
        </w:rPr>
        <w:t>внаслідок швидкого поширення генів резистентності за допомогою плазмід</w:t>
      </w:r>
      <w:r>
        <w:rPr>
          <w:rFonts w:cstheme="minorHAnsi"/>
          <w:sz w:val="28"/>
          <w:szCs w:val="28"/>
          <w:lang w:val="uk-UA"/>
        </w:rPr>
        <w:t>,</w:t>
      </w:r>
      <w:r w:rsidRPr="00641A94">
        <w:rPr>
          <w:rFonts w:cstheme="minorHAnsi"/>
          <w:sz w:val="28"/>
          <w:szCs w:val="28"/>
          <w:lang w:val="uk-UA"/>
        </w:rPr>
        <w:t xml:space="preserve"> кількіс</w:t>
      </w:r>
      <w:r>
        <w:rPr>
          <w:rFonts w:cstheme="minorHAnsi"/>
          <w:sz w:val="28"/>
          <w:szCs w:val="28"/>
          <w:lang w:val="uk-UA"/>
        </w:rPr>
        <w:t>ть штамів Escherichia coli</w:t>
      </w:r>
      <w:r w:rsidRPr="00641A94">
        <w:rPr>
          <w:rFonts w:cstheme="minorHAnsi"/>
          <w:sz w:val="28"/>
          <w:szCs w:val="28"/>
          <w:lang w:val="uk-UA"/>
        </w:rPr>
        <w:t xml:space="preserve"> зі зниженою </w:t>
      </w:r>
      <w:r>
        <w:rPr>
          <w:rFonts w:cstheme="minorHAnsi"/>
          <w:sz w:val="28"/>
          <w:szCs w:val="28"/>
          <w:lang w:val="uk-UA"/>
        </w:rPr>
        <w:t>чутливістю до фторхінолонів, 3-ї</w:t>
      </w:r>
      <w:r w:rsidRPr="00641A94">
        <w:rPr>
          <w:rFonts w:cstheme="minorHAnsi"/>
          <w:sz w:val="28"/>
          <w:szCs w:val="28"/>
          <w:lang w:val="uk-UA"/>
        </w:rPr>
        <w:t xml:space="preserve"> генерації це</w:t>
      </w:r>
      <w:r>
        <w:rPr>
          <w:rFonts w:cstheme="minorHAnsi"/>
          <w:sz w:val="28"/>
          <w:szCs w:val="28"/>
          <w:lang w:val="uk-UA"/>
        </w:rPr>
        <w:t xml:space="preserve">фалоспоринів та аміноглікозидів, </w:t>
      </w:r>
      <w:r w:rsidRPr="00641A94">
        <w:rPr>
          <w:rFonts w:cstheme="minorHAnsi"/>
          <w:sz w:val="28"/>
          <w:szCs w:val="28"/>
          <w:lang w:val="uk-UA"/>
        </w:rPr>
        <w:t>щороку збільшується</w:t>
      </w:r>
      <w:r w:rsidRPr="008E0FD9">
        <w:rPr>
          <w:rFonts w:cstheme="minorHAnsi"/>
          <w:bCs/>
          <w:iCs/>
          <w:sz w:val="28"/>
          <w:szCs w:val="28"/>
          <w:lang w:val="uk-UA"/>
        </w:rPr>
        <w:t xml:space="preserve"> [</w:t>
      </w:r>
      <w:r w:rsidRPr="00210408">
        <w:rPr>
          <w:rFonts w:cstheme="minorHAnsi"/>
          <w:bCs/>
          <w:iCs/>
          <w:sz w:val="28"/>
          <w:szCs w:val="28"/>
          <w:lang w:val="uk-UA"/>
        </w:rPr>
        <w:t>38</w:t>
      </w:r>
      <w:r w:rsidRPr="001B7F2F">
        <w:rPr>
          <w:sz w:val="28"/>
          <w:szCs w:val="28"/>
          <w:lang w:val="uk-UA"/>
        </w:rPr>
        <w:t>].</w:t>
      </w:r>
      <w:r>
        <w:rPr>
          <w:sz w:val="28"/>
          <w:szCs w:val="28"/>
          <w:lang w:val="uk-UA"/>
        </w:rPr>
        <w:t xml:space="preserve"> </w:t>
      </w:r>
      <w:r>
        <w:rPr>
          <w:rFonts w:cstheme="minorHAnsi"/>
          <w:color w:val="000000" w:themeColor="text1"/>
          <w:sz w:val="28"/>
          <w:szCs w:val="28"/>
          <w:lang w:val="uk-UA"/>
        </w:rPr>
        <w:t>Ці мобільні плазміди</w:t>
      </w:r>
      <w:r w:rsidRPr="0034696C">
        <w:rPr>
          <w:rFonts w:cstheme="minorHAnsi"/>
          <w:color w:val="000000" w:themeColor="text1"/>
          <w:sz w:val="28"/>
          <w:szCs w:val="28"/>
          <w:lang w:val="uk-UA"/>
        </w:rPr>
        <w:t xml:space="preserve"> являють собою дрібні генетичні елементи у вигляді </w:t>
      </w:r>
      <w:r>
        <w:rPr>
          <w:rFonts w:cstheme="minorHAnsi"/>
          <w:color w:val="000000" w:themeColor="text1"/>
          <w:sz w:val="28"/>
          <w:szCs w:val="28"/>
          <w:lang w:val="uk-UA"/>
        </w:rPr>
        <w:t>зв’язаних</w:t>
      </w:r>
      <w:r w:rsidRPr="0034696C">
        <w:rPr>
          <w:rFonts w:cstheme="minorHAnsi"/>
          <w:color w:val="000000" w:themeColor="text1"/>
          <w:sz w:val="28"/>
          <w:szCs w:val="28"/>
          <w:lang w:val="uk-UA"/>
        </w:rPr>
        <w:t xml:space="preserve"> у кільце ниток ДНК, здатні переносити від одного до декількох генів резистентності не тільки серед бактерій одного виду, але і мікробів різних видів</w:t>
      </w:r>
      <w:r>
        <w:rPr>
          <w:rFonts w:cstheme="minorHAnsi"/>
          <w:color w:val="000000" w:themeColor="text1"/>
          <w:sz w:val="28"/>
          <w:szCs w:val="28"/>
          <w:lang w:val="uk-UA"/>
        </w:rPr>
        <w:t xml:space="preserve"> </w:t>
      </w:r>
      <w:r w:rsidRPr="00210408">
        <w:rPr>
          <w:rFonts w:cstheme="minorHAnsi"/>
          <w:color w:val="000000" w:themeColor="text1"/>
          <w:sz w:val="28"/>
          <w:szCs w:val="28"/>
          <w:lang w:val="uk-UA"/>
        </w:rPr>
        <w:t>[</w:t>
      </w:r>
      <w:r w:rsidRPr="00210408">
        <w:rPr>
          <w:rFonts w:eastAsia="Times New Roman" w:cstheme="minorHAnsi"/>
          <w:color w:val="000000" w:themeColor="text1"/>
          <w:sz w:val="28"/>
          <w:szCs w:val="28"/>
          <w:bdr w:val="none" w:sz="0" w:space="0" w:color="auto" w:frame="1"/>
          <w:lang w:val="uk-UA" w:eastAsia="ru-RU"/>
        </w:rPr>
        <w:t>27</w:t>
      </w:r>
      <w:r w:rsidRPr="003714DF">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w:t>
      </w:r>
      <w:r>
        <w:rPr>
          <w:rFonts w:cstheme="minorHAnsi"/>
          <w:color w:val="000000" w:themeColor="text1"/>
          <w:sz w:val="28"/>
          <w:szCs w:val="28"/>
          <w:shd w:val="clear" w:color="auto" w:fill="FFFFFF"/>
          <w:lang w:val="uk-UA"/>
        </w:rPr>
        <w:t xml:space="preserve"> </w:t>
      </w:r>
      <w:r w:rsidRPr="000B18AC">
        <w:rPr>
          <w:rFonts w:cstheme="minorHAnsi"/>
          <w:color w:val="000000" w:themeColor="text1"/>
          <w:sz w:val="28"/>
          <w:szCs w:val="28"/>
          <w:lang w:val="uk-UA"/>
        </w:rPr>
        <w:t>Тому, дослідження експресії плазмід-</w:t>
      </w:r>
      <w:r w:rsidRPr="000B18AC">
        <w:rPr>
          <w:rFonts w:cstheme="minorHAnsi"/>
          <w:color w:val="000000" w:themeColor="text1"/>
          <w:sz w:val="28"/>
          <w:szCs w:val="28"/>
          <w:lang w:val="uk-UA"/>
        </w:rPr>
        <w:lastRenderedPageBreak/>
        <w:t xml:space="preserve">індукованих генів резистентності серед уропатогенів є актуальним і перспективним напрямом, який дозволить поглибити розуміння механізмів формування резистентності </w:t>
      </w:r>
      <w:r>
        <w:rPr>
          <w:rFonts w:cstheme="minorHAnsi"/>
          <w:color w:val="000000" w:themeColor="text1"/>
          <w:sz w:val="28"/>
          <w:szCs w:val="28"/>
          <w:lang w:val="uk-UA"/>
        </w:rPr>
        <w:t>й</w:t>
      </w:r>
      <w:r w:rsidRPr="000B18AC">
        <w:rPr>
          <w:rFonts w:cstheme="minorHAnsi"/>
          <w:color w:val="000000" w:themeColor="text1"/>
          <w:sz w:val="28"/>
          <w:szCs w:val="28"/>
          <w:lang w:val="uk-UA"/>
        </w:rPr>
        <w:t xml:space="preserve"> підійти з нової позиції до підвищення ефективності антибактеріальної терапії.</w:t>
      </w:r>
    </w:p>
    <w:p w:rsidR="00CE6207" w:rsidRDefault="00CE6207" w:rsidP="00CE6207">
      <w:pPr>
        <w:spacing w:after="0" w:line="360" w:lineRule="auto"/>
        <w:ind w:firstLine="709"/>
        <w:jc w:val="both"/>
        <w:rPr>
          <w:rFonts w:ascii="Times New Roman" w:hAnsi="Times New Roman" w:cs="Times New Roman"/>
          <w:color w:val="FF0000"/>
          <w:sz w:val="28"/>
          <w:szCs w:val="28"/>
          <w:lang w:val="uk-UA"/>
        </w:rPr>
      </w:pPr>
      <w:r w:rsidRPr="00CC32C9">
        <w:rPr>
          <w:rFonts w:ascii="Times New Roman" w:hAnsi="Times New Roman" w:cs="Times New Roman"/>
          <w:b/>
          <w:sz w:val="28"/>
          <w:szCs w:val="28"/>
          <w:lang w:val="uk-UA"/>
        </w:rPr>
        <w:t>Зв’язок роботи з науковими програмами, планами, темами.</w:t>
      </w:r>
      <w:r>
        <w:rPr>
          <w:rFonts w:ascii="Times New Roman" w:hAnsi="Times New Roman" w:cs="Times New Roman"/>
          <w:sz w:val="28"/>
          <w:szCs w:val="28"/>
          <w:lang w:val="uk-UA"/>
        </w:rPr>
        <w:t xml:space="preserve"> </w:t>
      </w:r>
      <w:r w:rsidRPr="008D6F4B">
        <w:rPr>
          <w:rFonts w:ascii="Times New Roman" w:hAnsi="Times New Roman" w:cs="Times New Roman"/>
          <w:sz w:val="28"/>
          <w:szCs w:val="28"/>
          <w:lang w:val="uk-UA"/>
        </w:rPr>
        <w:t>Тема</w:t>
      </w:r>
      <w:r>
        <w:rPr>
          <w:rFonts w:ascii="Times New Roman" w:hAnsi="Times New Roman" w:cs="Times New Roman"/>
          <w:sz w:val="28"/>
          <w:szCs w:val="28"/>
          <w:lang w:val="uk-UA"/>
        </w:rPr>
        <w:t xml:space="preserve"> дисертаційної роботи</w:t>
      </w:r>
      <w:r w:rsidRPr="00CC32C9">
        <w:rPr>
          <w:rFonts w:ascii="Times New Roman" w:hAnsi="Times New Roman" w:cs="Times New Roman"/>
          <w:sz w:val="28"/>
          <w:szCs w:val="28"/>
          <w:lang w:val="uk-UA"/>
        </w:rPr>
        <w:t xml:space="preserve"> затверджена Проблемною комісією </w:t>
      </w:r>
      <w:r w:rsidRPr="009F40C8">
        <w:rPr>
          <w:rFonts w:ascii="Times New Roman" w:hAnsi="Times New Roman" w:cs="Times New Roman"/>
          <w:sz w:val="28"/>
          <w:szCs w:val="28"/>
          <w:lang w:val="uk-UA"/>
        </w:rPr>
        <w:t xml:space="preserve">«Терапія» МОЗ та </w:t>
      </w:r>
      <w:r>
        <w:rPr>
          <w:rFonts w:ascii="Times New Roman" w:hAnsi="Times New Roman" w:cs="Times New Roman"/>
          <w:sz w:val="28"/>
          <w:szCs w:val="28"/>
          <w:lang w:val="uk-UA"/>
        </w:rPr>
        <w:t>Н</w:t>
      </w:r>
      <w:r w:rsidRPr="009F40C8">
        <w:rPr>
          <w:rFonts w:ascii="Times New Roman" w:hAnsi="Times New Roman" w:cs="Times New Roman"/>
          <w:sz w:val="28"/>
          <w:szCs w:val="28"/>
          <w:lang w:val="uk-UA"/>
        </w:rPr>
        <w:t>АМН України (протокол засідання №</w:t>
      </w:r>
      <w:r>
        <w:rPr>
          <w:rFonts w:ascii="Times New Roman" w:hAnsi="Times New Roman" w:cs="Times New Roman"/>
          <w:sz w:val="28"/>
          <w:szCs w:val="28"/>
          <w:lang w:val="uk-UA"/>
        </w:rPr>
        <w:t>8</w:t>
      </w:r>
      <w:r w:rsidRPr="009F40C8">
        <w:rPr>
          <w:rFonts w:ascii="Times New Roman" w:hAnsi="Times New Roman" w:cs="Times New Roman"/>
          <w:sz w:val="28"/>
          <w:szCs w:val="28"/>
          <w:lang w:val="uk-UA"/>
        </w:rPr>
        <w:t xml:space="preserve"> від 2</w:t>
      </w:r>
      <w:r>
        <w:rPr>
          <w:rFonts w:ascii="Times New Roman" w:hAnsi="Times New Roman" w:cs="Times New Roman"/>
          <w:sz w:val="28"/>
          <w:szCs w:val="28"/>
          <w:lang w:val="uk-UA"/>
        </w:rPr>
        <w:t>8.02.2013</w:t>
      </w:r>
      <w:r w:rsidRPr="009F40C8">
        <w:rPr>
          <w:rFonts w:ascii="Times New Roman" w:hAnsi="Times New Roman" w:cs="Times New Roman"/>
          <w:sz w:val="28"/>
          <w:szCs w:val="28"/>
          <w:lang w:val="uk-UA"/>
        </w:rPr>
        <w:t xml:space="preserve"> р.)</w:t>
      </w:r>
      <w:r w:rsidRPr="00CC32C9">
        <w:rPr>
          <w:rFonts w:ascii="Times New Roman" w:hAnsi="Times New Roman" w:cs="Times New Roman"/>
          <w:sz w:val="28"/>
          <w:szCs w:val="28"/>
          <w:lang w:val="uk-UA"/>
        </w:rPr>
        <w:t xml:space="preserve"> і є фрагментом </w:t>
      </w:r>
      <w:r w:rsidRPr="00F438E8">
        <w:rPr>
          <w:rFonts w:ascii="Times New Roman" w:hAnsi="Times New Roman" w:cs="Times New Roman"/>
          <w:sz w:val="28"/>
          <w:szCs w:val="28"/>
          <w:lang w:val="uk-UA"/>
        </w:rPr>
        <w:t xml:space="preserve">науково-дослідної роботи </w:t>
      </w:r>
      <w:r>
        <w:rPr>
          <w:rFonts w:ascii="Times New Roman" w:hAnsi="Times New Roman" w:cs="Times New Roman"/>
          <w:sz w:val="28"/>
          <w:szCs w:val="28"/>
          <w:lang w:val="uk-UA"/>
        </w:rPr>
        <w:t>Харківської медичної академії післядипломної освіти №0115</w:t>
      </w:r>
      <w:r>
        <w:rPr>
          <w:rFonts w:ascii="Times New Roman" w:hAnsi="Times New Roman" w:cs="Times New Roman"/>
          <w:sz w:val="28"/>
          <w:szCs w:val="28"/>
          <w:lang w:val="en-US"/>
        </w:rPr>
        <w:t>U</w:t>
      </w:r>
      <w:r>
        <w:rPr>
          <w:rFonts w:ascii="Times New Roman" w:hAnsi="Times New Roman" w:cs="Times New Roman"/>
          <w:sz w:val="28"/>
          <w:szCs w:val="28"/>
          <w:lang w:val="uk-UA"/>
        </w:rPr>
        <w:t>001231.</w:t>
      </w:r>
      <w:r>
        <w:rPr>
          <w:rFonts w:ascii="Times New Roman" w:hAnsi="Times New Roman" w:cs="Times New Roman"/>
          <w:color w:val="FF0000"/>
          <w:sz w:val="28"/>
          <w:szCs w:val="28"/>
          <w:lang w:val="uk-UA"/>
        </w:rPr>
        <w:tab/>
      </w:r>
    </w:p>
    <w:p w:rsidR="00CE6207" w:rsidRPr="00754EA3" w:rsidRDefault="00CE6207" w:rsidP="00CE6207">
      <w:pPr>
        <w:spacing w:after="0" w:line="360" w:lineRule="auto"/>
        <w:ind w:firstLine="709"/>
        <w:jc w:val="both"/>
        <w:rPr>
          <w:rFonts w:cstheme="minorHAnsi"/>
          <w:color w:val="FF0000"/>
          <w:sz w:val="28"/>
          <w:szCs w:val="28"/>
          <w:shd w:val="clear" w:color="auto" w:fill="FFFFFF"/>
          <w:lang w:val="uk-UA"/>
        </w:rPr>
      </w:pPr>
      <w:r w:rsidRPr="00CC32C9">
        <w:rPr>
          <w:rFonts w:ascii="Times New Roman" w:hAnsi="Times New Roman" w:cs="Times New Roman"/>
          <w:b/>
          <w:color w:val="000000"/>
          <w:sz w:val="28"/>
          <w:szCs w:val="28"/>
          <w:lang w:val="uk-UA"/>
        </w:rPr>
        <w:t>Мета дослідження.</w:t>
      </w:r>
      <w:r>
        <w:rPr>
          <w:rFonts w:ascii="Times New Roman" w:hAnsi="Times New Roman" w:cs="Times New Roman"/>
          <w:b/>
          <w:color w:val="000000"/>
          <w:sz w:val="28"/>
          <w:szCs w:val="28"/>
          <w:lang w:val="uk-UA"/>
        </w:rPr>
        <w:t xml:space="preserve"> </w:t>
      </w:r>
      <w:r w:rsidRPr="005E68C7">
        <w:rPr>
          <w:rFonts w:cstheme="minorHAnsi"/>
          <w:color w:val="000000" w:themeColor="text1"/>
          <w:sz w:val="28"/>
          <w:szCs w:val="28"/>
          <w:lang w:val="uk-UA"/>
        </w:rPr>
        <w:t>Підвищ</w:t>
      </w:r>
      <w:r>
        <w:rPr>
          <w:rFonts w:cstheme="minorHAnsi"/>
          <w:color w:val="000000" w:themeColor="text1"/>
          <w:sz w:val="28"/>
          <w:szCs w:val="28"/>
          <w:lang w:val="uk-UA"/>
        </w:rPr>
        <w:t>ення</w:t>
      </w:r>
      <w:r w:rsidRPr="005E68C7">
        <w:rPr>
          <w:rFonts w:cstheme="minorHAnsi"/>
          <w:color w:val="000000" w:themeColor="text1"/>
          <w:sz w:val="28"/>
          <w:szCs w:val="28"/>
          <w:lang w:val="uk-UA"/>
        </w:rPr>
        <w:t xml:space="preserve"> ефективн</w:t>
      </w:r>
      <w:r>
        <w:rPr>
          <w:rFonts w:cstheme="minorHAnsi"/>
          <w:color w:val="000000" w:themeColor="text1"/>
          <w:sz w:val="28"/>
          <w:szCs w:val="28"/>
          <w:lang w:val="uk-UA"/>
        </w:rPr>
        <w:t>ості</w:t>
      </w:r>
      <w:r w:rsidRPr="005E68C7">
        <w:rPr>
          <w:rFonts w:cstheme="minorHAnsi"/>
          <w:color w:val="000000" w:themeColor="text1"/>
          <w:sz w:val="28"/>
          <w:szCs w:val="28"/>
          <w:lang w:val="uk-UA"/>
        </w:rPr>
        <w:t xml:space="preserve"> терапії хворих на хронічний пієлонефрит із супутнім цукровим діабетом 2 типу, на підставі вивчення та розробки ме</w:t>
      </w:r>
      <w:r>
        <w:rPr>
          <w:rFonts w:cstheme="minorHAnsi"/>
          <w:color w:val="000000" w:themeColor="text1"/>
          <w:sz w:val="28"/>
          <w:szCs w:val="28"/>
          <w:lang w:val="uk-UA"/>
        </w:rPr>
        <w:t>тод</w:t>
      </w:r>
      <w:r w:rsidRPr="005E68C7">
        <w:rPr>
          <w:rFonts w:cstheme="minorHAnsi"/>
          <w:color w:val="000000" w:themeColor="text1"/>
          <w:sz w:val="28"/>
          <w:szCs w:val="28"/>
          <w:lang w:val="uk-UA"/>
        </w:rPr>
        <w:t>ів подолання генних механізмів антибіотико-резистентності індукованих плазмідами.</w:t>
      </w:r>
    </w:p>
    <w:p w:rsidR="00CE6207" w:rsidRDefault="00CE6207" w:rsidP="00CE6207">
      <w:pPr>
        <w:spacing w:after="0" w:line="360" w:lineRule="auto"/>
        <w:ind w:firstLine="709"/>
        <w:jc w:val="both"/>
        <w:rPr>
          <w:rFonts w:cstheme="minorHAnsi"/>
          <w:color w:val="000000" w:themeColor="text1"/>
          <w:sz w:val="28"/>
          <w:szCs w:val="28"/>
          <w:lang w:val="uk-UA"/>
        </w:rPr>
      </w:pPr>
      <w:r w:rsidRPr="00CC32C9">
        <w:rPr>
          <w:rFonts w:ascii="Times New Roman" w:hAnsi="Times New Roman" w:cs="Times New Roman"/>
          <w:b/>
          <w:color w:val="000000"/>
          <w:sz w:val="28"/>
          <w:szCs w:val="28"/>
          <w:lang w:val="uk-UA"/>
        </w:rPr>
        <w:t>Завдання дослідження:</w:t>
      </w:r>
    </w:p>
    <w:p w:rsidR="00CE6207" w:rsidRPr="007008D1" w:rsidRDefault="00CE6207" w:rsidP="00CE620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 xml:space="preserve">Вивчити наявність плазмід-індукованих механізмів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CE6207" w:rsidRPr="007008D1" w:rsidRDefault="00CE6207" w:rsidP="00CE6207">
      <w:pPr>
        <w:pStyle w:val="ab"/>
        <w:numPr>
          <w:ilvl w:val="0"/>
          <w:numId w:val="1"/>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Визначити основні фактори, що можуть бути пов’язані з наявністю </w:t>
      </w:r>
      <w:r w:rsidRPr="007008D1">
        <w:rPr>
          <w:rFonts w:ascii="Times New Roman" w:hAnsi="Times New Roman"/>
          <w:color w:val="000000" w:themeColor="text1"/>
          <w:sz w:val="28"/>
          <w:szCs w:val="28"/>
          <w:lang w:val="uk-UA"/>
        </w:rPr>
        <w:t xml:space="preserve">плазмід-індукованих механізмів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CE6207" w:rsidRPr="007008D1" w:rsidRDefault="00CE6207" w:rsidP="00CE620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 xml:space="preserve">Встановити взаємозв'язок резистентності in vitro до </w:t>
      </w:r>
      <w:r>
        <w:rPr>
          <w:rFonts w:ascii="Times New Roman" w:hAnsi="Times New Roman"/>
          <w:color w:val="000000" w:themeColor="text1"/>
          <w:sz w:val="28"/>
          <w:szCs w:val="28"/>
          <w:lang w:val="uk-UA"/>
        </w:rPr>
        <w:t>антибактеріальних препаратів</w:t>
      </w:r>
      <w:r w:rsidRPr="007008D1">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і</w:t>
      </w:r>
      <w:r w:rsidRPr="007008D1">
        <w:rPr>
          <w:rFonts w:ascii="Times New Roman" w:hAnsi="Times New Roman"/>
          <w:color w:val="000000" w:themeColor="text1"/>
          <w:sz w:val="28"/>
          <w:szCs w:val="28"/>
          <w:lang w:val="uk-UA"/>
        </w:rPr>
        <w:t xml:space="preserve">з </w:t>
      </w:r>
      <w:r>
        <w:rPr>
          <w:rFonts w:ascii="Times New Roman" w:hAnsi="Times New Roman"/>
          <w:color w:val="000000" w:themeColor="text1"/>
          <w:sz w:val="28"/>
          <w:szCs w:val="28"/>
          <w:lang w:val="uk-UA"/>
        </w:rPr>
        <w:t>присутні</w:t>
      </w:r>
      <w:r w:rsidRPr="007008D1">
        <w:rPr>
          <w:rFonts w:ascii="Times New Roman" w:hAnsi="Times New Roman"/>
          <w:color w:val="000000" w:themeColor="text1"/>
          <w:sz w:val="28"/>
          <w:szCs w:val="28"/>
          <w:lang w:val="uk-UA"/>
        </w:rPr>
        <w:t xml:space="preserve">стю індукованих плазмідами генів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CE6207" w:rsidRPr="005E6730" w:rsidRDefault="00CE6207" w:rsidP="00CE620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Вивчити вплив плазмід-індукованих</w:t>
      </w:r>
      <w:r>
        <w:rPr>
          <w:rFonts w:ascii="Times New Roman" w:hAnsi="Times New Roman"/>
          <w:color w:val="000000" w:themeColor="text1"/>
          <w:sz w:val="28"/>
          <w:szCs w:val="28"/>
          <w:lang w:val="uk-UA"/>
        </w:rPr>
        <w:t xml:space="preserve"> механізмів резистентності</w:t>
      </w:r>
      <w:r w:rsidRPr="007008D1">
        <w:rPr>
          <w:rFonts w:ascii="Times New Roman" w:hAnsi="Times New Roman"/>
          <w:color w:val="000000" w:themeColor="text1"/>
          <w:sz w:val="28"/>
          <w:szCs w:val="28"/>
          <w:lang w:val="uk-UA"/>
        </w:rPr>
        <w:t xml:space="preserve"> на клінічну </w:t>
      </w:r>
      <w:r>
        <w:rPr>
          <w:rFonts w:ascii="Times New Roman" w:hAnsi="Times New Roman"/>
          <w:color w:val="000000" w:themeColor="text1"/>
          <w:sz w:val="28"/>
          <w:szCs w:val="28"/>
          <w:lang w:val="uk-UA"/>
        </w:rPr>
        <w:t xml:space="preserve">та бактеріологічну </w:t>
      </w:r>
      <w:r w:rsidRPr="007008D1">
        <w:rPr>
          <w:rFonts w:ascii="Times New Roman" w:hAnsi="Times New Roman"/>
          <w:color w:val="000000" w:themeColor="text1"/>
          <w:sz w:val="28"/>
          <w:szCs w:val="28"/>
          <w:lang w:val="uk-UA"/>
        </w:rPr>
        <w:t>ефективність</w:t>
      </w:r>
      <w:r>
        <w:rPr>
          <w:rFonts w:ascii="Times New Roman" w:hAnsi="Times New Roman"/>
          <w:color w:val="000000" w:themeColor="text1"/>
          <w:sz w:val="28"/>
          <w:szCs w:val="28"/>
          <w:lang w:val="uk-UA"/>
        </w:rPr>
        <w:t xml:space="preserve"> антибіотико-терапії</w:t>
      </w:r>
      <w:r w:rsidRPr="007008D1">
        <w:rPr>
          <w:rFonts w:ascii="Times New Roman" w:hAnsi="Times New Roman"/>
          <w:color w:val="000000" w:themeColor="text1"/>
          <w:sz w:val="28"/>
          <w:szCs w:val="28"/>
          <w:lang w:val="uk-UA"/>
        </w:rPr>
        <w:t xml:space="preserve">  хворих 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 </w:t>
      </w:r>
    </w:p>
    <w:p w:rsidR="00CE6207" w:rsidRPr="007008D1" w:rsidRDefault="00CE6207" w:rsidP="00CE620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eastAsia="Times New Roman" w:hAnsi="Times New Roman"/>
          <w:bCs/>
          <w:color w:val="000000"/>
          <w:kern w:val="36"/>
          <w:sz w:val="28"/>
          <w:szCs w:val="28"/>
          <w:lang w:val="uk-UA" w:eastAsia="ru-RU"/>
        </w:rPr>
        <w:t xml:space="preserve">Визначити взаємозв’язок плазмід-індукованих механізмів антибіотико-резистентності з показниками неспецифічних запальних реакцій </w:t>
      </w:r>
      <w:r>
        <w:rPr>
          <w:rFonts w:ascii="Times New Roman" w:eastAsia="Times New Roman" w:hAnsi="Times New Roman"/>
          <w:bCs/>
          <w:color w:val="000000"/>
          <w:kern w:val="36"/>
          <w:sz w:val="28"/>
          <w:szCs w:val="28"/>
          <w:lang w:val="uk-UA" w:eastAsia="ru-RU"/>
        </w:rPr>
        <w:t>(</w:t>
      </w:r>
      <w:r>
        <w:rPr>
          <w:rFonts w:ascii="Times New Roman" w:eastAsia="Times New Roman" w:hAnsi="Times New Roman"/>
          <w:bCs/>
          <w:color w:val="000000"/>
          <w:kern w:val="36"/>
          <w:sz w:val="28"/>
          <w:szCs w:val="28"/>
          <w:lang w:val="en-US" w:eastAsia="ru-RU"/>
        </w:rPr>
        <w:t>IgA</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lastRenderedPageBreak/>
        <w:t>IgM</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Ig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uk-UA" w:eastAsia="ru-RU"/>
        </w:rPr>
        <w:t xml:space="preserve">та інтерлейкіну 6) </w:t>
      </w:r>
      <w:r w:rsidRPr="007008D1">
        <w:rPr>
          <w:rFonts w:ascii="Times New Roman" w:eastAsia="Times New Roman" w:hAnsi="Times New Roman"/>
          <w:bCs/>
          <w:color w:val="000000"/>
          <w:kern w:val="36"/>
          <w:sz w:val="28"/>
          <w:szCs w:val="28"/>
          <w:lang w:val="uk-UA" w:eastAsia="ru-RU"/>
        </w:rPr>
        <w:t xml:space="preserve">у хворих </w:t>
      </w:r>
      <w:r w:rsidRPr="007008D1">
        <w:rPr>
          <w:rFonts w:ascii="Times New Roman" w:hAnsi="Times New Roman"/>
          <w:color w:val="000000" w:themeColor="text1"/>
          <w:sz w:val="28"/>
          <w:szCs w:val="28"/>
          <w:lang w:val="uk-UA"/>
        </w:rPr>
        <w:t xml:space="preserve">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CE6207" w:rsidRPr="008D6F4B" w:rsidRDefault="00CE6207" w:rsidP="00CE6207">
      <w:pPr>
        <w:pStyle w:val="ab"/>
        <w:numPr>
          <w:ilvl w:val="0"/>
          <w:numId w:val="1"/>
        </w:numPr>
        <w:spacing w:line="360" w:lineRule="auto"/>
        <w:jc w:val="both"/>
        <w:rPr>
          <w:rFonts w:cstheme="minorHAnsi"/>
          <w:color w:val="000000" w:themeColor="text1"/>
          <w:sz w:val="28"/>
          <w:szCs w:val="28"/>
          <w:lang w:val="uk-UA"/>
        </w:rPr>
      </w:pPr>
      <w:r w:rsidRPr="007008D1">
        <w:rPr>
          <w:rFonts w:ascii="Times New Roman" w:hAnsi="Times New Roman"/>
          <w:color w:val="000000" w:themeColor="text1"/>
          <w:sz w:val="28"/>
          <w:szCs w:val="28"/>
          <w:lang w:val="uk-UA"/>
        </w:rPr>
        <w:t xml:space="preserve">Оптимізувати методи диференційованого призначення антибіотико-терапії в залежності від наявності індукованих плазмідами механізмів антибіотико-резистентності, у хворих 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r>
        <w:rPr>
          <w:rFonts w:ascii="Times New Roman" w:hAnsi="Times New Roman"/>
          <w:color w:val="000000" w:themeColor="text1"/>
          <w:sz w:val="28"/>
          <w:szCs w:val="28"/>
          <w:lang w:val="uk-UA"/>
        </w:rPr>
        <w:t>.</w:t>
      </w:r>
    </w:p>
    <w:p w:rsidR="00CE6207" w:rsidRPr="00754EA3" w:rsidRDefault="00CE6207" w:rsidP="00CE6207">
      <w:pPr>
        <w:spacing w:after="0" w:line="360" w:lineRule="auto"/>
        <w:ind w:firstLine="709"/>
        <w:jc w:val="both"/>
        <w:rPr>
          <w:rFonts w:ascii="Times New Roman" w:hAnsi="Times New Roman"/>
          <w:bCs/>
          <w:color w:val="FF0000"/>
          <w:sz w:val="28"/>
          <w:szCs w:val="28"/>
          <w:lang w:val="uk-UA"/>
        </w:rPr>
      </w:pPr>
      <w:r w:rsidRPr="00C26E1F">
        <w:rPr>
          <w:rFonts w:ascii="Times New Roman" w:hAnsi="Times New Roman"/>
          <w:b/>
          <w:bCs/>
          <w:noProof/>
          <w:sz w:val="28"/>
          <w:szCs w:val="28"/>
          <w:lang w:val="uk-UA"/>
        </w:rPr>
        <w:t>Об</w:t>
      </w:r>
      <w:r w:rsidRPr="00C26E1F">
        <w:rPr>
          <w:rFonts w:ascii="Times New Roman" w:hAnsi="Times New Roman"/>
          <w:b/>
          <w:bCs/>
          <w:sz w:val="28"/>
          <w:szCs w:val="28"/>
          <w:lang w:val="uk-UA"/>
        </w:rPr>
        <w:t>’єкт дослідження:</w:t>
      </w:r>
      <w:r>
        <w:rPr>
          <w:rFonts w:ascii="Times New Roman" w:hAnsi="Times New Roman"/>
          <w:b/>
          <w:bCs/>
          <w:sz w:val="28"/>
          <w:szCs w:val="28"/>
          <w:lang w:val="uk-UA"/>
        </w:rPr>
        <w:t xml:space="preserve"> </w:t>
      </w:r>
      <w:r>
        <w:rPr>
          <w:rFonts w:ascii="Times New Roman" w:hAnsi="Times New Roman"/>
          <w:bCs/>
          <w:sz w:val="28"/>
          <w:szCs w:val="28"/>
          <w:lang w:val="uk-UA"/>
        </w:rPr>
        <w:t>хронічний пієлонефрит і</w:t>
      </w:r>
      <w:r w:rsidRPr="00231240">
        <w:rPr>
          <w:rFonts w:ascii="Times New Roman" w:hAnsi="Times New Roman"/>
          <w:bCs/>
          <w:color w:val="000000" w:themeColor="text1"/>
          <w:sz w:val="28"/>
          <w:szCs w:val="28"/>
          <w:lang w:val="uk-UA"/>
        </w:rPr>
        <w:t>з супутнім цукровим діабетом 2 типу.</w:t>
      </w:r>
    </w:p>
    <w:p w:rsidR="00CE6207" w:rsidRDefault="00CE6207" w:rsidP="00CE6207">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caps/>
          <w:sz w:val="28"/>
          <w:szCs w:val="28"/>
          <w:lang w:val="uk-UA"/>
        </w:rPr>
        <w:t>п</w:t>
      </w:r>
      <w:r>
        <w:rPr>
          <w:rFonts w:ascii="Times New Roman" w:hAnsi="Times New Roman" w:cs="Times New Roman"/>
          <w:b/>
          <w:bCs/>
          <w:sz w:val="28"/>
          <w:szCs w:val="28"/>
          <w:lang w:val="uk-UA"/>
        </w:rPr>
        <w:t xml:space="preserve">редмет дослідження: </w:t>
      </w:r>
      <w:r w:rsidRPr="00A25053">
        <w:rPr>
          <w:rFonts w:ascii="Times New Roman" w:hAnsi="Times New Roman" w:cs="Times New Roman"/>
          <w:bCs/>
          <w:sz w:val="28"/>
          <w:szCs w:val="28"/>
          <w:lang w:val="uk-UA"/>
        </w:rPr>
        <w:t xml:space="preserve">β-лактамази розширеного спектру дії типів blaTEM, blaSHV, blaCTX-M, протеїни QnrA, ефлюкс насос QepA, AAC(6')-Ib-cr, </w:t>
      </w:r>
      <w:r>
        <w:rPr>
          <w:rFonts w:ascii="Times New Roman" w:hAnsi="Times New Roman" w:cs="Times New Roman"/>
          <w:bCs/>
          <w:sz w:val="28"/>
          <w:szCs w:val="28"/>
          <w:lang w:val="uk-UA"/>
        </w:rPr>
        <w:t>ІЛ-</w:t>
      </w:r>
      <w:r w:rsidRPr="00A25053">
        <w:rPr>
          <w:rFonts w:ascii="Times New Roman" w:hAnsi="Times New Roman" w:cs="Times New Roman"/>
          <w:bCs/>
          <w:sz w:val="28"/>
          <w:szCs w:val="28"/>
          <w:lang w:val="uk-UA"/>
        </w:rPr>
        <w:t>6, показники функціональної здатності нирок, глікемічний профіль</w:t>
      </w:r>
      <w:r>
        <w:rPr>
          <w:rFonts w:ascii="Times New Roman" w:hAnsi="Times New Roman" w:cs="Times New Roman"/>
          <w:bCs/>
          <w:sz w:val="28"/>
          <w:szCs w:val="28"/>
          <w:lang w:val="uk-UA"/>
        </w:rPr>
        <w:t>.</w:t>
      </w:r>
    </w:p>
    <w:p w:rsidR="00CE6207" w:rsidRPr="00DA0B92" w:rsidRDefault="00CE6207" w:rsidP="00CE620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 xml:space="preserve">Методи дослідження: </w:t>
      </w:r>
    </w:p>
    <w:p w:rsidR="00CE6207" w:rsidRPr="00C35AA2" w:rsidRDefault="00CE6207" w:rsidP="00CE6207">
      <w:pPr>
        <w:spacing w:after="0" w:line="360" w:lineRule="auto"/>
        <w:ind w:firstLine="709"/>
        <w:jc w:val="both"/>
        <w:rPr>
          <w:rFonts w:cstheme="minorHAnsi"/>
          <w:sz w:val="28"/>
          <w:szCs w:val="28"/>
          <w:lang w:val="uk-UA"/>
        </w:rPr>
      </w:pPr>
      <w:r>
        <w:rPr>
          <w:rFonts w:cstheme="minorHAnsi"/>
          <w:sz w:val="28"/>
          <w:szCs w:val="28"/>
          <w:lang w:val="uk-UA"/>
        </w:rPr>
        <w:t xml:space="preserve">1. </w:t>
      </w:r>
      <w:r w:rsidRPr="00C35AA2">
        <w:rPr>
          <w:rFonts w:cstheme="minorHAnsi"/>
          <w:sz w:val="28"/>
          <w:szCs w:val="28"/>
          <w:lang w:val="uk-UA"/>
        </w:rPr>
        <w:t>Методи оцінки стану хворого і верифікації діагнозу (сбір анамнезу, загальний огляд, лабораторні і інструментальні методи) проводилися згідно діючих рекомендацій [</w:t>
      </w:r>
      <w:r>
        <w:rPr>
          <w:spacing w:val="1"/>
          <w:sz w:val="28"/>
          <w:szCs w:val="28"/>
          <w:lang w:val="uk-UA"/>
        </w:rPr>
        <w:t>3</w:t>
      </w:r>
      <w:r w:rsidRPr="00C35AA2">
        <w:rPr>
          <w:rFonts w:cstheme="minorHAnsi"/>
          <w:sz w:val="28"/>
          <w:szCs w:val="28"/>
          <w:lang w:val="uk-UA"/>
        </w:rPr>
        <w:t>];</w:t>
      </w:r>
    </w:p>
    <w:p w:rsidR="00CE6207" w:rsidRPr="00C35AA2" w:rsidRDefault="00CE6207" w:rsidP="00CE6207">
      <w:pPr>
        <w:spacing w:after="0" w:line="360" w:lineRule="auto"/>
        <w:ind w:firstLine="709"/>
        <w:jc w:val="both"/>
        <w:rPr>
          <w:rFonts w:cstheme="minorHAnsi"/>
          <w:sz w:val="28"/>
          <w:szCs w:val="28"/>
          <w:lang w:val="uk-UA"/>
        </w:rPr>
      </w:pPr>
      <w:r w:rsidRPr="00C35AA2">
        <w:rPr>
          <w:rFonts w:cstheme="minorHAnsi"/>
          <w:sz w:val="28"/>
          <w:szCs w:val="28"/>
          <w:lang w:val="uk-UA"/>
        </w:rPr>
        <w:t>2. Методи оцінки ефективності антибіотико-терапії вивчалися в динаміці клінічних симптомів і лабораторних показників</w:t>
      </w:r>
      <w:r>
        <w:rPr>
          <w:rFonts w:cstheme="minorHAnsi"/>
          <w:sz w:val="28"/>
          <w:szCs w:val="28"/>
          <w:lang w:val="uk-UA"/>
        </w:rPr>
        <w:t xml:space="preserve"> </w:t>
      </w:r>
      <w:r w:rsidRPr="006E3519">
        <w:rPr>
          <w:rFonts w:cstheme="minorHAnsi"/>
          <w:color w:val="000000" w:themeColor="text1"/>
          <w:sz w:val="28"/>
          <w:szCs w:val="28"/>
          <w:lang w:val="uk-UA"/>
        </w:rPr>
        <w:t>(</w:t>
      </w:r>
      <w:r>
        <w:rPr>
          <w:rFonts w:cstheme="minorHAnsi"/>
          <w:color w:val="000000" w:themeColor="text1"/>
          <w:sz w:val="28"/>
          <w:szCs w:val="28"/>
          <w:lang w:val="uk-UA"/>
        </w:rPr>
        <w:t>клінічного аналізу крові та сечі, біохімічного аналізу крові з визначенням концентрацій креатиніну, сечовини, загального білку</w:t>
      </w:r>
      <w:r w:rsidRPr="006E3519">
        <w:rPr>
          <w:rFonts w:cstheme="minorHAnsi"/>
          <w:color w:val="000000" w:themeColor="text1"/>
          <w:sz w:val="28"/>
          <w:szCs w:val="28"/>
          <w:lang w:val="uk-UA"/>
        </w:rPr>
        <w:t>)</w:t>
      </w:r>
      <w:r w:rsidRPr="00C35AA2">
        <w:rPr>
          <w:rFonts w:cstheme="minorHAnsi"/>
          <w:sz w:val="28"/>
          <w:szCs w:val="28"/>
          <w:lang w:val="uk-UA"/>
        </w:rPr>
        <w:t xml:space="preserve">; </w:t>
      </w:r>
    </w:p>
    <w:p w:rsidR="00CE6207" w:rsidRPr="00C35AA2" w:rsidRDefault="00CE6207" w:rsidP="00CE6207">
      <w:pPr>
        <w:spacing w:after="0" w:line="360" w:lineRule="auto"/>
        <w:ind w:firstLine="709"/>
        <w:jc w:val="both"/>
        <w:rPr>
          <w:rFonts w:cstheme="minorHAnsi"/>
          <w:sz w:val="28"/>
          <w:szCs w:val="28"/>
          <w:lang w:val="uk-UA"/>
        </w:rPr>
      </w:pPr>
      <w:r w:rsidRPr="00C35AA2">
        <w:rPr>
          <w:rFonts w:cstheme="minorHAnsi"/>
          <w:sz w:val="28"/>
          <w:szCs w:val="28"/>
          <w:lang w:val="uk-UA"/>
        </w:rPr>
        <w:t xml:space="preserve">3. Методи оцінки резистентності in vitro - чутливість виділених культур до АБП проводили </w:t>
      </w:r>
      <w:r>
        <w:rPr>
          <w:rFonts w:cstheme="minorHAnsi"/>
          <w:sz w:val="28"/>
          <w:szCs w:val="28"/>
          <w:lang w:val="uk-UA"/>
        </w:rPr>
        <w:t>диско-дифузійним методом</w:t>
      </w:r>
      <w:r w:rsidRPr="00C35AA2">
        <w:rPr>
          <w:rFonts w:cstheme="minorHAnsi"/>
          <w:sz w:val="28"/>
          <w:szCs w:val="28"/>
          <w:lang w:val="uk-UA"/>
        </w:rPr>
        <w:t xml:space="preserve"> Bauer-Kirbi на середовищі Хінтон-Мюллера з використанням комерційних дисків. Облік результатів проводили шляхом вимірювання зон затримки росту мікроорганізмів навколо дисків, включаючи діаметр самого диска</w:t>
      </w:r>
      <w:r>
        <w:rPr>
          <w:rFonts w:cstheme="minorHAnsi"/>
          <w:sz w:val="28"/>
          <w:szCs w:val="28"/>
          <w:lang w:val="uk-UA"/>
        </w:rPr>
        <w:t xml:space="preserve"> [</w:t>
      </w:r>
      <w:r>
        <w:rPr>
          <w:sz w:val="28"/>
          <w:szCs w:val="28"/>
          <w:lang w:val="uk-UA"/>
        </w:rPr>
        <w:t>2</w:t>
      </w:r>
      <w:r>
        <w:rPr>
          <w:rFonts w:cstheme="minorHAnsi"/>
          <w:sz w:val="28"/>
          <w:szCs w:val="28"/>
          <w:lang w:val="uk-UA"/>
        </w:rPr>
        <w:t>]</w:t>
      </w:r>
      <w:r w:rsidRPr="00C35AA2">
        <w:rPr>
          <w:rFonts w:cstheme="minorHAnsi"/>
          <w:sz w:val="28"/>
          <w:szCs w:val="28"/>
          <w:lang w:val="uk-UA"/>
        </w:rPr>
        <w:t>;</w:t>
      </w:r>
    </w:p>
    <w:p w:rsidR="00CE6207" w:rsidRDefault="00CE6207" w:rsidP="00CE6207">
      <w:pPr>
        <w:spacing w:after="0" w:line="360" w:lineRule="auto"/>
        <w:ind w:firstLine="709"/>
        <w:jc w:val="both"/>
        <w:rPr>
          <w:rFonts w:cstheme="minorHAnsi"/>
          <w:sz w:val="28"/>
          <w:szCs w:val="28"/>
          <w:lang w:val="uk-UA"/>
        </w:rPr>
      </w:pPr>
      <w:r w:rsidRPr="00C35AA2">
        <w:rPr>
          <w:rFonts w:cstheme="minorHAnsi"/>
          <w:sz w:val="28"/>
          <w:szCs w:val="28"/>
          <w:lang w:val="uk-UA"/>
        </w:rPr>
        <w:t xml:space="preserve">4. Методи дослідження плазмід-індукованих механізмів резистентності полягали в діагностиці генів ТЕМ, SHV і СТХ-М, що кодують вироблення βЛРС </w:t>
      </w:r>
      <w:r>
        <w:rPr>
          <w:rFonts w:cstheme="minorHAnsi"/>
          <w:sz w:val="28"/>
          <w:szCs w:val="28"/>
          <w:lang w:val="uk-UA"/>
        </w:rPr>
        <w:t>та генів QnrА, AAC(6</w:t>
      </w:r>
      <w:r w:rsidRPr="00F33B37">
        <w:rPr>
          <w:rFonts w:cstheme="minorHAnsi"/>
          <w:sz w:val="28"/>
          <w:szCs w:val="28"/>
          <w:lang w:val="uk-UA"/>
        </w:rPr>
        <w:t>')-Ib-cr</w:t>
      </w:r>
      <w:r>
        <w:rPr>
          <w:rFonts w:cstheme="minorHAnsi"/>
          <w:sz w:val="28"/>
          <w:szCs w:val="28"/>
          <w:lang w:val="uk-UA"/>
        </w:rPr>
        <w:t xml:space="preserve">, </w:t>
      </w:r>
      <w:r w:rsidRPr="00F33B37">
        <w:rPr>
          <w:rFonts w:cstheme="minorHAnsi"/>
          <w:sz w:val="28"/>
          <w:szCs w:val="28"/>
          <w:lang w:val="uk-UA"/>
        </w:rPr>
        <w:t>QepA</w:t>
      </w:r>
      <w:r>
        <w:rPr>
          <w:rFonts w:cstheme="minorHAnsi"/>
          <w:sz w:val="28"/>
          <w:szCs w:val="28"/>
          <w:lang w:val="uk-UA"/>
        </w:rPr>
        <w:t>, що опосередковують стійкість до фторхінолонів,</w:t>
      </w:r>
      <w:r w:rsidRPr="00C35AA2">
        <w:rPr>
          <w:rFonts w:cstheme="minorHAnsi"/>
          <w:sz w:val="28"/>
          <w:szCs w:val="28"/>
          <w:lang w:val="uk-UA"/>
        </w:rPr>
        <w:t xml:space="preserve"> методом полімеразної ланцюжкової реакції (ПЛР). ПЛР </w:t>
      </w:r>
      <w:r w:rsidRPr="00C35AA2">
        <w:rPr>
          <w:rFonts w:cstheme="minorHAnsi"/>
          <w:sz w:val="28"/>
          <w:szCs w:val="28"/>
          <w:lang w:val="uk-UA"/>
        </w:rPr>
        <w:lastRenderedPageBreak/>
        <w:t>проводили за стандартною схемою за допомогою програмованого термоциклера «Терцик-2» фірми ДНК-технологія</w:t>
      </w:r>
      <w:r>
        <w:rPr>
          <w:rFonts w:cstheme="minorHAnsi"/>
          <w:sz w:val="28"/>
          <w:szCs w:val="28"/>
          <w:lang w:val="uk-UA"/>
        </w:rPr>
        <w:t xml:space="preserve"> </w:t>
      </w:r>
      <w:r w:rsidRPr="00C35AA2">
        <w:rPr>
          <w:rFonts w:cstheme="minorHAnsi"/>
          <w:sz w:val="28"/>
          <w:szCs w:val="28"/>
          <w:lang w:val="uk-UA"/>
        </w:rPr>
        <w:t>[</w:t>
      </w:r>
      <w:r>
        <w:rPr>
          <w:rFonts w:ascii="Times New Roman" w:hAnsi="Times New Roman" w:cs="Times New Roman"/>
          <w:sz w:val="28"/>
          <w:szCs w:val="28"/>
        </w:rPr>
        <w:t>15</w:t>
      </w:r>
      <w:r w:rsidRPr="00C35AA2">
        <w:rPr>
          <w:rFonts w:cstheme="minorHAnsi"/>
          <w:sz w:val="28"/>
          <w:szCs w:val="28"/>
          <w:lang w:val="uk-UA"/>
        </w:rPr>
        <w:t>].</w:t>
      </w:r>
    </w:p>
    <w:p w:rsidR="00CE6207" w:rsidRDefault="00CE6207" w:rsidP="00CE6207">
      <w:pPr>
        <w:spacing w:after="0" w:line="360" w:lineRule="auto"/>
        <w:ind w:firstLine="709"/>
        <w:jc w:val="both"/>
        <w:rPr>
          <w:rFonts w:cstheme="minorHAnsi"/>
          <w:sz w:val="28"/>
          <w:szCs w:val="28"/>
          <w:lang w:val="uk-UA"/>
        </w:rPr>
      </w:pPr>
      <w:r>
        <w:rPr>
          <w:rFonts w:cstheme="minorHAnsi"/>
          <w:sz w:val="28"/>
          <w:szCs w:val="28"/>
          <w:lang w:val="uk-UA"/>
        </w:rPr>
        <w:t xml:space="preserve">5. Дослідження імунологічних маркерів системного запалення (ІЛ-6, </w:t>
      </w:r>
      <w:r>
        <w:rPr>
          <w:rFonts w:cstheme="minorHAnsi"/>
          <w:sz w:val="28"/>
          <w:szCs w:val="28"/>
          <w:lang w:val="en-US"/>
        </w:rPr>
        <w:t>IgA</w:t>
      </w:r>
      <w:r w:rsidRPr="00F055C2">
        <w:rPr>
          <w:rFonts w:cstheme="minorHAnsi"/>
          <w:sz w:val="28"/>
          <w:szCs w:val="28"/>
          <w:lang w:val="uk-UA"/>
        </w:rPr>
        <w:t xml:space="preserve">, </w:t>
      </w:r>
      <w:r>
        <w:rPr>
          <w:rFonts w:cstheme="minorHAnsi"/>
          <w:sz w:val="28"/>
          <w:szCs w:val="28"/>
          <w:lang w:val="en-US"/>
        </w:rPr>
        <w:t>IgG</w:t>
      </w:r>
      <w:r w:rsidRPr="00F055C2">
        <w:rPr>
          <w:rFonts w:cstheme="minorHAnsi"/>
          <w:sz w:val="28"/>
          <w:szCs w:val="28"/>
          <w:lang w:val="uk-UA"/>
        </w:rPr>
        <w:t xml:space="preserve">, </w:t>
      </w:r>
      <w:r>
        <w:rPr>
          <w:rFonts w:cstheme="minorHAnsi"/>
          <w:sz w:val="28"/>
          <w:szCs w:val="28"/>
          <w:lang w:val="en-US"/>
        </w:rPr>
        <w:t>IgM</w:t>
      </w:r>
      <w:r>
        <w:rPr>
          <w:rFonts w:cstheme="minorHAnsi"/>
          <w:sz w:val="28"/>
          <w:szCs w:val="28"/>
          <w:lang w:val="uk-UA"/>
        </w:rPr>
        <w:t>, С-реактивний білок)</w:t>
      </w:r>
      <w:r w:rsidRPr="00F055C2">
        <w:rPr>
          <w:rFonts w:cstheme="minorHAnsi"/>
          <w:sz w:val="28"/>
          <w:szCs w:val="28"/>
          <w:lang w:val="uk-UA"/>
        </w:rPr>
        <w:t xml:space="preserve"> </w:t>
      </w:r>
      <w:r>
        <w:rPr>
          <w:rFonts w:cstheme="minorHAnsi"/>
          <w:sz w:val="28"/>
          <w:szCs w:val="28"/>
          <w:lang w:val="uk-UA"/>
        </w:rPr>
        <w:t>проводилося методом імуноферментного аналізу.</w:t>
      </w:r>
    </w:p>
    <w:p w:rsidR="00CE6207" w:rsidRDefault="00CE6207" w:rsidP="00CE6207">
      <w:pPr>
        <w:spacing w:after="0" w:line="360" w:lineRule="auto"/>
        <w:ind w:firstLine="709"/>
        <w:jc w:val="both"/>
        <w:rPr>
          <w:rFonts w:cstheme="minorHAnsi"/>
          <w:sz w:val="28"/>
          <w:szCs w:val="28"/>
          <w:lang w:val="uk-UA"/>
        </w:rPr>
      </w:pPr>
      <w:r>
        <w:rPr>
          <w:rFonts w:cstheme="minorHAnsi"/>
          <w:sz w:val="28"/>
          <w:szCs w:val="28"/>
          <w:lang w:val="uk-UA"/>
        </w:rPr>
        <w:t xml:space="preserve">6. Статистичні методи </w:t>
      </w:r>
      <w:r w:rsidRPr="00A011EA">
        <w:rPr>
          <w:rFonts w:cstheme="minorHAnsi"/>
          <w:sz w:val="28"/>
          <w:szCs w:val="28"/>
          <w:lang w:val="uk-UA"/>
        </w:rPr>
        <w:t>проводили за допомогою пакету статистичних програм Statistica 6.0.</w:t>
      </w:r>
      <w:r>
        <w:rPr>
          <w:rFonts w:cstheme="minorHAnsi"/>
          <w:sz w:val="28"/>
          <w:szCs w:val="28"/>
          <w:lang w:val="uk-UA"/>
        </w:rPr>
        <w:t>, що включали параметричні (</w:t>
      </w:r>
      <w:r w:rsidRPr="005B1F5D">
        <w:rPr>
          <w:rFonts w:cstheme="minorHAnsi"/>
          <w:sz w:val="28"/>
          <w:szCs w:val="28"/>
          <w:lang w:val="uk-UA"/>
        </w:rPr>
        <w:t>блок базових статистик</w:t>
      </w:r>
      <w:r>
        <w:rPr>
          <w:rFonts w:cstheme="minorHAnsi"/>
          <w:sz w:val="28"/>
          <w:szCs w:val="28"/>
          <w:lang w:val="uk-UA"/>
        </w:rPr>
        <w:t>,</w:t>
      </w:r>
      <w:r w:rsidRPr="005B1F5D">
        <w:rPr>
          <w:rFonts w:cstheme="minorHAnsi"/>
          <w:sz w:val="28"/>
          <w:szCs w:val="28"/>
          <w:lang w:val="uk-UA"/>
        </w:rPr>
        <w:t xml:space="preserve"> </w:t>
      </w:r>
      <w:r>
        <w:rPr>
          <w:rFonts w:cstheme="minorHAnsi"/>
          <w:sz w:val="28"/>
          <w:szCs w:val="28"/>
          <w:lang w:val="uk-UA"/>
        </w:rPr>
        <w:t>о</w:t>
      </w:r>
      <w:r w:rsidRPr="005B1F5D">
        <w:rPr>
          <w:rFonts w:cstheme="minorHAnsi"/>
          <w:sz w:val="28"/>
          <w:szCs w:val="28"/>
          <w:lang w:val="uk-UA"/>
        </w:rPr>
        <w:t>цінку значимостей відмінностей середніх проводили за допомогою ANOVA</w:t>
      </w:r>
      <w:r>
        <w:rPr>
          <w:rFonts w:cstheme="minorHAnsi"/>
          <w:sz w:val="28"/>
          <w:szCs w:val="28"/>
          <w:lang w:val="uk-UA"/>
        </w:rPr>
        <w:t>) та непараметричні (</w:t>
      </w:r>
      <w:r w:rsidRPr="005B1F5D">
        <w:rPr>
          <w:rFonts w:cstheme="minorHAnsi"/>
          <w:sz w:val="28"/>
          <w:szCs w:val="28"/>
          <w:lang w:val="uk-UA"/>
        </w:rPr>
        <w:t>Хі квадрат</w:t>
      </w:r>
      <w:r>
        <w:rPr>
          <w:rFonts w:cstheme="minorHAnsi"/>
          <w:sz w:val="28"/>
          <w:szCs w:val="28"/>
          <w:lang w:val="uk-UA"/>
        </w:rPr>
        <w:t>,</w:t>
      </w:r>
      <w:r w:rsidRPr="005B1F5D">
        <w:rPr>
          <w:rFonts w:cstheme="minorHAnsi"/>
          <w:sz w:val="28"/>
          <w:szCs w:val="28"/>
          <w:lang w:val="uk-UA"/>
        </w:rPr>
        <w:t xml:space="preserve"> пр</w:t>
      </w:r>
      <w:r>
        <w:rPr>
          <w:rFonts w:cstheme="minorHAnsi"/>
          <w:sz w:val="28"/>
          <w:szCs w:val="28"/>
          <w:lang w:val="uk-UA"/>
        </w:rPr>
        <w:t>и необхідності з поправкою Йеті, критерій Фішера) методи; при факторному аналізі в</w:t>
      </w:r>
      <w:r w:rsidRPr="005B1F5D">
        <w:rPr>
          <w:rFonts w:cstheme="minorHAnsi"/>
          <w:sz w:val="28"/>
          <w:szCs w:val="28"/>
          <w:lang w:val="uk-UA"/>
        </w:rPr>
        <w:t>икор</w:t>
      </w:r>
      <w:r>
        <w:rPr>
          <w:rFonts w:cstheme="minorHAnsi"/>
          <w:sz w:val="28"/>
          <w:szCs w:val="28"/>
          <w:lang w:val="uk-UA"/>
        </w:rPr>
        <w:t xml:space="preserve">истовувався тип обертання - варімакс нормалізований. </w:t>
      </w:r>
    </w:p>
    <w:p w:rsidR="00CE6207" w:rsidRPr="00A25053" w:rsidRDefault="00CE6207" w:rsidP="00CE6207">
      <w:pPr>
        <w:spacing w:after="0" w:line="360" w:lineRule="auto"/>
        <w:ind w:firstLine="709"/>
        <w:jc w:val="both"/>
        <w:rPr>
          <w:rFonts w:ascii="Times New Roman" w:hAnsi="Times New Roman" w:cs="Times New Roman"/>
          <w:color w:val="000000" w:themeColor="text1"/>
          <w:sz w:val="28"/>
          <w:szCs w:val="28"/>
          <w:lang w:val="uk-UA"/>
        </w:rPr>
      </w:pPr>
      <w:r w:rsidRPr="00DB0EA2">
        <w:rPr>
          <w:rFonts w:ascii="Times New Roman" w:hAnsi="Times New Roman" w:cs="Times New Roman"/>
          <w:b/>
          <w:color w:val="000000"/>
          <w:sz w:val="28"/>
          <w:szCs w:val="28"/>
          <w:lang w:val="uk-UA"/>
        </w:rPr>
        <w:t>Наукова новизна одержаних результатів.</w:t>
      </w:r>
      <w:r>
        <w:rPr>
          <w:rFonts w:ascii="Times New Roman" w:hAnsi="Times New Roman" w:cs="Times New Roman"/>
          <w:b/>
          <w:color w:val="000000"/>
          <w:sz w:val="28"/>
          <w:szCs w:val="28"/>
          <w:lang w:val="uk-UA"/>
        </w:rPr>
        <w:t xml:space="preserve"> </w:t>
      </w:r>
      <w:r w:rsidRPr="00A25053">
        <w:rPr>
          <w:rFonts w:ascii="Times New Roman" w:hAnsi="Times New Roman" w:cs="Times New Roman"/>
          <w:color w:val="000000" w:themeColor="text1"/>
          <w:sz w:val="28"/>
          <w:szCs w:val="28"/>
          <w:lang w:val="uk-UA"/>
        </w:rPr>
        <w:t xml:space="preserve">Уперше проведено наукове обгрунтування визначення плазмід-індукованих механізмів резистентності у хворих із поєднанням ХП і ЦД 2 типу, з метою підвищення ефективності емпіричної антибіотико-терапії. </w:t>
      </w:r>
    </w:p>
    <w:p w:rsidR="00CE6207" w:rsidRPr="00A25053" w:rsidRDefault="00CE6207" w:rsidP="00CE6207">
      <w:pPr>
        <w:spacing w:after="0" w:line="360" w:lineRule="auto"/>
        <w:ind w:firstLine="709"/>
        <w:jc w:val="both"/>
        <w:rPr>
          <w:rFonts w:ascii="Times New Roman" w:hAnsi="Times New Roman" w:cs="Times New Roman"/>
          <w:color w:val="000000" w:themeColor="text1"/>
          <w:sz w:val="28"/>
          <w:szCs w:val="28"/>
          <w:lang w:val="uk-UA"/>
        </w:rPr>
      </w:pPr>
      <w:r w:rsidRPr="00A25053">
        <w:rPr>
          <w:rFonts w:ascii="Times New Roman" w:hAnsi="Times New Roman" w:cs="Times New Roman"/>
          <w:color w:val="000000" w:themeColor="text1"/>
          <w:sz w:val="28"/>
          <w:szCs w:val="28"/>
          <w:lang w:val="uk-UA"/>
        </w:rPr>
        <w:t xml:space="preserve">Встановлено, що наявність плазмід-індукованих механізмів резистентності серед хворих на ХП і супутній ЦД 2 типу, становить 31,5%. У пацієнтів із ХП без діабету – виявлення складає 25%.  </w:t>
      </w:r>
    </w:p>
    <w:p w:rsidR="00CE6207" w:rsidRPr="00A25053" w:rsidRDefault="00CE6207" w:rsidP="00CE6207">
      <w:pPr>
        <w:spacing w:after="0" w:line="360" w:lineRule="auto"/>
        <w:ind w:firstLine="709"/>
        <w:jc w:val="both"/>
        <w:rPr>
          <w:rFonts w:ascii="Times New Roman" w:hAnsi="Times New Roman" w:cs="Times New Roman"/>
          <w:color w:val="000000" w:themeColor="text1"/>
          <w:sz w:val="28"/>
          <w:szCs w:val="28"/>
          <w:lang w:val="uk-UA"/>
        </w:rPr>
      </w:pPr>
      <w:r w:rsidRPr="00A25053">
        <w:rPr>
          <w:rFonts w:ascii="Times New Roman" w:hAnsi="Times New Roman" w:cs="Times New Roman"/>
          <w:color w:val="000000" w:themeColor="text1"/>
          <w:sz w:val="28"/>
          <w:szCs w:val="28"/>
          <w:lang w:val="uk-UA"/>
        </w:rPr>
        <w:t xml:space="preserve">Доведено, що у пацієнтів із наявністю ХХН ІІІ та ІV стадій; артеріальною гіпертензією; епізодами перенесеного простатиту або циститу в анамнезі, частота виявлення плазмідних генів резистентності достовірно вища. Крім того визначені фактори, достовірно пов’язані з виявленням плазмід-індукованих механізмів резистентності у хворих із поєднаним перебігом ХП і ЦД 2 типу: факт стаціонарного лікування упродовж останнього року, прийом β-лактамів та фторхінолонів з різних причин у поточному році, уточнено віковий діапазон (старше 55 років). </w:t>
      </w:r>
    </w:p>
    <w:p w:rsidR="00CE6207" w:rsidRPr="00A25053" w:rsidRDefault="00CE6207" w:rsidP="00CE6207">
      <w:pPr>
        <w:spacing w:after="0" w:line="360" w:lineRule="auto"/>
        <w:ind w:firstLine="709"/>
        <w:jc w:val="both"/>
        <w:rPr>
          <w:rFonts w:ascii="Times New Roman" w:hAnsi="Times New Roman" w:cs="Times New Roman"/>
          <w:color w:val="000000" w:themeColor="text1"/>
          <w:sz w:val="28"/>
          <w:szCs w:val="28"/>
          <w:lang w:val="uk-UA"/>
        </w:rPr>
      </w:pPr>
      <w:r w:rsidRPr="00A25053">
        <w:rPr>
          <w:rFonts w:ascii="Times New Roman" w:hAnsi="Times New Roman" w:cs="Times New Roman"/>
          <w:color w:val="000000" w:themeColor="text1"/>
          <w:sz w:val="28"/>
          <w:szCs w:val="28"/>
          <w:lang w:val="uk-UA"/>
        </w:rPr>
        <w:t xml:space="preserve">Встановлені взаємозв’язки чутливості/резистентності in vitro до АБП з наявністю різних типів плазмідних генів стійкості. Встановлено, що резистентність in vitro до амінопеніциллінів, цефалоспоринів та фторхінолонів була достовірно пов’язана з наявністю в уропатогенних </w:t>
      </w:r>
      <w:r w:rsidRPr="00A25053">
        <w:rPr>
          <w:rFonts w:ascii="Times New Roman" w:hAnsi="Times New Roman" w:cs="Times New Roman"/>
          <w:color w:val="000000" w:themeColor="text1"/>
          <w:sz w:val="28"/>
          <w:szCs w:val="28"/>
          <w:lang w:val="uk-UA"/>
        </w:rPr>
        <w:lastRenderedPageBreak/>
        <w:t xml:space="preserve">штамах плазмідних βЛРС типів blaCTX-M, blaTEM, blaSHV та генів резистентності до фторхінолонів – QnrА, AAC(6')-Ib-cr, QepA. Резистентність до аміноглікозидів була достовірно пов’язана з виявленням генів blaCTX-M, QnrА та QepA. </w:t>
      </w:r>
    </w:p>
    <w:p w:rsidR="00CE6207" w:rsidRPr="007979B2" w:rsidRDefault="00CE6207" w:rsidP="00CE6207">
      <w:pPr>
        <w:spacing w:after="0" w:line="360" w:lineRule="auto"/>
        <w:ind w:firstLine="709"/>
        <w:jc w:val="both"/>
        <w:rPr>
          <w:color w:val="000000" w:themeColor="text1"/>
          <w:sz w:val="28"/>
          <w:szCs w:val="28"/>
          <w:lang w:val="uk-UA"/>
        </w:rPr>
      </w:pPr>
      <w:r w:rsidRPr="00A25053">
        <w:rPr>
          <w:rFonts w:ascii="Times New Roman" w:hAnsi="Times New Roman" w:cs="Times New Roman"/>
          <w:color w:val="000000" w:themeColor="text1"/>
          <w:sz w:val="28"/>
          <w:szCs w:val="28"/>
          <w:lang w:val="uk-UA"/>
        </w:rPr>
        <w:t>Визначено клінічну та бактеріологічну ефективність АБТ у хворих з виявленими плазмідними механізмами резистентності. Виявлено більш повільний регрес клінічних симптомів у хворих з плазмідними генами резистентності в динаміці лікування, та відсутність повної ерадикації збудника на тлі АБТ, що було передумовою для подовження термінів лікування та, в деяких випадках, заміни АБП.</w:t>
      </w:r>
    </w:p>
    <w:p w:rsidR="00CE6207" w:rsidRPr="007979B2" w:rsidRDefault="00CE6207" w:rsidP="00CE6207">
      <w:pPr>
        <w:spacing w:after="0" w:line="360" w:lineRule="auto"/>
        <w:ind w:firstLine="709"/>
        <w:jc w:val="both"/>
        <w:rPr>
          <w:rFonts w:cstheme="minorHAnsi"/>
          <w:b/>
          <w:color w:val="000000" w:themeColor="text1"/>
          <w:sz w:val="28"/>
          <w:szCs w:val="28"/>
          <w:lang w:val="uk-UA"/>
        </w:rPr>
      </w:pPr>
      <w:r w:rsidRPr="007979B2">
        <w:rPr>
          <w:rFonts w:ascii="Times New Roman" w:hAnsi="Times New Roman" w:cs="Times New Roman"/>
          <w:b/>
          <w:color w:val="000000" w:themeColor="text1"/>
          <w:sz w:val="28"/>
          <w:szCs w:val="28"/>
          <w:lang w:val="uk-UA"/>
        </w:rPr>
        <w:t>Практичне значення одержаних результатів.</w:t>
      </w:r>
      <w:r w:rsidRPr="007979B2">
        <w:rPr>
          <w:rFonts w:cstheme="minorHAnsi"/>
          <w:b/>
          <w:color w:val="000000" w:themeColor="text1"/>
          <w:sz w:val="28"/>
          <w:szCs w:val="28"/>
          <w:lang w:val="uk-UA"/>
        </w:rPr>
        <w:t xml:space="preserve"> </w:t>
      </w:r>
    </w:p>
    <w:p w:rsidR="00CE6207" w:rsidRPr="00A25053" w:rsidRDefault="00CE6207" w:rsidP="00CE6207">
      <w:pPr>
        <w:spacing w:after="0" w:line="360" w:lineRule="auto"/>
        <w:ind w:firstLine="709"/>
        <w:jc w:val="both"/>
        <w:rPr>
          <w:color w:val="000000" w:themeColor="text1"/>
          <w:sz w:val="28"/>
          <w:szCs w:val="28"/>
          <w:lang w:val="uk-UA"/>
        </w:rPr>
      </w:pPr>
      <w:r w:rsidRPr="00A25053">
        <w:rPr>
          <w:color w:val="000000" w:themeColor="text1"/>
          <w:sz w:val="28"/>
          <w:szCs w:val="28"/>
          <w:lang w:val="uk-UA"/>
        </w:rPr>
        <w:t xml:space="preserve">Визначення плазмід-індукованих механізмів резистентності у хворих на ХП і супутній ЦД 2 типу, сприяє підвищенню ефективності емпіричної антибіотико-терапії та запобігає розвитку ускладнень, у тому числі прогресуванні хронічної хвороби нирок. </w:t>
      </w:r>
    </w:p>
    <w:p w:rsidR="00CE6207" w:rsidRPr="00A25053" w:rsidRDefault="00CE6207" w:rsidP="00CE6207">
      <w:pPr>
        <w:spacing w:after="0" w:line="360" w:lineRule="auto"/>
        <w:ind w:firstLine="709"/>
        <w:jc w:val="both"/>
        <w:rPr>
          <w:color w:val="000000" w:themeColor="text1"/>
          <w:sz w:val="28"/>
          <w:szCs w:val="28"/>
          <w:lang w:val="uk-UA"/>
        </w:rPr>
      </w:pPr>
      <w:r w:rsidRPr="00A25053">
        <w:rPr>
          <w:color w:val="000000" w:themeColor="text1"/>
          <w:sz w:val="28"/>
          <w:szCs w:val="28"/>
          <w:lang w:val="uk-UA"/>
        </w:rPr>
        <w:t xml:space="preserve">Розроблений алгоритм діагностики плазмід-індукованих механізмів резистентності у хворих на ХП і супутній ЦД 2 типу дозволяє відокремити основні категорії пацієнтів, яким доцільно в план обстеження включати дослідження експресії плазмідних генів стійкості, що сприяє поліпшенню діагностики антибіотико-резистентності та може використовуватися закладами практичної охорони здоров’я.  </w:t>
      </w:r>
    </w:p>
    <w:p w:rsidR="00CE6207" w:rsidRPr="00A25053" w:rsidRDefault="00CE6207" w:rsidP="00CE6207">
      <w:pPr>
        <w:spacing w:after="0" w:line="360" w:lineRule="auto"/>
        <w:ind w:firstLine="709"/>
        <w:jc w:val="both"/>
        <w:rPr>
          <w:color w:val="000000" w:themeColor="text1"/>
          <w:sz w:val="28"/>
          <w:szCs w:val="28"/>
          <w:lang w:val="uk-UA"/>
        </w:rPr>
      </w:pPr>
      <w:r w:rsidRPr="00A25053">
        <w:rPr>
          <w:color w:val="000000" w:themeColor="text1"/>
          <w:sz w:val="28"/>
          <w:szCs w:val="28"/>
          <w:lang w:val="uk-UA"/>
        </w:rPr>
        <w:t xml:space="preserve">Визначені найбільш ефективні антибактеріальні препарати у бактерій з резистентністю in vitro на підставі дослідження вмісту різних типів плазмідних βЛРС та генів резистентності до фторхінолонів, що сприяє оптимізації антибіотико-терапії хворих із поєднанням хронічного пієлонефриту та цукрового діабету 2 типу. </w:t>
      </w:r>
    </w:p>
    <w:p w:rsidR="00CE6207" w:rsidRPr="007979B2" w:rsidRDefault="00CE6207" w:rsidP="00CE6207">
      <w:pPr>
        <w:spacing w:after="0" w:line="360" w:lineRule="auto"/>
        <w:ind w:firstLine="709"/>
        <w:jc w:val="both"/>
        <w:rPr>
          <w:color w:val="000000" w:themeColor="text1"/>
          <w:sz w:val="28"/>
          <w:szCs w:val="28"/>
          <w:lang w:val="uk-UA"/>
        </w:rPr>
      </w:pPr>
      <w:r w:rsidRPr="00A25053">
        <w:rPr>
          <w:color w:val="000000" w:themeColor="text1"/>
          <w:sz w:val="28"/>
          <w:szCs w:val="28"/>
          <w:lang w:val="uk-UA"/>
        </w:rPr>
        <w:t xml:space="preserve">Розроблений алгоритм диференційованого призначення антибактеріальних препаратів хворим на ХП і супутній ЦД 2 типу залежно від наявності плазмід-індукованих механізмів резистентності сприяє </w:t>
      </w:r>
      <w:r w:rsidRPr="00A25053">
        <w:rPr>
          <w:color w:val="000000" w:themeColor="text1"/>
          <w:sz w:val="28"/>
          <w:szCs w:val="28"/>
          <w:lang w:val="uk-UA"/>
        </w:rPr>
        <w:lastRenderedPageBreak/>
        <w:t>підвищенню ефективності емпіричної антибіотико-терапії та може використовуватися закладами практичної охорони здоров’я.</w:t>
      </w:r>
      <w:r w:rsidRPr="007979B2">
        <w:rPr>
          <w:rFonts w:cstheme="minorHAnsi"/>
          <w:color w:val="000000" w:themeColor="text1"/>
          <w:sz w:val="28"/>
          <w:szCs w:val="28"/>
          <w:lang w:val="uk-UA"/>
        </w:rPr>
        <w:t xml:space="preserve"> </w:t>
      </w:r>
    </w:p>
    <w:p w:rsidR="00CE6207" w:rsidRDefault="00CE6207" w:rsidP="00CE6207">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b/>
          <w:sz w:val="28"/>
          <w:szCs w:val="28"/>
          <w:lang w:val="uk-UA"/>
        </w:rPr>
        <w:t xml:space="preserve">Впровадження результатів дослідження. </w:t>
      </w:r>
      <w:r>
        <w:rPr>
          <w:rFonts w:ascii="Times New Roman" w:hAnsi="Times New Roman" w:cs="Times New Roman"/>
          <w:noProof/>
          <w:sz w:val="28"/>
          <w:szCs w:val="28"/>
          <w:lang w:val="uk-UA"/>
        </w:rPr>
        <w:t>Результати дослідження впроваджені в практичну діяльність терапевтичного відділення з нефрологічними ліжками № 1 Харківської міської лікарні швидкої та невідкладної допомого проф. О.І. Мещанінова; терапевтичного відділення КЗОЗ РТМО Дергачівська центральна районна лікарня; Харківська міська лікарня №1. Отримані результати використовують у навчальному процесі кафедри терапії та нефрології ХМАПО.</w:t>
      </w:r>
    </w:p>
    <w:p w:rsidR="00CE6207" w:rsidRDefault="00CE6207" w:rsidP="00CE6207">
      <w:pPr>
        <w:pStyle w:val="11"/>
        <w:tabs>
          <w:tab w:val="left" w:pos="-3261"/>
          <w:tab w:val="left" w:pos="1134"/>
          <w:tab w:val="left" w:pos="6237"/>
        </w:tabs>
        <w:spacing w:line="360" w:lineRule="auto"/>
        <w:ind w:firstLine="709"/>
        <w:jc w:val="both"/>
        <w:rPr>
          <w:b/>
          <w:color w:val="000000"/>
          <w:sz w:val="28"/>
          <w:szCs w:val="28"/>
          <w:lang w:val="uk-UA"/>
        </w:rPr>
      </w:pPr>
      <w:r>
        <w:rPr>
          <w:b/>
          <w:bCs/>
          <w:sz w:val="28"/>
          <w:szCs w:val="28"/>
          <w:lang w:val="uk-UA"/>
        </w:rPr>
        <w:t xml:space="preserve">Особистий внесок здобувача. </w:t>
      </w:r>
      <w:r w:rsidRPr="00A25053">
        <w:rPr>
          <w:sz w:val="28"/>
          <w:szCs w:val="28"/>
          <w:lang w:val="uk-UA"/>
        </w:rPr>
        <w:t>Здобувач самостійно визначила напрямок дослідження та розробила дизайн дослідження. Здобувач проводила відбір і подальше клінічне, лабораторне та інструментальне обстеження хворих, підбір диференційованої терапії, здійснювала моніторинг клінічного перебігу захворювання в динаміці лікування. Здобувач самостійно оформила первинну медичну документацію тематичних хворих, сформувала комп'ютерну базу даних, провела статистичний аналіз та узагальнення отриманих результатів і співставлення з результатами літератури. Особисто здобувач сформулювала висновки, практичні рекомендації, здійснено впровадження результатів у практичну роботу закладів охорони здоров’я та навчальний процес.</w:t>
      </w:r>
      <w:r w:rsidRPr="00DB0EA2">
        <w:rPr>
          <w:b/>
          <w:color w:val="000000"/>
          <w:sz w:val="28"/>
          <w:szCs w:val="28"/>
          <w:lang w:val="uk-UA"/>
        </w:rPr>
        <w:t xml:space="preserve"> </w:t>
      </w:r>
    </w:p>
    <w:p w:rsidR="00CE6207" w:rsidRPr="00E54CC1" w:rsidRDefault="00CE6207" w:rsidP="00CE6207">
      <w:pPr>
        <w:spacing w:after="0" w:line="360" w:lineRule="auto"/>
        <w:ind w:firstLine="709"/>
        <w:jc w:val="both"/>
        <w:rPr>
          <w:color w:val="FF0000"/>
          <w:sz w:val="28"/>
          <w:szCs w:val="28"/>
          <w:lang w:val="uk-UA"/>
        </w:rPr>
      </w:pPr>
      <w:r w:rsidRPr="00AE030D">
        <w:rPr>
          <w:b/>
          <w:sz w:val="28"/>
          <w:szCs w:val="28"/>
          <w:lang w:val="uk-UA"/>
        </w:rPr>
        <w:t>Апробація результатів дисертації</w:t>
      </w:r>
      <w:r>
        <w:rPr>
          <w:b/>
          <w:sz w:val="28"/>
          <w:szCs w:val="28"/>
          <w:lang w:val="uk-UA"/>
        </w:rPr>
        <w:t xml:space="preserve">. </w:t>
      </w:r>
      <w:r w:rsidRPr="00EB46F9">
        <w:rPr>
          <w:sz w:val="28"/>
          <w:szCs w:val="28"/>
          <w:lang w:val="uk-UA"/>
        </w:rPr>
        <w:t xml:space="preserve">Матеріали дисертаційної роботи представлено у вигляді доповідей на: всеукраїнській науково-практичній конференції молодих вчених «Медицина ХХІ століття», присвяченої 90-річчю ХМАПО (Харків, 2013); всеукраїнській науково-практичній конференції «Загальнотерапевтична практика: нові технології та міждисциплінарні питання» ДУ «Інститут терапії імені Л.Т. Малої НАМН України» (Харків, 2013); </w:t>
      </w:r>
      <w:r>
        <w:rPr>
          <w:rFonts w:cstheme="minorHAnsi"/>
          <w:sz w:val="28"/>
          <w:szCs w:val="28"/>
          <w:lang w:val="uk-UA"/>
        </w:rPr>
        <w:t>ІV</w:t>
      </w:r>
      <w:r>
        <w:rPr>
          <w:sz w:val="28"/>
          <w:szCs w:val="28"/>
          <w:lang w:val="uk-UA"/>
        </w:rPr>
        <w:t xml:space="preserve"> з’їзді нефрологів України (</w:t>
      </w:r>
      <w:r w:rsidRPr="003C380B">
        <w:rPr>
          <w:color w:val="000000" w:themeColor="text1"/>
          <w:sz w:val="28"/>
          <w:szCs w:val="28"/>
          <w:lang w:val="uk-UA"/>
        </w:rPr>
        <w:t>Київ</w:t>
      </w:r>
      <w:r>
        <w:rPr>
          <w:sz w:val="28"/>
          <w:szCs w:val="28"/>
          <w:lang w:val="uk-UA"/>
        </w:rPr>
        <w:t xml:space="preserve">, 2013); </w:t>
      </w:r>
      <w:r w:rsidRPr="00EB46F9">
        <w:rPr>
          <w:sz w:val="28"/>
          <w:szCs w:val="28"/>
          <w:lang w:val="uk-UA"/>
        </w:rPr>
        <w:t>європейському конгресі нефрологів 51</w:t>
      </w:r>
      <w:r w:rsidRPr="00EB46F9">
        <w:rPr>
          <w:sz w:val="28"/>
          <w:szCs w:val="28"/>
          <w:vertAlign w:val="superscript"/>
          <w:lang w:val="en-US"/>
        </w:rPr>
        <w:t>st</w:t>
      </w:r>
      <w:r w:rsidRPr="00EB46F9">
        <w:rPr>
          <w:sz w:val="28"/>
          <w:szCs w:val="28"/>
          <w:lang w:val="uk-UA"/>
        </w:rPr>
        <w:t xml:space="preserve"> </w:t>
      </w:r>
      <w:r w:rsidRPr="00EB46F9">
        <w:rPr>
          <w:sz w:val="28"/>
          <w:szCs w:val="28"/>
          <w:lang w:val="en-US"/>
        </w:rPr>
        <w:t>ERA</w:t>
      </w:r>
      <w:r w:rsidRPr="00EB46F9">
        <w:rPr>
          <w:sz w:val="28"/>
          <w:szCs w:val="28"/>
          <w:lang w:val="uk-UA"/>
        </w:rPr>
        <w:t>-</w:t>
      </w:r>
      <w:r w:rsidRPr="00EB46F9">
        <w:rPr>
          <w:sz w:val="28"/>
          <w:szCs w:val="28"/>
          <w:lang w:val="en-US"/>
        </w:rPr>
        <w:t>EDTA</w:t>
      </w:r>
      <w:r w:rsidRPr="00EB46F9">
        <w:rPr>
          <w:sz w:val="28"/>
          <w:szCs w:val="28"/>
          <w:lang w:val="uk-UA"/>
        </w:rPr>
        <w:t xml:space="preserve"> (</w:t>
      </w:r>
      <w:r w:rsidRPr="00EB46F9">
        <w:rPr>
          <w:sz w:val="28"/>
          <w:szCs w:val="28"/>
          <w:lang w:val="en-US"/>
        </w:rPr>
        <w:t>Amsterdam</w:t>
      </w:r>
      <w:r w:rsidRPr="00EB46F9">
        <w:rPr>
          <w:sz w:val="28"/>
          <w:szCs w:val="28"/>
          <w:lang w:val="uk-UA"/>
        </w:rPr>
        <w:t xml:space="preserve">, </w:t>
      </w:r>
      <w:r w:rsidRPr="00EB46F9">
        <w:rPr>
          <w:sz w:val="28"/>
          <w:szCs w:val="28"/>
          <w:lang w:val="en-US"/>
        </w:rPr>
        <w:t>the</w:t>
      </w:r>
      <w:r w:rsidRPr="00EB46F9">
        <w:rPr>
          <w:sz w:val="28"/>
          <w:szCs w:val="28"/>
          <w:lang w:val="uk-UA"/>
        </w:rPr>
        <w:t xml:space="preserve"> </w:t>
      </w:r>
      <w:r w:rsidRPr="00EB46F9">
        <w:rPr>
          <w:sz w:val="28"/>
          <w:szCs w:val="28"/>
          <w:lang w:val="en-US"/>
        </w:rPr>
        <w:t>Netherlands</w:t>
      </w:r>
      <w:r>
        <w:rPr>
          <w:sz w:val="28"/>
          <w:szCs w:val="28"/>
          <w:lang w:val="uk-UA"/>
        </w:rPr>
        <w:t>, 2014</w:t>
      </w:r>
      <w:r w:rsidRPr="00EB46F9">
        <w:rPr>
          <w:sz w:val="28"/>
          <w:szCs w:val="28"/>
          <w:lang w:val="uk-UA"/>
        </w:rPr>
        <w:t xml:space="preserve">); всеукраїнській науково-практичній конференції з міжнародною участю «Щорічні терапевтичні читання: рання діагностика, </w:t>
      </w:r>
      <w:r w:rsidRPr="00EB46F9">
        <w:rPr>
          <w:sz w:val="28"/>
          <w:szCs w:val="28"/>
          <w:lang w:val="uk-UA"/>
        </w:rPr>
        <w:lastRenderedPageBreak/>
        <w:t>первинна та вторинна профілактика захворювань внутрішніх органів», присвячена 95-річчю з дня народження академіка Л.Т.Малої ДУ «Інститут терапії імені Л.Т. Малої НАМН України» (Харків, 2014); всеукраїнській науково-практичній конференції з участю міжнародних спеціалістів, присвяченої дню науки «Внесок молодих спеціалістів в розвиток медичної науки і практики» ДУ «Інститут терапії імені Л.Т. Малої НАМН України» (Харків, 2014); всеукраїнській науково-практичній конференції  молодих вчених «Медицина ХХІ століття», присвячено</w:t>
      </w:r>
      <w:r>
        <w:rPr>
          <w:sz w:val="28"/>
          <w:szCs w:val="28"/>
          <w:lang w:val="uk-UA"/>
        </w:rPr>
        <w:t xml:space="preserve">ї 90-річчю ХМАПО (Харків, 2014). </w:t>
      </w:r>
    </w:p>
    <w:p w:rsidR="00CE6207" w:rsidRDefault="00CE6207" w:rsidP="00CE6207">
      <w:pPr>
        <w:spacing w:line="360" w:lineRule="auto"/>
        <w:ind w:firstLine="709"/>
        <w:jc w:val="both"/>
        <w:rPr>
          <w:rFonts w:ascii="Times New Roman" w:hAnsi="Times New Roman" w:cs="Times New Roman"/>
          <w:bCs/>
          <w:color w:val="000000"/>
          <w:sz w:val="28"/>
          <w:szCs w:val="28"/>
          <w:lang w:val="uk-UA"/>
        </w:rPr>
      </w:pPr>
      <w:r w:rsidRPr="001A2E62">
        <w:rPr>
          <w:rFonts w:ascii="Times New Roman" w:hAnsi="Times New Roman" w:cs="Times New Roman"/>
          <w:b/>
          <w:color w:val="000000"/>
          <w:sz w:val="28"/>
          <w:szCs w:val="28"/>
          <w:lang w:val="uk-UA"/>
        </w:rPr>
        <w:t>Публікації.</w:t>
      </w:r>
      <w:r w:rsidRPr="001A2E62">
        <w:rPr>
          <w:rFonts w:ascii="Times New Roman" w:hAnsi="Times New Roman" w:cs="Times New Roman"/>
          <w:color w:val="000000"/>
          <w:sz w:val="28"/>
          <w:szCs w:val="28"/>
          <w:lang w:val="uk-UA"/>
        </w:rPr>
        <w:t xml:space="preserve"> </w:t>
      </w:r>
      <w:r w:rsidRPr="00CE3109">
        <w:rPr>
          <w:rFonts w:ascii="Times New Roman" w:hAnsi="Times New Roman" w:cs="Times New Roman"/>
          <w:bCs/>
          <w:color w:val="000000"/>
          <w:sz w:val="28"/>
          <w:szCs w:val="28"/>
          <w:lang w:val="uk-UA"/>
        </w:rPr>
        <w:t xml:space="preserve">За матеріалами дисертації опубліковано </w:t>
      </w:r>
      <w:r>
        <w:rPr>
          <w:rFonts w:ascii="Times New Roman" w:hAnsi="Times New Roman" w:cs="Times New Roman"/>
          <w:bCs/>
          <w:color w:val="000000"/>
          <w:sz w:val="28"/>
          <w:szCs w:val="28"/>
          <w:lang w:val="uk-UA"/>
        </w:rPr>
        <w:t>23</w:t>
      </w:r>
      <w:r w:rsidRPr="00CE3109">
        <w:rPr>
          <w:rFonts w:ascii="Times New Roman" w:hAnsi="Times New Roman" w:cs="Times New Roman"/>
          <w:bCs/>
          <w:color w:val="000000"/>
          <w:sz w:val="28"/>
          <w:szCs w:val="28"/>
          <w:lang w:val="uk-UA"/>
        </w:rPr>
        <w:t xml:space="preserve"> науков</w:t>
      </w:r>
      <w:r>
        <w:rPr>
          <w:rFonts w:ascii="Times New Roman" w:hAnsi="Times New Roman" w:cs="Times New Roman"/>
          <w:bCs/>
          <w:color w:val="000000"/>
          <w:sz w:val="28"/>
          <w:szCs w:val="28"/>
          <w:lang w:val="uk-UA"/>
        </w:rPr>
        <w:t>і</w:t>
      </w:r>
      <w:r w:rsidRPr="00CE3109">
        <w:rPr>
          <w:rFonts w:ascii="Times New Roman" w:hAnsi="Times New Roman" w:cs="Times New Roman"/>
          <w:bCs/>
          <w:color w:val="000000"/>
          <w:sz w:val="28"/>
          <w:szCs w:val="28"/>
          <w:lang w:val="uk-UA"/>
        </w:rPr>
        <w:t xml:space="preserve"> роб</w:t>
      </w:r>
      <w:r>
        <w:rPr>
          <w:rFonts w:ascii="Times New Roman" w:hAnsi="Times New Roman" w:cs="Times New Roman"/>
          <w:bCs/>
          <w:color w:val="000000"/>
          <w:sz w:val="28"/>
          <w:szCs w:val="28"/>
          <w:lang w:val="uk-UA"/>
        </w:rPr>
        <w:t>о</w:t>
      </w:r>
      <w:r w:rsidRPr="00CE3109">
        <w:rPr>
          <w:rFonts w:ascii="Times New Roman" w:hAnsi="Times New Roman" w:cs="Times New Roman"/>
          <w:bCs/>
          <w:color w:val="000000"/>
          <w:sz w:val="28"/>
          <w:szCs w:val="28"/>
          <w:lang w:val="uk-UA"/>
        </w:rPr>
        <w:t>т</w:t>
      </w:r>
      <w:r>
        <w:rPr>
          <w:rFonts w:ascii="Times New Roman" w:hAnsi="Times New Roman" w:cs="Times New Roman"/>
          <w:bCs/>
          <w:color w:val="000000"/>
          <w:sz w:val="28"/>
          <w:szCs w:val="28"/>
          <w:lang w:val="uk-UA"/>
        </w:rPr>
        <w:t>и</w:t>
      </w:r>
      <w:r w:rsidRPr="00CE3109">
        <w:rPr>
          <w:rFonts w:ascii="Times New Roman" w:hAnsi="Times New Roman" w:cs="Times New Roman"/>
          <w:bCs/>
          <w:color w:val="000000"/>
          <w:sz w:val="28"/>
          <w:szCs w:val="28"/>
          <w:lang w:val="uk-UA"/>
        </w:rPr>
        <w:t xml:space="preserve">, з яких </w:t>
      </w:r>
      <w:r>
        <w:rPr>
          <w:rFonts w:ascii="Times New Roman" w:hAnsi="Times New Roman" w:cs="Times New Roman"/>
          <w:bCs/>
          <w:color w:val="000000"/>
          <w:sz w:val="28"/>
          <w:szCs w:val="28"/>
          <w:lang w:val="uk-UA"/>
        </w:rPr>
        <w:t>11</w:t>
      </w:r>
      <w:r w:rsidRPr="00CE3109">
        <w:rPr>
          <w:rFonts w:ascii="Times New Roman" w:hAnsi="Times New Roman" w:cs="Times New Roman"/>
          <w:bCs/>
          <w:color w:val="000000"/>
          <w:sz w:val="28"/>
          <w:szCs w:val="28"/>
          <w:lang w:val="uk-UA"/>
        </w:rPr>
        <w:t xml:space="preserve"> стат</w:t>
      </w:r>
      <w:r>
        <w:rPr>
          <w:rFonts w:ascii="Times New Roman" w:hAnsi="Times New Roman" w:cs="Times New Roman"/>
          <w:bCs/>
          <w:color w:val="000000"/>
          <w:sz w:val="28"/>
          <w:szCs w:val="28"/>
          <w:lang w:val="uk-UA"/>
        </w:rPr>
        <w:t>ей:</w:t>
      </w:r>
      <w:r w:rsidRPr="00CE3109">
        <w:rPr>
          <w:rFonts w:ascii="Times New Roman" w:hAnsi="Times New Roman" w:cs="Times New Roman"/>
          <w:bCs/>
          <w:color w:val="000000"/>
          <w:sz w:val="28"/>
          <w:szCs w:val="28"/>
          <w:lang w:val="uk-UA"/>
        </w:rPr>
        <w:t xml:space="preserve"> </w:t>
      </w:r>
      <w:r>
        <w:rPr>
          <w:rFonts w:ascii="Times New Roman" w:hAnsi="Times New Roman" w:cs="Times New Roman"/>
          <w:bCs/>
          <w:color w:val="000000" w:themeColor="text1"/>
          <w:sz w:val="28"/>
          <w:szCs w:val="28"/>
          <w:lang w:val="uk-UA"/>
        </w:rPr>
        <w:t xml:space="preserve">6 - </w:t>
      </w:r>
      <w:r w:rsidRPr="00CE3109">
        <w:rPr>
          <w:rFonts w:ascii="Times New Roman" w:hAnsi="Times New Roman" w:cs="Times New Roman"/>
          <w:bCs/>
          <w:color w:val="000000"/>
          <w:sz w:val="28"/>
          <w:szCs w:val="28"/>
          <w:lang w:val="uk-UA"/>
        </w:rPr>
        <w:t xml:space="preserve">у фахових виданнях, рекомендованих </w:t>
      </w:r>
      <w:r w:rsidRPr="003C380B">
        <w:rPr>
          <w:rFonts w:ascii="Times New Roman" w:hAnsi="Times New Roman" w:cs="Times New Roman"/>
          <w:bCs/>
          <w:color w:val="000000" w:themeColor="text1"/>
          <w:sz w:val="28"/>
          <w:szCs w:val="28"/>
          <w:lang w:val="uk-UA"/>
        </w:rPr>
        <w:t>МОН</w:t>
      </w:r>
      <w:r w:rsidRPr="00CE3109">
        <w:rPr>
          <w:rFonts w:ascii="Times New Roman" w:hAnsi="Times New Roman" w:cs="Times New Roman"/>
          <w:bCs/>
          <w:color w:val="000000"/>
          <w:sz w:val="28"/>
          <w:szCs w:val="28"/>
          <w:lang w:val="uk-UA"/>
        </w:rPr>
        <w:t xml:space="preserve"> Україн</w:t>
      </w:r>
      <w:r w:rsidRPr="00CE3109">
        <w:rPr>
          <w:rFonts w:ascii="Times New Roman" w:hAnsi="Times New Roman" w:cs="Times New Roman"/>
          <w:bCs/>
          <w:sz w:val="28"/>
          <w:szCs w:val="28"/>
          <w:lang w:val="uk-UA"/>
        </w:rPr>
        <w:t>и</w:t>
      </w:r>
      <w:r>
        <w:rPr>
          <w:rFonts w:ascii="Times New Roman" w:hAnsi="Times New Roman" w:cs="Times New Roman"/>
          <w:bCs/>
          <w:sz w:val="28"/>
          <w:szCs w:val="28"/>
          <w:lang w:val="uk-UA"/>
        </w:rPr>
        <w:t>;</w:t>
      </w:r>
      <w:r w:rsidRPr="00CE3109">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4</w:t>
      </w:r>
      <w:r w:rsidRPr="00CE3109">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 </w:t>
      </w:r>
      <w:r w:rsidRPr="00CE3109">
        <w:rPr>
          <w:rFonts w:ascii="Times New Roman" w:hAnsi="Times New Roman" w:cs="Times New Roman"/>
          <w:bCs/>
          <w:color w:val="000000"/>
          <w:sz w:val="28"/>
          <w:szCs w:val="28"/>
          <w:lang w:val="uk-UA"/>
        </w:rPr>
        <w:t>закордонн</w:t>
      </w:r>
      <w:r>
        <w:rPr>
          <w:rFonts w:ascii="Times New Roman" w:hAnsi="Times New Roman" w:cs="Times New Roman"/>
          <w:bCs/>
          <w:color w:val="000000"/>
          <w:sz w:val="28"/>
          <w:szCs w:val="28"/>
          <w:lang w:val="uk-UA"/>
        </w:rPr>
        <w:t>і</w:t>
      </w:r>
      <w:r w:rsidRPr="00CE3109">
        <w:rPr>
          <w:rFonts w:ascii="Times New Roman" w:hAnsi="Times New Roman" w:cs="Times New Roman"/>
          <w:bCs/>
          <w:color w:val="000000"/>
          <w:sz w:val="28"/>
          <w:szCs w:val="28"/>
          <w:lang w:val="uk-UA"/>
        </w:rPr>
        <w:t xml:space="preserve"> публікаці</w:t>
      </w:r>
      <w:r>
        <w:rPr>
          <w:rFonts w:ascii="Times New Roman" w:hAnsi="Times New Roman" w:cs="Times New Roman"/>
          <w:bCs/>
          <w:color w:val="000000"/>
          <w:sz w:val="28"/>
          <w:szCs w:val="28"/>
          <w:lang w:val="uk-UA"/>
        </w:rPr>
        <w:t xml:space="preserve">ї; </w:t>
      </w:r>
      <w:r w:rsidRPr="00A25053">
        <w:rPr>
          <w:rFonts w:ascii="Times New Roman" w:hAnsi="Times New Roman" w:cs="Times New Roman"/>
          <w:bCs/>
          <w:color w:val="000000"/>
          <w:sz w:val="28"/>
          <w:szCs w:val="28"/>
          <w:lang w:val="uk-UA"/>
        </w:rPr>
        <w:t>1 стаття у інших виданнях</w:t>
      </w:r>
      <w:r>
        <w:rPr>
          <w:rFonts w:ascii="Times New Roman" w:hAnsi="Times New Roman" w:cs="Times New Roman"/>
          <w:bCs/>
          <w:color w:val="000000"/>
          <w:sz w:val="28"/>
          <w:szCs w:val="28"/>
          <w:lang w:val="uk-UA"/>
        </w:rPr>
        <w:t xml:space="preserve">; </w:t>
      </w:r>
      <w:r w:rsidRPr="00A25053">
        <w:rPr>
          <w:rFonts w:ascii="Times New Roman" w:hAnsi="Times New Roman" w:cs="Times New Roman"/>
          <w:bCs/>
          <w:color w:val="000000"/>
          <w:sz w:val="28"/>
          <w:szCs w:val="28"/>
          <w:lang w:val="uk-UA"/>
        </w:rPr>
        <w:t>1 деклараційний патент на винахід</w:t>
      </w:r>
      <w:r>
        <w:rPr>
          <w:rFonts w:ascii="Times New Roman" w:hAnsi="Times New Roman" w:cs="Times New Roman"/>
          <w:bCs/>
          <w:color w:val="000000"/>
          <w:sz w:val="28"/>
          <w:szCs w:val="28"/>
          <w:lang w:val="uk-UA"/>
        </w:rPr>
        <w:t xml:space="preserve">; </w:t>
      </w:r>
      <w:r w:rsidRPr="00CE3109">
        <w:rPr>
          <w:rFonts w:ascii="Times New Roman" w:hAnsi="Times New Roman" w:cs="Times New Roman"/>
          <w:bCs/>
          <w:color w:val="000000"/>
          <w:sz w:val="28"/>
          <w:szCs w:val="28"/>
          <w:lang w:val="uk-UA"/>
        </w:rPr>
        <w:t>1</w:t>
      </w:r>
      <w:r>
        <w:rPr>
          <w:rFonts w:ascii="Times New Roman" w:hAnsi="Times New Roman" w:cs="Times New Roman"/>
          <w:bCs/>
          <w:color w:val="000000"/>
          <w:sz w:val="28"/>
          <w:szCs w:val="28"/>
          <w:lang w:val="uk-UA"/>
        </w:rPr>
        <w:t>2</w:t>
      </w:r>
      <w:r w:rsidRPr="00CE3109">
        <w:rPr>
          <w:rFonts w:ascii="Times New Roman" w:hAnsi="Times New Roman" w:cs="Times New Roman"/>
          <w:bCs/>
          <w:color w:val="000000"/>
          <w:sz w:val="28"/>
          <w:szCs w:val="28"/>
          <w:lang w:val="uk-UA"/>
        </w:rPr>
        <w:t xml:space="preserve"> тез у збірниках матеріалів наукових і науково-практичних конференцій (в т.ч. - </w:t>
      </w:r>
      <w:r>
        <w:rPr>
          <w:rFonts w:ascii="Times New Roman" w:hAnsi="Times New Roman" w:cs="Times New Roman"/>
          <w:bCs/>
          <w:color w:val="000000"/>
          <w:sz w:val="28"/>
          <w:szCs w:val="28"/>
          <w:lang w:val="uk-UA"/>
        </w:rPr>
        <w:t>2</w:t>
      </w:r>
      <w:r w:rsidRPr="00CE3109">
        <w:rPr>
          <w:rFonts w:ascii="Times New Roman" w:hAnsi="Times New Roman" w:cs="Times New Roman"/>
          <w:bCs/>
          <w:color w:val="000000"/>
          <w:sz w:val="28"/>
          <w:szCs w:val="28"/>
          <w:lang w:val="uk-UA"/>
        </w:rPr>
        <w:t xml:space="preserve"> у закордонних виданнях)</w:t>
      </w:r>
      <w:r>
        <w:rPr>
          <w:rFonts w:ascii="Times New Roman" w:hAnsi="Times New Roman" w:cs="Times New Roman"/>
          <w:bCs/>
          <w:color w:val="000000"/>
          <w:sz w:val="28"/>
          <w:szCs w:val="28"/>
          <w:lang w:val="uk-UA"/>
        </w:rPr>
        <w:t>.</w:t>
      </w:r>
    </w:p>
    <w:p w:rsidR="00CE6207" w:rsidRDefault="00CE6207" w:rsidP="00CE6207">
      <w:pPr>
        <w:spacing w:after="0" w:line="360" w:lineRule="auto"/>
        <w:ind w:firstLine="709"/>
        <w:jc w:val="both"/>
        <w:rPr>
          <w:color w:val="000000" w:themeColor="text1"/>
          <w:sz w:val="28"/>
          <w:szCs w:val="28"/>
          <w:lang w:val="uk-UA"/>
        </w:rPr>
      </w:pPr>
      <w:r w:rsidRPr="00BB693D">
        <w:rPr>
          <w:color w:val="000000" w:themeColor="text1"/>
          <w:sz w:val="28"/>
          <w:szCs w:val="28"/>
          <w:lang w:val="uk-UA"/>
        </w:rPr>
        <w:t>Список публікацій:</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Chub O. Extended Spectrum Beta-Lactamase Production in uropathogens from hospitalized patients with chronic pyelonephritis / O. Chub, A. Bilchenko, I. Khalin // The Open Urology and Nephrology Journal. – 2015. - №8. – P. 71-75. (Здобувач провела аналіз та обробку даних, узагальнення і тлумачення отриманих результатів, підготовила статтю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Выявляемость плазмид-индуцированных генных механизмов резистентности у больных пиелонефритом / О.И. Чуб // Експериментальна і клінічна медицина. – 2013. - №3(60). – С.64-67. (Здобувачу належить ідея дослідження, огляд сучасної літератури з проблеми, набір матеріалу, статистична обробка даних, узагальнення і тлумачення отриманих результатів, підготовка матеріалів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Чуб О.І. Основні фактори, пов'язані з наявністю плазмід-індукованих механізмів резистентності до антибіотиків у хворих на хронічний </w:t>
      </w:r>
      <w:r w:rsidRPr="00A25053">
        <w:rPr>
          <w:rFonts w:asciiTheme="minorHAnsi" w:hAnsiTheme="minorHAnsi" w:cstheme="minorHAnsi"/>
          <w:color w:val="000000" w:themeColor="text1"/>
          <w:sz w:val="28"/>
          <w:szCs w:val="28"/>
          <w:lang w:val="uk-UA"/>
        </w:rPr>
        <w:lastRenderedPageBreak/>
        <w:t>пієлонефрит / О.І. Чуб // Експериментальна і клінічна медицина. – 2013. - №4(61). – С.85-88. (Здобувач провела аналіз та обробку даних, узагальнення і тлумачення отриманих результатів, підготовила статтю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Чуб О.І. Вплив плазмід-індукованих механізмів резистентності на клінічну і бактеріологічну ефективність антибіотико-терапії у хворих на хронічний пієлонефрит / О.І. Чуб // Український терапевтичний журнал. – 2014. - №2 (41). – С.70-74. (Здобувач провела клінічне обстеження пацієнтів, лабораторне дослідження, статистичну обробку даних, узагальнення і тлумачення отриманих результатів, підготовка статті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Плазмид-индуцированная резистентность возбудителей инфекций мочевой системы / А.В. Бильченко, О.И. Чуб // Український журнал нефрології та діалізу. – 2014. - №2(42). – С.45-50. (Здобувачу належить ідея дослідження, огляд сучасної літератури з проблеми, підготовка статті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О.І. Виявлення плазмід-індукованих генів резистентності у хворих на хронічний пієлонефрит з і без супутнього цукрового діабету 2 типу / О.І. Чуб, О.В. Більченко // Журнал Нирки. – 2014. - №4 (10). – С. 17-19. (Здобувач провела клінічне обстеження пацієнтів, лабораторне дослідження, статистичну обробку даних, узагальнення і тлумачення отриманих результатів, підготовила статтю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Чуб О.И. Распространенность βЛРС типов TEM, SHV, CTX-M среди возбудителей хронического пиелонефрита / А.В. Бильченко, О.И. Чуб // Журнал Антибиотики и химиотерапия. – 2014. - №11-12(59). – С. 24-26. (Здобувач провела аналіз та обробку даних, узагальнення і тлумачення отриманих результатів, підготовила статтю до друку). </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Chub O.I. Extended Spectrum Beta-Lactamase Production in uropathogens from hospitalized patients with chronic pyelonephritis / O.I. Chub, A.V. Bilchenko,      I.V. Khalin // ISN Website </w:t>
      </w:r>
      <w:r w:rsidRPr="00A25053">
        <w:rPr>
          <w:rFonts w:asciiTheme="minorHAnsi" w:hAnsiTheme="minorHAnsi" w:cstheme="minorHAnsi"/>
          <w:color w:val="000000" w:themeColor="text1"/>
          <w:sz w:val="28"/>
          <w:szCs w:val="28"/>
          <w:lang w:val="uk-UA"/>
        </w:rPr>
        <w:lastRenderedPageBreak/>
        <w:t>(http://www.theisn.org/education/education-topics/glomerular-disease/item/1755-extended-spectrum-beta-lactamase-production-in-uropathogens-isolated-from-hospitalized-patients-with-chronic-pyelonephritis). (Здобувачу належить ідея дослідження, огляд сучасної літератури з проблеми, набір матеріалу, статистична обробка даних, узагальнення і тлумачення отриманих результатів, підготовка матеріалів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Чуб О.И. Эффективность эмпирической антибиотико-терапии пиелонефрита у пациентов с СД 2 типа и без него в зависимости от наличия плазмидных генов резистентности / О.И. Чуб, А.В. Бильченко // Georgian Medical News.-2015. - №2(239). – С.39-44. (Здобувач провела клінічне обстеження пацієнтів, лабораторне дослідження, статистичну обробку даних, узагальнення і тлумачення отриманих результатів, підготовила статтю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Оптимизация антибиотико-терапии больных хроническим пиелонефритом, который сочетается с сахарным диабетом 2 типа путем оценки экспрессии плазмидных генов резистентности / О.И. Чуб,                  А.В. Бильченко // ScienceRise. – 2015. - №7/4(12). – С. 102-106. (Здобувач провела аналіз та обробку даних, узагальнення і тлумачення отриманих результатів, підготовила статтю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О.І. Фактори ризику виявлення плазмід-індукованих механізмів резистентності у хворих на хронічний пієлонефрит на тлі цукрового діабету 2 типу / Більченко О.В., Чуб О.І. // Проблеми безперервної медичної освіти та науки. – 2015. - №3 (19). – С. 28-31. (Здобувачу належить ідея дослідження, огляд сучасної літератури з проблеми, набір матеріалу, статистична обробка даних, узагальнення і тлумачення отриманих результатів, підготовка матеріалів до друку).</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Патент №91242, UA, МПК (2006.01) G 01 N 33/48. Спосіб диференційного підбору антибактеріальної терапії хворих на хронічний пієлонефрит / О.І. Чуб, О.В. Більченко; Харківська медична академія </w:t>
      </w:r>
      <w:r w:rsidRPr="00A25053">
        <w:rPr>
          <w:rFonts w:asciiTheme="minorHAnsi" w:hAnsiTheme="minorHAnsi" w:cstheme="minorHAnsi"/>
          <w:color w:val="000000" w:themeColor="text1"/>
          <w:sz w:val="28"/>
          <w:szCs w:val="28"/>
          <w:lang w:val="uk-UA"/>
        </w:rPr>
        <w:lastRenderedPageBreak/>
        <w:t>післядипломної освіти. – u 2014 00982 від 25.06.2014, Бюл. №12. (Здобувачем проведено аналіз даних, розробку формули корисної моделі, підготовку опису корисної моделі для експертизи).</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Чуб О.И. Роль плазмид-индуцированных механизмов в формировании антибиотикорезистентности у больных хроническим пиелонефритом /        О.И. Чуб, А.В. Бильченко // Актуальні питання профілактики, діагностики та лікування в практиці сімейного лікаря: матеріали науково-практичної конференції з міжнародною участю. – Харків: ХМАПО, 2012. – С.115-116. </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Плазмид-индуцированные генные механизмы антибиотикорезистентности у больных хроническим пиелонефритом /        О.И. Чуб, А.В. Бильченко // Щорічні терапевтичні читання: оптимізація профілактики, діагностики та лікування в клініці внутрішніх хвороб: матеріали науково-практичної конференції. – Харків: ДУ «Національний інститут терапії імені Л.Т. Малої НАМН України», 2012. – С. 256.</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Чуб О.И. Опосредованные плазмидами генные механизмы устойчивости к антибиотикам у больных пиелонефритом / О.И. Чуб, А.В. Бильченко // Мультидисциплінарний підхід – ключ до успішної терапевтичної науки та практики: матеріали науково-практичної конференції. – Харків: ДУ «Національний інститут терапії імені Л.Т. Малої НАМН України», 2012. – С. 261. </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Антибиотико-резистентность, связанная с выработкой β-лактамаз расширенного спектра действия у больных пиелонефритом / О.И. Чуб // Медицина ХХІ століття: матеріали науково-практичної конференції молодих вчених з міжнародною участю. – Харків: ХМАПО, 2012. – С. 103-104.</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О.И. Повышение эффективности терапии больных хроническим пиелонефритом и сопутствующим сахарным диабетом 2 типа на основании изучения генетических механизмов антибиотико-</w:t>
      </w:r>
      <w:r w:rsidRPr="00A25053">
        <w:rPr>
          <w:rFonts w:asciiTheme="minorHAnsi" w:hAnsiTheme="minorHAnsi" w:cstheme="minorHAnsi"/>
          <w:color w:val="000000" w:themeColor="text1"/>
          <w:sz w:val="28"/>
          <w:szCs w:val="28"/>
          <w:lang w:val="uk-UA"/>
        </w:rPr>
        <w:lastRenderedPageBreak/>
        <w:t>резистентности / О.И. Чуб, А.В. Бильченко // Щорічні терапевтичні читання: лікувально-діагностичні технології сучасної терапії: матеріали науково-практичної конференції з міжнародною участю. – Харків: ДУ «Національний інститут терапії імені Л.Т. Малої НАМН України», 2013. – С. 328.</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Чуб О.И. Индуцированные плазмидами механизмы антибиотико-резистентности у больных хроническим пиелонефритом и сопутствующим сахарным диабетом 2 типа / О.И. Чуб, А.В. Бильченко // Матеріали ІV з'їзду нефрологів України. – Київ: Український журнал нефрології та діалізу, 2013. – С.48-49. </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Чуб О.И. Эффективность антибиотикотерапии больных хроническим пиелонефритом в зависимости от наличия плазмид-опосредованных механизмов резистентности / А.В. Бильченко, О.И. Чуб // Медицина ХХІ століття: матеріали науково-практичної конференції молодих вчених, присвяченої 90-річчю ХМАПО. – Харків: ХМАПО, 2013. – С. 9-10. </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Чуб О.І. Виявлення плазмід-індукованих β-лактамаз розширеного спектру дії типів ТЕМ, SHV і СТХ-М у хворих на хронічний пієлонефрит / О.І. Чуб,     О.В. Більченко // Загальнотерапевтична практика: нові технології та міждисциплінарні питання: матеріали науково-практичної конференції. – Харків: ДУ «Національний інститут терапії імені Л.Т. Малої НАМН України», 2013. – С. 328.</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Chub O. The presence of plasmid-mediated ESBLs in uropathogens isolated from patients with chronic pyelonephritis / O. Chub // 51st ERA-EDTA Congress. -  Amsterdam: Nephrology Dialysis Transplantation, 2014. – С. 346.</w:t>
      </w:r>
    </w:p>
    <w:p w:rsidR="00CE6207" w:rsidRPr="00A25053"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Чуб О.И. Проблема антибиотико-резистентности возбудителей хронического пиелонефрита: фокус на плазмид-индуцированную резистентность / О.И. Чуб // Внесок молодих спеціалістів в розвиток медичної науки і практики: матеріали науково-практичної конференції </w:t>
      </w:r>
      <w:r w:rsidRPr="00A25053">
        <w:rPr>
          <w:rFonts w:asciiTheme="minorHAnsi" w:hAnsiTheme="minorHAnsi" w:cstheme="minorHAnsi"/>
          <w:color w:val="000000" w:themeColor="text1"/>
          <w:sz w:val="28"/>
          <w:szCs w:val="28"/>
          <w:lang w:val="uk-UA"/>
        </w:rPr>
        <w:lastRenderedPageBreak/>
        <w:t>з участю міжнародних спеціалістів, присвяченої дню науки. – Харків: ДУ «Національний інститут терапії імені Л.Т. Малої НАМН України», 2014. – С. 212-213.</w:t>
      </w:r>
    </w:p>
    <w:p w:rsidR="00CE6207" w:rsidRPr="007979B2" w:rsidRDefault="00CE6207" w:rsidP="00CE6207">
      <w:pPr>
        <w:pStyle w:val="ab"/>
        <w:numPr>
          <w:ilvl w:val="0"/>
          <w:numId w:val="2"/>
        </w:numPr>
        <w:spacing w:after="0" w:line="360" w:lineRule="auto"/>
        <w:jc w:val="both"/>
        <w:rPr>
          <w:rFonts w:asciiTheme="minorHAnsi" w:hAnsiTheme="minorHAnsi" w:cstheme="minorHAnsi"/>
          <w:color w:val="000000" w:themeColor="text1"/>
          <w:sz w:val="28"/>
          <w:szCs w:val="28"/>
          <w:lang w:val="uk-UA"/>
        </w:rPr>
      </w:pPr>
      <w:r w:rsidRPr="00A25053">
        <w:rPr>
          <w:rFonts w:asciiTheme="minorHAnsi" w:hAnsiTheme="minorHAnsi" w:cstheme="minorHAnsi"/>
          <w:color w:val="000000" w:themeColor="text1"/>
          <w:sz w:val="28"/>
          <w:szCs w:val="28"/>
          <w:lang w:val="uk-UA"/>
        </w:rPr>
        <w:t xml:space="preserve"> Чуб О.И. Распространенность плазмидных генов резистентности у больных хроническим пиелонефритом с и без сопутствующего сахарного диабета 2 типа / О.И. Чуб, А.В. Бильченко, М.А. Власенко // Медицина ХХІ століття: матеріали науково-практичної конференції молодих вчених, присвяченої 90-річчю ХМАПО. – Харків: ХМАПО, 2014. – С. 24.</w:t>
      </w: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3A0A00">
      <w:pPr>
        <w:jc w:val="both"/>
        <w:rPr>
          <w:sz w:val="28"/>
          <w:szCs w:val="28"/>
          <w:lang w:val="uk-UA"/>
        </w:rPr>
      </w:pPr>
    </w:p>
    <w:p w:rsidR="00CE6207" w:rsidRDefault="00CE6207" w:rsidP="00CE6207">
      <w:pPr>
        <w:jc w:val="center"/>
        <w:rPr>
          <w:b/>
          <w:sz w:val="28"/>
          <w:szCs w:val="28"/>
          <w:lang w:val="uk-UA"/>
        </w:rPr>
      </w:pPr>
      <w:r>
        <w:rPr>
          <w:b/>
          <w:sz w:val="28"/>
          <w:szCs w:val="28"/>
          <w:lang w:val="uk-UA"/>
        </w:rPr>
        <w:lastRenderedPageBreak/>
        <w:t>ГЛАВА</w:t>
      </w:r>
      <w:r w:rsidRPr="00DD17B1">
        <w:rPr>
          <w:b/>
          <w:sz w:val="28"/>
          <w:szCs w:val="28"/>
          <w:lang w:val="uk-UA"/>
        </w:rPr>
        <w:t xml:space="preserve"> 1</w:t>
      </w:r>
    </w:p>
    <w:p w:rsidR="00CE6207" w:rsidRDefault="00CE6207" w:rsidP="00CE6207">
      <w:pPr>
        <w:jc w:val="center"/>
        <w:rPr>
          <w:b/>
          <w:sz w:val="28"/>
          <w:szCs w:val="28"/>
          <w:lang w:val="uk-UA"/>
        </w:rPr>
      </w:pPr>
      <w:r>
        <w:rPr>
          <w:b/>
          <w:sz w:val="28"/>
          <w:szCs w:val="28"/>
          <w:lang w:val="uk-UA"/>
        </w:rPr>
        <w:t>ОГЛЯД ЛІТЕРАТУРИ</w:t>
      </w:r>
    </w:p>
    <w:p w:rsidR="00CE6207" w:rsidRDefault="00CE6207" w:rsidP="00CE6207">
      <w:pPr>
        <w:spacing w:line="360" w:lineRule="auto"/>
        <w:jc w:val="center"/>
        <w:rPr>
          <w:b/>
          <w:sz w:val="28"/>
          <w:szCs w:val="28"/>
          <w:lang w:val="uk-UA"/>
        </w:rPr>
      </w:pPr>
      <w:r>
        <w:rPr>
          <w:b/>
          <w:sz w:val="28"/>
          <w:szCs w:val="28"/>
          <w:lang w:val="uk-UA"/>
        </w:rPr>
        <w:t>СУЧАСНІ ПОГЛЯДИ НА РОЛЬ ПЛАЗМІД-ІНДУКОВАНИХ МЕХАНІЗМІВ У ФОРМУВАННІ АНТИБІОТИКО-РЕЗИСТЕНТНОСТІ У ХВОРИХ НА ХРОНІЧНИЙ ПІЄЛОНЕФРИТ І СУПУТНІЙ ЦУКРОВИЙ ДІАБЕТ 2 ТИПУ</w:t>
      </w:r>
    </w:p>
    <w:p w:rsidR="00CE6207" w:rsidRDefault="00CE6207" w:rsidP="00CE6207">
      <w:pPr>
        <w:spacing w:line="360" w:lineRule="auto"/>
        <w:jc w:val="both"/>
        <w:rPr>
          <w:b/>
          <w:sz w:val="28"/>
          <w:szCs w:val="28"/>
          <w:lang w:val="uk-UA"/>
        </w:rPr>
      </w:pPr>
      <w:r>
        <w:rPr>
          <w:b/>
          <w:sz w:val="28"/>
          <w:szCs w:val="28"/>
          <w:lang w:val="uk-UA"/>
        </w:rPr>
        <w:t>1.1 Статистико-епідеміологічні дані щодо поширеності хронічного пієлонефриту в загальній популяції та серед пацієнтів із ЦД 2 типу.</w:t>
      </w:r>
    </w:p>
    <w:p w:rsidR="00CE6207" w:rsidRDefault="00CE6207" w:rsidP="00CE6207">
      <w:pPr>
        <w:spacing w:after="0" w:line="360" w:lineRule="auto"/>
        <w:ind w:firstLine="709"/>
        <w:jc w:val="both"/>
        <w:rPr>
          <w:rFonts w:cstheme="minorHAnsi"/>
          <w:color w:val="000000" w:themeColor="text1"/>
          <w:sz w:val="28"/>
          <w:szCs w:val="28"/>
          <w:lang w:val="uk-UA"/>
        </w:rPr>
      </w:pPr>
      <w:r>
        <w:rPr>
          <w:sz w:val="28"/>
          <w:szCs w:val="28"/>
          <w:lang w:val="uk-UA"/>
        </w:rPr>
        <w:t>Інфекції сечової системи</w:t>
      </w:r>
      <w:r w:rsidRPr="005E1A55">
        <w:rPr>
          <w:sz w:val="28"/>
          <w:szCs w:val="28"/>
          <w:lang w:val="uk-UA"/>
        </w:rPr>
        <w:t xml:space="preserve"> </w:t>
      </w:r>
      <w:r>
        <w:rPr>
          <w:sz w:val="28"/>
          <w:szCs w:val="28"/>
          <w:lang w:val="uk-UA"/>
        </w:rPr>
        <w:t xml:space="preserve">(ІСС) </w:t>
      </w:r>
      <w:r w:rsidRPr="005E1A55">
        <w:rPr>
          <w:sz w:val="28"/>
          <w:szCs w:val="28"/>
          <w:lang w:val="uk-UA"/>
        </w:rPr>
        <w:t xml:space="preserve">є </w:t>
      </w:r>
      <w:r>
        <w:rPr>
          <w:sz w:val="28"/>
          <w:szCs w:val="28"/>
          <w:lang w:val="uk-UA"/>
        </w:rPr>
        <w:t xml:space="preserve">найбільш поширеною групою інфекційних захворювань у всьому світі </w:t>
      </w:r>
      <w:r>
        <w:rPr>
          <w:rFonts w:cstheme="minorHAnsi"/>
          <w:sz w:val="28"/>
          <w:szCs w:val="28"/>
          <w:lang w:val="uk-UA"/>
        </w:rPr>
        <w:t>[</w:t>
      </w:r>
      <w:r>
        <w:rPr>
          <w:rFonts w:cstheme="minorHAnsi"/>
          <w:color w:val="000000"/>
          <w:sz w:val="28"/>
          <w:szCs w:val="28"/>
          <w:lang w:val="uk-UA"/>
        </w:rPr>
        <w:t>40, 86</w:t>
      </w:r>
      <w:r w:rsidRPr="00304924">
        <w:rPr>
          <w:rFonts w:cstheme="minorHAnsi"/>
          <w:color w:val="000000"/>
          <w:sz w:val="28"/>
          <w:szCs w:val="28"/>
          <w:lang w:val="uk-UA"/>
        </w:rPr>
        <w:t>]</w:t>
      </w:r>
      <w:r>
        <w:rPr>
          <w:rFonts w:cstheme="minorHAnsi"/>
          <w:color w:val="000000"/>
          <w:sz w:val="28"/>
          <w:szCs w:val="28"/>
          <w:lang w:val="uk-UA"/>
        </w:rPr>
        <w:t xml:space="preserve">. </w:t>
      </w:r>
      <w:r>
        <w:rPr>
          <w:sz w:val="28"/>
          <w:szCs w:val="28"/>
          <w:lang w:val="uk-UA"/>
        </w:rPr>
        <w:t>В Україні щорічно збільшується поширеність ІСС, переважно за рахунок хронічного пієлонефриту (ХП), оскільки на його долю в структурі вказаної групи хвороб припадає більше 90% випадків</w:t>
      </w:r>
      <w:r>
        <w:rPr>
          <w:rFonts w:cstheme="minorHAnsi"/>
          <w:spacing w:val="1"/>
          <w:sz w:val="28"/>
          <w:szCs w:val="28"/>
          <w:lang w:val="uk-UA"/>
        </w:rPr>
        <w:t xml:space="preserve">. </w:t>
      </w:r>
      <w:r>
        <w:rPr>
          <w:sz w:val="28"/>
          <w:szCs w:val="28"/>
          <w:lang w:val="uk-UA"/>
        </w:rPr>
        <w:t xml:space="preserve">Так, у 2006 році питома вага хронічного пієлонефриту за причинами розвитку хронічної хвороби нирок (ХХН) </w:t>
      </w:r>
      <w:r>
        <w:rPr>
          <w:rFonts w:cstheme="minorHAnsi"/>
          <w:sz w:val="28"/>
          <w:szCs w:val="28"/>
          <w:lang w:val="uk-UA"/>
        </w:rPr>
        <w:t>I</w:t>
      </w:r>
      <w:r>
        <w:rPr>
          <w:sz w:val="28"/>
          <w:szCs w:val="28"/>
          <w:lang w:val="uk-UA"/>
        </w:rPr>
        <w:t xml:space="preserve"> стадії склала 40,7%; захворюваність серед загальної кількості хворих на ХХН становила 40743 (87,2/100000 населення), поширеність – 381772 (816,6/100000 населення) </w:t>
      </w:r>
      <w:r w:rsidRPr="004B47A2">
        <w:rPr>
          <w:rFonts w:cstheme="minorHAnsi"/>
          <w:spacing w:val="1"/>
          <w:sz w:val="28"/>
          <w:szCs w:val="28"/>
          <w:lang w:val="uk-UA"/>
        </w:rPr>
        <w:t>[</w:t>
      </w:r>
      <w:r>
        <w:rPr>
          <w:spacing w:val="1"/>
          <w:sz w:val="28"/>
          <w:szCs w:val="28"/>
          <w:lang w:val="uk-UA"/>
        </w:rPr>
        <w:t>3</w:t>
      </w:r>
      <w:r>
        <w:rPr>
          <w:rFonts w:cstheme="minorHAnsi"/>
          <w:spacing w:val="1"/>
          <w:sz w:val="28"/>
          <w:szCs w:val="28"/>
          <w:lang w:val="uk-UA"/>
        </w:rPr>
        <w:t xml:space="preserve">]. Крім того, ХП </w:t>
      </w:r>
      <w:r>
        <w:rPr>
          <w:rFonts w:cstheme="minorHAnsi"/>
          <w:color w:val="000000" w:themeColor="text1"/>
          <w:sz w:val="28"/>
          <w:szCs w:val="28"/>
          <w:lang w:val="uk-UA"/>
        </w:rPr>
        <w:t>в структурі причин ХХН V ст., за даними офіційного реєстру хворих з ХХН в Україні за 2012 рік, займає провідну позицію [8]. В США з приводу ІСС відбувається</w:t>
      </w:r>
      <w:r w:rsidRPr="004F2DEA">
        <w:rPr>
          <w:rFonts w:cstheme="minorHAnsi"/>
          <w:color w:val="000000" w:themeColor="text1"/>
          <w:sz w:val="28"/>
          <w:szCs w:val="28"/>
          <w:lang w:val="uk-UA"/>
        </w:rPr>
        <w:t xml:space="preserve"> понад 100,000 госпіталізацій щорічно, найчастіше з приводу пієлонефриту (ПН). Практично 15% всіх амбулаторних приписів антибактеріальних препаратів (АБП) відбувається з приводу І</w:t>
      </w:r>
      <w:r>
        <w:rPr>
          <w:rFonts w:cstheme="minorHAnsi"/>
          <w:color w:val="000000" w:themeColor="text1"/>
          <w:sz w:val="28"/>
          <w:szCs w:val="28"/>
          <w:lang w:val="uk-UA"/>
        </w:rPr>
        <w:t>С</w:t>
      </w:r>
      <w:r w:rsidRPr="004F2DEA">
        <w:rPr>
          <w:rFonts w:cstheme="minorHAnsi"/>
          <w:color w:val="000000" w:themeColor="text1"/>
          <w:sz w:val="28"/>
          <w:szCs w:val="28"/>
          <w:lang w:val="uk-UA"/>
        </w:rPr>
        <w:t>С [</w:t>
      </w:r>
      <w:r>
        <w:rPr>
          <w:sz w:val="28"/>
          <w:szCs w:val="28"/>
          <w:lang w:val="uk-UA"/>
        </w:rPr>
        <w:t>77</w:t>
      </w:r>
      <w:r w:rsidRPr="004F2DEA">
        <w:rPr>
          <w:rFonts w:cstheme="minorHAnsi"/>
          <w:color w:val="000000" w:themeColor="text1"/>
          <w:sz w:val="28"/>
          <w:szCs w:val="28"/>
          <w:lang w:val="uk-UA"/>
        </w:rPr>
        <w:t>].</w:t>
      </w:r>
    </w:p>
    <w:p w:rsidR="00CE6207" w:rsidRPr="008405A2" w:rsidRDefault="00CE6207" w:rsidP="00CE6207">
      <w:pPr>
        <w:spacing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t xml:space="preserve">На тлі цукрового діабету, який визнаний </w:t>
      </w:r>
      <w:r w:rsidRPr="00775701">
        <w:rPr>
          <w:sz w:val="28"/>
          <w:szCs w:val="28"/>
          <w:lang w:val="uk-UA"/>
        </w:rPr>
        <w:t>Всесвітньою організацією охорони здоров'я (ВООЗ) як неінфекційна епідемія 21 століття</w:t>
      </w:r>
      <w:r>
        <w:rPr>
          <w:sz w:val="28"/>
          <w:szCs w:val="28"/>
          <w:lang w:val="uk-UA"/>
        </w:rPr>
        <w:t>,</w:t>
      </w:r>
      <w:r>
        <w:rPr>
          <w:rFonts w:cstheme="minorHAnsi"/>
          <w:color w:val="000000" w:themeColor="text1"/>
          <w:sz w:val="28"/>
          <w:szCs w:val="28"/>
          <w:lang w:val="uk-UA"/>
        </w:rPr>
        <w:t xml:space="preserve"> ХП діагностується практично у кожного четвертого хворого, що </w:t>
      </w:r>
      <w:r w:rsidRPr="003714DF">
        <w:rPr>
          <w:rFonts w:cstheme="minorHAnsi"/>
          <w:color w:val="000000" w:themeColor="text1"/>
          <w:sz w:val="28"/>
          <w:szCs w:val="28"/>
          <w:lang w:val="uk-UA"/>
        </w:rPr>
        <w:t>у 2-3 рази частіше, ніж в загальній популяції</w:t>
      </w:r>
      <w:r w:rsidRPr="008405A2">
        <w:rPr>
          <w:rFonts w:cstheme="minorHAnsi"/>
          <w:color w:val="000000" w:themeColor="text1"/>
          <w:sz w:val="28"/>
          <w:szCs w:val="28"/>
          <w:lang w:val="uk-UA"/>
        </w:rPr>
        <w:t xml:space="preserve"> </w:t>
      </w:r>
      <w:r>
        <w:rPr>
          <w:rFonts w:cstheme="minorHAnsi"/>
          <w:color w:val="000000" w:themeColor="text1"/>
          <w:sz w:val="28"/>
          <w:szCs w:val="28"/>
          <w:lang w:val="uk-UA"/>
        </w:rPr>
        <w:t>[7, 9, 47</w:t>
      </w:r>
      <w:r w:rsidRPr="00304924">
        <w:rPr>
          <w:rFonts w:cstheme="minorHAnsi"/>
          <w:color w:val="000000" w:themeColor="text1"/>
          <w:sz w:val="28"/>
          <w:szCs w:val="28"/>
          <w:lang w:val="uk-UA"/>
        </w:rPr>
        <w:t>]</w:t>
      </w:r>
      <w:r w:rsidRPr="003714DF">
        <w:rPr>
          <w:rFonts w:cstheme="minorHAnsi"/>
          <w:color w:val="000000" w:themeColor="text1"/>
          <w:sz w:val="28"/>
          <w:szCs w:val="28"/>
          <w:lang w:val="uk-UA"/>
        </w:rPr>
        <w:t>.</w:t>
      </w:r>
      <w:r>
        <w:rPr>
          <w:rFonts w:cstheme="minorHAnsi"/>
          <w:color w:val="000000" w:themeColor="text1"/>
          <w:sz w:val="28"/>
          <w:szCs w:val="28"/>
          <w:lang w:val="uk-UA"/>
        </w:rPr>
        <w:t xml:space="preserve"> </w:t>
      </w:r>
      <w:r>
        <w:rPr>
          <w:rFonts w:cstheme="minorHAnsi"/>
          <w:spacing w:val="1"/>
          <w:sz w:val="28"/>
          <w:szCs w:val="28"/>
          <w:lang w:val="uk-UA"/>
        </w:rPr>
        <w:t xml:space="preserve">Крім того, </w:t>
      </w:r>
      <w:r>
        <w:rPr>
          <w:rFonts w:cstheme="minorHAnsi"/>
          <w:color w:val="000000" w:themeColor="text1"/>
          <w:sz w:val="28"/>
          <w:szCs w:val="28"/>
          <w:lang w:val="uk-UA"/>
        </w:rPr>
        <w:t>у</w:t>
      </w:r>
      <w:r w:rsidRPr="00007941">
        <w:rPr>
          <w:rFonts w:cstheme="minorHAnsi"/>
          <w:color w:val="000000" w:themeColor="text1"/>
          <w:sz w:val="28"/>
          <w:szCs w:val="28"/>
          <w:lang w:val="uk-UA"/>
        </w:rPr>
        <w:t xml:space="preserve"> пацієнтів із цукровим діабетом, ХП, в більшості випадків, протікає безсимптомно, що може призвести до серйозного пошкодження нирок з розвитком ниркової недостатності. Атипові та резистентні ІСС також частіше зустрічаються у </w:t>
      </w:r>
      <w:r w:rsidRPr="00007941">
        <w:rPr>
          <w:rFonts w:cstheme="minorHAnsi"/>
          <w:color w:val="000000" w:themeColor="text1"/>
          <w:sz w:val="28"/>
          <w:szCs w:val="28"/>
          <w:lang w:val="uk-UA"/>
        </w:rPr>
        <w:lastRenderedPageBreak/>
        <w:t xml:space="preserve">пацієнтів </w:t>
      </w:r>
      <w:r>
        <w:rPr>
          <w:rFonts w:cstheme="minorHAnsi"/>
          <w:color w:val="000000" w:themeColor="text1"/>
          <w:sz w:val="28"/>
          <w:szCs w:val="28"/>
          <w:lang w:val="uk-UA"/>
        </w:rPr>
        <w:t>і</w:t>
      </w:r>
      <w:r w:rsidRPr="00007941">
        <w:rPr>
          <w:rFonts w:cstheme="minorHAnsi"/>
          <w:color w:val="000000" w:themeColor="text1"/>
          <w:sz w:val="28"/>
          <w:szCs w:val="28"/>
          <w:lang w:val="uk-UA"/>
        </w:rPr>
        <w:t>з ЦД [</w:t>
      </w:r>
      <w:r>
        <w:rPr>
          <w:rFonts w:cstheme="minorHAnsi"/>
          <w:sz w:val="28"/>
          <w:szCs w:val="28"/>
          <w:lang w:val="uk-UA"/>
        </w:rPr>
        <w:t>17, 109</w:t>
      </w:r>
      <w:r w:rsidRPr="00007941">
        <w:rPr>
          <w:rFonts w:cstheme="minorHAnsi"/>
          <w:sz w:val="28"/>
          <w:szCs w:val="28"/>
          <w:lang w:val="uk-UA"/>
        </w:rPr>
        <w:t>].</w:t>
      </w:r>
      <w:r w:rsidRPr="00007941">
        <w:rPr>
          <w:rFonts w:cstheme="minorHAnsi"/>
          <w:spacing w:val="1"/>
          <w:sz w:val="28"/>
          <w:szCs w:val="28"/>
          <w:lang w:val="uk-UA"/>
        </w:rPr>
        <w:t xml:space="preserve"> </w:t>
      </w:r>
      <w:r w:rsidRPr="0006327E">
        <w:rPr>
          <w:rFonts w:cstheme="minorHAnsi"/>
          <w:color w:val="000000"/>
          <w:sz w:val="28"/>
          <w:szCs w:val="28"/>
          <w:shd w:val="clear" w:color="auto" w:fill="FFFFFF"/>
          <w:lang w:val="uk-UA"/>
        </w:rPr>
        <w:t xml:space="preserve">Тому </w:t>
      </w:r>
      <w:r w:rsidRPr="000F1D03">
        <w:rPr>
          <w:rFonts w:cstheme="minorHAnsi"/>
          <w:color w:val="000000"/>
          <w:sz w:val="28"/>
          <w:szCs w:val="28"/>
          <w:shd w:val="clear" w:color="auto" w:fill="FFFFFF"/>
          <w:lang w:val="uk-UA"/>
        </w:rPr>
        <w:t>якісна</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діагностика</w:t>
      </w:r>
      <w:r w:rsidRPr="0006327E">
        <w:rPr>
          <w:rFonts w:cstheme="minorHAnsi"/>
          <w:color w:val="000000"/>
          <w:sz w:val="28"/>
          <w:szCs w:val="28"/>
          <w:shd w:val="clear" w:color="auto" w:fill="FFFFFF"/>
          <w:lang w:val="uk-UA"/>
        </w:rPr>
        <w:t xml:space="preserve"> та </w:t>
      </w:r>
      <w:r w:rsidRPr="000F1D03">
        <w:rPr>
          <w:rFonts w:cstheme="minorHAnsi"/>
          <w:color w:val="000000"/>
          <w:sz w:val="28"/>
          <w:szCs w:val="28"/>
          <w:shd w:val="clear" w:color="auto" w:fill="FFFFFF"/>
          <w:lang w:val="uk-UA"/>
        </w:rPr>
        <w:t>лікування</w:t>
      </w:r>
      <w:r w:rsidRPr="0006327E">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ХП, особливо на тлі ЦД,</w:t>
      </w:r>
      <w:r w:rsidRPr="0006327E">
        <w:rPr>
          <w:rFonts w:cstheme="minorHAnsi"/>
          <w:color w:val="000000"/>
          <w:sz w:val="28"/>
          <w:szCs w:val="28"/>
          <w:shd w:val="clear" w:color="auto" w:fill="FFFFFF"/>
          <w:lang w:val="uk-UA"/>
        </w:rPr>
        <w:t xml:space="preserve"> є </w:t>
      </w:r>
      <w:r w:rsidRPr="000F1D03">
        <w:rPr>
          <w:rFonts w:cstheme="minorHAnsi"/>
          <w:color w:val="000000"/>
          <w:sz w:val="28"/>
          <w:szCs w:val="28"/>
          <w:shd w:val="clear" w:color="auto" w:fill="FFFFFF"/>
          <w:lang w:val="uk-UA"/>
        </w:rPr>
        <w:t>актуальним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завданням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сучасної</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медичної</w:t>
      </w:r>
      <w:r w:rsidRPr="0006327E">
        <w:rPr>
          <w:rFonts w:cstheme="minorHAnsi"/>
          <w:color w:val="000000"/>
          <w:sz w:val="28"/>
          <w:szCs w:val="28"/>
          <w:shd w:val="clear" w:color="auto" w:fill="FFFFFF"/>
          <w:lang w:val="uk-UA"/>
        </w:rPr>
        <w:t xml:space="preserve"> практики.</w:t>
      </w:r>
    </w:p>
    <w:p w:rsidR="00CE6207" w:rsidRDefault="00CE6207" w:rsidP="00CE6207">
      <w:pPr>
        <w:spacing w:line="360" w:lineRule="auto"/>
        <w:ind w:firstLine="709"/>
        <w:jc w:val="both"/>
        <w:rPr>
          <w:rFonts w:cstheme="minorHAnsi"/>
          <w:b/>
          <w:color w:val="000000"/>
          <w:sz w:val="28"/>
          <w:szCs w:val="28"/>
          <w:shd w:val="clear" w:color="auto" w:fill="FFFFFF"/>
          <w:lang w:val="uk-UA"/>
        </w:rPr>
      </w:pPr>
      <w:r w:rsidRPr="00E860C2">
        <w:rPr>
          <w:rFonts w:cstheme="minorHAnsi"/>
          <w:b/>
          <w:color w:val="000000"/>
          <w:sz w:val="28"/>
          <w:szCs w:val="28"/>
          <w:shd w:val="clear" w:color="auto" w:fill="FFFFFF"/>
          <w:lang w:val="uk-UA"/>
        </w:rPr>
        <w:t xml:space="preserve">1.2 </w:t>
      </w:r>
      <w:r>
        <w:rPr>
          <w:rFonts w:cstheme="minorHAnsi"/>
          <w:b/>
          <w:color w:val="000000"/>
          <w:sz w:val="28"/>
          <w:szCs w:val="28"/>
          <w:shd w:val="clear" w:color="auto" w:fill="FFFFFF"/>
          <w:lang w:val="uk-UA"/>
        </w:rPr>
        <w:t>Спектр бактеріальної флори ХП та чутливість до АБП.</w:t>
      </w:r>
    </w:p>
    <w:p w:rsidR="00CE6207" w:rsidRDefault="00CE6207" w:rsidP="00CE6207">
      <w:pPr>
        <w:spacing w:after="0" w:line="360" w:lineRule="auto"/>
        <w:ind w:firstLine="709"/>
        <w:jc w:val="both"/>
        <w:rPr>
          <w:rFonts w:cstheme="minorHAnsi"/>
          <w:sz w:val="28"/>
          <w:szCs w:val="28"/>
          <w:lang w:val="uk-UA"/>
        </w:rPr>
      </w:pPr>
      <w:r>
        <w:rPr>
          <w:sz w:val="28"/>
          <w:szCs w:val="28"/>
          <w:lang w:val="uk-UA"/>
        </w:rPr>
        <w:t>Домінуючим збудником ІСС, у тому числі ХП, залишається Грам-негативна флора, що було продемонстровано в багатьох дослідженнях. Так, Колесник М.О. та соавт. демонструють найбільш розповсюджені інфекції, що викликаються</w:t>
      </w:r>
      <w:r w:rsidRPr="00B8305F">
        <w:rPr>
          <w:sz w:val="28"/>
          <w:szCs w:val="28"/>
          <w:lang w:val="uk-UA"/>
        </w:rPr>
        <w:t xml:space="preserve"> </w:t>
      </w:r>
      <w:r>
        <w:rPr>
          <w:sz w:val="28"/>
          <w:szCs w:val="28"/>
          <w:lang w:val="en-US"/>
        </w:rPr>
        <w:t>E</w:t>
      </w:r>
      <w:r w:rsidRPr="00B8305F">
        <w:rPr>
          <w:sz w:val="28"/>
          <w:szCs w:val="28"/>
          <w:lang w:val="uk-UA"/>
        </w:rPr>
        <w:t>.</w:t>
      </w:r>
      <w:r>
        <w:rPr>
          <w:sz w:val="28"/>
          <w:szCs w:val="28"/>
          <w:lang w:val="en-US"/>
        </w:rPr>
        <w:t>coli</w:t>
      </w:r>
      <w:r w:rsidRPr="00B8305F">
        <w:rPr>
          <w:sz w:val="28"/>
          <w:szCs w:val="28"/>
          <w:lang w:val="uk-UA"/>
        </w:rPr>
        <w:t xml:space="preserve"> (</w:t>
      </w:r>
      <w:r>
        <w:rPr>
          <w:sz w:val="28"/>
          <w:szCs w:val="28"/>
          <w:lang w:val="uk-UA"/>
        </w:rPr>
        <w:t>50% і нижче за умов ускладненого або рецидивуючого перебігу ІСС порівняно з</w:t>
      </w:r>
      <w:r w:rsidRPr="00B8305F">
        <w:rPr>
          <w:sz w:val="28"/>
          <w:szCs w:val="28"/>
          <w:lang w:val="uk-UA"/>
        </w:rPr>
        <w:t xml:space="preserve"> 70-95%</w:t>
      </w:r>
      <w:r>
        <w:rPr>
          <w:sz w:val="28"/>
          <w:szCs w:val="28"/>
          <w:lang w:val="uk-UA"/>
        </w:rPr>
        <w:t xml:space="preserve"> неускладненого</w:t>
      </w:r>
      <w:r w:rsidRPr="00B8305F">
        <w:rPr>
          <w:sz w:val="28"/>
          <w:szCs w:val="28"/>
          <w:lang w:val="uk-UA"/>
        </w:rPr>
        <w:t>)</w:t>
      </w:r>
      <w:r>
        <w:rPr>
          <w:sz w:val="28"/>
          <w:szCs w:val="28"/>
          <w:lang w:val="uk-UA"/>
        </w:rPr>
        <w:t xml:space="preserve">, </w:t>
      </w:r>
      <w:r>
        <w:rPr>
          <w:sz w:val="28"/>
          <w:szCs w:val="28"/>
          <w:lang w:val="en-US"/>
        </w:rPr>
        <w:t>Klebsiella</w:t>
      </w:r>
      <w:r w:rsidRPr="00846EB4">
        <w:rPr>
          <w:sz w:val="28"/>
          <w:szCs w:val="28"/>
          <w:lang w:val="uk-UA"/>
        </w:rPr>
        <w:t xml:space="preserve"> </w:t>
      </w:r>
      <w:r>
        <w:rPr>
          <w:sz w:val="28"/>
          <w:szCs w:val="28"/>
          <w:lang w:val="en-US"/>
        </w:rPr>
        <w:t>spp</w:t>
      </w:r>
      <w:r w:rsidRPr="00846EB4">
        <w:rPr>
          <w:sz w:val="28"/>
          <w:szCs w:val="28"/>
          <w:lang w:val="uk-UA"/>
        </w:rPr>
        <w:t xml:space="preserve">. </w:t>
      </w:r>
      <w:r w:rsidRPr="00777CAC">
        <w:rPr>
          <w:sz w:val="28"/>
          <w:szCs w:val="28"/>
          <w:lang w:val="uk-UA"/>
        </w:rPr>
        <w:t>(</w:t>
      </w:r>
      <w:r>
        <w:rPr>
          <w:sz w:val="28"/>
          <w:szCs w:val="28"/>
          <w:lang w:val="uk-UA"/>
        </w:rPr>
        <w:t>25% порівняно з 12% осіб без ЦД</w:t>
      </w:r>
      <w:r w:rsidRPr="00777CAC">
        <w:rPr>
          <w:sz w:val="28"/>
          <w:szCs w:val="28"/>
          <w:lang w:val="uk-UA"/>
        </w:rPr>
        <w:t>)</w:t>
      </w:r>
      <w:r>
        <w:rPr>
          <w:sz w:val="28"/>
          <w:szCs w:val="28"/>
          <w:lang w:val="uk-UA"/>
        </w:rPr>
        <w:t xml:space="preserve">, близько 30% випадків припадає на грам позитивні бактерії та не менш, ніж у 20% ідентифікується асоціація бактеріальних збудників </w:t>
      </w:r>
      <w:r w:rsidRPr="004B47A2">
        <w:rPr>
          <w:rFonts w:cstheme="minorHAnsi"/>
          <w:spacing w:val="1"/>
          <w:sz w:val="28"/>
          <w:szCs w:val="28"/>
          <w:lang w:val="uk-UA"/>
        </w:rPr>
        <w:t>[</w:t>
      </w:r>
      <w:r>
        <w:rPr>
          <w:spacing w:val="1"/>
          <w:sz w:val="28"/>
          <w:szCs w:val="28"/>
          <w:lang w:val="uk-UA"/>
        </w:rPr>
        <w:t>6</w:t>
      </w:r>
      <w:r>
        <w:rPr>
          <w:rFonts w:cstheme="minorHAnsi"/>
          <w:spacing w:val="1"/>
          <w:sz w:val="28"/>
          <w:szCs w:val="28"/>
          <w:lang w:val="uk-UA"/>
        </w:rPr>
        <w:t xml:space="preserve">]. </w:t>
      </w:r>
      <w:r>
        <w:rPr>
          <w:sz w:val="28"/>
          <w:szCs w:val="28"/>
          <w:lang w:val="uk-UA"/>
        </w:rPr>
        <w:t>Згідно опублікованих даних в міжнародному журналі по інфекційним захворюванням (</w:t>
      </w:r>
      <w:r w:rsidRPr="00847962">
        <w:rPr>
          <w:rFonts w:cstheme="minorHAnsi"/>
          <w:bCs/>
          <w:color w:val="000000" w:themeColor="text1"/>
          <w:sz w:val="28"/>
          <w:szCs w:val="28"/>
          <w:shd w:val="clear" w:color="auto" w:fill="FFFFFF"/>
        </w:rPr>
        <w:t>Journal</w:t>
      </w:r>
      <w:r w:rsidRPr="00847962">
        <w:rPr>
          <w:rFonts w:cstheme="minorHAnsi"/>
          <w:bCs/>
          <w:color w:val="000000" w:themeColor="text1"/>
          <w:sz w:val="28"/>
          <w:szCs w:val="28"/>
          <w:shd w:val="clear" w:color="auto" w:fill="FFFFFF"/>
          <w:lang w:val="uk-UA"/>
        </w:rPr>
        <w:t xml:space="preserve"> </w:t>
      </w:r>
      <w:r w:rsidRPr="00847962">
        <w:rPr>
          <w:rFonts w:cstheme="minorHAnsi"/>
          <w:bCs/>
          <w:color w:val="000000" w:themeColor="text1"/>
          <w:sz w:val="28"/>
          <w:szCs w:val="28"/>
          <w:shd w:val="clear" w:color="auto" w:fill="FFFFFF"/>
        </w:rPr>
        <w:t>of</w:t>
      </w:r>
      <w:r w:rsidRPr="00847962">
        <w:rPr>
          <w:rFonts w:cstheme="minorHAnsi"/>
          <w:bCs/>
          <w:color w:val="000000" w:themeColor="text1"/>
          <w:sz w:val="28"/>
          <w:szCs w:val="28"/>
          <w:shd w:val="clear" w:color="auto" w:fill="FFFFFF"/>
          <w:lang w:val="uk-UA"/>
        </w:rPr>
        <w:t xml:space="preserve"> </w:t>
      </w:r>
      <w:r w:rsidRPr="00847962">
        <w:rPr>
          <w:rFonts w:cstheme="minorHAnsi"/>
          <w:bCs/>
          <w:color w:val="000000" w:themeColor="text1"/>
          <w:sz w:val="28"/>
          <w:szCs w:val="28"/>
          <w:shd w:val="clear" w:color="auto" w:fill="FFFFFF"/>
        </w:rPr>
        <w:t>Global</w:t>
      </w:r>
      <w:r w:rsidRPr="00847962">
        <w:rPr>
          <w:rFonts w:cstheme="minorHAnsi"/>
          <w:bCs/>
          <w:color w:val="000000" w:themeColor="text1"/>
          <w:sz w:val="28"/>
          <w:szCs w:val="28"/>
          <w:shd w:val="clear" w:color="auto" w:fill="FFFFFF"/>
          <w:lang w:val="uk-UA"/>
        </w:rPr>
        <w:t xml:space="preserve"> </w:t>
      </w:r>
      <w:r w:rsidRPr="00847962">
        <w:rPr>
          <w:rFonts w:cstheme="minorHAnsi"/>
          <w:bCs/>
          <w:color w:val="000000" w:themeColor="text1"/>
          <w:sz w:val="28"/>
          <w:szCs w:val="28"/>
          <w:shd w:val="clear" w:color="auto" w:fill="FFFFFF"/>
        </w:rPr>
        <w:t>Infectious</w:t>
      </w:r>
      <w:r w:rsidRPr="00847962">
        <w:rPr>
          <w:rFonts w:cstheme="minorHAnsi"/>
          <w:bCs/>
          <w:color w:val="000000" w:themeColor="text1"/>
          <w:sz w:val="28"/>
          <w:szCs w:val="28"/>
          <w:shd w:val="clear" w:color="auto" w:fill="FFFFFF"/>
          <w:lang w:val="uk-UA"/>
        </w:rPr>
        <w:t xml:space="preserve"> </w:t>
      </w:r>
      <w:r w:rsidRPr="00847962">
        <w:rPr>
          <w:rFonts w:cstheme="minorHAnsi"/>
          <w:bCs/>
          <w:color w:val="000000" w:themeColor="text1"/>
          <w:sz w:val="28"/>
          <w:szCs w:val="28"/>
          <w:shd w:val="clear" w:color="auto" w:fill="FFFFFF"/>
        </w:rPr>
        <w:t>Diseases</w:t>
      </w:r>
      <w:r>
        <w:rPr>
          <w:sz w:val="28"/>
          <w:szCs w:val="28"/>
          <w:lang w:val="uk-UA"/>
        </w:rPr>
        <w:t xml:space="preserve">), питома вага Грам-негативних збудників ІСС склала 82%, на долю Грам-позитивних бактерій випало 13%, Грибкової флори – 5%. Домінуючим патогеном серед Грам-негативної флори була виявлена </w:t>
      </w:r>
      <w:r w:rsidRPr="00D244C6">
        <w:rPr>
          <w:rFonts w:eastAsia="Times New Roman" w:cstheme="minorHAnsi"/>
          <w:i/>
          <w:color w:val="000000"/>
          <w:sz w:val="28"/>
          <w:szCs w:val="28"/>
          <w:lang w:val="uk-UA" w:eastAsia="ru-RU"/>
        </w:rPr>
        <w:t>E.сoli</w:t>
      </w:r>
      <w:r>
        <w:rPr>
          <w:rFonts w:eastAsia="Times New Roman" w:cstheme="minorHAnsi"/>
          <w:color w:val="000000"/>
          <w:sz w:val="28"/>
          <w:szCs w:val="28"/>
          <w:lang w:val="uk-UA" w:eastAsia="ru-RU"/>
        </w:rPr>
        <w:t xml:space="preserve"> (61%), </w:t>
      </w:r>
      <w:r w:rsidRPr="00D244C6">
        <w:rPr>
          <w:rStyle w:val="ac"/>
          <w:color w:val="000000"/>
          <w:sz w:val="28"/>
          <w:szCs w:val="28"/>
          <w:shd w:val="clear" w:color="auto" w:fill="FFFFFF"/>
          <w:lang w:val="en-US"/>
        </w:rPr>
        <w:t>Pseudomonas</w:t>
      </w:r>
      <w:r w:rsidRPr="00D244C6">
        <w:rPr>
          <w:rStyle w:val="ac"/>
          <w:color w:val="000000"/>
          <w:sz w:val="28"/>
          <w:szCs w:val="28"/>
          <w:shd w:val="clear" w:color="auto" w:fill="FFFFFF"/>
          <w:lang w:val="uk-UA"/>
        </w:rPr>
        <w:t xml:space="preserve"> </w:t>
      </w:r>
      <w:r w:rsidRPr="00D244C6">
        <w:rPr>
          <w:rStyle w:val="ac"/>
          <w:color w:val="000000"/>
          <w:sz w:val="28"/>
          <w:szCs w:val="28"/>
          <w:shd w:val="clear" w:color="auto" w:fill="FFFFFF"/>
          <w:lang w:val="en-US"/>
        </w:rPr>
        <w:t>aeruginosa</w:t>
      </w:r>
      <w:r>
        <w:rPr>
          <w:rStyle w:val="ac"/>
          <w:color w:val="000000"/>
          <w:sz w:val="28"/>
          <w:szCs w:val="28"/>
          <w:shd w:val="clear" w:color="auto" w:fill="FFFFFF"/>
          <w:lang w:val="uk-UA"/>
        </w:rPr>
        <w:t xml:space="preserve"> – 17%, </w:t>
      </w:r>
      <w:r w:rsidRPr="00D244C6">
        <w:rPr>
          <w:rStyle w:val="ac"/>
          <w:color w:val="000000"/>
          <w:sz w:val="28"/>
          <w:szCs w:val="28"/>
          <w:shd w:val="clear" w:color="auto" w:fill="FFFFFF"/>
          <w:lang w:val="en-US"/>
        </w:rPr>
        <w:t>Klebsiella</w:t>
      </w:r>
      <w:r w:rsidRPr="00D244C6">
        <w:rPr>
          <w:rStyle w:val="apple-converted-space"/>
          <w:color w:val="000000"/>
          <w:sz w:val="28"/>
          <w:szCs w:val="28"/>
          <w:shd w:val="clear" w:color="auto" w:fill="FFFFFF"/>
          <w:lang w:val="en-US"/>
        </w:rPr>
        <w:t> </w:t>
      </w:r>
      <w:r w:rsidRPr="00D244C6">
        <w:rPr>
          <w:color w:val="000000"/>
          <w:sz w:val="28"/>
          <w:szCs w:val="28"/>
          <w:shd w:val="clear" w:color="auto" w:fill="FFFFFF"/>
          <w:lang w:val="en-US"/>
        </w:rPr>
        <w:t>sp</w:t>
      </w:r>
      <w:r w:rsidRPr="00D244C6">
        <w:rPr>
          <w:color w:val="000000"/>
          <w:sz w:val="28"/>
          <w:szCs w:val="28"/>
          <w:shd w:val="clear" w:color="auto" w:fill="FFFFFF"/>
          <w:lang w:val="uk-UA"/>
        </w:rPr>
        <w:t>р.</w:t>
      </w:r>
      <w:r>
        <w:rPr>
          <w:rFonts w:eastAsia="Times New Roman" w:cstheme="minorHAnsi"/>
          <w:color w:val="000000"/>
          <w:sz w:val="28"/>
          <w:szCs w:val="28"/>
          <w:lang w:val="uk-UA" w:eastAsia="ru-RU"/>
        </w:rPr>
        <w:t xml:space="preserve"> – 9%. Серед Грам-позитивних бактерій переважали </w:t>
      </w:r>
      <w:r w:rsidRPr="00D244C6">
        <w:rPr>
          <w:rStyle w:val="ac"/>
          <w:color w:val="000000"/>
          <w:sz w:val="28"/>
          <w:szCs w:val="28"/>
          <w:shd w:val="clear" w:color="auto" w:fill="FFFFFF"/>
          <w:lang w:val="en-US"/>
        </w:rPr>
        <w:t>Enterococcus</w:t>
      </w:r>
      <w:r w:rsidRPr="00D244C6">
        <w:rPr>
          <w:rStyle w:val="apple-converted-space"/>
          <w:color w:val="000000"/>
          <w:sz w:val="28"/>
          <w:szCs w:val="28"/>
          <w:shd w:val="clear" w:color="auto" w:fill="FFFFFF"/>
          <w:lang w:val="en-US"/>
        </w:rPr>
        <w:t> </w:t>
      </w:r>
      <w:r w:rsidRPr="00D244C6">
        <w:rPr>
          <w:color w:val="000000"/>
          <w:sz w:val="28"/>
          <w:szCs w:val="28"/>
          <w:shd w:val="clear" w:color="auto" w:fill="FFFFFF"/>
          <w:lang w:val="en-US"/>
        </w:rPr>
        <w:t>sp</w:t>
      </w:r>
      <w:r>
        <w:rPr>
          <w:color w:val="000000"/>
          <w:sz w:val="28"/>
          <w:szCs w:val="28"/>
          <w:shd w:val="clear" w:color="auto" w:fill="FFFFFF"/>
          <w:lang w:val="uk-UA"/>
        </w:rPr>
        <w:t>р</w:t>
      </w:r>
      <w:r w:rsidRPr="00D244C6">
        <w:rPr>
          <w:color w:val="000000"/>
          <w:sz w:val="28"/>
          <w:szCs w:val="28"/>
          <w:shd w:val="clear" w:color="auto" w:fill="FFFFFF"/>
          <w:lang w:val="uk-UA"/>
        </w:rPr>
        <w:t>.</w:t>
      </w:r>
      <w:r>
        <w:rPr>
          <w:color w:val="000000"/>
          <w:sz w:val="28"/>
          <w:szCs w:val="28"/>
          <w:shd w:val="clear" w:color="auto" w:fill="FFFFFF"/>
          <w:lang w:val="uk-UA"/>
        </w:rPr>
        <w:t xml:space="preserve"> (7%), </w:t>
      </w:r>
      <w:r w:rsidRPr="00D244C6">
        <w:rPr>
          <w:rStyle w:val="ac"/>
          <w:color w:val="000000"/>
          <w:sz w:val="28"/>
          <w:szCs w:val="28"/>
          <w:shd w:val="clear" w:color="auto" w:fill="FFFFFF"/>
          <w:lang w:val="en-US"/>
        </w:rPr>
        <w:t>Staphylococcus</w:t>
      </w:r>
      <w:r w:rsidRPr="00D244C6">
        <w:rPr>
          <w:rStyle w:val="apple-converted-space"/>
          <w:color w:val="000000"/>
          <w:sz w:val="28"/>
          <w:szCs w:val="28"/>
          <w:shd w:val="clear" w:color="auto" w:fill="FFFFFF"/>
          <w:lang w:val="en-US"/>
        </w:rPr>
        <w:t> </w:t>
      </w:r>
      <w:r w:rsidRPr="00D244C6">
        <w:rPr>
          <w:color w:val="000000"/>
          <w:sz w:val="28"/>
          <w:szCs w:val="28"/>
          <w:shd w:val="clear" w:color="auto" w:fill="FFFFFF"/>
          <w:lang w:val="en-US"/>
        </w:rPr>
        <w:t>sp</w:t>
      </w:r>
      <w:r>
        <w:rPr>
          <w:color w:val="000000"/>
          <w:sz w:val="28"/>
          <w:szCs w:val="28"/>
          <w:shd w:val="clear" w:color="auto" w:fill="FFFFFF"/>
          <w:lang w:val="uk-UA"/>
        </w:rPr>
        <w:t>р</w:t>
      </w:r>
      <w:r w:rsidRPr="00D244C6">
        <w:rPr>
          <w:color w:val="000000"/>
          <w:sz w:val="28"/>
          <w:szCs w:val="28"/>
          <w:shd w:val="clear" w:color="auto" w:fill="FFFFFF"/>
          <w:lang w:val="uk-UA"/>
        </w:rPr>
        <w:t>. (6%)</w:t>
      </w:r>
      <w:r>
        <w:rPr>
          <w:color w:val="000000"/>
          <w:sz w:val="28"/>
          <w:szCs w:val="28"/>
          <w:shd w:val="clear" w:color="auto" w:fill="FFFFFF"/>
          <w:lang w:val="uk-UA"/>
        </w:rPr>
        <w:t xml:space="preserve"> та </w:t>
      </w:r>
      <w:r w:rsidRPr="00D244C6">
        <w:rPr>
          <w:rStyle w:val="ac"/>
          <w:color w:val="000000"/>
          <w:sz w:val="28"/>
          <w:szCs w:val="28"/>
          <w:shd w:val="clear" w:color="auto" w:fill="FFFFFF"/>
          <w:lang w:val="en-US"/>
        </w:rPr>
        <w:t>Candida</w:t>
      </w:r>
      <w:r w:rsidRPr="00D244C6">
        <w:rPr>
          <w:rStyle w:val="apple-converted-space"/>
          <w:color w:val="000000"/>
          <w:sz w:val="28"/>
          <w:szCs w:val="28"/>
          <w:shd w:val="clear" w:color="auto" w:fill="FFFFFF"/>
          <w:lang w:val="en-US"/>
        </w:rPr>
        <w:t> </w:t>
      </w:r>
      <w:r w:rsidRPr="00D244C6">
        <w:rPr>
          <w:color w:val="000000"/>
          <w:sz w:val="28"/>
          <w:szCs w:val="28"/>
          <w:shd w:val="clear" w:color="auto" w:fill="FFFFFF"/>
          <w:lang w:val="en-US"/>
        </w:rPr>
        <w:t>sp</w:t>
      </w:r>
      <w:r>
        <w:rPr>
          <w:color w:val="000000"/>
          <w:sz w:val="28"/>
          <w:szCs w:val="28"/>
          <w:shd w:val="clear" w:color="auto" w:fill="FFFFFF"/>
          <w:lang w:val="uk-UA"/>
        </w:rPr>
        <w:t>р</w:t>
      </w:r>
      <w:r w:rsidRPr="00D244C6">
        <w:rPr>
          <w:color w:val="000000"/>
          <w:sz w:val="28"/>
          <w:szCs w:val="28"/>
          <w:shd w:val="clear" w:color="auto" w:fill="FFFFFF"/>
          <w:lang w:val="uk-UA"/>
        </w:rPr>
        <w:t>. (11%</w:t>
      </w:r>
      <w:r>
        <w:rPr>
          <w:color w:val="000000"/>
          <w:sz w:val="28"/>
          <w:szCs w:val="28"/>
          <w:shd w:val="clear" w:color="auto" w:fill="FFFFFF"/>
          <w:lang w:val="uk-UA"/>
        </w:rPr>
        <w:t>)</w:t>
      </w:r>
      <w:r>
        <w:rPr>
          <w:rFonts w:eastAsia="Times New Roman" w:cstheme="minorHAnsi"/>
          <w:color w:val="000000"/>
          <w:sz w:val="28"/>
          <w:szCs w:val="28"/>
          <w:lang w:val="uk-UA" w:eastAsia="ru-RU"/>
        </w:rPr>
        <w:t xml:space="preserve"> </w:t>
      </w:r>
      <w:r>
        <w:rPr>
          <w:sz w:val="28"/>
          <w:szCs w:val="28"/>
          <w:lang w:val="uk-UA"/>
        </w:rPr>
        <w:t xml:space="preserve"> </w:t>
      </w:r>
      <w:r>
        <w:rPr>
          <w:rFonts w:cstheme="minorHAnsi"/>
          <w:sz w:val="28"/>
          <w:szCs w:val="28"/>
          <w:lang w:val="uk-UA"/>
        </w:rPr>
        <w:t>[</w:t>
      </w:r>
      <w:r>
        <w:rPr>
          <w:rFonts w:eastAsia="Times New Roman" w:cstheme="minorHAnsi"/>
          <w:color w:val="000000" w:themeColor="text1"/>
          <w:sz w:val="28"/>
          <w:szCs w:val="28"/>
          <w:lang w:val="uk-UA" w:eastAsia="ru-RU"/>
        </w:rPr>
        <w:t>11</w:t>
      </w:r>
      <w:r>
        <w:rPr>
          <w:rFonts w:cstheme="minorHAnsi"/>
          <w:sz w:val="28"/>
          <w:szCs w:val="28"/>
          <w:lang w:val="uk-UA"/>
        </w:rPr>
        <w:t>].</w:t>
      </w:r>
    </w:p>
    <w:p w:rsidR="00CE6207" w:rsidRDefault="00CE6207" w:rsidP="00CE6207">
      <w:pPr>
        <w:spacing w:after="0" w:line="360" w:lineRule="auto"/>
        <w:ind w:firstLine="709"/>
        <w:jc w:val="both"/>
        <w:rPr>
          <w:rFonts w:eastAsia="Times New Roman" w:cstheme="minorHAnsi"/>
          <w:color w:val="000000" w:themeColor="text1"/>
          <w:sz w:val="28"/>
          <w:szCs w:val="28"/>
          <w:lang w:val="uk-UA" w:eastAsia="ru-RU"/>
        </w:rPr>
      </w:pPr>
      <w:r>
        <w:rPr>
          <w:rFonts w:cstheme="minorHAnsi"/>
          <w:color w:val="000000"/>
          <w:sz w:val="28"/>
          <w:szCs w:val="28"/>
          <w:lang w:val="uk-UA"/>
        </w:rPr>
        <w:t xml:space="preserve">При аналізі чутливості збудників ХП до антибактеріальних препаратів, встановлено її зниження по всьому світу. Так, </w:t>
      </w:r>
      <w:r>
        <w:rPr>
          <w:rFonts w:eastAsia="Times New Roman" w:cstheme="minorHAnsi"/>
          <w:color w:val="000000" w:themeColor="text1"/>
          <w:sz w:val="28"/>
          <w:szCs w:val="28"/>
          <w:lang w:val="uk-UA" w:eastAsia="ru-RU"/>
        </w:rPr>
        <w:t xml:space="preserve">згідно даних європейського звіту з приводу антибіотикорезистентності </w:t>
      </w:r>
      <w:r w:rsidRPr="001B7F2F">
        <w:rPr>
          <w:sz w:val="28"/>
          <w:szCs w:val="28"/>
          <w:lang w:val="uk-UA"/>
        </w:rPr>
        <w:t>EARS-Net</w:t>
      </w:r>
      <w:r>
        <w:rPr>
          <w:sz w:val="28"/>
          <w:szCs w:val="28"/>
          <w:lang w:val="uk-UA"/>
        </w:rPr>
        <w:t xml:space="preserve"> 2012, рівні резистентності клінічних штамів </w:t>
      </w:r>
      <w:r>
        <w:rPr>
          <w:rFonts w:eastAsia="Times New Roman" w:cstheme="minorHAnsi"/>
          <w:color w:val="000000" w:themeColor="text1"/>
          <w:sz w:val="28"/>
          <w:szCs w:val="28"/>
          <w:lang w:val="en-US" w:eastAsia="ru-RU"/>
        </w:rPr>
        <w:t>E</w:t>
      </w:r>
      <w:r w:rsidRPr="00C94803">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en-US" w:eastAsia="ru-RU"/>
        </w:rPr>
        <w:t>coli</w:t>
      </w:r>
      <w:r>
        <w:rPr>
          <w:rFonts w:eastAsia="Times New Roman" w:cstheme="minorHAnsi"/>
          <w:color w:val="000000" w:themeColor="text1"/>
          <w:sz w:val="28"/>
          <w:szCs w:val="28"/>
          <w:lang w:val="uk-UA" w:eastAsia="ru-RU"/>
        </w:rPr>
        <w:t xml:space="preserve"> до АБП в середньому між країнами становили: до амінопеніциллінів 57,4% (39,7% - 71,0%); до 3-ї генерації цефалоспоринів 11,8% (4,4% - 38,1%), серед яких від 85%-100% штамів мали плазмідні βЛРС; до фторхінолонів – 22,3% (9,7% - 42%); до аміноглікозидів – 10,3% (3,6% - 26,5%); резистентність до карбапенемів становила </w:t>
      </w:r>
      <w:r w:rsidRPr="00BD4ED3">
        <w:rPr>
          <w:rFonts w:eastAsia="Times New Roman" w:cstheme="minorHAnsi"/>
          <w:color w:val="000000" w:themeColor="text1"/>
          <w:sz w:val="28"/>
          <w:szCs w:val="28"/>
          <w:lang w:val="uk-UA" w:eastAsia="ru-RU"/>
        </w:rPr>
        <w:t>&lt;</w:t>
      </w:r>
      <w:r>
        <w:rPr>
          <w:rFonts w:eastAsia="Times New Roman" w:cstheme="minorHAnsi"/>
          <w:color w:val="000000" w:themeColor="text1"/>
          <w:sz w:val="28"/>
          <w:szCs w:val="28"/>
          <w:lang w:val="uk-UA" w:eastAsia="ru-RU"/>
        </w:rPr>
        <w:t xml:space="preserve"> 0,1%; комбінована резистентність до 3-ї генерації цефалоспоринів, фторхінолонів та аміноглікозидів становила 4,4% (0,7% - 16,1%) </w:t>
      </w:r>
      <w:r w:rsidRPr="008E0FD9">
        <w:rPr>
          <w:rFonts w:cstheme="minorHAnsi"/>
          <w:bCs/>
          <w:iCs/>
          <w:sz w:val="28"/>
          <w:szCs w:val="28"/>
          <w:lang w:val="uk-UA"/>
        </w:rPr>
        <w:t>[</w:t>
      </w:r>
      <w:r>
        <w:rPr>
          <w:rFonts w:cstheme="minorHAnsi"/>
          <w:bCs/>
          <w:iCs/>
          <w:sz w:val="28"/>
          <w:szCs w:val="28"/>
          <w:lang w:val="uk-UA"/>
        </w:rPr>
        <w:t>38</w:t>
      </w:r>
      <w:r w:rsidRPr="001B7F2F">
        <w:rPr>
          <w:sz w:val="28"/>
          <w:szCs w:val="28"/>
          <w:lang w:val="uk-UA"/>
        </w:rPr>
        <w:t>]</w:t>
      </w:r>
      <w:r>
        <w:rPr>
          <w:sz w:val="28"/>
          <w:szCs w:val="28"/>
          <w:lang w:val="uk-UA"/>
        </w:rPr>
        <w:t xml:space="preserve">. </w:t>
      </w:r>
      <w:r w:rsidRPr="005020B9">
        <w:rPr>
          <w:rFonts w:eastAsia="Times New Roman" w:cstheme="minorHAnsi"/>
          <w:color w:val="000000" w:themeColor="text1"/>
          <w:sz w:val="28"/>
          <w:szCs w:val="28"/>
          <w:lang w:val="en-US" w:eastAsia="ru-RU"/>
        </w:rPr>
        <w:t>Ahmed</w:t>
      </w:r>
      <w:r w:rsidRPr="00D244C6">
        <w:rPr>
          <w:rFonts w:eastAsia="Times New Roman" w:cstheme="minorHAnsi"/>
          <w:color w:val="000000" w:themeColor="text1"/>
          <w:sz w:val="28"/>
          <w:szCs w:val="28"/>
          <w:lang w:val="uk-UA" w:eastAsia="ru-RU"/>
        </w:rPr>
        <w:t xml:space="preserve"> </w:t>
      </w:r>
      <w:r w:rsidRPr="005020B9">
        <w:rPr>
          <w:rFonts w:eastAsia="Times New Roman" w:cstheme="minorHAnsi"/>
          <w:color w:val="000000" w:themeColor="text1"/>
          <w:sz w:val="28"/>
          <w:szCs w:val="28"/>
          <w:lang w:val="en-US" w:eastAsia="ru-RU"/>
        </w:rPr>
        <w:t>NH</w:t>
      </w:r>
      <w:r>
        <w:rPr>
          <w:rFonts w:eastAsia="Times New Roman" w:cstheme="minorHAnsi"/>
          <w:color w:val="000000" w:themeColor="text1"/>
          <w:sz w:val="28"/>
          <w:szCs w:val="28"/>
          <w:lang w:val="uk-UA" w:eastAsia="ru-RU"/>
        </w:rPr>
        <w:t xml:space="preserve"> та соавт. демонструють</w:t>
      </w:r>
      <w:r>
        <w:rPr>
          <w:rFonts w:cstheme="minorHAnsi"/>
          <w:color w:val="000000"/>
          <w:sz w:val="28"/>
          <w:szCs w:val="28"/>
          <w:lang w:val="uk-UA"/>
        </w:rPr>
        <w:t xml:space="preserve"> рівні резистентності уропатогенних штамів </w:t>
      </w:r>
      <w:r>
        <w:rPr>
          <w:rFonts w:ascii="Times New Roman" w:eastAsia="Calibri" w:hAnsi="Times New Roman" w:cs="Times New Roman"/>
          <w:sz w:val="28"/>
          <w:szCs w:val="28"/>
          <w:lang w:val="uk-UA"/>
        </w:rPr>
        <w:t xml:space="preserve">до ампіцилліну </w:t>
      </w:r>
      <w:r>
        <w:rPr>
          <w:rFonts w:ascii="Times New Roman" w:eastAsia="Calibri" w:hAnsi="Times New Roman" w:cs="Times New Roman"/>
          <w:sz w:val="28"/>
          <w:szCs w:val="28"/>
          <w:lang w:val="uk-UA"/>
        </w:rPr>
        <w:lastRenderedPageBreak/>
        <w:t xml:space="preserve">85%-100%, амоксіциллін/клавуланату – 81-100%, 3-ї генерації цефалоспоринів – 57%-94%, фторхінолонів – 59-94%, аміногликозидів – 5-43% </w:t>
      </w:r>
      <w:r>
        <w:rPr>
          <w:rFonts w:cstheme="minorHAnsi"/>
          <w:sz w:val="28"/>
          <w:szCs w:val="28"/>
          <w:lang w:val="uk-UA"/>
        </w:rPr>
        <w:t>[</w:t>
      </w:r>
      <w:r>
        <w:rPr>
          <w:rFonts w:eastAsia="Times New Roman" w:cstheme="minorHAnsi"/>
          <w:color w:val="000000" w:themeColor="text1"/>
          <w:sz w:val="28"/>
          <w:szCs w:val="28"/>
          <w:lang w:val="uk-UA" w:eastAsia="ru-RU"/>
        </w:rPr>
        <w:t>11</w:t>
      </w:r>
      <w:r>
        <w:rPr>
          <w:rFonts w:cstheme="minorHAnsi"/>
          <w:sz w:val="28"/>
          <w:szCs w:val="28"/>
          <w:lang w:val="uk-UA"/>
        </w:rPr>
        <w:t xml:space="preserve">]. По даним </w:t>
      </w:r>
      <w:r w:rsidRPr="00C94803">
        <w:rPr>
          <w:rFonts w:eastAsia="Times New Roman" w:cstheme="minorHAnsi"/>
          <w:color w:val="000000" w:themeColor="text1"/>
          <w:sz w:val="28"/>
          <w:szCs w:val="28"/>
          <w:lang w:val="en-US" w:eastAsia="ru-RU"/>
        </w:rPr>
        <w:t>Shakya</w:t>
      </w:r>
      <w:r w:rsidRPr="00BD4ED3">
        <w:rPr>
          <w:rFonts w:eastAsia="Times New Roman" w:cstheme="minorHAnsi"/>
          <w:color w:val="000000" w:themeColor="text1"/>
          <w:sz w:val="28"/>
          <w:szCs w:val="28"/>
          <w:lang w:val="uk-UA" w:eastAsia="ru-RU"/>
        </w:rPr>
        <w:t xml:space="preserve"> </w:t>
      </w:r>
      <w:r w:rsidRPr="00C94803">
        <w:rPr>
          <w:rFonts w:eastAsia="Times New Roman" w:cstheme="minorHAnsi"/>
          <w:color w:val="000000" w:themeColor="text1"/>
          <w:sz w:val="28"/>
          <w:szCs w:val="28"/>
          <w:lang w:val="en-US" w:eastAsia="ru-RU"/>
        </w:rPr>
        <w:t>R</w:t>
      </w:r>
      <w:r w:rsidRPr="00C94803">
        <w:rPr>
          <w:rFonts w:eastAsia="Times New Roman" w:cstheme="minorHAnsi"/>
          <w:color w:val="000000" w:themeColor="text1"/>
          <w:sz w:val="28"/>
          <w:szCs w:val="28"/>
          <w:lang w:val="uk-UA" w:eastAsia="ru-RU"/>
        </w:rPr>
        <w:t xml:space="preserve"> та с</w:t>
      </w:r>
      <w:r>
        <w:rPr>
          <w:rFonts w:eastAsia="Times New Roman" w:cstheme="minorHAnsi"/>
          <w:color w:val="000000" w:themeColor="text1"/>
          <w:sz w:val="28"/>
          <w:szCs w:val="28"/>
          <w:lang w:val="uk-UA" w:eastAsia="ru-RU"/>
        </w:rPr>
        <w:t>пів</w:t>
      </w:r>
      <w:r w:rsidRPr="00C94803">
        <w:rPr>
          <w:rFonts w:eastAsia="Times New Roman" w:cstheme="minorHAnsi"/>
          <w:color w:val="000000" w:themeColor="text1"/>
          <w:sz w:val="28"/>
          <w:szCs w:val="28"/>
          <w:lang w:val="uk-UA" w:eastAsia="ru-RU"/>
        </w:rPr>
        <w:t>авт.</w:t>
      </w:r>
      <w:r>
        <w:rPr>
          <w:rFonts w:eastAsia="Times New Roman" w:cstheme="minorHAnsi"/>
          <w:color w:val="000000" w:themeColor="text1"/>
          <w:sz w:val="28"/>
          <w:szCs w:val="28"/>
          <w:lang w:val="uk-UA" w:eastAsia="ru-RU"/>
        </w:rPr>
        <w:t>, мульти-резистентність серед уропатогенів (резистентність до 3-х та більше АБП) мала місце у 68,82% виділених штамів [106</w:t>
      </w:r>
      <w:r w:rsidRPr="00304924">
        <w:rPr>
          <w:rFonts w:eastAsia="Times New Roman" w:cstheme="minorHAnsi"/>
          <w:color w:val="000000" w:themeColor="text1"/>
          <w:sz w:val="28"/>
          <w:szCs w:val="28"/>
          <w:lang w:eastAsia="ru-RU"/>
        </w:rPr>
        <w:t>].</w:t>
      </w:r>
      <w:r>
        <w:rPr>
          <w:rFonts w:eastAsia="Times New Roman" w:cstheme="minorHAnsi"/>
          <w:color w:val="000000" w:themeColor="text1"/>
          <w:sz w:val="28"/>
          <w:szCs w:val="28"/>
          <w:lang w:val="uk-UA" w:eastAsia="ru-RU"/>
        </w:rPr>
        <w:t xml:space="preserve"> За даними </w:t>
      </w:r>
      <w:r w:rsidRPr="00C94803">
        <w:rPr>
          <w:rFonts w:eastAsia="Times New Roman" w:cstheme="minorHAnsi"/>
          <w:color w:val="000000" w:themeColor="text1"/>
          <w:sz w:val="28"/>
          <w:szCs w:val="28"/>
          <w:lang w:val="en-US" w:eastAsia="ru-RU"/>
        </w:rPr>
        <w:t>Khatri</w:t>
      </w:r>
      <w:r w:rsidRPr="00C94803">
        <w:rPr>
          <w:rFonts w:eastAsia="Times New Roman" w:cstheme="minorHAnsi"/>
          <w:color w:val="000000" w:themeColor="text1"/>
          <w:sz w:val="28"/>
          <w:szCs w:val="28"/>
          <w:lang w:val="uk-UA" w:eastAsia="ru-RU"/>
        </w:rPr>
        <w:t xml:space="preserve"> </w:t>
      </w:r>
      <w:r w:rsidRPr="00C94803">
        <w:rPr>
          <w:rFonts w:eastAsia="Times New Roman" w:cstheme="minorHAnsi"/>
          <w:color w:val="000000" w:themeColor="text1"/>
          <w:sz w:val="28"/>
          <w:szCs w:val="28"/>
          <w:lang w:val="en-US" w:eastAsia="ru-RU"/>
        </w:rPr>
        <w:t>B</w:t>
      </w:r>
      <w:r w:rsidRPr="00C94803">
        <w:rPr>
          <w:rFonts w:eastAsia="Times New Roman" w:cstheme="minorHAnsi"/>
          <w:color w:val="000000" w:themeColor="text1"/>
          <w:sz w:val="28"/>
          <w:szCs w:val="28"/>
          <w:lang w:val="uk-UA" w:eastAsia="ru-RU"/>
        </w:rPr>
        <w:t xml:space="preserve"> та с</w:t>
      </w:r>
      <w:r>
        <w:rPr>
          <w:rFonts w:eastAsia="Times New Roman" w:cstheme="minorHAnsi"/>
          <w:color w:val="000000" w:themeColor="text1"/>
          <w:sz w:val="28"/>
          <w:szCs w:val="28"/>
          <w:lang w:val="uk-UA" w:eastAsia="ru-RU"/>
        </w:rPr>
        <w:t>пів</w:t>
      </w:r>
      <w:r w:rsidRPr="00C94803">
        <w:rPr>
          <w:rFonts w:eastAsia="Times New Roman" w:cstheme="minorHAnsi"/>
          <w:color w:val="000000" w:themeColor="text1"/>
          <w:sz w:val="28"/>
          <w:szCs w:val="28"/>
          <w:lang w:val="uk-UA" w:eastAsia="ru-RU"/>
        </w:rPr>
        <w:t>авт.</w:t>
      </w:r>
      <w:r>
        <w:rPr>
          <w:rFonts w:eastAsia="Times New Roman" w:cstheme="minorHAnsi"/>
          <w:color w:val="000000" w:themeColor="text1"/>
          <w:sz w:val="28"/>
          <w:szCs w:val="28"/>
          <w:lang w:val="uk-UA" w:eastAsia="ru-RU"/>
        </w:rPr>
        <w:t xml:space="preserve"> </w:t>
      </w:r>
      <w:r w:rsidRPr="00C94803">
        <w:rPr>
          <w:rFonts w:eastAsia="Times New Roman" w:cstheme="minorHAnsi"/>
          <w:color w:val="000000" w:themeColor="text1"/>
          <w:sz w:val="28"/>
          <w:szCs w:val="28"/>
          <w:lang w:val="uk-UA" w:eastAsia="ru-RU"/>
        </w:rPr>
        <w:t>тільки</w:t>
      </w:r>
      <w:r>
        <w:rPr>
          <w:rFonts w:eastAsia="Times New Roman" w:cstheme="minorHAnsi"/>
          <w:color w:val="660066"/>
          <w:sz w:val="28"/>
          <w:szCs w:val="28"/>
          <w:lang w:val="uk-UA" w:eastAsia="ru-RU"/>
        </w:rPr>
        <w:t xml:space="preserve"> </w:t>
      </w:r>
      <w:r>
        <w:rPr>
          <w:rFonts w:eastAsia="Times New Roman" w:cstheme="minorHAnsi"/>
          <w:color w:val="000000" w:themeColor="text1"/>
          <w:sz w:val="28"/>
          <w:szCs w:val="28"/>
          <w:lang w:val="uk-UA" w:eastAsia="ru-RU"/>
        </w:rPr>
        <w:t xml:space="preserve">нітрофурантоїн та амоксициллін проявили високу інгібуючу активність </w:t>
      </w:r>
      <w:r>
        <w:rPr>
          <w:rFonts w:eastAsia="Times New Roman" w:cstheme="minorHAnsi"/>
          <w:color w:val="000000" w:themeColor="text1"/>
          <w:sz w:val="28"/>
          <w:szCs w:val="28"/>
          <w:lang w:val="en-US" w:eastAsia="ru-RU"/>
        </w:rPr>
        <w:t>in</w:t>
      </w:r>
      <w:r w:rsidRPr="00C94803">
        <w:rPr>
          <w:rFonts w:eastAsia="Times New Roman" w:cstheme="minorHAnsi"/>
          <w:color w:val="000000" w:themeColor="text1"/>
          <w:sz w:val="28"/>
          <w:szCs w:val="28"/>
          <w:lang w:val="uk-UA" w:eastAsia="ru-RU"/>
        </w:rPr>
        <w:t xml:space="preserve"> </w:t>
      </w:r>
      <w:r>
        <w:rPr>
          <w:rFonts w:eastAsia="Times New Roman" w:cstheme="minorHAnsi"/>
          <w:color w:val="000000" w:themeColor="text1"/>
          <w:sz w:val="28"/>
          <w:szCs w:val="28"/>
          <w:lang w:val="en-US" w:eastAsia="ru-RU"/>
        </w:rPr>
        <w:t>vitro</w:t>
      </w:r>
      <w:r>
        <w:rPr>
          <w:rFonts w:eastAsia="Times New Roman" w:cstheme="minorHAnsi"/>
          <w:color w:val="000000" w:themeColor="text1"/>
          <w:sz w:val="28"/>
          <w:szCs w:val="28"/>
          <w:lang w:val="uk-UA" w:eastAsia="ru-RU"/>
        </w:rPr>
        <w:t xml:space="preserve"> як проти грам-негативної флори, так і грам-позитивних уропатогенних бактерій [67</w:t>
      </w:r>
      <w:r w:rsidRPr="00304924">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 xml:space="preserve"> Однак, </w:t>
      </w:r>
      <w:r w:rsidRPr="00C94803">
        <w:rPr>
          <w:rFonts w:eastAsia="Times New Roman" w:cstheme="minorHAnsi"/>
          <w:color w:val="000000" w:themeColor="text1"/>
          <w:sz w:val="28"/>
          <w:szCs w:val="28"/>
          <w:lang w:val="en-US" w:eastAsia="ru-RU"/>
        </w:rPr>
        <w:t>Akingbade</w:t>
      </w:r>
      <w:r w:rsidRPr="00C94803">
        <w:rPr>
          <w:rFonts w:eastAsia="Times New Roman" w:cstheme="minorHAnsi"/>
          <w:color w:val="000000" w:themeColor="text1"/>
          <w:sz w:val="28"/>
          <w:szCs w:val="28"/>
          <w:lang w:val="uk-UA" w:eastAsia="ru-RU"/>
        </w:rPr>
        <w:t xml:space="preserve"> </w:t>
      </w:r>
      <w:r w:rsidRPr="00C94803">
        <w:rPr>
          <w:rFonts w:eastAsia="Times New Roman" w:cstheme="minorHAnsi"/>
          <w:color w:val="000000" w:themeColor="text1"/>
          <w:sz w:val="28"/>
          <w:szCs w:val="28"/>
          <w:lang w:val="en-US" w:eastAsia="ru-RU"/>
        </w:rPr>
        <w:t>O</w:t>
      </w:r>
      <w:r w:rsidRPr="00C94803">
        <w:rPr>
          <w:rFonts w:eastAsia="Times New Roman" w:cstheme="minorHAnsi"/>
          <w:color w:val="000000" w:themeColor="text1"/>
          <w:sz w:val="28"/>
          <w:szCs w:val="28"/>
          <w:lang w:val="uk-UA" w:eastAsia="ru-RU"/>
        </w:rPr>
        <w:t xml:space="preserve"> та с</w:t>
      </w:r>
      <w:r>
        <w:rPr>
          <w:rFonts w:eastAsia="Times New Roman" w:cstheme="minorHAnsi"/>
          <w:color w:val="000000" w:themeColor="text1"/>
          <w:sz w:val="28"/>
          <w:szCs w:val="28"/>
          <w:lang w:val="uk-UA" w:eastAsia="ru-RU"/>
        </w:rPr>
        <w:t>пів</w:t>
      </w:r>
      <w:r w:rsidRPr="00C94803">
        <w:rPr>
          <w:rFonts w:eastAsia="Times New Roman" w:cstheme="minorHAnsi"/>
          <w:color w:val="000000" w:themeColor="text1"/>
          <w:sz w:val="28"/>
          <w:szCs w:val="28"/>
          <w:lang w:val="uk-UA" w:eastAsia="ru-RU"/>
        </w:rPr>
        <w:t>авт.</w:t>
      </w:r>
      <w:r>
        <w:rPr>
          <w:rFonts w:eastAsia="Times New Roman" w:cstheme="minorHAnsi"/>
          <w:color w:val="000000" w:themeColor="text1"/>
          <w:sz w:val="28"/>
          <w:szCs w:val="28"/>
          <w:lang w:val="uk-UA" w:eastAsia="ru-RU"/>
        </w:rPr>
        <w:t xml:space="preserve"> демонструють наступні рівні резистентності серед уропатогенних штамів </w:t>
      </w:r>
      <w:r>
        <w:rPr>
          <w:rFonts w:eastAsia="Times New Roman" w:cstheme="minorHAnsi"/>
          <w:color w:val="000000" w:themeColor="text1"/>
          <w:sz w:val="28"/>
          <w:szCs w:val="28"/>
          <w:lang w:val="en-US" w:eastAsia="ru-RU"/>
        </w:rPr>
        <w:t>E</w:t>
      </w:r>
      <w:r w:rsidRPr="00C94803">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en-US" w:eastAsia="ru-RU"/>
        </w:rPr>
        <w:t>coli</w:t>
      </w:r>
      <w:r w:rsidRPr="00C94803">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 xml:space="preserve"> до амоксицилліну (90,8%), ампіцилліну (90,8%), еритроміцину (75,8%), ко-трімоксазолу (70%), стрептоміцину (70%) та тетрацикліну (68,3%), тоді як 85,8% та 84,2% були чутливі до гентаміцину та цефтазідіму відповідно. Рівні чутливості до фторхінолонів та 3-ї генерації цефалоспоринів були наступними: левофлоксацин (80%), цефтріаксон (76,7%), ципрофлоксацин (72,5%) та офлоскацин (60,8%) [12]</w:t>
      </w:r>
      <w:r w:rsidRPr="00C94803">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 xml:space="preserve"> В Україні, в 2010 році було проведено дослідження, де рівні резистентності </w:t>
      </w:r>
      <w:r>
        <w:rPr>
          <w:rFonts w:eastAsia="Times New Roman" w:cstheme="minorHAnsi"/>
          <w:color w:val="000000" w:themeColor="text1"/>
          <w:sz w:val="28"/>
          <w:szCs w:val="28"/>
          <w:lang w:val="en-US" w:eastAsia="ru-RU"/>
        </w:rPr>
        <w:t>E</w:t>
      </w:r>
      <w:r w:rsidRPr="00C94803">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en-US" w:eastAsia="ru-RU"/>
        </w:rPr>
        <w:t>coli</w:t>
      </w:r>
      <w:r>
        <w:rPr>
          <w:rFonts w:eastAsia="Times New Roman" w:cstheme="minorHAnsi"/>
          <w:color w:val="000000" w:themeColor="text1"/>
          <w:sz w:val="28"/>
          <w:szCs w:val="28"/>
          <w:lang w:val="uk-UA" w:eastAsia="ru-RU"/>
        </w:rPr>
        <w:t xml:space="preserve"> становили: до пеніциллінів (49%), тетрациклінів (40-49%), фторхінолонів – 17-32%. Крім того, 23% виділених штамів були резистентні до 10 та більше АБП.  </w:t>
      </w:r>
    </w:p>
    <w:p w:rsidR="00CE6207" w:rsidRDefault="00CE6207" w:rsidP="00CE6207">
      <w:pPr>
        <w:spacing w:line="360" w:lineRule="auto"/>
        <w:ind w:firstLine="709"/>
        <w:jc w:val="both"/>
        <w:rPr>
          <w:rFonts w:eastAsia="Times New Roman" w:cstheme="minorHAnsi"/>
          <w:color w:val="000000" w:themeColor="text1"/>
          <w:sz w:val="28"/>
          <w:szCs w:val="28"/>
          <w:lang w:val="uk-UA" w:eastAsia="ru-RU"/>
        </w:rPr>
      </w:pPr>
      <w:r>
        <w:rPr>
          <w:rFonts w:eastAsia="Times New Roman" w:cstheme="minorHAnsi"/>
          <w:color w:val="000000"/>
          <w:sz w:val="28"/>
          <w:szCs w:val="28"/>
          <w:lang w:val="uk-UA" w:eastAsia="ru-RU"/>
        </w:rPr>
        <w:t xml:space="preserve">Отже, спостерігається зниження чутливості </w:t>
      </w:r>
      <w:r>
        <w:rPr>
          <w:rFonts w:eastAsia="Times New Roman" w:cstheme="minorHAnsi"/>
          <w:color w:val="000000" w:themeColor="text1"/>
          <w:sz w:val="28"/>
          <w:szCs w:val="28"/>
          <w:lang w:val="uk-UA" w:eastAsia="ru-RU"/>
        </w:rPr>
        <w:t xml:space="preserve">етіологічної флори ХП до АБП, що призводить до неефективності емпіричної терапії подолання, необхідності застосування антибіотиків резерву, що у кінцевому підсумку може призвести до розвитку та прогресуванню ХХН. Тому, вивчення механізмів антибіотикорезистентності з одного боку дозволить підвищити ефективність емпіричної АБТ, а з іншого – поглибити розуміння формування резистентності </w:t>
      </w:r>
      <w:r w:rsidRPr="00BF6DA3">
        <w:rPr>
          <w:rFonts w:eastAsia="Times New Roman" w:cstheme="minorHAnsi"/>
          <w:color w:val="000000" w:themeColor="text1"/>
          <w:sz w:val="28"/>
          <w:szCs w:val="28"/>
          <w:lang w:val="uk-UA" w:eastAsia="ru-RU"/>
        </w:rPr>
        <w:t xml:space="preserve">з метою запобігання </w:t>
      </w:r>
      <w:r>
        <w:rPr>
          <w:rFonts w:eastAsia="Times New Roman" w:cstheme="minorHAnsi"/>
          <w:color w:val="000000" w:themeColor="text1"/>
          <w:sz w:val="28"/>
          <w:szCs w:val="28"/>
          <w:lang w:val="uk-UA" w:eastAsia="ru-RU"/>
        </w:rPr>
        <w:t xml:space="preserve">її </w:t>
      </w:r>
      <w:r w:rsidRPr="00BF6DA3">
        <w:rPr>
          <w:rFonts w:eastAsia="Times New Roman" w:cstheme="minorHAnsi"/>
          <w:color w:val="000000" w:themeColor="text1"/>
          <w:sz w:val="28"/>
          <w:szCs w:val="28"/>
          <w:lang w:val="uk-UA" w:eastAsia="ru-RU"/>
        </w:rPr>
        <w:t xml:space="preserve">поширенню </w:t>
      </w:r>
      <w:r>
        <w:rPr>
          <w:rFonts w:eastAsia="Times New Roman" w:cstheme="minorHAnsi"/>
          <w:color w:val="000000" w:themeColor="text1"/>
          <w:sz w:val="28"/>
          <w:szCs w:val="28"/>
          <w:lang w:val="uk-UA" w:eastAsia="ru-RU"/>
        </w:rPr>
        <w:t>серед бактеріальних штамів.</w:t>
      </w:r>
    </w:p>
    <w:p w:rsidR="00CE6207" w:rsidRDefault="00CE6207" w:rsidP="00CE6207">
      <w:pPr>
        <w:spacing w:line="360" w:lineRule="auto"/>
        <w:ind w:firstLine="709"/>
        <w:jc w:val="both"/>
        <w:rPr>
          <w:rFonts w:cstheme="minorHAnsi"/>
          <w:b/>
          <w:color w:val="000000"/>
          <w:sz w:val="28"/>
          <w:szCs w:val="28"/>
          <w:shd w:val="clear" w:color="auto" w:fill="FFFFFF"/>
          <w:lang w:val="uk-UA"/>
        </w:rPr>
      </w:pPr>
      <w:r>
        <w:rPr>
          <w:rFonts w:cstheme="minorHAnsi"/>
          <w:b/>
          <w:color w:val="000000"/>
          <w:sz w:val="28"/>
          <w:szCs w:val="28"/>
          <w:shd w:val="clear" w:color="auto" w:fill="FFFFFF"/>
          <w:lang w:val="uk-UA"/>
        </w:rPr>
        <w:t>1.3 Механізми формування антибіотикорезистентності. Сучасний погляд на проблему. Плазмід-індуковані механізми антибіотикорезистентності.</w:t>
      </w:r>
    </w:p>
    <w:p w:rsidR="00CE6207" w:rsidRDefault="00CE6207" w:rsidP="00CE6207">
      <w:pPr>
        <w:spacing w:after="0" w:line="360" w:lineRule="auto"/>
        <w:ind w:firstLine="709"/>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lastRenderedPageBreak/>
        <w:t xml:space="preserve">Резистентність мікроорганізмів до антибактеріальних препаратів буває природної та набутої. Природна резистентність розвивається при відсутності у мікроорганізму мішені для дії антибіотика або ж при недоступності цієї мішені. Придбана стійкість розвивається або внаслідок мутацій, або при передачі генів, що кодують резистентність, від резистентних бактерій чутливим мікроорганізмам. Основними механізмами, </w:t>
      </w:r>
      <w:r>
        <w:rPr>
          <w:rFonts w:cstheme="minorHAnsi"/>
          <w:color w:val="000000"/>
          <w:sz w:val="28"/>
          <w:szCs w:val="28"/>
          <w:shd w:val="clear" w:color="auto" w:fill="FFFFFF"/>
          <w:lang w:val="uk-UA"/>
        </w:rPr>
        <w:t>що опосередкують</w:t>
      </w:r>
      <w:r w:rsidRPr="007E5FE9">
        <w:rPr>
          <w:rFonts w:cstheme="minorHAnsi"/>
          <w:color w:val="000000"/>
          <w:sz w:val="28"/>
          <w:szCs w:val="28"/>
          <w:shd w:val="clear" w:color="auto" w:fill="FFFFFF"/>
          <w:lang w:val="uk-UA"/>
        </w:rPr>
        <w:t xml:space="preserve"> придбану стійкість, є:</w:t>
      </w:r>
    </w:p>
    <w:p w:rsidR="00CE6207" w:rsidRDefault="00CE6207" w:rsidP="00CE6207">
      <w:pPr>
        <w:pStyle w:val="ab"/>
        <w:numPr>
          <w:ilvl w:val="0"/>
          <w:numId w:val="3"/>
        </w:numPr>
        <w:spacing w:after="0" w:line="360" w:lineRule="auto"/>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t>деструкція або інактивація (модифікація) антибіотика;</w:t>
      </w:r>
    </w:p>
    <w:p w:rsidR="00CE6207" w:rsidRDefault="00CE6207" w:rsidP="00CE6207">
      <w:pPr>
        <w:pStyle w:val="ab"/>
        <w:numPr>
          <w:ilvl w:val="0"/>
          <w:numId w:val="3"/>
        </w:numPr>
        <w:spacing w:after="0" w:line="360" w:lineRule="auto"/>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t>зміна мішені дії антибіотика;</w:t>
      </w:r>
    </w:p>
    <w:p w:rsidR="00CE6207" w:rsidRDefault="00CE6207" w:rsidP="00CE6207">
      <w:pPr>
        <w:pStyle w:val="ab"/>
        <w:numPr>
          <w:ilvl w:val="0"/>
          <w:numId w:val="3"/>
        </w:numPr>
        <w:spacing w:after="0" w:line="360" w:lineRule="auto"/>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t>зменшення проникності клітинної стінки, блокада механізмів транспортування антибіотика всередину бактеріальної клітини, або активн</w:t>
      </w:r>
      <w:r>
        <w:rPr>
          <w:rFonts w:cstheme="minorHAnsi"/>
          <w:color w:val="000000"/>
          <w:sz w:val="28"/>
          <w:szCs w:val="28"/>
          <w:shd w:val="clear" w:color="auto" w:fill="FFFFFF"/>
          <w:lang w:val="uk-UA"/>
        </w:rPr>
        <w:t>е</w:t>
      </w:r>
      <w:r w:rsidRPr="007E5FE9">
        <w:rPr>
          <w:rFonts w:cstheme="minorHAnsi"/>
          <w:color w:val="000000"/>
          <w:sz w:val="28"/>
          <w:szCs w:val="28"/>
          <w:shd w:val="clear" w:color="auto" w:fill="FFFFFF"/>
          <w:lang w:val="uk-UA"/>
        </w:rPr>
        <w:t xml:space="preserve"> його виведення з мікроорганізму;</w:t>
      </w:r>
    </w:p>
    <w:p w:rsidR="00CE6207" w:rsidRDefault="00CE6207" w:rsidP="00CE6207">
      <w:pPr>
        <w:pStyle w:val="ab"/>
        <w:numPr>
          <w:ilvl w:val="0"/>
          <w:numId w:val="3"/>
        </w:numPr>
        <w:spacing w:after="0" w:line="360" w:lineRule="auto"/>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t>придбання нового метаболічного шляху замість того, що п</w:t>
      </w:r>
      <w:r>
        <w:rPr>
          <w:rFonts w:cstheme="minorHAnsi"/>
          <w:color w:val="000000"/>
          <w:sz w:val="28"/>
          <w:szCs w:val="28"/>
          <w:shd w:val="clear" w:color="auto" w:fill="FFFFFF"/>
          <w:lang w:val="uk-UA"/>
        </w:rPr>
        <w:t>ригнічувався</w:t>
      </w:r>
      <w:r w:rsidRPr="007E5FE9">
        <w:rPr>
          <w:rFonts w:cstheme="minorHAnsi"/>
          <w:color w:val="000000"/>
          <w:sz w:val="28"/>
          <w:szCs w:val="28"/>
          <w:shd w:val="clear" w:color="auto" w:fill="FFFFFF"/>
          <w:lang w:val="uk-UA"/>
        </w:rPr>
        <w:t xml:space="preserve"> антибіотиком.</w:t>
      </w:r>
    </w:p>
    <w:p w:rsidR="00CE6207" w:rsidRDefault="00CE6207" w:rsidP="00CE6207">
      <w:pPr>
        <w:spacing w:line="360" w:lineRule="auto"/>
        <w:ind w:firstLine="709"/>
        <w:jc w:val="both"/>
        <w:rPr>
          <w:rFonts w:cstheme="minorHAnsi"/>
          <w:color w:val="000000"/>
          <w:sz w:val="28"/>
          <w:szCs w:val="28"/>
          <w:shd w:val="clear" w:color="auto" w:fill="FFFFFF"/>
          <w:lang w:val="uk-UA"/>
        </w:rPr>
      </w:pPr>
      <w:r w:rsidRPr="007E5FE9">
        <w:rPr>
          <w:rFonts w:cstheme="minorHAnsi"/>
          <w:color w:val="000000"/>
          <w:sz w:val="28"/>
          <w:szCs w:val="28"/>
          <w:shd w:val="clear" w:color="auto" w:fill="FFFFFF"/>
          <w:lang w:val="uk-UA"/>
        </w:rPr>
        <w:t>З клінічної точки зору, найбільш важливим з них є здатність мікроорганізмів синтезувати ферменти, що руйнують антибіотики. Бактеріальні ферменти, що руйнують β-лактамні антибіотики, називаються β-лактамази</w:t>
      </w:r>
      <w:r>
        <w:rPr>
          <w:rFonts w:cstheme="minorHAnsi"/>
          <w:color w:val="000000"/>
          <w:sz w:val="28"/>
          <w:szCs w:val="28"/>
          <w:shd w:val="clear" w:color="auto" w:fill="FFFFFF"/>
          <w:lang w:val="uk-UA"/>
        </w:rPr>
        <w:t xml:space="preserve"> [</w:t>
      </w:r>
      <w:r>
        <w:rPr>
          <w:rFonts w:eastAsia="Times New Roman" w:cstheme="minorHAnsi"/>
          <w:color w:val="000000" w:themeColor="text1"/>
          <w:sz w:val="28"/>
          <w:szCs w:val="28"/>
          <w:lang w:val="uk-UA" w:eastAsia="ru-RU"/>
        </w:rPr>
        <w:t>90</w:t>
      </w:r>
      <w:r>
        <w:rPr>
          <w:rFonts w:cstheme="minorHAnsi"/>
          <w:color w:val="000000"/>
          <w:sz w:val="28"/>
          <w:szCs w:val="28"/>
          <w:shd w:val="clear" w:color="auto" w:fill="FFFFFF"/>
          <w:lang w:val="uk-UA"/>
        </w:rPr>
        <w:t>]</w:t>
      </w:r>
      <w:r w:rsidRPr="007E5FE9">
        <w:rPr>
          <w:rFonts w:cstheme="minorHAnsi"/>
          <w:color w:val="000000"/>
          <w:sz w:val="28"/>
          <w:szCs w:val="28"/>
          <w:shd w:val="clear" w:color="auto" w:fill="FFFFFF"/>
          <w:lang w:val="uk-UA"/>
        </w:rPr>
        <w:t>.</w:t>
      </w:r>
    </w:p>
    <w:p w:rsidR="00CE6207" w:rsidRDefault="00CE6207" w:rsidP="00CE6207">
      <w:pPr>
        <w:spacing w:line="360" w:lineRule="auto"/>
        <w:ind w:firstLine="709"/>
        <w:jc w:val="both"/>
        <w:rPr>
          <w:rFonts w:cstheme="minorHAnsi"/>
          <w:b/>
          <w:color w:val="000000"/>
          <w:sz w:val="28"/>
          <w:szCs w:val="28"/>
          <w:shd w:val="clear" w:color="auto" w:fill="FFFFFF"/>
          <w:lang w:val="uk-UA"/>
        </w:rPr>
      </w:pPr>
      <w:r w:rsidRPr="00075485">
        <w:rPr>
          <w:rFonts w:cstheme="minorHAnsi"/>
          <w:b/>
          <w:color w:val="000000"/>
          <w:sz w:val="28"/>
          <w:szCs w:val="28"/>
          <w:shd w:val="clear" w:color="auto" w:fill="FFFFFF"/>
          <w:lang w:val="uk-UA"/>
        </w:rPr>
        <w:t>1.3.1 Механізми резистентності до β-лактамних антибіотиків.</w:t>
      </w:r>
    </w:p>
    <w:p w:rsidR="00CE6207" w:rsidRPr="00075F27" w:rsidRDefault="00CE6207" w:rsidP="00CE6207">
      <w:pPr>
        <w:spacing w:after="0" w:line="360" w:lineRule="auto"/>
        <w:ind w:firstLine="709"/>
        <w:jc w:val="both"/>
        <w:rPr>
          <w:rFonts w:cstheme="minorHAnsi"/>
          <w:color w:val="000000"/>
          <w:sz w:val="28"/>
          <w:szCs w:val="28"/>
          <w:shd w:val="clear" w:color="auto" w:fill="FFFFFF"/>
          <w:lang w:val="uk-UA"/>
        </w:rPr>
      </w:pPr>
      <w:r w:rsidRPr="00075485">
        <w:rPr>
          <w:rFonts w:cstheme="minorHAnsi"/>
          <w:color w:val="000000"/>
          <w:sz w:val="28"/>
          <w:szCs w:val="28"/>
          <w:shd w:val="clear" w:color="auto" w:fill="FFFFFF"/>
          <w:lang w:val="uk-UA"/>
        </w:rPr>
        <w:t xml:space="preserve">β-лактами - група антибіотиків, що включає пеніциліни, цефалоспорини, карбапенеми і монобактами. Резистентність бактерій до вказаних препаратів найчастіше виникає внаслідок наступних механізмів: продукції β-лактамаз у поєднанні з природною не чутливі мікроорганізму і наявністю </w:t>
      </w:r>
      <w:r>
        <w:rPr>
          <w:rFonts w:cstheme="minorHAnsi"/>
          <w:color w:val="000000"/>
          <w:sz w:val="28"/>
          <w:szCs w:val="28"/>
          <w:shd w:val="clear" w:color="auto" w:fill="FFFFFF"/>
          <w:lang w:val="uk-UA"/>
        </w:rPr>
        <w:t>е</w:t>
      </w:r>
      <w:r w:rsidRPr="00075485">
        <w:rPr>
          <w:rFonts w:cstheme="minorHAnsi"/>
          <w:color w:val="000000"/>
          <w:sz w:val="28"/>
          <w:szCs w:val="28"/>
          <w:shd w:val="clear" w:color="auto" w:fill="FFFFFF"/>
          <w:lang w:val="uk-UA"/>
        </w:rPr>
        <w:t>ффлюкс</w:t>
      </w:r>
      <w:r>
        <w:rPr>
          <w:rFonts w:cstheme="minorHAnsi"/>
          <w:color w:val="000000"/>
          <w:sz w:val="28"/>
          <w:szCs w:val="28"/>
          <w:shd w:val="clear" w:color="auto" w:fill="FFFFFF"/>
          <w:lang w:val="uk-UA"/>
        </w:rPr>
        <w:t>а [</w:t>
      </w:r>
      <w:r>
        <w:rPr>
          <w:rFonts w:eastAsia="Times New Roman" w:cstheme="minorHAnsi"/>
          <w:color w:val="000000" w:themeColor="text1"/>
          <w:sz w:val="28"/>
          <w:szCs w:val="28"/>
          <w:lang w:val="uk-UA" w:eastAsia="ru-RU"/>
        </w:rPr>
        <w:t>84</w:t>
      </w:r>
      <w:r>
        <w:rPr>
          <w:rFonts w:cstheme="minorHAnsi"/>
          <w:color w:val="000000"/>
          <w:sz w:val="28"/>
          <w:szCs w:val="28"/>
          <w:shd w:val="clear" w:color="auto" w:fill="FFFFFF"/>
          <w:lang w:val="uk-UA"/>
        </w:rPr>
        <w:t>]</w:t>
      </w:r>
      <w:r w:rsidRPr="00075485">
        <w:rPr>
          <w:rFonts w:cstheme="minorHAnsi"/>
          <w:color w:val="000000"/>
          <w:sz w:val="28"/>
          <w:szCs w:val="28"/>
          <w:shd w:val="clear" w:color="auto" w:fill="FFFFFF"/>
          <w:lang w:val="uk-UA"/>
        </w:rPr>
        <w:t>.</w:t>
      </w:r>
      <w:r w:rsidRPr="004938E8">
        <w:rPr>
          <w:rFonts w:cstheme="minorHAnsi"/>
          <w:color w:val="000000"/>
          <w:sz w:val="28"/>
          <w:szCs w:val="28"/>
          <w:shd w:val="clear" w:color="auto" w:fill="FFFFFF"/>
          <w:lang w:val="uk-UA"/>
        </w:rPr>
        <w:t xml:space="preserve"> </w:t>
      </w:r>
    </w:p>
    <w:p w:rsidR="00CE6207" w:rsidRDefault="00CE6207" w:rsidP="00CE6207">
      <w:pPr>
        <w:spacing w:after="0" w:line="360" w:lineRule="auto"/>
        <w:ind w:firstLine="709"/>
        <w:jc w:val="both"/>
        <w:rPr>
          <w:rFonts w:cstheme="minorHAnsi"/>
          <w:color w:val="000000"/>
          <w:sz w:val="28"/>
          <w:szCs w:val="28"/>
          <w:shd w:val="clear" w:color="auto" w:fill="FFFFFF"/>
          <w:lang w:val="uk-UA"/>
        </w:rPr>
      </w:pPr>
      <w:r w:rsidRPr="004938E8">
        <w:rPr>
          <w:rFonts w:cstheme="minorHAnsi"/>
          <w:color w:val="000000"/>
          <w:sz w:val="28"/>
          <w:szCs w:val="28"/>
          <w:shd w:val="clear" w:color="auto" w:fill="FFFFFF"/>
          <w:lang w:val="uk-UA"/>
        </w:rPr>
        <w:t xml:space="preserve">Продукція β-лактамаз - головний механізм резистентності до β-лактамних антибіотиків у Г- бактерій. В даний час відомо більше 400 різних β-лактамаз і в останні роки ця кількість стрімко зростає - до декількох десятків на рік. Ці ферменти відрізняються між собою як за походженням </w:t>
      </w:r>
      <w:r w:rsidRPr="004938E8">
        <w:rPr>
          <w:rFonts w:cstheme="minorHAnsi"/>
          <w:color w:val="000000"/>
          <w:sz w:val="28"/>
          <w:szCs w:val="28"/>
          <w:shd w:val="clear" w:color="auto" w:fill="FFFFFF"/>
          <w:lang w:val="uk-UA"/>
        </w:rPr>
        <w:lastRenderedPageBreak/>
        <w:t>(плазмідні або хромосомно кодуються), так і по амінокислотної послідовності. Сучасна класифікація поділяє ці ферменти як за функціональними (Bush-Jacoby-Medeiros scheme), так і по молекулярно-біологічними ознаками (класифікація Ambler). Ambler scheme розділяє β-лактамази на 4 класи від</w:t>
      </w:r>
      <w:r>
        <w:rPr>
          <w:rFonts w:cstheme="minorHAnsi"/>
          <w:color w:val="000000"/>
          <w:sz w:val="28"/>
          <w:szCs w:val="28"/>
          <w:shd w:val="clear" w:color="auto" w:fill="FFFFFF"/>
          <w:lang w:val="uk-UA"/>
        </w:rPr>
        <w:t>повідно до протеїнової гомології</w:t>
      </w:r>
      <w:r w:rsidRPr="004938E8">
        <w:rPr>
          <w:rFonts w:cstheme="minorHAnsi"/>
          <w:color w:val="000000"/>
          <w:sz w:val="28"/>
          <w:szCs w:val="28"/>
          <w:shd w:val="clear" w:color="auto" w:fill="FFFFFF"/>
          <w:lang w:val="uk-UA"/>
        </w:rPr>
        <w:t xml:space="preserve"> ферментів. β-лактамази класу A, C і D є серинов</w:t>
      </w:r>
      <w:r>
        <w:rPr>
          <w:rFonts w:cstheme="minorHAnsi"/>
          <w:color w:val="000000"/>
          <w:sz w:val="28"/>
          <w:szCs w:val="28"/>
          <w:shd w:val="clear" w:color="auto" w:fill="FFFFFF"/>
          <w:lang w:val="uk-UA"/>
        </w:rPr>
        <w:t>ими</w:t>
      </w:r>
      <w:r w:rsidRPr="004938E8">
        <w:rPr>
          <w:rFonts w:cstheme="minorHAnsi"/>
          <w:color w:val="000000"/>
          <w:sz w:val="28"/>
          <w:szCs w:val="28"/>
          <w:shd w:val="clear" w:color="auto" w:fill="FFFFFF"/>
          <w:lang w:val="uk-UA"/>
        </w:rPr>
        <w:t xml:space="preserve"> β-лактамазами, а β-лактамази класу B - метало-β-лактамази (</w:t>
      </w:r>
      <w:r>
        <w:rPr>
          <w:rFonts w:cstheme="minorHAnsi"/>
          <w:color w:val="000000"/>
          <w:sz w:val="28"/>
          <w:szCs w:val="28"/>
          <w:shd w:val="clear" w:color="auto" w:fill="FFFFFF"/>
          <w:lang w:val="uk-UA"/>
        </w:rPr>
        <w:t>мал</w:t>
      </w:r>
      <w:r w:rsidRPr="004938E8">
        <w:rPr>
          <w:rFonts w:cstheme="minorHAnsi"/>
          <w:color w:val="000000"/>
          <w:sz w:val="28"/>
          <w:szCs w:val="28"/>
          <w:shd w:val="clear" w:color="auto" w:fill="FFFFFF"/>
          <w:lang w:val="uk-UA"/>
        </w:rPr>
        <w:t>.1.</w:t>
      </w:r>
      <w:r>
        <w:rPr>
          <w:rFonts w:cstheme="minorHAnsi"/>
          <w:color w:val="000000"/>
          <w:sz w:val="28"/>
          <w:szCs w:val="28"/>
          <w:shd w:val="clear" w:color="auto" w:fill="FFFFFF"/>
          <w:lang w:val="uk-UA"/>
        </w:rPr>
        <w:t>1</w:t>
      </w:r>
      <w:r w:rsidRPr="004938E8">
        <w:rPr>
          <w:rFonts w:cstheme="minorHAnsi"/>
          <w:color w:val="000000"/>
          <w:sz w:val="28"/>
          <w:szCs w:val="28"/>
          <w:shd w:val="clear" w:color="auto" w:fill="FFFFFF"/>
          <w:lang w:val="uk-UA"/>
        </w:rPr>
        <w:t>). Функціональна класифікація β-лактамаз заснована на їх різній здатності гідролізувати ті чи інші β-лактамні антибіотики</w:t>
      </w:r>
      <w:r>
        <w:rPr>
          <w:rFonts w:cstheme="minorHAnsi"/>
          <w:color w:val="000000"/>
          <w:sz w:val="28"/>
          <w:szCs w:val="28"/>
          <w:shd w:val="clear" w:color="auto" w:fill="FFFFFF"/>
          <w:lang w:val="uk-UA"/>
        </w:rPr>
        <w:t xml:space="preserve"> [</w:t>
      </w:r>
      <w:r>
        <w:rPr>
          <w:rFonts w:eastAsia="Times New Roman" w:cstheme="minorHAnsi"/>
          <w:color w:val="000000" w:themeColor="text1"/>
          <w:sz w:val="28"/>
          <w:szCs w:val="28"/>
          <w:lang w:val="uk-UA" w:eastAsia="ru-RU"/>
        </w:rPr>
        <w:t>84, 90</w:t>
      </w:r>
      <w:r>
        <w:rPr>
          <w:rFonts w:cstheme="minorHAnsi"/>
          <w:color w:val="000000"/>
          <w:sz w:val="28"/>
          <w:szCs w:val="28"/>
          <w:shd w:val="clear" w:color="auto" w:fill="FFFFFF"/>
          <w:lang w:val="uk-UA"/>
        </w:rPr>
        <w:t>].</w:t>
      </w:r>
    </w:p>
    <w:p w:rsidR="00CE6207" w:rsidRDefault="00CE6207" w:rsidP="00CE6207">
      <w:pPr>
        <w:spacing w:after="0" w:line="360" w:lineRule="auto"/>
        <w:ind w:firstLine="709"/>
        <w:jc w:val="both"/>
        <w:rPr>
          <w:rFonts w:cstheme="minorHAnsi"/>
          <w:color w:val="000000"/>
          <w:sz w:val="28"/>
          <w:szCs w:val="28"/>
          <w:shd w:val="clear" w:color="auto" w:fill="FFFFFF"/>
          <w:lang w:val="uk-UA"/>
        </w:rPr>
      </w:pPr>
      <w:r>
        <w:rPr>
          <w:rFonts w:cstheme="minorHAnsi"/>
          <w:noProof/>
          <w:color w:val="000000"/>
          <w:sz w:val="28"/>
          <w:szCs w:val="28"/>
          <w:shd w:val="clear" w:color="auto" w:fill="FFFFFF"/>
          <w:lang w:eastAsia="ru-RU"/>
        </w:rPr>
        <w:drawing>
          <wp:inline distT="0" distB="0" distL="0" distR="0" wp14:anchorId="5D65FE78" wp14:editId="2CE01E5B">
            <wp:extent cx="5389808" cy="2884252"/>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2028" cy="2885440"/>
                    </a:xfrm>
                    <a:prstGeom prst="rect">
                      <a:avLst/>
                    </a:prstGeom>
                    <a:noFill/>
                  </pic:spPr>
                </pic:pic>
              </a:graphicData>
            </a:graphic>
          </wp:inline>
        </w:drawing>
      </w:r>
    </w:p>
    <w:p w:rsidR="00CE6207" w:rsidRDefault="00CE6207" w:rsidP="00CE6207">
      <w:pPr>
        <w:spacing w:line="360" w:lineRule="auto"/>
        <w:ind w:firstLine="709"/>
        <w:jc w:val="both"/>
        <w:rPr>
          <w:rFonts w:cstheme="minorHAnsi"/>
          <w:color w:val="000000"/>
          <w:sz w:val="24"/>
          <w:szCs w:val="24"/>
          <w:shd w:val="clear" w:color="auto" w:fill="FFFFFF"/>
          <w:lang w:val="uk-UA"/>
        </w:rPr>
      </w:pPr>
      <w:r w:rsidRPr="004938E8">
        <w:rPr>
          <w:rFonts w:cstheme="minorHAnsi"/>
          <w:color w:val="000000"/>
          <w:sz w:val="24"/>
          <w:szCs w:val="24"/>
          <w:shd w:val="clear" w:color="auto" w:fill="FFFFFF"/>
          <w:lang w:val="uk-UA"/>
        </w:rPr>
        <w:t>Мал. 1.</w:t>
      </w:r>
      <w:r>
        <w:rPr>
          <w:rFonts w:cstheme="minorHAnsi"/>
          <w:color w:val="000000"/>
          <w:sz w:val="24"/>
          <w:szCs w:val="24"/>
          <w:shd w:val="clear" w:color="auto" w:fill="FFFFFF"/>
          <w:lang w:val="uk-UA"/>
        </w:rPr>
        <w:t>1</w:t>
      </w:r>
      <w:r w:rsidRPr="004938E8">
        <w:rPr>
          <w:rFonts w:cstheme="minorHAnsi"/>
          <w:color w:val="000000"/>
          <w:sz w:val="24"/>
          <w:szCs w:val="24"/>
          <w:shd w:val="clear" w:color="auto" w:fill="FFFFFF"/>
          <w:lang w:val="uk-UA"/>
        </w:rPr>
        <w:t xml:space="preserve"> Класифікація β-лактамаз по молекулярним класам і функціональним групам.</w:t>
      </w:r>
    </w:p>
    <w:p w:rsidR="00CE6207" w:rsidRDefault="00CE6207" w:rsidP="00CE6207">
      <w:pPr>
        <w:spacing w:after="0" w:line="360" w:lineRule="auto"/>
        <w:ind w:firstLine="709"/>
        <w:jc w:val="both"/>
        <w:rPr>
          <w:rFonts w:eastAsia="Times New Roman" w:cstheme="minorHAnsi"/>
          <w:color w:val="000000" w:themeColor="text1"/>
          <w:sz w:val="28"/>
          <w:szCs w:val="28"/>
          <w:lang w:val="uk-UA" w:eastAsia="ru-RU"/>
        </w:rPr>
      </w:pPr>
      <w:r w:rsidRPr="00D04CB6">
        <w:rPr>
          <w:rFonts w:cstheme="minorHAnsi"/>
          <w:color w:val="000000"/>
          <w:sz w:val="28"/>
          <w:szCs w:val="28"/>
          <w:shd w:val="clear" w:color="auto" w:fill="FFFFFF"/>
          <w:lang w:val="uk-UA"/>
        </w:rPr>
        <w:t xml:space="preserve">У першу групу входять ферменти, що відносяться до молекулярного класу С (β-лактамази типу AmpC). Характерною особливістю цієї групи є їх більш висока активність до цефалоспоринів </w:t>
      </w:r>
      <w:r>
        <w:rPr>
          <w:rFonts w:cstheme="minorHAnsi"/>
          <w:color w:val="000000"/>
          <w:sz w:val="28"/>
          <w:szCs w:val="28"/>
          <w:shd w:val="clear" w:color="auto" w:fill="FFFFFF"/>
          <w:lang w:val="uk-UA"/>
        </w:rPr>
        <w:t>у</w:t>
      </w:r>
      <w:r w:rsidRPr="00D04CB6">
        <w:rPr>
          <w:rFonts w:cstheme="minorHAnsi"/>
          <w:color w:val="000000"/>
          <w:sz w:val="28"/>
          <w:szCs w:val="28"/>
          <w:shd w:val="clear" w:color="auto" w:fill="FFFFFF"/>
          <w:lang w:val="uk-UA"/>
        </w:rPr>
        <w:t xml:space="preserve"> порівнянні з пеніцилінами (тому їх часто називають цефалоспориназ</w:t>
      </w:r>
      <w:r>
        <w:rPr>
          <w:rFonts w:cstheme="minorHAnsi"/>
          <w:color w:val="000000"/>
          <w:sz w:val="28"/>
          <w:szCs w:val="28"/>
          <w:shd w:val="clear" w:color="auto" w:fill="FFFFFF"/>
          <w:lang w:val="uk-UA"/>
        </w:rPr>
        <w:t>и</w:t>
      </w:r>
      <w:r w:rsidRPr="00D04CB6">
        <w:rPr>
          <w:rFonts w:cstheme="minorHAnsi"/>
          <w:color w:val="000000"/>
          <w:sz w:val="28"/>
          <w:szCs w:val="28"/>
          <w:shd w:val="clear" w:color="auto" w:fill="FFFFFF"/>
          <w:lang w:val="uk-UA"/>
        </w:rPr>
        <w:t>). Крім того, ці ферменти малочутливі</w:t>
      </w:r>
      <w:r>
        <w:rPr>
          <w:rFonts w:cstheme="minorHAnsi"/>
          <w:color w:val="000000"/>
          <w:sz w:val="28"/>
          <w:szCs w:val="28"/>
          <w:shd w:val="clear" w:color="auto" w:fill="FFFFFF"/>
          <w:lang w:val="uk-UA"/>
        </w:rPr>
        <w:t xml:space="preserve"> до дії інгібіторів β-лактамаз. </w:t>
      </w:r>
      <w:r w:rsidRPr="00D04CB6">
        <w:rPr>
          <w:rFonts w:cstheme="minorHAnsi"/>
          <w:color w:val="000000"/>
          <w:sz w:val="28"/>
          <w:szCs w:val="28"/>
          <w:shd w:val="clear" w:color="auto" w:fill="FFFFFF"/>
          <w:lang w:val="uk-UA"/>
        </w:rPr>
        <w:t xml:space="preserve">У другу функціональну групу, входять β-лактамази молекулярних класів A і D. Гени ферментів другої групи входять до складу плазмід, тому ефективність їх перенесення між різними штамами, а отже, і швидкість поширення дуже високі. До групи 2а відносяться β-лактамази Г + бактерій Staphylococcus spp. і Bacillus spp. </w:t>
      </w:r>
      <w:r w:rsidRPr="00D04CB6">
        <w:rPr>
          <w:rFonts w:cstheme="minorHAnsi"/>
          <w:color w:val="000000"/>
          <w:sz w:val="28"/>
          <w:szCs w:val="28"/>
          <w:shd w:val="clear" w:color="auto" w:fill="FFFFFF"/>
          <w:lang w:val="uk-UA"/>
        </w:rPr>
        <w:lastRenderedPageBreak/>
        <w:t xml:space="preserve">Ферменти цієї групи найбільш ефективні відносно пеніцилінових антибіотиків (за винятком оксациліну і його аналогів). Найвідомішими представниками групи 2b є β-лактамази TEM і SHV. Найбільш ефективно ці ферменти гідролізують пеніциліни, меншою мірою - цефалоспорини. У підгрупу 2be входять численні мутанти β-лактамаз типу TEM і SHV. Поява додаткових мутацій привело до того, що вони стали ефективно розщеплювати і цефалоспорини I - IV поколінь. Широка </w:t>
      </w:r>
      <w:r>
        <w:rPr>
          <w:rFonts w:cstheme="minorHAnsi"/>
          <w:color w:val="000000"/>
          <w:sz w:val="28"/>
          <w:szCs w:val="28"/>
          <w:shd w:val="clear" w:color="auto" w:fill="FFFFFF"/>
          <w:lang w:val="uk-UA"/>
        </w:rPr>
        <w:t>с</w:t>
      </w:r>
      <w:r w:rsidRPr="00D04CB6">
        <w:rPr>
          <w:rFonts w:cstheme="minorHAnsi"/>
          <w:color w:val="000000"/>
          <w:sz w:val="28"/>
          <w:szCs w:val="28"/>
          <w:shd w:val="clear" w:color="auto" w:fill="FFFFFF"/>
          <w:lang w:val="uk-UA"/>
        </w:rPr>
        <w:t>убстратна специфічність ферментів цієї групи є причиною їх іншо</w:t>
      </w:r>
      <w:r>
        <w:rPr>
          <w:rFonts w:cstheme="minorHAnsi"/>
          <w:color w:val="000000"/>
          <w:sz w:val="28"/>
          <w:szCs w:val="28"/>
          <w:shd w:val="clear" w:color="auto" w:fill="FFFFFF"/>
          <w:lang w:val="uk-UA"/>
        </w:rPr>
        <w:t>ї</w:t>
      </w:r>
      <w:r w:rsidRPr="00D04CB6">
        <w:rPr>
          <w:rFonts w:cstheme="minorHAnsi"/>
          <w:color w:val="000000"/>
          <w:sz w:val="28"/>
          <w:szCs w:val="28"/>
          <w:shd w:val="clear" w:color="auto" w:fill="FFFFFF"/>
          <w:lang w:val="uk-UA"/>
        </w:rPr>
        <w:t xml:space="preserve"> широко використовувано</w:t>
      </w:r>
      <w:r>
        <w:rPr>
          <w:rFonts w:cstheme="minorHAnsi"/>
          <w:color w:val="000000"/>
          <w:sz w:val="28"/>
          <w:szCs w:val="28"/>
          <w:shd w:val="clear" w:color="auto" w:fill="FFFFFF"/>
          <w:lang w:val="uk-UA"/>
        </w:rPr>
        <w:t>ї</w:t>
      </w:r>
      <w:r w:rsidRPr="00D04CB6">
        <w:rPr>
          <w:rFonts w:cstheme="minorHAnsi"/>
          <w:color w:val="000000"/>
          <w:sz w:val="28"/>
          <w:szCs w:val="28"/>
          <w:shd w:val="clear" w:color="auto" w:fill="FFFFFF"/>
          <w:lang w:val="uk-UA"/>
        </w:rPr>
        <w:t xml:space="preserve"> назви - β-лактамази розширеного спектру дії («extended spectrum beta-lactamases» - ESBLs)</w:t>
      </w:r>
      <w:r w:rsidRPr="008A0DB9">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 xml:space="preserve"> </w:t>
      </w:r>
      <w:r w:rsidRPr="008A0DB9">
        <w:rPr>
          <w:rFonts w:eastAsia="Times New Roman" w:cstheme="minorHAnsi"/>
          <w:color w:val="000000" w:themeColor="text1"/>
          <w:sz w:val="28"/>
          <w:szCs w:val="28"/>
          <w:lang w:val="uk-UA" w:eastAsia="ru-RU"/>
        </w:rPr>
        <w:t xml:space="preserve">β-лактамази розширеного спектру дії (βЛРС) - група ензимів, </w:t>
      </w:r>
      <w:r>
        <w:rPr>
          <w:rFonts w:eastAsia="Times New Roman" w:cstheme="minorHAnsi"/>
          <w:color w:val="000000" w:themeColor="text1"/>
          <w:sz w:val="28"/>
          <w:szCs w:val="28"/>
          <w:lang w:val="uk-UA" w:eastAsia="ru-RU"/>
        </w:rPr>
        <w:t xml:space="preserve">що </w:t>
      </w:r>
      <w:r w:rsidRPr="008A0DB9">
        <w:rPr>
          <w:rFonts w:eastAsia="Times New Roman" w:cstheme="minorHAnsi"/>
          <w:color w:val="000000" w:themeColor="text1"/>
          <w:sz w:val="28"/>
          <w:szCs w:val="28"/>
          <w:lang w:val="uk-UA" w:eastAsia="ru-RU"/>
        </w:rPr>
        <w:t>здатні гідролізувати майже всі β-лактамні антибіотики, крім цефаміцін</w:t>
      </w:r>
      <w:r>
        <w:rPr>
          <w:rFonts w:eastAsia="Times New Roman" w:cstheme="minorHAnsi"/>
          <w:color w:val="000000" w:themeColor="text1"/>
          <w:sz w:val="28"/>
          <w:szCs w:val="28"/>
          <w:lang w:val="uk-UA" w:eastAsia="ru-RU"/>
        </w:rPr>
        <w:t>а</w:t>
      </w:r>
      <w:r w:rsidRPr="008A0DB9">
        <w:rPr>
          <w:rFonts w:eastAsia="Times New Roman" w:cstheme="minorHAnsi"/>
          <w:color w:val="000000" w:themeColor="text1"/>
          <w:sz w:val="28"/>
          <w:szCs w:val="28"/>
          <w:lang w:val="uk-UA" w:eastAsia="ru-RU"/>
        </w:rPr>
        <w:t xml:space="preserve"> і карбапенемів, внаслідок гідролізу β-лактамного кільця [</w:t>
      </w:r>
      <w:r>
        <w:rPr>
          <w:rFonts w:eastAsia="Times New Roman" w:cstheme="minorHAnsi"/>
          <w:color w:val="000000" w:themeColor="text1"/>
          <w:sz w:val="28"/>
          <w:szCs w:val="28"/>
          <w:lang w:val="uk-UA" w:eastAsia="ru-RU"/>
        </w:rPr>
        <w:t>26</w:t>
      </w:r>
      <w:r w:rsidRPr="008A0DB9">
        <w:rPr>
          <w:rFonts w:eastAsia="Times New Roman" w:cstheme="minorHAnsi"/>
          <w:color w:val="000000" w:themeColor="text1"/>
          <w:sz w:val="28"/>
          <w:szCs w:val="28"/>
          <w:lang w:val="uk-UA" w:eastAsia="ru-RU"/>
        </w:rPr>
        <w:t xml:space="preserve">]. Основними продуцентами βЛРС є Г- бактерії, що мають здатність до гідролізу β-лактамних антибіотиків, </w:t>
      </w:r>
      <w:r>
        <w:rPr>
          <w:rFonts w:eastAsia="Times New Roman" w:cstheme="minorHAnsi"/>
          <w:color w:val="000000" w:themeColor="text1"/>
          <w:sz w:val="28"/>
          <w:szCs w:val="28"/>
          <w:lang w:val="uk-UA" w:eastAsia="ru-RU"/>
        </w:rPr>
        <w:t>які</w:t>
      </w:r>
      <w:r w:rsidRPr="008A0DB9">
        <w:rPr>
          <w:rFonts w:eastAsia="Times New Roman" w:cstheme="minorHAnsi"/>
          <w:color w:val="000000" w:themeColor="text1"/>
          <w:sz w:val="28"/>
          <w:szCs w:val="28"/>
          <w:lang w:val="uk-UA" w:eastAsia="ru-RU"/>
        </w:rPr>
        <w:t xml:space="preserve"> містять у своєму складі оксііміно групу (цефалоспорини 3-го покоління і азтреонам), проте вищевказані ензими инг</w:t>
      </w:r>
      <w:r>
        <w:rPr>
          <w:rFonts w:eastAsia="Times New Roman" w:cstheme="minorHAnsi"/>
          <w:color w:val="000000" w:themeColor="text1"/>
          <w:sz w:val="28"/>
          <w:szCs w:val="28"/>
          <w:lang w:val="uk-UA" w:eastAsia="ru-RU"/>
        </w:rPr>
        <w:t>і</w:t>
      </w:r>
      <w:r w:rsidRPr="008A0DB9">
        <w:rPr>
          <w:rFonts w:eastAsia="Times New Roman" w:cstheme="minorHAnsi"/>
          <w:color w:val="000000" w:themeColor="text1"/>
          <w:sz w:val="28"/>
          <w:szCs w:val="28"/>
          <w:lang w:val="uk-UA" w:eastAsia="ru-RU"/>
        </w:rPr>
        <w:t>б</w:t>
      </w:r>
      <w:r>
        <w:rPr>
          <w:rFonts w:eastAsia="Times New Roman" w:cstheme="minorHAnsi"/>
          <w:color w:val="000000" w:themeColor="text1"/>
          <w:sz w:val="28"/>
          <w:szCs w:val="28"/>
          <w:lang w:val="uk-UA" w:eastAsia="ru-RU"/>
        </w:rPr>
        <w:t>у</w:t>
      </w:r>
      <w:r w:rsidRPr="008A0DB9">
        <w:rPr>
          <w:rFonts w:eastAsia="Times New Roman" w:cstheme="minorHAnsi"/>
          <w:color w:val="000000" w:themeColor="text1"/>
          <w:sz w:val="28"/>
          <w:szCs w:val="28"/>
          <w:lang w:val="uk-UA" w:eastAsia="ru-RU"/>
        </w:rPr>
        <w:t>ют</w:t>
      </w:r>
      <w:r>
        <w:rPr>
          <w:rFonts w:eastAsia="Times New Roman" w:cstheme="minorHAnsi"/>
          <w:color w:val="000000" w:themeColor="text1"/>
          <w:sz w:val="28"/>
          <w:szCs w:val="28"/>
          <w:lang w:val="uk-UA" w:eastAsia="ru-RU"/>
        </w:rPr>
        <w:t>ь</w:t>
      </w:r>
      <w:r w:rsidRPr="008A0DB9">
        <w:rPr>
          <w:rFonts w:eastAsia="Times New Roman" w:cstheme="minorHAnsi"/>
          <w:color w:val="000000" w:themeColor="text1"/>
          <w:sz w:val="28"/>
          <w:szCs w:val="28"/>
          <w:lang w:val="uk-UA" w:eastAsia="ru-RU"/>
        </w:rPr>
        <w:t>ся інгібіторами β-лактамаз (клавуланова кислота, сульбактам, тазобактам).</w:t>
      </w:r>
      <w:r>
        <w:rPr>
          <w:rFonts w:eastAsia="Times New Roman" w:cstheme="minorHAnsi"/>
          <w:color w:val="000000" w:themeColor="text1"/>
          <w:sz w:val="28"/>
          <w:szCs w:val="28"/>
          <w:lang w:val="uk-UA" w:eastAsia="ru-RU"/>
        </w:rPr>
        <w:t xml:space="preserve"> </w:t>
      </w:r>
      <w:r w:rsidRPr="00232C4C">
        <w:rPr>
          <w:rFonts w:eastAsia="Times New Roman" w:cstheme="minorHAnsi"/>
          <w:color w:val="000000" w:themeColor="text1"/>
          <w:sz w:val="28"/>
          <w:szCs w:val="28"/>
          <w:lang w:val="uk-UA" w:eastAsia="ru-RU"/>
        </w:rPr>
        <w:t xml:space="preserve">βЛРС закодовані генами, які переносять великі плазміди. Останні також переносять гени резистентності до інших антибактеріальних </w:t>
      </w:r>
      <w:r>
        <w:rPr>
          <w:rFonts w:eastAsia="Times New Roman" w:cstheme="minorHAnsi"/>
          <w:color w:val="000000" w:themeColor="text1"/>
          <w:sz w:val="28"/>
          <w:szCs w:val="28"/>
          <w:lang w:val="uk-UA" w:eastAsia="ru-RU"/>
        </w:rPr>
        <w:t>препаратів, таких</w:t>
      </w:r>
      <w:r w:rsidRPr="00232C4C">
        <w:rPr>
          <w:rFonts w:eastAsia="Times New Roman" w:cstheme="minorHAnsi"/>
          <w:color w:val="000000" w:themeColor="text1"/>
          <w:sz w:val="28"/>
          <w:szCs w:val="28"/>
          <w:lang w:val="uk-UA" w:eastAsia="ru-RU"/>
        </w:rPr>
        <w:t xml:space="preserve"> як аміноглікозиди, триметоприм, сульфонаміди, тетрацикліни і хлорамфенікол. Останні дослідження продемонстрували резистентність до фторхінолонів, опосередковану ко-трансфером qnr детермінант за допомогою </w:t>
      </w:r>
      <w:r>
        <w:rPr>
          <w:rFonts w:eastAsia="Times New Roman" w:cstheme="minorHAnsi"/>
          <w:color w:val="000000" w:themeColor="text1"/>
          <w:sz w:val="28"/>
          <w:szCs w:val="28"/>
          <w:lang w:val="uk-UA" w:eastAsia="ru-RU"/>
        </w:rPr>
        <w:t>плазмі</w:t>
      </w:r>
      <w:r w:rsidRPr="00232C4C">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 xml:space="preserve"> з генами </w:t>
      </w:r>
      <w:r w:rsidRPr="00232C4C">
        <w:rPr>
          <w:rFonts w:eastAsia="Times New Roman" w:cstheme="minorHAnsi"/>
          <w:color w:val="000000" w:themeColor="text1"/>
          <w:sz w:val="28"/>
          <w:szCs w:val="28"/>
          <w:lang w:val="uk-UA" w:eastAsia="ru-RU"/>
        </w:rPr>
        <w:t>βЛРС. Таким чином, резистентність до антибіотиків широкого спектру дії, в даний час, є частою характеристикою βЛРС-продукую</w:t>
      </w:r>
      <w:r>
        <w:rPr>
          <w:rFonts w:eastAsia="Times New Roman" w:cstheme="minorHAnsi"/>
          <w:color w:val="000000" w:themeColor="text1"/>
          <w:sz w:val="28"/>
          <w:szCs w:val="28"/>
          <w:lang w:val="uk-UA" w:eastAsia="ru-RU"/>
        </w:rPr>
        <w:t>чих</w:t>
      </w:r>
      <w:r w:rsidRPr="00232C4C">
        <w:rPr>
          <w:rFonts w:eastAsia="Times New Roman" w:cstheme="minorHAnsi"/>
          <w:color w:val="000000" w:themeColor="text1"/>
          <w:sz w:val="28"/>
          <w:szCs w:val="28"/>
          <w:lang w:val="uk-UA" w:eastAsia="ru-RU"/>
        </w:rPr>
        <w:t xml:space="preserve"> бактеріальних штамів. </w:t>
      </w:r>
      <w:r>
        <w:rPr>
          <w:rFonts w:eastAsia="Times New Roman" w:cstheme="minorHAnsi"/>
          <w:color w:val="000000" w:themeColor="text1"/>
          <w:sz w:val="28"/>
          <w:szCs w:val="28"/>
          <w:lang w:val="uk-UA" w:eastAsia="ru-RU"/>
        </w:rPr>
        <w:t>Класифікацію βЛРС представлено в таблиці 1.1</w:t>
      </w:r>
      <w:r w:rsidRPr="00232C4C">
        <w:rPr>
          <w:rFonts w:eastAsia="Times New Roman" w:cstheme="minorHAnsi"/>
          <w:color w:val="000000" w:themeColor="text1"/>
          <w:sz w:val="28"/>
          <w:szCs w:val="28"/>
          <w:lang w:eastAsia="ru-RU"/>
        </w:rPr>
        <w:t>.</w:t>
      </w:r>
    </w:p>
    <w:p w:rsidR="00CE6207" w:rsidRDefault="00CE6207" w:rsidP="00CE6207">
      <w:pPr>
        <w:spacing w:after="0" w:line="360" w:lineRule="auto"/>
        <w:ind w:firstLine="709"/>
        <w:jc w:val="right"/>
        <w:rPr>
          <w:rFonts w:eastAsia="Times New Roman" w:cstheme="minorHAnsi"/>
          <w:color w:val="000000" w:themeColor="text1"/>
          <w:sz w:val="28"/>
          <w:szCs w:val="28"/>
          <w:lang w:val="uk-UA" w:eastAsia="ru-RU"/>
        </w:rPr>
      </w:pPr>
      <w:r>
        <w:rPr>
          <w:rFonts w:eastAsia="Times New Roman" w:cstheme="minorHAnsi"/>
          <w:color w:val="000000" w:themeColor="text1"/>
          <w:sz w:val="28"/>
          <w:szCs w:val="28"/>
          <w:lang w:val="uk-UA" w:eastAsia="ru-RU"/>
        </w:rPr>
        <w:t>Таблиця 1.1</w:t>
      </w:r>
    </w:p>
    <w:p w:rsidR="00CE6207" w:rsidRPr="00561F3F" w:rsidRDefault="00CE6207" w:rsidP="00CE6207">
      <w:pPr>
        <w:spacing w:after="0" w:line="360" w:lineRule="auto"/>
        <w:ind w:firstLine="709"/>
        <w:jc w:val="center"/>
        <w:rPr>
          <w:rFonts w:eastAsia="Times New Roman" w:cstheme="minorHAnsi"/>
          <w:b/>
          <w:color w:val="000000" w:themeColor="text1"/>
          <w:sz w:val="28"/>
          <w:szCs w:val="28"/>
          <w:lang w:val="uk-UA" w:eastAsia="ru-RU"/>
        </w:rPr>
      </w:pPr>
      <w:r>
        <w:rPr>
          <w:rFonts w:eastAsia="Times New Roman" w:cstheme="minorHAnsi"/>
          <w:b/>
          <w:color w:val="000000" w:themeColor="text1"/>
          <w:sz w:val="28"/>
          <w:szCs w:val="28"/>
          <w:lang w:val="uk-UA" w:eastAsia="ru-RU"/>
        </w:rPr>
        <w:t>К</w:t>
      </w:r>
      <w:r w:rsidRPr="00561F3F">
        <w:rPr>
          <w:rFonts w:eastAsia="Times New Roman" w:cstheme="minorHAnsi"/>
          <w:b/>
          <w:color w:val="000000" w:themeColor="text1"/>
          <w:sz w:val="28"/>
          <w:szCs w:val="28"/>
          <w:lang w:val="uk-UA" w:eastAsia="ru-RU"/>
        </w:rPr>
        <w:t>ласифікація β-лактамаз</w:t>
      </w:r>
    </w:p>
    <w:tbl>
      <w:tblPr>
        <w:tblW w:w="9396" w:type="dxa"/>
        <w:tblInd w:w="93" w:type="dxa"/>
        <w:tblLook w:val="04A0" w:firstRow="1" w:lastRow="0" w:firstColumn="1" w:lastColumn="0" w:noHBand="0" w:noVBand="1"/>
      </w:tblPr>
      <w:tblGrid>
        <w:gridCol w:w="2739"/>
        <w:gridCol w:w="2017"/>
        <w:gridCol w:w="2229"/>
        <w:gridCol w:w="2411"/>
      </w:tblGrid>
      <w:tr w:rsidR="00CE6207" w:rsidRPr="00B07603" w:rsidTr="009144E7">
        <w:trPr>
          <w:trHeight w:val="421"/>
        </w:trPr>
        <w:tc>
          <w:tcPr>
            <w:tcW w:w="9396"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Ambler class</w:t>
            </w:r>
            <w:r w:rsidRPr="00B07603">
              <w:rPr>
                <w:rFonts w:ascii="Times New Roman" w:eastAsia="Times New Roman" w:hAnsi="Times New Roman" w:cs="Times New Roman"/>
                <w:color w:val="000000"/>
                <w:sz w:val="28"/>
                <w:szCs w:val="28"/>
                <w:vertAlign w:val="superscript"/>
                <w:lang w:eastAsia="ru-RU"/>
              </w:rPr>
              <w:t>b</w:t>
            </w:r>
            <w:r w:rsidRPr="00B07603">
              <w:rPr>
                <w:rFonts w:ascii="Times New Roman" w:eastAsia="Times New Roman" w:hAnsi="Times New Roman" w:cs="Times New Roman"/>
                <w:color w:val="000000"/>
                <w:sz w:val="28"/>
                <w:szCs w:val="28"/>
                <w:lang w:eastAsia="ru-RU"/>
              </w:rPr>
              <w:t xml:space="preserve"> (No.)</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A</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B</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C</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D</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TEM(190)</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IMP(30)</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CMY(73)</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OXA(224)</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lastRenderedPageBreak/>
              <w:t>SHV(141)</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VIM(3)</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FOX(10)</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CTX-M(120)</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IND(8)</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ACT(9)</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GES(17)</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NDM(6)</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DHA(8)</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KPC(11)</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MOX(8)</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PER(7)</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MIR(5)</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VEB(7)</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ACC(4)</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375"/>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SME(3)</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CFE(1)</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r w:rsidR="00CE6207" w:rsidRPr="00B07603" w:rsidTr="009144E7">
        <w:trPr>
          <w:trHeight w:val="449"/>
        </w:trPr>
        <w:tc>
          <w:tcPr>
            <w:tcW w:w="2739" w:type="dxa"/>
            <w:tcBorders>
              <w:top w:val="nil"/>
              <w:left w:val="single" w:sz="4" w:space="0" w:color="auto"/>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PC1(1)</w:t>
            </w:r>
            <w:r w:rsidRPr="00B07603">
              <w:rPr>
                <w:rFonts w:ascii="Times New Roman" w:eastAsia="Times New Roman" w:hAnsi="Times New Roman" w:cs="Times New Roman"/>
                <w:color w:val="000000"/>
                <w:sz w:val="28"/>
                <w:szCs w:val="28"/>
                <w:vertAlign w:val="superscript"/>
                <w:lang w:eastAsia="ru-RU"/>
              </w:rPr>
              <w:t>C</w:t>
            </w:r>
          </w:p>
        </w:tc>
        <w:tc>
          <w:tcPr>
            <w:tcW w:w="2017"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c>
          <w:tcPr>
            <w:tcW w:w="2229"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LAT(1)</w:t>
            </w:r>
          </w:p>
        </w:tc>
        <w:tc>
          <w:tcPr>
            <w:tcW w:w="2411" w:type="dxa"/>
            <w:tcBorders>
              <w:top w:val="nil"/>
              <w:left w:val="nil"/>
              <w:bottom w:val="single" w:sz="4" w:space="0" w:color="auto"/>
              <w:right w:val="single" w:sz="4" w:space="0" w:color="auto"/>
            </w:tcBorders>
            <w:shd w:val="clear" w:color="auto" w:fill="auto"/>
            <w:noWrap/>
            <w:vAlign w:val="center"/>
            <w:hideMark/>
          </w:tcPr>
          <w:p w:rsidR="00CE6207" w:rsidRPr="00B07603" w:rsidRDefault="00CE6207" w:rsidP="009144E7">
            <w:pPr>
              <w:spacing w:after="0" w:line="240" w:lineRule="auto"/>
              <w:jc w:val="center"/>
              <w:rPr>
                <w:rFonts w:ascii="Times New Roman" w:eastAsia="Times New Roman" w:hAnsi="Times New Roman" w:cs="Times New Roman"/>
                <w:color w:val="000000"/>
                <w:sz w:val="28"/>
                <w:szCs w:val="28"/>
                <w:lang w:eastAsia="ru-RU"/>
              </w:rPr>
            </w:pPr>
            <w:r w:rsidRPr="00B07603">
              <w:rPr>
                <w:rFonts w:ascii="Times New Roman" w:eastAsia="Times New Roman" w:hAnsi="Times New Roman" w:cs="Times New Roman"/>
                <w:color w:val="000000"/>
                <w:sz w:val="28"/>
                <w:szCs w:val="28"/>
                <w:lang w:eastAsia="ru-RU"/>
              </w:rPr>
              <w:t> </w:t>
            </w:r>
          </w:p>
        </w:tc>
      </w:tr>
    </w:tbl>
    <w:p w:rsidR="00CE6207" w:rsidRDefault="00CE6207" w:rsidP="00CE6207">
      <w:pPr>
        <w:spacing w:after="0" w:line="360" w:lineRule="auto"/>
        <w:rPr>
          <w:rFonts w:eastAsia="Times New Roman" w:cstheme="minorHAnsi"/>
          <w:color w:val="000000" w:themeColor="text1"/>
          <w:sz w:val="28"/>
          <w:szCs w:val="28"/>
          <w:lang w:val="uk-UA" w:eastAsia="ru-RU"/>
        </w:rPr>
      </w:pPr>
    </w:p>
    <w:p w:rsidR="00CE6207" w:rsidRPr="004B548B" w:rsidRDefault="00CE6207" w:rsidP="00CE6207">
      <w:pPr>
        <w:spacing w:after="0" w:line="360" w:lineRule="auto"/>
        <w:ind w:firstLine="709"/>
        <w:jc w:val="both"/>
        <w:rPr>
          <w:rFonts w:ascii="Times New Roman" w:hAnsi="Times New Roman" w:cs="Times New Roman"/>
          <w:sz w:val="28"/>
          <w:szCs w:val="28"/>
          <w:lang w:val="uk-UA"/>
        </w:rPr>
      </w:pPr>
      <w:r w:rsidRPr="00C30ADF">
        <w:rPr>
          <w:rFonts w:eastAsia="Times New Roman" w:cstheme="minorHAnsi"/>
          <w:color w:val="000000" w:themeColor="text1"/>
          <w:sz w:val="28"/>
          <w:szCs w:val="28"/>
          <w:lang w:val="uk-UA" w:eastAsia="ru-RU"/>
        </w:rPr>
        <w:t>Перший плазм</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 xml:space="preserve">д-опосередкований β-лактамаз TEM-1 був виявлений в ранні 1960-і роки в клітинах Escherichia coli, виділених </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з крові інфікованих пацієнтів. Свою назву він отримав від прізвища Temoniera - першого пацієнта, у якого був виявлений. Будучи плазм</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д і транспозон опосередкованим, ензим TEM-1 отримав всесвітнє поширення і зараз виявляється в багатьох видах сімейства Enterobacteriaceae (Pseudomonas aeruginosa, Hemophilus influenza і Neissiria gonorrhea)</w:t>
      </w:r>
      <w:r>
        <w:rPr>
          <w:rFonts w:eastAsia="Times New Roman" w:cstheme="minorHAnsi"/>
          <w:color w:val="000000" w:themeColor="text1"/>
          <w:sz w:val="28"/>
          <w:szCs w:val="28"/>
          <w:lang w:val="uk-UA" w:eastAsia="ru-RU"/>
        </w:rPr>
        <w:t xml:space="preserve"> </w:t>
      </w:r>
      <w:r w:rsidRPr="00304924">
        <w:rPr>
          <w:rFonts w:ascii="Times New Roman" w:hAnsi="Times New Roman" w:cs="Times New Roman"/>
          <w:sz w:val="28"/>
          <w:szCs w:val="28"/>
          <w:lang w:val="uk-UA"/>
        </w:rPr>
        <w:t>[</w:t>
      </w:r>
      <w:r>
        <w:rPr>
          <w:rFonts w:ascii="Times New Roman" w:hAnsi="Times New Roman" w:cs="Times New Roman"/>
          <w:sz w:val="28"/>
          <w:szCs w:val="28"/>
          <w:lang w:val="uk-UA"/>
        </w:rPr>
        <w:t>20, 97</w:t>
      </w:r>
      <w:r w:rsidRPr="00304924">
        <w:rPr>
          <w:rFonts w:ascii="Times New Roman" w:hAnsi="Times New Roman" w:cs="Times New Roman"/>
          <w:sz w:val="28"/>
          <w:szCs w:val="28"/>
          <w:lang w:val="uk-UA"/>
        </w:rPr>
        <w:t>]</w:t>
      </w:r>
      <w:r>
        <w:rPr>
          <w:rFonts w:cstheme="minorHAnsi"/>
          <w:color w:val="000000"/>
          <w:sz w:val="28"/>
          <w:szCs w:val="28"/>
          <w:lang w:val="uk-UA"/>
        </w:rPr>
        <w:t>.</w:t>
      </w:r>
    </w:p>
    <w:p w:rsidR="00CE6207" w:rsidRPr="004B548B" w:rsidRDefault="00CE6207" w:rsidP="00CE6207">
      <w:pPr>
        <w:spacing w:after="0" w:line="360" w:lineRule="auto"/>
        <w:ind w:firstLine="709"/>
        <w:jc w:val="both"/>
        <w:rPr>
          <w:rFonts w:cstheme="minorHAnsi"/>
          <w:color w:val="000000" w:themeColor="text1"/>
          <w:sz w:val="28"/>
          <w:szCs w:val="28"/>
          <w:lang w:val="uk-UA"/>
        </w:rPr>
      </w:pPr>
      <w:r w:rsidRPr="00C30ADF">
        <w:rPr>
          <w:rFonts w:eastAsia="Times New Roman" w:cstheme="minorHAnsi"/>
          <w:color w:val="000000" w:themeColor="text1"/>
          <w:sz w:val="28"/>
          <w:szCs w:val="28"/>
          <w:lang w:val="uk-UA" w:eastAsia="ru-RU"/>
        </w:rPr>
        <w:t>У 1987 році були виділені штами K. pneumoniae, резистентні до різних антибіотиків, включаючи оксііміно-цефалоспорини. Згодом, при вивченні цих штамів також були виділені і β-лактамази, які вони продукували. Вони були названі CTX-1 у зв'язку з їх г</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дрол</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тич</w:t>
      </w:r>
      <w:r>
        <w:rPr>
          <w:rFonts w:eastAsia="Times New Roman" w:cstheme="minorHAnsi"/>
          <w:color w:val="000000" w:themeColor="text1"/>
          <w:sz w:val="28"/>
          <w:szCs w:val="28"/>
          <w:lang w:val="uk-UA" w:eastAsia="ru-RU"/>
        </w:rPr>
        <w:t>н</w:t>
      </w:r>
      <w:r w:rsidRPr="00C30ADF">
        <w:rPr>
          <w:rFonts w:eastAsia="Times New Roman" w:cstheme="minorHAnsi"/>
          <w:color w:val="000000" w:themeColor="text1"/>
          <w:sz w:val="28"/>
          <w:szCs w:val="28"/>
          <w:lang w:val="uk-UA" w:eastAsia="ru-RU"/>
        </w:rPr>
        <w:t>о</w:t>
      </w:r>
      <w:r>
        <w:rPr>
          <w:rFonts w:eastAsia="Times New Roman" w:cstheme="minorHAnsi"/>
          <w:color w:val="000000" w:themeColor="text1"/>
          <w:sz w:val="28"/>
          <w:szCs w:val="28"/>
          <w:lang w:val="uk-UA" w:eastAsia="ru-RU"/>
        </w:rPr>
        <w:t>ю</w:t>
      </w:r>
      <w:r w:rsidRPr="00C30ADF">
        <w:rPr>
          <w:rFonts w:eastAsia="Times New Roman" w:cstheme="minorHAnsi"/>
          <w:color w:val="000000" w:themeColor="text1"/>
          <w:sz w:val="28"/>
          <w:szCs w:val="28"/>
          <w:lang w:val="uk-UA" w:eastAsia="ru-RU"/>
        </w:rPr>
        <w:t xml:space="preserve"> активністю проти цефотаксима. Однак, досліджуючи послідовність амінокислот у гені, що кодує цей ензим, було виявлено, що він належить до виду TEM-2, відрізняючись від свого попередника TEM-1 двома амінокислотами (Lys for Glu at position 102 and Ser for Gly at position of 236). З тих пір було ідентифіковано більше 150 типів TEM β-лактамаз. Більшість з цих ензимів володіють βЛРС активністю, але инг</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б</w:t>
      </w:r>
      <w:r>
        <w:rPr>
          <w:rFonts w:eastAsia="Times New Roman" w:cstheme="minorHAnsi"/>
          <w:color w:val="000000" w:themeColor="text1"/>
          <w:sz w:val="28"/>
          <w:szCs w:val="28"/>
          <w:lang w:val="uk-UA" w:eastAsia="ru-RU"/>
        </w:rPr>
        <w:t>у</w:t>
      </w:r>
      <w:r w:rsidRPr="00C30ADF">
        <w:rPr>
          <w:rFonts w:eastAsia="Times New Roman" w:cstheme="minorHAnsi"/>
          <w:color w:val="000000" w:themeColor="text1"/>
          <w:sz w:val="28"/>
          <w:szCs w:val="28"/>
          <w:lang w:val="uk-UA" w:eastAsia="ru-RU"/>
        </w:rPr>
        <w:t>ют</w:t>
      </w:r>
      <w:r>
        <w:rPr>
          <w:rFonts w:eastAsia="Times New Roman" w:cstheme="minorHAnsi"/>
          <w:color w:val="000000" w:themeColor="text1"/>
          <w:sz w:val="28"/>
          <w:szCs w:val="28"/>
          <w:lang w:val="uk-UA" w:eastAsia="ru-RU"/>
        </w:rPr>
        <w:t>ь</w:t>
      </w:r>
      <w:r w:rsidRPr="00C30ADF">
        <w:rPr>
          <w:rFonts w:eastAsia="Times New Roman" w:cstheme="minorHAnsi"/>
          <w:color w:val="000000" w:themeColor="text1"/>
          <w:sz w:val="28"/>
          <w:szCs w:val="28"/>
          <w:lang w:val="uk-UA" w:eastAsia="ru-RU"/>
        </w:rPr>
        <w:t>ся інгібіторами β-лактамаз, тоді як інші варіанти TEM поряд з розширеним спектром дії, отримали характеристику інгібітор-резистентних β-лактамаз (мутанти сімейства TEM - тип СМТ)</w:t>
      </w:r>
      <w:r>
        <w:rPr>
          <w:rFonts w:eastAsia="Times New Roman" w:cstheme="minorHAnsi"/>
          <w:color w:val="000000" w:themeColor="text1"/>
          <w:sz w:val="28"/>
          <w:szCs w:val="28"/>
          <w:lang w:val="uk-UA" w:eastAsia="ru-RU"/>
        </w:rPr>
        <w:t xml:space="preserve"> [13, 26]</w:t>
      </w:r>
      <w:r w:rsidRPr="00304924">
        <w:rPr>
          <w:rFonts w:cstheme="minorHAnsi"/>
          <w:color w:val="000000" w:themeColor="text1"/>
          <w:sz w:val="28"/>
          <w:szCs w:val="28"/>
          <w:lang w:val="uk-UA"/>
        </w:rPr>
        <w:t xml:space="preserve">. </w:t>
      </w:r>
    </w:p>
    <w:p w:rsidR="00CE6207" w:rsidRPr="00250EBD" w:rsidRDefault="00CE6207" w:rsidP="00CE6207">
      <w:pPr>
        <w:spacing w:after="0" w:line="360" w:lineRule="auto"/>
        <w:ind w:firstLine="709"/>
        <w:jc w:val="both"/>
        <w:rPr>
          <w:rFonts w:eastAsia="Times New Roman" w:cstheme="minorHAnsi"/>
          <w:color w:val="000000" w:themeColor="text1"/>
          <w:sz w:val="28"/>
          <w:szCs w:val="28"/>
          <w:lang w:val="uk-UA" w:eastAsia="ru-RU"/>
        </w:rPr>
      </w:pPr>
      <w:r w:rsidRPr="00C30ADF">
        <w:rPr>
          <w:rFonts w:eastAsia="Times New Roman" w:cstheme="minorHAnsi"/>
          <w:color w:val="000000" w:themeColor="text1"/>
          <w:sz w:val="28"/>
          <w:szCs w:val="28"/>
          <w:lang w:val="uk-UA" w:eastAsia="ru-RU"/>
        </w:rPr>
        <w:t>SHV-1 (sulfhydryl variable type) - β-лактамаз з г</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дрол</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тич</w:t>
      </w:r>
      <w:r>
        <w:rPr>
          <w:rFonts w:eastAsia="Times New Roman" w:cstheme="minorHAnsi"/>
          <w:color w:val="000000" w:themeColor="text1"/>
          <w:sz w:val="28"/>
          <w:szCs w:val="28"/>
          <w:lang w:val="uk-UA" w:eastAsia="ru-RU"/>
        </w:rPr>
        <w:t>ною</w:t>
      </w:r>
      <w:r w:rsidRPr="00C30ADF">
        <w:rPr>
          <w:rFonts w:eastAsia="Times New Roman" w:cstheme="minorHAnsi"/>
          <w:color w:val="000000" w:themeColor="text1"/>
          <w:sz w:val="28"/>
          <w:szCs w:val="28"/>
          <w:lang w:val="uk-UA" w:eastAsia="ru-RU"/>
        </w:rPr>
        <w:t xml:space="preserve"> активністю проти пеніцилінів і вузького спектра цефалоспоринів (цефалотин </w:t>
      </w:r>
      <w:r w:rsidRPr="00C30ADF">
        <w:rPr>
          <w:rFonts w:eastAsia="Times New Roman" w:cstheme="minorHAnsi"/>
          <w:color w:val="000000" w:themeColor="text1"/>
          <w:sz w:val="28"/>
          <w:szCs w:val="28"/>
          <w:lang w:val="uk-UA" w:eastAsia="ru-RU"/>
        </w:rPr>
        <w:lastRenderedPageBreak/>
        <w:t>і цефалоридин). Тоді як ген blaSHV-1 інтегрується в бактеріальну хромосому більшості штамів K. pneumoniae, β-лактамаз SHV-1 опосредует свої властивості за рахунок плазмід-індукованих механізмів резистентності серед Г- бактерій.</w:t>
      </w:r>
      <w:r>
        <w:rPr>
          <w:rFonts w:eastAsia="Times New Roman" w:cstheme="minorHAnsi"/>
          <w:color w:val="000000" w:themeColor="text1"/>
          <w:sz w:val="28"/>
          <w:szCs w:val="28"/>
          <w:lang w:val="uk-UA" w:eastAsia="ru-RU"/>
        </w:rPr>
        <w:t xml:space="preserve"> </w:t>
      </w:r>
      <w:r w:rsidRPr="00C30ADF">
        <w:rPr>
          <w:rFonts w:eastAsia="Times New Roman" w:cstheme="minorHAnsi"/>
          <w:color w:val="000000" w:themeColor="text1"/>
          <w:sz w:val="28"/>
          <w:szCs w:val="28"/>
          <w:lang w:val="uk-UA" w:eastAsia="ru-RU"/>
        </w:rPr>
        <w:t>Перший плазм</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д-опосередкований механі</w:t>
      </w:r>
      <w:r>
        <w:rPr>
          <w:rFonts w:eastAsia="Times New Roman" w:cstheme="minorHAnsi"/>
          <w:color w:val="000000" w:themeColor="text1"/>
          <w:sz w:val="28"/>
          <w:szCs w:val="28"/>
          <w:lang w:val="uk-UA" w:eastAsia="ru-RU"/>
        </w:rPr>
        <w:t>зм резистентності до оксііміно-</w:t>
      </w:r>
      <w:r w:rsidRPr="00C30ADF">
        <w:rPr>
          <w:rFonts w:eastAsia="Times New Roman" w:cstheme="minorHAnsi"/>
          <w:color w:val="000000" w:themeColor="text1"/>
          <w:sz w:val="28"/>
          <w:szCs w:val="28"/>
          <w:lang w:val="uk-UA" w:eastAsia="ru-RU"/>
        </w:rPr>
        <w:t>цефалоспоринів був продемонстрований у клінічних штамах K. pneumoniae, Klebsiella ozaenae, і S. marcescens в 1983 році. Новий ензим був названий SHV-2 внаслідок гомолог</w:t>
      </w:r>
      <w:r>
        <w:rPr>
          <w:rFonts w:eastAsia="Times New Roman" w:cstheme="minorHAnsi"/>
          <w:color w:val="000000" w:themeColor="text1"/>
          <w:sz w:val="28"/>
          <w:szCs w:val="28"/>
          <w:lang w:val="uk-UA" w:eastAsia="ru-RU"/>
        </w:rPr>
        <w:t>і</w:t>
      </w:r>
      <w:r w:rsidRPr="00C30ADF">
        <w:rPr>
          <w:rFonts w:eastAsia="Times New Roman" w:cstheme="minorHAnsi"/>
          <w:color w:val="000000" w:themeColor="text1"/>
          <w:sz w:val="28"/>
          <w:szCs w:val="28"/>
          <w:lang w:val="uk-UA" w:eastAsia="ru-RU"/>
        </w:rPr>
        <w:t>чно</w:t>
      </w:r>
      <w:r>
        <w:rPr>
          <w:rFonts w:eastAsia="Times New Roman" w:cstheme="minorHAnsi"/>
          <w:color w:val="000000" w:themeColor="text1"/>
          <w:sz w:val="28"/>
          <w:szCs w:val="28"/>
          <w:lang w:val="uk-UA" w:eastAsia="ru-RU"/>
        </w:rPr>
        <w:t>ї</w:t>
      </w:r>
      <w:r w:rsidRPr="00C30ADF">
        <w:rPr>
          <w:rFonts w:eastAsia="Times New Roman" w:cstheme="minorHAnsi"/>
          <w:color w:val="000000" w:themeColor="text1"/>
          <w:sz w:val="28"/>
          <w:szCs w:val="28"/>
          <w:lang w:val="uk-UA" w:eastAsia="ru-RU"/>
        </w:rPr>
        <w:t xml:space="preserve"> структури з геном, що кодує новий ензим і blaSHV-1. Дослідження послідовності в структурі генів показало, що різницю між двома ензимами становить одна амінокислота Gly238Ser. В даний час відомо більше 50 підвидів сімейства SHV</w:t>
      </w:r>
      <w:r>
        <w:rPr>
          <w:rFonts w:eastAsia="Times New Roman" w:cstheme="minorHAnsi"/>
          <w:color w:val="000000" w:themeColor="text1"/>
          <w:sz w:val="28"/>
          <w:szCs w:val="28"/>
          <w:lang w:val="uk-UA" w:eastAsia="ru-RU"/>
        </w:rPr>
        <w:t xml:space="preserve"> [</w:t>
      </w:r>
      <w:r>
        <w:rPr>
          <w:rFonts w:cstheme="minorHAnsi"/>
          <w:color w:val="000000"/>
          <w:sz w:val="28"/>
          <w:szCs w:val="28"/>
          <w:lang w:val="uk-UA"/>
        </w:rPr>
        <w:t>20, 50</w:t>
      </w:r>
      <w:r>
        <w:rPr>
          <w:rFonts w:eastAsia="Times New Roman" w:cstheme="minorHAnsi"/>
          <w:color w:val="000000" w:themeColor="text1"/>
          <w:sz w:val="28"/>
          <w:szCs w:val="28"/>
          <w:lang w:val="uk-UA" w:eastAsia="ru-RU"/>
        </w:rPr>
        <w:t>]</w:t>
      </w:r>
      <w:r w:rsidRPr="0056388F">
        <w:rPr>
          <w:rFonts w:cstheme="minorHAnsi"/>
          <w:color w:val="000000"/>
          <w:sz w:val="28"/>
          <w:szCs w:val="28"/>
        </w:rPr>
        <w:t>.</w:t>
      </w:r>
    </w:p>
    <w:p w:rsidR="00CE6207" w:rsidRDefault="00CE6207" w:rsidP="00CE6207">
      <w:pPr>
        <w:spacing w:after="0" w:line="360" w:lineRule="auto"/>
        <w:ind w:firstLine="709"/>
        <w:jc w:val="both"/>
        <w:rPr>
          <w:rFonts w:eastAsia="Times New Roman" w:cstheme="minorHAnsi"/>
          <w:color w:val="000000" w:themeColor="text1"/>
          <w:sz w:val="28"/>
          <w:szCs w:val="28"/>
          <w:lang w:val="uk-UA" w:eastAsia="ru-RU"/>
        </w:rPr>
      </w:pPr>
      <w:r w:rsidRPr="00147CFE">
        <w:rPr>
          <w:rFonts w:eastAsia="Times New Roman" w:cstheme="minorHAnsi"/>
          <w:color w:val="000000" w:themeColor="text1"/>
          <w:sz w:val="28"/>
          <w:szCs w:val="28"/>
          <w:lang w:val="uk-UA" w:eastAsia="ru-RU"/>
        </w:rPr>
        <w:t xml:space="preserve">У 1989 році був виділений штам Escherichia coli, який </w:t>
      </w:r>
      <w:r>
        <w:rPr>
          <w:rFonts w:eastAsia="Times New Roman" w:cstheme="minorHAnsi"/>
          <w:color w:val="000000" w:themeColor="text1"/>
          <w:sz w:val="28"/>
          <w:szCs w:val="28"/>
          <w:lang w:val="uk-UA" w:eastAsia="ru-RU"/>
        </w:rPr>
        <w:t>м</w:t>
      </w:r>
      <w:r w:rsidRPr="00147CFE">
        <w:rPr>
          <w:rFonts w:eastAsia="Times New Roman" w:cstheme="minorHAnsi"/>
          <w:color w:val="000000" w:themeColor="text1"/>
          <w:sz w:val="28"/>
          <w:szCs w:val="28"/>
          <w:lang w:val="uk-UA" w:eastAsia="ru-RU"/>
        </w:rPr>
        <w:t xml:space="preserve">ав </w:t>
      </w:r>
      <w:r>
        <w:rPr>
          <w:rFonts w:eastAsia="Times New Roman" w:cstheme="minorHAnsi"/>
          <w:color w:val="000000" w:themeColor="text1"/>
          <w:sz w:val="28"/>
          <w:szCs w:val="28"/>
          <w:lang w:val="uk-UA" w:eastAsia="ru-RU"/>
        </w:rPr>
        <w:t>не -ТЕ</w:t>
      </w:r>
      <w:r w:rsidRPr="00147CFE">
        <w:rPr>
          <w:rFonts w:eastAsia="Times New Roman" w:cstheme="minorHAnsi"/>
          <w:color w:val="000000" w:themeColor="text1"/>
          <w:sz w:val="28"/>
          <w:szCs w:val="28"/>
          <w:lang w:val="uk-UA" w:eastAsia="ru-RU"/>
        </w:rPr>
        <w:t xml:space="preserve">М, </w:t>
      </w:r>
      <w:r>
        <w:rPr>
          <w:rFonts w:eastAsia="Times New Roman" w:cstheme="minorHAnsi"/>
          <w:color w:val="000000" w:themeColor="text1"/>
          <w:sz w:val="28"/>
          <w:szCs w:val="28"/>
          <w:lang w:val="uk-UA" w:eastAsia="ru-RU"/>
        </w:rPr>
        <w:t>та</w:t>
      </w:r>
      <w:r w:rsidRPr="00147CFE">
        <w:rPr>
          <w:rFonts w:eastAsia="Times New Roman" w:cstheme="minorHAnsi"/>
          <w:color w:val="000000" w:themeColor="text1"/>
          <w:sz w:val="28"/>
          <w:szCs w:val="28"/>
          <w:lang w:val="uk-UA" w:eastAsia="ru-RU"/>
        </w:rPr>
        <w:t xml:space="preserve"> не - SHV βЛРС. Згодом новий β-лактамаз </w:t>
      </w:r>
      <w:r>
        <w:rPr>
          <w:rFonts w:eastAsia="Times New Roman" w:cstheme="minorHAnsi"/>
          <w:color w:val="000000" w:themeColor="text1"/>
          <w:sz w:val="28"/>
          <w:szCs w:val="28"/>
          <w:lang w:val="uk-UA" w:eastAsia="ru-RU"/>
        </w:rPr>
        <w:t>був названий</w:t>
      </w:r>
      <w:r w:rsidRPr="00147CFE">
        <w:rPr>
          <w:rFonts w:eastAsia="Times New Roman" w:cstheme="minorHAnsi"/>
          <w:color w:val="000000" w:themeColor="text1"/>
          <w:sz w:val="28"/>
          <w:szCs w:val="28"/>
          <w:lang w:val="uk-UA" w:eastAsia="ru-RU"/>
        </w:rPr>
        <w:t xml:space="preserve"> CTX-M-1, у зв'язку з його </w:t>
      </w:r>
      <w:r>
        <w:rPr>
          <w:rFonts w:eastAsia="Times New Roman" w:cstheme="minorHAnsi"/>
          <w:color w:val="000000" w:themeColor="text1"/>
          <w:sz w:val="28"/>
          <w:szCs w:val="28"/>
          <w:lang w:val="uk-UA" w:eastAsia="ru-RU"/>
        </w:rPr>
        <w:t>високою гі</w:t>
      </w:r>
      <w:r w:rsidRPr="00147CFE">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ролітичною</w:t>
      </w:r>
      <w:r w:rsidRPr="00147CFE">
        <w:rPr>
          <w:rFonts w:eastAsia="Times New Roman" w:cstheme="minorHAnsi"/>
          <w:color w:val="000000" w:themeColor="text1"/>
          <w:sz w:val="28"/>
          <w:szCs w:val="28"/>
          <w:lang w:val="uk-UA" w:eastAsia="ru-RU"/>
        </w:rPr>
        <w:t xml:space="preserve"> активністю проти цефотаксима. В даний час відомо більше 80 типів CTX-M. Першоджерело ензимів CTX-M відрізняється від такого сімейства Т</w:t>
      </w:r>
      <w:r>
        <w:rPr>
          <w:rFonts w:eastAsia="Times New Roman" w:cstheme="minorHAnsi"/>
          <w:color w:val="000000" w:themeColor="text1"/>
          <w:sz w:val="28"/>
          <w:szCs w:val="28"/>
          <w:lang w:val="uk-UA" w:eastAsia="ru-RU"/>
        </w:rPr>
        <w:t>Е</w:t>
      </w:r>
      <w:r w:rsidRPr="00147CFE">
        <w:rPr>
          <w:rFonts w:eastAsia="Times New Roman" w:cstheme="minorHAnsi"/>
          <w:color w:val="000000" w:themeColor="text1"/>
          <w:sz w:val="28"/>
          <w:szCs w:val="28"/>
          <w:lang w:val="uk-UA" w:eastAsia="ru-RU"/>
        </w:rPr>
        <w:t xml:space="preserve">М і SHV βЛРС. Тоді як βЛРС </w:t>
      </w:r>
      <w:r>
        <w:rPr>
          <w:rFonts w:eastAsia="Times New Roman" w:cstheme="minorHAnsi"/>
          <w:color w:val="000000" w:themeColor="text1"/>
          <w:sz w:val="28"/>
          <w:szCs w:val="28"/>
          <w:lang w:val="uk-UA" w:eastAsia="ru-RU"/>
        </w:rPr>
        <w:t xml:space="preserve">типів </w:t>
      </w:r>
      <w:r>
        <w:rPr>
          <w:rFonts w:eastAsia="Times New Roman" w:cstheme="minorHAnsi"/>
          <w:color w:val="000000" w:themeColor="text1"/>
          <w:sz w:val="28"/>
          <w:szCs w:val="28"/>
          <w:lang w:val="en-US" w:eastAsia="ru-RU"/>
        </w:rPr>
        <w:t>bla</w:t>
      </w:r>
      <w:r w:rsidRPr="00147CFE">
        <w:rPr>
          <w:rFonts w:eastAsia="Times New Roman" w:cstheme="minorHAnsi"/>
          <w:color w:val="000000" w:themeColor="text1"/>
          <w:sz w:val="28"/>
          <w:szCs w:val="28"/>
          <w:lang w:val="uk-UA" w:eastAsia="ru-RU"/>
        </w:rPr>
        <w:t>Т</w:t>
      </w:r>
      <w:r>
        <w:rPr>
          <w:rFonts w:eastAsia="Times New Roman" w:cstheme="minorHAnsi"/>
          <w:color w:val="000000" w:themeColor="text1"/>
          <w:sz w:val="28"/>
          <w:szCs w:val="28"/>
          <w:lang w:val="uk-UA" w:eastAsia="ru-RU"/>
        </w:rPr>
        <w:t>ЕМ</w:t>
      </w:r>
      <w:r w:rsidRPr="00147CFE">
        <w:rPr>
          <w:rFonts w:eastAsia="Times New Roman" w:cstheme="minorHAnsi"/>
          <w:color w:val="000000" w:themeColor="text1"/>
          <w:sz w:val="28"/>
          <w:szCs w:val="28"/>
          <w:lang w:val="uk-UA" w:eastAsia="ru-RU"/>
        </w:rPr>
        <w:t xml:space="preserve"> і </w:t>
      </w:r>
      <w:r>
        <w:rPr>
          <w:rFonts w:eastAsia="Times New Roman" w:cstheme="minorHAnsi"/>
          <w:color w:val="000000" w:themeColor="text1"/>
          <w:sz w:val="28"/>
          <w:szCs w:val="28"/>
          <w:lang w:val="en-US" w:eastAsia="ru-RU"/>
        </w:rPr>
        <w:t>bla</w:t>
      </w:r>
      <w:r w:rsidRPr="00147CFE">
        <w:rPr>
          <w:rFonts w:eastAsia="Times New Roman" w:cstheme="minorHAnsi"/>
          <w:color w:val="000000" w:themeColor="text1"/>
          <w:sz w:val="28"/>
          <w:szCs w:val="28"/>
          <w:lang w:val="uk-UA" w:eastAsia="ru-RU"/>
        </w:rPr>
        <w:t>SHV - були утворені внаслідок мутацій в послідовності амінокислот своїх попередників, ензими CTX-M були отримані в результаті горизонтального генного трансферу від іншої бактерії за допомогою рухомих плазм</w:t>
      </w:r>
      <w:r>
        <w:rPr>
          <w:rFonts w:eastAsia="Times New Roman" w:cstheme="minorHAnsi"/>
          <w:color w:val="000000" w:themeColor="text1"/>
          <w:sz w:val="28"/>
          <w:szCs w:val="28"/>
          <w:lang w:val="uk-UA" w:eastAsia="ru-RU"/>
        </w:rPr>
        <w:t>і</w:t>
      </w:r>
      <w:r w:rsidRPr="00147CFE">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 xml:space="preserve"> </w:t>
      </w:r>
      <w:r w:rsidRPr="004A0448">
        <w:rPr>
          <w:rFonts w:eastAsia="Times New Roman" w:cstheme="minorHAnsi"/>
          <w:color w:val="000000" w:themeColor="text1"/>
          <w:sz w:val="28"/>
          <w:szCs w:val="28"/>
          <w:lang w:val="uk-UA" w:eastAsia="ru-RU"/>
        </w:rPr>
        <w:t>Мікроорганізми, що містять ензими CTX-M резистентні до цефотаксиму, але чутливі до цефтазидиму in vitro. Крім того, більшість ензимів CTX-M ефективно гідролізують цеф</w:t>
      </w:r>
      <w:r>
        <w:rPr>
          <w:rFonts w:eastAsia="Times New Roman" w:cstheme="minorHAnsi"/>
          <w:color w:val="000000" w:themeColor="text1"/>
          <w:sz w:val="28"/>
          <w:szCs w:val="28"/>
          <w:lang w:val="uk-UA" w:eastAsia="ru-RU"/>
        </w:rPr>
        <w:t>і</w:t>
      </w:r>
      <w:r w:rsidRPr="004A0448">
        <w:rPr>
          <w:rFonts w:eastAsia="Times New Roman" w:cstheme="minorHAnsi"/>
          <w:color w:val="000000" w:themeColor="text1"/>
          <w:sz w:val="28"/>
          <w:szCs w:val="28"/>
          <w:lang w:val="uk-UA" w:eastAsia="ru-RU"/>
        </w:rPr>
        <w:t>п</w:t>
      </w:r>
      <w:r>
        <w:rPr>
          <w:rFonts w:eastAsia="Times New Roman" w:cstheme="minorHAnsi"/>
          <w:color w:val="000000" w:themeColor="text1"/>
          <w:sz w:val="28"/>
          <w:szCs w:val="28"/>
          <w:lang w:val="uk-UA" w:eastAsia="ru-RU"/>
        </w:rPr>
        <w:t>і</w:t>
      </w:r>
      <w:r w:rsidRPr="004A0448">
        <w:rPr>
          <w:rFonts w:eastAsia="Times New Roman" w:cstheme="minorHAnsi"/>
          <w:color w:val="000000" w:themeColor="text1"/>
          <w:sz w:val="28"/>
          <w:szCs w:val="28"/>
          <w:lang w:val="uk-UA" w:eastAsia="ru-RU"/>
        </w:rPr>
        <w:t>м і, відповідно, мінімальна інгібуюча концентрація (МІК) цефепіму для бактерій, які продукують CTX-M вище, ніж для бактерій, які продукують інші типи βЛРС</w:t>
      </w:r>
      <w:r>
        <w:rPr>
          <w:rFonts w:eastAsia="Times New Roman" w:cstheme="minorHAnsi"/>
          <w:color w:val="000000" w:themeColor="text1"/>
          <w:sz w:val="28"/>
          <w:szCs w:val="28"/>
          <w:lang w:val="uk-UA" w:eastAsia="ru-RU"/>
        </w:rPr>
        <w:t xml:space="preserve"> [</w:t>
      </w:r>
      <w:r>
        <w:rPr>
          <w:rFonts w:cstheme="minorHAnsi"/>
          <w:color w:val="000000" w:themeColor="text1"/>
          <w:sz w:val="28"/>
          <w:szCs w:val="28"/>
          <w:lang w:val="uk-UA"/>
        </w:rPr>
        <w:t>130]</w:t>
      </w:r>
      <w:r w:rsidRPr="004A0448">
        <w:rPr>
          <w:rFonts w:eastAsia="Times New Roman" w:cstheme="minorHAnsi"/>
          <w:color w:val="000000" w:themeColor="text1"/>
          <w:sz w:val="28"/>
          <w:szCs w:val="28"/>
          <w:lang w:val="uk-UA" w:eastAsia="ru-RU"/>
        </w:rPr>
        <w:t>.</w:t>
      </w:r>
    </w:p>
    <w:p w:rsidR="00CE6207" w:rsidRPr="00D814F7" w:rsidRDefault="00CE6207" w:rsidP="00CE6207">
      <w:pPr>
        <w:spacing w:after="0" w:line="360" w:lineRule="auto"/>
        <w:ind w:firstLine="709"/>
        <w:jc w:val="both"/>
        <w:rPr>
          <w:rFonts w:cstheme="minorHAnsi"/>
          <w:color w:val="000000"/>
          <w:sz w:val="28"/>
          <w:szCs w:val="28"/>
          <w:lang w:val="uk-UA"/>
        </w:rPr>
      </w:pPr>
      <w:r w:rsidRPr="00723685">
        <w:rPr>
          <w:rFonts w:eastAsia="Times New Roman" w:cstheme="minorHAnsi"/>
          <w:color w:val="000000" w:themeColor="text1"/>
          <w:sz w:val="28"/>
          <w:szCs w:val="28"/>
          <w:lang w:val="uk-UA" w:eastAsia="ru-RU"/>
        </w:rPr>
        <w:t>Інфекції, що виклика</w:t>
      </w:r>
      <w:r>
        <w:rPr>
          <w:rFonts w:eastAsia="Times New Roman" w:cstheme="minorHAnsi"/>
          <w:color w:val="000000" w:themeColor="text1"/>
          <w:sz w:val="28"/>
          <w:szCs w:val="28"/>
          <w:lang w:val="uk-UA" w:eastAsia="ru-RU"/>
        </w:rPr>
        <w:t>ні</w:t>
      </w:r>
      <w:r w:rsidRPr="00723685">
        <w:rPr>
          <w:rFonts w:eastAsia="Times New Roman" w:cstheme="minorHAnsi"/>
          <w:color w:val="000000" w:themeColor="text1"/>
          <w:sz w:val="28"/>
          <w:szCs w:val="28"/>
          <w:lang w:val="uk-UA" w:eastAsia="ru-RU"/>
        </w:rPr>
        <w:t xml:space="preserve"> βЛРС-продукую</w:t>
      </w:r>
      <w:r>
        <w:rPr>
          <w:rFonts w:eastAsia="Times New Roman" w:cstheme="minorHAnsi"/>
          <w:color w:val="000000" w:themeColor="text1"/>
          <w:sz w:val="28"/>
          <w:szCs w:val="28"/>
          <w:lang w:val="uk-UA" w:eastAsia="ru-RU"/>
        </w:rPr>
        <w:t>чими</w:t>
      </w:r>
      <w:r w:rsidRPr="00723685">
        <w:rPr>
          <w:rFonts w:eastAsia="Times New Roman" w:cstheme="minorHAnsi"/>
          <w:color w:val="000000" w:themeColor="text1"/>
          <w:sz w:val="28"/>
          <w:szCs w:val="28"/>
          <w:lang w:val="uk-UA" w:eastAsia="ru-RU"/>
        </w:rPr>
        <w:t xml:space="preserve"> штамами, варіюють від неускладнених І</w:t>
      </w:r>
      <w:r>
        <w:rPr>
          <w:rFonts w:eastAsia="Times New Roman" w:cstheme="minorHAnsi"/>
          <w:color w:val="000000" w:themeColor="text1"/>
          <w:sz w:val="28"/>
          <w:szCs w:val="28"/>
          <w:lang w:val="uk-UA" w:eastAsia="ru-RU"/>
        </w:rPr>
        <w:t>С</w:t>
      </w:r>
      <w:r w:rsidRPr="00723685">
        <w:rPr>
          <w:rFonts w:eastAsia="Times New Roman" w:cstheme="minorHAnsi"/>
          <w:color w:val="000000" w:themeColor="text1"/>
          <w:sz w:val="28"/>
          <w:szCs w:val="28"/>
          <w:lang w:val="uk-UA" w:eastAsia="ru-RU"/>
        </w:rPr>
        <w:t>С до загрозливого життя сепсису. Крім того, βЛРС-продукую</w:t>
      </w:r>
      <w:r>
        <w:rPr>
          <w:rFonts w:eastAsia="Times New Roman" w:cstheme="minorHAnsi"/>
          <w:color w:val="000000" w:themeColor="text1"/>
          <w:sz w:val="28"/>
          <w:szCs w:val="28"/>
          <w:lang w:val="uk-UA" w:eastAsia="ru-RU"/>
        </w:rPr>
        <w:t>чі</w:t>
      </w:r>
      <w:r w:rsidRPr="00723685">
        <w:rPr>
          <w:rFonts w:eastAsia="Times New Roman" w:cstheme="minorHAnsi"/>
          <w:color w:val="000000" w:themeColor="text1"/>
          <w:sz w:val="28"/>
          <w:szCs w:val="28"/>
          <w:lang w:val="uk-UA" w:eastAsia="ru-RU"/>
        </w:rPr>
        <w:t xml:space="preserve"> організми проявляють ко-резистентність до великої кількості інших груп антибіотиків, що призводить до обмеження терапевтичного вибору. Карбапенеми є засобом вибору для лікування серйозних інфекцій, викликаних βЛРС-продукуют</w:t>
      </w:r>
      <w:r>
        <w:rPr>
          <w:rFonts w:eastAsia="Times New Roman" w:cstheme="minorHAnsi"/>
          <w:color w:val="000000" w:themeColor="text1"/>
          <w:sz w:val="28"/>
          <w:szCs w:val="28"/>
          <w:lang w:val="uk-UA" w:eastAsia="ru-RU"/>
        </w:rPr>
        <w:t>чими</w:t>
      </w:r>
      <w:r w:rsidRPr="00723685">
        <w:rPr>
          <w:rFonts w:eastAsia="Times New Roman" w:cstheme="minorHAnsi"/>
          <w:color w:val="000000" w:themeColor="text1"/>
          <w:sz w:val="28"/>
          <w:szCs w:val="28"/>
          <w:lang w:val="uk-UA" w:eastAsia="ru-RU"/>
        </w:rPr>
        <w:t xml:space="preserve"> штамами.</w:t>
      </w:r>
      <w:r>
        <w:rPr>
          <w:rFonts w:eastAsia="Times New Roman" w:cstheme="minorHAnsi"/>
          <w:color w:val="000000" w:themeColor="text1"/>
          <w:sz w:val="28"/>
          <w:szCs w:val="28"/>
          <w:lang w:val="uk-UA" w:eastAsia="ru-RU"/>
        </w:rPr>
        <w:t xml:space="preserve"> </w:t>
      </w:r>
      <w:r w:rsidRPr="00232C4C">
        <w:rPr>
          <w:rFonts w:eastAsia="Times New Roman" w:cstheme="minorHAnsi"/>
          <w:color w:val="000000" w:themeColor="text1"/>
          <w:sz w:val="28"/>
          <w:szCs w:val="28"/>
          <w:lang w:val="uk-UA" w:eastAsia="ru-RU"/>
        </w:rPr>
        <w:t xml:space="preserve">Інгібітори β-лактамаз, такі як сульбактам, клавуланат або тазобактам відомі як інактіватори класу А βЛРС. </w:t>
      </w:r>
      <w:r w:rsidRPr="00232C4C">
        <w:rPr>
          <w:rFonts w:eastAsia="Times New Roman" w:cstheme="minorHAnsi"/>
          <w:color w:val="000000" w:themeColor="text1"/>
          <w:sz w:val="28"/>
          <w:szCs w:val="28"/>
          <w:lang w:val="uk-UA" w:eastAsia="ru-RU"/>
        </w:rPr>
        <w:lastRenderedPageBreak/>
        <w:t>Цікавим є той факт, що β-лактамаз CTX-M здатний гідролізувати сульбактам, тоді як клавуланат і тазобактам зберігають свою здатність інактивувати цей ензим</w:t>
      </w:r>
      <w:r>
        <w:rPr>
          <w:rFonts w:eastAsia="Times New Roman" w:cstheme="minorHAnsi"/>
          <w:color w:val="000000" w:themeColor="text1"/>
          <w:sz w:val="28"/>
          <w:szCs w:val="28"/>
          <w:lang w:val="uk-UA" w:eastAsia="ru-RU"/>
        </w:rPr>
        <w:t xml:space="preserve"> [</w:t>
      </w:r>
      <w:r>
        <w:rPr>
          <w:rFonts w:cstheme="minorHAnsi"/>
          <w:color w:val="000000" w:themeColor="text1"/>
          <w:sz w:val="28"/>
          <w:szCs w:val="28"/>
          <w:lang w:val="uk-UA"/>
        </w:rPr>
        <w:t>59</w:t>
      </w:r>
      <w:r>
        <w:rPr>
          <w:rFonts w:cstheme="minorHAnsi"/>
          <w:color w:val="000000"/>
          <w:sz w:val="28"/>
          <w:szCs w:val="28"/>
          <w:lang w:val="uk-UA"/>
        </w:rPr>
        <w:t>]</w:t>
      </w:r>
      <w:r w:rsidRPr="004B548B">
        <w:rPr>
          <w:rFonts w:cstheme="minorHAnsi"/>
          <w:color w:val="000000"/>
          <w:sz w:val="28"/>
          <w:szCs w:val="28"/>
          <w:lang w:val="uk-UA"/>
        </w:rPr>
        <w:t>.</w:t>
      </w:r>
    </w:p>
    <w:p w:rsidR="00CE6207" w:rsidRPr="00723685" w:rsidRDefault="00CE6207" w:rsidP="00CE6207">
      <w:pPr>
        <w:spacing w:after="0" w:line="360" w:lineRule="auto"/>
        <w:ind w:firstLine="709"/>
        <w:jc w:val="both"/>
        <w:rPr>
          <w:rFonts w:cstheme="minorHAnsi"/>
          <w:sz w:val="28"/>
          <w:szCs w:val="28"/>
          <w:lang w:val="uk-UA"/>
        </w:rPr>
      </w:pPr>
      <w:r>
        <w:rPr>
          <w:rFonts w:eastAsia="Times New Roman" w:cstheme="minorHAnsi"/>
          <w:bCs/>
          <w:color w:val="000000" w:themeColor="text1"/>
          <w:sz w:val="28"/>
          <w:szCs w:val="28"/>
          <w:lang w:val="uk-UA" w:eastAsia="ru-RU"/>
        </w:rPr>
        <w:t xml:space="preserve">За даними </w:t>
      </w:r>
      <w:r w:rsidRPr="001B7F2F">
        <w:rPr>
          <w:sz w:val="28"/>
          <w:szCs w:val="28"/>
          <w:lang w:val="uk-UA"/>
        </w:rPr>
        <w:t>EARS-Net</w:t>
      </w:r>
      <w:r>
        <w:rPr>
          <w:sz w:val="28"/>
          <w:szCs w:val="28"/>
          <w:lang w:val="uk-UA"/>
        </w:rPr>
        <w:t>,</w:t>
      </w:r>
      <w:r w:rsidRPr="0034696C">
        <w:rPr>
          <w:rFonts w:cstheme="minorHAnsi"/>
          <w:color w:val="000000" w:themeColor="text1"/>
          <w:sz w:val="28"/>
          <w:szCs w:val="28"/>
          <w:lang w:val="uk-UA"/>
        </w:rPr>
        <w:t xml:space="preserve"> </w:t>
      </w:r>
      <w:r w:rsidRPr="00641A94">
        <w:rPr>
          <w:rFonts w:cstheme="minorHAnsi"/>
          <w:sz w:val="28"/>
          <w:szCs w:val="28"/>
          <w:lang w:val="uk-UA"/>
        </w:rPr>
        <w:t>в більшості європейських країн</w:t>
      </w:r>
      <w:r>
        <w:rPr>
          <w:rFonts w:cstheme="minorHAnsi"/>
          <w:sz w:val="28"/>
          <w:szCs w:val="28"/>
          <w:lang w:val="uk-UA"/>
        </w:rPr>
        <w:t>,</w:t>
      </w:r>
      <w:r w:rsidRPr="00641A94">
        <w:rPr>
          <w:rFonts w:cstheme="minorHAnsi"/>
          <w:sz w:val="28"/>
          <w:szCs w:val="28"/>
          <w:lang w:val="uk-UA"/>
        </w:rPr>
        <w:t xml:space="preserve"> </w:t>
      </w:r>
      <w:r w:rsidRPr="008E0FD9">
        <w:rPr>
          <w:rFonts w:cstheme="minorHAnsi"/>
          <w:sz w:val="28"/>
          <w:szCs w:val="28"/>
          <w:lang w:val="uk-UA"/>
        </w:rPr>
        <w:t>внаслідок швидкого поширення генів резистентності за допомогою плазмід</w:t>
      </w:r>
      <w:r>
        <w:rPr>
          <w:rFonts w:cstheme="minorHAnsi"/>
          <w:sz w:val="28"/>
          <w:szCs w:val="28"/>
          <w:lang w:val="uk-UA"/>
        </w:rPr>
        <w:t>,</w:t>
      </w:r>
      <w:r w:rsidRPr="00641A94">
        <w:rPr>
          <w:rFonts w:cstheme="minorHAnsi"/>
          <w:sz w:val="28"/>
          <w:szCs w:val="28"/>
          <w:lang w:val="uk-UA"/>
        </w:rPr>
        <w:t xml:space="preserve"> кількіс</w:t>
      </w:r>
      <w:r>
        <w:rPr>
          <w:rFonts w:cstheme="minorHAnsi"/>
          <w:sz w:val="28"/>
          <w:szCs w:val="28"/>
          <w:lang w:val="uk-UA"/>
        </w:rPr>
        <w:t>ть штамів Escherichia coli</w:t>
      </w:r>
      <w:r w:rsidRPr="00641A94">
        <w:rPr>
          <w:rFonts w:cstheme="minorHAnsi"/>
          <w:sz w:val="28"/>
          <w:szCs w:val="28"/>
          <w:lang w:val="uk-UA"/>
        </w:rPr>
        <w:t xml:space="preserve"> зі зниженою </w:t>
      </w:r>
      <w:r>
        <w:rPr>
          <w:rFonts w:cstheme="minorHAnsi"/>
          <w:sz w:val="28"/>
          <w:szCs w:val="28"/>
          <w:lang w:val="uk-UA"/>
        </w:rPr>
        <w:t>чутливістю до фторхінолонів, 3-ї</w:t>
      </w:r>
      <w:r w:rsidRPr="00641A94">
        <w:rPr>
          <w:rFonts w:cstheme="minorHAnsi"/>
          <w:sz w:val="28"/>
          <w:szCs w:val="28"/>
          <w:lang w:val="uk-UA"/>
        </w:rPr>
        <w:t xml:space="preserve"> генерації це</w:t>
      </w:r>
      <w:r>
        <w:rPr>
          <w:rFonts w:cstheme="minorHAnsi"/>
          <w:sz w:val="28"/>
          <w:szCs w:val="28"/>
          <w:lang w:val="uk-UA"/>
        </w:rPr>
        <w:t xml:space="preserve">фалоспоринів та аміноглікозидів, </w:t>
      </w:r>
      <w:r w:rsidRPr="00641A94">
        <w:rPr>
          <w:rFonts w:cstheme="minorHAnsi"/>
          <w:sz w:val="28"/>
          <w:szCs w:val="28"/>
          <w:lang w:val="uk-UA"/>
        </w:rPr>
        <w:t>щороку збільшується</w:t>
      </w:r>
      <w:r>
        <w:rPr>
          <w:rFonts w:cstheme="minorHAnsi"/>
          <w:sz w:val="28"/>
          <w:szCs w:val="28"/>
          <w:lang w:val="uk-UA"/>
        </w:rPr>
        <w:t>.</w:t>
      </w:r>
      <w:r w:rsidRPr="009A16F1">
        <w:rPr>
          <w:rFonts w:cstheme="minorHAnsi"/>
          <w:sz w:val="28"/>
          <w:szCs w:val="28"/>
          <w:lang w:val="uk-UA"/>
        </w:rPr>
        <w:t xml:space="preserve"> </w:t>
      </w:r>
      <w:r>
        <w:rPr>
          <w:rFonts w:cstheme="minorHAnsi"/>
          <w:sz w:val="28"/>
          <w:szCs w:val="28"/>
          <w:lang w:val="uk-UA"/>
        </w:rPr>
        <w:t xml:space="preserve">Поширеність генів </w:t>
      </w:r>
      <w:r w:rsidRPr="00232C4C">
        <w:rPr>
          <w:rFonts w:eastAsia="Times New Roman" w:cstheme="minorHAnsi"/>
          <w:color w:val="000000" w:themeColor="text1"/>
          <w:sz w:val="28"/>
          <w:szCs w:val="28"/>
          <w:lang w:val="uk-UA" w:eastAsia="ru-RU"/>
        </w:rPr>
        <w:t>βЛРС</w:t>
      </w:r>
      <w:r>
        <w:rPr>
          <w:rFonts w:eastAsia="Times New Roman" w:cstheme="minorHAnsi"/>
          <w:color w:val="000000" w:themeColor="text1"/>
          <w:sz w:val="28"/>
          <w:szCs w:val="28"/>
          <w:lang w:val="uk-UA" w:eastAsia="ru-RU"/>
        </w:rPr>
        <w:t xml:space="preserve"> серед штамів, резистентних до 3-ї генерації цефалоспоринів, становило 85%-100% </w:t>
      </w:r>
      <w:r>
        <w:rPr>
          <w:rFonts w:cstheme="minorHAnsi"/>
          <w:sz w:val="28"/>
          <w:szCs w:val="28"/>
          <w:lang w:val="uk-UA"/>
        </w:rPr>
        <w:t>[38, 118</w:t>
      </w:r>
      <w:r w:rsidRPr="001061D6">
        <w:rPr>
          <w:rFonts w:eastAsia="Typestar-Normal" w:cstheme="minorHAnsi"/>
          <w:sz w:val="28"/>
          <w:szCs w:val="28"/>
          <w:lang w:val="uk-UA"/>
        </w:rPr>
        <w:t>]</w:t>
      </w:r>
      <w:r>
        <w:rPr>
          <w:sz w:val="28"/>
          <w:szCs w:val="28"/>
          <w:lang w:val="uk-UA"/>
        </w:rPr>
        <w:t xml:space="preserve">. Наявність генів </w:t>
      </w:r>
      <w:r w:rsidRPr="001B7F2F">
        <w:rPr>
          <w:rFonts w:ascii="Times New Roman" w:hAnsi="Times New Roman" w:cs="Times New Roman"/>
          <w:sz w:val="28"/>
          <w:szCs w:val="28"/>
          <w:lang w:val="uk-UA"/>
        </w:rPr>
        <w:t>βЛРС</w:t>
      </w:r>
      <w:r>
        <w:rPr>
          <w:rFonts w:ascii="Times New Roman" w:hAnsi="Times New Roman" w:cs="Times New Roman"/>
          <w:sz w:val="28"/>
          <w:szCs w:val="28"/>
          <w:lang w:val="uk-UA"/>
        </w:rPr>
        <w:t xml:space="preserve"> було виявлено у 35,1% штамів </w:t>
      </w:r>
      <w:r w:rsidRPr="0042365C">
        <w:rPr>
          <w:rFonts w:cstheme="minorHAnsi"/>
          <w:i/>
          <w:iCs/>
          <w:sz w:val="28"/>
          <w:szCs w:val="28"/>
          <w:lang w:val="en-US"/>
        </w:rPr>
        <w:t>K</w:t>
      </w:r>
      <w:r w:rsidRPr="009D2354">
        <w:rPr>
          <w:rFonts w:cstheme="minorHAnsi"/>
          <w:i/>
          <w:iCs/>
          <w:sz w:val="28"/>
          <w:szCs w:val="28"/>
          <w:lang w:val="uk-UA"/>
        </w:rPr>
        <w:t>.</w:t>
      </w:r>
      <w:r w:rsidRPr="0042365C">
        <w:rPr>
          <w:rFonts w:cstheme="minorHAnsi"/>
          <w:i/>
          <w:iCs/>
          <w:sz w:val="28"/>
          <w:szCs w:val="28"/>
          <w:lang w:val="en-US"/>
        </w:rPr>
        <w:t>pneumoniae</w:t>
      </w:r>
      <w:r>
        <w:rPr>
          <w:rFonts w:cstheme="minorHAnsi"/>
          <w:i/>
          <w:iCs/>
          <w:sz w:val="28"/>
          <w:szCs w:val="28"/>
          <w:lang w:val="uk-UA"/>
        </w:rPr>
        <w:t xml:space="preserve"> </w:t>
      </w:r>
      <w:r>
        <w:rPr>
          <w:rFonts w:cstheme="minorHAnsi"/>
          <w:iCs/>
          <w:sz w:val="28"/>
          <w:szCs w:val="28"/>
          <w:lang w:val="uk-UA"/>
        </w:rPr>
        <w:t xml:space="preserve">згідно результатів дослідження </w:t>
      </w:r>
      <w:r w:rsidRPr="007B2CE2">
        <w:rPr>
          <w:rFonts w:eastAsia="Times New Roman" w:cstheme="minorHAnsi"/>
          <w:color w:val="000000"/>
          <w:sz w:val="28"/>
          <w:szCs w:val="28"/>
          <w:lang w:val="en-US" w:eastAsia="ru-RU"/>
        </w:rPr>
        <w:t>SENTRY Antimicrobial</w:t>
      </w:r>
      <w:r w:rsidRPr="009D2354">
        <w:rPr>
          <w:rFonts w:eastAsia="Times New Roman" w:cstheme="minorHAnsi"/>
          <w:color w:val="000000"/>
          <w:sz w:val="28"/>
          <w:szCs w:val="28"/>
          <w:lang w:val="uk-UA" w:eastAsia="ru-RU"/>
        </w:rPr>
        <w:t xml:space="preserve"> </w:t>
      </w:r>
      <w:r w:rsidRPr="007B2CE2">
        <w:rPr>
          <w:rFonts w:eastAsia="Times New Roman" w:cstheme="minorHAnsi"/>
          <w:color w:val="000000"/>
          <w:sz w:val="28"/>
          <w:szCs w:val="28"/>
          <w:lang w:val="en-US" w:eastAsia="ru-RU"/>
        </w:rPr>
        <w:t>Surveillance</w:t>
      </w:r>
      <w:r w:rsidRPr="009D2354">
        <w:rPr>
          <w:rFonts w:eastAsia="Times New Roman" w:cstheme="minorHAnsi"/>
          <w:color w:val="000000"/>
          <w:sz w:val="28"/>
          <w:szCs w:val="28"/>
          <w:lang w:val="uk-UA" w:eastAsia="ru-RU"/>
        </w:rPr>
        <w:t xml:space="preserve"> </w:t>
      </w:r>
      <w:r w:rsidRPr="007B2CE2">
        <w:rPr>
          <w:rFonts w:eastAsia="Times New Roman" w:cstheme="minorHAnsi"/>
          <w:color w:val="000000"/>
          <w:sz w:val="28"/>
          <w:szCs w:val="28"/>
          <w:lang w:val="en-US" w:eastAsia="ru-RU"/>
        </w:rPr>
        <w:t>Program</w:t>
      </w:r>
      <w:r>
        <w:rPr>
          <w:rFonts w:eastAsia="Times New Roman" w:cstheme="minorHAnsi"/>
          <w:color w:val="000000"/>
          <w:sz w:val="28"/>
          <w:szCs w:val="28"/>
          <w:lang w:val="uk-UA" w:eastAsia="ru-RU"/>
        </w:rPr>
        <w:t xml:space="preserve">, США </w:t>
      </w:r>
      <w:r w:rsidRPr="00123E38">
        <w:rPr>
          <w:rFonts w:cstheme="minorHAnsi"/>
          <w:sz w:val="28"/>
          <w:szCs w:val="28"/>
          <w:lang w:val="uk-UA"/>
        </w:rPr>
        <w:t>[</w:t>
      </w:r>
      <w:r>
        <w:rPr>
          <w:rFonts w:cstheme="minorHAnsi"/>
          <w:sz w:val="28"/>
          <w:szCs w:val="28"/>
          <w:lang w:val="uk-UA"/>
        </w:rPr>
        <w:t>108</w:t>
      </w:r>
      <w:r w:rsidRPr="00123E38">
        <w:rPr>
          <w:rFonts w:cstheme="minorHAnsi"/>
          <w:sz w:val="28"/>
          <w:szCs w:val="28"/>
          <w:lang w:val="uk-UA"/>
        </w:rPr>
        <w:t>]</w:t>
      </w:r>
      <w:r>
        <w:rPr>
          <w:rFonts w:cstheme="minorHAnsi"/>
          <w:sz w:val="28"/>
          <w:szCs w:val="28"/>
          <w:lang w:val="uk-UA"/>
        </w:rPr>
        <w:t xml:space="preserve">. </w:t>
      </w:r>
      <w:r w:rsidRPr="0049101A">
        <w:rPr>
          <w:rFonts w:ascii="Times New Roman" w:eastAsia="Times New Roman" w:hAnsi="Times New Roman" w:cs="Times New Roman"/>
          <w:color w:val="000000" w:themeColor="text1"/>
          <w:sz w:val="28"/>
          <w:szCs w:val="28"/>
          <w:lang w:val="uk-UA" w:eastAsia="ru-RU"/>
        </w:rPr>
        <w:t>Штами Escherichia coli, що продукують зазначені ензими часто зустрічаються в амбулаторній практиці, оскільки Escherichia coli є збудником амбулаторних інфекцій сечової системи і вибір препаратів для лікування даної патології обмежений. Це призводить до застосування нових антибіотиків, таких як карбапенеми для емпіричної терапії тяжких інфекцій сечової системи. В даний час у Великобританії і США описані мікроорганізми, що продукують карбапенемази. Внаслідок наростання резистентності, пропонується припинити терапію ІСС без наявності симптомів, а також тривале застосування антибіотиків</w:t>
      </w:r>
      <w:r>
        <w:rPr>
          <w:rFonts w:ascii="Times New Roman" w:eastAsia="Times New Roman" w:hAnsi="Times New Roman" w:cs="Times New Roman"/>
          <w:color w:val="000000" w:themeColor="text1"/>
          <w:sz w:val="28"/>
          <w:szCs w:val="28"/>
          <w:lang w:val="uk-UA" w:eastAsia="ru-RU"/>
        </w:rPr>
        <w:t xml:space="preserve"> для профілактики рецидивів ІСС</w:t>
      </w:r>
      <w:r w:rsidRPr="0049101A">
        <w:rPr>
          <w:rFonts w:ascii="Times New Roman" w:eastAsia="Times New Roman" w:hAnsi="Times New Roman" w:cs="Times New Roman"/>
          <w:color w:val="000000" w:themeColor="text1"/>
          <w:sz w:val="28"/>
          <w:szCs w:val="28"/>
          <w:lang w:eastAsia="ru-RU"/>
        </w:rPr>
        <w:t xml:space="preserve"> </w:t>
      </w:r>
      <w:r w:rsidRPr="00123E38">
        <w:rPr>
          <w:rFonts w:ascii="Times New Roman" w:hAnsi="Times New Roman" w:cs="Times New Roman"/>
          <w:sz w:val="28"/>
          <w:szCs w:val="28"/>
        </w:rPr>
        <w:t>[</w:t>
      </w:r>
      <w:r>
        <w:rPr>
          <w:rFonts w:ascii="Times New Roman" w:eastAsia="Times New Roman" w:hAnsi="Times New Roman" w:cs="Times New Roman"/>
          <w:color w:val="000000" w:themeColor="text1"/>
          <w:sz w:val="28"/>
          <w:szCs w:val="28"/>
          <w:bdr w:val="none" w:sz="0" w:space="0" w:color="auto" w:frame="1"/>
          <w:lang w:val="uk-UA" w:eastAsia="ru-RU"/>
        </w:rPr>
        <w:t>105</w:t>
      </w:r>
      <w:r w:rsidRPr="00176EEF">
        <w:rPr>
          <w:rFonts w:ascii="Times New Roman" w:hAnsi="Times New Roman" w:cs="Times New Roman"/>
          <w:sz w:val="28"/>
          <w:szCs w:val="28"/>
          <w:lang w:val="uk-UA"/>
        </w:rPr>
        <w:t>].</w:t>
      </w:r>
    </w:p>
    <w:p w:rsidR="00CE6207" w:rsidRDefault="00CE6207" w:rsidP="00CE6207">
      <w:pPr>
        <w:spacing w:after="0" w:line="360" w:lineRule="auto"/>
        <w:ind w:firstLine="709"/>
        <w:jc w:val="both"/>
        <w:rPr>
          <w:rFonts w:eastAsia="Times New Roman" w:cstheme="minorHAnsi"/>
          <w:color w:val="000000" w:themeColor="text1"/>
          <w:sz w:val="28"/>
          <w:szCs w:val="28"/>
          <w:lang w:val="uk-UA" w:eastAsia="ru-RU"/>
        </w:rPr>
      </w:pPr>
      <w:r w:rsidRPr="00F33B37">
        <w:rPr>
          <w:rFonts w:ascii="Times New Roman" w:hAnsi="Times New Roman" w:cs="Times New Roman"/>
          <w:sz w:val="28"/>
          <w:szCs w:val="28"/>
          <w:lang w:val="uk-UA"/>
        </w:rPr>
        <w:t xml:space="preserve">Фактори ризику колонізації або інфекції, спричинені </w:t>
      </w:r>
      <w:r w:rsidRPr="00F33B37">
        <w:rPr>
          <w:rFonts w:ascii="Times New Roman" w:hAnsi="Times New Roman" w:cs="Times New Roman"/>
          <w:sz w:val="28"/>
          <w:szCs w:val="28"/>
        </w:rPr>
        <w:t>β</w:t>
      </w:r>
      <w:r w:rsidRPr="00F33B37">
        <w:rPr>
          <w:rFonts w:ascii="Times New Roman" w:hAnsi="Times New Roman" w:cs="Times New Roman"/>
          <w:sz w:val="28"/>
          <w:szCs w:val="28"/>
          <w:lang w:val="uk-UA"/>
        </w:rPr>
        <w:t xml:space="preserve">ЛРС-продукуючими організмами, включають: чоловіча стать; вік 65 </w:t>
      </w:r>
      <w:r>
        <w:rPr>
          <w:rFonts w:ascii="Times New Roman" w:hAnsi="Times New Roman" w:cs="Times New Roman"/>
          <w:sz w:val="28"/>
          <w:szCs w:val="28"/>
          <w:lang w:val="uk-UA"/>
        </w:rPr>
        <w:t>років і вище; випадок не давньої</w:t>
      </w:r>
      <w:r w:rsidRPr="00F33B37">
        <w:rPr>
          <w:rFonts w:ascii="Times New Roman" w:hAnsi="Times New Roman" w:cs="Times New Roman"/>
          <w:sz w:val="28"/>
          <w:szCs w:val="28"/>
          <w:lang w:val="uk-UA"/>
        </w:rPr>
        <w:t xml:space="preserve"> госпіталізації; лікування в попередні 3 місяці цефалоспоринами, пеніцилінами та фторхінолонами; захворюв</w:t>
      </w:r>
      <w:r>
        <w:rPr>
          <w:rFonts w:ascii="Times New Roman" w:hAnsi="Times New Roman" w:cs="Times New Roman"/>
          <w:sz w:val="28"/>
          <w:szCs w:val="28"/>
          <w:lang w:val="uk-UA"/>
        </w:rPr>
        <w:t>ання простати; деменція; діабет</w:t>
      </w:r>
      <w:r w:rsidRPr="00F33B37">
        <w:rPr>
          <w:rFonts w:ascii="Times New Roman" w:hAnsi="Times New Roman" w:cs="Times New Roman"/>
          <w:sz w:val="28"/>
          <w:szCs w:val="28"/>
          <w:lang w:val="uk-UA"/>
        </w:rPr>
        <w:t xml:space="preserve"> </w:t>
      </w:r>
      <w:r w:rsidRPr="00E900B5">
        <w:rPr>
          <w:rFonts w:cstheme="minorHAnsi"/>
          <w:bCs/>
          <w:color w:val="000000" w:themeColor="text1"/>
          <w:sz w:val="28"/>
          <w:szCs w:val="28"/>
          <w:lang w:val="uk-UA"/>
        </w:rPr>
        <w:t>[</w:t>
      </w:r>
      <w:r>
        <w:rPr>
          <w:rFonts w:cstheme="minorHAnsi"/>
          <w:sz w:val="28"/>
          <w:szCs w:val="28"/>
          <w:bdr w:val="none" w:sz="0" w:space="0" w:color="auto" w:frame="1"/>
          <w:shd w:val="clear" w:color="auto" w:fill="FFFFFF"/>
          <w:lang w:val="uk-UA"/>
        </w:rPr>
        <w:t>65</w:t>
      </w:r>
      <w:r w:rsidRPr="00E900B5">
        <w:rPr>
          <w:rFonts w:cstheme="minorHAnsi"/>
          <w:color w:val="000000" w:themeColor="text1"/>
          <w:sz w:val="28"/>
          <w:szCs w:val="28"/>
          <w:lang w:val="uk-UA"/>
        </w:rPr>
        <w:t>].</w:t>
      </w:r>
    </w:p>
    <w:p w:rsidR="00CE6207" w:rsidRDefault="00CE6207" w:rsidP="00CE6207">
      <w:pPr>
        <w:spacing w:line="360" w:lineRule="auto"/>
        <w:ind w:firstLine="709"/>
        <w:jc w:val="both"/>
        <w:rPr>
          <w:rFonts w:eastAsia="Times New Roman" w:cstheme="minorHAnsi"/>
          <w:color w:val="000000" w:themeColor="text1"/>
          <w:sz w:val="28"/>
          <w:szCs w:val="28"/>
          <w:lang w:val="uk-UA" w:eastAsia="ru-RU"/>
        </w:rPr>
      </w:pPr>
      <w:r>
        <w:rPr>
          <w:rFonts w:eastAsia="Times New Roman" w:cstheme="minorHAnsi"/>
          <w:color w:val="000000" w:themeColor="text1"/>
          <w:sz w:val="28"/>
          <w:szCs w:val="28"/>
          <w:lang w:val="uk-UA" w:eastAsia="ru-RU"/>
        </w:rPr>
        <w:t xml:space="preserve">Отже, резистентність до β-лактамів, обумовлена плазмідними βЛРС, щорічно зростає завдяки активності рухомих генетичних елементів – плазмід, що призводить до обмеження терапевтичних можливостей, тому що β-лактами є препаратами емпіричної АБТ в лікуванні ІСС, у тому числі ХП. Тому, ідентифікація резистентних штамів з генами βЛРС є необхідним для </w:t>
      </w:r>
      <w:r>
        <w:rPr>
          <w:rFonts w:eastAsia="Times New Roman" w:cstheme="minorHAnsi"/>
          <w:color w:val="000000" w:themeColor="text1"/>
          <w:sz w:val="28"/>
          <w:szCs w:val="28"/>
          <w:lang w:val="uk-UA" w:eastAsia="ru-RU"/>
        </w:rPr>
        <w:lastRenderedPageBreak/>
        <w:t>запобігання поширення мульти-резистентності та підвищення ефективності терапії.</w:t>
      </w:r>
    </w:p>
    <w:p w:rsidR="00CE6207" w:rsidRPr="009F7BD0" w:rsidRDefault="00CE6207" w:rsidP="00CE6207">
      <w:pPr>
        <w:spacing w:line="360" w:lineRule="auto"/>
        <w:ind w:firstLine="709"/>
        <w:jc w:val="both"/>
        <w:rPr>
          <w:rFonts w:eastAsia="Times New Roman" w:cstheme="minorHAnsi"/>
          <w:b/>
          <w:color w:val="000000" w:themeColor="text1"/>
          <w:sz w:val="28"/>
          <w:szCs w:val="28"/>
          <w:lang w:val="uk-UA" w:eastAsia="ru-RU"/>
        </w:rPr>
      </w:pPr>
      <w:r w:rsidRPr="009F7BD0">
        <w:rPr>
          <w:rFonts w:eastAsia="Times New Roman" w:cstheme="minorHAnsi"/>
          <w:b/>
          <w:color w:val="000000" w:themeColor="text1"/>
          <w:sz w:val="28"/>
          <w:szCs w:val="28"/>
          <w:lang w:val="uk-UA" w:eastAsia="ru-RU"/>
        </w:rPr>
        <w:t>1.3.2 Механізми формування резистентності до фторхінолонів.</w:t>
      </w:r>
    </w:p>
    <w:p w:rsidR="00CE6207" w:rsidRPr="000E212D" w:rsidRDefault="00CE6207" w:rsidP="00CE6207">
      <w:pPr>
        <w:spacing w:after="0" w:line="360" w:lineRule="auto"/>
        <w:ind w:right="40" w:firstLine="709"/>
        <w:jc w:val="both"/>
        <w:textAlignment w:val="baseline"/>
        <w:rPr>
          <w:rFonts w:eastAsia="Times New Roman" w:cstheme="minorHAnsi"/>
          <w:color w:val="000000"/>
          <w:sz w:val="28"/>
          <w:szCs w:val="28"/>
          <w:lang w:val="uk-UA" w:eastAsia="ru-RU"/>
        </w:rPr>
      </w:pPr>
      <w:r>
        <w:rPr>
          <w:rFonts w:eastAsia="Times New Roman" w:cstheme="minorHAnsi"/>
          <w:color w:val="000000" w:themeColor="text1"/>
          <w:sz w:val="28"/>
          <w:szCs w:val="28"/>
          <w:lang w:val="uk-UA" w:eastAsia="ru-RU"/>
        </w:rPr>
        <w:t xml:space="preserve">  </w:t>
      </w:r>
      <w:r w:rsidRPr="00F33B37">
        <w:rPr>
          <w:rFonts w:ascii="Times New Roman" w:hAnsi="Times New Roman"/>
          <w:color w:val="000000" w:themeColor="text1"/>
          <w:sz w:val="28"/>
          <w:szCs w:val="28"/>
          <w:lang w:val="uk-UA"/>
        </w:rPr>
        <w:t>Зростання резистентності основних збудників ІСС до фторхінолонів призводить до неефективності антибіотико-терапії, як амбулаторних</w:t>
      </w:r>
      <w:r>
        <w:rPr>
          <w:rFonts w:ascii="Times New Roman" w:hAnsi="Times New Roman"/>
          <w:color w:val="000000" w:themeColor="text1"/>
          <w:sz w:val="28"/>
          <w:szCs w:val="28"/>
          <w:lang w:val="uk-UA"/>
        </w:rPr>
        <w:t>, так і госпіталізованих хворих</w:t>
      </w:r>
      <w:r w:rsidRPr="000F1277">
        <w:rPr>
          <w:rFonts w:ascii="Times New Roman" w:hAnsi="Times New Roman"/>
          <w:color w:val="000000" w:themeColor="text1"/>
          <w:sz w:val="28"/>
          <w:szCs w:val="28"/>
          <w:lang w:val="uk-UA"/>
        </w:rPr>
        <w:t xml:space="preserve"> [</w:t>
      </w:r>
      <w:r>
        <w:rPr>
          <w:rStyle w:val="slug-pages"/>
          <w:rFonts w:cstheme="minorHAnsi"/>
          <w:bCs/>
          <w:color w:val="000000" w:themeColor="text1"/>
          <w:sz w:val="28"/>
          <w:szCs w:val="28"/>
          <w:bdr w:val="none" w:sz="0" w:space="0" w:color="auto" w:frame="1"/>
          <w:lang w:val="uk-UA"/>
        </w:rPr>
        <w:t>10</w:t>
      </w:r>
      <w:r w:rsidRPr="000E212D">
        <w:rPr>
          <w:rFonts w:eastAsia="Times New Roman" w:cstheme="minorHAnsi"/>
          <w:color w:val="000000"/>
          <w:sz w:val="28"/>
          <w:szCs w:val="28"/>
          <w:lang w:val="uk-UA" w:eastAsia="ru-RU"/>
        </w:rPr>
        <w:t xml:space="preserve">]. </w:t>
      </w:r>
      <w:r w:rsidRPr="00262144">
        <w:rPr>
          <w:sz w:val="28"/>
          <w:szCs w:val="28"/>
          <w:lang w:val="uk-UA"/>
        </w:rPr>
        <w:t>В дослідженні ARESC (Antimicrobial Resistance Epidemiological Survey on Cystitis), проведеному в 9 європейських країнах та Бразилії, було показано, що рівень резистентності Escherichia coli до фторхінолонів в Бразилії, Іспанії, Італії та Росії станов</w:t>
      </w:r>
      <w:r>
        <w:rPr>
          <w:sz w:val="28"/>
          <w:szCs w:val="28"/>
          <w:lang w:val="uk-UA"/>
        </w:rPr>
        <w:t>ить не менше 10%, у Польщі 6,7%</w:t>
      </w:r>
      <w:r w:rsidRPr="00262144">
        <w:rPr>
          <w:sz w:val="28"/>
          <w:szCs w:val="28"/>
          <w:lang w:val="uk-UA"/>
        </w:rPr>
        <w:t>, у Франції 1,7%. У Великобританії, протягом 13 років, відзначено зростання резистентності до фторхінолонів у штамів сімейства Enterobacteriaceae (Escherichia coli і Klebsiella pneumoniae), який збільшувався від &lt;2% в 1996 до&gt; 20% в 2009 р</w:t>
      </w:r>
      <w:r>
        <w:rPr>
          <w:sz w:val="28"/>
          <w:szCs w:val="28"/>
          <w:lang w:val="uk-UA"/>
        </w:rPr>
        <w:t xml:space="preserve">оці </w:t>
      </w:r>
      <w:r>
        <w:rPr>
          <w:rFonts w:cstheme="minorHAnsi"/>
          <w:sz w:val="28"/>
          <w:szCs w:val="28"/>
          <w:lang w:val="uk-UA"/>
        </w:rPr>
        <w:t>[</w:t>
      </w:r>
      <w:r>
        <w:rPr>
          <w:rFonts w:ascii="Times New Roman" w:eastAsia="Times New Roman" w:hAnsi="Times New Roman" w:cs="Times New Roman"/>
          <w:color w:val="000000"/>
          <w:sz w:val="28"/>
          <w:szCs w:val="28"/>
          <w:lang w:val="uk-UA"/>
        </w:rPr>
        <w:t>104</w:t>
      </w:r>
      <w:r w:rsidRPr="00123E3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DD3398">
        <w:rPr>
          <w:sz w:val="28"/>
          <w:szCs w:val="28"/>
          <w:lang w:val="uk-UA"/>
        </w:rPr>
        <w:t>Аналогічна тенденція відзначена в США, де рівні резистентності до фторхінолонів в штамах, виділених від амбулаторних пацієнтів з І</w:t>
      </w:r>
      <w:r>
        <w:rPr>
          <w:sz w:val="28"/>
          <w:szCs w:val="28"/>
          <w:lang w:val="uk-UA"/>
        </w:rPr>
        <w:t>С</w:t>
      </w:r>
      <w:r w:rsidRPr="00DD3398">
        <w:rPr>
          <w:sz w:val="28"/>
          <w:szCs w:val="28"/>
          <w:lang w:val="uk-UA"/>
        </w:rPr>
        <w:t>С, збільшилися від 3% у 2000 році до 17,1% в 2010 році [</w:t>
      </w:r>
      <w:r>
        <w:rPr>
          <w:rFonts w:ascii="Times New Roman" w:eastAsia="Times New Roman" w:hAnsi="Times New Roman" w:cs="Times New Roman"/>
          <w:color w:val="000000"/>
          <w:sz w:val="28"/>
          <w:szCs w:val="28"/>
          <w:lang w:val="uk-UA"/>
        </w:rPr>
        <w:t>103</w:t>
      </w:r>
      <w:r w:rsidRPr="00DD3398">
        <w:rPr>
          <w:sz w:val="28"/>
          <w:szCs w:val="28"/>
          <w:lang w:val="uk-UA"/>
        </w:rPr>
        <w:t>]. За даними дослідження</w:t>
      </w:r>
      <w:r>
        <w:rPr>
          <w:sz w:val="28"/>
          <w:szCs w:val="28"/>
          <w:lang w:val="uk-UA"/>
        </w:rPr>
        <w:t xml:space="preserve"> </w:t>
      </w:r>
      <w:r>
        <w:rPr>
          <w:rFonts w:ascii="Times New Roman" w:eastAsia="Times New Roman" w:hAnsi="Times New Roman" w:cs="Times New Roman"/>
          <w:color w:val="000000"/>
          <w:sz w:val="28"/>
          <w:szCs w:val="28"/>
          <w:lang w:val="en-US"/>
        </w:rPr>
        <w:t>KONSID</w:t>
      </w:r>
      <w:r w:rsidRPr="00DD3398">
        <w:rPr>
          <w:sz w:val="28"/>
          <w:szCs w:val="28"/>
          <w:lang w:val="uk-UA"/>
        </w:rPr>
        <w:t>, проведеного в 11 інститутах в Кореї</w:t>
      </w:r>
      <w:r>
        <w:rPr>
          <w:sz w:val="28"/>
          <w:szCs w:val="28"/>
          <w:lang w:val="uk-UA"/>
        </w:rPr>
        <w:t>,</w:t>
      </w:r>
      <w:r w:rsidRPr="00DD3398">
        <w:rPr>
          <w:sz w:val="28"/>
          <w:szCs w:val="28"/>
          <w:lang w:val="uk-UA"/>
        </w:rPr>
        <w:t xml:space="preserve"> резистентність штамів Escherichia coli до ципрофлоксацину перевищила 30%, що робить неможливим його застосування для емпіричної терапії [</w:t>
      </w:r>
      <w:r>
        <w:rPr>
          <w:rFonts w:ascii="Times New Roman" w:eastAsia="Times New Roman" w:hAnsi="Times New Roman" w:cs="Times New Roman"/>
          <w:color w:val="000000"/>
          <w:sz w:val="28"/>
          <w:szCs w:val="28"/>
          <w:lang w:val="uk-UA"/>
        </w:rPr>
        <w:t>53</w:t>
      </w:r>
      <w:r w:rsidRPr="00DD3398">
        <w:rPr>
          <w:sz w:val="28"/>
          <w:szCs w:val="28"/>
          <w:lang w:val="uk-UA"/>
        </w:rPr>
        <w:t>]</w:t>
      </w:r>
      <w:r>
        <w:rPr>
          <w:sz w:val="28"/>
          <w:szCs w:val="28"/>
          <w:lang w:val="uk-UA"/>
        </w:rPr>
        <w:t>.</w:t>
      </w:r>
    </w:p>
    <w:p w:rsidR="00CE6207" w:rsidRDefault="00CE6207" w:rsidP="00CE6207">
      <w:pPr>
        <w:spacing w:after="0" w:line="360" w:lineRule="auto"/>
        <w:ind w:firstLine="709"/>
        <w:jc w:val="both"/>
        <w:rPr>
          <w:rFonts w:cstheme="minorHAnsi"/>
          <w:sz w:val="28"/>
          <w:szCs w:val="28"/>
          <w:lang w:val="uk-UA"/>
        </w:rPr>
      </w:pPr>
      <w:r w:rsidRPr="00F33B37">
        <w:rPr>
          <w:rFonts w:ascii="Times New Roman" w:eastAsia="Times New Roman" w:hAnsi="Times New Roman" w:cs="Times New Roman"/>
          <w:sz w:val="28"/>
          <w:szCs w:val="28"/>
          <w:lang w:val="uk-UA"/>
        </w:rPr>
        <w:t xml:space="preserve">До недавнього часу, механізмами розвитку резистентності до хінолонів у сімейства Enterobacteriaceae вважалися наступні: мутації в хромосомних генах, що кодують ДНК гіразу (gyrA, gyrB) та топоізомеразу IV (parC і parЕ), </w:t>
      </w:r>
      <w:r w:rsidRPr="00F33B37">
        <w:rPr>
          <w:rFonts w:ascii="Cambria Math" w:eastAsia="Times New Roman" w:hAnsi="Cambria Math" w:cs="Cambria Math"/>
          <w:sz w:val="28"/>
          <w:szCs w:val="28"/>
          <w:lang w:val="uk-UA"/>
        </w:rPr>
        <w:t>​​</w:t>
      </w:r>
      <w:r w:rsidRPr="00F33B37">
        <w:rPr>
          <w:rFonts w:ascii="Times New Roman" w:eastAsia="Times New Roman" w:hAnsi="Times New Roman" w:cs="Times New Roman"/>
          <w:sz w:val="28"/>
          <w:szCs w:val="28"/>
          <w:lang w:val="uk-UA"/>
        </w:rPr>
        <w:t>зниження проникності зовнішньої мембрани (porin</w:t>
      </w:r>
      <w:r>
        <w:rPr>
          <w:rFonts w:ascii="Times New Roman" w:eastAsia="Times New Roman" w:hAnsi="Times New Roman" w:cs="Times New Roman"/>
          <w:sz w:val="28"/>
          <w:szCs w:val="28"/>
          <w:lang w:val="uk-UA"/>
        </w:rPr>
        <w:t xml:space="preserve"> defect) клітини і зверх-експресія природного еффлюкса</w:t>
      </w:r>
      <w:r w:rsidRPr="000E212D">
        <w:rPr>
          <w:rFonts w:ascii="Times New Roman" w:eastAsia="Times New Roman" w:hAnsi="Times New Roman" w:cs="Times New Roman"/>
          <w:sz w:val="28"/>
          <w:szCs w:val="28"/>
          <w:lang w:val="uk-UA"/>
        </w:rPr>
        <w:t xml:space="preserve"> </w:t>
      </w:r>
      <w:r>
        <w:rPr>
          <w:rFonts w:cstheme="minorHAnsi"/>
          <w:sz w:val="28"/>
          <w:szCs w:val="28"/>
          <w:lang w:val="uk-UA"/>
        </w:rPr>
        <w:t>[</w:t>
      </w:r>
      <w:r>
        <w:rPr>
          <w:rFonts w:ascii="Times New Roman" w:eastAsia="Times New Roman" w:hAnsi="Times New Roman" w:cs="Times New Roman"/>
          <w:color w:val="000000" w:themeColor="text1"/>
          <w:sz w:val="28"/>
          <w:szCs w:val="28"/>
          <w:bdr w:val="none" w:sz="0" w:space="0" w:color="auto" w:frame="1"/>
          <w:lang w:val="uk-UA" w:eastAsia="ru-RU"/>
        </w:rPr>
        <w:t>31</w:t>
      </w:r>
      <w:r w:rsidRPr="00123E38">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w:t>
      </w:r>
      <w:r w:rsidRPr="00F33B37">
        <w:rPr>
          <w:rFonts w:ascii="Times New Roman" w:eastAsia="Times New Roman" w:hAnsi="Times New Roman" w:cs="Times New Roman"/>
          <w:color w:val="000000" w:themeColor="text1"/>
          <w:sz w:val="28"/>
          <w:szCs w:val="28"/>
          <w:lang w:val="uk-UA" w:eastAsia="ru-RU"/>
        </w:rPr>
        <w:t>Однак з 1998 року почали з'являтися повідомлення про появу нових механізмів резистентно</w:t>
      </w:r>
      <w:r>
        <w:rPr>
          <w:rFonts w:ascii="Times New Roman" w:eastAsia="Times New Roman" w:hAnsi="Times New Roman" w:cs="Times New Roman"/>
          <w:color w:val="000000" w:themeColor="text1"/>
          <w:sz w:val="28"/>
          <w:szCs w:val="28"/>
          <w:lang w:val="uk-UA" w:eastAsia="ru-RU"/>
        </w:rPr>
        <w:t>сті до фторхінолонів, індукованих</w:t>
      </w:r>
      <w:r w:rsidRPr="00F33B37">
        <w:rPr>
          <w:rFonts w:ascii="Times New Roman" w:eastAsia="Times New Roman" w:hAnsi="Times New Roman" w:cs="Times New Roman"/>
          <w:color w:val="000000" w:themeColor="text1"/>
          <w:sz w:val="28"/>
          <w:szCs w:val="28"/>
          <w:lang w:val="uk-UA" w:eastAsia="ru-RU"/>
        </w:rPr>
        <w:t xml:space="preserve"> плазмідами. Вперше плазмід-опосередкована резистентність до фторхінолонів була описана в штамі Klebsiella pneumoniae, виділеного в одному з регіонів США в 1998р</w:t>
      </w:r>
      <w:r w:rsidRPr="00F33B37">
        <w:rPr>
          <w:rFonts w:ascii="Times New Roman" w:eastAsia="Times New Roman" w:hAnsi="Times New Roman" w:cs="Times New Roman"/>
          <w:color w:val="000000" w:themeColor="text1"/>
          <w:sz w:val="28"/>
          <w:szCs w:val="28"/>
          <w:lang w:eastAsia="ru-RU"/>
        </w:rPr>
        <w:t xml:space="preserve"> </w:t>
      </w:r>
      <w:r w:rsidRPr="00123E38">
        <w:rPr>
          <w:rFonts w:eastAsia="Times New Roman" w:cstheme="minorHAnsi"/>
          <w:sz w:val="28"/>
          <w:szCs w:val="28"/>
        </w:rPr>
        <w:t>[</w:t>
      </w:r>
      <w:r>
        <w:rPr>
          <w:rFonts w:cstheme="minorHAnsi"/>
          <w:sz w:val="28"/>
          <w:szCs w:val="28"/>
          <w:lang w:val="uk-UA"/>
        </w:rPr>
        <w:t>70</w:t>
      </w:r>
      <w:r w:rsidRPr="00123E38">
        <w:rPr>
          <w:rFonts w:cstheme="minorHAnsi"/>
          <w:sz w:val="28"/>
          <w:szCs w:val="28"/>
        </w:rPr>
        <w:t>].</w:t>
      </w:r>
      <w:r>
        <w:rPr>
          <w:rFonts w:cstheme="minorHAnsi"/>
          <w:sz w:val="28"/>
          <w:szCs w:val="28"/>
          <w:lang w:val="uk-UA"/>
        </w:rPr>
        <w:t xml:space="preserve"> На теперішній</w:t>
      </w:r>
      <w:r w:rsidRPr="00F33B37">
        <w:rPr>
          <w:rFonts w:cstheme="minorHAnsi"/>
          <w:sz w:val="28"/>
          <w:szCs w:val="28"/>
          <w:lang w:val="uk-UA"/>
        </w:rPr>
        <w:t xml:space="preserve"> </w:t>
      </w:r>
      <w:r>
        <w:rPr>
          <w:rFonts w:cstheme="minorHAnsi"/>
          <w:sz w:val="28"/>
          <w:szCs w:val="28"/>
          <w:lang w:val="uk-UA"/>
        </w:rPr>
        <w:t>час відомо</w:t>
      </w:r>
      <w:r w:rsidRPr="00F33B37">
        <w:rPr>
          <w:rFonts w:cstheme="minorHAnsi"/>
          <w:sz w:val="28"/>
          <w:szCs w:val="28"/>
          <w:lang w:val="uk-UA"/>
        </w:rPr>
        <w:t xml:space="preserve"> кілька </w:t>
      </w:r>
      <w:r w:rsidRPr="00F33B37">
        <w:rPr>
          <w:rFonts w:cstheme="minorHAnsi"/>
          <w:sz w:val="28"/>
          <w:szCs w:val="28"/>
          <w:lang w:val="uk-UA"/>
        </w:rPr>
        <w:lastRenderedPageBreak/>
        <w:t>подібних механізмів, індукованих плазміда</w:t>
      </w:r>
      <w:r>
        <w:rPr>
          <w:rFonts w:cstheme="minorHAnsi"/>
          <w:sz w:val="28"/>
          <w:szCs w:val="28"/>
          <w:lang w:val="uk-UA"/>
        </w:rPr>
        <w:t>ми: протеїни Qnr, аміноглікозид- ацетилтрансфераза AAC(6 ')-Ib-cr і efflux pump QepA</w:t>
      </w:r>
      <w:r w:rsidRPr="00A95FA1">
        <w:rPr>
          <w:rFonts w:cstheme="minorHAnsi"/>
          <w:sz w:val="28"/>
          <w:szCs w:val="28"/>
          <w:lang w:val="uk-UA"/>
        </w:rPr>
        <w:t xml:space="preserve"> </w:t>
      </w:r>
      <w:r w:rsidRPr="00123E38">
        <w:rPr>
          <w:rFonts w:eastAsia="Times New Roman" w:cstheme="minorHAnsi"/>
          <w:sz w:val="28"/>
          <w:szCs w:val="28"/>
          <w:lang w:val="uk-UA"/>
        </w:rPr>
        <w:t>[</w:t>
      </w:r>
      <w:r>
        <w:rPr>
          <w:rFonts w:cstheme="minorHAnsi"/>
          <w:sz w:val="28"/>
          <w:szCs w:val="28"/>
          <w:lang w:val="uk-UA"/>
        </w:rPr>
        <w:t>94, 100, 115</w:t>
      </w:r>
      <w:r w:rsidRPr="00123E38">
        <w:rPr>
          <w:rFonts w:cstheme="minorHAnsi"/>
          <w:sz w:val="28"/>
          <w:szCs w:val="28"/>
          <w:lang w:val="uk-UA"/>
        </w:rPr>
        <w:t>]</w:t>
      </w:r>
      <w:r>
        <w:rPr>
          <w:rFonts w:cstheme="minorHAnsi"/>
          <w:sz w:val="28"/>
          <w:szCs w:val="28"/>
          <w:lang w:val="uk-UA"/>
        </w:rPr>
        <w:t>.</w:t>
      </w:r>
      <w:r w:rsidRPr="00123E38">
        <w:rPr>
          <w:rFonts w:cstheme="minorHAnsi"/>
          <w:sz w:val="28"/>
          <w:szCs w:val="28"/>
          <w:lang w:val="uk-UA"/>
        </w:rPr>
        <w:t xml:space="preserve"> </w:t>
      </w:r>
    </w:p>
    <w:p w:rsidR="00CE6207" w:rsidRDefault="00CE6207" w:rsidP="00CE6207">
      <w:pPr>
        <w:spacing w:after="0" w:line="360" w:lineRule="auto"/>
        <w:ind w:firstLine="709"/>
        <w:jc w:val="both"/>
        <w:rPr>
          <w:rFonts w:cstheme="minorHAnsi"/>
          <w:sz w:val="28"/>
          <w:szCs w:val="28"/>
          <w:lang w:val="uk-UA"/>
        </w:rPr>
      </w:pPr>
      <w:r w:rsidRPr="000F1277">
        <w:rPr>
          <w:rFonts w:eastAsia="Times New Roman" w:cstheme="minorHAnsi"/>
          <w:color w:val="000000" w:themeColor="text1"/>
          <w:sz w:val="28"/>
          <w:szCs w:val="28"/>
          <w:lang w:val="uk-UA" w:eastAsia="ru-RU"/>
        </w:rPr>
        <w:t>Вперше плазм</w:t>
      </w:r>
      <w:r>
        <w:rPr>
          <w:rFonts w:eastAsia="Times New Roman" w:cstheme="minorHAnsi"/>
          <w:color w:val="000000" w:themeColor="text1"/>
          <w:sz w:val="28"/>
          <w:szCs w:val="28"/>
          <w:lang w:val="uk-UA" w:eastAsia="ru-RU"/>
        </w:rPr>
        <w:t>і</w:t>
      </w:r>
      <w:r w:rsidRPr="000F1277">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індукована</w:t>
      </w:r>
      <w:r w:rsidRPr="000F1277">
        <w:rPr>
          <w:rFonts w:eastAsia="Times New Roman" w:cstheme="minorHAnsi"/>
          <w:color w:val="000000" w:themeColor="text1"/>
          <w:sz w:val="28"/>
          <w:szCs w:val="28"/>
          <w:lang w:val="uk-UA" w:eastAsia="ru-RU"/>
        </w:rPr>
        <w:t xml:space="preserve"> резистентність до фторхінолонів була описана в 1998 г в мульти-резистентн</w:t>
      </w:r>
      <w:r>
        <w:rPr>
          <w:rFonts w:eastAsia="Times New Roman" w:cstheme="minorHAnsi"/>
          <w:color w:val="000000" w:themeColor="text1"/>
          <w:sz w:val="28"/>
          <w:szCs w:val="28"/>
          <w:lang w:val="uk-UA" w:eastAsia="ru-RU"/>
        </w:rPr>
        <w:t>ому</w:t>
      </w:r>
      <w:r w:rsidRPr="000F1277">
        <w:rPr>
          <w:rFonts w:eastAsia="Times New Roman" w:cstheme="minorHAnsi"/>
          <w:color w:val="000000" w:themeColor="text1"/>
          <w:sz w:val="28"/>
          <w:szCs w:val="28"/>
          <w:lang w:val="uk-UA" w:eastAsia="ru-RU"/>
        </w:rPr>
        <w:t xml:space="preserve"> штам</w:t>
      </w:r>
      <w:r>
        <w:rPr>
          <w:rFonts w:eastAsia="Times New Roman" w:cstheme="minorHAnsi"/>
          <w:color w:val="000000" w:themeColor="text1"/>
          <w:sz w:val="28"/>
          <w:szCs w:val="28"/>
          <w:lang w:val="uk-UA" w:eastAsia="ru-RU"/>
        </w:rPr>
        <w:t>і</w:t>
      </w:r>
      <w:r w:rsidRPr="000F1277">
        <w:rPr>
          <w:rFonts w:eastAsia="Times New Roman" w:cstheme="minorHAnsi"/>
          <w:color w:val="000000" w:themeColor="text1"/>
          <w:sz w:val="28"/>
          <w:szCs w:val="28"/>
          <w:lang w:val="uk-UA" w:eastAsia="ru-RU"/>
        </w:rPr>
        <w:t xml:space="preserve"> Klebsiella pneumoniae, виділеному із сечі пацієнта в університеті Алабама в Бірмінгемі, який мав здатність передавати невисокі рівні резистентності до хінолонів Escherichia coli та іншим Грам-негативним бактеріям. Зазначений плазм</w:t>
      </w:r>
      <w:r>
        <w:rPr>
          <w:rFonts w:eastAsia="Times New Roman" w:cstheme="minorHAnsi"/>
          <w:color w:val="000000" w:themeColor="text1"/>
          <w:sz w:val="28"/>
          <w:szCs w:val="28"/>
          <w:lang w:val="uk-UA" w:eastAsia="ru-RU"/>
        </w:rPr>
        <w:t>і</w:t>
      </w:r>
      <w:r w:rsidRPr="000F1277">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індукований</w:t>
      </w:r>
      <w:r w:rsidRPr="000F1277">
        <w:rPr>
          <w:rFonts w:eastAsia="Times New Roman" w:cstheme="minorHAnsi"/>
          <w:color w:val="000000" w:themeColor="text1"/>
          <w:sz w:val="28"/>
          <w:szCs w:val="28"/>
          <w:lang w:val="uk-UA" w:eastAsia="ru-RU"/>
        </w:rPr>
        <w:t xml:space="preserve"> ген резистентності був названий «qnr». Цей ген </w:t>
      </w:r>
      <w:r>
        <w:rPr>
          <w:rFonts w:eastAsia="Times New Roman" w:cstheme="minorHAnsi"/>
          <w:color w:val="000000" w:themeColor="text1"/>
          <w:sz w:val="28"/>
          <w:szCs w:val="28"/>
          <w:lang w:val="uk-UA" w:eastAsia="ru-RU"/>
        </w:rPr>
        <w:t>являє собою</w:t>
      </w:r>
      <w:r w:rsidRPr="000F1277">
        <w:rPr>
          <w:rFonts w:eastAsia="Times New Roman" w:cstheme="minorHAnsi"/>
          <w:color w:val="000000" w:themeColor="text1"/>
          <w:sz w:val="28"/>
          <w:szCs w:val="28"/>
          <w:lang w:val="uk-UA" w:eastAsia="ru-RU"/>
        </w:rPr>
        <w:t xml:space="preserve"> 218 аміно-кислотни</w:t>
      </w:r>
      <w:r>
        <w:rPr>
          <w:rFonts w:eastAsia="Times New Roman" w:cstheme="minorHAnsi"/>
          <w:color w:val="000000" w:themeColor="text1"/>
          <w:sz w:val="28"/>
          <w:szCs w:val="28"/>
          <w:lang w:val="uk-UA" w:eastAsia="ru-RU"/>
        </w:rPr>
        <w:t>й</w:t>
      </w:r>
      <w:r w:rsidRPr="000F1277">
        <w:rPr>
          <w:rFonts w:eastAsia="Times New Roman" w:cstheme="minorHAnsi"/>
          <w:color w:val="000000" w:themeColor="text1"/>
          <w:sz w:val="28"/>
          <w:szCs w:val="28"/>
          <w:lang w:val="uk-UA" w:eastAsia="ru-RU"/>
        </w:rPr>
        <w:t xml:space="preserve"> протеїн Qnr (пізніше названий QnrА), який захищає ДНК гіразу (і можливо топоїзомеразу IV) від інгібуючої активності фторхінолонів. QnrА належить до сімейства протеїнів з пентапептіднимі повторами (pentapeptide-repeat family), яке в дан</w:t>
      </w:r>
      <w:r>
        <w:rPr>
          <w:rFonts w:eastAsia="Times New Roman" w:cstheme="minorHAnsi"/>
          <w:color w:val="000000" w:themeColor="text1"/>
          <w:sz w:val="28"/>
          <w:szCs w:val="28"/>
          <w:lang w:val="uk-UA" w:eastAsia="ru-RU"/>
        </w:rPr>
        <w:t xml:space="preserve">ий час налічує більше 90 членів </w:t>
      </w:r>
      <w:r w:rsidRPr="000F1277">
        <w:rPr>
          <w:rFonts w:eastAsia="Times New Roman" w:cstheme="minorHAnsi"/>
          <w:sz w:val="28"/>
          <w:szCs w:val="28"/>
          <w:lang w:val="uk-UA"/>
        </w:rPr>
        <w:t>[</w:t>
      </w:r>
      <w:r>
        <w:rPr>
          <w:rFonts w:cstheme="minorHAnsi"/>
          <w:sz w:val="28"/>
          <w:szCs w:val="28"/>
          <w:lang w:val="uk-UA"/>
        </w:rPr>
        <w:t>22, 70</w:t>
      </w:r>
      <w:r w:rsidRPr="00123E38">
        <w:rPr>
          <w:rFonts w:cstheme="minorHAnsi"/>
          <w:sz w:val="28"/>
          <w:szCs w:val="28"/>
          <w:lang w:val="uk-UA"/>
        </w:rPr>
        <w:t xml:space="preserve">]. </w:t>
      </w:r>
      <w:r w:rsidRPr="00123E38">
        <w:rPr>
          <w:rFonts w:eastAsia="Times New Roman" w:cstheme="minorHAnsi"/>
          <w:sz w:val="28"/>
          <w:szCs w:val="28"/>
          <w:lang w:val="uk-UA"/>
        </w:rPr>
        <w:t xml:space="preserve">В последующие годы были описаны похожие плазмид-опосредованные детерминанты </w:t>
      </w:r>
      <w:r w:rsidRPr="003A69FD">
        <w:rPr>
          <w:rFonts w:eastAsia="Times New Roman" w:cstheme="minorHAnsi"/>
          <w:sz w:val="28"/>
          <w:szCs w:val="28"/>
          <w:lang w:val="en-US"/>
        </w:rPr>
        <w:t>Qnr</w:t>
      </w:r>
      <w:r w:rsidRPr="00123E38">
        <w:rPr>
          <w:rFonts w:eastAsia="Times New Roman" w:cstheme="minorHAnsi"/>
          <w:sz w:val="28"/>
          <w:szCs w:val="28"/>
          <w:lang w:val="uk-UA"/>
        </w:rPr>
        <w:t xml:space="preserve"> в штаммах семейства </w:t>
      </w:r>
      <w:r w:rsidRPr="003A69FD">
        <w:rPr>
          <w:rFonts w:eastAsia="Times New Roman" w:cstheme="minorHAnsi"/>
          <w:sz w:val="28"/>
          <w:szCs w:val="28"/>
          <w:lang w:val="en-US"/>
        </w:rPr>
        <w:t>Enterobacteriaceae</w:t>
      </w:r>
      <w:r w:rsidRPr="00123E38">
        <w:rPr>
          <w:rFonts w:eastAsia="Times New Roman" w:cstheme="minorHAnsi"/>
          <w:sz w:val="28"/>
          <w:szCs w:val="28"/>
          <w:lang w:val="uk-UA"/>
        </w:rPr>
        <w:t xml:space="preserve"> (</w:t>
      </w:r>
      <w:r w:rsidRPr="00E67539">
        <w:rPr>
          <w:rFonts w:cstheme="minorHAnsi"/>
          <w:sz w:val="28"/>
          <w:szCs w:val="28"/>
          <w:lang w:val="en-US"/>
        </w:rPr>
        <w:t>QnrB</w:t>
      </w:r>
      <w:r w:rsidRPr="00123E38">
        <w:rPr>
          <w:rFonts w:cstheme="minorHAnsi"/>
          <w:sz w:val="28"/>
          <w:szCs w:val="28"/>
          <w:lang w:val="uk-UA"/>
        </w:rPr>
        <w:t xml:space="preserve">, </w:t>
      </w:r>
      <w:r w:rsidRPr="00E67539">
        <w:rPr>
          <w:rFonts w:cstheme="minorHAnsi"/>
          <w:sz w:val="28"/>
          <w:szCs w:val="28"/>
          <w:lang w:val="en-US"/>
        </w:rPr>
        <w:t>QnrC</w:t>
      </w:r>
      <w:r w:rsidRPr="00123E38">
        <w:rPr>
          <w:rFonts w:cstheme="minorHAnsi"/>
          <w:sz w:val="28"/>
          <w:szCs w:val="28"/>
          <w:lang w:val="uk-UA"/>
        </w:rPr>
        <w:t xml:space="preserve">, </w:t>
      </w:r>
      <w:r w:rsidRPr="00E67539">
        <w:rPr>
          <w:rFonts w:cstheme="minorHAnsi"/>
          <w:sz w:val="28"/>
          <w:szCs w:val="28"/>
          <w:lang w:val="en-US"/>
        </w:rPr>
        <w:t>QnrD</w:t>
      </w:r>
      <w:r w:rsidRPr="00123E38">
        <w:rPr>
          <w:rFonts w:cstheme="minorHAnsi"/>
          <w:sz w:val="28"/>
          <w:szCs w:val="28"/>
          <w:lang w:val="uk-UA"/>
        </w:rPr>
        <w:t xml:space="preserve">, </w:t>
      </w:r>
      <w:r w:rsidRPr="00E67539">
        <w:rPr>
          <w:rFonts w:cstheme="minorHAnsi"/>
          <w:sz w:val="28"/>
          <w:szCs w:val="28"/>
          <w:lang w:val="en-US"/>
        </w:rPr>
        <w:t>QnrS</w:t>
      </w:r>
      <w:r w:rsidRPr="00123E38">
        <w:rPr>
          <w:rFonts w:eastAsia="Times New Roman" w:cstheme="minorHAnsi"/>
          <w:sz w:val="28"/>
          <w:szCs w:val="28"/>
          <w:lang w:val="uk-UA"/>
        </w:rPr>
        <w:t>) [</w:t>
      </w:r>
      <w:r>
        <w:rPr>
          <w:rFonts w:cstheme="minorHAnsi"/>
          <w:sz w:val="28"/>
          <w:szCs w:val="28"/>
          <w:lang w:val="uk-UA"/>
        </w:rPr>
        <w:t>21, 58</w:t>
      </w:r>
      <w:r w:rsidRPr="00123E38">
        <w:rPr>
          <w:rFonts w:eastAsia="Times New Roman" w:cstheme="minorHAnsi"/>
          <w:sz w:val="28"/>
          <w:szCs w:val="28"/>
          <w:lang w:val="uk-UA"/>
        </w:rPr>
        <w:t>]</w:t>
      </w:r>
      <w:r w:rsidRPr="00123E38">
        <w:rPr>
          <w:rFonts w:eastAsia="Times New Roman" w:cstheme="minorHAnsi"/>
          <w:sz w:val="28"/>
          <w:szCs w:val="28"/>
        </w:rPr>
        <w:t>.</w:t>
      </w:r>
      <w:r>
        <w:rPr>
          <w:rFonts w:eastAsia="Times New Roman" w:cstheme="minorHAnsi"/>
          <w:sz w:val="28"/>
          <w:szCs w:val="28"/>
          <w:lang w:val="uk-UA"/>
        </w:rPr>
        <w:t xml:space="preserve"> </w:t>
      </w:r>
      <w:r w:rsidRPr="000F1277">
        <w:rPr>
          <w:rFonts w:eastAsia="Times New Roman" w:cstheme="minorHAnsi"/>
          <w:sz w:val="28"/>
          <w:szCs w:val="28"/>
          <w:lang w:val="uk-UA"/>
        </w:rPr>
        <w:t>Надалі вони були виявлені в усьому світі і майже завжди асоціювалися з продукцією β-лактамаз розширеного спектру</w:t>
      </w:r>
      <w:r>
        <w:rPr>
          <w:rFonts w:eastAsia="Times New Roman" w:cstheme="minorHAnsi"/>
          <w:sz w:val="28"/>
          <w:szCs w:val="28"/>
          <w:lang w:val="uk-UA"/>
        </w:rPr>
        <w:t xml:space="preserve"> </w:t>
      </w:r>
      <w:r w:rsidRPr="000F1277">
        <w:rPr>
          <w:rFonts w:eastAsia="Times New Roman" w:cstheme="minorHAnsi"/>
          <w:sz w:val="28"/>
          <w:szCs w:val="28"/>
          <w:lang w:val="uk-UA"/>
        </w:rPr>
        <w:t>[</w:t>
      </w:r>
      <w:r>
        <w:rPr>
          <w:rFonts w:cstheme="minorHAnsi"/>
          <w:sz w:val="28"/>
          <w:szCs w:val="28"/>
          <w:lang w:val="uk-UA"/>
        </w:rPr>
        <w:t>92, 93, 99</w:t>
      </w:r>
      <w:r w:rsidRPr="00123E38">
        <w:rPr>
          <w:rFonts w:cstheme="minorHAnsi"/>
          <w:sz w:val="28"/>
          <w:szCs w:val="28"/>
          <w:lang w:val="uk-UA"/>
        </w:rPr>
        <w:t>].</w:t>
      </w:r>
      <w:r>
        <w:rPr>
          <w:rFonts w:cstheme="minorHAnsi"/>
          <w:sz w:val="28"/>
          <w:szCs w:val="28"/>
          <w:lang w:val="uk-UA"/>
        </w:rPr>
        <w:t xml:space="preserve"> </w:t>
      </w:r>
      <w:r w:rsidRPr="000F1277">
        <w:rPr>
          <w:rFonts w:cstheme="minorHAnsi"/>
          <w:sz w:val="28"/>
          <w:szCs w:val="28"/>
          <w:lang w:val="uk-UA"/>
        </w:rPr>
        <w:t>При взаємодії Qnr-детермінант з топоізомеразами, ДНК і фторхінолонами, останні втрачають здатність зв'язуватися зі своєю мішенню.</w:t>
      </w:r>
      <w:r>
        <w:rPr>
          <w:rFonts w:cstheme="minorHAnsi"/>
          <w:sz w:val="28"/>
          <w:szCs w:val="28"/>
          <w:lang w:val="uk-UA"/>
        </w:rPr>
        <w:t xml:space="preserve"> </w:t>
      </w:r>
      <w:r w:rsidRPr="00DF735F">
        <w:rPr>
          <w:rFonts w:eastAsia="Times New Roman"/>
          <w:sz w:val="28"/>
          <w:szCs w:val="28"/>
          <w:lang w:val="uk-UA"/>
        </w:rPr>
        <w:t>[</w:t>
      </w:r>
      <w:r>
        <w:rPr>
          <w:rFonts w:cstheme="minorHAnsi"/>
          <w:sz w:val="28"/>
          <w:szCs w:val="28"/>
          <w:lang w:val="uk-UA"/>
        </w:rPr>
        <w:t>81</w:t>
      </w:r>
      <w:r w:rsidRPr="00DF735F">
        <w:rPr>
          <w:rFonts w:cstheme="minorHAnsi"/>
          <w:sz w:val="28"/>
          <w:szCs w:val="28"/>
          <w:lang w:val="uk-UA"/>
        </w:rPr>
        <w:t>].</w:t>
      </w:r>
      <w:r>
        <w:rPr>
          <w:rFonts w:cstheme="minorHAnsi"/>
          <w:sz w:val="28"/>
          <w:szCs w:val="28"/>
          <w:lang w:val="uk-UA"/>
        </w:rPr>
        <w:t xml:space="preserve"> </w:t>
      </w:r>
      <w:r w:rsidRPr="002C558C">
        <w:rPr>
          <w:rFonts w:cstheme="minorHAnsi"/>
          <w:sz w:val="28"/>
          <w:szCs w:val="28"/>
          <w:lang w:val="uk-UA"/>
        </w:rPr>
        <w:t>Протеїни Qnt викликають стійкість до налідиксової кислоти і знижену чутливість до фторхінолонів</w:t>
      </w:r>
      <w:r>
        <w:rPr>
          <w:rFonts w:cstheme="minorHAnsi"/>
          <w:sz w:val="28"/>
          <w:szCs w:val="28"/>
          <w:lang w:val="uk-UA"/>
        </w:rPr>
        <w:t xml:space="preserve"> </w:t>
      </w:r>
      <w:r w:rsidRPr="00DF735F">
        <w:rPr>
          <w:rFonts w:eastAsia="Times New Roman" w:cstheme="minorHAnsi"/>
          <w:sz w:val="28"/>
          <w:szCs w:val="28"/>
          <w:lang w:val="uk-UA"/>
        </w:rPr>
        <w:t>[</w:t>
      </w:r>
      <w:r>
        <w:rPr>
          <w:rFonts w:cstheme="minorHAnsi"/>
          <w:sz w:val="28"/>
          <w:szCs w:val="28"/>
          <w:lang w:val="uk-UA"/>
        </w:rPr>
        <w:t>85</w:t>
      </w:r>
      <w:r w:rsidRPr="00DF735F">
        <w:rPr>
          <w:rFonts w:cstheme="minorHAnsi"/>
          <w:sz w:val="28"/>
          <w:szCs w:val="28"/>
          <w:lang w:val="uk-UA"/>
        </w:rPr>
        <w:t>].</w:t>
      </w:r>
    </w:p>
    <w:p w:rsidR="00CE6207" w:rsidRDefault="00CE6207" w:rsidP="00CE6207">
      <w:pPr>
        <w:spacing w:after="0" w:line="360" w:lineRule="auto"/>
        <w:ind w:firstLine="709"/>
        <w:jc w:val="both"/>
        <w:rPr>
          <w:rFonts w:cstheme="minorHAnsi"/>
          <w:sz w:val="28"/>
          <w:szCs w:val="28"/>
          <w:lang w:val="uk-UA"/>
        </w:rPr>
      </w:pPr>
      <w:r w:rsidRPr="002C558C">
        <w:rPr>
          <w:rFonts w:eastAsia="Times New Roman" w:cstheme="minorHAnsi"/>
          <w:color w:val="000000" w:themeColor="text1"/>
          <w:sz w:val="28"/>
          <w:szCs w:val="28"/>
          <w:lang w:val="uk-UA" w:eastAsia="ru-RU"/>
        </w:rPr>
        <w:t>У 2005 році був описаний другий плазм</w:t>
      </w:r>
      <w:r>
        <w:rPr>
          <w:rFonts w:eastAsia="Times New Roman" w:cstheme="minorHAnsi"/>
          <w:color w:val="000000" w:themeColor="text1"/>
          <w:sz w:val="28"/>
          <w:szCs w:val="28"/>
          <w:lang w:val="uk-UA" w:eastAsia="ru-RU"/>
        </w:rPr>
        <w:t>і</w:t>
      </w:r>
      <w:r w:rsidRPr="002C558C">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індукований</w:t>
      </w:r>
      <w:r w:rsidRPr="002C558C">
        <w:rPr>
          <w:rFonts w:eastAsia="Times New Roman" w:cstheme="minorHAnsi"/>
          <w:color w:val="000000" w:themeColor="text1"/>
          <w:sz w:val="28"/>
          <w:szCs w:val="28"/>
          <w:lang w:val="uk-UA" w:eastAsia="ru-RU"/>
        </w:rPr>
        <w:t xml:space="preserve"> механізм резистентності до фторхінолонів - аміноглікозид-ацетилтрансфераза (AAC (6 ') - Ib-cr). Цей протеїн є варіантом ферменту 6'acetyl трансферази, який відомий своєю здатністю модифікувати хімічну структуру аміноглікозидів</w:t>
      </w:r>
      <w:r>
        <w:rPr>
          <w:rFonts w:eastAsia="Times New Roman" w:cstheme="minorHAnsi"/>
          <w:color w:val="000000" w:themeColor="text1"/>
          <w:sz w:val="28"/>
          <w:szCs w:val="28"/>
          <w:lang w:val="uk-UA" w:eastAsia="ru-RU"/>
        </w:rPr>
        <w:t xml:space="preserve"> </w:t>
      </w:r>
      <w:r w:rsidRPr="00DF735F">
        <w:rPr>
          <w:rFonts w:eastAsia="Times New Roman" w:cstheme="minorHAnsi"/>
          <w:sz w:val="28"/>
          <w:szCs w:val="28"/>
          <w:lang w:val="uk-UA"/>
        </w:rPr>
        <w:t>[</w:t>
      </w:r>
      <w:r>
        <w:rPr>
          <w:sz w:val="28"/>
          <w:szCs w:val="28"/>
          <w:lang w:val="uk-UA"/>
        </w:rPr>
        <w:t>98</w:t>
      </w:r>
      <w:r w:rsidRPr="00DF735F">
        <w:rPr>
          <w:rFonts w:cstheme="minorHAnsi"/>
          <w:sz w:val="28"/>
          <w:szCs w:val="28"/>
          <w:lang w:val="uk-UA"/>
        </w:rPr>
        <w:t>]</w:t>
      </w:r>
      <w:r w:rsidRPr="00DF735F">
        <w:rPr>
          <w:sz w:val="28"/>
          <w:szCs w:val="28"/>
          <w:lang w:val="uk-UA"/>
        </w:rPr>
        <w:t>.</w:t>
      </w:r>
      <w:r>
        <w:rPr>
          <w:sz w:val="28"/>
          <w:szCs w:val="28"/>
          <w:lang w:val="uk-UA"/>
        </w:rPr>
        <w:t xml:space="preserve"> </w:t>
      </w:r>
      <w:r w:rsidRPr="002C558C">
        <w:rPr>
          <w:sz w:val="28"/>
          <w:szCs w:val="28"/>
          <w:lang w:val="uk-UA"/>
        </w:rPr>
        <w:t xml:space="preserve">Аміноглікозид-ацетилтрансфераза (AAC (6 ') - Ib-cr) являє собою біфункціональний </w:t>
      </w:r>
      <w:r>
        <w:rPr>
          <w:sz w:val="28"/>
          <w:szCs w:val="28"/>
          <w:lang w:val="uk-UA"/>
        </w:rPr>
        <w:t>як аміноглікозід</w:t>
      </w:r>
      <w:r w:rsidRPr="002C558C">
        <w:rPr>
          <w:sz w:val="28"/>
          <w:szCs w:val="28"/>
          <w:lang w:val="uk-UA"/>
        </w:rPr>
        <w:t xml:space="preserve"> </w:t>
      </w:r>
      <w:r>
        <w:rPr>
          <w:sz w:val="28"/>
          <w:szCs w:val="28"/>
          <w:lang w:val="uk-UA"/>
        </w:rPr>
        <w:t xml:space="preserve">так </w:t>
      </w:r>
      <w:r w:rsidRPr="002C558C">
        <w:rPr>
          <w:sz w:val="28"/>
          <w:szCs w:val="28"/>
          <w:lang w:val="uk-UA"/>
        </w:rPr>
        <w:t>і фторхінолон- активний варіант, здатний каталізувати ацет</w:t>
      </w:r>
      <w:r>
        <w:rPr>
          <w:sz w:val="28"/>
          <w:szCs w:val="28"/>
          <w:lang w:val="uk-UA"/>
        </w:rPr>
        <w:t xml:space="preserve">елирование обох класів препаратів </w:t>
      </w:r>
      <w:r w:rsidRPr="00DF735F">
        <w:rPr>
          <w:rFonts w:cstheme="minorHAnsi"/>
          <w:sz w:val="28"/>
          <w:szCs w:val="28"/>
          <w:lang w:val="uk-UA"/>
        </w:rPr>
        <w:t>[</w:t>
      </w:r>
      <w:r>
        <w:rPr>
          <w:rFonts w:cstheme="minorHAnsi"/>
          <w:sz w:val="28"/>
          <w:szCs w:val="28"/>
          <w:lang w:val="uk-UA"/>
        </w:rPr>
        <w:t>127</w:t>
      </w:r>
      <w:r w:rsidRPr="00DF735F">
        <w:rPr>
          <w:rFonts w:cstheme="minorHAnsi"/>
          <w:sz w:val="28"/>
          <w:szCs w:val="28"/>
          <w:lang w:val="uk-UA"/>
        </w:rPr>
        <w:t>].</w:t>
      </w:r>
      <w:r>
        <w:rPr>
          <w:rFonts w:cstheme="minorHAnsi"/>
          <w:sz w:val="28"/>
          <w:szCs w:val="28"/>
          <w:lang w:val="uk-UA"/>
        </w:rPr>
        <w:t xml:space="preserve"> </w:t>
      </w:r>
      <w:r w:rsidRPr="002C558C">
        <w:rPr>
          <w:rFonts w:cstheme="minorHAnsi"/>
          <w:sz w:val="28"/>
          <w:szCs w:val="28"/>
          <w:lang w:val="uk-UA"/>
        </w:rPr>
        <w:t>Цей варіант ензиму набув здатності ацет</w:t>
      </w:r>
      <w:r>
        <w:rPr>
          <w:rFonts w:cstheme="minorHAnsi"/>
          <w:sz w:val="28"/>
          <w:szCs w:val="28"/>
          <w:lang w:val="uk-UA"/>
        </w:rPr>
        <w:t>е</w:t>
      </w:r>
      <w:r w:rsidRPr="002C558C">
        <w:rPr>
          <w:rFonts w:cstheme="minorHAnsi"/>
          <w:sz w:val="28"/>
          <w:szCs w:val="28"/>
          <w:lang w:val="uk-UA"/>
        </w:rPr>
        <w:t>л</w:t>
      </w:r>
      <w:r>
        <w:rPr>
          <w:rFonts w:cstheme="minorHAnsi"/>
          <w:sz w:val="28"/>
          <w:szCs w:val="28"/>
          <w:lang w:val="uk-UA"/>
        </w:rPr>
        <w:t>іру</w:t>
      </w:r>
      <w:r w:rsidRPr="002C558C">
        <w:rPr>
          <w:rFonts w:cstheme="minorHAnsi"/>
          <w:sz w:val="28"/>
          <w:szCs w:val="28"/>
          <w:lang w:val="uk-UA"/>
        </w:rPr>
        <w:t>ва</w:t>
      </w:r>
      <w:r>
        <w:rPr>
          <w:rFonts w:cstheme="minorHAnsi"/>
          <w:sz w:val="28"/>
          <w:szCs w:val="28"/>
          <w:lang w:val="uk-UA"/>
        </w:rPr>
        <w:t>ти</w:t>
      </w:r>
      <w:r w:rsidRPr="002C558C">
        <w:rPr>
          <w:rFonts w:cstheme="minorHAnsi"/>
          <w:sz w:val="28"/>
          <w:szCs w:val="28"/>
          <w:lang w:val="uk-UA"/>
        </w:rPr>
        <w:t xml:space="preserve"> ципрофлоксацин і норфлоксацин, в результаті чого активність ципрофлоксацину знижується в 4 рази. Моксифлоксацин і левофлоксацин </w:t>
      </w:r>
      <w:r>
        <w:rPr>
          <w:rFonts w:cstheme="minorHAnsi"/>
          <w:sz w:val="28"/>
          <w:szCs w:val="28"/>
          <w:lang w:val="uk-UA"/>
        </w:rPr>
        <w:t>не</w:t>
      </w:r>
      <w:r w:rsidRPr="002C558C">
        <w:rPr>
          <w:rFonts w:cstheme="minorHAnsi"/>
          <w:sz w:val="28"/>
          <w:szCs w:val="28"/>
          <w:lang w:val="uk-UA"/>
        </w:rPr>
        <w:t xml:space="preserve"> ацетилю</w:t>
      </w:r>
      <w:r>
        <w:rPr>
          <w:rFonts w:cstheme="minorHAnsi"/>
          <w:sz w:val="28"/>
          <w:szCs w:val="28"/>
          <w:lang w:val="uk-UA"/>
        </w:rPr>
        <w:t>ю</w:t>
      </w:r>
      <w:r w:rsidRPr="002C558C">
        <w:rPr>
          <w:rFonts w:cstheme="minorHAnsi"/>
          <w:sz w:val="28"/>
          <w:szCs w:val="28"/>
          <w:lang w:val="uk-UA"/>
        </w:rPr>
        <w:t xml:space="preserve">ться внаслідок </w:t>
      </w:r>
      <w:r w:rsidRPr="002C558C">
        <w:rPr>
          <w:rFonts w:cstheme="minorHAnsi"/>
          <w:sz w:val="28"/>
          <w:szCs w:val="28"/>
          <w:lang w:val="uk-UA"/>
        </w:rPr>
        <w:lastRenderedPageBreak/>
        <w:t>відсутності piperazinyl substituent в позиції С-7</w:t>
      </w:r>
      <w:r>
        <w:rPr>
          <w:rFonts w:cstheme="minorHAnsi"/>
          <w:sz w:val="28"/>
          <w:szCs w:val="28"/>
          <w:lang w:val="uk-UA"/>
        </w:rPr>
        <w:t xml:space="preserve"> </w:t>
      </w:r>
      <w:r w:rsidRPr="00DF735F">
        <w:rPr>
          <w:rFonts w:cstheme="minorHAnsi"/>
          <w:sz w:val="28"/>
          <w:szCs w:val="28"/>
          <w:lang w:val="uk-UA"/>
        </w:rPr>
        <w:t>[</w:t>
      </w:r>
      <w:r>
        <w:rPr>
          <w:rFonts w:cstheme="minorHAnsi"/>
          <w:sz w:val="28"/>
          <w:szCs w:val="28"/>
          <w:lang w:val="uk-UA"/>
        </w:rPr>
        <w:t>44, 102</w:t>
      </w:r>
      <w:r w:rsidRPr="00DF735F">
        <w:rPr>
          <w:rFonts w:cstheme="minorHAnsi"/>
          <w:sz w:val="28"/>
          <w:szCs w:val="28"/>
          <w:lang w:val="uk-UA"/>
        </w:rPr>
        <w:t>].</w:t>
      </w:r>
      <w:r>
        <w:rPr>
          <w:rFonts w:cstheme="minorHAnsi"/>
          <w:sz w:val="28"/>
          <w:szCs w:val="28"/>
          <w:lang w:val="uk-UA"/>
        </w:rPr>
        <w:t xml:space="preserve"> </w:t>
      </w:r>
      <w:r w:rsidRPr="002C558C">
        <w:rPr>
          <w:rFonts w:cstheme="minorHAnsi"/>
          <w:sz w:val="28"/>
          <w:szCs w:val="28"/>
          <w:lang w:val="uk-UA"/>
        </w:rPr>
        <w:t>Протеїн AAC (6 ') - Ib-cr має більш широке поширення, ніж детермінанти Qnr. Продукція генів QNR і AAC (6) -Ib-cr асоцію</w:t>
      </w:r>
      <w:r>
        <w:rPr>
          <w:rFonts w:cstheme="minorHAnsi"/>
          <w:sz w:val="28"/>
          <w:szCs w:val="28"/>
          <w:lang w:val="uk-UA"/>
        </w:rPr>
        <w:t>ю</w:t>
      </w:r>
      <w:r w:rsidRPr="002C558C">
        <w:rPr>
          <w:rFonts w:cstheme="minorHAnsi"/>
          <w:sz w:val="28"/>
          <w:szCs w:val="28"/>
          <w:lang w:val="uk-UA"/>
        </w:rPr>
        <w:t>ться з продукцією βЛРС, таким чином, представляючи другий механізм ко-селекції лікарської стійкості в результаті впливу хімічно не родинних агентів</w:t>
      </w:r>
      <w:r>
        <w:rPr>
          <w:rFonts w:cstheme="minorHAnsi"/>
          <w:sz w:val="28"/>
          <w:szCs w:val="28"/>
          <w:lang w:val="uk-UA"/>
        </w:rPr>
        <w:t xml:space="preserve"> </w:t>
      </w:r>
      <w:r w:rsidRPr="00DF735F">
        <w:rPr>
          <w:rFonts w:cstheme="minorHAnsi"/>
          <w:bCs/>
          <w:sz w:val="28"/>
          <w:szCs w:val="28"/>
          <w:lang w:val="uk-UA"/>
        </w:rPr>
        <w:t>[</w:t>
      </w:r>
      <w:r>
        <w:rPr>
          <w:rFonts w:cstheme="minorHAnsi"/>
          <w:bCs/>
          <w:sz w:val="28"/>
          <w:szCs w:val="28"/>
          <w:lang w:val="uk-UA"/>
        </w:rPr>
        <w:t>33</w:t>
      </w:r>
      <w:r w:rsidRPr="00DF735F">
        <w:rPr>
          <w:rFonts w:cstheme="minorHAnsi"/>
          <w:sz w:val="28"/>
          <w:szCs w:val="28"/>
          <w:lang w:val="uk-UA"/>
        </w:rPr>
        <w:t>].</w:t>
      </w:r>
    </w:p>
    <w:p w:rsidR="00CE6207" w:rsidRDefault="00CE6207" w:rsidP="00CE6207">
      <w:pPr>
        <w:spacing w:after="0" w:line="360" w:lineRule="auto"/>
        <w:ind w:firstLine="709"/>
        <w:jc w:val="both"/>
        <w:rPr>
          <w:rFonts w:cstheme="minorHAnsi"/>
          <w:sz w:val="28"/>
          <w:szCs w:val="28"/>
          <w:lang w:val="uk-UA"/>
        </w:rPr>
      </w:pPr>
      <w:r>
        <w:rPr>
          <w:rFonts w:eastAsia="Times New Roman" w:cstheme="minorHAnsi"/>
          <w:color w:val="000000" w:themeColor="text1"/>
          <w:sz w:val="28"/>
          <w:szCs w:val="28"/>
          <w:lang w:val="uk-UA" w:eastAsia="ru-RU"/>
        </w:rPr>
        <w:t>Нещодавно</w:t>
      </w:r>
      <w:r w:rsidRPr="002C558C">
        <w:rPr>
          <w:rFonts w:eastAsia="Times New Roman" w:cstheme="minorHAnsi"/>
          <w:color w:val="000000" w:themeColor="text1"/>
          <w:sz w:val="28"/>
          <w:szCs w:val="28"/>
          <w:lang w:val="uk-UA" w:eastAsia="ru-RU"/>
        </w:rPr>
        <w:t xml:space="preserve"> був відкритий третій механізм плазм</w:t>
      </w:r>
      <w:r>
        <w:rPr>
          <w:rFonts w:eastAsia="Times New Roman" w:cstheme="minorHAnsi"/>
          <w:color w:val="000000" w:themeColor="text1"/>
          <w:sz w:val="28"/>
          <w:szCs w:val="28"/>
          <w:lang w:val="uk-UA" w:eastAsia="ru-RU"/>
        </w:rPr>
        <w:t>і</w:t>
      </w:r>
      <w:r w:rsidRPr="002C558C">
        <w:rPr>
          <w:rFonts w:eastAsia="Times New Roman" w:cstheme="minorHAnsi"/>
          <w:color w:val="000000" w:themeColor="text1"/>
          <w:sz w:val="28"/>
          <w:szCs w:val="28"/>
          <w:lang w:val="uk-UA" w:eastAsia="ru-RU"/>
        </w:rPr>
        <w:t>д-</w:t>
      </w:r>
      <w:r>
        <w:rPr>
          <w:rFonts w:eastAsia="Times New Roman" w:cstheme="minorHAnsi"/>
          <w:color w:val="000000" w:themeColor="text1"/>
          <w:sz w:val="28"/>
          <w:szCs w:val="28"/>
          <w:lang w:val="uk-UA" w:eastAsia="ru-RU"/>
        </w:rPr>
        <w:t xml:space="preserve">індукованої </w:t>
      </w:r>
      <w:r w:rsidRPr="002C558C">
        <w:rPr>
          <w:rFonts w:eastAsia="Times New Roman" w:cstheme="minorHAnsi"/>
          <w:color w:val="000000" w:themeColor="text1"/>
          <w:sz w:val="28"/>
          <w:szCs w:val="28"/>
          <w:lang w:val="uk-UA" w:eastAsia="ru-RU"/>
        </w:rPr>
        <w:t xml:space="preserve">стійкості до фторхінолонів: </w:t>
      </w:r>
      <w:r>
        <w:rPr>
          <w:rFonts w:eastAsia="Times New Roman" w:cstheme="minorHAnsi"/>
          <w:color w:val="000000" w:themeColor="text1"/>
          <w:sz w:val="28"/>
          <w:szCs w:val="28"/>
          <w:lang w:val="uk-UA" w:eastAsia="ru-RU"/>
        </w:rPr>
        <w:t>е</w:t>
      </w:r>
      <w:r w:rsidRPr="002C558C">
        <w:rPr>
          <w:rFonts w:eastAsia="Times New Roman" w:cstheme="minorHAnsi"/>
          <w:color w:val="000000" w:themeColor="text1"/>
          <w:sz w:val="28"/>
          <w:szCs w:val="28"/>
          <w:lang w:val="uk-UA" w:eastAsia="ru-RU"/>
        </w:rPr>
        <w:t>ффлюкс насоси (efflux pumps) OqxAB і QepА. Протеїни OqxAB і QepА опосередковують резистентність до гідрофільних фторх</w:t>
      </w:r>
      <w:r>
        <w:rPr>
          <w:rFonts w:eastAsia="Times New Roman" w:cstheme="minorHAnsi"/>
          <w:color w:val="000000" w:themeColor="text1"/>
          <w:sz w:val="28"/>
          <w:szCs w:val="28"/>
          <w:lang w:val="uk-UA" w:eastAsia="ru-RU"/>
        </w:rPr>
        <w:t>і</w:t>
      </w:r>
      <w:r w:rsidRPr="002C558C">
        <w:rPr>
          <w:rFonts w:eastAsia="Times New Roman" w:cstheme="minorHAnsi"/>
          <w:color w:val="000000" w:themeColor="text1"/>
          <w:sz w:val="28"/>
          <w:szCs w:val="28"/>
          <w:lang w:val="uk-UA" w:eastAsia="ru-RU"/>
        </w:rPr>
        <w:t>нолон</w:t>
      </w:r>
      <w:r>
        <w:rPr>
          <w:rFonts w:eastAsia="Times New Roman" w:cstheme="minorHAnsi"/>
          <w:color w:val="000000" w:themeColor="text1"/>
          <w:sz w:val="28"/>
          <w:szCs w:val="28"/>
          <w:lang w:val="uk-UA" w:eastAsia="ru-RU"/>
        </w:rPr>
        <w:t>ів</w:t>
      </w:r>
      <w:r w:rsidRPr="002C558C">
        <w:rPr>
          <w:rFonts w:eastAsia="Times New Roman" w:cstheme="minorHAnsi"/>
          <w:color w:val="000000" w:themeColor="text1"/>
          <w:sz w:val="28"/>
          <w:szCs w:val="28"/>
          <w:lang w:val="uk-UA" w:eastAsia="ru-RU"/>
        </w:rPr>
        <w:t>, таки</w:t>
      </w:r>
      <w:r>
        <w:rPr>
          <w:rFonts w:eastAsia="Times New Roman" w:cstheme="minorHAnsi"/>
          <w:color w:val="000000" w:themeColor="text1"/>
          <w:sz w:val="28"/>
          <w:szCs w:val="28"/>
          <w:lang w:val="uk-UA" w:eastAsia="ru-RU"/>
        </w:rPr>
        <w:t>х</w:t>
      </w:r>
      <w:r w:rsidRPr="002C558C">
        <w:rPr>
          <w:rFonts w:eastAsia="Times New Roman" w:cstheme="minorHAnsi"/>
          <w:color w:val="000000" w:themeColor="text1"/>
          <w:sz w:val="28"/>
          <w:szCs w:val="28"/>
          <w:lang w:val="uk-UA" w:eastAsia="ru-RU"/>
        </w:rPr>
        <w:t xml:space="preserve"> як норфлоксацин, ципрофлоксацин і енрофлоксацин, підвищуючи МІК в 32-64 рази. У доповненні до хінолонів, активному виведенню з клітини в результаті дії </w:t>
      </w:r>
      <w:r>
        <w:rPr>
          <w:rFonts w:eastAsia="Times New Roman" w:cstheme="minorHAnsi"/>
          <w:color w:val="000000" w:themeColor="text1"/>
          <w:sz w:val="28"/>
          <w:szCs w:val="28"/>
          <w:lang w:val="uk-UA" w:eastAsia="ru-RU"/>
        </w:rPr>
        <w:t>е</w:t>
      </w:r>
      <w:r w:rsidRPr="002C558C">
        <w:rPr>
          <w:rFonts w:eastAsia="Times New Roman" w:cstheme="minorHAnsi"/>
          <w:color w:val="000000" w:themeColor="text1"/>
          <w:sz w:val="28"/>
          <w:szCs w:val="28"/>
          <w:lang w:val="uk-UA" w:eastAsia="ru-RU"/>
        </w:rPr>
        <w:t xml:space="preserve">ффлюкс насоса QepА схильні еритроміцин, етідіумбромід, acrifliavine; а </w:t>
      </w:r>
      <w:r>
        <w:rPr>
          <w:rFonts w:eastAsia="Times New Roman" w:cstheme="minorHAnsi"/>
          <w:color w:val="000000" w:themeColor="text1"/>
          <w:sz w:val="28"/>
          <w:szCs w:val="28"/>
          <w:lang w:val="uk-UA" w:eastAsia="ru-RU"/>
        </w:rPr>
        <w:t>е</w:t>
      </w:r>
      <w:r w:rsidRPr="002C558C">
        <w:rPr>
          <w:rFonts w:eastAsia="Times New Roman" w:cstheme="minorHAnsi"/>
          <w:color w:val="000000" w:themeColor="text1"/>
          <w:sz w:val="28"/>
          <w:szCs w:val="28"/>
          <w:lang w:val="uk-UA" w:eastAsia="ru-RU"/>
        </w:rPr>
        <w:t>ффлюкс помпа OqxAB додатково експортує етідіум</w:t>
      </w:r>
      <w:r>
        <w:rPr>
          <w:rFonts w:eastAsia="Times New Roman" w:cstheme="minorHAnsi"/>
          <w:color w:val="000000" w:themeColor="text1"/>
          <w:sz w:val="28"/>
          <w:szCs w:val="28"/>
          <w:lang w:val="uk-UA" w:eastAsia="ru-RU"/>
        </w:rPr>
        <w:t xml:space="preserve"> </w:t>
      </w:r>
      <w:r w:rsidRPr="002C558C">
        <w:rPr>
          <w:rFonts w:eastAsia="Times New Roman" w:cstheme="minorHAnsi"/>
          <w:color w:val="000000" w:themeColor="text1"/>
          <w:sz w:val="28"/>
          <w:szCs w:val="28"/>
          <w:lang w:val="uk-UA" w:eastAsia="ru-RU"/>
        </w:rPr>
        <w:t>бромід, тетрациклін, хлорамфенікол, триметоприм та інші препарати</w:t>
      </w:r>
      <w:r>
        <w:rPr>
          <w:rFonts w:eastAsia="Times New Roman" w:cstheme="minorHAnsi"/>
          <w:color w:val="000000" w:themeColor="text1"/>
          <w:sz w:val="28"/>
          <w:szCs w:val="28"/>
          <w:lang w:val="uk-UA" w:eastAsia="ru-RU"/>
        </w:rPr>
        <w:t xml:space="preserve"> </w:t>
      </w:r>
      <w:r w:rsidRPr="00DF735F">
        <w:rPr>
          <w:rFonts w:cstheme="minorHAnsi"/>
          <w:color w:val="000000" w:themeColor="text1"/>
          <w:sz w:val="28"/>
          <w:szCs w:val="28"/>
          <w:lang w:val="uk-UA"/>
        </w:rPr>
        <w:t>[</w:t>
      </w:r>
      <w:r>
        <w:rPr>
          <w:rFonts w:cstheme="minorHAnsi"/>
          <w:bCs/>
          <w:iCs/>
          <w:color w:val="000000" w:themeColor="text1"/>
          <w:sz w:val="28"/>
          <w:szCs w:val="28"/>
          <w:lang w:val="uk-UA"/>
        </w:rPr>
        <w:t>14, 52</w:t>
      </w:r>
      <w:r w:rsidRPr="00DF735F">
        <w:rPr>
          <w:rFonts w:cstheme="minorHAnsi"/>
          <w:bCs/>
          <w:color w:val="000000" w:themeColor="text1"/>
          <w:sz w:val="28"/>
          <w:szCs w:val="28"/>
          <w:lang w:val="uk-UA"/>
        </w:rPr>
        <w:t>]</w:t>
      </w:r>
      <w:r>
        <w:rPr>
          <w:rFonts w:cstheme="minorHAnsi"/>
          <w:bCs/>
          <w:color w:val="000000" w:themeColor="text1"/>
          <w:sz w:val="28"/>
          <w:szCs w:val="28"/>
          <w:lang w:val="uk-UA"/>
        </w:rPr>
        <w:t>.</w:t>
      </w:r>
      <w:r w:rsidRPr="00DF735F">
        <w:rPr>
          <w:rFonts w:cstheme="minorHAnsi"/>
          <w:color w:val="000000" w:themeColor="text1"/>
          <w:sz w:val="28"/>
          <w:szCs w:val="28"/>
          <w:lang w:val="uk-UA"/>
        </w:rPr>
        <w:t xml:space="preserve"> </w:t>
      </w:r>
      <w:r w:rsidRPr="005C1EBA">
        <w:rPr>
          <w:rFonts w:cstheme="minorHAnsi"/>
          <w:sz w:val="28"/>
          <w:szCs w:val="28"/>
          <w:lang w:val="uk-UA"/>
        </w:rPr>
        <w:t>Ген QepА і аміноглікозид-рибосом-метилтрансфераза є частиною мобільного елемента, з чого випливає можливість селекції детермінант QepА внаслідок впливу аміноглікозидів і навпаки, резистентність до аміноглікозидів може розви</w:t>
      </w:r>
      <w:r>
        <w:rPr>
          <w:rFonts w:cstheme="minorHAnsi"/>
          <w:sz w:val="28"/>
          <w:szCs w:val="28"/>
          <w:lang w:val="uk-UA"/>
        </w:rPr>
        <w:t>ва</w:t>
      </w:r>
      <w:r w:rsidRPr="005C1EBA">
        <w:rPr>
          <w:rFonts w:cstheme="minorHAnsi"/>
          <w:sz w:val="28"/>
          <w:szCs w:val="28"/>
          <w:lang w:val="uk-UA"/>
        </w:rPr>
        <w:t>тися в результаті впливу фторхінолонів;</w:t>
      </w:r>
      <w:r>
        <w:rPr>
          <w:rFonts w:cstheme="minorHAnsi"/>
          <w:sz w:val="28"/>
          <w:szCs w:val="28"/>
          <w:lang w:val="uk-UA"/>
        </w:rPr>
        <w:t xml:space="preserve"> те ж саме відноситься і до AAC</w:t>
      </w:r>
      <w:r w:rsidRPr="005C1EBA">
        <w:rPr>
          <w:rFonts w:cstheme="minorHAnsi"/>
          <w:sz w:val="28"/>
          <w:szCs w:val="28"/>
          <w:lang w:val="uk-UA"/>
        </w:rPr>
        <w:t xml:space="preserve">(6 ') - Ib-cr-опосередкованої резистентності. Таким чином, екструзія хімічно не </w:t>
      </w:r>
      <w:r>
        <w:rPr>
          <w:rFonts w:cstheme="minorHAnsi"/>
          <w:sz w:val="28"/>
          <w:szCs w:val="28"/>
          <w:lang w:val="uk-UA"/>
        </w:rPr>
        <w:t>споріднених</w:t>
      </w:r>
      <w:r w:rsidRPr="005C1EBA">
        <w:rPr>
          <w:rFonts w:cstheme="minorHAnsi"/>
          <w:sz w:val="28"/>
          <w:szCs w:val="28"/>
          <w:lang w:val="uk-UA"/>
        </w:rPr>
        <w:t xml:space="preserve"> агентів внаслідок дії </w:t>
      </w:r>
      <w:r>
        <w:rPr>
          <w:rFonts w:cstheme="minorHAnsi"/>
          <w:sz w:val="28"/>
          <w:szCs w:val="28"/>
          <w:lang w:val="uk-UA"/>
        </w:rPr>
        <w:t>е</w:t>
      </w:r>
      <w:r w:rsidRPr="005C1EBA">
        <w:rPr>
          <w:rFonts w:cstheme="minorHAnsi"/>
          <w:sz w:val="28"/>
          <w:szCs w:val="28"/>
          <w:lang w:val="uk-UA"/>
        </w:rPr>
        <w:t>ффлюкс насосів представляє третій механізм перехресної резистентності (cross-resistance)</w:t>
      </w:r>
      <w:r>
        <w:rPr>
          <w:rFonts w:cstheme="minorHAnsi"/>
          <w:sz w:val="28"/>
          <w:szCs w:val="28"/>
          <w:lang w:val="uk-UA"/>
        </w:rPr>
        <w:t>.</w:t>
      </w:r>
    </w:p>
    <w:p w:rsidR="00CE6207" w:rsidRDefault="00CE6207" w:rsidP="00CE6207">
      <w:pPr>
        <w:spacing w:after="0" w:line="360" w:lineRule="auto"/>
        <w:ind w:firstLine="709"/>
        <w:jc w:val="both"/>
        <w:rPr>
          <w:rFonts w:eastAsia="Times New Roman" w:cstheme="minorHAnsi"/>
          <w:color w:val="000000" w:themeColor="text1"/>
          <w:sz w:val="28"/>
          <w:szCs w:val="28"/>
          <w:lang w:val="uk-UA" w:eastAsia="ru-RU"/>
        </w:rPr>
      </w:pPr>
      <w:r w:rsidRPr="00BF711B">
        <w:rPr>
          <w:sz w:val="28"/>
          <w:szCs w:val="28"/>
          <w:lang w:val="uk-UA"/>
        </w:rPr>
        <w:t>В Італії, поширеність плазм</w:t>
      </w:r>
      <w:r>
        <w:rPr>
          <w:sz w:val="28"/>
          <w:szCs w:val="28"/>
          <w:lang w:val="uk-UA"/>
        </w:rPr>
        <w:t>і</w:t>
      </w:r>
      <w:r w:rsidRPr="00BF711B">
        <w:rPr>
          <w:sz w:val="28"/>
          <w:szCs w:val="28"/>
          <w:lang w:val="uk-UA"/>
        </w:rPr>
        <w:t>д-індукованих механізмів резистентності до фторхінолонів у амбулаторних і госпіталізованих пацієнтів з І</w:t>
      </w:r>
      <w:r>
        <w:rPr>
          <w:sz w:val="28"/>
          <w:szCs w:val="28"/>
          <w:lang w:val="uk-UA"/>
        </w:rPr>
        <w:t>С</w:t>
      </w:r>
      <w:r w:rsidRPr="00BF711B">
        <w:rPr>
          <w:sz w:val="28"/>
          <w:szCs w:val="28"/>
          <w:lang w:val="uk-UA"/>
        </w:rPr>
        <w:t xml:space="preserve">С склало 11% і 21% відповідно. Найпоширеніший ген </w:t>
      </w:r>
      <w:r>
        <w:rPr>
          <w:sz w:val="28"/>
          <w:szCs w:val="28"/>
          <w:lang w:val="uk-UA"/>
        </w:rPr>
        <w:t>–</w:t>
      </w:r>
      <w:r w:rsidRPr="00BF711B">
        <w:rPr>
          <w:sz w:val="28"/>
          <w:szCs w:val="28"/>
          <w:lang w:val="uk-UA"/>
        </w:rPr>
        <w:t xml:space="preserve"> аміноглікозид-ацетилтрансфераза aac (6 ') - Ib-cr</w:t>
      </w:r>
      <w:r>
        <w:rPr>
          <w:sz w:val="28"/>
          <w:szCs w:val="28"/>
          <w:lang w:val="uk-UA"/>
        </w:rPr>
        <w:t xml:space="preserve"> </w:t>
      </w:r>
      <w:r w:rsidRPr="00AB246D">
        <w:rPr>
          <w:rFonts w:cstheme="minorHAnsi"/>
          <w:sz w:val="28"/>
          <w:szCs w:val="28"/>
          <w:lang w:val="uk-UA"/>
        </w:rPr>
        <w:t>[</w:t>
      </w:r>
      <w:r>
        <w:rPr>
          <w:rFonts w:eastAsia="Times New Roman" w:cstheme="minorHAnsi"/>
          <w:sz w:val="28"/>
          <w:szCs w:val="28"/>
          <w:lang w:val="uk-UA" w:eastAsia="ru-RU"/>
        </w:rPr>
        <w:t>75</w:t>
      </w:r>
      <w:r w:rsidRPr="00AB246D">
        <w:rPr>
          <w:rFonts w:eastAsia="Times New Roman" w:cstheme="minorHAnsi"/>
          <w:sz w:val="28"/>
          <w:szCs w:val="28"/>
          <w:lang w:val="uk-UA" w:eastAsia="ru-RU"/>
        </w:rPr>
        <w:t>].</w:t>
      </w:r>
      <w:r>
        <w:rPr>
          <w:rFonts w:eastAsia="Times New Roman" w:cstheme="minorHAnsi"/>
          <w:sz w:val="28"/>
          <w:szCs w:val="28"/>
          <w:lang w:val="uk-UA" w:eastAsia="ru-RU"/>
        </w:rPr>
        <w:t xml:space="preserve"> </w:t>
      </w:r>
      <w:r w:rsidRPr="00BF711B">
        <w:rPr>
          <w:rFonts w:eastAsia="Times New Roman" w:cstheme="minorHAnsi"/>
          <w:sz w:val="28"/>
          <w:szCs w:val="28"/>
          <w:lang w:val="uk-UA" w:eastAsia="ru-RU"/>
        </w:rPr>
        <w:t>Поширеність плазм</w:t>
      </w:r>
      <w:r>
        <w:rPr>
          <w:rFonts w:eastAsia="Times New Roman" w:cstheme="minorHAnsi"/>
          <w:sz w:val="28"/>
          <w:szCs w:val="28"/>
          <w:lang w:val="uk-UA" w:eastAsia="ru-RU"/>
        </w:rPr>
        <w:t>і</w:t>
      </w:r>
      <w:r w:rsidRPr="00BF711B">
        <w:rPr>
          <w:rFonts w:eastAsia="Times New Roman" w:cstheme="minorHAnsi"/>
          <w:sz w:val="28"/>
          <w:szCs w:val="28"/>
          <w:lang w:val="uk-UA" w:eastAsia="ru-RU"/>
        </w:rPr>
        <w:t>д-індукованих генів резистентності до фторхінолонів серед клінічних штамів Escherichia coli і K.pneumoniae в Таїланді становить 22,3% і 65,3% відповідно. За виявлення</w:t>
      </w:r>
      <w:r>
        <w:rPr>
          <w:rFonts w:eastAsia="Times New Roman" w:cstheme="minorHAnsi"/>
          <w:sz w:val="28"/>
          <w:szCs w:val="28"/>
          <w:lang w:val="uk-UA" w:eastAsia="ru-RU"/>
        </w:rPr>
        <w:t>м</w:t>
      </w:r>
      <w:r w:rsidRPr="00BF711B">
        <w:rPr>
          <w:rFonts w:eastAsia="Times New Roman" w:cstheme="minorHAnsi"/>
          <w:sz w:val="28"/>
          <w:szCs w:val="28"/>
          <w:lang w:val="uk-UA" w:eastAsia="ru-RU"/>
        </w:rPr>
        <w:t xml:space="preserve"> гени розташувалися в наступному порядку: aac (6 ') - Ib-cr, qnrS, qnrB і qnrA</w:t>
      </w:r>
      <w:r>
        <w:rPr>
          <w:rFonts w:eastAsia="Times New Roman" w:cstheme="minorHAnsi"/>
          <w:sz w:val="28"/>
          <w:szCs w:val="28"/>
          <w:lang w:val="uk-UA" w:eastAsia="ru-RU"/>
        </w:rPr>
        <w:t xml:space="preserve"> </w:t>
      </w:r>
      <w:r w:rsidRPr="00DF735F">
        <w:rPr>
          <w:rFonts w:cstheme="minorHAnsi"/>
          <w:sz w:val="28"/>
          <w:szCs w:val="28"/>
          <w:shd w:val="clear" w:color="auto" w:fill="FFFFFF"/>
        </w:rPr>
        <w:t>[</w:t>
      </w:r>
      <w:r>
        <w:rPr>
          <w:rFonts w:eastAsia="Times New Roman" w:cstheme="minorHAnsi"/>
          <w:sz w:val="28"/>
          <w:szCs w:val="28"/>
          <w:lang w:val="uk-UA" w:eastAsia="ru-RU"/>
        </w:rPr>
        <w:t>87</w:t>
      </w:r>
      <w:r w:rsidRPr="00DF735F">
        <w:rPr>
          <w:rFonts w:eastAsia="Times New Roman" w:cstheme="minorHAnsi"/>
          <w:sz w:val="28"/>
          <w:szCs w:val="28"/>
          <w:lang w:eastAsia="ru-RU"/>
        </w:rPr>
        <w:t>].</w:t>
      </w:r>
      <w:r>
        <w:rPr>
          <w:rFonts w:eastAsia="Times New Roman" w:cstheme="minorHAnsi"/>
          <w:sz w:val="28"/>
          <w:szCs w:val="28"/>
          <w:lang w:val="uk-UA" w:eastAsia="ru-RU"/>
        </w:rPr>
        <w:t xml:space="preserve"> </w:t>
      </w:r>
      <w:r w:rsidRPr="00202E72">
        <w:rPr>
          <w:rFonts w:eastAsia="Times New Roman" w:cstheme="minorHAnsi"/>
          <w:sz w:val="28"/>
          <w:szCs w:val="28"/>
          <w:lang w:val="uk-UA" w:eastAsia="ru-RU"/>
        </w:rPr>
        <w:t>Поширеність плазм</w:t>
      </w:r>
      <w:r>
        <w:rPr>
          <w:rFonts w:eastAsia="Times New Roman" w:cstheme="minorHAnsi"/>
          <w:sz w:val="28"/>
          <w:szCs w:val="28"/>
          <w:lang w:val="uk-UA" w:eastAsia="ru-RU"/>
        </w:rPr>
        <w:t>і</w:t>
      </w:r>
      <w:r w:rsidRPr="00202E72">
        <w:rPr>
          <w:rFonts w:eastAsia="Times New Roman" w:cstheme="minorHAnsi"/>
          <w:sz w:val="28"/>
          <w:szCs w:val="28"/>
          <w:lang w:val="uk-UA" w:eastAsia="ru-RU"/>
        </w:rPr>
        <w:t xml:space="preserve">д-індукованих генів резистентності до </w:t>
      </w:r>
      <w:r w:rsidRPr="00202E72">
        <w:rPr>
          <w:rFonts w:eastAsia="Times New Roman" w:cstheme="minorHAnsi"/>
          <w:sz w:val="28"/>
          <w:szCs w:val="28"/>
          <w:lang w:val="uk-UA" w:eastAsia="ru-RU"/>
        </w:rPr>
        <w:lastRenderedPageBreak/>
        <w:t xml:space="preserve">фторхінолонів серед </w:t>
      </w:r>
      <w:r>
        <w:rPr>
          <w:rFonts w:eastAsia="Times New Roman" w:cstheme="minorHAnsi"/>
          <w:sz w:val="28"/>
          <w:szCs w:val="28"/>
          <w:lang w:val="uk-UA" w:eastAsia="ru-RU"/>
        </w:rPr>
        <w:t>ентеро</w:t>
      </w:r>
      <w:r w:rsidRPr="00202E72">
        <w:rPr>
          <w:rFonts w:eastAsia="Times New Roman" w:cstheme="minorHAnsi"/>
          <w:sz w:val="28"/>
          <w:szCs w:val="28"/>
          <w:lang w:val="uk-UA" w:eastAsia="ru-RU"/>
        </w:rPr>
        <w:t>бактеріальних штамів, виділених у дитячій лікарні в Тунісі, склало 14,4%</w:t>
      </w:r>
      <w:r>
        <w:rPr>
          <w:rFonts w:eastAsia="Times New Roman" w:cstheme="minorHAnsi"/>
          <w:sz w:val="28"/>
          <w:szCs w:val="28"/>
          <w:lang w:val="uk-UA" w:eastAsia="ru-RU"/>
        </w:rPr>
        <w:t xml:space="preserve"> </w:t>
      </w:r>
      <w:r w:rsidRPr="00DF735F">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61</w:t>
      </w:r>
      <w:r w:rsidRPr="00DF735F">
        <w:rPr>
          <w:rFonts w:eastAsia="Times New Roman" w:cstheme="minorHAnsi"/>
          <w:color w:val="000000" w:themeColor="text1"/>
          <w:sz w:val="28"/>
          <w:szCs w:val="28"/>
          <w:lang w:val="uk-UA" w:eastAsia="ru-RU"/>
        </w:rPr>
        <w:t>].</w:t>
      </w:r>
    </w:p>
    <w:p w:rsidR="00CE6207" w:rsidRPr="007D3DC2" w:rsidRDefault="00CE6207" w:rsidP="00CE6207">
      <w:pPr>
        <w:spacing w:after="0" w:line="360" w:lineRule="auto"/>
        <w:ind w:firstLine="709"/>
        <w:jc w:val="both"/>
        <w:rPr>
          <w:rFonts w:cstheme="minorHAnsi"/>
          <w:sz w:val="28"/>
          <w:szCs w:val="28"/>
          <w:lang w:val="uk-UA"/>
        </w:rPr>
      </w:pPr>
      <w:r>
        <w:rPr>
          <w:rFonts w:ascii="Times New Roman" w:hAnsi="Times New Roman" w:cs="Times New Roman"/>
          <w:sz w:val="28"/>
          <w:szCs w:val="28"/>
          <w:lang w:val="uk-UA"/>
        </w:rPr>
        <w:t>До факторів ризику колонізації уропатогенів з механізмами резистентності до фторхінолонів відносять: вік старше 60 років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w:t>
      </w:r>
      <w:r w:rsidRPr="003E53E5">
        <w:rPr>
          <w:rFonts w:ascii="Times New Roman" w:hAnsi="Times New Roman" w:cs="Times New Roman"/>
          <w:sz w:val="28"/>
          <w:szCs w:val="28"/>
          <w:lang w:val="uk-UA"/>
        </w:rPr>
        <w:t>52</w:t>
      </w:r>
      <w:r>
        <w:rPr>
          <w:rFonts w:ascii="Times New Roman" w:hAnsi="Times New Roman" w:cs="Times New Roman"/>
          <w:sz w:val="28"/>
          <w:szCs w:val="28"/>
          <w:lang w:val="uk-UA"/>
        </w:rPr>
        <w:t>)</w:t>
      </w:r>
      <w:r w:rsidRPr="003E53E5">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наявність обструкції сечових шляхів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2,09), епізод рецидиву ІСС у минулому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2,98), та прийом фторхінолонів у попередні 3 місяця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4,27) [</w:t>
      </w:r>
      <w:r>
        <w:rPr>
          <w:rStyle w:val="ad"/>
          <w:rFonts w:cstheme="minorHAnsi"/>
          <w:iCs/>
          <w:color w:val="000000"/>
          <w:sz w:val="28"/>
          <w:szCs w:val="28"/>
          <w:shd w:val="clear" w:color="auto" w:fill="FFFFFF"/>
          <w:lang w:val="uk-UA"/>
        </w:rPr>
        <w:t>126, 111</w:t>
      </w:r>
      <w:r w:rsidRPr="00DF735F">
        <w:rPr>
          <w:rFonts w:eastAsia="Times New Roman" w:cstheme="minorHAnsi"/>
          <w:color w:val="000000"/>
          <w:sz w:val="28"/>
          <w:szCs w:val="28"/>
          <w:lang w:val="uk-UA" w:eastAsia="ru-RU"/>
        </w:rPr>
        <w:t>]</w:t>
      </w:r>
      <w:r>
        <w:rPr>
          <w:rFonts w:eastAsia="Times New Roman" w:cstheme="minorHAnsi"/>
          <w:color w:val="000000"/>
          <w:sz w:val="28"/>
          <w:szCs w:val="28"/>
          <w:lang w:val="uk-UA" w:eastAsia="ru-RU"/>
        </w:rPr>
        <w:t xml:space="preserve">. </w:t>
      </w:r>
      <w:r>
        <w:rPr>
          <w:rFonts w:eastAsia="Times New Roman" w:cstheme="minorHAnsi"/>
          <w:sz w:val="28"/>
          <w:szCs w:val="28"/>
          <w:lang w:val="uk-UA" w:eastAsia="ru-RU"/>
        </w:rPr>
        <w:t xml:space="preserve">Крім того, </w:t>
      </w:r>
      <w:r>
        <w:rPr>
          <w:rFonts w:cstheme="minorHAnsi"/>
          <w:sz w:val="28"/>
          <w:szCs w:val="28"/>
          <w:lang w:val="uk-UA"/>
        </w:rPr>
        <w:t>в</w:t>
      </w:r>
      <w:r w:rsidRPr="004B022B">
        <w:rPr>
          <w:rFonts w:cstheme="minorHAnsi"/>
          <w:sz w:val="28"/>
          <w:szCs w:val="28"/>
          <w:lang w:val="uk-UA"/>
        </w:rPr>
        <w:t xml:space="preserve"> останні 6 років, у багатьох країнах світу, посилено вивчається взаємозв'язок кількості призначень фторхінолонів і розвиток резистентності до них. Так, у клінічних дослідженнях, проведених в Європі, Америці, визначається достовірне зростання резистентності до фторхінолонів при збі</w:t>
      </w:r>
      <w:r>
        <w:rPr>
          <w:rFonts w:cstheme="minorHAnsi"/>
          <w:sz w:val="28"/>
          <w:szCs w:val="28"/>
          <w:lang w:val="uk-UA"/>
        </w:rPr>
        <w:t xml:space="preserve">льшенні кількості їх призначень </w:t>
      </w:r>
      <w:r w:rsidRPr="00DF735F">
        <w:rPr>
          <w:rFonts w:cstheme="minorHAnsi"/>
          <w:sz w:val="28"/>
          <w:szCs w:val="28"/>
          <w:lang w:val="uk-UA"/>
        </w:rPr>
        <w:t>[</w:t>
      </w:r>
      <w:r>
        <w:rPr>
          <w:rFonts w:cstheme="minorHAnsi"/>
          <w:sz w:val="28"/>
          <w:szCs w:val="28"/>
          <w:lang w:val="uk-UA"/>
        </w:rPr>
        <w:t>63, 96, 125</w:t>
      </w:r>
      <w:r w:rsidRPr="00DF735F">
        <w:rPr>
          <w:rFonts w:cstheme="minorHAnsi"/>
          <w:sz w:val="28"/>
          <w:szCs w:val="28"/>
          <w:lang w:val="uk-UA"/>
        </w:rPr>
        <w:t>]</w:t>
      </w:r>
      <w:r>
        <w:rPr>
          <w:rFonts w:cstheme="minorHAnsi"/>
          <w:sz w:val="28"/>
          <w:szCs w:val="28"/>
          <w:lang w:val="uk-UA"/>
        </w:rPr>
        <w:t>.</w:t>
      </w:r>
      <w:r w:rsidRPr="00DF735F">
        <w:rPr>
          <w:rFonts w:cstheme="minorHAnsi"/>
          <w:sz w:val="28"/>
          <w:szCs w:val="28"/>
          <w:lang w:val="uk-UA"/>
        </w:rPr>
        <w:t xml:space="preserve"> </w:t>
      </w:r>
      <w:r>
        <w:rPr>
          <w:rFonts w:cstheme="minorHAnsi"/>
          <w:color w:val="000000" w:themeColor="text1"/>
          <w:sz w:val="28"/>
          <w:szCs w:val="28"/>
          <w:lang w:val="uk-UA"/>
        </w:rPr>
        <w:t xml:space="preserve">Згідно з даними </w:t>
      </w:r>
      <w:r w:rsidRPr="00285E33">
        <w:rPr>
          <w:rFonts w:cstheme="minorHAnsi"/>
          <w:sz w:val="28"/>
          <w:szCs w:val="28"/>
          <w:lang w:val="en-US"/>
        </w:rPr>
        <w:t>W</w:t>
      </w:r>
      <w:r w:rsidRPr="007D3DC2">
        <w:rPr>
          <w:rFonts w:cstheme="minorHAnsi"/>
          <w:sz w:val="28"/>
          <w:szCs w:val="28"/>
          <w:lang w:val="uk-UA"/>
        </w:rPr>
        <w:t xml:space="preserve">. </w:t>
      </w:r>
      <w:r w:rsidRPr="00285E33">
        <w:rPr>
          <w:rFonts w:cstheme="minorHAnsi"/>
          <w:sz w:val="28"/>
          <w:szCs w:val="28"/>
          <w:lang w:val="en-US"/>
        </w:rPr>
        <w:t>E</w:t>
      </w:r>
      <w:r w:rsidRPr="007D3DC2">
        <w:rPr>
          <w:rFonts w:cstheme="minorHAnsi"/>
          <w:sz w:val="28"/>
          <w:szCs w:val="28"/>
          <w:lang w:val="uk-UA"/>
        </w:rPr>
        <w:t xml:space="preserve">. </w:t>
      </w:r>
      <w:r w:rsidRPr="00285E33">
        <w:rPr>
          <w:rFonts w:cstheme="minorHAnsi"/>
          <w:sz w:val="28"/>
          <w:szCs w:val="28"/>
          <w:lang w:val="en-US"/>
        </w:rPr>
        <w:t>van</w:t>
      </w:r>
      <w:r w:rsidRPr="007D3DC2">
        <w:rPr>
          <w:rFonts w:cstheme="minorHAnsi"/>
          <w:sz w:val="28"/>
          <w:szCs w:val="28"/>
          <w:lang w:val="uk-UA"/>
        </w:rPr>
        <w:t xml:space="preserve"> </w:t>
      </w:r>
      <w:r w:rsidRPr="00285E33">
        <w:rPr>
          <w:rFonts w:cstheme="minorHAnsi"/>
          <w:sz w:val="28"/>
          <w:szCs w:val="28"/>
          <w:lang w:val="en-US"/>
        </w:rPr>
        <w:t>der</w:t>
      </w:r>
      <w:r w:rsidRPr="007D3DC2">
        <w:rPr>
          <w:rFonts w:cstheme="minorHAnsi"/>
          <w:sz w:val="28"/>
          <w:szCs w:val="28"/>
          <w:lang w:val="uk-UA"/>
        </w:rPr>
        <w:t xml:space="preserve"> </w:t>
      </w:r>
      <w:r w:rsidRPr="00285E33">
        <w:rPr>
          <w:rFonts w:cstheme="minorHAnsi"/>
          <w:sz w:val="28"/>
          <w:szCs w:val="28"/>
          <w:lang w:val="en-US"/>
        </w:rPr>
        <w:t>Starre</w:t>
      </w:r>
      <w:r w:rsidRPr="007D3DC2">
        <w:rPr>
          <w:rFonts w:cstheme="minorHAnsi"/>
          <w:color w:val="000000" w:themeColor="text1"/>
          <w:sz w:val="28"/>
          <w:szCs w:val="28"/>
          <w:lang w:val="uk-UA"/>
        </w:rPr>
        <w:t xml:space="preserve"> </w:t>
      </w:r>
      <w:r>
        <w:rPr>
          <w:rFonts w:cstheme="minorHAnsi"/>
          <w:color w:val="000000" w:themeColor="text1"/>
          <w:sz w:val="28"/>
          <w:szCs w:val="28"/>
          <w:lang w:val="uk-UA"/>
        </w:rPr>
        <w:t xml:space="preserve">та співавт., при збільшенні </w:t>
      </w:r>
      <w:r w:rsidRPr="007D3DC2">
        <w:rPr>
          <w:rFonts w:cstheme="minorHAnsi"/>
          <w:color w:val="000000" w:themeColor="text1"/>
          <w:sz w:val="28"/>
          <w:szCs w:val="28"/>
          <w:lang w:val="uk-UA"/>
        </w:rPr>
        <w:t xml:space="preserve">кількості призначень </w:t>
      </w:r>
      <w:r>
        <w:rPr>
          <w:rFonts w:cstheme="minorHAnsi"/>
          <w:color w:val="000000" w:themeColor="text1"/>
          <w:sz w:val="28"/>
          <w:szCs w:val="28"/>
          <w:lang w:val="uk-UA"/>
        </w:rPr>
        <w:t xml:space="preserve">левофлоксацину з приводу ІСС з </w:t>
      </w:r>
      <w:r w:rsidRPr="007D3DC2">
        <w:rPr>
          <w:rFonts w:cstheme="minorHAnsi"/>
          <w:color w:val="000000" w:themeColor="text1"/>
          <w:sz w:val="28"/>
          <w:szCs w:val="28"/>
          <w:lang w:val="uk-UA"/>
        </w:rPr>
        <w:t>3,1 до 12,7 на 1000 візитів, резистентність до нього і інших фторхінолонів збільшилася з 1% до 9%.</w:t>
      </w:r>
      <w:r>
        <w:rPr>
          <w:rFonts w:cstheme="minorHAnsi"/>
          <w:color w:val="000000" w:themeColor="text1"/>
          <w:sz w:val="28"/>
          <w:szCs w:val="28"/>
          <w:lang w:val="uk-UA"/>
        </w:rPr>
        <w:t xml:space="preserve"> </w:t>
      </w:r>
      <w:r w:rsidRPr="007D3DC2">
        <w:rPr>
          <w:rFonts w:cstheme="minorHAnsi"/>
          <w:color w:val="000000" w:themeColor="text1"/>
          <w:sz w:val="28"/>
          <w:szCs w:val="28"/>
          <w:lang w:val="uk-UA"/>
        </w:rPr>
        <w:t>Факторами ризику, що сприя</w:t>
      </w:r>
      <w:r>
        <w:rPr>
          <w:rFonts w:cstheme="minorHAnsi"/>
          <w:color w:val="000000" w:themeColor="text1"/>
          <w:sz w:val="28"/>
          <w:szCs w:val="28"/>
          <w:lang w:val="uk-UA"/>
        </w:rPr>
        <w:t>ли</w:t>
      </w:r>
      <w:r w:rsidRPr="007D3DC2">
        <w:rPr>
          <w:rFonts w:cstheme="minorHAnsi"/>
          <w:color w:val="000000" w:themeColor="text1"/>
          <w:sz w:val="28"/>
          <w:szCs w:val="28"/>
          <w:lang w:val="uk-UA"/>
        </w:rPr>
        <w:t xml:space="preserve"> резистентності, у</w:t>
      </w:r>
      <w:r>
        <w:rPr>
          <w:rFonts w:cstheme="minorHAnsi"/>
          <w:color w:val="000000" w:themeColor="text1"/>
          <w:sz w:val="28"/>
          <w:szCs w:val="28"/>
          <w:lang w:val="uk-UA"/>
        </w:rPr>
        <w:t xml:space="preserve"> штамів</w:t>
      </w:r>
      <w:r w:rsidRPr="007D3DC2">
        <w:rPr>
          <w:rFonts w:cstheme="minorHAnsi"/>
          <w:color w:val="000000" w:themeColor="text1"/>
          <w:sz w:val="28"/>
          <w:szCs w:val="28"/>
          <w:lang w:val="uk-UA"/>
        </w:rPr>
        <w:t xml:space="preserve"> E.coli були </w:t>
      </w:r>
      <w:r>
        <w:rPr>
          <w:rFonts w:cstheme="minorHAnsi"/>
          <w:color w:val="000000" w:themeColor="text1"/>
          <w:sz w:val="28"/>
          <w:szCs w:val="28"/>
          <w:lang w:val="uk-UA"/>
        </w:rPr>
        <w:t xml:space="preserve">виявлені: випадок </w:t>
      </w:r>
      <w:r w:rsidRPr="007D3DC2">
        <w:rPr>
          <w:rFonts w:cstheme="minorHAnsi"/>
          <w:color w:val="000000" w:themeColor="text1"/>
          <w:sz w:val="28"/>
          <w:szCs w:val="28"/>
          <w:lang w:val="uk-UA"/>
        </w:rPr>
        <w:t>госпіталізаці</w:t>
      </w:r>
      <w:r>
        <w:rPr>
          <w:rFonts w:cstheme="minorHAnsi"/>
          <w:color w:val="000000" w:themeColor="text1"/>
          <w:sz w:val="28"/>
          <w:szCs w:val="28"/>
          <w:lang w:val="uk-UA"/>
        </w:rPr>
        <w:t>ї</w:t>
      </w:r>
      <w:r w:rsidRPr="007D3DC2">
        <w:rPr>
          <w:rFonts w:cstheme="minorHAnsi"/>
          <w:color w:val="000000" w:themeColor="text1"/>
          <w:sz w:val="28"/>
          <w:szCs w:val="28"/>
          <w:lang w:val="uk-UA"/>
        </w:rPr>
        <w:t>, використання левофлоксацину в попередній рік</w:t>
      </w:r>
      <w:r>
        <w:rPr>
          <w:rFonts w:cstheme="minorHAnsi"/>
          <w:color w:val="000000" w:themeColor="text1"/>
          <w:sz w:val="28"/>
          <w:szCs w:val="28"/>
          <w:lang w:val="uk-UA"/>
        </w:rPr>
        <w:t xml:space="preserve"> </w:t>
      </w:r>
      <w:r w:rsidRPr="00DF735F">
        <w:rPr>
          <w:rFonts w:cstheme="minorHAnsi"/>
          <w:sz w:val="28"/>
          <w:szCs w:val="28"/>
        </w:rPr>
        <w:t>[</w:t>
      </w:r>
      <w:r>
        <w:rPr>
          <w:rFonts w:cstheme="minorHAnsi"/>
          <w:sz w:val="28"/>
          <w:szCs w:val="28"/>
          <w:lang w:val="uk-UA"/>
        </w:rPr>
        <w:t>128</w:t>
      </w:r>
      <w:r w:rsidRPr="00DF735F">
        <w:rPr>
          <w:rFonts w:cstheme="minorHAnsi"/>
          <w:sz w:val="28"/>
          <w:szCs w:val="28"/>
        </w:rPr>
        <w:t>].</w:t>
      </w:r>
    </w:p>
    <w:p w:rsidR="00CE6207" w:rsidRPr="005C1EBA" w:rsidRDefault="00CE6207" w:rsidP="00CE6207">
      <w:pPr>
        <w:spacing w:after="0" w:line="360" w:lineRule="auto"/>
        <w:ind w:firstLine="709"/>
        <w:jc w:val="both"/>
        <w:rPr>
          <w:rFonts w:eastAsia="Times New Roman" w:cstheme="minorHAnsi"/>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w:t>
      </w:r>
      <w:r w:rsidRPr="005E2529">
        <w:rPr>
          <w:rFonts w:ascii="Times New Roman" w:eastAsia="Times New Roman" w:hAnsi="Times New Roman" w:cs="Times New Roman"/>
          <w:color w:val="000000" w:themeColor="text1"/>
          <w:sz w:val="28"/>
          <w:szCs w:val="28"/>
          <w:lang w:val="uk-UA" w:eastAsia="ru-RU"/>
        </w:rPr>
        <w:t xml:space="preserve">ри інфекціях, викликаних </w:t>
      </w:r>
      <w:r>
        <w:rPr>
          <w:rFonts w:eastAsia="Times New Roman" w:cstheme="minorHAnsi"/>
          <w:color w:val="000000"/>
          <w:sz w:val="28"/>
          <w:szCs w:val="28"/>
          <w:lang w:val="uk-UA" w:eastAsia="ru-RU"/>
        </w:rPr>
        <w:t>βЛРС</w:t>
      </w:r>
      <w:r w:rsidRPr="005E2529">
        <w:rPr>
          <w:rFonts w:ascii="Times New Roman" w:eastAsia="Times New Roman" w:hAnsi="Times New Roman" w:cs="Times New Roman"/>
          <w:color w:val="000000" w:themeColor="text1"/>
          <w:sz w:val="28"/>
          <w:szCs w:val="28"/>
          <w:lang w:val="uk-UA" w:eastAsia="ru-RU"/>
        </w:rPr>
        <w:t>-проду</w:t>
      </w:r>
      <w:r>
        <w:rPr>
          <w:rFonts w:ascii="Times New Roman" w:eastAsia="Times New Roman" w:hAnsi="Times New Roman" w:cs="Times New Roman"/>
          <w:color w:val="000000" w:themeColor="text1"/>
          <w:sz w:val="28"/>
          <w:szCs w:val="28"/>
          <w:lang w:val="uk-UA" w:eastAsia="ru-RU"/>
        </w:rPr>
        <w:t>куючими</w:t>
      </w:r>
      <w:r w:rsidRPr="005E2529">
        <w:rPr>
          <w:rFonts w:ascii="Times New Roman" w:eastAsia="Times New Roman" w:hAnsi="Times New Roman" w:cs="Times New Roman"/>
          <w:color w:val="000000" w:themeColor="text1"/>
          <w:sz w:val="28"/>
          <w:szCs w:val="28"/>
          <w:lang w:val="uk-UA" w:eastAsia="ru-RU"/>
        </w:rPr>
        <w:t xml:space="preserve"> бактеріями</w:t>
      </w:r>
      <w:r>
        <w:rPr>
          <w:rFonts w:ascii="Times New Roman" w:eastAsia="Times New Roman" w:hAnsi="Times New Roman" w:cs="Times New Roman"/>
          <w:color w:val="000000" w:themeColor="text1"/>
          <w:sz w:val="28"/>
          <w:szCs w:val="28"/>
          <w:lang w:val="uk-UA" w:eastAsia="ru-RU"/>
        </w:rPr>
        <w:t>, визначається</w:t>
      </w:r>
      <w:r w:rsidRPr="005E2529">
        <w:rPr>
          <w:rFonts w:ascii="Times New Roman" w:eastAsia="Times New Roman" w:hAnsi="Times New Roman" w:cs="Times New Roman"/>
          <w:color w:val="000000" w:themeColor="text1"/>
          <w:sz w:val="28"/>
          <w:szCs w:val="28"/>
          <w:lang w:val="uk-UA" w:eastAsia="ru-RU"/>
        </w:rPr>
        <w:t xml:space="preserve"> висока частота перехресної резистентності</w:t>
      </w:r>
      <w:r>
        <w:rPr>
          <w:rFonts w:ascii="Times New Roman" w:eastAsia="Times New Roman" w:hAnsi="Times New Roman" w:cs="Times New Roman"/>
          <w:color w:val="000000" w:themeColor="text1"/>
          <w:sz w:val="28"/>
          <w:szCs w:val="28"/>
          <w:lang w:val="uk-UA" w:eastAsia="ru-RU"/>
        </w:rPr>
        <w:t>, що</w:t>
      </w:r>
      <w:r w:rsidRPr="005E2529">
        <w:rPr>
          <w:rFonts w:ascii="Times New Roman" w:eastAsia="Times New Roman" w:hAnsi="Times New Roman" w:cs="Times New Roman"/>
          <w:color w:val="000000" w:themeColor="text1"/>
          <w:sz w:val="28"/>
          <w:szCs w:val="28"/>
          <w:lang w:val="uk-UA" w:eastAsia="ru-RU"/>
        </w:rPr>
        <w:t xml:space="preserve"> обмежує застосування як фторхінолонів, так і аміноглікозидів</w:t>
      </w:r>
      <w:r w:rsidRPr="00BA63D5">
        <w:rPr>
          <w:rFonts w:ascii="Times New Roman" w:eastAsia="Times New Roman" w:hAnsi="Times New Roman" w:cs="Times New Roman"/>
          <w:color w:val="000000" w:themeColor="text1"/>
          <w:sz w:val="28"/>
          <w:szCs w:val="28"/>
          <w:lang w:val="uk-UA" w:eastAsia="ru-RU"/>
        </w:rPr>
        <w:t xml:space="preserve"> </w:t>
      </w:r>
      <w:r>
        <w:rPr>
          <w:rFonts w:cstheme="minorHAnsi"/>
          <w:sz w:val="28"/>
          <w:szCs w:val="28"/>
          <w:lang w:val="uk-UA"/>
        </w:rPr>
        <w:t>[</w:t>
      </w:r>
      <w:r>
        <w:rPr>
          <w:rFonts w:ascii="Times New Roman" w:eastAsia="Times New Roman" w:hAnsi="Times New Roman" w:cs="Times New Roman"/>
          <w:color w:val="000000" w:themeColor="text1"/>
          <w:sz w:val="28"/>
          <w:szCs w:val="28"/>
          <w:bdr w:val="none" w:sz="0" w:space="0" w:color="auto" w:frame="1"/>
          <w:lang w:val="uk-UA" w:eastAsia="ru-RU"/>
        </w:rPr>
        <w:t>31</w:t>
      </w:r>
      <w:r w:rsidRPr="001061D6">
        <w:rPr>
          <w:rFonts w:ascii="Times New Roman" w:eastAsia="Times New Roman" w:hAnsi="Times New Roman" w:cs="Times New Roman"/>
          <w:color w:val="000000" w:themeColor="text1"/>
          <w:sz w:val="28"/>
          <w:szCs w:val="28"/>
          <w:lang w:val="uk-UA" w:eastAsia="ru-RU"/>
        </w:rPr>
        <w:t>]</w:t>
      </w:r>
      <w:r w:rsidRPr="00DF735F">
        <w:rPr>
          <w:rFonts w:ascii="Times New Roman" w:eastAsia="Times New Roman" w:hAnsi="Times New Roman" w:cs="Times New Roman"/>
          <w:color w:val="000000" w:themeColor="text1"/>
          <w:sz w:val="28"/>
          <w:szCs w:val="28"/>
          <w:lang w:val="uk-UA" w:eastAsia="ru-RU"/>
        </w:rPr>
        <w:t>.</w:t>
      </w:r>
      <w:r w:rsidRPr="00BA63D5">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Згідно даних </w:t>
      </w:r>
      <w:r w:rsidRPr="00085EDE">
        <w:rPr>
          <w:rFonts w:ascii="Times New Roman" w:eastAsia="Times New Roman" w:hAnsi="Times New Roman" w:cs="Times New Roman"/>
          <w:color w:val="000000" w:themeColor="text1"/>
          <w:sz w:val="28"/>
          <w:szCs w:val="28"/>
          <w:lang w:val="en-US" w:eastAsia="ru-RU"/>
        </w:rPr>
        <w:t>Ferjani</w:t>
      </w:r>
      <w:r w:rsidRPr="009E6A75">
        <w:rPr>
          <w:rFonts w:ascii="Times New Roman" w:eastAsia="Times New Roman" w:hAnsi="Times New Roman" w:cs="Times New Roman"/>
          <w:color w:val="000000" w:themeColor="text1"/>
          <w:sz w:val="28"/>
          <w:szCs w:val="28"/>
          <w:lang w:val="uk-UA" w:eastAsia="ru-RU"/>
        </w:rPr>
        <w:t xml:space="preserve"> </w:t>
      </w:r>
      <w:r w:rsidRPr="00085EDE">
        <w:rPr>
          <w:rFonts w:ascii="Times New Roman" w:eastAsia="Times New Roman" w:hAnsi="Times New Roman" w:cs="Times New Roman"/>
          <w:color w:val="000000" w:themeColor="text1"/>
          <w:sz w:val="28"/>
          <w:szCs w:val="28"/>
          <w:lang w:val="en-US" w:eastAsia="ru-RU"/>
        </w:rPr>
        <w:t>S</w:t>
      </w:r>
      <w:r>
        <w:rPr>
          <w:rFonts w:cstheme="minorHAnsi"/>
          <w:sz w:val="28"/>
          <w:szCs w:val="28"/>
          <w:lang w:val="uk-UA"/>
        </w:rPr>
        <w:t xml:space="preserve"> та соавт., виявляємість плазмід-індукованих механізмів резистентності до фторхінолонів серед </w:t>
      </w:r>
      <w:r w:rsidRPr="001B7F2F">
        <w:rPr>
          <w:sz w:val="28"/>
          <w:szCs w:val="28"/>
          <w:lang w:val="uk-UA"/>
        </w:rPr>
        <w:t>βЛРС</w:t>
      </w:r>
      <w:r>
        <w:rPr>
          <w:sz w:val="28"/>
          <w:szCs w:val="28"/>
          <w:lang w:val="uk-UA"/>
        </w:rPr>
        <w:t xml:space="preserve">-продукуючих бактерій склало 60% </w:t>
      </w:r>
      <w:r w:rsidRPr="00DF735F">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39</w:t>
      </w:r>
      <w:r w:rsidRPr="00DF735F">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Дослідження </w:t>
      </w:r>
      <w:r w:rsidRPr="00E7194E">
        <w:rPr>
          <w:rFonts w:cstheme="minorHAnsi"/>
          <w:color w:val="000000" w:themeColor="text1"/>
          <w:sz w:val="28"/>
          <w:szCs w:val="28"/>
          <w:shd w:val="clear" w:color="auto" w:fill="FFFFFF"/>
          <w:lang w:val="en-US"/>
        </w:rPr>
        <w:t>GEIH</w:t>
      </w:r>
      <w:r w:rsidRPr="00E7194E">
        <w:rPr>
          <w:rFonts w:cstheme="minorHAnsi"/>
          <w:color w:val="000000" w:themeColor="text1"/>
          <w:sz w:val="28"/>
          <w:szCs w:val="28"/>
          <w:shd w:val="clear" w:color="auto" w:fill="FFFFFF"/>
          <w:lang w:val="uk-UA"/>
        </w:rPr>
        <w:t>-</w:t>
      </w:r>
      <w:r w:rsidRPr="00E7194E">
        <w:rPr>
          <w:rStyle w:val="highlight"/>
          <w:rFonts w:cstheme="minorHAnsi"/>
          <w:color w:val="000000" w:themeColor="text1"/>
          <w:sz w:val="28"/>
          <w:szCs w:val="28"/>
          <w:shd w:val="clear" w:color="auto" w:fill="FFFFFF"/>
          <w:lang w:val="en-US"/>
        </w:rPr>
        <w:t>ESBL</w:t>
      </w:r>
      <w:r w:rsidRPr="00E7194E">
        <w:rPr>
          <w:rStyle w:val="apple-converted-space"/>
          <w:rFonts w:cstheme="minorHAnsi"/>
          <w:color w:val="000000" w:themeColor="text1"/>
          <w:sz w:val="28"/>
          <w:szCs w:val="28"/>
          <w:shd w:val="clear" w:color="auto" w:fill="FFFFFF"/>
          <w:lang w:val="en-US"/>
        </w:rPr>
        <w:t> </w:t>
      </w:r>
      <w:r w:rsidRPr="00E7194E">
        <w:rPr>
          <w:rFonts w:cstheme="minorHAnsi"/>
          <w:color w:val="000000" w:themeColor="text1"/>
          <w:sz w:val="28"/>
          <w:szCs w:val="28"/>
          <w:shd w:val="clear" w:color="auto" w:fill="FFFFFF"/>
          <w:lang w:val="uk-UA"/>
        </w:rPr>
        <w:t xml:space="preserve">2006 </w:t>
      </w:r>
      <w:r w:rsidRPr="00E7194E">
        <w:rPr>
          <w:rFonts w:cstheme="minorHAnsi"/>
          <w:color w:val="000000" w:themeColor="text1"/>
          <w:sz w:val="28"/>
          <w:szCs w:val="28"/>
          <w:shd w:val="clear" w:color="auto" w:fill="FFFFFF"/>
          <w:lang w:val="en-US"/>
        </w:rPr>
        <w:t>project</w:t>
      </w:r>
      <w:r>
        <w:rPr>
          <w:rFonts w:ascii="Times New Roman" w:eastAsia="Times New Roman" w:hAnsi="Times New Roman" w:cs="Times New Roman"/>
          <w:color w:val="000000" w:themeColor="text1"/>
          <w:sz w:val="28"/>
          <w:szCs w:val="28"/>
          <w:lang w:val="uk-UA" w:eastAsia="ru-RU"/>
        </w:rPr>
        <w:t xml:space="preserve"> демонструє виявлення протеїнів </w:t>
      </w:r>
      <w:r>
        <w:rPr>
          <w:rFonts w:cstheme="minorHAnsi"/>
          <w:sz w:val="28"/>
          <w:szCs w:val="28"/>
          <w:lang w:val="uk-UA"/>
        </w:rPr>
        <w:t xml:space="preserve">Qnr серед </w:t>
      </w:r>
      <w:r w:rsidRPr="001B7F2F">
        <w:rPr>
          <w:sz w:val="28"/>
          <w:szCs w:val="28"/>
          <w:lang w:val="uk-UA"/>
        </w:rPr>
        <w:t>βЛРС</w:t>
      </w:r>
      <w:r>
        <w:rPr>
          <w:sz w:val="28"/>
          <w:szCs w:val="28"/>
          <w:lang w:val="uk-UA"/>
        </w:rPr>
        <w:t xml:space="preserve">-продукуючих мікроорганізмів, що склало 3,7%, а виявлення </w:t>
      </w:r>
      <w:r w:rsidRPr="00BF711B">
        <w:rPr>
          <w:sz w:val="28"/>
          <w:szCs w:val="28"/>
          <w:lang w:val="uk-UA"/>
        </w:rPr>
        <w:t>аміноглікозид-ацетилтрансфераз</w:t>
      </w:r>
      <w:r>
        <w:rPr>
          <w:sz w:val="28"/>
          <w:szCs w:val="28"/>
          <w:lang w:val="uk-UA"/>
        </w:rPr>
        <w:t>и</w:t>
      </w:r>
      <w:r w:rsidRPr="00BF711B">
        <w:rPr>
          <w:sz w:val="28"/>
          <w:szCs w:val="28"/>
          <w:lang w:val="uk-UA"/>
        </w:rPr>
        <w:t xml:space="preserve"> </w:t>
      </w:r>
      <w:r>
        <w:rPr>
          <w:sz w:val="28"/>
          <w:szCs w:val="28"/>
          <w:lang w:val="uk-UA"/>
        </w:rPr>
        <w:t>(</w:t>
      </w:r>
      <w:r w:rsidRPr="00BF711B">
        <w:rPr>
          <w:sz w:val="28"/>
          <w:szCs w:val="28"/>
          <w:lang w:val="uk-UA"/>
        </w:rPr>
        <w:t>aac (6 ') - Ib-cr</w:t>
      </w:r>
      <w:r>
        <w:rPr>
          <w:sz w:val="28"/>
          <w:szCs w:val="28"/>
          <w:lang w:val="uk-UA"/>
        </w:rPr>
        <w:t xml:space="preserve">) – 16,2% </w:t>
      </w:r>
      <w:r>
        <w:rPr>
          <w:rFonts w:cstheme="minorHAnsi"/>
          <w:sz w:val="28"/>
          <w:szCs w:val="28"/>
          <w:lang w:val="uk-UA"/>
        </w:rPr>
        <w:t>[</w:t>
      </w:r>
      <w:r>
        <w:rPr>
          <w:rFonts w:ascii="Times New Roman" w:eastAsia="Times New Roman" w:hAnsi="Times New Roman" w:cs="Times New Roman"/>
          <w:color w:val="000000" w:themeColor="text1"/>
          <w:sz w:val="28"/>
          <w:szCs w:val="28"/>
          <w:lang w:val="uk-UA" w:eastAsia="ru-RU"/>
        </w:rPr>
        <w:t>24</w:t>
      </w:r>
      <w:r w:rsidRPr="00DF735F">
        <w:rPr>
          <w:rFonts w:ascii="Times New Roman" w:eastAsia="Times New Roman" w:hAnsi="Times New Roman" w:cs="Times New Roman"/>
          <w:color w:val="000000" w:themeColor="text1"/>
          <w:sz w:val="28"/>
          <w:szCs w:val="28"/>
          <w:lang w:val="uk-UA" w:eastAsia="ru-RU"/>
        </w:rPr>
        <w:t>].</w:t>
      </w:r>
    </w:p>
    <w:p w:rsidR="00CE6207" w:rsidRDefault="00CE6207" w:rsidP="00CE6207">
      <w:pPr>
        <w:spacing w:line="360" w:lineRule="auto"/>
        <w:ind w:firstLine="709"/>
        <w:jc w:val="both"/>
        <w:rPr>
          <w:rFonts w:cstheme="minorHAnsi"/>
          <w:color w:val="000000"/>
          <w:sz w:val="28"/>
          <w:szCs w:val="28"/>
          <w:shd w:val="clear" w:color="auto" w:fill="FFFFFF"/>
          <w:lang w:val="uk-UA"/>
        </w:rPr>
      </w:pPr>
      <w:r>
        <w:rPr>
          <w:rFonts w:cstheme="minorHAnsi"/>
          <w:color w:val="000000"/>
          <w:sz w:val="28"/>
          <w:szCs w:val="28"/>
          <w:shd w:val="clear" w:color="auto" w:fill="FFFFFF"/>
          <w:lang w:val="uk-UA"/>
        </w:rPr>
        <w:t xml:space="preserve">Отже, </w:t>
      </w:r>
      <w:r w:rsidRPr="00317907">
        <w:rPr>
          <w:rFonts w:cstheme="minorHAnsi"/>
          <w:color w:val="000000"/>
          <w:sz w:val="28"/>
          <w:szCs w:val="28"/>
          <w:shd w:val="clear" w:color="auto" w:fill="FFFFFF"/>
          <w:lang w:val="uk-UA"/>
        </w:rPr>
        <w:t>наростаюча резистентність до фторхінолонів внаслідок впливу плазм</w:t>
      </w:r>
      <w:r>
        <w:rPr>
          <w:rFonts w:cstheme="minorHAnsi"/>
          <w:color w:val="000000"/>
          <w:sz w:val="28"/>
          <w:szCs w:val="28"/>
          <w:shd w:val="clear" w:color="auto" w:fill="FFFFFF"/>
          <w:lang w:val="uk-UA"/>
        </w:rPr>
        <w:t>і</w:t>
      </w:r>
      <w:r w:rsidRPr="00317907">
        <w:rPr>
          <w:rFonts w:cstheme="minorHAnsi"/>
          <w:color w:val="000000"/>
          <w:sz w:val="28"/>
          <w:szCs w:val="28"/>
          <w:shd w:val="clear" w:color="auto" w:fill="FFFFFF"/>
          <w:lang w:val="uk-UA"/>
        </w:rPr>
        <w:t xml:space="preserve">д-індукованих механізмів представляє серйозну проблему в лікуванні </w:t>
      </w:r>
      <w:r>
        <w:rPr>
          <w:rFonts w:cstheme="minorHAnsi"/>
          <w:color w:val="000000"/>
          <w:sz w:val="28"/>
          <w:szCs w:val="28"/>
          <w:shd w:val="clear" w:color="auto" w:fill="FFFFFF"/>
          <w:lang w:val="uk-UA"/>
        </w:rPr>
        <w:t>ІСС</w:t>
      </w:r>
      <w:r w:rsidRPr="00317907">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Внаслідок</w:t>
      </w:r>
      <w:r w:rsidRPr="00317907">
        <w:rPr>
          <w:rFonts w:cstheme="minorHAnsi"/>
          <w:color w:val="000000"/>
          <w:sz w:val="28"/>
          <w:szCs w:val="28"/>
          <w:shd w:val="clear" w:color="auto" w:fill="FFFFFF"/>
          <w:lang w:val="uk-UA"/>
        </w:rPr>
        <w:t xml:space="preserve"> активності плазм</w:t>
      </w:r>
      <w:r>
        <w:rPr>
          <w:rFonts w:cstheme="minorHAnsi"/>
          <w:color w:val="000000"/>
          <w:sz w:val="28"/>
          <w:szCs w:val="28"/>
          <w:shd w:val="clear" w:color="auto" w:fill="FFFFFF"/>
          <w:lang w:val="uk-UA"/>
        </w:rPr>
        <w:t>і</w:t>
      </w:r>
      <w:r w:rsidRPr="00317907">
        <w:rPr>
          <w:rFonts w:cstheme="minorHAnsi"/>
          <w:color w:val="000000"/>
          <w:sz w:val="28"/>
          <w:szCs w:val="28"/>
          <w:shd w:val="clear" w:color="auto" w:fill="FFFFFF"/>
          <w:lang w:val="uk-UA"/>
        </w:rPr>
        <w:t>д можливе співіснування одночасно декількох механізмів резистентності (cross-resistance), в результаті чого, терапевтичний вибір вже спочатку лімітований. Тому, необхідно чітко дотримуватися принцип</w:t>
      </w:r>
      <w:r>
        <w:rPr>
          <w:rFonts w:cstheme="minorHAnsi"/>
          <w:color w:val="000000"/>
          <w:sz w:val="28"/>
          <w:szCs w:val="28"/>
          <w:shd w:val="clear" w:color="auto" w:fill="FFFFFF"/>
          <w:lang w:val="uk-UA"/>
        </w:rPr>
        <w:t>ів</w:t>
      </w:r>
      <w:r w:rsidRPr="00317907">
        <w:rPr>
          <w:rFonts w:cstheme="minorHAnsi"/>
          <w:color w:val="000000"/>
          <w:sz w:val="28"/>
          <w:szCs w:val="28"/>
          <w:shd w:val="clear" w:color="auto" w:fill="FFFFFF"/>
          <w:lang w:val="uk-UA"/>
        </w:rPr>
        <w:t xml:space="preserve"> та схем</w:t>
      </w:r>
      <w:r>
        <w:rPr>
          <w:rFonts w:cstheme="minorHAnsi"/>
          <w:color w:val="000000"/>
          <w:sz w:val="28"/>
          <w:szCs w:val="28"/>
          <w:shd w:val="clear" w:color="auto" w:fill="FFFFFF"/>
          <w:lang w:val="uk-UA"/>
        </w:rPr>
        <w:t xml:space="preserve"> </w:t>
      </w:r>
      <w:r w:rsidRPr="00317907">
        <w:rPr>
          <w:rFonts w:cstheme="minorHAnsi"/>
          <w:color w:val="000000"/>
          <w:sz w:val="28"/>
          <w:szCs w:val="28"/>
          <w:shd w:val="clear" w:color="auto" w:fill="FFFFFF"/>
          <w:lang w:val="uk-UA"/>
        </w:rPr>
        <w:t xml:space="preserve">лікування, враховувати можливий </w:t>
      </w:r>
      <w:r w:rsidRPr="00317907">
        <w:rPr>
          <w:rFonts w:cstheme="minorHAnsi"/>
          <w:color w:val="000000"/>
          <w:sz w:val="28"/>
          <w:szCs w:val="28"/>
          <w:shd w:val="clear" w:color="auto" w:fill="FFFFFF"/>
          <w:lang w:val="uk-UA"/>
        </w:rPr>
        <w:lastRenderedPageBreak/>
        <w:t>бактеріальний спектр і його чутливість, а також фактори ризику наявності стійкості з метою запобігання поширення опосередкованих плазм</w:t>
      </w:r>
      <w:r>
        <w:rPr>
          <w:rFonts w:cstheme="minorHAnsi"/>
          <w:color w:val="000000"/>
          <w:sz w:val="28"/>
          <w:szCs w:val="28"/>
          <w:shd w:val="clear" w:color="auto" w:fill="FFFFFF"/>
          <w:lang w:val="uk-UA"/>
        </w:rPr>
        <w:t>і</w:t>
      </w:r>
      <w:r w:rsidRPr="00317907">
        <w:rPr>
          <w:rFonts w:cstheme="minorHAnsi"/>
          <w:color w:val="000000"/>
          <w:sz w:val="28"/>
          <w:szCs w:val="28"/>
          <w:shd w:val="clear" w:color="auto" w:fill="FFFFFF"/>
          <w:lang w:val="uk-UA"/>
        </w:rPr>
        <w:t>дами генів резистентності до фторхінолонів між бактеріями.</w:t>
      </w:r>
    </w:p>
    <w:p w:rsidR="00CE6207" w:rsidRDefault="00CE6207" w:rsidP="00CE6207">
      <w:pPr>
        <w:spacing w:line="360" w:lineRule="auto"/>
        <w:ind w:firstLine="709"/>
        <w:jc w:val="both"/>
        <w:rPr>
          <w:rFonts w:cstheme="minorHAnsi"/>
          <w:b/>
          <w:color w:val="000000"/>
          <w:sz w:val="28"/>
          <w:szCs w:val="28"/>
          <w:shd w:val="clear" w:color="auto" w:fill="FFFFFF"/>
          <w:lang w:val="uk-UA"/>
        </w:rPr>
      </w:pPr>
      <w:r w:rsidRPr="00715819">
        <w:rPr>
          <w:rFonts w:cstheme="minorHAnsi"/>
          <w:b/>
          <w:color w:val="000000"/>
          <w:sz w:val="28"/>
          <w:szCs w:val="28"/>
          <w:shd w:val="clear" w:color="auto" w:fill="FFFFFF"/>
          <w:lang w:val="uk-UA"/>
        </w:rPr>
        <w:t>1.3.3 Плазміди: визначення, види, механізми інтеграції</w:t>
      </w:r>
      <w:r>
        <w:rPr>
          <w:rFonts w:cstheme="minorHAnsi"/>
          <w:b/>
          <w:color w:val="000000"/>
          <w:sz w:val="28"/>
          <w:szCs w:val="28"/>
          <w:shd w:val="clear" w:color="auto" w:fill="FFFFFF"/>
          <w:lang w:val="uk-UA"/>
        </w:rPr>
        <w:t>.</w:t>
      </w:r>
    </w:p>
    <w:p w:rsidR="00CE6207" w:rsidRDefault="00CE6207" w:rsidP="00CE6207">
      <w:pPr>
        <w:spacing w:after="0" w:line="360" w:lineRule="auto"/>
        <w:ind w:firstLine="709"/>
        <w:jc w:val="both"/>
        <w:rPr>
          <w:rFonts w:cstheme="minorHAnsi"/>
          <w:color w:val="000000"/>
          <w:sz w:val="28"/>
          <w:szCs w:val="28"/>
          <w:shd w:val="clear" w:color="auto" w:fill="FFFFFF"/>
          <w:lang w:val="uk-UA"/>
        </w:rPr>
      </w:pPr>
      <w:r w:rsidRPr="00715819">
        <w:rPr>
          <w:rFonts w:cstheme="minorHAnsi"/>
          <w:color w:val="000000"/>
          <w:sz w:val="28"/>
          <w:szCs w:val="28"/>
          <w:shd w:val="clear" w:color="auto" w:fill="FFFFFF"/>
          <w:lang w:val="uk-UA"/>
        </w:rPr>
        <w:t>Плазміди - екстра (позахромосомн</w:t>
      </w:r>
      <w:r>
        <w:rPr>
          <w:rFonts w:cstheme="minorHAnsi"/>
          <w:color w:val="000000"/>
          <w:sz w:val="28"/>
          <w:szCs w:val="28"/>
          <w:shd w:val="clear" w:color="auto" w:fill="FFFFFF"/>
          <w:lang w:val="uk-UA"/>
        </w:rPr>
        <w:t>і</w:t>
      </w:r>
      <w:r w:rsidRPr="00715819">
        <w:rPr>
          <w:rFonts w:cstheme="minorHAnsi"/>
          <w:color w:val="000000"/>
          <w:sz w:val="28"/>
          <w:szCs w:val="28"/>
          <w:shd w:val="clear" w:color="auto" w:fill="FFFFFF"/>
          <w:lang w:val="uk-UA"/>
        </w:rPr>
        <w:t xml:space="preserve"> генетичні елементи бактерій, здатні до самовідтворення </w:t>
      </w:r>
      <w:r>
        <w:rPr>
          <w:rFonts w:cstheme="minorHAnsi"/>
          <w:color w:val="000000"/>
          <w:sz w:val="28"/>
          <w:szCs w:val="28"/>
          <w:shd w:val="clear" w:color="auto" w:fill="FFFFFF"/>
          <w:lang w:val="uk-UA"/>
        </w:rPr>
        <w:t>та</w:t>
      </w:r>
      <w:r w:rsidRPr="00715819">
        <w:rPr>
          <w:rFonts w:cstheme="minorHAnsi"/>
          <w:color w:val="000000"/>
          <w:sz w:val="28"/>
          <w:szCs w:val="28"/>
          <w:shd w:val="clear" w:color="auto" w:fill="FFFFFF"/>
          <w:lang w:val="uk-UA"/>
        </w:rPr>
        <w:t xml:space="preserve"> існую</w:t>
      </w:r>
      <w:r>
        <w:rPr>
          <w:rFonts w:cstheme="minorHAnsi"/>
          <w:color w:val="000000"/>
          <w:sz w:val="28"/>
          <w:szCs w:val="28"/>
          <w:shd w:val="clear" w:color="auto" w:fill="FFFFFF"/>
          <w:lang w:val="uk-UA"/>
        </w:rPr>
        <w:t>ють</w:t>
      </w:r>
      <w:r w:rsidRPr="00715819">
        <w:rPr>
          <w:rFonts w:cstheme="minorHAnsi"/>
          <w:color w:val="000000"/>
          <w:sz w:val="28"/>
          <w:szCs w:val="28"/>
          <w:shd w:val="clear" w:color="auto" w:fill="FFFFFF"/>
          <w:lang w:val="uk-UA"/>
        </w:rPr>
        <w:t xml:space="preserve"> в цитоплазмі бактеріальної клітини. Плазміди </w:t>
      </w:r>
      <w:r>
        <w:rPr>
          <w:rFonts w:cstheme="minorHAnsi"/>
          <w:color w:val="000000"/>
          <w:sz w:val="28"/>
          <w:szCs w:val="28"/>
          <w:shd w:val="clear" w:color="auto" w:fill="FFFFFF"/>
          <w:lang w:val="uk-UA"/>
        </w:rPr>
        <w:t>являють собою</w:t>
      </w:r>
      <w:r w:rsidRPr="00715819">
        <w:rPr>
          <w:rFonts w:cstheme="minorHAnsi"/>
          <w:color w:val="000000"/>
          <w:sz w:val="28"/>
          <w:szCs w:val="28"/>
          <w:shd w:val="clear" w:color="auto" w:fill="FFFFFF"/>
          <w:lang w:val="uk-UA"/>
        </w:rPr>
        <w:t xml:space="preserve"> молекули ДНК, мають кільцеву замкнуту структуру, розміри їх варіюють від 1 до більше 1000 kilobase (kb)</w:t>
      </w:r>
      <w:r>
        <w:rPr>
          <w:rFonts w:cstheme="minorHAnsi"/>
          <w:color w:val="000000"/>
          <w:sz w:val="28"/>
          <w:szCs w:val="28"/>
          <w:shd w:val="clear" w:color="auto" w:fill="FFFFFF"/>
          <w:lang w:val="uk-UA"/>
        </w:rPr>
        <w:t>.</w:t>
      </w:r>
    </w:p>
    <w:p w:rsidR="00CE6207" w:rsidRDefault="00CE6207" w:rsidP="00CE6207">
      <w:pPr>
        <w:spacing w:after="0" w:line="360" w:lineRule="auto"/>
        <w:ind w:firstLine="709"/>
        <w:jc w:val="both"/>
        <w:rPr>
          <w:rFonts w:cstheme="minorHAnsi"/>
          <w:color w:val="000000"/>
          <w:sz w:val="28"/>
          <w:szCs w:val="28"/>
          <w:shd w:val="clear" w:color="auto" w:fill="FFFFFF"/>
          <w:lang w:val="uk-UA"/>
        </w:rPr>
      </w:pPr>
      <w:r w:rsidRPr="00483229">
        <w:rPr>
          <w:rFonts w:cstheme="minorHAnsi"/>
          <w:color w:val="000000"/>
          <w:sz w:val="28"/>
          <w:szCs w:val="28"/>
          <w:shd w:val="clear" w:color="auto" w:fill="FFFFFF"/>
          <w:lang w:val="uk-UA"/>
        </w:rPr>
        <w:t>Плазміди відіграють важливу роль в еволюції бактерій, беручи участь у процесі природного відбору. Клітини, які набувають плазміди, набувають нов</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найчастіше вигідні для них, властивості. Ці властивості лягли в основу назв вперше виявлених плазм</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xml:space="preserve">д, а саме: F-плазмід (фактор статі), які надають клітинам донорні властивості, R-плазмід (resistance) визначають стійкість (резистентність) клітин до антибіотиків, Col- плазмид (colicinogeny-коліціногенность) детермінують синтез білкових речовин, </w:t>
      </w:r>
      <w:r>
        <w:rPr>
          <w:rFonts w:cstheme="minorHAnsi"/>
          <w:color w:val="000000"/>
          <w:sz w:val="28"/>
          <w:szCs w:val="28"/>
          <w:shd w:val="clear" w:color="auto" w:fill="FFFFFF"/>
          <w:lang w:val="uk-UA"/>
        </w:rPr>
        <w:t xml:space="preserve">що називаються </w:t>
      </w:r>
      <w:r w:rsidRPr="00483229">
        <w:rPr>
          <w:rFonts w:cstheme="minorHAnsi"/>
          <w:color w:val="000000"/>
          <w:sz w:val="28"/>
          <w:szCs w:val="28"/>
          <w:shd w:val="clear" w:color="auto" w:fill="FFFFFF"/>
          <w:lang w:val="uk-UA"/>
        </w:rPr>
        <w:t>коліц</w:t>
      </w:r>
      <w:r>
        <w:rPr>
          <w:rFonts w:cstheme="minorHAnsi"/>
          <w:color w:val="000000"/>
          <w:sz w:val="28"/>
          <w:szCs w:val="28"/>
          <w:shd w:val="clear" w:color="auto" w:fill="FFFFFF"/>
          <w:lang w:val="uk-UA"/>
        </w:rPr>
        <w:t>и</w:t>
      </w:r>
      <w:r w:rsidRPr="00483229">
        <w:rPr>
          <w:rFonts w:cstheme="minorHAnsi"/>
          <w:color w:val="000000"/>
          <w:sz w:val="28"/>
          <w:szCs w:val="28"/>
          <w:shd w:val="clear" w:color="auto" w:fill="FFFFFF"/>
          <w:lang w:val="uk-UA"/>
        </w:rPr>
        <w:t>ни, здатних викликати загибель чутливих бактерій власного виду або близькоспоріднених.</w:t>
      </w:r>
      <w:r>
        <w:rPr>
          <w:rFonts w:cstheme="minorHAnsi"/>
          <w:color w:val="000000"/>
          <w:sz w:val="28"/>
          <w:szCs w:val="28"/>
          <w:shd w:val="clear" w:color="auto" w:fill="FFFFFF"/>
          <w:lang w:val="uk-UA"/>
        </w:rPr>
        <w:t xml:space="preserve"> </w:t>
      </w:r>
      <w:r w:rsidRPr="00483229">
        <w:rPr>
          <w:rFonts w:cstheme="minorHAnsi"/>
          <w:color w:val="000000"/>
          <w:sz w:val="28"/>
          <w:szCs w:val="28"/>
          <w:shd w:val="clear" w:color="auto" w:fill="FFFFFF"/>
          <w:lang w:val="uk-UA"/>
        </w:rPr>
        <w:t>Залежно від здатності чи нездатності передаватися від однієї бактеріальної клітини в іншу в процесі кон'югації, розрізняють кон'югатівн</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xml:space="preserve"> (self-transmissible) плазміди, які мають свій transfer-механізм і некон'югатівн</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xml:space="preserve"> (mobilizable) плазміди, що переміщуються за допомогою transfer-механізму </w:t>
      </w:r>
      <w:r>
        <w:rPr>
          <w:rFonts w:cstheme="minorHAnsi"/>
          <w:color w:val="000000"/>
          <w:sz w:val="28"/>
          <w:szCs w:val="28"/>
          <w:shd w:val="clear" w:color="auto" w:fill="FFFFFF"/>
          <w:lang w:val="uk-UA"/>
        </w:rPr>
        <w:t>кон'югативних плазмід</w:t>
      </w:r>
      <w:r w:rsidRPr="00483229">
        <w:rPr>
          <w:rFonts w:cstheme="minorHAnsi"/>
          <w:color w:val="000000"/>
          <w:sz w:val="28"/>
          <w:szCs w:val="28"/>
          <w:shd w:val="clear" w:color="auto" w:fill="FFFFFF"/>
          <w:lang w:val="uk-UA"/>
        </w:rPr>
        <w:t>.</w:t>
      </w:r>
      <w:r>
        <w:rPr>
          <w:rFonts w:cstheme="minorHAnsi"/>
          <w:color w:val="000000"/>
          <w:sz w:val="28"/>
          <w:szCs w:val="28"/>
          <w:shd w:val="clear" w:color="auto" w:fill="FFFFFF"/>
          <w:lang w:val="uk-UA"/>
        </w:rPr>
        <w:t xml:space="preserve"> </w:t>
      </w:r>
      <w:r w:rsidRPr="00483229">
        <w:rPr>
          <w:rFonts w:cstheme="minorHAnsi"/>
          <w:color w:val="000000"/>
          <w:sz w:val="28"/>
          <w:szCs w:val="28"/>
          <w:shd w:val="clear" w:color="auto" w:fill="FFFFFF"/>
          <w:lang w:val="uk-UA"/>
        </w:rPr>
        <w:t>R-фактор - типова плазм</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да, являє собою двонитков</w:t>
      </w:r>
      <w:r>
        <w:rPr>
          <w:rFonts w:cstheme="minorHAnsi"/>
          <w:color w:val="000000"/>
          <w:sz w:val="28"/>
          <w:szCs w:val="28"/>
          <w:shd w:val="clear" w:color="auto" w:fill="FFFFFF"/>
          <w:lang w:val="uk-UA"/>
        </w:rPr>
        <w:t>у</w:t>
      </w:r>
      <w:r w:rsidRPr="00483229">
        <w:rPr>
          <w:rFonts w:cstheme="minorHAnsi"/>
          <w:color w:val="000000"/>
          <w:sz w:val="28"/>
          <w:szCs w:val="28"/>
          <w:shd w:val="clear" w:color="auto" w:fill="FFFFFF"/>
          <w:lang w:val="uk-UA"/>
        </w:rPr>
        <w:t xml:space="preserve"> молекулу ДНК, в якій є гени, відповідальні за самореплікаці</w:t>
      </w:r>
      <w:r>
        <w:rPr>
          <w:rFonts w:cstheme="minorHAnsi"/>
          <w:color w:val="000000"/>
          <w:sz w:val="28"/>
          <w:szCs w:val="28"/>
          <w:shd w:val="clear" w:color="auto" w:fill="FFFFFF"/>
          <w:lang w:val="uk-UA"/>
        </w:rPr>
        <w:t>ю</w:t>
      </w:r>
      <w:r w:rsidRPr="00483229">
        <w:rPr>
          <w:rFonts w:cstheme="minorHAnsi"/>
          <w:color w:val="000000"/>
          <w:sz w:val="28"/>
          <w:szCs w:val="28"/>
          <w:shd w:val="clear" w:color="auto" w:fill="FFFFFF"/>
          <w:lang w:val="uk-UA"/>
        </w:rPr>
        <w:t xml:space="preserve"> і перенесення резистентності в реципієнтну клітку - фактор переносу стійкості RTF (resistance transfer factor) і окремі гени, що детермінують стійкість до конкретного антибіотика. Плазміда, що містить RTF, </w:t>
      </w:r>
      <w:r>
        <w:rPr>
          <w:rFonts w:cstheme="minorHAnsi"/>
          <w:color w:val="000000"/>
          <w:sz w:val="28"/>
          <w:szCs w:val="28"/>
          <w:shd w:val="clear" w:color="auto" w:fill="FFFFFF"/>
          <w:lang w:val="uk-UA"/>
        </w:rPr>
        <w:t>належить до кон'югати</w:t>
      </w:r>
      <w:r w:rsidRPr="00483229">
        <w:rPr>
          <w:rFonts w:cstheme="minorHAnsi"/>
          <w:color w:val="000000"/>
          <w:sz w:val="28"/>
          <w:szCs w:val="28"/>
          <w:shd w:val="clear" w:color="auto" w:fill="FFFFFF"/>
          <w:lang w:val="uk-UA"/>
        </w:rPr>
        <w:t>вних. На поверхні таких клітин утворюються статеві F-п</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л</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необхідні для її кон'югації з клітиною-реципієнтом та передачі R-фактора</w:t>
      </w:r>
      <w:r>
        <w:rPr>
          <w:rFonts w:cstheme="minorHAnsi"/>
          <w:color w:val="000000"/>
          <w:sz w:val="28"/>
          <w:szCs w:val="28"/>
          <w:shd w:val="clear" w:color="auto" w:fill="FFFFFF"/>
          <w:lang w:val="uk-UA"/>
        </w:rPr>
        <w:t xml:space="preserve"> (малюнок 1.5). </w:t>
      </w:r>
      <w:r w:rsidRPr="00483229">
        <w:rPr>
          <w:rFonts w:cstheme="minorHAnsi"/>
          <w:color w:val="000000"/>
          <w:sz w:val="28"/>
          <w:szCs w:val="28"/>
          <w:shd w:val="clear" w:color="auto" w:fill="FFFFFF"/>
          <w:lang w:val="uk-UA"/>
        </w:rPr>
        <w:t>Статеві F-п</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л</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 xml:space="preserve"> клітини-донора утворюють так званий «кон'югаційний місток» з кліткою реципієнтом, за яким передається </w:t>
      </w:r>
      <w:r w:rsidRPr="00483229">
        <w:rPr>
          <w:rFonts w:cstheme="minorHAnsi"/>
          <w:color w:val="000000"/>
          <w:sz w:val="28"/>
          <w:szCs w:val="28"/>
          <w:shd w:val="clear" w:color="auto" w:fill="FFFFFF"/>
          <w:lang w:val="uk-UA"/>
        </w:rPr>
        <w:lastRenderedPageBreak/>
        <w:t>одна з ниток плазмідної ДНК. В результаті такого процесу утворюється нова клітина (новий донор), що містить у своєму складі плазм</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ду, і відповідно</w:t>
      </w:r>
      <w:r>
        <w:rPr>
          <w:rFonts w:cstheme="minorHAnsi"/>
          <w:color w:val="000000"/>
          <w:sz w:val="28"/>
          <w:szCs w:val="28"/>
          <w:shd w:val="clear" w:color="auto" w:fill="FFFFFF"/>
          <w:lang w:val="uk-UA"/>
        </w:rPr>
        <w:t xml:space="preserve"> – </w:t>
      </w:r>
      <w:r w:rsidRPr="00483229">
        <w:rPr>
          <w:rFonts w:cstheme="minorHAnsi"/>
          <w:color w:val="000000"/>
          <w:sz w:val="28"/>
          <w:szCs w:val="28"/>
          <w:shd w:val="clear" w:color="auto" w:fill="FFFFFF"/>
          <w:lang w:val="uk-UA"/>
        </w:rPr>
        <w:t xml:space="preserve">нові властивості. У подальшому при </w:t>
      </w:r>
      <w:r>
        <w:rPr>
          <w:rFonts w:cstheme="minorHAnsi"/>
          <w:color w:val="000000"/>
          <w:sz w:val="28"/>
          <w:szCs w:val="28"/>
          <w:shd w:val="clear" w:color="auto" w:fill="FFFFFF"/>
          <w:lang w:val="uk-UA"/>
        </w:rPr>
        <w:t>поділі</w:t>
      </w:r>
      <w:r w:rsidRPr="00483229">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такої клітини, всі дочірні особі</w:t>
      </w:r>
      <w:r w:rsidRPr="00483229">
        <w:rPr>
          <w:rFonts w:cstheme="minorHAnsi"/>
          <w:color w:val="000000"/>
          <w:sz w:val="28"/>
          <w:szCs w:val="28"/>
          <w:shd w:val="clear" w:color="auto" w:fill="FFFFFF"/>
          <w:lang w:val="uk-UA"/>
        </w:rPr>
        <w:t xml:space="preserve"> будуть мати у своєму геномі плазм</w:t>
      </w:r>
      <w:r>
        <w:rPr>
          <w:rFonts w:cstheme="minorHAnsi"/>
          <w:color w:val="000000"/>
          <w:sz w:val="28"/>
          <w:szCs w:val="28"/>
          <w:shd w:val="clear" w:color="auto" w:fill="FFFFFF"/>
          <w:lang w:val="uk-UA"/>
        </w:rPr>
        <w:t>і</w:t>
      </w:r>
      <w:r w:rsidRPr="00483229">
        <w:rPr>
          <w:rFonts w:cstheme="minorHAnsi"/>
          <w:color w:val="000000"/>
          <w:sz w:val="28"/>
          <w:szCs w:val="28"/>
          <w:shd w:val="clear" w:color="auto" w:fill="FFFFFF"/>
          <w:lang w:val="uk-UA"/>
        </w:rPr>
        <w:t>ду.</w:t>
      </w:r>
    </w:p>
    <w:p w:rsidR="00CE6207" w:rsidRDefault="00CE6207" w:rsidP="00CE6207">
      <w:pPr>
        <w:spacing w:after="0" w:line="360" w:lineRule="auto"/>
        <w:ind w:firstLine="709"/>
        <w:jc w:val="center"/>
        <w:rPr>
          <w:rFonts w:cstheme="minorHAnsi"/>
          <w:color w:val="000000"/>
          <w:sz w:val="28"/>
          <w:szCs w:val="28"/>
          <w:shd w:val="clear" w:color="auto" w:fill="FFFFFF"/>
          <w:lang w:val="uk-UA"/>
        </w:rPr>
      </w:pPr>
    </w:p>
    <w:p w:rsidR="00CE6207" w:rsidRPr="009F275F" w:rsidRDefault="00CE6207" w:rsidP="00CE6207">
      <w:pPr>
        <w:spacing w:after="0" w:line="360" w:lineRule="auto"/>
        <w:ind w:firstLine="709"/>
        <w:jc w:val="both"/>
        <w:rPr>
          <w:rFonts w:cstheme="minorHAnsi"/>
          <w:color w:val="000000"/>
          <w:sz w:val="28"/>
          <w:szCs w:val="28"/>
          <w:shd w:val="clear" w:color="auto" w:fill="FFFFFF"/>
          <w:lang w:val="uk-UA"/>
        </w:rPr>
      </w:pPr>
      <w:r w:rsidRPr="00483229">
        <w:rPr>
          <w:rFonts w:cstheme="minorHAnsi"/>
          <w:color w:val="000000"/>
          <w:sz w:val="28"/>
          <w:szCs w:val="28"/>
          <w:shd w:val="clear" w:color="auto" w:fill="FFFFFF"/>
          <w:lang w:val="uk-UA"/>
        </w:rPr>
        <w:t xml:space="preserve">Ще однією властивістю бактеріальних плазмід є їх здатність інтегруватися (вбудовуватися) в геном клітини-господаря і таким чином </w:t>
      </w:r>
      <w:r>
        <w:rPr>
          <w:rFonts w:cstheme="minorHAnsi"/>
          <w:color w:val="000000"/>
          <w:sz w:val="28"/>
          <w:szCs w:val="28"/>
          <w:shd w:val="clear" w:color="auto" w:fill="FFFFFF"/>
          <w:lang w:val="uk-UA"/>
        </w:rPr>
        <w:t>реалізовувати</w:t>
      </w:r>
      <w:r w:rsidRPr="00483229">
        <w:rPr>
          <w:rFonts w:cstheme="minorHAnsi"/>
          <w:color w:val="000000"/>
          <w:sz w:val="28"/>
          <w:szCs w:val="28"/>
          <w:shd w:val="clear" w:color="auto" w:fill="FFFFFF"/>
          <w:lang w:val="uk-UA"/>
        </w:rPr>
        <w:t xml:space="preserve"> свої нові властивості, зокрема резистентність до антибактеріальних препаратів</w:t>
      </w:r>
      <w:r>
        <w:rPr>
          <w:rFonts w:cstheme="minorHAnsi"/>
          <w:color w:val="000000"/>
          <w:sz w:val="28"/>
          <w:szCs w:val="28"/>
          <w:shd w:val="clear" w:color="auto" w:fill="FFFFFF"/>
          <w:lang w:val="uk-UA"/>
        </w:rPr>
        <w:t>.</w:t>
      </w:r>
    </w:p>
    <w:p w:rsidR="00CE6207" w:rsidRPr="00DF32C7" w:rsidRDefault="00CE6207" w:rsidP="00CE6207">
      <w:pPr>
        <w:spacing w:line="360" w:lineRule="auto"/>
        <w:ind w:firstLine="709"/>
        <w:jc w:val="both"/>
        <w:rPr>
          <w:rFonts w:cstheme="minorHAnsi"/>
          <w:color w:val="000000"/>
          <w:sz w:val="28"/>
          <w:szCs w:val="28"/>
          <w:shd w:val="clear" w:color="auto" w:fill="FFFFFF"/>
          <w:lang w:val="uk-UA"/>
        </w:rPr>
      </w:pPr>
      <w:r w:rsidRPr="00DF32C7">
        <w:rPr>
          <w:rFonts w:cstheme="minorHAnsi"/>
          <w:color w:val="000000"/>
          <w:sz w:val="28"/>
          <w:szCs w:val="28"/>
          <w:shd w:val="clear" w:color="auto" w:fill="FFFFFF"/>
          <w:lang w:val="uk-UA"/>
        </w:rPr>
        <w:t>Плазмід-опосередкований трансфер генів резистентності серед бактеріальних збудників вважається одним з найбільш важливих механізмів поширення мульти-резистентності (MDR). Тому, характеристика плазмід від різних бактеріальних штамів є ключовим кроком для розуміння механізмів вірулентності і їх еволюції, і розробки більш ефективних лікарських засобів, які впливають на резистентні бактерії.</w:t>
      </w:r>
    </w:p>
    <w:p w:rsidR="00CE6207" w:rsidRDefault="00CE6207" w:rsidP="00CE6207">
      <w:pPr>
        <w:spacing w:line="360" w:lineRule="auto"/>
        <w:ind w:firstLine="709"/>
        <w:jc w:val="both"/>
        <w:rPr>
          <w:rFonts w:cstheme="minorHAnsi"/>
          <w:b/>
          <w:color w:val="000000"/>
          <w:sz w:val="28"/>
          <w:szCs w:val="28"/>
          <w:shd w:val="clear" w:color="auto" w:fill="FFFFFF"/>
          <w:lang w:val="uk-UA"/>
        </w:rPr>
      </w:pPr>
      <w:r>
        <w:rPr>
          <w:rFonts w:cstheme="minorHAnsi"/>
          <w:b/>
          <w:color w:val="000000"/>
          <w:sz w:val="28"/>
          <w:szCs w:val="28"/>
          <w:shd w:val="clear" w:color="auto" w:fill="FFFFFF"/>
          <w:lang w:val="uk-UA"/>
        </w:rPr>
        <w:t>1.4 Фармако-терапія інфекцій, спричинених штамами з плазмідними механізмами резистентності. Можливі шляхи подолання резистентності.</w:t>
      </w:r>
    </w:p>
    <w:p w:rsidR="00CE6207" w:rsidRPr="003E14FB" w:rsidRDefault="00CE6207" w:rsidP="00CE6207">
      <w:pPr>
        <w:spacing w:after="0" w:line="360" w:lineRule="auto"/>
        <w:ind w:firstLine="709"/>
        <w:jc w:val="both"/>
        <w:rPr>
          <w:rFonts w:cstheme="minorHAnsi"/>
          <w:color w:val="000000"/>
          <w:sz w:val="28"/>
          <w:szCs w:val="28"/>
          <w:shd w:val="clear" w:color="auto" w:fill="FFFFFF"/>
          <w:lang w:val="uk-UA"/>
        </w:rPr>
      </w:pPr>
      <w:r w:rsidRPr="003E14FB">
        <w:rPr>
          <w:rFonts w:cstheme="minorHAnsi"/>
          <w:color w:val="000000"/>
          <w:sz w:val="28"/>
          <w:szCs w:val="28"/>
          <w:shd w:val="clear" w:color="auto" w:fill="FFFFFF"/>
          <w:lang w:val="uk-UA"/>
        </w:rPr>
        <w:t>В результаті швидкого зростання резистентності грамнегативних бактерій, існую</w:t>
      </w:r>
      <w:r>
        <w:rPr>
          <w:rFonts w:cstheme="minorHAnsi"/>
          <w:color w:val="000000"/>
          <w:sz w:val="28"/>
          <w:szCs w:val="28"/>
          <w:shd w:val="clear" w:color="auto" w:fill="FFFFFF"/>
          <w:lang w:val="uk-UA"/>
        </w:rPr>
        <w:t>ча</w:t>
      </w:r>
      <w:r w:rsidRPr="003E14FB">
        <w:rPr>
          <w:rFonts w:cstheme="minorHAnsi"/>
          <w:color w:val="000000"/>
          <w:sz w:val="28"/>
          <w:szCs w:val="28"/>
          <w:shd w:val="clear" w:color="auto" w:fill="FFFFFF"/>
          <w:lang w:val="uk-UA"/>
        </w:rPr>
        <w:t xml:space="preserve"> у світі програма синтезу антибактеріальних препаратів не забезпечить терапевтичні потреби на найближчі 10-20 років [</w:t>
      </w:r>
      <w:r>
        <w:rPr>
          <w:rFonts w:ascii="Times New Roman" w:eastAsia="Times New Roman" w:hAnsi="Times New Roman" w:cs="Times New Roman"/>
          <w:color w:val="000000"/>
          <w:sz w:val="28"/>
          <w:szCs w:val="28"/>
          <w:lang w:val="uk-UA"/>
        </w:rPr>
        <w:t>23</w:t>
      </w:r>
      <w:r w:rsidRPr="003E14FB">
        <w:rPr>
          <w:rFonts w:cstheme="minorHAnsi"/>
          <w:color w:val="000000"/>
          <w:sz w:val="28"/>
          <w:szCs w:val="28"/>
          <w:shd w:val="clear" w:color="auto" w:fill="FFFFFF"/>
          <w:lang w:val="uk-UA"/>
        </w:rPr>
        <w:t>]. Карбапенеми розглядаються в якості препаратів вибору в лікуванні інфекцій, викликаних ESBL-продукую</w:t>
      </w:r>
      <w:r>
        <w:rPr>
          <w:rFonts w:cstheme="minorHAnsi"/>
          <w:color w:val="000000"/>
          <w:sz w:val="28"/>
          <w:szCs w:val="28"/>
          <w:shd w:val="clear" w:color="auto" w:fill="FFFFFF"/>
          <w:lang w:val="uk-UA"/>
        </w:rPr>
        <w:t>чими</w:t>
      </w:r>
      <w:r w:rsidRPr="003E14FB">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мікро</w:t>
      </w:r>
      <w:r w:rsidRPr="003E14FB">
        <w:rPr>
          <w:rFonts w:cstheme="minorHAnsi"/>
          <w:color w:val="000000"/>
          <w:sz w:val="28"/>
          <w:szCs w:val="28"/>
          <w:shd w:val="clear" w:color="auto" w:fill="FFFFFF"/>
          <w:lang w:val="uk-UA"/>
        </w:rPr>
        <w:t>організмами. Це положення не перевірялося в рандомізованих контрольованих дослідженнях, і грунтується на ретроспективних дослідженнях і описах клінічних випадків. Так, за даними невеликих досліджень, у хворих з бактеріємією, викликано</w:t>
      </w:r>
      <w:r>
        <w:rPr>
          <w:rFonts w:cstheme="minorHAnsi"/>
          <w:color w:val="000000"/>
          <w:sz w:val="28"/>
          <w:szCs w:val="28"/>
          <w:shd w:val="clear" w:color="auto" w:fill="FFFFFF"/>
          <w:lang w:val="uk-UA"/>
        </w:rPr>
        <w:t>ю</w:t>
      </w:r>
      <w:r w:rsidRPr="003E14FB">
        <w:rPr>
          <w:rFonts w:cstheme="minorHAnsi"/>
          <w:color w:val="000000"/>
          <w:sz w:val="28"/>
          <w:szCs w:val="28"/>
          <w:shd w:val="clear" w:color="auto" w:fill="FFFFFF"/>
          <w:lang w:val="uk-UA"/>
        </w:rPr>
        <w:t xml:space="preserve"> ESBL-проду</w:t>
      </w:r>
      <w:r>
        <w:rPr>
          <w:rFonts w:cstheme="minorHAnsi"/>
          <w:color w:val="000000"/>
          <w:sz w:val="28"/>
          <w:szCs w:val="28"/>
          <w:shd w:val="clear" w:color="auto" w:fill="FFFFFF"/>
          <w:lang w:val="uk-UA"/>
        </w:rPr>
        <w:t>куючою</w:t>
      </w:r>
      <w:r w:rsidRPr="003E14FB">
        <w:rPr>
          <w:rFonts w:cstheme="minorHAnsi"/>
          <w:color w:val="000000"/>
          <w:sz w:val="28"/>
          <w:szCs w:val="28"/>
          <w:shd w:val="clear" w:color="auto" w:fill="FFFFFF"/>
          <w:lang w:val="uk-UA"/>
        </w:rPr>
        <w:t xml:space="preserve"> Klebsiella pneumoniae, застосування карбапенемів було незалежним предиктором </w:t>
      </w:r>
      <w:r>
        <w:rPr>
          <w:rFonts w:cstheme="minorHAnsi"/>
          <w:color w:val="000000"/>
          <w:sz w:val="28"/>
          <w:szCs w:val="28"/>
          <w:shd w:val="clear" w:color="auto" w:fill="FFFFFF"/>
          <w:lang w:val="uk-UA"/>
        </w:rPr>
        <w:t>зменшення</w:t>
      </w:r>
      <w:r w:rsidRPr="003E14FB">
        <w:rPr>
          <w:rFonts w:cstheme="minorHAnsi"/>
          <w:color w:val="000000"/>
          <w:sz w:val="28"/>
          <w:szCs w:val="28"/>
          <w:shd w:val="clear" w:color="auto" w:fill="FFFFFF"/>
          <w:lang w:val="uk-UA"/>
        </w:rPr>
        <w:t xml:space="preserve"> смертності у порівнянні з застосуванням інших антибіотиків, до яких збудник демонстрував чутливість </w:t>
      </w:r>
      <w:r w:rsidRPr="003E14FB">
        <w:rPr>
          <w:rFonts w:cstheme="minorHAnsi"/>
          <w:color w:val="000000"/>
          <w:sz w:val="28"/>
          <w:szCs w:val="28"/>
          <w:shd w:val="clear" w:color="auto" w:fill="FFFFFF"/>
          <w:lang w:val="uk-UA"/>
        </w:rPr>
        <w:lastRenderedPageBreak/>
        <w:t>in vitro [</w:t>
      </w:r>
      <w:r>
        <w:rPr>
          <w:rFonts w:ascii="Times New Roman" w:eastAsia="Times New Roman" w:hAnsi="Times New Roman" w:cs="Times New Roman"/>
          <w:color w:val="000000"/>
          <w:sz w:val="28"/>
          <w:szCs w:val="28"/>
          <w:lang w:val="uk-UA"/>
        </w:rPr>
        <w:t>72</w:t>
      </w:r>
      <w:r w:rsidRPr="003E14FB">
        <w:rPr>
          <w:rFonts w:cstheme="minorHAnsi"/>
          <w:color w:val="000000"/>
          <w:sz w:val="28"/>
          <w:szCs w:val="28"/>
          <w:shd w:val="clear" w:color="auto" w:fill="FFFFFF"/>
          <w:lang w:val="uk-UA"/>
        </w:rPr>
        <w:t xml:space="preserve">]. Внаслідок цього, в лікуванні інфекцій, викликаних бактеріями, </w:t>
      </w:r>
      <w:r>
        <w:rPr>
          <w:rFonts w:cstheme="minorHAnsi"/>
          <w:color w:val="000000"/>
          <w:sz w:val="28"/>
          <w:szCs w:val="28"/>
          <w:shd w:val="clear" w:color="auto" w:fill="FFFFFF"/>
          <w:lang w:val="uk-UA"/>
        </w:rPr>
        <w:t xml:space="preserve">що </w:t>
      </w:r>
      <w:r w:rsidRPr="003E14FB">
        <w:rPr>
          <w:rFonts w:cstheme="minorHAnsi"/>
          <w:color w:val="000000"/>
          <w:sz w:val="28"/>
          <w:szCs w:val="28"/>
          <w:shd w:val="clear" w:color="auto" w:fill="FFFFFF"/>
          <w:lang w:val="uk-UA"/>
        </w:rPr>
        <w:t>продукують ESBLs, карбапенеми витісняють цеф</w:t>
      </w:r>
      <w:r>
        <w:rPr>
          <w:rFonts w:cstheme="minorHAnsi"/>
          <w:color w:val="000000"/>
          <w:sz w:val="28"/>
          <w:szCs w:val="28"/>
          <w:shd w:val="clear" w:color="auto" w:fill="FFFFFF"/>
          <w:lang w:val="uk-UA"/>
        </w:rPr>
        <w:t>і</w:t>
      </w:r>
      <w:r w:rsidRPr="003E14FB">
        <w:rPr>
          <w:rFonts w:cstheme="minorHAnsi"/>
          <w:color w:val="000000"/>
          <w:sz w:val="28"/>
          <w:szCs w:val="28"/>
          <w:shd w:val="clear" w:color="auto" w:fill="FFFFFF"/>
          <w:lang w:val="uk-UA"/>
        </w:rPr>
        <w:t>п</w:t>
      </w:r>
      <w:r>
        <w:rPr>
          <w:rFonts w:cstheme="minorHAnsi"/>
          <w:color w:val="000000"/>
          <w:sz w:val="28"/>
          <w:szCs w:val="28"/>
          <w:shd w:val="clear" w:color="auto" w:fill="FFFFFF"/>
          <w:lang w:val="uk-UA"/>
        </w:rPr>
        <w:t>і</w:t>
      </w:r>
      <w:r w:rsidRPr="003E14FB">
        <w:rPr>
          <w:rFonts w:cstheme="minorHAnsi"/>
          <w:color w:val="000000"/>
          <w:sz w:val="28"/>
          <w:szCs w:val="28"/>
          <w:shd w:val="clear" w:color="auto" w:fill="FFFFFF"/>
          <w:lang w:val="uk-UA"/>
        </w:rPr>
        <w:t>м, який демонструє високу мінімальну інгібуючу концентрацію щодо CTX-M продукую</w:t>
      </w:r>
      <w:r>
        <w:rPr>
          <w:rFonts w:cstheme="minorHAnsi"/>
          <w:color w:val="000000"/>
          <w:sz w:val="28"/>
          <w:szCs w:val="28"/>
          <w:shd w:val="clear" w:color="auto" w:fill="FFFFFF"/>
          <w:lang w:val="uk-UA"/>
        </w:rPr>
        <w:t>чих</w:t>
      </w:r>
      <w:r w:rsidRPr="003E14FB">
        <w:rPr>
          <w:rFonts w:cstheme="minorHAnsi"/>
          <w:color w:val="000000"/>
          <w:sz w:val="28"/>
          <w:szCs w:val="28"/>
          <w:shd w:val="clear" w:color="auto" w:fill="FFFFFF"/>
          <w:lang w:val="uk-UA"/>
        </w:rPr>
        <w:t xml:space="preserve"> Klebsiella spp. і Escherichia coli [</w:t>
      </w:r>
      <w:r>
        <w:rPr>
          <w:rFonts w:ascii="Times New Roman" w:eastAsia="Times New Roman" w:hAnsi="Times New Roman" w:cs="Times New Roman"/>
          <w:color w:val="000000"/>
          <w:sz w:val="28"/>
          <w:szCs w:val="28"/>
          <w:lang w:val="uk-UA"/>
        </w:rPr>
        <w:t>119</w:t>
      </w:r>
      <w:r w:rsidRPr="003E14FB">
        <w:rPr>
          <w:rFonts w:cstheme="minorHAnsi"/>
          <w:color w:val="000000"/>
          <w:sz w:val="28"/>
          <w:szCs w:val="28"/>
          <w:shd w:val="clear" w:color="auto" w:fill="FFFFFF"/>
          <w:lang w:val="uk-UA"/>
        </w:rPr>
        <w:t>]. Крім того, ряд досліджень показав, що цефалоспорини, включаючи цефаміціни і цеф</w:t>
      </w:r>
      <w:r>
        <w:rPr>
          <w:rFonts w:cstheme="minorHAnsi"/>
          <w:color w:val="000000"/>
          <w:sz w:val="28"/>
          <w:szCs w:val="28"/>
          <w:shd w:val="clear" w:color="auto" w:fill="FFFFFF"/>
          <w:lang w:val="uk-UA"/>
        </w:rPr>
        <w:t>і</w:t>
      </w:r>
      <w:r w:rsidRPr="003E14FB">
        <w:rPr>
          <w:rFonts w:cstheme="minorHAnsi"/>
          <w:color w:val="000000"/>
          <w:sz w:val="28"/>
          <w:szCs w:val="28"/>
          <w:shd w:val="clear" w:color="auto" w:fill="FFFFFF"/>
          <w:lang w:val="uk-UA"/>
        </w:rPr>
        <w:t>п</w:t>
      </w:r>
      <w:r>
        <w:rPr>
          <w:rFonts w:cstheme="minorHAnsi"/>
          <w:color w:val="000000"/>
          <w:sz w:val="28"/>
          <w:szCs w:val="28"/>
          <w:shd w:val="clear" w:color="auto" w:fill="FFFFFF"/>
          <w:lang w:val="uk-UA"/>
        </w:rPr>
        <w:t>і</w:t>
      </w:r>
      <w:r w:rsidRPr="003E14FB">
        <w:rPr>
          <w:rFonts w:cstheme="minorHAnsi"/>
          <w:color w:val="000000"/>
          <w:sz w:val="28"/>
          <w:szCs w:val="28"/>
          <w:shd w:val="clear" w:color="auto" w:fill="FFFFFF"/>
          <w:lang w:val="uk-UA"/>
        </w:rPr>
        <w:t xml:space="preserve">м, демонстрували гірші клінічні результати </w:t>
      </w:r>
      <w:r>
        <w:rPr>
          <w:rFonts w:cstheme="minorHAnsi"/>
          <w:color w:val="000000"/>
          <w:sz w:val="28"/>
          <w:szCs w:val="28"/>
          <w:shd w:val="clear" w:color="auto" w:fill="FFFFFF"/>
          <w:lang w:val="uk-UA"/>
        </w:rPr>
        <w:t>у</w:t>
      </w:r>
      <w:r w:rsidRPr="003E14FB">
        <w:rPr>
          <w:rFonts w:cstheme="minorHAnsi"/>
          <w:color w:val="000000"/>
          <w:sz w:val="28"/>
          <w:szCs w:val="28"/>
          <w:shd w:val="clear" w:color="auto" w:fill="FFFFFF"/>
          <w:lang w:val="uk-UA"/>
        </w:rPr>
        <w:t xml:space="preserve"> порівнянні з карбапенемами, незважаючи на однакову чутливість збудників in vitro.</w:t>
      </w:r>
    </w:p>
    <w:p w:rsidR="00CE6207" w:rsidRDefault="00CE6207" w:rsidP="00CE6207">
      <w:pPr>
        <w:spacing w:after="0" w:line="360" w:lineRule="auto"/>
        <w:ind w:firstLine="709"/>
        <w:jc w:val="both"/>
        <w:rPr>
          <w:rFonts w:ascii="Times New Roman" w:eastAsia="Times New Roman" w:hAnsi="Times New Roman" w:cs="Times New Roman"/>
          <w:color w:val="000000"/>
          <w:sz w:val="28"/>
          <w:szCs w:val="28"/>
          <w:lang w:val="uk-UA"/>
        </w:rPr>
      </w:pPr>
      <w:r w:rsidRPr="0034307B">
        <w:rPr>
          <w:sz w:val="28"/>
          <w:szCs w:val="28"/>
          <w:lang w:val="uk-UA"/>
        </w:rPr>
        <w:t>Збільшення мінімальної інгібуючої концентрації (МІК) до карбапенем</w:t>
      </w:r>
      <w:r>
        <w:rPr>
          <w:sz w:val="28"/>
          <w:szCs w:val="28"/>
          <w:lang w:val="uk-UA"/>
        </w:rPr>
        <w:t>ів</w:t>
      </w:r>
      <w:r w:rsidRPr="0034307B">
        <w:rPr>
          <w:sz w:val="28"/>
          <w:szCs w:val="28"/>
          <w:lang w:val="uk-UA"/>
        </w:rPr>
        <w:t>, навіть у межах допустимих значень, викликає підозру на наявність карбапенем-резистентних штамів, які, як правило, одночасно резистентні і до аміноглікозид</w:t>
      </w:r>
      <w:r>
        <w:rPr>
          <w:sz w:val="28"/>
          <w:szCs w:val="28"/>
          <w:lang w:val="uk-UA"/>
        </w:rPr>
        <w:t>ів</w:t>
      </w:r>
      <w:r w:rsidRPr="0034307B">
        <w:rPr>
          <w:sz w:val="28"/>
          <w:szCs w:val="28"/>
          <w:lang w:val="uk-UA"/>
        </w:rPr>
        <w:t xml:space="preserve"> та фторх</w:t>
      </w:r>
      <w:r>
        <w:rPr>
          <w:sz w:val="28"/>
          <w:szCs w:val="28"/>
          <w:lang w:val="uk-UA"/>
        </w:rPr>
        <w:t>і</w:t>
      </w:r>
      <w:r w:rsidRPr="0034307B">
        <w:rPr>
          <w:sz w:val="28"/>
          <w:szCs w:val="28"/>
          <w:lang w:val="uk-UA"/>
        </w:rPr>
        <w:t>нолон</w:t>
      </w:r>
      <w:r>
        <w:rPr>
          <w:sz w:val="28"/>
          <w:szCs w:val="28"/>
          <w:lang w:val="uk-UA"/>
        </w:rPr>
        <w:t>ів</w:t>
      </w:r>
      <w:r w:rsidRPr="0034307B">
        <w:rPr>
          <w:sz w:val="28"/>
          <w:szCs w:val="28"/>
          <w:lang w:val="uk-UA"/>
        </w:rPr>
        <w:t xml:space="preserve"> [</w:t>
      </w:r>
      <w:r>
        <w:rPr>
          <w:rFonts w:ascii="Times New Roman" w:hAnsi="Times New Roman" w:cs="Times New Roman"/>
          <w:color w:val="000000"/>
          <w:sz w:val="28"/>
          <w:szCs w:val="28"/>
          <w:lang w:val="uk-UA"/>
        </w:rPr>
        <w:t>66</w:t>
      </w:r>
      <w:r w:rsidRPr="0034307B">
        <w:rPr>
          <w:sz w:val="28"/>
          <w:szCs w:val="28"/>
          <w:lang w:val="uk-UA"/>
        </w:rPr>
        <w:t>]. Klebsiella pneumoniae є своєрідним «колектором» плазм</w:t>
      </w:r>
      <w:r>
        <w:rPr>
          <w:sz w:val="28"/>
          <w:szCs w:val="28"/>
          <w:lang w:val="uk-UA"/>
        </w:rPr>
        <w:t>і</w:t>
      </w:r>
      <w:r w:rsidRPr="0034307B">
        <w:rPr>
          <w:sz w:val="28"/>
          <w:szCs w:val="28"/>
          <w:lang w:val="uk-UA"/>
        </w:rPr>
        <w:t xml:space="preserve">д, що містять карбапенемази. Терапія інфекцій, спричинених бактеріями, </w:t>
      </w:r>
      <w:r>
        <w:rPr>
          <w:sz w:val="28"/>
          <w:szCs w:val="28"/>
          <w:lang w:val="uk-UA"/>
        </w:rPr>
        <w:t xml:space="preserve">що </w:t>
      </w:r>
      <w:r w:rsidRPr="0034307B">
        <w:rPr>
          <w:sz w:val="28"/>
          <w:szCs w:val="28"/>
          <w:lang w:val="uk-UA"/>
        </w:rPr>
        <w:t xml:space="preserve">продукують карбапенемази вкрай складна. Частота клінічної неефективності, коливається, за даними системного мета-аналізу невеликих досліджень, від 8,4 до 50%, при цьому найменшу частоту неефективності (8,4%) </w:t>
      </w:r>
      <w:r>
        <w:rPr>
          <w:sz w:val="28"/>
          <w:szCs w:val="28"/>
          <w:lang w:val="uk-UA"/>
        </w:rPr>
        <w:t>про</w:t>
      </w:r>
      <w:r w:rsidRPr="0034307B">
        <w:rPr>
          <w:sz w:val="28"/>
          <w:szCs w:val="28"/>
          <w:lang w:val="uk-UA"/>
        </w:rPr>
        <w:t>демонстр</w:t>
      </w:r>
      <w:r>
        <w:rPr>
          <w:sz w:val="28"/>
          <w:szCs w:val="28"/>
          <w:lang w:val="uk-UA"/>
        </w:rPr>
        <w:t>у</w:t>
      </w:r>
      <w:r w:rsidRPr="0034307B">
        <w:rPr>
          <w:sz w:val="28"/>
          <w:szCs w:val="28"/>
          <w:lang w:val="uk-UA"/>
        </w:rPr>
        <w:t>ва</w:t>
      </w:r>
      <w:r>
        <w:rPr>
          <w:sz w:val="28"/>
          <w:szCs w:val="28"/>
          <w:lang w:val="uk-UA"/>
        </w:rPr>
        <w:t>в</w:t>
      </w:r>
      <w:r w:rsidRPr="0034307B">
        <w:rPr>
          <w:sz w:val="28"/>
          <w:szCs w:val="28"/>
          <w:lang w:val="uk-UA"/>
        </w:rPr>
        <w:t xml:space="preserve"> режим комбінованої терапії із застосуванням більш ніж 2 антибіотиків, одним з яких був карбапенем</w:t>
      </w:r>
      <w:r>
        <w:rPr>
          <w:sz w:val="28"/>
          <w:szCs w:val="28"/>
          <w:lang w:val="uk-UA"/>
        </w:rPr>
        <w:t xml:space="preserve"> </w:t>
      </w:r>
      <w:r w:rsidRPr="0034307B">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121</w:t>
      </w:r>
      <w:r w:rsidRPr="0034307B">
        <w:rPr>
          <w:rFonts w:ascii="Times New Roman" w:eastAsia="Times New Roman" w:hAnsi="Times New Roman" w:cs="Times New Roman"/>
          <w:color w:val="000000"/>
          <w:sz w:val="28"/>
          <w:szCs w:val="28"/>
          <w:lang w:val="uk-UA"/>
        </w:rPr>
        <w:t>].</w:t>
      </w:r>
    </w:p>
    <w:p w:rsidR="00CE6207" w:rsidRPr="0034307B" w:rsidRDefault="00CE6207" w:rsidP="00CE6207">
      <w:pPr>
        <w:spacing w:after="0" w:line="360" w:lineRule="auto"/>
        <w:ind w:firstLine="709"/>
        <w:jc w:val="both"/>
        <w:rPr>
          <w:rFonts w:ascii="Times New Roman" w:eastAsia="Times New Roman" w:hAnsi="Times New Roman" w:cs="Times New Roman"/>
          <w:color w:val="000000"/>
          <w:sz w:val="28"/>
          <w:szCs w:val="28"/>
          <w:lang w:val="uk-UA"/>
        </w:rPr>
      </w:pPr>
      <w:r w:rsidRPr="0034307B">
        <w:rPr>
          <w:rFonts w:ascii="Times New Roman" w:eastAsia="Times New Roman" w:hAnsi="Times New Roman" w:cs="Times New Roman"/>
          <w:color w:val="000000"/>
          <w:sz w:val="28"/>
          <w:szCs w:val="28"/>
          <w:lang w:val="uk-UA"/>
        </w:rPr>
        <w:t>Оскільки антибактеріальна ефективність β-лактамних антибіотиків залежить від часу, протягом якого їх концентрація перевищує МІК, одним з можливих шляхів подолання резистентності ESBL-продукую</w:t>
      </w:r>
      <w:r>
        <w:rPr>
          <w:rFonts w:ascii="Times New Roman" w:eastAsia="Times New Roman" w:hAnsi="Times New Roman" w:cs="Times New Roman"/>
          <w:color w:val="000000"/>
          <w:sz w:val="28"/>
          <w:szCs w:val="28"/>
          <w:lang w:val="uk-UA"/>
        </w:rPr>
        <w:t>чих</w:t>
      </w:r>
      <w:r w:rsidRPr="0034307B">
        <w:rPr>
          <w:rFonts w:ascii="Times New Roman" w:eastAsia="Times New Roman" w:hAnsi="Times New Roman" w:cs="Times New Roman"/>
          <w:color w:val="000000"/>
          <w:sz w:val="28"/>
          <w:szCs w:val="28"/>
          <w:lang w:val="uk-UA"/>
        </w:rPr>
        <w:t xml:space="preserve"> штамів може бути зміна режиму дозування препаратів. Використання раціональної фармакокінетики існуючих препаратів дозволяє підвищити клінічну ефективніст</w:t>
      </w:r>
      <w:r>
        <w:rPr>
          <w:rFonts w:ascii="Times New Roman" w:eastAsia="Times New Roman" w:hAnsi="Times New Roman" w:cs="Times New Roman"/>
          <w:color w:val="000000"/>
          <w:sz w:val="28"/>
          <w:szCs w:val="28"/>
          <w:lang w:val="uk-UA"/>
        </w:rPr>
        <w:t>ь і поліпшити фармако-економічні</w:t>
      </w:r>
      <w:r w:rsidRPr="0034307B">
        <w:rPr>
          <w:rFonts w:ascii="Times New Roman" w:eastAsia="Times New Roman" w:hAnsi="Times New Roman" w:cs="Times New Roman"/>
          <w:color w:val="000000"/>
          <w:sz w:val="28"/>
          <w:szCs w:val="28"/>
          <w:lang w:val="uk-UA"/>
        </w:rPr>
        <w:t xml:space="preserve"> показники антибіотико-терапії. Даний підхід підтримується всіма новими клінічними рекомендаціями [</w:t>
      </w:r>
      <w:r>
        <w:rPr>
          <w:rFonts w:ascii="Times New Roman" w:eastAsia="Times New Roman" w:hAnsi="Times New Roman" w:cs="Times New Roman"/>
          <w:color w:val="000000"/>
          <w:sz w:val="28"/>
          <w:szCs w:val="28"/>
          <w:lang w:val="uk-UA"/>
        </w:rPr>
        <w:t>78</w:t>
      </w:r>
      <w:r w:rsidRPr="0034307B">
        <w:rPr>
          <w:rFonts w:ascii="Times New Roman" w:eastAsia="Times New Roman" w:hAnsi="Times New Roman" w:cs="Times New Roman"/>
          <w:color w:val="000000"/>
          <w:sz w:val="28"/>
          <w:szCs w:val="28"/>
          <w:lang w:val="uk-UA"/>
        </w:rPr>
        <w:t>]. Особливу складність представляє терапія інфекцій, спричинених штамами, що продукують NDM. При серйозних інфекціях рекомендована комбінована антибактеріальна терапія з використанням поліміксину, хоча до поліміксину спостерігається швидке наростання резистентності [</w:t>
      </w:r>
      <w:r>
        <w:rPr>
          <w:rFonts w:ascii="Times New Roman" w:hAnsi="Times New Roman" w:cs="Times New Roman"/>
          <w:sz w:val="28"/>
          <w:szCs w:val="28"/>
          <w:lang w:val="uk-UA"/>
        </w:rPr>
        <w:t>129</w:t>
      </w:r>
      <w:r w:rsidRPr="0034307B">
        <w:rPr>
          <w:rFonts w:ascii="Times New Roman" w:eastAsia="Times New Roman" w:hAnsi="Times New Roman" w:cs="Times New Roman"/>
          <w:color w:val="000000"/>
          <w:sz w:val="28"/>
          <w:szCs w:val="28"/>
          <w:lang w:val="uk-UA"/>
        </w:rPr>
        <w:t>].</w:t>
      </w:r>
    </w:p>
    <w:p w:rsidR="00CE6207" w:rsidRDefault="00CE6207" w:rsidP="00CE6207">
      <w:pPr>
        <w:spacing w:after="0" w:line="360" w:lineRule="auto"/>
        <w:ind w:firstLine="709"/>
        <w:jc w:val="both"/>
        <w:rPr>
          <w:rFonts w:ascii="Times New Roman" w:eastAsia="Times New Roman" w:hAnsi="Times New Roman" w:cs="Times New Roman"/>
          <w:color w:val="000000"/>
          <w:sz w:val="28"/>
          <w:szCs w:val="28"/>
          <w:lang w:val="uk-UA"/>
        </w:rPr>
      </w:pPr>
      <w:r w:rsidRPr="0034307B">
        <w:rPr>
          <w:rFonts w:ascii="Times New Roman" w:eastAsia="Times New Roman" w:hAnsi="Times New Roman" w:cs="Times New Roman"/>
          <w:color w:val="000000"/>
          <w:sz w:val="28"/>
          <w:szCs w:val="28"/>
          <w:lang w:val="uk-UA"/>
        </w:rPr>
        <w:lastRenderedPageBreak/>
        <w:t>У ряді досліджень фторхінолони поступалися в клінічній ефективності карбапенемам, при цьому спостерігалося також зниження чутливості виділених штамів до фторхінолонів [</w:t>
      </w:r>
      <w:r>
        <w:rPr>
          <w:rFonts w:ascii="Times New Roman" w:eastAsia="Times New Roman" w:hAnsi="Times New Roman" w:cs="Times New Roman"/>
          <w:color w:val="000000"/>
          <w:sz w:val="28"/>
          <w:szCs w:val="28"/>
          <w:lang w:val="uk-UA"/>
        </w:rPr>
        <w:t>37</w:t>
      </w:r>
      <w:r w:rsidRPr="0034307B">
        <w:rPr>
          <w:rFonts w:ascii="Times New Roman" w:eastAsia="Times New Roman" w:hAnsi="Times New Roman" w:cs="Times New Roman"/>
          <w:color w:val="000000"/>
          <w:sz w:val="28"/>
          <w:szCs w:val="28"/>
          <w:lang w:val="uk-UA"/>
        </w:rPr>
        <w:t>].</w:t>
      </w:r>
    </w:p>
    <w:p w:rsidR="00CE6207" w:rsidRDefault="00CE6207" w:rsidP="00CE6207">
      <w:pPr>
        <w:spacing w:after="0" w:line="360" w:lineRule="auto"/>
        <w:ind w:firstLine="709"/>
        <w:jc w:val="both"/>
        <w:rPr>
          <w:rFonts w:ascii="Times New Roman" w:eastAsia="Times New Roman" w:hAnsi="Times New Roman" w:cs="Times New Roman"/>
          <w:color w:val="000000"/>
          <w:sz w:val="28"/>
          <w:szCs w:val="28"/>
          <w:lang w:val="uk-UA"/>
        </w:rPr>
      </w:pPr>
      <w:r w:rsidRPr="0034307B">
        <w:rPr>
          <w:rFonts w:ascii="Times New Roman" w:eastAsia="Times New Roman" w:hAnsi="Times New Roman" w:cs="Times New Roman"/>
          <w:color w:val="000000"/>
          <w:sz w:val="28"/>
          <w:szCs w:val="28"/>
          <w:lang w:val="uk-UA"/>
        </w:rPr>
        <w:t xml:space="preserve">Очевидним вирішенням проблеми резистентності штамів, що продукують ESBL, може бути використання антибіотиків, захищених інгібіторами β-лактамаз, такими як клавуланова кислота, сульбактам </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 xml:space="preserve"> тазобактам. Найбільшу ефективність in vitro демонстрував тазобактам, внаслідок чого став широко застосовуватися п</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перацилл</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 xml:space="preserve">н-тазобактам для лікування інфекцій, спричинених бактеріями, </w:t>
      </w:r>
      <w:r>
        <w:rPr>
          <w:rFonts w:ascii="Times New Roman" w:eastAsia="Times New Roman" w:hAnsi="Times New Roman" w:cs="Times New Roman"/>
          <w:color w:val="000000"/>
          <w:sz w:val="28"/>
          <w:szCs w:val="28"/>
          <w:lang w:val="uk-UA"/>
        </w:rPr>
        <w:t xml:space="preserve">що </w:t>
      </w:r>
      <w:r w:rsidRPr="0034307B">
        <w:rPr>
          <w:rFonts w:ascii="Times New Roman" w:eastAsia="Times New Roman" w:hAnsi="Times New Roman" w:cs="Times New Roman"/>
          <w:color w:val="000000"/>
          <w:sz w:val="28"/>
          <w:szCs w:val="28"/>
          <w:lang w:val="uk-UA"/>
        </w:rPr>
        <w:t>продукують ESBL [</w:t>
      </w:r>
      <w:r>
        <w:rPr>
          <w:rFonts w:ascii="Times New Roman" w:eastAsia="Times New Roman" w:hAnsi="Times New Roman" w:cs="Times New Roman"/>
          <w:color w:val="000000"/>
          <w:sz w:val="28"/>
          <w:szCs w:val="28"/>
          <w:lang w:val="uk-UA"/>
        </w:rPr>
        <w:t>91</w:t>
      </w:r>
      <w:r w:rsidRPr="0034307B">
        <w:rPr>
          <w:rFonts w:ascii="Times New Roman" w:eastAsia="Times New Roman" w:hAnsi="Times New Roman" w:cs="Times New Roman"/>
          <w:color w:val="000000"/>
          <w:sz w:val="28"/>
          <w:szCs w:val="28"/>
          <w:lang w:val="uk-UA"/>
        </w:rPr>
        <w:t>], у тому числі при бактеріємії, незважаючи на існуючі спочатку рекомендації уникати в даній ситуації його застосування. Значне збільшення використання п</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перацилл</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н-тазобактама за останні 10 років, не привело до істотного зростання частоти виявлення резистентних до п</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перацилл</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н-тазобактаму штамів, проте відзначається підвищення МІК у відношенні ESBL-продукую</w:t>
      </w:r>
      <w:r>
        <w:rPr>
          <w:rFonts w:ascii="Times New Roman" w:eastAsia="Times New Roman" w:hAnsi="Times New Roman" w:cs="Times New Roman"/>
          <w:color w:val="000000"/>
          <w:sz w:val="28"/>
          <w:szCs w:val="28"/>
          <w:lang w:val="uk-UA"/>
        </w:rPr>
        <w:t>чих</w:t>
      </w:r>
      <w:r w:rsidRPr="0034307B">
        <w:rPr>
          <w:rFonts w:ascii="Times New Roman" w:eastAsia="Times New Roman" w:hAnsi="Times New Roman" w:cs="Times New Roman"/>
          <w:color w:val="000000"/>
          <w:sz w:val="28"/>
          <w:szCs w:val="28"/>
          <w:lang w:val="uk-UA"/>
        </w:rPr>
        <w:t xml:space="preserve"> штамів. У т</w:t>
      </w:r>
      <w:r>
        <w:rPr>
          <w:rFonts w:ascii="Times New Roman" w:eastAsia="Times New Roman" w:hAnsi="Times New Roman" w:cs="Times New Roman"/>
          <w:color w:val="000000"/>
          <w:sz w:val="28"/>
          <w:szCs w:val="28"/>
          <w:lang w:val="uk-UA"/>
        </w:rPr>
        <w:t>ой же</w:t>
      </w:r>
      <w:r w:rsidRPr="0034307B">
        <w:rPr>
          <w:rFonts w:ascii="Times New Roman" w:eastAsia="Times New Roman" w:hAnsi="Times New Roman" w:cs="Times New Roman"/>
          <w:color w:val="000000"/>
          <w:sz w:val="28"/>
          <w:szCs w:val="28"/>
          <w:lang w:val="uk-UA"/>
        </w:rPr>
        <w:t xml:space="preserve"> час амоксици</w:t>
      </w:r>
      <w:r>
        <w:rPr>
          <w:rFonts w:ascii="Times New Roman" w:eastAsia="Times New Roman" w:hAnsi="Times New Roman" w:cs="Times New Roman"/>
          <w:color w:val="000000"/>
          <w:sz w:val="28"/>
          <w:szCs w:val="28"/>
          <w:lang w:val="uk-UA"/>
        </w:rPr>
        <w:t>л</w:t>
      </w:r>
      <w:r w:rsidRPr="0034307B">
        <w:rPr>
          <w:rFonts w:ascii="Times New Roman" w:eastAsia="Times New Roman" w:hAnsi="Times New Roman" w:cs="Times New Roman"/>
          <w:color w:val="000000"/>
          <w:sz w:val="28"/>
          <w:szCs w:val="28"/>
          <w:lang w:val="uk-UA"/>
        </w:rPr>
        <w:t>лін-клавуланат демонструє стабільність МІК у відношенні ESBL-продукую</w:t>
      </w:r>
      <w:r>
        <w:rPr>
          <w:rFonts w:ascii="Times New Roman" w:eastAsia="Times New Roman" w:hAnsi="Times New Roman" w:cs="Times New Roman"/>
          <w:color w:val="000000"/>
          <w:sz w:val="28"/>
          <w:szCs w:val="28"/>
          <w:lang w:val="uk-UA"/>
        </w:rPr>
        <w:t>чих</w:t>
      </w:r>
      <w:r w:rsidRPr="0034307B">
        <w:rPr>
          <w:rFonts w:ascii="Times New Roman" w:eastAsia="Times New Roman" w:hAnsi="Times New Roman" w:cs="Times New Roman"/>
          <w:color w:val="000000"/>
          <w:sz w:val="28"/>
          <w:szCs w:val="28"/>
          <w:lang w:val="uk-UA"/>
        </w:rPr>
        <w:t xml:space="preserve"> штамів. Автори досліджень пов'язують зростання МІК п</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перацилл</w:t>
      </w:r>
      <w:r>
        <w:rPr>
          <w:rFonts w:ascii="Times New Roman" w:eastAsia="Times New Roman" w:hAnsi="Times New Roman" w:cs="Times New Roman"/>
          <w:color w:val="000000"/>
          <w:sz w:val="28"/>
          <w:szCs w:val="28"/>
          <w:lang w:val="uk-UA"/>
        </w:rPr>
        <w:t>і</w:t>
      </w:r>
      <w:r w:rsidRPr="0034307B">
        <w:rPr>
          <w:rFonts w:ascii="Times New Roman" w:eastAsia="Times New Roman" w:hAnsi="Times New Roman" w:cs="Times New Roman"/>
          <w:color w:val="000000"/>
          <w:sz w:val="28"/>
          <w:szCs w:val="28"/>
          <w:lang w:val="uk-UA"/>
        </w:rPr>
        <w:t>н-тазобактам</w:t>
      </w:r>
      <w:r>
        <w:rPr>
          <w:rFonts w:ascii="Times New Roman" w:eastAsia="Times New Roman" w:hAnsi="Times New Roman" w:cs="Times New Roman"/>
          <w:color w:val="000000"/>
          <w:sz w:val="28"/>
          <w:szCs w:val="28"/>
          <w:lang w:val="uk-UA"/>
        </w:rPr>
        <w:t>у</w:t>
      </w:r>
      <w:r w:rsidRPr="0034307B">
        <w:rPr>
          <w:rFonts w:ascii="Times New Roman" w:eastAsia="Times New Roman" w:hAnsi="Times New Roman" w:cs="Times New Roman"/>
          <w:color w:val="000000"/>
          <w:sz w:val="28"/>
          <w:szCs w:val="28"/>
          <w:lang w:val="uk-UA"/>
        </w:rPr>
        <w:t xml:space="preserve"> з механізмами резистентності не залежними від виробітк</w:t>
      </w:r>
      <w:r>
        <w:rPr>
          <w:rFonts w:ascii="Times New Roman" w:eastAsia="Times New Roman" w:hAnsi="Times New Roman" w:cs="Times New Roman"/>
          <w:color w:val="000000"/>
          <w:sz w:val="28"/>
          <w:szCs w:val="28"/>
          <w:lang w:val="uk-UA"/>
        </w:rPr>
        <w:t>и</w:t>
      </w:r>
      <w:r w:rsidRPr="0034307B">
        <w:rPr>
          <w:rFonts w:ascii="Times New Roman" w:eastAsia="Times New Roman" w:hAnsi="Times New Roman" w:cs="Times New Roman"/>
          <w:color w:val="000000"/>
          <w:sz w:val="28"/>
          <w:szCs w:val="28"/>
          <w:lang w:val="uk-UA"/>
        </w:rPr>
        <w:t xml:space="preserve"> β-лактамаз [</w:t>
      </w:r>
      <w:r>
        <w:rPr>
          <w:rFonts w:ascii="Times New Roman" w:eastAsia="Times New Roman" w:hAnsi="Times New Roman" w:cs="Times New Roman"/>
          <w:color w:val="000000"/>
          <w:sz w:val="28"/>
          <w:szCs w:val="28"/>
          <w:lang w:val="uk-UA"/>
        </w:rPr>
        <w:t>71, 76</w:t>
      </w:r>
      <w:r w:rsidRPr="0034307B">
        <w:rPr>
          <w:rFonts w:ascii="Times New Roman" w:eastAsia="Times New Roman" w:hAnsi="Times New Roman" w:cs="Times New Roman"/>
          <w:color w:val="000000"/>
          <w:sz w:val="28"/>
          <w:szCs w:val="28"/>
          <w:lang w:val="uk-UA"/>
        </w:rPr>
        <w:t>]. Невеликі дослідження підтверджують, що клінічна ефективність амоксициліну з клавулановою кислотою в лікуванні хворих з циститом, викликаним ESBL-продукую</w:t>
      </w:r>
      <w:r>
        <w:rPr>
          <w:rFonts w:ascii="Times New Roman" w:eastAsia="Times New Roman" w:hAnsi="Times New Roman" w:cs="Times New Roman"/>
          <w:color w:val="000000"/>
          <w:sz w:val="28"/>
          <w:szCs w:val="28"/>
          <w:lang w:val="uk-UA"/>
        </w:rPr>
        <w:t>чими</w:t>
      </w:r>
      <w:r w:rsidRPr="0034307B">
        <w:rPr>
          <w:rFonts w:ascii="Times New Roman" w:eastAsia="Times New Roman" w:hAnsi="Times New Roman" w:cs="Times New Roman"/>
          <w:color w:val="000000"/>
          <w:sz w:val="28"/>
          <w:szCs w:val="28"/>
          <w:lang w:val="uk-UA"/>
        </w:rPr>
        <w:t xml:space="preserve"> штамами, становить до 93% при високій чутливості in vitro і 56% серед штамів з помірною чутливістю і резистентних in vitro, що дозволяє успішно використовувати амоксицилін з клавулановою кислотою для емпіричної терапії циститів викликаних ESBL-продукую</w:t>
      </w:r>
      <w:r>
        <w:rPr>
          <w:rFonts w:ascii="Times New Roman" w:eastAsia="Times New Roman" w:hAnsi="Times New Roman" w:cs="Times New Roman"/>
          <w:color w:val="000000"/>
          <w:sz w:val="28"/>
          <w:szCs w:val="28"/>
          <w:lang w:val="uk-UA"/>
        </w:rPr>
        <w:t>чими</w:t>
      </w:r>
      <w:r w:rsidRPr="0034307B">
        <w:rPr>
          <w:rFonts w:ascii="Times New Roman" w:eastAsia="Times New Roman" w:hAnsi="Times New Roman" w:cs="Times New Roman"/>
          <w:color w:val="000000"/>
          <w:sz w:val="28"/>
          <w:szCs w:val="28"/>
          <w:lang w:val="uk-UA"/>
        </w:rPr>
        <w:t xml:space="preserve"> штамами [</w:t>
      </w:r>
      <w:r>
        <w:rPr>
          <w:rFonts w:ascii="Times New Roman" w:eastAsia="Times New Roman" w:hAnsi="Times New Roman" w:cs="Times New Roman"/>
          <w:color w:val="000000"/>
          <w:sz w:val="28"/>
          <w:szCs w:val="28"/>
          <w:lang w:val="uk-UA"/>
        </w:rPr>
        <w:t>101</w:t>
      </w:r>
      <w:r w:rsidRPr="0034307B">
        <w:rPr>
          <w:rFonts w:ascii="Times New Roman" w:eastAsia="Times New Roman" w:hAnsi="Times New Roman" w:cs="Times New Roman"/>
          <w:color w:val="000000"/>
          <w:sz w:val="28"/>
          <w:szCs w:val="28"/>
          <w:lang w:val="uk-UA"/>
        </w:rPr>
        <w:t>].</w:t>
      </w:r>
    </w:p>
    <w:p w:rsidR="00CE6207" w:rsidRDefault="00CE6207" w:rsidP="00CE6207">
      <w:pPr>
        <w:spacing w:after="0" w:line="360" w:lineRule="auto"/>
        <w:ind w:firstLine="709"/>
        <w:jc w:val="both"/>
        <w:rPr>
          <w:sz w:val="28"/>
          <w:szCs w:val="28"/>
          <w:lang w:val="uk-UA"/>
        </w:rPr>
      </w:pPr>
      <w:r w:rsidRPr="00A07171">
        <w:rPr>
          <w:sz w:val="28"/>
          <w:szCs w:val="28"/>
          <w:lang w:val="uk-UA"/>
        </w:rPr>
        <w:t>Дослідження in vitro показали високу активність фосфоміцину щодо ESBL-продукую</w:t>
      </w:r>
      <w:r>
        <w:rPr>
          <w:sz w:val="28"/>
          <w:szCs w:val="28"/>
          <w:lang w:val="uk-UA"/>
        </w:rPr>
        <w:t>чих</w:t>
      </w:r>
      <w:r w:rsidRPr="00A07171">
        <w:rPr>
          <w:sz w:val="28"/>
          <w:szCs w:val="28"/>
          <w:lang w:val="uk-UA"/>
        </w:rPr>
        <w:t xml:space="preserve"> штамів Escherichia coli і Klebsiella pneumoniae, що викликало нову хвилю інтересу до фосфоміцину у клініцистів при І</w:t>
      </w:r>
      <w:r>
        <w:rPr>
          <w:sz w:val="28"/>
          <w:szCs w:val="28"/>
          <w:lang w:val="uk-UA"/>
        </w:rPr>
        <w:t>С</w:t>
      </w:r>
      <w:r w:rsidRPr="00A07171">
        <w:rPr>
          <w:sz w:val="28"/>
          <w:szCs w:val="28"/>
          <w:lang w:val="uk-UA"/>
        </w:rPr>
        <w:t>С, викликаних мульти-резистентними штамами [</w:t>
      </w:r>
      <w:r>
        <w:rPr>
          <w:rFonts w:ascii="Times New Roman" w:eastAsia="Times New Roman" w:hAnsi="Times New Roman" w:cs="Times New Roman"/>
          <w:color w:val="000000"/>
          <w:sz w:val="28"/>
          <w:szCs w:val="28"/>
          <w:lang w:val="uk-UA"/>
        </w:rPr>
        <w:t>46</w:t>
      </w:r>
      <w:r w:rsidRPr="00A07171">
        <w:rPr>
          <w:sz w:val="28"/>
          <w:szCs w:val="28"/>
          <w:lang w:val="uk-UA"/>
        </w:rPr>
        <w:t>]. Була показана висока in vitro активність фосфоміцину щодо KPC-продукую</w:t>
      </w:r>
      <w:r>
        <w:rPr>
          <w:sz w:val="28"/>
          <w:szCs w:val="28"/>
          <w:lang w:val="uk-UA"/>
        </w:rPr>
        <w:t>чих</w:t>
      </w:r>
      <w:r w:rsidRPr="00A07171">
        <w:rPr>
          <w:sz w:val="28"/>
          <w:szCs w:val="28"/>
          <w:lang w:val="uk-UA"/>
        </w:rPr>
        <w:t xml:space="preserve"> штамів Klebsiella </w:t>
      </w:r>
      <w:r w:rsidRPr="00A07171">
        <w:rPr>
          <w:sz w:val="28"/>
          <w:szCs w:val="28"/>
          <w:lang w:val="uk-UA"/>
        </w:rPr>
        <w:lastRenderedPageBreak/>
        <w:t>pneumoniae, що досягала 93% в цілому і 87% у групі штаммм</w:t>
      </w:r>
      <w:r>
        <w:rPr>
          <w:sz w:val="28"/>
          <w:szCs w:val="28"/>
          <w:lang w:val="uk-UA"/>
        </w:rPr>
        <w:t>і</w:t>
      </w:r>
      <w:r w:rsidRPr="00A07171">
        <w:rPr>
          <w:sz w:val="28"/>
          <w:szCs w:val="28"/>
          <w:lang w:val="uk-UA"/>
        </w:rPr>
        <w:t>в</w:t>
      </w:r>
      <w:r>
        <w:rPr>
          <w:sz w:val="28"/>
          <w:szCs w:val="28"/>
          <w:lang w:val="uk-UA"/>
        </w:rPr>
        <w:t>, що були не чутливі до тігецікліну та/</w:t>
      </w:r>
      <w:r w:rsidRPr="00A07171">
        <w:rPr>
          <w:sz w:val="28"/>
          <w:szCs w:val="28"/>
          <w:lang w:val="uk-UA"/>
        </w:rPr>
        <w:t>або колістин</w:t>
      </w:r>
      <w:r>
        <w:rPr>
          <w:sz w:val="28"/>
          <w:szCs w:val="28"/>
          <w:lang w:val="uk-UA"/>
        </w:rPr>
        <w:t>у</w:t>
      </w:r>
      <w:r w:rsidRPr="00A07171">
        <w:rPr>
          <w:sz w:val="28"/>
          <w:szCs w:val="28"/>
          <w:lang w:val="uk-UA"/>
        </w:rPr>
        <w:t>. За даними багатоцентрового обсерваці</w:t>
      </w:r>
      <w:r>
        <w:rPr>
          <w:sz w:val="28"/>
          <w:szCs w:val="28"/>
          <w:lang w:val="uk-UA"/>
        </w:rPr>
        <w:t>й</w:t>
      </w:r>
      <w:r w:rsidRPr="00A07171">
        <w:rPr>
          <w:sz w:val="28"/>
          <w:szCs w:val="28"/>
          <w:lang w:val="uk-UA"/>
        </w:rPr>
        <w:t>ного дослідження, фосфоміцин був ефективний у лікуванні тяжких інфекцій, спричинених мульти-резистентними і панрез</w:t>
      </w:r>
      <w:r>
        <w:rPr>
          <w:sz w:val="28"/>
          <w:szCs w:val="28"/>
          <w:lang w:val="uk-UA"/>
        </w:rPr>
        <w:t>и</w:t>
      </w:r>
      <w:r w:rsidRPr="00A07171">
        <w:rPr>
          <w:sz w:val="28"/>
          <w:szCs w:val="28"/>
          <w:lang w:val="uk-UA"/>
        </w:rPr>
        <w:t>стентним</w:t>
      </w:r>
      <w:r>
        <w:rPr>
          <w:sz w:val="28"/>
          <w:szCs w:val="28"/>
          <w:lang w:val="uk-UA"/>
        </w:rPr>
        <w:t>и</w:t>
      </w:r>
      <w:r w:rsidRPr="00A07171">
        <w:rPr>
          <w:sz w:val="28"/>
          <w:szCs w:val="28"/>
          <w:lang w:val="uk-UA"/>
        </w:rPr>
        <w:t xml:space="preserve"> карбапенемаз-продукую</w:t>
      </w:r>
      <w:r>
        <w:rPr>
          <w:sz w:val="28"/>
          <w:szCs w:val="28"/>
          <w:lang w:val="uk-UA"/>
        </w:rPr>
        <w:t>чими</w:t>
      </w:r>
      <w:r w:rsidRPr="00A07171">
        <w:rPr>
          <w:sz w:val="28"/>
          <w:szCs w:val="28"/>
          <w:lang w:val="uk-UA"/>
        </w:rPr>
        <w:t xml:space="preserve"> штамами Pseudomonas aeruginosa і Klebsiella pneumoniae [</w:t>
      </w:r>
      <w:r>
        <w:rPr>
          <w:rFonts w:ascii="Times New Roman" w:eastAsia="Times New Roman" w:hAnsi="Times New Roman" w:cs="Times New Roman"/>
          <w:color w:val="000000"/>
          <w:sz w:val="28"/>
          <w:szCs w:val="28"/>
          <w:lang w:val="uk-UA"/>
        </w:rPr>
        <w:t>95</w:t>
      </w:r>
      <w:r w:rsidRPr="00A07171">
        <w:rPr>
          <w:sz w:val="28"/>
          <w:szCs w:val="28"/>
          <w:lang w:val="uk-UA"/>
        </w:rPr>
        <w:t>].</w:t>
      </w:r>
    </w:p>
    <w:p w:rsidR="00CE6207" w:rsidRDefault="00CE6207" w:rsidP="00CE6207">
      <w:pPr>
        <w:spacing w:after="0" w:line="360" w:lineRule="auto"/>
        <w:ind w:firstLine="709"/>
        <w:jc w:val="both"/>
        <w:rPr>
          <w:sz w:val="28"/>
          <w:szCs w:val="28"/>
          <w:lang w:val="uk-UA"/>
        </w:rPr>
      </w:pPr>
      <w:r w:rsidRPr="00A07171">
        <w:rPr>
          <w:sz w:val="28"/>
          <w:szCs w:val="28"/>
          <w:lang w:val="uk-UA"/>
        </w:rPr>
        <w:t>Також високу чутливість in vitro карбапенемаз-продукую</w:t>
      </w:r>
      <w:r>
        <w:rPr>
          <w:sz w:val="28"/>
          <w:szCs w:val="28"/>
          <w:lang w:val="uk-UA"/>
        </w:rPr>
        <w:t>чі</w:t>
      </w:r>
      <w:r w:rsidRPr="00A07171">
        <w:rPr>
          <w:sz w:val="28"/>
          <w:szCs w:val="28"/>
          <w:lang w:val="uk-UA"/>
        </w:rPr>
        <w:t xml:space="preserve"> штами демонстрували до тігец</w:t>
      </w:r>
      <w:r>
        <w:rPr>
          <w:sz w:val="28"/>
          <w:szCs w:val="28"/>
          <w:lang w:val="uk-UA"/>
        </w:rPr>
        <w:t>и</w:t>
      </w:r>
      <w:r w:rsidRPr="00A07171">
        <w:rPr>
          <w:sz w:val="28"/>
          <w:szCs w:val="28"/>
          <w:lang w:val="uk-UA"/>
        </w:rPr>
        <w:t>кліну, у зв'язку з чим, прогнозувалася його висока клінічна ефективність. Однак, клінічні дослідження показали швидке наростання резистентності до тігец</w:t>
      </w:r>
      <w:r>
        <w:rPr>
          <w:sz w:val="28"/>
          <w:szCs w:val="28"/>
          <w:lang w:val="uk-UA"/>
        </w:rPr>
        <w:t>и</w:t>
      </w:r>
      <w:r w:rsidRPr="00A07171">
        <w:rPr>
          <w:sz w:val="28"/>
          <w:szCs w:val="28"/>
          <w:lang w:val="uk-UA"/>
        </w:rPr>
        <w:t>кліну в ході терапії, що поставило під сумнів можливість його використання при інфекціях викликаних карбапенемаз-продукую</w:t>
      </w:r>
      <w:r>
        <w:rPr>
          <w:sz w:val="28"/>
          <w:szCs w:val="28"/>
          <w:lang w:val="uk-UA"/>
        </w:rPr>
        <w:t>чими</w:t>
      </w:r>
      <w:r w:rsidRPr="00A07171">
        <w:rPr>
          <w:sz w:val="28"/>
          <w:szCs w:val="28"/>
          <w:lang w:val="uk-UA"/>
        </w:rPr>
        <w:t xml:space="preserve"> штамами і викликало необхідність ретельного моніторування чутливості збудника до тігец</w:t>
      </w:r>
      <w:r>
        <w:rPr>
          <w:sz w:val="28"/>
          <w:szCs w:val="28"/>
          <w:lang w:val="uk-UA"/>
        </w:rPr>
        <w:t>и</w:t>
      </w:r>
      <w:r w:rsidRPr="00A07171">
        <w:rPr>
          <w:sz w:val="28"/>
          <w:szCs w:val="28"/>
          <w:lang w:val="uk-UA"/>
        </w:rPr>
        <w:t>кліну в ході терапії [</w:t>
      </w:r>
      <w:r>
        <w:rPr>
          <w:rFonts w:ascii="Times New Roman" w:eastAsia="Times New Roman" w:hAnsi="Times New Roman" w:cs="Times New Roman"/>
          <w:color w:val="000000"/>
          <w:sz w:val="28"/>
          <w:szCs w:val="28"/>
          <w:lang w:val="uk-UA"/>
        </w:rPr>
        <w:t>34</w:t>
      </w:r>
      <w:r w:rsidRPr="00A07171">
        <w:rPr>
          <w:sz w:val="28"/>
          <w:szCs w:val="28"/>
          <w:lang w:val="uk-UA"/>
        </w:rPr>
        <w:t>].</w:t>
      </w:r>
    </w:p>
    <w:p w:rsidR="00CE6207" w:rsidRPr="00A07171" w:rsidRDefault="00CE6207" w:rsidP="00CE6207">
      <w:pPr>
        <w:spacing w:line="360" w:lineRule="auto"/>
        <w:ind w:firstLine="709"/>
        <w:jc w:val="both"/>
        <w:rPr>
          <w:sz w:val="28"/>
          <w:szCs w:val="28"/>
          <w:lang w:val="uk-UA"/>
        </w:rPr>
      </w:pPr>
      <w:r w:rsidRPr="00A07171">
        <w:rPr>
          <w:sz w:val="28"/>
          <w:szCs w:val="28"/>
          <w:lang w:val="uk-UA"/>
        </w:rPr>
        <w:t>У 2008 році, Європейсько</w:t>
      </w:r>
      <w:r>
        <w:rPr>
          <w:sz w:val="28"/>
          <w:szCs w:val="28"/>
          <w:lang w:val="uk-UA"/>
        </w:rPr>
        <w:t>ю</w:t>
      </w:r>
      <w:r w:rsidRPr="00A07171">
        <w:rPr>
          <w:sz w:val="28"/>
          <w:szCs w:val="28"/>
          <w:lang w:val="uk-UA"/>
        </w:rPr>
        <w:t xml:space="preserve"> Об'єднано</w:t>
      </w:r>
      <w:r>
        <w:rPr>
          <w:sz w:val="28"/>
          <w:szCs w:val="28"/>
          <w:lang w:val="uk-UA"/>
        </w:rPr>
        <w:t>ю</w:t>
      </w:r>
      <w:r w:rsidRPr="00A07171">
        <w:rPr>
          <w:sz w:val="28"/>
          <w:szCs w:val="28"/>
          <w:lang w:val="uk-UA"/>
        </w:rPr>
        <w:t xml:space="preserve"> Референтно</w:t>
      </w:r>
      <w:r>
        <w:rPr>
          <w:sz w:val="28"/>
          <w:szCs w:val="28"/>
          <w:lang w:val="uk-UA"/>
        </w:rPr>
        <w:t>ю</w:t>
      </w:r>
      <w:r w:rsidRPr="00A07171">
        <w:rPr>
          <w:sz w:val="28"/>
          <w:szCs w:val="28"/>
          <w:lang w:val="uk-UA"/>
        </w:rPr>
        <w:t xml:space="preserve"> Лабораторією по</w:t>
      </w:r>
      <w:r>
        <w:rPr>
          <w:sz w:val="28"/>
          <w:szCs w:val="28"/>
          <w:lang w:val="uk-UA"/>
        </w:rPr>
        <w:t xml:space="preserve"> вивченню антибактеріальної</w:t>
      </w:r>
      <w:r w:rsidRPr="00A07171">
        <w:rPr>
          <w:sz w:val="28"/>
          <w:szCs w:val="28"/>
          <w:lang w:val="uk-UA"/>
        </w:rPr>
        <w:t xml:space="preserve"> Резистентності (EURL-AR) ініційовано дослідження в усіх Національних референтних лабораторі</w:t>
      </w:r>
      <w:r>
        <w:rPr>
          <w:sz w:val="28"/>
          <w:szCs w:val="28"/>
          <w:lang w:val="uk-UA"/>
        </w:rPr>
        <w:t>ях</w:t>
      </w:r>
      <w:r w:rsidRPr="00A07171">
        <w:rPr>
          <w:sz w:val="28"/>
          <w:szCs w:val="28"/>
          <w:lang w:val="uk-UA"/>
        </w:rPr>
        <w:t xml:space="preserve"> по з метою збору ретроспективної інформації про </w:t>
      </w:r>
      <w:r>
        <w:rPr>
          <w:sz w:val="28"/>
          <w:szCs w:val="28"/>
          <w:lang w:val="uk-UA"/>
        </w:rPr>
        <w:t xml:space="preserve">наявність </w:t>
      </w:r>
      <w:r w:rsidRPr="00A07171">
        <w:rPr>
          <w:sz w:val="28"/>
          <w:szCs w:val="28"/>
          <w:lang w:val="uk-UA"/>
        </w:rPr>
        <w:t>плазм</w:t>
      </w:r>
      <w:r>
        <w:rPr>
          <w:sz w:val="28"/>
          <w:szCs w:val="28"/>
          <w:lang w:val="uk-UA"/>
        </w:rPr>
        <w:t>і</w:t>
      </w:r>
      <w:r w:rsidRPr="00A07171">
        <w:rPr>
          <w:sz w:val="28"/>
          <w:szCs w:val="28"/>
          <w:lang w:val="uk-UA"/>
        </w:rPr>
        <w:t>д-індукованої резистентності штамів Salmonella і Escherichia coli і виявлення г</w:t>
      </w:r>
      <w:r>
        <w:rPr>
          <w:sz w:val="28"/>
          <w:szCs w:val="28"/>
          <w:lang w:val="uk-UA"/>
        </w:rPr>
        <w:t>енів відповідальних за неї [</w:t>
      </w:r>
      <w:r>
        <w:rPr>
          <w:rFonts w:ascii="Times New Roman" w:eastAsia="Times New Roman" w:hAnsi="Times New Roman" w:cs="Times New Roman"/>
          <w:color w:val="000000"/>
          <w:sz w:val="28"/>
          <w:szCs w:val="28"/>
          <w:lang w:val="uk-UA"/>
        </w:rPr>
        <w:t>124</w:t>
      </w:r>
      <w:r>
        <w:rPr>
          <w:sz w:val="28"/>
          <w:szCs w:val="28"/>
          <w:lang w:val="uk-UA"/>
        </w:rPr>
        <w:t>]</w:t>
      </w:r>
      <w:r w:rsidRPr="00A07171">
        <w:rPr>
          <w:sz w:val="28"/>
          <w:szCs w:val="28"/>
          <w:lang w:val="uk-UA"/>
        </w:rPr>
        <w:t>.</w:t>
      </w:r>
    </w:p>
    <w:p w:rsidR="00CE6207" w:rsidRDefault="00CE6207" w:rsidP="00CE6207">
      <w:pPr>
        <w:spacing w:line="360" w:lineRule="auto"/>
        <w:ind w:firstLine="709"/>
        <w:jc w:val="both"/>
        <w:rPr>
          <w:sz w:val="28"/>
          <w:szCs w:val="28"/>
          <w:lang w:val="uk-UA"/>
        </w:rPr>
      </w:pPr>
      <w:r>
        <w:rPr>
          <w:sz w:val="28"/>
          <w:szCs w:val="28"/>
          <w:lang w:val="uk-UA"/>
        </w:rPr>
        <w:t xml:space="preserve">Отже, терапевтичні можливості лікування інфекцій, спричинених бактеріями з плазмідними механізмами резистентності, дуже лімітовані. Крім того, наявність перехресної резистентності, обмежує використання навіть антибіотиків резерву. Тому, </w:t>
      </w:r>
      <w:r w:rsidRPr="001156C0">
        <w:rPr>
          <w:rFonts w:cstheme="minorHAnsi"/>
          <w:color w:val="000000" w:themeColor="text1"/>
          <w:sz w:val="28"/>
          <w:szCs w:val="28"/>
          <w:lang w:val="uk-UA"/>
        </w:rPr>
        <w:t>суворе дотримання рекомендацій по призначенню та дозуванню антибактеріальних препаратів</w:t>
      </w:r>
      <w:r>
        <w:rPr>
          <w:sz w:val="28"/>
          <w:szCs w:val="28"/>
          <w:lang w:val="uk-UA"/>
        </w:rPr>
        <w:t xml:space="preserve">, ідентифікація та ретельний моніторинг резистентних бактерій і генів, що відповідають за неї, є необхідними для вивчення механізмів формування резистентності та пошуку </w:t>
      </w:r>
      <w:r w:rsidRPr="00A07171">
        <w:rPr>
          <w:sz w:val="28"/>
          <w:szCs w:val="28"/>
          <w:lang w:val="uk-UA"/>
        </w:rPr>
        <w:t>можливих шляхів її подолання.</w:t>
      </w:r>
      <w:r>
        <w:rPr>
          <w:sz w:val="28"/>
          <w:szCs w:val="28"/>
          <w:lang w:val="uk-UA"/>
        </w:rPr>
        <w:t xml:space="preserve"> </w:t>
      </w:r>
    </w:p>
    <w:p w:rsidR="00CE6207" w:rsidRPr="0034307B" w:rsidRDefault="00CE6207" w:rsidP="00CE6207">
      <w:pPr>
        <w:spacing w:line="360" w:lineRule="auto"/>
        <w:ind w:firstLine="709"/>
        <w:jc w:val="both"/>
        <w:rPr>
          <w:sz w:val="28"/>
          <w:szCs w:val="28"/>
          <w:lang w:val="uk-UA"/>
        </w:rPr>
      </w:pPr>
    </w:p>
    <w:p w:rsidR="00CE6207" w:rsidRDefault="00CE6207" w:rsidP="003A0A00">
      <w:pPr>
        <w:jc w:val="both"/>
        <w:rPr>
          <w:sz w:val="28"/>
          <w:szCs w:val="28"/>
          <w:lang w:val="uk-UA"/>
        </w:rPr>
      </w:pPr>
    </w:p>
    <w:p w:rsidR="009144E7" w:rsidRPr="000C2774" w:rsidRDefault="009144E7" w:rsidP="009144E7">
      <w:pPr>
        <w:jc w:val="center"/>
        <w:rPr>
          <w:b/>
          <w:sz w:val="28"/>
          <w:szCs w:val="28"/>
          <w:lang w:val="uk-UA"/>
        </w:rPr>
      </w:pPr>
      <w:r w:rsidRPr="000C2774">
        <w:rPr>
          <w:b/>
          <w:sz w:val="28"/>
          <w:szCs w:val="28"/>
          <w:lang w:val="uk-UA"/>
        </w:rPr>
        <w:lastRenderedPageBreak/>
        <w:t>ГЛАВА 2</w:t>
      </w:r>
    </w:p>
    <w:p w:rsidR="009144E7" w:rsidRPr="000C2774" w:rsidRDefault="009144E7" w:rsidP="009144E7">
      <w:pPr>
        <w:jc w:val="center"/>
        <w:rPr>
          <w:b/>
          <w:sz w:val="28"/>
          <w:szCs w:val="28"/>
          <w:lang w:val="uk-UA"/>
        </w:rPr>
      </w:pPr>
      <w:r w:rsidRPr="000C2774">
        <w:rPr>
          <w:b/>
          <w:sz w:val="28"/>
          <w:szCs w:val="28"/>
          <w:lang w:val="uk-UA"/>
        </w:rPr>
        <w:t>МАТЕРІАЛИ ТА МЕТОДИ ДОСЛІДЖЕННЯ</w:t>
      </w:r>
    </w:p>
    <w:p w:rsidR="009144E7" w:rsidRPr="000C2774" w:rsidRDefault="009144E7" w:rsidP="009144E7">
      <w:pPr>
        <w:jc w:val="center"/>
        <w:rPr>
          <w:b/>
          <w:sz w:val="28"/>
          <w:szCs w:val="28"/>
          <w:lang w:val="uk-UA"/>
        </w:rPr>
      </w:pPr>
      <w:r w:rsidRPr="000C2774">
        <w:rPr>
          <w:b/>
          <w:sz w:val="28"/>
          <w:szCs w:val="28"/>
          <w:lang w:val="uk-UA"/>
        </w:rPr>
        <w:t>2.1 Клінічна характеристика хворих</w:t>
      </w:r>
    </w:p>
    <w:p w:rsidR="009144E7" w:rsidRDefault="009144E7" w:rsidP="009144E7">
      <w:pPr>
        <w:spacing w:after="0" w:line="360" w:lineRule="auto"/>
        <w:ind w:firstLine="709"/>
        <w:jc w:val="both"/>
        <w:rPr>
          <w:rFonts w:ascii="Times New Roman" w:eastAsia="Times New Roman" w:hAnsi="Times New Roman" w:cs="Times New Roman"/>
          <w:bCs/>
          <w:color w:val="000000" w:themeColor="text1"/>
          <w:kern w:val="36"/>
          <w:sz w:val="28"/>
          <w:szCs w:val="28"/>
          <w:lang w:val="uk-UA" w:eastAsia="ru-RU"/>
        </w:rPr>
      </w:pPr>
      <w:r w:rsidRPr="00AE030D">
        <w:rPr>
          <w:sz w:val="28"/>
          <w:lang w:val="uk-UA"/>
        </w:rPr>
        <w:t>В процесі виконання роботи нами було обстежено 1</w:t>
      </w:r>
      <w:r>
        <w:rPr>
          <w:sz w:val="28"/>
          <w:lang w:val="uk-UA"/>
        </w:rPr>
        <w:t>05</w:t>
      </w:r>
      <w:r w:rsidRPr="00AE030D">
        <w:rPr>
          <w:sz w:val="28"/>
          <w:lang w:val="uk-UA"/>
        </w:rPr>
        <w:t xml:space="preserve"> хворих.</w:t>
      </w:r>
      <w:r>
        <w:rPr>
          <w:sz w:val="28"/>
          <w:lang w:val="uk-UA"/>
        </w:rPr>
        <w:t xml:space="preserve"> </w:t>
      </w:r>
      <w:r w:rsidRPr="00AE030D">
        <w:rPr>
          <w:sz w:val="28"/>
          <w:lang w:val="uk-UA"/>
        </w:rPr>
        <w:t>Хворі знаходились на обстеженні та лікуванні у</w:t>
      </w:r>
      <w:r>
        <w:rPr>
          <w:sz w:val="28"/>
          <w:lang w:val="uk-UA"/>
        </w:rPr>
        <w:t xml:space="preserve"> </w:t>
      </w:r>
      <w:r w:rsidRPr="00ED7209">
        <w:rPr>
          <w:sz w:val="28"/>
          <w:szCs w:val="28"/>
          <w:lang w:val="uk-UA"/>
        </w:rPr>
        <w:t>1 терапевтичн</w:t>
      </w:r>
      <w:r>
        <w:rPr>
          <w:sz w:val="28"/>
          <w:szCs w:val="28"/>
          <w:lang w:val="uk-UA"/>
        </w:rPr>
        <w:t>ому</w:t>
      </w:r>
      <w:r w:rsidRPr="00ED7209">
        <w:rPr>
          <w:sz w:val="28"/>
          <w:szCs w:val="28"/>
          <w:lang w:val="uk-UA"/>
        </w:rPr>
        <w:t xml:space="preserve"> відділенн</w:t>
      </w:r>
      <w:r>
        <w:rPr>
          <w:sz w:val="28"/>
          <w:szCs w:val="28"/>
          <w:lang w:val="uk-UA"/>
        </w:rPr>
        <w:t>і</w:t>
      </w:r>
      <w:r w:rsidRPr="00ED7209">
        <w:rPr>
          <w:sz w:val="28"/>
          <w:szCs w:val="28"/>
          <w:lang w:val="uk-UA"/>
        </w:rPr>
        <w:t xml:space="preserve"> </w:t>
      </w:r>
      <w:r>
        <w:rPr>
          <w:sz w:val="28"/>
          <w:szCs w:val="28"/>
          <w:lang w:val="uk-UA"/>
        </w:rPr>
        <w:t xml:space="preserve">з нефрологічними ліжками (20) </w:t>
      </w:r>
      <w:r w:rsidRPr="00ED7209">
        <w:rPr>
          <w:sz w:val="28"/>
          <w:szCs w:val="28"/>
          <w:lang w:val="uk-UA"/>
        </w:rPr>
        <w:t>Харківської міської клінічної лікарні швидкої та невідкладної медичної допомо</w:t>
      </w:r>
      <w:r>
        <w:rPr>
          <w:sz w:val="28"/>
          <w:szCs w:val="28"/>
          <w:lang w:val="uk-UA"/>
        </w:rPr>
        <w:t xml:space="preserve">ги №4 ім. проф. О.І. Мещанінова. </w:t>
      </w:r>
      <w:r>
        <w:rPr>
          <w:rFonts w:ascii="Times New Roman" w:eastAsia="Times New Roman" w:hAnsi="Times New Roman" w:cs="Times New Roman"/>
          <w:bCs/>
          <w:color w:val="000000" w:themeColor="text1"/>
          <w:kern w:val="36"/>
          <w:sz w:val="28"/>
          <w:szCs w:val="28"/>
          <w:lang w:val="uk-UA" w:eastAsia="ru-RU"/>
        </w:rPr>
        <w:t xml:space="preserve">Критерії залучення пацієнтів у дослідження: наявність у хворих ХП, цукрового діабету 2 типу. Критерії вилучення пацієнтів із дослідження: цукровий діабет 1 типу, </w:t>
      </w:r>
      <w:r w:rsidRPr="009278F6">
        <w:rPr>
          <w:rFonts w:ascii="Times New Roman" w:eastAsia="Times New Roman" w:hAnsi="Times New Roman" w:cs="Times New Roman"/>
          <w:bCs/>
          <w:color w:val="000000" w:themeColor="text1"/>
          <w:kern w:val="36"/>
          <w:sz w:val="28"/>
          <w:szCs w:val="28"/>
          <w:lang w:val="uk-UA" w:eastAsia="ru-RU"/>
        </w:rPr>
        <w:t>хворі з термінальною нирковою н</w:t>
      </w:r>
      <w:r>
        <w:rPr>
          <w:rFonts w:ascii="Times New Roman" w:eastAsia="Times New Roman" w:hAnsi="Times New Roman" w:cs="Times New Roman"/>
          <w:bCs/>
          <w:color w:val="000000" w:themeColor="text1"/>
          <w:kern w:val="36"/>
          <w:sz w:val="28"/>
          <w:szCs w:val="28"/>
          <w:lang w:val="uk-UA" w:eastAsia="ru-RU"/>
        </w:rPr>
        <w:t>едостатністю (ШКФ ≤ 15 мл/хв/1,</w:t>
      </w:r>
      <w:r w:rsidRPr="009278F6">
        <w:rPr>
          <w:rFonts w:ascii="Times New Roman" w:eastAsia="Times New Roman" w:hAnsi="Times New Roman" w:cs="Times New Roman"/>
          <w:bCs/>
          <w:color w:val="000000" w:themeColor="text1"/>
          <w:kern w:val="36"/>
          <w:sz w:val="28"/>
          <w:szCs w:val="28"/>
          <w:lang w:val="uk-UA" w:eastAsia="ru-RU"/>
        </w:rPr>
        <w:t>73 м</w:t>
      </w:r>
      <w:r w:rsidRPr="00E71636">
        <w:rPr>
          <w:rFonts w:ascii="Times New Roman" w:eastAsia="Times New Roman" w:hAnsi="Times New Roman" w:cs="Times New Roman"/>
          <w:bCs/>
          <w:color w:val="000000" w:themeColor="text1"/>
          <w:kern w:val="36"/>
          <w:sz w:val="28"/>
          <w:szCs w:val="28"/>
          <w:vertAlign w:val="superscript"/>
          <w:lang w:val="uk-UA" w:eastAsia="ru-RU"/>
        </w:rPr>
        <w:t>2</w:t>
      </w:r>
      <w:r w:rsidRPr="009278F6">
        <w:rPr>
          <w:rFonts w:ascii="Times New Roman" w:eastAsia="Times New Roman" w:hAnsi="Times New Roman" w:cs="Times New Roman"/>
          <w:bCs/>
          <w:color w:val="000000" w:themeColor="text1"/>
          <w:kern w:val="36"/>
          <w:sz w:val="28"/>
          <w:szCs w:val="28"/>
          <w:lang w:val="uk-UA" w:eastAsia="ru-RU"/>
        </w:rPr>
        <w:t>), тяжкі захворювання печінки, онкологічні захворюва</w:t>
      </w:r>
      <w:r>
        <w:rPr>
          <w:rFonts w:ascii="Times New Roman" w:eastAsia="Times New Roman" w:hAnsi="Times New Roman" w:cs="Times New Roman"/>
          <w:bCs/>
          <w:color w:val="000000" w:themeColor="text1"/>
          <w:kern w:val="36"/>
          <w:sz w:val="28"/>
          <w:szCs w:val="28"/>
          <w:lang w:val="uk-UA" w:eastAsia="ru-RU"/>
        </w:rPr>
        <w:t xml:space="preserve">ння, захворювання системи крові, вагітність. </w:t>
      </w:r>
    </w:p>
    <w:p w:rsidR="009144E7" w:rsidRDefault="009144E7" w:rsidP="009144E7">
      <w:pPr>
        <w:spacing w:after="0" w:line="360" w:lineRule="auto"/>
        <w:ind w:firstLine="709"/>
        <w:jc w:val="both"/>
        <w:rPr>
          <w:rFonts w:ascii="Times New Roman" w:eastAsia="Times New Roman" w:hAnsi="Times New Roman" w:cs="Times New Roman"/>
          <w:bCs/>
          <w:color w:val="000000" w:themeColor="text1"/>
          <w:kern w:val="36"/>
          <w:sz w:val="28"/>
          <w:szCs w:val="28"/>
          <w:lang w:val="uk-UA" w:eastAsia="ru-RU"/>
        </w:rPr>
      </w:pPr>
      <w:r w:rsidRPr="006403E3">
        <w:rPr>
          <w:sz w:val="28"/>
          <w:szCs w:val="28"/>
          <w:lang w:val="uk-UA"/>
        </w:rPr>
        <w:t>У діагностичному процесі використ</w:t>
      </w:r>
      <w:r>
        <w:rPr>
          <w:sz w:val="28"/>
          <w:szCs w:val="28"/>
          <w:lang w:val="uk-UA"/>
        </w:rPr>
        <w:t>овувалися</w:t>
      </w:r>
      <w:r w:rsidRPr="006403E3">
        <w:rPr>
          <w:sz w:val="28"/>
          <w:szCs w:val="28"/>
          <w:lang w:val="uk-UA"/>
        </w:rPr>
        <w:t xml:space="preserve"> стандартні методи опитування і обстеження хворих, з урахуванням скарг, анамнезу захворювання, даних об'єктивного обстеження, лабораторних і інструментальних методів дослідження.</w:t>
      </w:r>
      <w:r>
        <w:rPr>
          <w:sz w:val="28"/>
          <w:szCs w:val="28"/>
          <w:lang w:val="uk-UA"/>
        </w:rPr>
        <w:t xml:space="preserve"> Визначення стадії, варіанту та клінічного перебігу ХП проводилося згідно рекомендацій </w:t>
      </w:r>
      <w:r>
        <w:rPr>
          <w:rFonts w:ascii="Times New Roman" w:eastAsia="Times New Roman" w:hAnsi="Times New Roman" w:cs="Times New Roman"/>
          <w:bCs/>
          <w:color w:val="000000" w:themeColor="text1"/>
          <w:kern w:val="36"/>
          <w:sz w:val="28"/>
          <w:szCs w:val="28"/>
          <w:lang w:val="uk-UA" w:eastAsia="ru-RU"/>
        </w:rPr>
        <w:t xml:space="preserve">адаптованої клінічної настанови з кращої діагностики, лікування та профілактики інфекцій сечової системи Української асоціації нефрологів (2012р.). Визначення типу, ступеня тяжкості, стану компенсації, наявності хронічних ускладнень цукрового діабету проводилося згідно рекомендацій Асоціації ендокринологів України (2012 р.). Визначення наявності плазмід-індукованих механізмів резистентності проводилось методом полімеразної ланцюжкової реакції. </w:t>
      </w:r>
      <w:r>
        <w:rPr>
          <w:color w:val="000000" w:themeColor="text1"/>
          <w:sz w:val="28"/>
          <w:szCs w:val="28"/>
          <w:lang w:val="uk-UA"/>
        </w:rPr>
        <w:t>Стадію</w:t>
      </w:r>
      <w:r w:rsidRPr="00E3021C">
        <w:rPr>
          <w:color w:val="000000" w:themeColor="text1"/>
          <w:sz w:val="28"/>
          <w:szCs w:val="28"/>
          <w:lang w:val="uk-UA"/>
        </w:rPr>
        <w:t xml:space="preserve"> ХХН </w:t>
      </w:r>
      <w:r>
        <w:rPr>
          <w:color w:val="000000" w:themeColor="text1"/>
          <w:sz w:val="28"/>
          <w:szCs w:val="28"/>
          <w:lang w:val="uk-UA"/>
        </w:rPr>
        <w:t xml:space="preserve">визначали по рівню </w:t>
      </w:r>
      <w:r w:rsidRPr="00E3021C">
        <w:rPr>
          <w:rFonts w:cstheme="minorHAnsi"/>
          <w:sz w:val="28"/>
          <w:szCs w:val="28"/>
          <w:lang w:val="uk-UA"/>
        </w:rPr>
        <w:t>швидкості клубочкової фільтрації (ШКФ)</w:t>
      </w:r>
      <w:r>
        <w:rPr>
          <w:color w:val="000000" w:themeColor="text1"/>
          <w:sz w:val="28"/>
          <w:szCs w:val="28"/>
          <w:lang w:val="uk-UA"/>
        </w:rPr>
        <w:t xml:space="preserve"> </w:t>
      </w:r>
      <w:r w:rsidRPr="00E3021C">
        <w:rPr>
          <w:rFonts w:cstheme="minorHAnsi"/>
          <w:sz w:val="28"/>
          <w:szCs w:val="28"/>
          <w:lang w:val="uk-UA"/>
        </w:rPr>
        <w:t xml:space="preserve">за формулою </w:t>
      </w:r>
      <w:r w:rsidRPr="00E3021C">
        <w:rPr>
          <w:rFonts w:cstheme="minorHAnsi"/>
          <w:sz w:val="28"/>
          <w:szCs w:val="28"/>
          <w:lang w:val="en-US"/>
        </w:rPr>
        <w:t>CKD</w:t>
      </w:r>
      <w:r w:rsidRPr="00E3021C">
        <w:rPr>
          <w:rFonts w:cstheme="minorHAnsi"/>
          <w:sz w:val="28"/>
          <w:szCs w:val="28"/>
          <w:lang w:val="uk-UA"/>
        </w:rPr>
        <w:t>-</w:t>
      </w:r>
      <w:r w:rsidRPr="00E3021C">
        <w:rPr>
          <w:rFonts w:cstheme="minorHAnsi"/>
          <w:sz w:val="28"/>
          <w:szCs w:val="28"/>
          <w:lang w:val="en-US"/>
        </w:rPr>
        <w:t>EPI</w:t>
      </w:r>
      <w:r w:rsidRPr="00E3021C">
        <w:rPr>
          <w:rFonts w:cstheme="minorHAnsi"/>
          <w:sz w:val="28"/>
          <w:szCs w:val="28"/>
          <w:lang w:val="uk-UA"/>
        </w:rPr>
        <w:t xml:space="preserve"> (</w:t>
      </w:r>
      <w:r w:rsidRPr="00E3021C">
        <w:rPr>
          <w:rFonts w:cstheme="minorHAnsi"/>
          <w:sz w:val="28"/>
          <w:szCs w:val="28"/>
          <w:lang w:val="en-US"/>
        </w:rPr>
        <w:t>KDIGO</w:t>
      </w:r>
      <w:r w:rsidRPr="00E3021C">
        <w:rPr>
          <w:rFonts w:cstheme="minorHAnsi"/>
          <w:sz w:val="28"/>
          <w:szCs w:val="28"/>
          <w:lang w:val="uk-UA"/>
        </w:rPr>
        <w:t xml:space="preserve"> 2012)</w:t>
      </w:r>
      <w:r>
        <w:rPr>
          <w:rFonts w:cstheme="minorHAnsi"/>
          <w:sz w:val="28"/>
          <w:szCs w:val="28"/>
          <w:lang w:val="uk-UA"/>
        </w:rPr>
        <w:t xml:space="preserve"> </w:t>
      </w:r>
      <w:r w:rsidRPr="00E3021C">
        <w:rPr>
          <w:rFonts w:cstheme="minorHAnsi"/>
          <w:color w:val="000000" w:themeColor="text1"/>
          <w:sz w:val="28"/>
          <w:szCs w:val="28"/>
          <w:lang w:val="uk-UA"/>
        </w:rPr>
        <w:t>[</w:t>
      </w:r>
      <w:r>
        <w:rPr>
          <w:sz w:val="28"/>
          <w:szCs w:val="28"/>
          <w:lang w:val="uk-UA"/>
        </w:rPr>
        <w:t>5</w:t>
      </w:r>
      <w:r w:rsidRPr="00E3021C">
        <w:rPr>
          <w:rFonts w:cstheme="minorHAnsi"/>
          <w:color w:val="000000" w:themeColor="text1"/>
          <w:sz w:val="28"/>
          <w:szCs w:val="28"/>
          <w:lang w:val="uk-UA"/>
        </w:rPr>
        <w:t>]</w:t>
      </w:r>
      <w:r w:rsidRPr="00E3021C">
        <w:rPr>
          <w:color w:val="000000" w:themeColor="text1"/>
          <w:sz w:val="28"/>
          <w:szCs w:val="28"/>
          <w:lang w:val="uk-UA"/>
        </w:rPr>
        <w:t>.</w:t>
      </w:r>
    </w:p>
    <w:p w:rsidR="009144E7" w:rsidRDefault="009144E7" w:rsidP="009144E7">
      <w:pPr>
        <w:spacing w:after="0" w:line="360" w:lineRule="auto"/>
        <w:ind w:firstLine="709"/>
        <w:jc w:val="both"/>
        <w:rPr>
          <w:color w:val="000000" w:themeColor="text1"/>
          <w:sz w:val="28"/>
          <w:lang w:val="uk-UA"/>
        </w:rPr>
      </w:pPr>
      <w:r>
        <w:rPr>
          <w:color w:val="000000" w:themeColor="text1"/>
          <w:sz w:val="28"/>
          <w:lang w:val="uk-UA"/>
        </w:rPr>
        <w:t>У всіх 105 (100%) хворих було діагностовано хронічну хворобу нирок (ХХН), хронічний пієлонефрит (ХП), у 73 (69,5 %) – із супутнім цукровим діабетом (ЦД) 2 типу, з різними стадіями ХХН.</w:t>
      </w:r>
    </w:p>
    <w:p w:rsidR="009144E7" w:rsidRDefault="009144E7" w:rsidP="009144E7">
      <w:pPr>
        <w:spacing w:after="0" w:line="360" w:lineRule="auto"/>
        <w:ind w:firstLine="709"/>
        <w:jc w:val="both"/>
        <w:rPr>
          <w:rFonts w:ascii="Times New Roman" w:hAnsi="Times New Roman" w:cs="Times New Roman"/>
          <w:sz w:val="28"/>
          <w:szCs w:val="28"/>
          <w:lang w:val="uk-UA" w:eastAsia="ru-RU"/>
        </w:rPr>
      </w:pPr>
      <w:r>
        <w:rPr>
          <w:color w:val="000000" w:themeColor="text1"/>
          <w:sz w:val="28"/>
          <w:lang w:val="uk-UA"/>
        </w:rPr>
        <w:lastRenderedPageBreak/>
        <w:t>Серед обстежених було 91 (86,7 %) жінка і 14 (13,3 %) чоловіків. Вік обстежених коливався від 21 до 86 років, в середньому склав 56,9</w:t>
      </w:r>
      <w:r>
        <w:rPr>
          <w:rFonts w:cstheme="minorHAnsi"/>
          <w:color w:val="000000" w:themeColor="text1"/>
          <w:sz w:val="28"/>
          <w:lang w:val="uk-UA"/>
        </w:rPr>
        <w:t>±</w:t>
      </w:r>
      <w:r>
        <w:rPr>
          <w:color w:val="000000" w:themeColor="text1"/>
          <w:sz w:val="28"/>
          <w:lang w:val="uk-UA"/>
        </w:rPr>
        <w:t xml:space="preserve">1,7 років. </w:t>
      </w:r>
      <w:r>
        <w:rPr>
          <w:rFonts w:ascii="Times New Roman" w:hAnsi="Times New Roman" w:cs="Times New Roman"/>
          <w:sz w:val="28"/>
          <w:szCs w:val="28"/>
          <w:lang w:val="uk-UA" w:eastAsia="ru-RU"/>
        </w:rPr>
        <w:t xml:space="preserve">Всіх хворих, окремо чоловіків і жінок, було розподілено на дві вікові групи: до 55 років (n=39) та старше 55 років (n=66), таблиця 2.1. </w:t>
      </w:r>
    </w:p>
    <w:p w:rsidR="009144E7" w:rsidRDefault="009144E7" w:rsidP="009144E7">
      <w:pPr>
        <w:spacing w:after="0" w:line="360" w:lineRule="auto"/>
        <w:ind w:firstLine="709"/>
        <w:jc w:val="both"/>
        <w:rPr>
          <w:rFonts w:cstheme="minorHAnsi"/>
          <w:sz w:val="28"/>
          <w:szCs w:val="28"/>
          <w:lang w:val="uk-UA"/>
        </w:rPr>
      </w:pPr>
      <w:r>
        <w:rPr>
          <w:rFonts w:ascii="Times New Roman" w:hAnsi="Times New Roman" w:cs="Times New Roman"/>
          <w:sz w:val="28"/>
          <w:szCs w:val="28"/>
          <w:lang w:val="uk-UA" w:eastAsia="ru-RU"/>
        </w:rPr>
        <w:t xml:space="preserve">Згідно рекомендацій </w:t>
      </w:r>
      <w:r>
        <w:rPr>
          <w:rFonts w:cstheme="minorHAnsi"/>
          <w:sz w:val="28"/>
          <w:szCs w:val="28"/>
          <w:lang w:val="en-US"/>
        </w:rPr>
        <w:t>KDIGO</w:t>
      </w:r>
      <w:r w:rsidRPr="005B42DD">
        <w:rPr>
          <w:rFonts w:cstheme="minorHAnsi"/>
          <w:sz w:val="28"/>
          <w:szCs w:val="28"/>
          <w:lang w:val="uk-UA"/>
        </w:rPr>
        <w:t xml:space="preserve"> 2012</w:t>
      </w:r>
      <w:r>
        <w:rPr>
          <w:rFonts w:cstheme="minorHAnsi"/>
          <w:sz w:val="28"/>
          <w:szCs w:val="28"/>
          <w:lang w:val="uk-UA"/>
        </w:rPr>
        <w:t xml:space="preserve">, хворі були розподілені за рівнем ШКФ: </w:t>
      </w:r>
      <w:r w:rsidRPr="005B42DD">
        <w:rPr>
          <w:rFonts w:cstheme="minorHAnsi"/>
          <w:sz w:val="28"/>
          <w:szCs w:val="28"/>
          <w:lang w:val="uk-UA"/>
        </w:rPr>
        <w:t>&gt;</w:t>
      </w:r>
      <w:r>
        <w:rPr>
          <w:rFonts w:cstheme="minorHAnsi"/>
          <w:sz w:val="28"/>
          <w:szCs w:val="28"/>
          <w:lang w:val="uk-UA"/>
        </w:rPr>
        <w:t xml:space="preserve"> 90 мл/мін/1,73м</w:t>
      </w:r>
      <w:r>
        <w:rPr>
          <w:rFonts w:cstheme="minorHAnsi"/>
          <w:sz w:val="28"/>
          <w:szCs w:val="28"/>
          <w:vertAlign w:val="superscript"/>
          <w:lang w:val="uk-UA"/>
        </w:rPr>
        <w:t>2</w:t>
      </w:r>
      <w:r>
        <w:rPr>
          <w:rFonts w:cstheme="minorHAnsi"/>
          <w:sz w:val="28"/>
          <w:szCs w:val="28"/>
          <w:lang w:val="uk-UA"/>
        </w:rPr>
        <w:t xml:space="preserve"> – 21 </w:t>
      </w:r>
      <w:r w:rsidRPr="00DA794C">
        <w:rPr>
          <w:rFonts w:cstheme="minorHAnsi"/>
          <w:sz w:val="28"/>
          <w:szCs w:val="28"/>
          <w:lang w:val="uk-UA"/>
        </w:rPr>
        <w:t>(2</w:t>
      </w:r>
      <w:r>
        <w:rPr>
          <w:rFonts w:cstheme="minorHAnsi"/>
          <w:sz w:val="28"/>
          <w:szCs w:val="28"/>
          <w:lang w:val="uk-UA"/>
        </w:rPr>
        <w:t>0</w:t>
      </w:r>
      <w:r w:rsidRPr="00DA794C">
        <w:rPr>
          <w:rFonts w:cstheme="minorHAnsi"/>
          <w:sz w:val="28"/>
          <w:szCs w:val="28"/>
          <w:lang w:val="uk-UA"/>
        </w:rPr>
        <w:t xml:space="preserve">%) </w:t>
      </w:r>
      <w:r>
        <w:rPr>
          <w:rFonts w:cstheme="minorHAnsi"/>
          <w:sz w:val="28"/>
          <w:szCs w:val="28"/>
          <w:lang w:val="uk-UA"/>
        </w:rPr>
        <w:t>осіб; 60-89 мл/мін/1,73м</w:t>
      </w:r>
      <w:r>
        <w:rPr>
          <w:rFonts w:cstheme="minorHAnsi"/>
          <w:sz w:val="28"/>
          <w:szCs w:val="28"/>
          <w:vertAlign w:val="superscript"/>
          <w:lang w:val="uk-UA"/>
        </w:rPr>
        <w:t>2</w:t>
      </w:r>
      <w:r>
        <w:rPr>
          <w:rFonts w:cstheme="minorHAnsi"/>
          <w:sz w:val="28"/>
          <w:szCs w:val="28"/>
          <w:lang w:val="uk-UA"/>
        </w:rPr>
        <w:t xml:space="preserve"> – 28 </w:t>
      </w:r>
      <w:r w:rsidRPr="00DA794C">
        <w:rPr>
          <w:rFonts w:cstheme="minorHAnsi"/>
          <w:sz w:val="28"/>
          <w:szCs w:val="28"/>
          <w:lang w:val="uk-UA"/>
        </w:rPr>
        <w:t>(</w:t>
      </w:r>
      <w:r>
        <w:rPr>
          <w:rFonts w:cstheme="minorHAnsi"/>
          <w:sz w:val="28"/>
          <w:szCs w:val="28"/>
          <w:lang w:val="uk-UA"/>
        </w:rPr>
        <w:t>26,7</w:t>
      </w:r>
      <w:r w:rsidRPr="00DA794C">
        <w:rPr>
          <w:rFonts w:cstheme="minorHAnsi"/>
          <w:sz w:val="28"/>
          <w:szCs w:val="28"/>
          <w:lang w:val="uk-UA"/>
        </w:rPr>
        <w:t xml:space="preserve">%) </w:t>
      </w:r>
      <w:r>
        <w:rPr>
          <w:rFonts w:cstheme="minorHAnsi"/>
          <w:sz w:val="28"/>
          <w:szCs w:val="28"/>
          <w:lang w:val="uk-UA"/>
        </w:rPr>
        <w:t>особи; 30-59 мл/мін/1,73м</w:t>
      </w:r>
      <w:r>
        <w:rPr>
          <w:rFonts w:cstheme="minorHAnsi"/>
          <w:sz w:val="28"/>
          <w:szCs w:val="28"/>
          <w:vertAlign w:val="superscript"/>
          <w:lang w:val="uk-UA"/>
        </w:rPr>
        <w:t>2</w:t>
      </w:r>
      <w:r>
        <w:rPr>
          <w:rFonts w:cstheme="minorHAnsi"/>
          <w:sz w:val="28"/>
          <w:szCs w:val="28"/>
          <w:lang w:val="uk-UA"/>
        </w:rPr>
        <w:t xml:space="preserve"> – 27 (25,7%) осіб та 15-29 мл/мін/1,73м</w:t>
      </w:r>
      <w:r>
        <w:rPr>
          <w:rFonts w:cstheme="minorHAnsi"/>
          <w:sz w:val="28"/>
          <w:szCs w:val="28"/>
          <w:vertAlign w:val="superscript"/>
          <w:lang w:val="uk-UA"/>
        </w:rPr>
        <w:t>2</w:t>
      </w:r>
      <w:r>
        <w:rPr>
          <w:rFonts w:cstheme="minorHAnsi"/>
          <w:sz w:val="28"/>
          <w:szCs w:val="28"/>
          <w:lang w:val="uk-UA"/>
        </w:rPr>
        <w:t xml:space="preserve"> – 29 (27,6%) осіб (таблиця 2.1).</w:t>
      </w:r>
    </w:p>
    <w:p w:rsidR="009144E7" w:rsidRPr="00143E67" w:rsidRDefault="009144E7" w:rsidP="009144E7">
      <w:pPr>
        <w:spacing w:after="0" w:line="360" w:lineRule="auto"/>
        <w:ind w:firstLine="709"/>
        <w:jc w:val="both"/>
        <w:rPr>
          <w:rFonts w:ascii="Times New Roman" w:eastAsia="Times New Roman" w:hAnsi="Times New Roman" w:cs="Times New Roman"/>
          <w:bCs/>
          <w:color w:val="000000" w:themeColor="text1"/>
          <w:kern w:val="36"/>
          <w:sz w:val="28"/>
          <w:szCs w:val="28"/>
          <w:lang w:val="uk-UA" w:eastAsia="ru-RU"/>
        </w:rPr>
      </w:pPr>
      <w:r>
        <w:rPr>
          <w:sz w:val="28"/>
          <w:szCs w:val="28"/>
          <w:lang w:val="uk-UA"/>
        </w:rPr>
        <w:t xml:space="preserve">При лабораторному обстеженні, показники азотемії були підвищеними у </w:t>
      </w:r>
      <w:r w:rsidRPr="00C06E52">
        <w:rPr>
          <w:sz w:val="28"/>
          <w:szCs w:val="28"/>
          <w:lang w:val="uk-UA"/>
        </w:rPr>
        <w:t>4</w:t>
      </w:r>
      <w:r>
        <w:rPr>
          <w:sz w:val="28"/>
          <w:szCs w:val="28"/>
          <w:lang w:val="uk-UA"/>
        </w:rPr>
        <w:t>1</w:t>
      </w:r>
      <w:r w:rsidRPr="00C06E52">
        <w:rPr>
          <w:sz w:val="28"/>
          <w:szCs w:val="28"/>
          <w:lang w:val="uk-UA"/>
        </w:rPr>
        <w:t xml:space="preserve"> (39%)</w:t>
      </w:r>
      <w:r w:rsidRPr="00C06E52">
        <w:rPr>
          <w:sz w:val="24"/>
          <w:szCs w:val="24"/>
          <w:lang w:val="uk-UA"/>
        </w:rPr>
        <w:t xml:space="preserve"> </w:t>
      </w:r>
      <w:r>
        <w:rPr>
          <w:sz w:val="28"/>
          <w:szCs w:val="28"/>
          <w:lang w:val="uk-UA"/>
        </w:rPr>
        <w:t xml:space="preserve">осіб, </w:t>
      </w:r>
      <w:r w:rsidRPr="002A2A60">
        <w:rPr>
          <w:sz w:val="28"/>
          <w:szCs w:val="28"/>
          <w:lang w:val="uk-UA"/>
        </w:rPr>
        <w:t>середній рівень креатинін</w:t>
      </w:r>
      <w:r>
        <w:rPr>
          <w:sz w:val="28"/>
          <w:szCs w:val="28"/>
          <w:lang w:val="uk-UA"/>
        </w:rPr>
        <w:t>у становив – 148,4±12,1 мкмоль/</w:t>
      </w:r>
      <w:r w:rsidRPr="002A2A60">
        <w:rPr>
          <w:sz w:val="28"/>
          <w:szCs w:val="28"/>
          <w:lang w:val="uk-UA"/>
        </w:rPr>
        <w:t xml:space="preserve">мл, сечовини </w:t>
      </w:r>
      <w:r>
        <w:rPr>
          <w:sz w:val="28"/>
          <w:szCs w:val="28"/>
          <w:lang w:val="uk-UA"/>
        </w:rPr>
        <w:t>–</w:t>
      </w:r>
      <w:r w:rsidRPr="002A2A60">
        <w:rPr>
          <w:sz w:val="28"/>
          <w:szCs w:val="28"/>
          <w:lang w:val="uk-UA"/>
        </w:rPr>
        <w:t xml:space="preserve"> 9,</w:t>
      </w:r>
      <w:r>
        <w:rPr>
          <w:sz w:val="28"/>
          <w:szCs w:val="28"/>
          <w:lang w:val="uk-UA"/>
        </w:rPr>
        <w:t>32±0,56 ммоль/</w:t>
      </w:r>
      <w:r w:rsidRPr="002A2A60">
        <w:rPr>
          <w:sz w:val="28"/>
          <w:szCs w:val="28"/>
          <w:lang w:val="uk-UA"/>
        </w:rPr>
        <w:t>мл; в клінічному аналізі сечі відносна щільн</w:t>
      </w:r>
      <w:r>
        <w:rPr>
          <w:sz w:val="28"/>
          <w:szCs w:val="28"/>
          <w:lang w:val="uk-UA"/>
        </w:rPr>
        <w:t>ість в середньому склала 1013,5±</w:t>
      </w:r>
      <w:r w:rsidRPr="002A2A60">
        <w:rPr>
          <w:sz w:val="28"/>
          <w:szCs w:val="28"/>
          <w:lang w:val="uk-UA"/>
        </w:rPr>
        <w:t>0,6</w:t>
      </w:r>
      <w:r>
        <w:rPr>
          <w:sz w:val="28"/>
          <w:szCs w:val="28"/>
          <w:lang w:val="uk-UA"/>
        </w:rPr>
        <w:t>;</w:t>
      </w:r>
      <w:r w:rsidRPr="00C06E52">
        <w:rPr>
          <w:lang w:val="uk-UA"/>
        </w:rPr>
        <w:t xml:space="preserve"> </w:t>
      </w:r>
      <w:r w:rsidRPr="002A2A60">
        <w:rPr>
          <w:sz w:val="28"/>
          <w:szCs w:val="28"/>
          <w:lang w:val="uk-UA"/>
        </w:rPr>
        <w:t xml:space="preserve">при дослідженні сечового осаду лейкоцитурія мала місце у </w:t>
      </w:r>
      <w:r>
        <w:rPr>
          <w:sz w:val="28"/>
          <w:szCs w:val="28"/>
          <w:lang w:val="uk-UA"/>
        </w:rPr>
        <w:t>85</w:t>
      </w:r>
      <w:r w:rsidRPr="002A2A60">
        <w:rPr>
          <w:sz w:val="28"/>
          <w:szCs w:val="28"/>
          <w:lang w:val="uk-UA"/>
        </w:rPr>
        <w:t xml:space="preserve"> (80,9%) пацієнтів, гематурія була виявлена у </w:t>
      </w:r>
      <w:r>
        <w:rPr>
          <w:sz w:val="28"/>
          <w:szCs w:val="28"/>
          <w:lang w:val="uk-UA"/>
        </w:rPr>
        <w:t>35</w:t>
      </w:r>
      <w:r w:rsidRPr="002A2A60">
        <w:rPr>
          <w:sz w:val="28"/>
          <w:szCs w:val="28"/>
          <w:lang w:val="uk-UA"/>
        </w:rPr>
        <w:t xml:space="preserve"> (33,3%), </w:t>
      </w:r>
      <w:r>
        <w:rPr>
          <w:sz w:val="28"/>
          <w:szCs w:val="28"/>
          <w:lang w:val="uk-UA"/>
        </w:rPr>
        <w:t xml:space="preserve">альбумінурія зустрічалася у </w:t>
      </w:r>
      <w:r w:rsidRPr="004D2BFF">
        <w:rPr>
          <w:sz w:val="28"/>
          <w:szCs w:val="28"/>
          <w:lang w:val="uk-UA"/>
        </w:rPr>
        <w:t>3</w:t>
      </w:r>
      <w:r>
        <w:rPr>
          <w:sz w:val="28"/>
          <w:szCs w:val="28"/>
          <w:lang w:val="uk-UA"/>
        </w:rPr>
        <w:t>2</w:t>
      </w:r>
      <w:r w:rsidRPr="002A2A60">
        <w:rPr>
          <w:sz w:val="28"/>
          <w:szCs w:val="28"/>
          <w:lang w:val="uk-UA"/>
        </w:rPr>
        <w:t xml:space="preserve"> (</w:t>
      </w:r>
      <w:r>
        <w:rPr>
          <w:sz w:val="28"/>
          <w:szCs w:val="28"/>
          <w:lang w:val="uk-UA"/>
        </w:rPr>
        <w:t>30,5</w:t>
      </w:r>
      <w:r w:rsidRPr="002A2A60">
        <w:rPr>
          <w:sz w:val="28"/>
          <w:szCs w:val="28"/>
          <w:lang w:val="uk-UA"/>
        </w:rPr>
        <w:t>%)</w:t>
      </w:r>
      <w:r>
        <w:rPr>
          <w:sz w:val="28"/>
          <w:szCs w:val="28"/>
          <w:lang w:val="uk-UA"/>
        </w:rPr>
        <w:t xml:space="preserve">, протеїнурія у </w:t>
      </w:r>
      <w:r w:rsidRPr="00356B61">
        <w:rPr>
          <w:sz w:val="28"/>
          <w:szCs w:val="28"/>
          <w:lang w:val="uk-UA"/>
        </w:rPr>
        <w:t>2</w:t>
      </w:r>
      <w:r>
        <w:rPr>
          <w:sz w:val="28"/>
          <w:szCs w:val="28"/>
          <w:lang w:val="uk-UA"/>
        </w:rPr>
        <w:t>3 (21,9%)</w:t>
      </w:r>
      <w:r w:rsidRPr="002A2A60">
        <w:rPr>
          <w:sz w:val="28"/>
          <w:szCs w:val="28"/>
          <w:lang w:val="uk-UA"/>
        </w:rPr>
        <w:t>.</w:t>
      </w:r>
    </w:p>
    <w:p w:rsidR="009144E7" w:rsidRDefault="009144E7" w:rsidP="009144E7">
      <w:pPr>
        <w:shd w:val="clear" w:color="auto" w:fill="FFFFFF"/>
        <w:spacing w:after="0" w:line="360" w:lineRule="auto"/>
        <w:ind w:firstLine="709"/>
        <w:jc w:val="both"/>
        <w:textAlignment w:val="baseline"/>
        <w:outlineLvl w:val="0"/>
        <w:rPr>
          <w:sz w:val="28"/>
          <w:szCs w:val="28"/>
          <w:lang w:val="uk-UA"/>
        </w:rPr>
      </w:pPr>
      <w:r>
        <w:rPr>
          <w:rFonts w:cstheme="minorHAnsi"/>
          <w:sz w:val="28"/>
          <w:szCs w:val="28"/>
          <w:lang w:val="uk-UA"/>
        </w:rPr>
        <w:t xml:space="preserve">По стадії активності ХП, хворі були розподілені наступним чином: І ст. активності мали </w:t>
      </w:r>
      <w:r>
        <w:rPr>
          <w:sz w:val="28"/>
          <w:szCs w:val="28"/>
          <w:lang w:val="uk-UA"/>
        </w:rPr>
        <w:t xml:space="preserve">20 (19%) пацієнта, </w:t>
      </w:r>
      <w:r>
        <w:rPr>
          <w:rFonts w:cstheme="minorHAnsi"/>
          <w:sz w:val="28"/>
          <w:szCs w:val="28"/>
          <w:lang w:val="uk-UA"/>
        </w:rPr>
        <w:t>ІІ</w:t>
      </w:r>
      <w:r>
        <w:rPr>
          <w:sz w:val="28"/>
          <w:szCs w:val="28"/>
          <w:lang w:val="uk-UA"/>
        </w:rPr>
        <w:t xml:space="preserve"> ст. активності – 43 (40,9%), </w:t>
      </w:r>
      <w:r>
        <w:rPr>
          <w:rFonts w:cstheme="minorHAnsi"/>
          <w:sz w:val="28"/>
          <w:szCs w:val="28"/>
          <w:lang w:val="uk-UA"/>
        </w:rPr>
        <w:t>ІІІ</w:t>
      </w:r>
      <w:r>
        <w:rPr>
          <w:sz w:val="28"/>
          <w:szCs w:val="28"/>
          <w:lang w:val="uk-UA"/>
        </w:rPr>
        <w:t xml:space="preserve"> ст. мала місце у 42 (40%) осіб.</w:t>
      </w:r>
    </w:p>
    <w:p w:rsidR="009144E7" w:rsidRDefault="009144E7" w:rsidP="009144E7">
      <w:pPr>
        <w:shd w:val="clear" w:color="auto" w:fill="FFFFFF"/>
        <w:spacing w:after="0" w:line="360" w:lineRule="auto"/>
        <w:ind w:firstLine="709"/>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За наявністю супутніх коморбідних станів, хворі були розподілені наступним чином: із супутньою АГ – 71 (67,6%) хворих; наявністю обструкції сечовивідних шляхів – 22 (20,9%) осіб; наявністю епізодів перенесеної ІСС в анамнезі – 11 (10,5%); ІХС – 56 (53,3%); ДН – 18 (17,1%).</w:t>
      </w:r>
    </w:p>
    <w:p w:rsidR="009144E7" w:rsidRDefault="009144E7" w:rsidP="009144E7">
      <w:pPr>
        <w:shd w:val="clear" w:color="auto" w:fill="FFFFFF"/>
        <w:spacing w:after="0" w:line="360" w:lineRule="auto"/>
        <w:ind w:firstLine="709"/>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Клінічна характеристика пацієнтів представлена у таблиці 2.1</w:t>
      </w:r>
    </w:p>
    <w:p w:rsidR="009144E7" w:rsidRDefault="009144E7" w:rsidP="009144E7">
      <w:pPr>
        <w:shd w:val="clear" w:color="auto" w:fill="FFFFFF"/>
        <w:spacing w:after="0" w:line="360" w:lineRule="auto"/>
        <w:ind w:firstLine="709"/>
        <w:jc w:val="right"/>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Таблиця 2.1</w:t>
      </w:r>
    </w:p>
    <w:tbl>
      <w:tblPr>
        <w:tblStyle w:val="ae"/>
        <w:tblW w:w="0" w:type="auto"/>
        <w:tblLook w:val="04A0" w:firstRow="1" w:lastRow="0" w:firstColumn="1" w:lastColumn="0" w:noHBand="0" w:noVBand="1"/>
      </w:tblPr>
      <w:tblGrid>
        <w:gridCol w:w="3190"/>
        <w:gridCol w:w="3190"/>
        <w:gridCol w:w="3191"/>
      </w:tblGrid>
      <w:tr w:rsidR="009144E7" w:rsidTr="009144E7">
        <w:tc>
          <w:tcPr>
            <w:tcW w:w="3190" w:type="dxa"/>
          </w:tcPr>
          <w:p w:rsidR="009144E7" w:rsidRPr="00A10CE2"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 xml:space="preserve">Ознаки </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1" w:type="dxa"/>
          </w:tcPr>
          <w:p w:rsidR="009144E7" w:rsidRPr="00A10CE2"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en-US" w:eastAsia="ru-RU"/>
              </w:rPr>
            </w:pPr>
            <w:r>
              <w:rPr>
                <w:rFonts w:ascii="Times New Roman" w:eastAsia="Times New Roman" w:hAnsi="Times New Roman" w:cs="Times New Roman"/>
                <w:bCs/>
                <w:color w:val="000000" w:themeColor="text1"/>
                <w:kern w:val="36"/>
                <w:sz w:val="28"/>
                <w:szCs w:val="28"/>
                <w:lang w:val="uk-UA" w:eastAsia="ru-RU"/>
              </w:rPr>
              <w:t xml:space="preserve">Кількість, </w:t>
            </w:r>
            <w:r>
              <w:rPr>
                <w:rFonts w:ascii="Times New Roman" w:eastAsia="Times New Roman" w:hAnsi="Times New Roman" w:cs="Times New Roman"/>
                <w:bCs/>
                <w:color w:val="000000" w:themeColor="text1"/>
                <w:kern w:val="36"/>
                <w:sz w:val="28"/>
                <w:szCs w:val="28"/>
                <w:lang w:val="en-US" w:eastAsia="ru-RU"/>
              </w:rPr>
              <w:t>n (%)</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Групи хворих</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 група (ХП+ЦД 2 типу)</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73 (69,5%)</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ІІ група (ХП)</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32 (30,5%)</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 xml:space="preserve">Стать </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Чоловіки</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14 (13,3%)</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Жінки</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91 (86,7%)</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 xml:space="preserve">Вік </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Чоловіки</w:t>
            </w:r>
          </w:p>
        </w:tc>
        <w:tc>
          <w:tcPr>
            <w:tcW w:w="3191" w:type="dxa"/>
          </w:tcPr>
          <w:p w:rsidR="009144E7" w:rsidRPr="00A10CE2"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sidRPr="00A10CE2">
              <w:rPr>
                <w:rFonts w:ascii="Times New Roman" w:eastAsia="Times New Roman" w:hAnsi="Times New Roman" w:cs="Times New Roman"/>
                <w:bCs/>
                <w:color w:val="000000" w:themeColor="text1"/>
                <w:kern w:val="36"/>
                <w:sz w:val="28"/>
                <w:szCs w:val="28"/>
                <w:lang w:eastAsia="ru-RU"/>
              </w:rPr>
              <w:t>59,6±3,6</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Жінки</w:t>
            </w:r>
          </w:p>
        </w:tc>
        <w:tc>
          <w:tcPr>
            <w:tcW w:w="3191" w:type="dxa"/>
          </w:tcPr>
          <w:p w:rsidR="009144E7" w:rsidRPr="00A10CE2"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sidRPr="00A10CE2">
              <w:rPr>
                <w:rFonts w:ascii="Times New Roman" w:eastAsia="Times New Roman" w:hAnsi="Times New Roman" w:cs="Times New Roman"/>
                <w:bCs/>
                <w:color w:val="000000" w:themeColor="text1"/>
                <w:kern w:val="36"/>
                <w:sz w:val="28"/>
                <w:szCs w:val="28"/>
                <w:lang w:eastAsia="ru-RU"/>
              </w:rPr>
              <w:t>56,6±1,9</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Активність ХП</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 ст. активності</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20 (19%)</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ІІ ст. активності</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43 (40,9%)</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ІІІ ст. активності</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42 (40%)</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Стадії ХХН</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 ст. ХХН</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21 (20%)</w:t>
            </w:r>
          </w:p>
        </w:tc>
      </w:tr>
      <w:tr w:rsidR="009144E7" w:rsidTr="009144E7">
        <w:tc>
          <w:tcPr>
            <w:tcW w:w="3190" w:type="dxa"/>
            <w:vMerge/>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r w:rsidRPr="003B7CB5">
              <w:rPr>
                <w:rFonts w:ascii="Times New Roman" w:eastAsia="Times New Roman" w:hAnsi="Times New Roman" w:cs="Times New Roman"/>
                <w:bCs/>
                <w:color w:val="000000" w:themeColor="text1"/>
                <w:kern w:val="36"/>
                <w:sz w:val="28"/>
                <w:szCs w:val="28"/>
                <w:lang w:val="uk-UA" w:eastAsia="ru-RU"/>
              </w:rPr>
              <w:t>І</w:t>
            </w:r>
            <w:r>
              <w:rPr>
                <w:rFonts w:ascii="Times New Roman" w:eastAsia="Times New Roman" w:hAnsi="Times New Roman" w:cs="Times New Roman"/>
                <w:bCs/>
                <w:color w:val="000000" w:themeColor="text1"/>
                <w:kern w:val="36"/>
                <w:sz w:val="28"/>
                <w:szCs w:val="28"/>
                <w:lang w:val="uk-UA" w:eastAsia="ru-RU"/>
              </w:rPr>
              <w:t>І</w:t>
            </w:r>
            <w:r w:rsidRPr="003B7CB5">
              <w:rPr>
                <w:rFonts w:ascii="Times New Roman" w:eastAsia="Times New Roman" w:hAnsi="Times New Roman" w:cs="Times New Roman"/>
                <w:bCs/>
                <w:color w:val="000000" w:themeColor="text1"/>
                <w:kern w:val="36"/>
                <w:sz w:val="28"/>
                <w:szCs w:val="28"/>
                <w:lang w:val="uk-UA" w:eastAsia="ru-RU"/>
              </w:rPr>
              <w:t xml:space="preserve"> ст. ХХН</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28 (26,7%)</w:t>
            </w:r>
          </w:p>
        </w:tc>
      </w:tr>
      <w:tr w:rsidR="009144E7" w:rsidTr="009144E7">
        <w:tc>
          <w:tcPr>
            <w:tcW w:w="3190" w:type="dxa"/>
            <w:vMerge/>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r w:rsidRPr="003B7CB5">
              <w:rPr>
                <w:rFonts w:ascii="Times New Roman" w:eastAsia="Times New Roman" w:hAnsi="Times New Roman" w:cs="Times New Roman"/>
                <w:bCs/>
                <w:color w:val="000000" w:themeColor="text1"/>
                <w:kern w:val="36"/>
                <w:sz w:val="28"/>
                <w:szCs w:val="28"/>
                <w:lang w:val="uk-UA" w:eastAsia="ru-RU"/>
              </w:rPr>
              <w:t>І</w:t>
            </w:r>
            <w:r>
              <w:rPr>
                <w:rFonts w:ascii="Times New Roman" w:eastAsia="Times New Roman" w:hAnsi="Times New Roman" w:cs="Times New Roman"/>
                <w:bCs/>
                <w:color w:val="000000" w:themeColor="text1"/>
                <w:kern w:val="36"/>
                <w:sz w:val="28"/>
                <w:szCs w:val="28"/>
                <w:lang w:val="uk-UA" w:eastAsia="ru-RU"/>
              </w:rPr>
              <w:t>ІІ</w:t>
            </w:r>
            <w:r w:rsidRPr="003B7CB5">
              <w:rPr>
                <w:rFonts w:ascii="Times New Roman" w:eastAsia="Times New Roman" w:hAnsi="Times New Roman" w:cs="Times New Roman"/>
                <w:bCs/>
                <w:color w:val="000000" w:themeColor="text1"/>
                <w:kern w:val="36"/>
                <w:sz w:val="28"/>
                <w:szCs w:val="28"/>
                <w:lang w:val="uk-UA" w:eastAsia="ru-RU"/>
              </w:rPr>
              <w:t xml:space="preserve"> ст. ХХН</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27 (25,7%)</w:t>
            </w:r>
          </w:p>
        </w:tc>
      </w:tr>
      <w:tr w:rsidR="009144E7" w:rsidTr="009144E7">
        <w:tc>
          <w:tcPr>
            <w:tcW w:w="3190" w:type="dxa"/>
            <w:vMerge/>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r w:rsidRPr="003B7CB5">
              <w:rPr>
                <w:rFonts w:ascii="Times New Roman" w:eastAsia="Times New Roman" w:hAnsi="Times New Roman" w:cs="Times New Roman"/>
                <w:bCs/>
                <w:color w:val="000000" w:themeColor="text1"/>
                <w:kern w:val="36"/>
                <w:sz w:val="28"/>
                <w:szCs w:val="28"/>
                <w:lang w:val="uk-UA" w:eastAsia="ru-RU"/>
              </w:rPr>
              <w:t>І</w:t>
            </w:r>
            <w:r>
              <w:rPr>
                <w:rFonts w:ascii="Times New Roman" w:eastAsia="Times New Roman" w:hAnsi="Times New Roman" w:cs="Times New Roman"/>
                <w:bCs/>
                <w:color w:val="000000" w:themeColor="text1"/>
                <w:kern w:val="36"/>
                <w:sz w:val="28"/>
                <w:szCs w:val="28"/>
                <w:lang w:val="uk-UA" w:eastAsia="ru-RU"/>
              </w:rPr>
              <w:t>V</w:t>
            </w:r>
            <w:r w:rsidRPr="003B7CB5">
              <w:rPr>
                <w:rFonts w:ascii="Times New Roman" w:eastAsia="Times New Roman" w:hAnsi="Times New Roman" w:cs="Times New Roman"/>
                <w:bCs/>
                <w:color w:val="000000" w:themeColor="text1"/>
                <w:kern w:val="36"/>
                <w:sz w:val="28"/>
                <w:szCs w:val="28"/>
                <w:lang w:val="uk-UA" w:eastAsia="ru-RU"/>
              </w:rPr>
              <w:t xml:space="preserve"> ст. ХХН</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29 (27,6%)</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Втрата білку з сечею</w:t>
            </w: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Альбумінурія</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38 (36,2%)</w:t>
            </w:r>
          </w:p>
        </w:tc>
      </w:tr>
      <w:tr w:rsidR="009144E7" w:rsidTr="009144E7">
        <w:tc>
          <w:tcPr>
            <w:tcW w:w="3190" w:type="dxa"/>
            <w:vMerge/>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Протеїнурія</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27 (26,7%)</w:t>
            </w:r>
          </w:p>
        </w:tc>
      </w:tr>
      <w:tr w:rsidR="009144E7" w:rsidTr="009144E7">
        <w:tc>
          <w:tcPr>
            <w:tcW w:w="3190" w:type="dxa"/>
            <w:vMerge w:val="restart"/>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Коморбідна патологія</w:t>
            </w:r>
          </w:p>
        </w:tc>
        <w:tc>
          <w:tcPr>
            <w:tcW w:w="3190" w:type="dxa"/>
          </w:tcPr>
          <w:p w:rsidR="009144E7" w:rsidRPr="00B4312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ДН</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18 (24,7%)</w:t>
            </w:r>
          </w:p>
        </w:tc>
      </w:tr>
      <w:tr w:rsidR="009144E7" w:rsidTr="009144E7">
        <w:tc>
          <w:tcPr>
            <w:tcW w:w="3190" w:type="dxa"/>
            <w:vMerge/>
            <w:vAlign w:val="center"/>
          </w:tcPr>
          <w:p w:rsidR="009144E7" w:rsidRDefault="009144E7" w:rsidP="009144E7">
            <w:pPr>
              <w:spacing w:line="360" w:lineRule="auto"/>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АГ</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83 (79%)</w:t>
            </w:r>
          </w:p>
        </w:tc>
      </w:tr>
      <w:tr w:rsidR="009144E7" w:rsidTr="009144E7">
        <w:tc>
          <w:tcPr>
            <w:tcW w:w="3190" w:type="dxa"/>
            <w:vMerge/>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tc>
        <w:tc>
          <w:tcPr>
            <w:tcW w:w="3190"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ІХС</w:t>
            </w:r>
          </w:p>
        </w:tc>
        <w:tc>
          <w:tcPr>
            <w:tcW w:w="3191" w:type="dxa"/>
          </w:tcPr>
          <w:p w:rsidR="009144E7" w:rsidRDefault="009144E7" w:rsidP="009144E7">
            <w:pPr>
              <w:spacing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r>
              <w:rPr>
                <w:rFonts w:ascii="Times New Roman" w:eastAsia="Times New Roman" w:hAnsi="Times New Roman" w:cs="Times New Roman"/>
                <w:bCs/>
                <w:color w:val="000000" w:themeColor="text1"/>
                <w:kern w:val="36"/>
                <w:sz w:val="28"/>
                <w:szCs w:val="28"/>
                <w:lang w:val="uk-UA" w:eastAsia="ru-RU"/>
              </w:rPr>
              <w:t>75 (71,4%)</w:t>
            </w:r>
          </w:p>
        </w:tc>
      </w:tr>
    </w:tbl>
    <w:p w:rsidR="009144E7" w:rsidRDefault="009144E7" w:rsidP="009144E7">
      <w:pPr>
        <w:shd w:val="clear" w:color="auto" w:fill="FFFFFF"/>
        <w:spacing w:after="0" w:line="360" w:lineRule="auto"/>
        <w:jc w:val="both"/>
        <w:textAlignment w:val="baseline"/>
        <w:outlineLvl w:val="0"/>
        <w:rPr>
          <w:rFonts w:ascii="Times New Roman" w:eastAsia="Times New Roman" w:hAnsi="Times New Roman" w:cs="Times New Roman"/>
          <w:bCs/>
          <w:color w:val="000000" w:themeColor="text1"/>
          <w:kern w:val="36"/>
          <w:sz w:val="28"/>
          <w:szCs w:val="28"/>
          <w:lang w:val="uk-UA" w:eastAsia="ru-RU"/>
        </w:rPr>
      </w:pPr>
    </w:p>
    <w:p w:rsidR="009144E7" w:rsidRDefault="009144E7" w:rsidP="009144E7">
      <w:pPr>
        <w:tabs>
          <w:tab w:val="left" w:pos="1134"/>
        </w:tabs>
        <w:spacing w:after="0" w:line="360" w:lineRule="auto"/>
        <w:ind w:firstLine="709"/>
        <w:jc w:val="both"/>
        <w:rPr>
          <w:sz w:val="28"/>
          <w:lang w:val="uk-UA"/>
        </w:rPr>
      </w:pPr>
      <w:r>
        <w:rPr>
          <w:rFonts w:cstheme="minorHAnsi"/>
          <w:sz w:val="28"/>
          <w:szCs w:val="28"/>
          <w:lang w:val="uk-UA"/>
        </w:rPr>
        <w:t xml:space="preserve">Лікування хворих </w:t>
      </w:r>
      <w:r>
        <w:rPr>
          <w:sz w:val="28"/>
          <w:lang w:val="uk-UA"/>
        </w:rPr>
        <w:t xml:space="preserve">на ХП проводилось згідно рекомендацій </w:t>
      </w:r>
      <w:r>
        <w:rPr>
          <w:rFonts w:ascii="Times New Roman" w:eastAsia="Times New Roman" w:hAnsi="Times New Roman" w:cs="Times New Roman"/>
          <w:bCs/>
          <w:color w:val="000000" w:themeColor="text1"/>
          <w:kern w:val="36"/>
          <w:sz w:val="28"/>
          <w:szCs w:val="28"/>
          <w:lang w:val="uk-UA" w:eastAsia="ru-RU"/>
        </w:rPr>
        <w:t>адаптованої клінічної настанови з кращої діагностики, лікування та профілактики інфекцій сечової системи</w:t>
      </w:r>
      <w:r>
        <w:rPr>
          <w:sz w:val="28"/>
          <w:lang w:val="uk-UA"/>
        </w:rPr>
        <w:t xml:space="preserve"> Української асоціації нефрологів (2012р). В залежності від виду емпіричного АБП, хворі були розподілені на 3 групи: лікування 1 (40 осіб) – отримали фторхінолони (левофлоксацин) 500 мг </w:t>
      </w:r>
      <w:r w:rsidRPr="00FA4F47">
        <w:rPr>
          <w:sz w:val="28"/>
          <w:lang w:val="uk-UA"/>
        </w:rPr>
        <w:t>у вигляді внутрішньовенно-крапельних інфузій</w:t>
      </w:r>
      <w:r>
        <w:rPr>
          <w:sz w:val="28"/>
          <w:lang w:val="uk-UA"/>
        </w:rPr>
        <w:t>; лікування 2 (42 осіб) – цефалоспорини (цефтріаксон, цефіпім) 2 грами на добу у вигляді внутрішньовенних ін’єкцій та лікування 3 (23 пацієнтів) – комбінацію зазначених препаратів.</w:t>
      </w:r>
    </w:p>
    <w:p w:rsidR="009144E7" w:rsidRDefault="009144E7" w:rsidP="009144E7">
      <w:pPr>
        <w:tabs>
          <w:tab w:val="left" w:pos="1134"/>
        </w:tabs>
        <w:spacing w:after="0" w:line="360" w:lineRule="auto"/>
        <w:ind w:firstLine="709"/>
        <w:jc w:val="both"/>
        <w:rPr>
          <w:sz w:val="28"/>
          <w:lang w:val="uk-UA"/>
        </w:rPr>
      </w:pPr>
      <w:r>
        <w:rPr>
          <w:sz w:val="28"/>
          <w:lang w:val="uk-UA"/>
        </w:rPr>
        <w:t>Дизайн лікування хворих основної групи і групи порівняння зображено на малюнку 2.1.</w:t>
      </w:r>
    </w:p>
    <w:p w:rsidR="009144E7" w:rsidRPr="00E06D87" w:rsidRDefault="009144E7" w:rsidP="009144E7">
      <w:pPr>
        <w:tabs>
          <w:tab w:val="left" w:pos="1134"/>
        </w:tabs>
        <w:spacing w:after="0" w:line="360" w:lineRule="auto"/>
        <w:ind w:firstLine="709"/>
        <w:jc w:val="both"/>
        <w:rPr>
          <w:sz w:val="28"/>
          <w:lang w:val="uk-UA"/>
        </w:rPr>
      </w:pPr>
      <w:r w:rsidRPr="00E06D87">
        <w:rPr>
          <w:noProof/>
          <w:sz w:val="28"/>
          <w:lang w:eastAsia="ru-RU"/>
        </w:rPr>
        <w:lastRenderedPageBreak/>
        <w:drawing>
          <wp:inline distT="0" distB="0" distL="0" distR="0" wp14:anchorId="4DF11955" wp14:editId="3565ACC5">
            <wp:extent cx="5940425" cy="3718514"/>
            <wp:effectExtent l="0" t="0" r="0" b="1587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144E7" w:rsidRPr="00E06D87" w:rsidRDefault="009144E7" w:rsidP="009144E7">
      <w:pPr>
        <w:tabs>
          <w:tab w:val="left" w:pos="1134"/>
        </w:tabs>
        <w:spacing w:line="360" w:lineRule="auto"/>
        <w:ind w:firstLine="709"/>
        <w:jc w:val="both"/>
        <w:rPr>
          <w:sz w:val="24"/>
          <w:szCs w:val="24"/>
          <w:lang w:val="uk-UA"/>
        </w:rPr>
      </w:pPr>
      <w:r w:rsidRPr="00961A5F">
        <w:rPr>
          <w:sz w:val="24"/>
          <w:szCs w:val="24"/>
          <w:lang w:val="uk-UA"/>
        </w:rPr>
        <w:t>Мал. 2.1 Дизайн емпіричної АБТ у хворих на ХП.</w:t>
      </w:r>
    </w:p>
    <w:p w:rsidR="009144E7" w:rsidRDefault="009144E7" w:rsidP="009144E7">
      <w:pPr>
        <w:tabs>
          <w:tab w:val="left" w:pos="1134"/>
        </w:tabs>
        <w:spacing w:after="0" w:line="360" w:lineRule="auto"/>
        <w:ind w:firstLine="709"/>
        <w:jc w:val="both"/>
        <w:rPr>
          <w:rFonts w:ascii="Times New Roman" w:hAnsi="Times New Roman" w:cs="Times New Roman"/>
          <w:sz w:val="28"/>
          <w:szCs w:val="28"/>
          <w:lang w:val="uk-UA" w:eastAsia="ru-RU"/>
        </w:rPr>
      </w:pPr>
      <w:r>
        <w:rPr>
          <w:sz w:val="28"/>
          <w:lang w:val="uk-UA"/>
        </w:rPr>
        <w:t xml:space="preserve">В першу групу увійшло 73 хворих на ХП і супутній ЦД 2 типу. Серед обстежених </w:t>
      </w:r>
      <w:r>
        <w:rPr>
          <w:rFonts w:ascii="Times New Roman" w:hAnsi="Times New Roman" w:cs="Times New Roman"/>
          <w:sz w:val="28"/>
          <w:szCs w:val="28"/>
          <w:lang w:val="uk-UA" w:eastAsia="ru-RU"/>
        </w:rPr>
        <w:t>було 64 (87,7%) жінки та 9 (12,3%) чоловіків</w:t>
      </w:r>
      <w:r>
        <w:rPr>
          <w:sz w:val="28"/>
          <w:lang w:val="uk-UA"/>
        </w:rPr>
        <w:t xml:space="preserve">. </w:t>
      </w:r>
      <w:r w:rsidRPr="00AE030D">
        <w:rPr>
          <w:sz w:val="28"/>
          <w:lang w:val="uk-UA"/>
        </w:rPr>
        <w:t xml:space="preserve">Вік обстежених коливався у межах від </w:t>
      </w:r>
      <w:r>
        <w:rPr>
          <w:sz w:val="28"/>
          <w:lang w:val="uk-UA"/>
        </w:rPr>
        <w:t>2</w:t>
      </w:r>
      <w:r w:rsidRPr="00AE030D">
        <w:rPr>
          <w:sz w:val="28"/>
          <w:lang w:val="uk-UA"/>
        </w:rPr>
        <w:t xml:space="preserve">1 до </w:t>
      </w:r>
      <w:r>
        <w:rPr>
          <w:sz w:val="28"/>
          <w:lang w:val="uk-UA"/>
        </w:rPr>
        <w:t>86</w:t>
      </w:r>
      <w:r w:rsidRPr="00AE030D">
        <w:rPr>
          <w:sz w:val="28"/>
          <w:lang w:val="uk-UA"/>
        </w:rPr>
        <w:t xml:space="preserve"> років, в середньому становив</w:t>
      </w:r>
      <w:r>
        <w:rPr>
          <w:sz w:val="28"/>
          <w:lang w:val="uk-UA"/>
        </w:rPr>
        <w:t xml:space="preserve">: для жінок </w:t>
      </w:r>
      <w:r>
        <w:rPr>
          <w:rFonts w:ascii="Times New Roman" w:hAnsi="Times New Roman" w:cs="Times New Roman"/>
          <w:sz w:val="28"/>
          <w:szCs w:val="28"/>
          <w:lang w:val="uk-UA" w:eastAsia="ru-RU"/>
        </w:rPr>
        <w:t>52,45±2,4, для чоловіків – 58,78±5,1 років. Всіх хворих, окремо чоловіків і жінок, було розподілено на дві вікові групи: до 55 років (n=34) та старше 55 років (n=39), таблиця 2.1.</w:t>
      </w:r>
    </w:p>
    <w:p w:rsidR="009144E7" w:rsidRDefault="009144E7" w:rsidP="009144E7">
      <w:pPr>
        <w:tabs>
          <w:tab w:val="left" w:pos="1134"/>
        </w:tabs>
        <w:spacing w:after="0" w:line="360" w:lineRule="auto"/>
        <w:ind w:firstLine="851"/>
        <w:jc w:val="both"/>
        <w:rPr>
          <w:sz w:val="28"/>
          <w:lang w:val="uk-UA"/>
        </w:rPr>
      </w:pPr>
      <w:r w:rsidRPr="00AE030D">
        <w:rPr>
          <w:sz w:val="28"/>
          <w:lang w:val="uk-UA"/>
        </w:rPr>
        <w:t>При надходженні до стаціонару хворі пред’являли скарги</w:t>
      </w:r>
      <w:r>
        <w:rPr>
          <w:sz w:val="28"/>
          <w:lang w:val="uk-UA"/>
        </w:rPr>
        <w:t xml:space="preserve"> на</w:t>
      </w:r>
      <w:r w:rsidRPr="00AE030D">
        <w:rPr>
          <w:sz w:val="28"/>
          <w:lang w:val="uk-UA"/>
        </w:rPr>
        <w:t>:</w:t>
      </w:r>
      <w:r>
        <w:rPr>
          <w:sz w:val="28"/>
          <w:lang w:val="uk-UA"/>
        </w:rPr>
        <w:t xml:space="preserve"> підвищення температури тіла – 41 (56,2%) особа, середня температура тіла по групі – 37,4</w:t>
      </w:r>
      <w:r>
        <w:rPr>
          <w:rFonts w:cstheme="minorHAnsi"/>
          <w:sz w:val="28"/>
          <w:lang w:val="uk-UA"/>
        </w:rPr>
        <w:t>±</w:t>
      </w:r>
      <w:r>
        <w:rPr>
          <w:sz w:val="28"/>
          <w:lang w:val="uk-UA"/>
        </w:rPr>
        <w:t>0,8; інтоксикаційний синдром спостерігався у 100 %</w:t>
      </w:r>
      <w:r w:rsidRPr="00AE030D">
        <w:rPr>
          <w:sz w:val="28"/>
          <w:lang w:val="uk-UA"/>
        </w:rPr>
        <w:t xml:space="preserve"> </w:t>
      </w:r>
      <w:r>
        <w:rPr>
          <w:sz w:val="28"/>
          <w:lang w:val="uk-UA"/>
        </w:rPr>
        <w:t>хворих, больовий синдром – мала 71 (97,3%) особа, дизурія спостерігалася у 37 (50,7%) пацієнтів, зміна кольору сечі – мала місце у 11 (15,1%) обстежених хворих.</w:t>
      </w:r>
    </w:p>
    <w:p w:rsidR="009144E7" w:rsidRDefault="009144E7" w:rsidP="009144E7">
      <w:pPr>
        <w:tabs>
          <w:tab w:val="left" w:pos="1134"/>
        </w:tabs>
        <w:spacing w:after="0" w:line="360" w:lineRule="auto"/>
        <w:ind w:firstLine="851"/>
        <w:jc w:val="both"/>
        <w:rPr>
          <w:sz w:val="28"/>
          <w:lang w:val="uk-UA"/>
        </w:rPr>
      </w:pPr>
      <w:r w:rsidRPr="00AE030D">
        <w:rPr>
          <w:sz w:val="28"/>
          <w:lang w:val="uk-UA"/>
        </w:rPr>
        <w:t xml:space="preserve">З анамнезу захворювання відомо, що тривалість </w:t>
      </w:r>
      <w:r>
        <w:rPr>
          <w:sz w:val="28"/>
          <w:lang w:val="uk-UA"/>
        </w:rPr>
        <w:t>хронічного пієлонефриту</w:t>
      </w:r>
      <w:r w:rsidRPr="00AE030D">
        <w:rPr>
          <w:sz w:val="28"/>
          <w:lang w:val="uk-UA"/>
        </w:rPr>
        <w:t xml:space="preserve"> у даній групі </w:t>
      </w:r>
      <w:r>
        <w:rPr>
          <w:sz w:val="28"/>
          <w:lang w:val="uk-UA"/>
        </w:rPr>
        <w:t xml:space="preserve">склала: до 5 років – 37 (50,7%) осіб, до 10 років – 12 (22,6%) осіб і більше 10 років – 24 (32,9%) пацієнта. Лікування у стаціонарі у поточному році проводили 11 (15,1%) пацієнтів, прийом </w:t>
      </w:r>
      <w:r>
        <w:rPr>
          <w:sz w:val="28"/>
          <w:lang w:val="uk-UA"/>
        </w:rPr>
        <w:lastRenderedPageBreak/>
        <w:t xml:space="preserve">антибіотиків мав місце у 30 пацієнтів, з них </w:t>
      </w:r>
      <w:r>
        <w:rPr>
          <w:rFonts w:cstheme="minorHAnsi"/>
          <w:sz w:val="28"/>
          <w:lang w:val="uk-UA"/>
        </w:rPr>
        <w:t>β</w:t>
      </w:r>
      <w:r>
        <w:rPr>
          <w:sz w:val="28"/>
          <w:lang w:val="uk-UA"/>
        </w:rPr>
        <w:t xml:space="preserve">-лактамні АБП приймали 28 чоловік, фторхінолони – 27 осіб. </w:t>
      </w:r>
    </w:p>
    <w:p w:rsidR="009144E7" w:rsidRDefault="009144E7" w:rsidP="009144E7">
      <w:pPr>
        <w:spacing w:after="0" w:line="360" w:lineRule="auto"/>
        <w:ind w:firstLine="720"/>
        <w:jc w:val="both"/>
        <w:rPr>
          <w:sz w:val="28"/>
          <w:lang w:val="uk-UA"/>
        </w:rPr>
      </w:pPr>
      <w:r w:rsidRPr="00AE030D">
        <w:rPr>
          <w:sz w:val="28"/>
          <w:lang w:val="uk-UA"/>
        </w:rPr>
        <w:t>При об'єктивному дослідженні виявлено:</w:t>
      </w:r>
      <w:r>
        <w:rPr>
          <w:sz w:val="28"/>
          <w:lang w:val="uk-UA"/>
        </w:rPr>
        <w:t xml:space="preserve"> блідість шкірних покровів – 47 (64,4%) чоловік, набряки обличчя та кінцівок – 16 (21,9%) осіб, біль при пальпації у косто-вертебральному куті – 43 (58,9%) особи. Середній артеріальний тиск становив – САТ 139,45</w:t>
      </w:r>
      <w:r>
        <w:rPr>
          <w:rFonts w:cstheme="minorHAnsi"/>
          <w:sz w:val="28"/>
          <w:lang w:val="uk-UA"/>
        </w:rPr>
        <w:t>±</w:t>
      </w:r>
      <w:r>
        <w:rPr>
          <w:sz w:val="28"/>
          <w:lang w:val="uk-UA"/>
        </w:rPr>
        <w:t xml:space="preserve">3,2 </w:t>
      </w:r>
      <w:r w:rsidRPr="00AE030D">
        <w:rPr>
          <w:sz w:val="28"/>
          <w:lang w:val="uk-UA"/>
        </w:rPr>
        <w:t xml:space="preserve">мм рт.ст., </w:t>
      </w:r>
      <w:r>
        <w:rPr>
          <w:sz w:val="28"/>
          <w:lang w:val="uk-UA"/>
        </w:rPr>
        <w:t>ДАТ – 87,12</w:t>
      </w:r>
      <w:r>
        <w:rPr>
          <w:rFonts w:cstheme="minorHAnsi"/>
          <w:sz w:val="28"/>
          <w:lang w:val="uk-UA"/>
        </w:rPr>
        <w:t>±</w:t>
      </w:r>
      <w:r>
        <w:rPr>
          <w:sz w:val="28"/>
          <w:lang w:val="uk-UA"/>
        </w:rPr>
        <w:t xml:space="preserve">1,5 </w:t>
      </w:r>
      <w:r w:rsidRPr="00AE030D">
        <w:rPr>
          <w:sz w:val="28"/>
          <w:lang w:val="uk-UA"/>
        </w:rPr>
        <w:t>мм рт.ст.</w:t>
      </w:r>
      <w:r>
        <w:rPr>
          <w:sz w:val="28"/>
          <w:lang w:val="uk-UA"/>
        </w:rPr>
        <w:t>. Середній рівень пульсу склав 81,79</w:t>
      </w:r>
      <w:r>
        <w:rPr>
          <w:rFonts w:cstheme="minorHAnsi"/>
          <w:sz w:val="28"/>
          <w:lang w:val="uk-UA"/>
        </w:rPr>
        <w:t>±</w:t>
      </w:r>
      <w:r>
        <w:rPr>
          <w:sz w:val="28"/>
          <w:lang w:val="uk-UA"/>
        </w:rPr>
        <w:t xml:space="preserve">1,3 ударів у хвилину. </w:t>
      </w:r>
    </w:p>
    <w:p w:rsidR="009144E7" w:rsidRDefault="009144E7" w:rsidP="009144E7">
      <w:pPr>
        <w:tabs>
          <w:tab w:val="left" w:pos="1134"/>
        </w:tabs>
        <w:spacing w:after="0" w:line="360" w:lineRule="auto"/>
        <w:ind w:firstLine="709"/>
        <w:jc w:val="both"/>
        <w:rPr>
          <w:sz w:val="28"/>
          <w:lang w:val="uk-UA"/>
        </w:rPr>
      </w:pPr>
      <w:r>
        <w:rPr>
          <w:sz w:val="28"/>
          <w:lang w:val="uk-UA"/>
        </w:rPr>
        <w:t>При вивченні клінічного аналізу крові, лейкоцитоз мав місце у 23 (31,5%) осіб, підвищення ШОЕ – у 54 (73,9%), анемія зустрічалася у 18 (24,7%) пацієнтів.</w:t>
      </w:r>
    </w:p>
    <w:p w:rsidR="009144E7" w:rsidRDefault="009144E7" w:rsidP="009144E7">
      <w:pPr>
        <w:spacing w:after="0" w:line="360" w:lineRule="auto"/>
        <w:ind w:firstLine="720"/>
        <w:jc w:val="both"/>
        <w:rPr>
          <w:sz w:val="28"/>
          <w:lang w:val="uk-UA"/>
        </w:rPr>
      </w:pPr>
      <w:r>
        <w:rPr>
          <w:sz w:val="28"/>
          <w:lang w:val="uk-UA"/>
        </w:rPr>
        <w:t>В загальному клінічному аналізі сечі відносна щільність у середньому складала 1014</w:t>
      </w:r>
      <w:r>
        <w:rPr>
          <w:rFonts w:cstheme="minorHAnsi"/>
          <w:sz w:val="28"/>
          <w:lang w:val="uk-UA"/>
        </w:rPr>
        <w:t>±</w:t>
      </w:r>
      <w:r>
        <w:rPr>
          <w:sz w:val="28"/>
          <w:lang w:val="uk-UA"/>
        </w:rPr>
        <w:t xml:space="preserve">6,1, альбумінурія була виявлена у 21 особи, протеїнурія – у 15 (50,7%) пацієнтів, з них у 4 (10,8%) складала вище 1 г/л. При дослідженні сечового осаду лейкоцитурія мала місце у 61 (83,6%) пацієнта, з них у 28 (45,9%) – на все поле зору, гематурія була виявлена у 26 (35,6%) пацієнтів, з них у 4 (15,4%) – на все поле зору (макрогематурія). </w:t>
      </w:r>
      <w:r w:rsidRPr="00CF0C78">
        <w:rPr>
          <w:sz w:val="28"/>
          <w:lang w:val="uk-UA"/>
        </w:rPr>
        <w:t>У 1</w:t>
      </w:r>
      <w:r>
        <w:rPr>
          <w:sz w:val="28"/>
          <w:lang w:val="uk-UA"/>
        </w:rPr>
        <w:t>6</w:t>
      </w:r>
      <w:r w:rsidRPr="00CF0C78">
        <w:rPr>
          <w:sz w:val="28"/>
          <w:lang w:val="uk-UA"/>
        </w:rPr>
        <w:t xml:space="preserve"> (2</w:t>
      </w:r>
      <w:r>
        <w:rPr>
          <w:sz w:val="28"/>
          <w:lang w:val="uk-UA"/>
        </w:rPr>
        <w:t>1</w:t>
      </w:r>
      <w:r w:rsidRPr="00CF0C78">
        <w:rPr>
          <w:sz w:val="28"/>
          <w:lang w:val="uk-UA"/>
        </w:rPr>
        <w:t>,</w:t>
      </w:r>
      <w:r>
        <w:rPr>
          <w:sz w:val="28"/>
          <w:lang w:val="uk-UA"/>
        </w:rPr>
        <w:t>9</w:t>
      </w:r>
      <w:r w:rsidRPr="00CF0C78">
        <w:rPr>
          <w:sz w:val="28"/>
          <w:lang w:val="uk-UA"/>
        </w:rPr>
        <w:t>%)</w:t>
      </w:r>
      <w:r>
        <w:rPr>
          <w:sz w:val="28"/>
          <w:lang w:val="uk-UA"/>
        </w:rPr>
        <w:t xml:space="preserve"> </w:t>
      </w:r>
      <w:r w:rsidRPr="00CF0C78">
        <w:rPr>
          <w:sz w:val="28"/>
          <w:lang w:val="uk-UA"/>
        </w:rPr>
        <w:t>хворих  були виявлені циліндри - гіалінові, зернисті і еритроцитарні.</w:t>
      </w:r>
      <w:r>
        <w:rPr>
          <w:sz w:val="28"/>
          <w:lang w:val="uk-UA"/>
        </w:rPr>
        <w:t xml:space="preserve"> </w:t>
      </w:r>
    </w:p>
    <w:p w:rsidR="009144E7" w:rsidRDefault="009144E7" w:rsidP="009144E7">
      <w:pPr>
        <w:spacing w:after="0" w:line="360" w:lineRule="auto"/>
        <w:ind w:firstLine="709"/>
        <w:jc w:val="both"/>
        <w:rPr>
          <w:sz w:val="28"/>
          <w:lang w:val="uk-UA"/>
        </w:rPr>
      </w:pPr>
      <w:r>
        <w:rPr>
          <w:sz w:val="28"/>
          <w:lang w:val="uk-UA"/>
        </w:rPr>
        <w:t xml:space="preserve">При дослідженні функції нирок шляхом розрахунку швидкості клубочкової фільтрації за формулою </w:t>
      </w:r>
      <w:r>
        <w:rPr>
          <w:rFonts w:cstheme="minorHAnsi"/>
          <w:sz w:val="28"/>
          <w:szCs w:val="28"/>
          <w:lang w:val="en-US"/>
        </w:rPr>
        <w:t>CKD</w:t>
      </w:r>
      <w:r w:rsidRPr="002D3DA3">
        <w:rPr>
          <w:rFonts w:cstheme="minorHAnsi"/>
          <w:sz w:val="28"/>
          <w:szCs w:val="28"/>
          <w:lang w:val="uk-UA"/>
        </w:rPr>
        <w:t>-</w:t>
      </w:r>
      <w:r>
        <w:rPr>
          <w:rFonts w:cstheme="minorHAnsi"/>
          <w:sz w:val="28"/>
          <w:szCs w:val="28"/>
          <w:lang w:val="en-US"/>
        </w:rPr>
        <w:t>EPI</w:t>
      </w:r>
      <w:r>
        <w:rPr>
          <w:rFonts w:cstheme="minorHAnsi"/>
          <w:sz w:val="28"/>
          <w:szCs w:val="28"/>
          <w:lang w:val="uk-UA"/>
        </w:rPr>
        <w:t>, у 7 (9,6%) хворих вона була дещо підвищена (</w:t>
      </w:r>
      <w:r w:rsidRPr="00AE030D">
        <w:rPr>
          <w:sz w:val="28"/>
          <w:lang w:val="uk-UA"/>
        </w:rPr>
        <w:t>від 122 до 1</w:t>
      </w:r>
      <w:r>
        <w:rPr>
          <w:sz w:val="28"/>
          <w:lang w:val="uk-UA"/>
        </w:rPr>
        <w:t>5</w:t>
      </w:r>
      <w:r w:rsidRPr="00AE030D">
        <w:rPr>
          <w:sz w:val="28"/>
          <w:lang w:val="uk-UA"/>
        </w:rPr>
        <w:t>8 мл/хв</w:t>
      </w:r>
      <w:r>
        <w:rPr>
          <w:rFonts w:cstheme="minorHAnsi"/>
          <w:sz w:val="28"/>
          <w:szCs w:val="28"/>
          <w:lang w:val="uk-UA"/>
        </w:rPr>
        <w:t>/1,73м</w:t>
      </w:r>
      <w:r>
        <w:rPr>
          <w:rFonts w:cstheme="minorHAnsi"/>
          <w:sz w:val="28"/>
          <w:szCs w:val="28"/>
          <w:vertAlign w:val="superscript"/>
          <w:lang w:val="uk-UA"/>
        </w:rPr>
        <w:t>2</w:t>
      </w:r>
      <w:r>
        <w:rPr>
          <w:rFonts w:cstheme="minorHAnsi"/>
          <w:sz w:val="28"/>
          <w:szCs w:val="28"/>
          <w:lang w:val="uk-UA"/>
        </w:rPr>
        <w:t xml:space="preserve">), у 54 (73,9%) – знижена (від 16 до 88 </w:t>
      </w:r>
      <w:r w:rsidRPr="00AE030D">
        <w:rPr>
          <w:sz w:val="28"/>
          <w:lang w:val="uk-UA"/>
        </w:rPr>
        <w:t>мл/хв</w:t>
      </w:r>
      <w:r>
        <w:rPr>
          <w:rFonts w:cstheme="minorHAnsi"/>
          <w:sz w:val="28"/>
          <w:szCs w:val="28"/>
          <w:lang w:val="uk-UA"/>
        </w:rPr>
        <w:t>/1,73м</w:t>
      </w:r>
      <w:r>
        <w:rPr>
          <w:rFonts w:cstheme="minorHAnsi"/>
          <w:sz w:val="28"/>
          <w:szCs w:val="28"/>
          <w:vertAlign w:val="superscript"/>
          <w:lang w:val="uk-UA"/>
        </w:rPr>
        <w:t>2</w:t>
      </w:r>
      <w:r>
        <w:rPr>
          <w:rFonts w:cstheme="minorHAnsi"/>
          <w:sz w:val="28"/>
          <w:szCs w:val="28"/>
          <w:lang w:val="uk-UA"/>
        </w:rPr>
        <w:t>), у 12 (16,4%) – не перевищувала фізіологічну норму. У середньому рівень клубочкової фільтрації становив 42,33±4,4 мл/хв/1,73м</w:t>
      </w:r>
      <w:r>
        <w:rPr>
          <w:rFonts w:cstheme="minorHAnsi"/>
          <w:sz w:val="28"/>
          <w:szCs w:val="28"/>
          <w:vertAlign w:val="superscript"/>
          <w:lang w:val="uk-UA"/>
        </w:rPr>
        <w:t>2</w:t>
      </w:r>
      <w:r>
        <w:rPr>
          <w:rFonts w:cstheme="minorHAnsi"/>
          <w:sz w:val="28"/>
          <w:szCs w:val="28"/>
          <w:lang w:val="uk-UA"/>
        </w:rPr>
        <w:t xml:space="preserve">. </w:t>
      </w:r>
      <w:r>
        <w:rPr>
          <w:sz w:val="28"/>
          <w:lang w:val="uk-UA"/>
        </w:rPr>
        <w:t xml:space="preserve">Показники азотемії були підвищені у 23 (31,5%) пацієнтів. </w:t>
      </w:r>
      <w:r w:rsidRPr="00AE030D">
        <w:rPr>
          <w:sz w:val="28"/>
          <w:lang w:val="uk-UA"/>
        </w:rPr>
        <w:t>Рівень креатиніну становив в середньому</w:t>
      </w:r>
      <w:r>
        <w:rPr>
          <w:sz w:val="28"/>
          <w:lang w:val="uk-UA"/>
        </w:rPr>
        <w:t xml:space="preserve"> 187,3</w:t>
      </w:r>
      <w:r>
        <w:rPr>
          <w:rFonts w:cstheme="minorHAnsi"/>
          <w:sz w:val="28"/>
          <w:lang w:val="uk-UA"/>
        </w:rPr>
        <w:t>±</w:t>
      </w:r>
      <w:r>
        <w:rPr>
          <w:sz w:val="28"/>
          <w:lang w:val="uk-UA"/>
        </w:rPr>
        <w:t>22,8 мкмоль/л, рівень сечовини – 12,6</w:t>
      </w:r>
      <w:r>
        <w:rPr>
          <w:rFonts w:cstheme="minorHAnsi"/>
          <w:sz w:val="28"/>
          <w:lang w:val="uk-UA"/>
        </w:rPr>
        <w:t>±</w:t>
      </w:r>
      <w:r>
        <w:rPr>
          <w:sz w:val="28"/>
          <w:lang w:val="uk-UA"/>
        </w:rPr>
        <w:t xml:space="preserve">1,2 ммоль/л (таблиця 2.2). </w:t>
      </w:r>
    </w:p>
    <w:p w:rsidR="009144E7" w:rsidRDefault="009144E7" w:rsidP="009144E7">
      <w:pPr>
        <w:spacing w:after="0" w:line="360" w:lineRule="auto"/>
        <w:ind w:firstLine="720"/>
        <w:jc w:val="right"/>
        <w:rPr>
          <w:sz w:val="28"/>
          <w:lang w:val="uk-UA"/>
        </w:rPr>
      </w:pPr>
      <w:r>
        <w:rPr>
          <w:sz w:val="28"/>
          <w:lang w:val="uk-UA"/>
        </w:rPr>
        <w:t>Таблиця 2.2</w:t>
      </w:r>
    </w:p>
    <w:p w:rsidR="009144E7" w:rsidRDefault="009144E7" w:rsidP="009144E7">
      <w:pPr>
        <w:tabs>
          <w:tab w:val="left" w:pos="1134"/>
        </w:tabs>
        <w:spacing w:after="0" w:line="360" w:lineRule="auto"/>
        <w:ind w:firstLine="709"/>
        <w:jc w:val="center"/>
        <w:rPr>
          <w:b/>
          <w:sz w:val="28"/>
          <w:lang w:val="uk-UA"/>
        </w:rPr>
      </w:pPr>
      <w:r>
        <w:rPr>
          <w:b/>
          <w:sz w:val="28"/>
          <w:lang w:val="uk-UA"/>
        </w:rPr>
        <w:t>Дані лабораторних обстежень у</w:t>
      </w:r>
      <w:r w:rsidRPr="00F24197">
        <w:rPr>
          <w:b/>
          <w:sz w:val="28"/>
          <w:lang w:val="uk-UA"/>
        </w:rPr>
        <w:t xml:space="preserve"> пацієнтів</w:t>
      </w:r>
      <w:r>
        <w:rPr>
          <w:b/>
          <w:sz w:val="28"/>
          <w:lang w:val="uk-UA"/>
        </w:rPr>
        <w:t xml:space="preserve"> на ХП з і без супутнього ЦД 2 типу</w:t>
      </w:r>
    </w:p>
    <w:tbl>
      <w:tblPr>
        <w:tblStyle w:val="ae"/>
        <w:tblW w:w="0" w:type="auto"/>
        <w:tblLook w:val="04A0" w:firstRow="1" w:lastRow="0" w:firstColumn="1" w:lastColumn="0" w:noHBand="0" w:noVBand="1"/>
      </w:tblPr>
      <w:tblGrid>
        <w:gridCol w:w="3190"/>
        <w:gridCol w:w="3190"/>
        <w:gridCol w:w="3191"/>
      </w:tblGrid>
      <w:tr w:rsidR="009144E7" w:rsidTr="009144E7">
        <w:tc>
          <w:tcPr>
            <w:tcW w:w="3190" w:type="dxa"/>
            <w:vAlign w:val="center"/>
          </w:tcPr>
          <w:p w:rsidR="009144E7" w:rsidRDefault="009144E7" w:rsidP="009144E7">
            <w:pPr>
              <w:spacing w:line="360" w:lineRule="auto"/>
              <w:jc w:val="center"/>
              <w:rPr>
                <w:sz w:val="28"/>
                <w:lang w:val="uk-UA"/>
              </w:rPr>
            </w:pPr>
            <w:r>
              <w:rPr>
                <w:sz w:val="28"/>
                <w:lang w:val="uk-UA"/>
              </w:rPr>
              <w:t>Показники</w:t>
            </w:r>
          </w:p>
        </w:tc>
        <w:tc>
          <w:tcPr>
            <w:tcW w:w="3190" w:type="dxa"/>
          </w:tcPr>
          <w:p w:rsidR="009144E7" w:rsidRDefault="009144E7" w:rsidP="009144E7">
            <w:pPr>
              <w:spacing w:line="360" w:lineRule="auto"/>
              <w:jc w:val="center"/>
              <w:rPr>
                <w:sz w:val="28"/>
                <w:lang w:val="uk-UA"/>
              </w:rPr>
            </w:pPr>
            <w:r>
              <w:rPr>
                <w:rFonts w:cstheme="minorHAnsi"/>
                <w:sz w:val="28"/>
                <w:lang w:val="uk-UA"/>
              </w:rPr>
              <w:t>І</w:t>
            </w:r>
            <w:r>
              <w:rPr>
                <w:sz w:val="28"/>
                <w:lang w:val="uk-UA"/>
              </w:rPr>
              <w:t xml:space="preserve"> група</w:t>
            </w:r>
          </w:p>
          <w:p w:rsidR="009144E7" w:rsidRDefault="009144E7" w:rsidP="009144E7">
            <w:pPr>
              <w:spacing w:line="360" w:lineRule="auto"/>
              <w:jc w:val="center"/>
              <w:rPr>
                <w:sz w:val="28"/>
                <w:lang w:val="uk-UA"/>
              </w:rPr>
            </w:pPr>
            <w:r>
              <w:rPr>
                <w:sz w:val="28"/>
                <w:lang w:val="uk-UA"/>
              </w:rPr>
              <w:lastRenderedPageBreak/>
              <w:t>(</w:t>
            </w:r>
            <w:r>
              <w:rPr>
                <w:sz w:val="28"/>
                <w:lang w:val="en-US"/>
              </w:rPr>
              <w:t>n=</w:t>
            </w:r>
            <w:r>
              <w:rPr>
                <w:sz w:val="28"/>
                <w:lang w:val="uk-UA"/>
              </w:rPr>
              <w:t>73)</w:t>
            </w:r>
          </w:p>
        </w:tc>
        <w:tc>
          <w:tcPr>
            <w:tcW w:w="3191" w:type="dxa"/>
          </w:tcPr>
          <w:p w:rsidR="009144E7" w:rsidRDefault="009144E7" w:rsidP="009144E7">
            <w:pPr>
              <w:spacing w:line="360" w:lineRule="auto"/>
              <w:jc w:val="center"/>
              <w:rPr>
                <w:sz w:val="28"/>
                <w:lang w:val="uk-UA"/>
              </w:rPr>
            </w:pPr>
            <w:r>
              <w:rPr>
                <w:rFonts w:cstheme="minorHAnsi"/>
                <w:sz w:val="28"/>
                <w:lang w:val="uk-UA"/>
              </w:rPr>
              <w:lastRenderedPageBreak/>
              <w:t>І</w:t>
            </w:r>
            <w:r>
              <w:rPr>
                <w:rFonts w:asciiTheme="minorBidi" w:hAnsiTheme="minorBidi"/>
                <w:sz w:val="28"/>
                <w:lang w:val="uk-UA"/>
              </w:rPr>
              <w:t>І</w:t>
            </w:r>
            <w:r>
              <w:rPr>
                <w:sz w:val="28"/>
                <w:lang w:val="en-US"/>
              </w:rPr>
              <w:t xml:space="preserve"> </w:t>
            </w:r>
            <w:r>
              <w:rPr>
                <w:sz w:val="28"/>
                <w:lang w:val="uk-UA"/>
              </w:rPr>
              <w:t>група</w:t>
            </w:r>
          </w:p>
          <w:p w:rsidR="009144E7" w:rsidRDefault="009144E7" w:rsidP="009144E7">
            <w:pPr>
              <w:spacing w:line="360" w:lineRule="auto"/>
              <w:jc w:val="center"/>
              <w:rPr>
                <w:sz w:val="28"/>
                <w:lang w:val="uk-UA"/>
              </w:rPr>
            </w:pPr>
            <w:r>
              <w:rPr>
                <w:sz w:val="28"/>
                <w:lang w:val="uk-UA"/>
              </w:rPr>
              <w:lastRenderedPageBreak/>
              <w:t>(</w:t>
            </w:r>
            <w:r>
              <w:rPr>
                <w:sz w:val="28"/>
                <w:lang w:val="en-US"/>
              </w:rPr>
              <w:t>n=</w:t>
            </w:r>
            <w:r>
              <w:rPr>
                <w:sz w:val="28"/>
                <w:lang w:val="uk-UA"/>
              </w:rPr>
              <w:t>32)</w:t>
            </w:r>
          </w:p>
        </w:tc>
      </w:tr>
      <w:tr w:rsidR="009144E7" w:rsidTr="009144E7">
        <w:tc>
          <w:tcPr>
            <w:tcW w:w="3190" w:type="dxa"/>
          </w:tcPr>
          <w:p w:rsidR="009144E7" w:rsidRPr="00F24197" w:rsidRDefault="009144E7" w:rsidP="009144E7">
            <w:pPr>
              <w:spacing w:line="360" w:lineRule="auto"/>
              <w:rPr>
                <w:rFonts w:cstheme="minorHAnsi"/>
                <w:color w:val="FF0000"/>
                <w:sz w:val="28"/>
                <w:szCs w:val="28"/>
                <w:lang w:val="uk-UA"/>
              </w:rPr>
            </w:pPr>
            <w:r w:rsidRPr="00F24197">
              <w:rPr>
                <w:sz w:val="28"/>
                <w:szCs w:val="28"/>
                <w:lang w:val="uk-UA"/>
              </w:rPr>
              <w:lastRenderedPageBreak/>
              <w:t>ШКФ, мл/хв/</w:t>
            </w:r>
            <w:r w:rsidRPr="00F24197">
              <w:rPr>
                <w:rFonts w:cstheme="minorHAnsi"/>
                <w:sz w:val="28"/>
                <w:szCs w:val="28"/>
                <w:lang w:val="uk-UA"/>
              </w:rPr>
              <w:t>1,73м</w:t>
            </w:r>
            <w:r w:rsidRPr="00F24197">
              <w:rPr>
                <w:rFonts w:cstheme="minorHAnsi"/>
                <w:sz w:val="28"/>
                <w:szCs w:val="28"/>
                <w:vertAlign w:val="superscript"/>
                <w:lang w:val="uk-UA"/>
              </w:rPr>
              <w:t>2</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42,3±4,8</w:t>
            </w:r>
          </w:p>
        </w:tc>
        <w:tc>
          <w:tcPr>
            <w:tcW w:w="3191" w:type="dxa"/>
            <w:vAlign w:val="center"/>
          </w:tcPr>
          <w:p w:rsidR="009144E7" w:rsidRPr="007D0EC0" w:rsidRDefault="009144E7" w:rsidP="009144E7">
            <w:pPr>
              <w:spacing w:line="360" w:lineRule="auto"/>
              <w:jc w:val="center"/>
              <w:rPr>
                <w:rFonts w:cstheme="minorHAnsi"/>
                <w:color w:val="FF0000"/>
                <w:sz w:val="28"/>
                <w:szCs w:val="28"/>
                <w:lang w:val="uk-UA"/>
              </w:rPr>
            </w:pPr>
            <w:r w:rsidRPr="007D0EC0">
              <w:rPr>
                <w:rFonts w:cstheme="minorHAnsi"/>
                <w:sz w:val="28"/>
                <w:szCs w:val="28"/>
                <w:lang w:val="uk-UA"/>
              </w:rPr>
              <w:t>69,4±4,4*</w:t>
            </w:r>
          </w:p>
        </w:tc>
      </w:tr>
      <w:tr w:rsidR="009144E7" w:rsidTr="009144E7">
        <w:tc>
          <w:tcPr>
            <w:tcW w:w="3190" w:type="dxa"/>
          </w:tcPr>
          <w:p w:rsidR="009144E7" w:rsidRPr="00F24197" w:rsidRDefault="009144E7" w:rsidP="009144E7">
            <w:pPr>
              <w:spacing w:line="360" w:lineRule="auto"/>
              <w:rPr>
                <w:rFonts w:cstheme="minorHAnsi"/>
                <w:color w:val="FF0000"/>
                <w:sz w:val="28"/>
                <w:szCs w:val="28"/>
                <w:lang w:val="uk-UA"/>
              </w:rPr>
            </w:pPr>
            <w:r w:rsidRPr="00F24197">
              <w:rPr>
                <w:sz w:val="28"/>
                <w:szCs w:val="28"/>
                <w:lang w:val="uk-UA"/>
              </w:rPr>
              <w:t>Креатинін крові, мкмоль/л</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187,3±22,8</w:t>
            </w:r>
          </w:p>
        </w:tc>
        <w:tc>
          <w:tcPr>
            <w:tcW w:w="3191" w:type="dxa"/>
            <w:vAlign w:val="center"/>
          </w:tcPr>
          <w:p w:rsidR="009144E7" w:rsidRPr="007D0EC0" w:rsidRDefault="009144E7" w:rsidP="009144E7">
            <w:pPr>
              <w:spacing w:line="360" w:lineRule="auto"/>
              <w:jc w:val="center"/>
              <w:rPr>
                <w:rFonts w:cstheme="minorHAnsi"/>
                <w:color w:val="FF0000"/>
                <w:sz w:val="28"/>
                <w:szCs w:val="28"/>
                <w:lang w:val="uk-UA"/>
              </w:rPr>
            </w:pPr>
            <w:r w:rsidRPr="007D0EC0">
              <w:rPr>
                <w:rFonts w:cstheme="minorHAnsi"/>
                <w:sz w:val="28"/>
                <w:szCs w:val="28"/>
                <w:lang w:val="uk-UA"/>
              </w:rPr>
              <w:t>131,4±13,9*#</w:t>
            </w:r>
          </w:p>
        </w:tc>
      </w:tr>
      <w:tr w:rsidR="009144E7" w:rsidTr="009144E7">
        <w:tc>
          <w:tcPr>
            <w:tcW w:w="3190" w:type="dxa"/>
          </w:tcPr>
          <w:p w:rsidR="009144E7" w:rsidRPr="00F24197" w:rsidRDefault="009144E7" w:rsidP="009144E7">
            <w:pPr>
              <w:spacing w:line="360" w:lineRule="auto"/>
              <w:rPr>
                <w:rFonts w:cstheme="minorHAnsi"/>
                <w:color w:val="FF0000"/>
                <w:sz w:val="28"/>
                <w:szCs w:val="28"/>
                <w:lang w:val="uk-UA"/>
              </w:rPr>
            </w:pPr>
            <w:r w:rsidRPr="00F24197">
              <w:rPr>
                <w:sz w:val="28"/>
                <w:szCs w:val="28"/>
                <w:lang w:val="uk-UA"/>
              </w:rPr>
              <w:t>Сечовина крові, ммоль/л</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12,6±1,2</w:t>
            </w:r>
          </w:p>
        </w:tc>
        <w:tc>
          <w:tcPr>
            <w:tcW w:w="3191" w:type="dxa"/>
            <w:vAlign w:val="center"/>
          </w:tcPr>
          <w:p w:rsidR="009144E7" w:rsidRPr="007D0EC0" w:rsidRDefault="009144E7" w:rsidP="009144E7">
            <w:pPr>
              <w:spacing w:line="360" w:lineRule="auto"/>
              <w:jc w:val="center"/>
              <w:rPr>
                <w:rFonts w:cstheme="minorHAnsi"/>
                <w:color w:val="FF0000"/>
                <w:sz w:val="28"/>
                <w:szCs w:val="28"/>
                <w:lang w:val="uk-UA"/>
              </w:rPr>
            </w:pPr>
            <w:r w:rsidRPr="007D0EC0">
              <w:rPr>
                <w:rFonts w:cstheme="minorHAnsi"/>
                <w:sz w:val="28"/>
                <w:szCs w:val="28"/>
                <w:lang w:val="uk-UA"/>
              </w:rPr>
              <w:t>7,8±0,54*</w:t>
            </w:r>
          </w:p>
        </w:tc>
      </w:tr>
      <w:tr w:rsidR="009144E7" w:rsidTr="009144E7">
        <w:tc>
          <w:tcPr>
            <w:tcW w:w="3190" w:type="dxa"/>
          </w:tcPr>
          <w:p w:rsidR="009144E7" w:rsidRPr="00F24197" w:rsidRDefault="009144E7" w:rsidP="009144E7">
            <w:pPr>
              <w:spacing w:line="360" w:lineRule="auto"/>
              <w:rPr>
                <w:rFonts w:cstheme="minorHAnsi"/>
                <w:color w:val="FF0000"/>
                <w:sz w:val="28"/>
                <w:szCs w:val="28"/>
                <w:lang w:val="uk-UA"/>
              </w:rPr>
            </w:pPr>
            <w:r w:rsidRPr="00F24197">
              <w:rPr>
                <w:rFonts w:cstheme="minorHAnsi"/>
                <w:sz w:val="28"/>
                <w:szCs w:val="28"/>
                <w:lang w:val="uk-UA"/>
              </w:rPr>
              <w:t>Загальний білок крові (г/л)</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72±2,2</w:t>
            </w:r>
          </w:p>
        </w:tc>
        <w:tc>
          <w:tcPr>
            <w:tcW w:w="3191"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73,1±1,1</w:t>
            </w:r>
          </w:p>
        </w:tc>
      </w:tr>
      <w:tr w:rsidR="009144E7" w:rsidTr="009144E7">
        <w:tc>
          <w:tcPr>
            <w:tcW w:w="3190" w:type="dxa"/>
          </w:tcPr>
          <w:p w:rsidR="009144E7" w:rsidRPr="00F24197" w:rsidRDefault="009144E7" w:rsidP="009144E7">
            <w:pPr>
              <w:spacing w:line="360" w:lineRule="auto"/>
              <w:rPr>
                <w:rFonts w:cstheme="minorHAnsi"/>
                <w:color w:val="FF0000"/>
                <w:sz w:val="28"/>
                <w:szCs w:val="28"/>
                <w:lang w:val="uk-UA"/>
              </w:rPr>
            </w:pPr>
            <w:r w:rsidRPr="00F24197">
              <w:rPr>
                <w:rFonts w:cstheme="minorHAnsi"/>
                <w:sz w:val="28"/>
                <w:szCs w:val="28"/>
                <w:lang w:val="uk-UA"/>
              </w:rPr>
              <w:t>Альбумінурія (г/л)</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0,07±0,01</w:t>
            </w:r>
          </w:p>
        </w:tc>
        <w:tc>
          <w:tcPr>
            <w:tcW w:w="3191"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0,04±0,01</w:t>
            </w:r>
            <w:r w:rsidRPr="007D0EC0">
              <w:rPr>
                <w:rFonts w:cstheme="minorHAnsi"/>
                <w:sz w:val="28"/>
                <w:szCs w:val="28"/>
                <w:lang w:val="uk-UA"/>
              </w:rPr>
              <w:t>*</w:t>
            </w:r>
          </w:p>
        </w:tc>
      </w:tr>
      <w:tr w:rsidR="009144E7" w:rsidTr="009144E7">
        <w:tc>
          <w:tcPr>
            <w:tcW w:w="3190" w:type="dxa"/>
          </w:tcPr>
          <w:p w:rsidR="009144E7" w:rsidRPr="00F24197" w:rsidRDefault="009144E7" w:rsidP="009144E7">
            <w:pPr>
              <w:spacing w:line="360" w:lineRule="auto"/>
              <w:rPr>
                <w:rFonts w:cstheme="minorHAnsi"/>
                <w:sz w:val="28"/>
                <w:szCs w:val="28"/>
                <w:lang w:val="uk-UA"/>
              </w:rPr>
            </w:pPr>
            <w:r w:rsidRPr="00F24197">
              <w:rPr>
                <w:rFonts w:cstheme="minorHAnsi"/>
                <w:sz w:val="28"/>
                <w:szCs w:val="28"/>
                <w:lang w:val="uk-UA"/>
              </w:rPr>
              <w:t>Протеїнурія</w:t>
            </w:r>
          </w:p>
          <w:p w:rsidR="009144E7" w:rsidRPr="00F24197" w:rsidRDefault="009144E7" w:rsidP="009144E7">
            <w:pPr>
              <w:spacing w:line="360" w:lineRule="auto"/>
              <w:rPr>
                <w:rFonts w:cstheme="minorHAnsi"/>
                <w:color w:val="FF0000"/>
                <w:sz w:val="28"/>
                <w:szCs w:val="28"/>
                <w:lang w:val="uk-UA"/>
              </w:rPr>
            </w:pPr>
            <w:r w:rsidRPr="00F24197">
              <w:rPr>
                <w:rFonts w:cstheme="minorHAnsi"/>
                <w:sz w:val="28"/>
                <w:szCs w:val="28"/>
                <w:lang w:val="uk-UA"/>
              </w:rPr>
              <w:t>(г/л)</w:t>
            </w:r>
          </w:p>
        </w:tc>
        <w:tc>
          <w:tcPr>
            <w:tcW w:w="3190"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0,98±0,3</w:t>
            </w:r>
          </w:p>
        </w:tc>
        <w:tc>
          <w:tcPr>
            <w:tcW w:w="3191" w:type="dxa"/>
            <w:vAlign w:val="center"/>
          </w:tcPr>
          <w:p w:rsidR="009144E7" w:rsidRPr="00F24197" w:rsidRDefault="009144E7" w:rsidP="009144E7">
            <w:pPr>
              <w:spacing w:line="360" w:lineRule="auto"/>
              <w:jc w:val="center"/>
              <w:rPr>
                <w:rFonts w:cstheme="minorHAnsi"/>
                <w:color w:val="FF0000"/>
                <w:sz w:val="28"/>
                <w:szCs w:val="28"/>
                <w:lang w:val="uk-UA"/>
              </w:rPr>
            </w:pPr>
            <w:r w:rsidRPr="00F24197">
              <w:rPr>
                <w:rFonts w:cstheme="minorHAnsi"/>
                <w:sz w:val="28"/>
                <w:szCs w:val="28"/>
                <w:lang w:val="uk-UA"/>
              </w:rPr>
              <w:t>0,94±0,3</w:t>
            </w:r>
          </w:p>
        </w:tc>
      </w:tr>
    </w:tbl>
    <w:p w:rsidR="009144E7" w:rsidRDefault="009144E7" w:rsidP="009144E7">
      <w:pPr>
        <w:tabs>
          <w:tab w:val="left" w:pos="1134"/>
        </w:tabs>
        <w:spacing w:line="360" w:lineRule="auto"/>
        <w:jc w:val="both"/>
        <w:rPr>
          <w:sz w:val="28"/>
          <w:lang w:val="uk-UA"/>
        </w:rPr>
      </w:pPr>
      <w:r w:rsidRPr="00967F37">
        <w:rPr>
          <w:rFonts w:cstheme="minorHAnsi"/>
          <w:sz w:val="24"/>
          <w:szCs w:val="24"/>
          <w:lang w:val="uk-UA"/>
        </w:rPr>
        <w:t>Примітка: * р≤0,05 при порівнянні І та ІІ груп</w:t>
      </w:r>
      <w:r>
        <w:rPr>
          <w:rFonts w:cstheme="minorHAnsi"/>
          <w:sz w:val="24"/>
          <w:szCs w:val="24"/>
          <w:lang w:val="uk-UA"/>
        </w:rPr>
        <w:t>.</w:t>
      </w:r>
    </w:p>
    <w:p w:rsidR="009144E7" w:rsidRDefault="009144E7" w:rsidP="009144E7">
      <w:pPr>
        <w:spacing w:after="0" w:line="360" w:lineRule="auto"/>
        <w:ind w:firstLine="720"/>
        <w:jc w:val="both"/>
        <w:rPr>
          <w:sz w:val="28"/>
          <w:lang w:val="uk-UA"/>
        </w:rPr>
      </w:pPr>
      <w:r>
        <w:rPr>
          <w:sz w:val="28"/>
          <w:lang w:val="uk-UA"/>
        </w:rPr>
        <w:t>Показники вуглеводного обміну натще складали 8,39</w:t>
      </w:r>
      <w:r>
        <w:rPr>
          <w:rFonts w:cstheme="minorHAnsi"/>
          <w:sz w:val="28"/>
          <w:lang w:val="uk-UA"/>
        </w:rPr>
        <w:t>±</w:t>
      </w:r>
      <w:r>
        <w:rPr>
          <w:sz w:val="28"/>
          <w:lang w:val="uk-UA"/>
        </w:rPr>
        <w:t>0,7; рівень глікозильованого гемоглобіну становив у середньому 7,1</w:t>
      </w:r>
      <w:r>
        <w:rPr>
          <w:rFonts w:cstheme="minorHAnsi"/>
          <w:sz w:val="28"/>
          <w:lang w:val="uk-UA"/>
        </w:rPr>
        <w:t>±</w:t>
      </w:r>
      <w:r>
        <w:rPr>
          <w:sz w:val="28"/>
          <w:lang w:val="uk-UA"/>
        </w:rPr>
        <w:t>0,2.</w:t>
      </w:r>
    </w:p>
    <w:p w:rsidR="009144E7" w:rsidRDefault="009144E7" w:rsidP="009144E7">
      <w:pPr>
        <w:spacing w:after="0" w:line="360" w:lineRule="auto"/>
        <w:ind w:firstLine="720"/>
        <w:jc w:val="both"/>
        <w:rPr>
          <w:sz w:val="28"/>
          <w:lang w:val="uk-UA"/>
        </w:rPr>
      </w:pPr>
      <w:r>
        <w:rPr>
          <w:sz w:val="28"/>
          <w:lang w:val="uk-UA"/>
        </w:rPr>
        <w:t>Вміст загального білка по групі в середньому складав 72</w:t>
      </w:r>
      <w:r>
        <w:rPr>
          <w:rFonts w:cstheme="minorHAnsi"/>
          <w:sz w:val="28"/>
          <w:lang w:val="uk-UA"/>
        </w:rPr>
        <w:t>±</w:t>
      </w:r>
      <w:r>
        <w:rPr>
          <w:sz w:val="28"/>
          <w:lang w:val="uk-UA"/>
        </w:rPr>
        <w:t xml:space="preserve">2,2.  </w:t>
      </w:r>
    </w:p>
    <w:p w:rsidR="009144E7" w:rsidRDefault="009144E7" w:rsidP="009144E7">
      <w:pPr>
        <w:tabs>
          <w:tab w:val="left" w:pos="1134"/>
        </w:tabs>
        <w:spacing w:line="360" w:lineRule="auto"/>
        <w:ind w:firstLine="709"/>
        <w:jc w:val="both"/>
        <w:rPr>
          <w:sz w:val="28"/>
          <w:lang w:val="uk-UA"/>
        </w:rPr>
      </w:pPr>
      <w:r>
        <w:rPr>
          <w:sz w:val="28"/>
          <w:lang w:val="uk-UA"/>
        </w:rPr>
        <w:t xml:space="preserve">При проведенні ехосоноскопії </w:t>
      </w:r>
      <w:r w:rsidRPr="00AE030D">
        <w:rPr>
          <w:sz w:val="28"/>
          <w:lang w:val="uk-UA"/>
        </w:rPr>
        <w:t>дифузні зміни паренхіми нирок у вигляді підвищення ехощільності</w:t>
      </w:r>
      <w:r>
        <w:rPr>
          <w:sz w:val="28"/>
          <w:lang w:val="uk-UA"/>
        </w:rPr>
        <w:t>, стоншення кортикального шару нирки,</w:t>
      </w:r>
      <w:r w:rsidRPr="00AE030D">
        <w:rPr>
          <w:sz w:val="28"/>
          <w:lang w:val="uk-UA"/>
        </w:rPr>
        <w:t xml:space="preserve"> розширення мисок та мікроліти спостерігались у </w:t>
      </w:r>
      <w:r>
        <w:rPr>
          <w:sz w:val="28"/>
          <w:lang w:val="uk-UA"/>
        </w:rPr>
        <w:t>100% хворих</w:t>
      </w:r>
      <w:r w:rsidRPr="00AE030D">
        <w:rPr>
          <w:sz w:val="28"/>
          <w:lang w:val="uk-UA"/>
        </w:rPr>
        <w:t>.</w:t>
      </w:r>
    </w:p>
    <w:p w:rsidR="009144E7" w:rsidRDefault="009144E7" w:rsidP="009144E7">
      <w:pPr>
        <w:tabs>
          <w:tab w:val="left" w:pos="1134"/>
        </w:tabs>
        <w:spacing w:after="0" w:line="360" w:lineRule="auto"/>
        <w:ind w:firstLine="709"/>
        <w:jc w:val="both"/>
        <w:rPr>
          <w:rFonts w:ascii="Times New Roman" w:hAnsi="Times New Roman" w:cs="Times New Roman"/>
          <w:sz w:val="28"/>
          <w:szCs w:val="28"/>
          <w:lang w:val="uk-UA" w:eastAsia="ru-RU"/>
        </w:rPr>
      </w:pPr>
      <w:r>
        <w:rPr>
          <w:sz w:val="28"/>
          <w:lang w:val="uk-UA"/>
        </w:rPr>
        <w:t xml:space="preserve">Друга група (порівняння) складалась із 32 хворих: 27 (84,4%) жінок та 5 (15,6%) чоловіків. </w:t>
      </w:r>
      <w:r w:rsidRPr="00AE030D">
        <w:rPr>
          <w:sz w:val="28"/>
          <w:lang w:val="uk-UA"/>
        </w:rPr>
        <w:t xml:space="preserve">Вік обстежених коливався у межах від </w:t>
      </w:r>
      <w:r>
        <w:rPr>
          <w:sz w:val="28"/>
          <w:lang w:val="uk-UA"/>
        </w:rPr>
        <w:t>45</w:t>
      </w:r>
      <w:r w:rsidRPr="00AE030D">
        <w:rPr>
          <w:sz w:val="28"/>
          <w:lang w:val="uk-UA"/>
        </w:rPr>
        <w:t xml:space="preserve"> до </w:t>
      </w:r>
      <w:r>
        <w:rPr>
          <w:sz w:val="28"/>
          <w:lang w:val="uk-UA"/>
        </w:rPr>
        <w:t>86</w:t>
      </w:r>
      <w:r w:rsidRPr="00AE030D">
        <w:rPr>
          <w:sz w:val="28"/>
          <w:lang w:val="uk-UA"/>
        </w:rPr>
        <w:t xml:space="preserve"> років, в середньому становив</w:t>
      </w:r>
      <w:r>
        <w:rPr>
          <w:sz w:val="28"/>
          <w:lang w:val="uk-UA"/>
        </w:rPr>
        <w:t xml:space="preserve">: для жінок </w:t>
      </w:r>
      <w:r>
        <w:rPr>
          <w:rFonts w:ascii="Times New Roman" w:hAnsi="Times New Roman" w:cs="Times New Roman"/>
          <w:sz w:val="28"/>
          <w:szCs w:val="28"/>
          <w:lang w:val="uk-UA" w:eastAsia="ru-RU"/>
        </w:rPr>
        <w:t>66,29±1,9, для чоловіків – 61,2±4,5 років. Всіх хворих, окремо чоловіків і жінок, було розподілено на дві вікові групи: до 55 років (n=5) та старше 55 років (n=27), таблиця 2.1.</w:t>
      </w:r>
    </w:p>
    <w:p w:rsidR="009144E7" w:rsidRDefault="009144E7" w:rsidP="009144E7">
      <w:pPr>
        <w:tabs>
          <w:tab w:val="left" w:pos="1134"/>
        </w:tabs>
        <w:spacing w:after="0" w:line="360" w:lineRule="auto"/>
        <w:ind w:firstLine="851"/>
        <w:jc w:val="both"/>
        <w:rPr>
          <w:sz w:val="28"/>
          <w:lang w:val="uk-UA"/>
        </w:rPr>
      </w:pPr>
      <w:r w:rsidRPr="00AE030D">
        <w:rPr>
          <w:sz w:val="28"/>
          <w:lang w:val="uk-UA"/>
        </w:rPr>
        <w:t>При надходженні до стаціонару хворі пред’являли скарги</w:t>
      </w:r>
      <w:r>
        <w:rPr>
          <w:sz w:val="28"/>
          <w:lang w:val="uk-UA"/>
        </w:rPr>
        <w:t xml:space="preserve"> на</w:t>
      </w:r>
      <w:r w:rsidRPr="00AE030D">
        <w:rPr>
          <w:sz w:val="28"/>
          <w:lang w:val="uk-UA"/>
        </w:rPr>
        <w:t>:</w:t>
      </w:r>
      <w:r>
        <w:rPr>
          <w:sz w:val="28"/>
          <w:lang w:val="uk-UA"/>
        </w:rPr>
        <w:t xml:space="preserve"> підвищення температури тіла – 15 (46,9%) осіб, середня температура тіла по групі – 37,2</w:t>
      </w:r>
      <w:r>
        <w:rPr>
          <w:rFonts w:cstheme="minorHAnsi"/>
          <w:sz w:val="28"/>
          <w:lang w:val="uk-UA"/>
        </w:rPr>
        <w:t>±</w:t>
      </w:r>
      <w:r>
        <w:rPr>
          <w:sz w:val="28"/>
          <w:lang w:val="uk-UA"/>
        </w:rPr>
        <w:t>0,7; астенічні явища (слабкість, підвищена втомлюваність) спостерігалися у 100 %</w:t>
      </w:r>
      <w:r w:rsidRPr="00AE030D">
        <w:rPr>
          <w:sz w:val="28"/>
          <w:lang w:val="uk-UA"/>
        </w:rPr>
        <w:t xml:space="preserve"> </w:t>
      </w:r>
      <w:r>
        <w:rPr>
          <w:sz w:val="28"/>
          <w:lang w:val="uk-UA"/>
        </w:rPr>
        <w:t>хворих, больовий синдром – мали 26 (81,3%) осіб, дизурія спостерігалася у 15 (46,9%) пацієнтів, зміна кольору сечі – мала місце у 4 (12,5%) обстежених хворих.</w:t>
      </w:r>
    </w:p>
    <w:p w:rsidR="009144E7" w:rsidRDefault="009144E7" w:rsidP="009144E7">
      <w:pPr>
        <w:tabs>
          <w:tab w:val="left" w:pos="1134"/>
        </w:tabs>
        <w:spacing w:after="0" w:line="360" w:lineRule="auto"/>
        <w:ind w:firstLine="851"/>
        <w:jc w:val="both"/>
        <w:rPr>
          <w:sz w:val="28"/>
          <w:lang w:val="uk-UA"/>
        </w:rPr>
      </w:pPr>
      <w:r>
        <w:rPr>
          <w:sz w:val="28"/>
          <w:lang w:val="uk-UA"/>
        </w:rPr>
        <w:lastRenderedPageBreak/>
        <w:t xml:space="preserve">Тривалість ХП становила: до 5 років – 17 осіб, 6-10 років – 9 осіб та більше 10 років – 6 пацієнтів. Лікування у стаціонарі у поточному році проводили 11 (18%) пацієнтів, прийом антибіотиків мав місце у 30 пацієнтів, з них </w:t>
      </w:r>
      <w:r>
        <w:rPr>
          <w:rFonts w:cstheme="minorHAnsi"/>
          <w:sz w:val="28"/>
          <w:lang w:val="uk-UA"/>
        </w:rPr>
        <w:t>β</w:t>
      </w:r>
      <w:r>
        <w:rPr>
          <w:sz w:val="28"/>
          <w:lang w:val="uk-UA"/>
        </w:rPr>
        <w:t xml:space="preserve">-лактамні АБП приймали 28 чоловік, фторхінолони – 27 осіб. </w:t>
      </w:r>
    </w:p>
    <w:p w:rsidR="009144E7" w:rsidRDefault="009144E7" w:rsidP="009144E7">
      <w:pPr>
        <w:spacing w:after="0" w:line="360" w:lineRule="auto"/>
        <w:ind w:firstLine="720"/>
        <w:jc w:val="both"/>
        <w:rPr>
          <w:sz w:val="28"/>
          <w:lang w:val="uk-UA"/>
        </w:rPr>
      </w:pPr>
      <w:r w:rsidRPr="00AE030D">
        <w:rPr>
          <w:sz w:val="28"/>
          <w:lang w:val="uk-UA"/>
        </w:rPr>
        <w:t>При об'єктивному дослідженні мали мі</w:t>
      </w:r>
      <w:r>
        <w:rPr>
          <w:sz w:val="28"/>
          <w:lang w:val="uk-UA"/>
        </w:rPr>
        <w:t>сце: блідість шкірних покривів – 20 (62,5%) чоловік, набряки обличчя та/або кінцівок мали 14 (43,8%) пацієнтів, біль при пальпації у косто-вертебральному куті зустрічалася у 13 (40,6%) хворих. Середній артеріальний тиск становив – САТ 142,18</w:t>
      </w:r>
      <w:r>
        <w:rPr>
          <w:rFonts w:cstheme="minorHAnsi"/>
          <w:sz w:val="28"/>
          <w:lang w:val="uk-UA"/>
        </w:rPr>
        <w:t>±</w:t>
      </w:r>
      <w:r>
        <w:rPr>
          <w:sz w:val="28"/>
          <w:lang w:val="uk-UA"/>
        </w:rPr>
        <w:t xml:space="preserve">4,1 </w:t>
      </w:r>
      <w:r w:rsidRPr="00AE030D">
        <w:rPr>
          <w:sz w:val="28"/>
          <w:lang w:val="uk-UA"/>
        </w:rPr>
        <w:t xml:space="preserve">мм рт.ст., </w:t>
      </w:r>
      <w:r>
        <w:rPr>
          <w:sz w:val="28"/>
          <w:lang w:val="uk-UA"/>
        </w:rPr>
        <w:t>ДАТ – 85,78</w:t>
      </w:r>
      <w:r>
        <w:rPr>
          <w:rFonts w:cstheme="minorHAnsi"/>
          <w:sz w:val="28"/>
          <w:lang w:val="uk-UA"/>
        </w:rPr>
        <w:t>±</w:t>
      </w:r>
      <w:r>
        <w:rPr>
          <w:sz w:val="28"/>
          <w:lang w:val="uk-UA"/>
        </w:rPr>
        <w:t xml:space="preserve">2,1 </w:t>
      </w:r>
      <w:r w:rsidRPr="00AE030D">
        <w:rPr>
          <w:sz w:val="28"/>
          <w:lang w:val="uk-UA"/>
        </w:rPr>
        <w:t>мм рт.ст.</w:t>
      </w:r>
      <w:r>
        <w:rPr>
          <w:sz w:val="28"/>
          <w:lang w:val="uk-UA"/>
        </w:rPr>
        <w:t xml:space="preserve"> Середній рівень пульсу склав 85</w:t>
      </w:r>
      <w:r>
        <w:rPr>
          <w:rFonts w:cstheme="minorHAnsi"/>
          <w:sz w:val="28"/>
          <w:lang w:val="uk-UA"/>
        </w:rPr>
        <w:t>±</w:t>
      </w:r>
      <w:r>
        <w:rPr>
          <w:sz w:val="28"/>
          <w:lang w:val="uk-UA"/>
        </w:rPr>
        <w:t>2,3 ударів у хвилину.</w:t>
      </w:r>
    </w:p>
    <w:p w:rsidR="009144E7" w:rsidRDefault="009144E7" w:rsidP="009144E7">
      <w:pPr>
        <w:spacing w:after="0" w:line="360" w:lineRule="auto"/>
        <w:ind w:firstLine="720"/>
        <w:jc w:val="both"/>
        <w:rPr>
          <w:sz w:val="28"/>
          <w:lang w:val="uk-UA"/>
        </w:rPr>
      </w:pPr>
      <w:r>
        <w:rPr>
          <w:sz w:val="28"/>
          <w:lang w:val="uk-UA"/>
        </w:rPr>
        <w:t>При вивченні клінічного аналізу крові, лейкоцитоз мав місце у 11 (34,4%) осіб, підвищення ШОЕ – у 28 (87,5%), анемія зустрічалася у 12 (37,5%) пацієнтів.</w:t>
      </w:r>
    </w:p>
    <w:p w:rsidR="009144E7" w:rsidRDefault="009144E7" w:rsidP="009144E7">
      <w:pPr>
        <w:spacing w:after="0" w:line="360" w:lineRule="auto"/>
        <w:ind w:firstLine="720"/>
        <w:jc w:val="both"/>
        <w:rPr>
          <w:sz w:val="28"/>
          <w:lang w:val="uk-UA"/>
        </w:rPr>
      </w:pPr>
      <w:r>
        <w:rPr>
          <w:sz w:val="28"/>
          <w:lang w:val="uk-UA"/>
        </w:rPr>
        <w:t>В загальному клінічному аналізі сечі відносна щільність у середньому складала 1014</w:t>
      </w:r>
      <w:r>
        <w:rPr>
          <w:rFonts w:cstheme="minorHAnsi"/>
          <w:sz w:val="28"/>
          <w:lang w:val="uk-UA"/>
        </w:rPr>
        <w:t>±</w:t>
      </w:r>
      <w:r>
        <w:rPr>
          <w:sz w:val="28"/>
          <w:lang w:val="uk-UA"/>
        </w:rPr>
        <w:t xml:space="preserve">6,1, альбумінурія була виявлена у 17 осіб, протеїнурія – у 6 (18,7%) пацієнтів, з них у 2 (18,2%) складала вище 1 г/л. При дослідженні сечового осаду лейкоцитурія мала місце у 27 (84,4%) пацієнта, з них у 15 (55,6%) – на все поле зору, гематурія була виявлена у 11 (34,4%) пацієнтів, з них у 4 (13,6%) – на все поле зору (макрогематурія). </w:t>
      </w:r>
      <w:r w:rsidRPr="00CF0C78">
        <w:rPr>
          <w:sz w:val="28"/>
          <w:lang w:val="uk-UA"/>
        </w:rPr>
        <w:t xml:space="preserve">У </w:t>
      </w:r>
      <w:r>
        <w:rPr>
          <w:sz w:val="28"/>
          <w:lang w:val="uk-UA"/>
        </w:rPr>
        <w:t>7</w:t>
      </w:r>
      <w:r w:rsidRPr="00CF0C78">
        <w:rPr>
          <w:sz w:val="28"/>
          <w:lang w:val="uk-UA"/>
        </w:rPr>
        <w:t xml:space="preserve"> (2</w:t>
      </w:r>
      <w:r>
        <w:rPr>
          <w:sz w:val="28"/>
          <w:lang w:val="uk-UA"/>
        </w:rPr>
        <w:t>1</w:t>
      </w:r>
      <w:r w:rsidRPr="00CF0C78">
        <w:rPr>
          <w:sz w:val="28"/>
          <w:lang w:val="uk-UA"/>
        </w:rPr>
        <w:t>,</w:t>
      </w:r>
      <w:r>
        <w:rPr>
          <w:sz w:val="28"/>
          <w:lang w:val="uk-UA"/>
        </w:rPr>
        <w:t>9</w:t>
      </w:r>
      <w:r w:rsidRPr="00CF0C78">
        <w:rPr>
          <w:sz w:val="28"/>
          <w:lang w:val="uk-UA"/>
        </w:rPr>
        <w:t>%)</w:t>
      </w:r>
      <w:r>
        <w:rPr>
          <w:sz w:val="28"/>
          <w:lang w:val="uk-UA"/>
        </w:rPr>
        <w:t xml:space="preserve"> </w:t>
      </w:r>
      <w:r w:rsidRPr="00CF0C78">
        <w:rPr>
          <w:sz w:val="28"/>
          <w:lang w:val="uk-UA"/>
        </w:rPr>
        <w:t>хворих  були виявлені циліндри - гіалінові, зернисті і еритроцитарні.</w:t>
      </w:r>
      <w:r>
        <w:rPr>
          <w:sz w:val="28"/>
          <w:lang w:val="uk-UA"/>
        </w:rPr>
        <w:t xml:space="preserve"> </w:t>
      </w:r>
    </w:p>
    <w:p w:rsidR="009144E7" w:rsidRDefault="009144E7" w:rsidP="009144E7">
      <w:pPr>
        <w:spacing w:after="0" w:line="360" w:lineRule="auto"/>
        <w:ind w:firstLine="709"/>
        <w:jc w:val="both"/>
        <w:rPr>
          <w:sz w:val="28"/>
          <w:lang w:val="uk-UA"/>
        </w:rPr>
      </w:pPr>
      <w:r>
        <w:rPr>
          <w:sz w:val="28"/>
          <w:lang w:val="uk-UA"/>
        </w:rPr>
        <w:t xml:space="preserve">При дослідженні функції нирок шляхом розрахунку швидкості клубочкової фільтрації за формулою </w:t>
      </w:r>
      <w:r>
        <w:rPr>
          <w:rFonts w:cstheme="minorHAnsi"/>
          <w:sz w:val="28"/>
          <w:szCs w:val="28"/>
          <w:lang w:val="en-US"/>
        </w:rPr>
        <w:t>CKD</w:t>
      </w:r>
      <w:r w:rsidRPr="002D3DA3">
        <w:rPr>
          <w:rFonts w:cstheme="minorHAnsi"/>
          <w:sz w:val="28"/>
          <w:szCs w:val="28"/>
          <w:lang w:val="uk-UA"/>
        </w:rPr>
        <w:t>-</w:t>
      </w:r>
      <w:r>
        <w:rPr>
          <w:rFonts w:cstheme="minorHAnsi"/>
          <w:sz w:val="28"/>
          <w:szCs w:val="28"/>
          <w:lang w:val="en-US"/>
        </w:rPr>
        <w:t>EPI</w:t>
      </w:r>
      <w:r>
        <w:rPr>
          <w:rFonts w:cstheme="minorHAnsi"/>
          <w:sz w:val="28"/>
          <w:szCs w:val="28"/>
          <w:lang w:val="uk-UA"/>
        </w:rPr>
        <w:t>, у 3 (9,4%) хворих вона була дещо підвищена (</w:t>
      </w:r>
      <w:r w:rsidRPr="00AE030D">
        <w:rPr>
          <w:sz w:val="28"/>
          <w:lang w:val="uk-UA"/>
        </w:rPr>
        <w:t>від 122 до 1</w:t>
      </w:r>
      <w:r>
        <w:rPr>
          <w:sz w:val="28"/>
          <w:lang w:val="uk-UA"/>
        </w:rPr>
        <w:t>5</w:t>
      </w:r>
      <w:r w:rsidRPr="00AE030D">
        <w:rPr>
          <w:sz w:val="28"/>
          <w:lang w:val="uk-UA"/>
        </w:rPr>
        <w:t>8 мл/хв</w:t>
      </w:r>
      <w:r>
        <w:rPr>
          <w:rFonts w:cstheme="minorHAnsi"/>
          <w:sz w:val="28"/>
          <w:szCs w:val="28"/>
          <w:lang w:val="uk-UA"/>
        </w:rPr>
        <w:t>/1,73м</w:t>
      </w:r>
      <w:r>
        <w:rPr>
          <w:rFonts w:cstheme="minorHAnsi"/>
          <w:sz w:val="28"/>
          <w:szCs w:val="28"/>
          <w:vertAlign w:val="superscript"/>
          <w:lang w:val="uk-UA"/>
        </w:rPr>
        <w:t>2</w:t>
      </w:r>
      <w:r>
        <w:rPr>
          <w:rFonts w:cstheme="minorHAnsi"/>
          <w:sz w:val="28"/>
          <w:szCs w:val="28"/>
          <w:lang w:val="uk-UA"/>
        </w:rPr>
        <w:t xml:space="preserve">), у 24 (75%) – знижена (від 16 до 88 </w:t>
      </w:r>
      <w:r w:rsidRPr="00AE030D">
        <w:rPr>
          <w:sz w:val="28"/>
          <w:lang w:val="uk-UA"/>
        </w:rPr>
        <w:t>мл/хв</w:t>
      </w:r>
      <w:r>
        <w:rPr>
          <w:rFonts w:cstheme="minorHAnsi"/>
          <w:sz w:val="28"/>
          <w:szCs w:val="28"/>
          <w:lang w:val="uk-UA"/>
        </w:rPr>
        <w:t>/1,73м</w:t>
      </w:r>
      <w:r>
        <w:rPr>
          <w:rFonts w:cstheme="minorHAnsi"/>
          <w:sz w:val="28"/>
          <w:szCs w:val="28"/>
          <w:vertAlign w:val="superscript"/>
          <w:lang w:val="uk-UA"/>
        </w:rPr>
        <w:t>2</w:t>
      </w:r>
      <w:r>
        <w:rPr>
          <w:rFonts w:cstheme="minorHAnsi"/>
          <w:sz w:val="28"/>
          <w:szCs w:val="28"/>
          <w:lang w:val="uk-UA"/>
        </w:rPr>
        <w:t>), у 5 (15,6%) – не перевищувала фізіологічну норму. У середньому рівень клубочкової фільтрації становив 69,4±4,4 мл/хв/1,73м</w:t>
      </w:r>
      <w:r>
        <w:rPr>
          <w:rFonts w:cstheme="minorHAnsi"/>
          <w:sz w:val="28"/>
          <w:szCs w:val="28"/>
          <w:vertAlign w:val="superscript"/>
          <w:lang w:val="uk-UA"/>
        </w:rPr>
        <w:t>2</w:t>
      </w:r>
      <w:r>
        <w:rPr>
          <w:rFonts w:cstheme="minorHAnsi"/>
          <w:sz w:val="28"/>
          <w:szCs w:val="28"/>
          <w:lang w:val="uk-UA"/>
        </w:rPr>
        <w:t xml:space="preserve">. </w:t>
      </w:r>
      <w:r>
        <w:rPr>
          <w:sz w:val="28"/>
          <w:lang w:val="uk-UA"/>
        </w:rPr>
        <w:t xml:space="preserve">Показники азотемії були підвищені у 10 (31,3%) пацієнтів. </w:t>
      </w:r>
      <w:r w:rsidRPr="00AE030D">
        <w:rPr>
          <w:sz w:val="28"/>
          <w:lang w:val="uk-UA"/>
        </w:rPr>
        <w:t>Рівень креатиніну становив в середньому</w:t>
      </w:r>
      <w:r>
        <w:rPr>
          <w:sz w:val="28"/>
          <w:lang w:val="uk-UA"/>
        </w:rPr>
        <w:t xml:space="preserve"> 131,41</w:t>
      </w:r>
      <w:r>
        <w:rPr>
          <w:rFonts w:cstheme="minorHAnsi"/>
          <w:sz w:val="28"/>
          <w:lang w:val="uk-UA"/>
        </w:rPr>
        <w:t>±</w:t>
      </w:r>
      <w:r>
        <w:rPr>
          <w:sz w:val="28"/>
          <w:lang w:val="uk-UA"/>
        </w:rPr>
        <w:t>13,9 мкмоль/л, рівень сечовини – 7,87</w:t>
      </w:r>
      <w:r>
        <w:rPr>
          <w:rFonts w:cstheme="minorHAnsi"/>
          <w:sz w:val="28"/>
          <w:lang w:val="uk-UA"/>
        </w:rPr>
        <w:t>±</w:t>
      </w:r>
      <w:r>
        <w:rPr>
          <w:sz w:val="28"/>
          <w:lang w:val="uk-UA"/>
        </w:rPr>
        <w:t xml:space="preserve">0,5 ммоль/л (таблиця 2.2). </w:t>
      </w:r>
    </w:p>
    <w:p w:rsidR="009144E7" w:rsidRDefault="009144E7" w:rsidP="009144E7">
      <w:pPr>
        <w:spacing w:after="0" w:line="360" w:lineRule="auto"/>
        <w:ind w:firstLine="709"/>
        <w:jc w:val="both"/>
        <w:rPr>
          <w:sz w:val="28"/>
          <w:lang w:val="uk-UA"/>
        </w:rPr>
      </w:pPr>
      <w:r w:rsidRPr="00AE030D">
        <w:rPr>
          <w:sz w:val="28"/>
          <w:lang w:val="uk-UA"/>
        </w:rPr>
        <w:t>Вміст загального білк</w:t>
      </w:r>
      <w:r>
        <w:rPr>
          <w:sz w:val="28"/>
          <w:lang w:val="uk-UA"/>
        </w:rPr>
        <w:t>у</w:t>
      </w:r>
      <w:r w:rsidRPr="00AE030D">
        <w:rPr>
          <w:sz w:val="28"/>
          <w:lang w:val="uk-UA"/>
        </w:rPr>
        <w:t xml:space="preserve"> крові</w:t>
      </w:r>
      <w:r>
        <w:rPr>
          <w:sz w:val="28"/>
          <w:lang w:val="uk-UA"/>
        </w:rPr>
        <w:t xml:space="preserve"> складав у середньому 73,12</w:t>
      </w:r>
      <w:r>
        <w:rPr>
          <w:rFonts w:cstheme="minorHAnsi"/>
          <w:sz w:val="28"/>
          <w:lang w:val="uk-UA"/>
        </w:rPr>
        <w:t>±</w:t>
      </w:r>
      <w:r>
        <w:rPr>
          <w:sz w:val="28"/>
          <w:lang w:val="uk-UA"/>
        </w:rPr>
        <w:t xml:space="preserve">1,1 </w:t>
      </w:r>
      <w:r w:rsidRPr="00AE030D">
        <w:rPr>
          <w:sz w:val="28"/>
          <w:lang w:val="uk-UA"/>
        </w:rPr>
        <w:t>г/л.</w:t>
      </w:r>
    </w:p>
    <w:p w:rsidR="009144E7" w:rsidRDefault="009144E7" w:rsidP="009144E7">
      <w:pPr>
        <w:tabs>
          <w:tab w:val="left" w:pos="1134"/>
        </w:tabs>
        <w:spacing w:after="0" w:line="360" w:lineRule="auto"/>
        <w:ind w:firstLine="709"/>
        <w:jc w:val="both"/>
        <w:rPr>
          <w:sz w:val="28"/>
          <w:lang w:val="uk-UA"/>
        </w:rPr>
      </w:pPr>
      <w:r>
        <w:rPr>
          <w:sz w:val="28"/>
          <w:lang w:val="uk-UA"/>
        </w:rPr>
        <w:lastRenderedPageBreak/>
        <w:t xml:space="preserve">При проведенні ультразвукового дослідження нирок </w:t>
      </w:r>
      <w:r w:rsidRPr="00E96C04">
        <w:rPr>
          <w:sz w:val="28"/>
          <w:lang w:val="uk-UA"/>
        </w:rPr>
        <w:t xml:space="preserve">у </w:t>
      </w:r>
      <w:r>
        <w:rPr>
          <w:sz w:val="28"/>
          <w:lang w:val="uk-UA"/>
        </w:rPr>
        <w:t>30</w:t>
      </w:r>
      <w:r w:rsidRPr="00E96C04">
        <w:rPr>
          <w:sz w:val="28"/>
          <w:lang w:val="uk-UA"/>
        </w:rPr>
        <w:t xml:space="preserve"> (9</w:t>
      </w:r>
      <w:r>
        <w:rPr>
          <w:sz w:val="28"/>
          <w:lang w:val="uk-UA"/>
        </w:rPr>
        <w:t>3</w:t>
      </w:r>
      <w:r w:rsidRPr="00E96C04">
        <w:rPr>
          <w:sz w:val="28"/>
          <w:lang w:val="uk-UA"/>
        </w:rPr>
        <w:t>,</w:t>
      </w:r>
      <w:r>
        <w:rPr>
          <w:sz w:val="28"/>
          <w:lang w:val="uk-UA"/>
        </w:rPr>
        <w:t>8</w:t>
      </w:r>
      <w:r w:rsidRPr="00E96C04">
        <w:rPr>
          <w:sz w:val="28"/>
          <w:lang w:val="uk-UA"/>
        </w:rPr>
        <w:t>%)</w:t>
      </w:r>
      <w:r>
        <w:rPr>
          <w:sz w:val="28"/>
          <w:lang w:val="uk-UA"/>
        </w:rPr>
        <w:t xml:space="preserve"> хворих</w:t>
      </w:r>
      <w:r w:rsidRPr="00E96C04">
        <w:rPr>
          <w:sz w:val="28"/>
          <w:lang w:val="uk-UA"/>
        </w:rPr>
        <w:t xml:space="preserve"> спостерігалася нечіткість зовнішнього контуру нирок (втягнення, нерівномірне стоншення кортикального шару нирки до 8-12 мм), утиск контурів чашково-мискової системи (Ч</w:t>
      </w:r>
      <w:r>
        <w:rPr>
          <w:sz w:val="28"/>
          <w:lang w:val="uk-UA"/>
        </w:rPr>
        <w:t>М</w:t>
      </w:r>
      <w:r w:rsidRPr="00E96C04">
        <w:rPr>
          <w:sz w:val="28"/>
          <w:lang w:val="uk-UA"/>
        </w:rPr>
        <w:t xml:space="preserve">С), порушення кортико-медулярную диференціації, що свідчить про наявність </w:t>
      </w:r>
      <w:r>
        <w:rPr>
          <w:sz w:val="28"/>
          <w:lang w:val="uk-UA"/>
        </w:rPr>
        <w:t>хронічного</w:t>
      </w:r>
      <w:r w:rsidRPr="00E96C04">
        <w:rPr>
          <w:sz w:val="28"/>
          <w:lang w:val="uk-UA"/>
        </w:rPr>
        <w:t xml:space="preserve"> запального процесу.</w:t>
      </w: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3A0A00">
      <w:pPr>
        <w:jc w:val="both"/>
        <w:rPr>
          <w:sz w:val="28"/>
          <w:szCs w:val="28"/>
          <w:lang w:val="uk-UA"/>
        </w:rPr>
      </w:pPr>
    </w:p>
    <w:p w:rsidR="009144E7" w:rsidRDefault="009144E7" w:rsidP="009144E7">
      <w:pPr>
        <w:jc w:val="center"/>
        <w:rPr>
          <w:b/>
          <w:sz w:val="28"/>
          <w:szCs w:val="28"/>
          <w:lang w:val="uk-UA"/>
        </w:rPr>
      </w:pPr>
      <w:r>
        <w:rPr>
          <w:b/>
          <w:sz w:val="28"/>
          <w:szCs w:val="28"/>
          <w:lang w:val="uk-UA"/>
        </w:rPr>
        <w:lastRenderedPageBreak/>
        <w:t xml:space="preserve">2.2 </w:t>
      </w:r>
      <w:r w:rsidRPr="003B430A">
        <w:rPr>
          <w:b/>
          <w:sz w:val="28"/>
          <w:szCs w:val="28"/>
          <w:lang w:val="uk-UA"/>
        </w:rPr>
        <w:t>Методи дослідження</w:t>
      </w:r>
    </w:p>
    <w:p w:rsidR="009144E7" w:rsidRDefault="009144E7" w:rsidP="009144E7">
      <w:pPr>
        <w:spacing w:after="0" w:line="360" w:lineRule="auto"/>
        <w:ind w:firstLine="709"/>
        <w:jc w:val="both"/>
        <w:rPr>
          <w:sz w:val="28"/>
          <w:lang w:val="uk-UA"/>
        </w:rPr>
      </w:pPr>
      <w:r w:rsidRPr="00AE030D">
        <w:rPr>
          <w:sz w:val="28"/>
          <w:lang w:val="uk-UA"/>
        </w:rPr>
        <w:t xml:space="preserve">В процесі виконання роботи обстежено </w:t>
      </w:r>
      <w:r>
        <w:rPr>
          <w:sz w:val="28"/>
          <w:lang w:val="uk-UA"/>
        </w:rPr>
        <w:t>105</w:t>
      </w:r>
      <w:r w:rsidRPr="00AE030D">
        <w:rPr>
          <w:sz w:val="28"/>
          <w:lang w:val="uk-UA"/>
        </w:rPr>
        <w:t xml:space="preserve"> хворих на </w:t>
      </w:r>
      <w:r>
        <w:rPr>
          <w:sz w:val="28"/>
          <w:lang w:val="uk-UA"/>
        </w:rPr>
        <w:t>хронічний пієлонефрит, з них 73 пацієнти – із супутнім цукровим</w:t>
      </w:r>
      <w:r w:rsidRPr="00AE030D">
        <w:rPr>
          <w:sz w:val="28"/>
          <w:lang w:val="uk-UA"/>
        </w:rPr>
        <w:t xml:space="preserve"> діабет</w:t>
      </w:r>
      <w:r>
        <w:rPr>
          <w:sz w:val="28"/>
          <w:lang w:val="uk-UA"/>
        </w:rPr>
        <w:t>ом</w:t>
      </w:r>
      <w:r w:rsidRPr="00AE030D">
        <w:rPr>
          <w:sz w:val="28"/>
          <w:lang w:val="uk-UA"/>
        </w:rPr>
        <w:t xml:space="preserve"> 2-го типу</w:t>
      </w:r>
      <w:r>
        <w:rPr>
          <w:sz w:val="28"/>
          <w:lang w:val="uk-UA"/>
        </w:rPr>
        <w:t xml:space="preserve">. </w:t>
      </w:r>
      <w:r w:rsidRPr="00AE030D">
        <w:rPr>
          <w:sz w:val="28"/>
          <w:lang w:val="uk-UA"/>
        </w:rPr>
        <w:t>Хворі знаходились на обстеженні та лікуванні у</w:t>
      </w:r>
      <w:r>
        <w:rPr>
          <w:sz w:val="28"/>
          <w:lang w:val="uk-UA"/>
        </w:rPr>
        <w:t xml:space="preserve"> </w:t>
      </w:r>
      <w:r w:rsidRPr="00ED7209">
        <w:rPr>
          <w:sz w:val="28"/>
          <w:szCs w:val="28"/>
          <w:lang w:val="uk-UA"/>
        </w:rPr>
        <w:t>1 терапевтичн</w:t>
      </w:r>
      <w:r>
        <w:rPr>
          <w:sz w:val="28"/>
          <w:szCs w:val="28"/>
          <w:lang w:val="uk-UA"/>
        </w:rPr>
        <w:t>ому</w:t>
      </w:r>
      <w:r w:rsidRPr="00ED7209">
        <w:rPr>
          <w:sz w:val="28"/>
          <w:szCs w:val="28"/>
          <w:lang w:val="uk-UA"/>
        </w:rPr>
        <w:t xml:space="preserve"> відділенн</w:t>
      </w:r>
      <w:r>
        <w:rPr>
          <w:sz w:val="28"/>
          <w:szCs w:val="28"/>
          <w:lang w:val="uk-UA"/>
        </w:rPr>
        <w:t>і</w:t>
      </w:r>
      <w:r w:rsidRPr="00ED7209">
        <w:rPr>
          <w:sz w:val="28"/>
          <w:szCs w:val="28"/>
          <w:lang w:val="uk-UA"/>
        </w:rPr>
        <w:t xml:space="preserve"> </w:t>
      </w:r>
      <w:r>
        <w:rPr>
          <w:sz w:val="28"/>
          <w:szCs w:val="28"/>
          <w:lang w:val="uk-UA"/>
        </w:rPr>
        <w:t xml:space="preserve">з нефрологічними ліжками (20) </w:t>
      </w:r>
      <w:r w:rsidRPr="00ED7209">
        <w:rPr>
          <w:sz w:val="28"/>
          <w:szCs w:val="28"/>
          <w:lang w:val="uk-UA"/>
        </w:rPr>
        <w:t>Харківської міської клінічної лікарні швидкої та невідкладної медичної допомо</w:t>
      </w:r>
      <w:r>
        <w:rPr>
          <w:sz w:val="28"/>
          <w:szCs w:val="28"/>
          <w:lang w:val="uk-UA"/>
        </w:rPr>
        <w:t xml:space="preserve">ги №4 ім. проф. О.І. Мещанінова. </w:t>
      </w:r>
      <w:r w:rsidRPr="00AE030D">
        <w:rPr>
          <w:sz w:val="28"/>
          <w:lang w:val="uk-UA"/>
        </w:rPr>
        <w:t xml:space="preserve">Лабораторні дослідження були виконані в умовах клінічної лабораторії, інструментальні дослідження виконувалися в відділенні функціональної діагностики та в рентгенологічному відділенні </w:t>
      </w:r>
      <w:r w:rsidRPr="00ED7209">
        <w:rPr>
          <w:sz w:val="28"/>
          <w:szCs w:val="28"/>
          <w:lang w:val="uk-UA"/>
        </w:rPr>
        <w:t>лікарні швидкої та невідкладної медичної допомо</w:t>
      </w:r>
      <w:r>
        <w:rPr>
          <w:sz w:val="28"/>
          <w:szCs w:val="28"/>
          <w:lang w:val="uk-UA"/>
        </w:rPr>
        <w:t>ги №4</w:t>
      </w:r>
      <w:r w:rsidRPr="00AE030D">
        <w:rPr>
          <w:sz w:val="28"/>
          <w:lang w:val="uk-UA"/>
        </w:rPr>
        <w:t>.</w:t>
      </w:r>
    </w:p>
    <w:p w:rsidR="009144E7" w:rsidRDefault="009144E7" w:rsidP="009144E7">
      <w:pPr>
        <w:spacing w:after="0" w:line="360" w:lineRule="auto"/>
        <w:ind w:firstLine="709"/>
        <w:jc w:val="both"/>
        <w:rPr>
          <w:sz w:val="28"/>
          <w:lang w:val="uk-UA"/>
        </w:rPr>
      </w:pPr>
      <w:r>
        <w:rPr>
          <w:sz w:val="28"/>
          <w:lang w:val="uk-UA"/>
        </w:rPr>
        <w:t>Діагноз ХП верифікували на підставі наступних методів:</w:t>
      </w:r>
    </w:p>
    <w:p w:rsidR="009144E7" w:rsidRPr="00C35AA2" w:rsidRDefault="009144E7" w:rsidP="009144E7">
      <w:pPr>
        <w:spacing w:after="0" w:line="360" w:lineRule="auto"/>
        <w:ind w:firstLine="709"/>
        <w:jc w:val="both"/>
        <w:rPr>
          <w:rFonts w:cstheme="minorHAnsi"/>
          <w:sz w:val="28"/>
          <w:szCs w:val="28"/>
          <w:lang w:val="uk-UA"/>
        </w:rPr>
      </w:pPr>
      <w:r>
        <w:rPr>
          <w:rFonts w:cstheme="minorHAnsi"/>
          <w:sz w:val="28"/>
          <w:szCs w:val="28"/>
          <w:lang w:val="uk-UA"/>
        </w:rPr>
        <w:t xml:space="preserve">1. </w:t>
      </w:r>
      <w:r w:rsidRPr="00C35AA2">
        <w:rPr>
          <w:rFonts w:cstheme="minorHAnsi"/>
          <w:sz w:val="28"/>
          <w:szCs w:val="28"/>
          <w:lang w:val="uk-UA"/>
        </w:rPr>
        <w:t>Методи оцінки стану хворого і верифікації діагнозу</w:t>
      </w:r>
      <w:r>
        <w:rPr>
          <w:rFonts w:cstheme="minorHAnsi"/>
          <w:sz w:val="28"/>
          <w:szCs w:val="28"/>
          <w:lang w:val="uk-UA"/>
        </w:rPr>
        <w:t xml:space="preserve">: </w:t>
      </w:r>
      <w:r w:rsidRPr="00C35AA2">
        <w:rPr>
          <w:rFonts w:cstheme="minorHAnsi"/>
          <w:sz w:val="28"/>
          <w:szCs w:val="28"/>
          <w:lang w:val="uk-UA"/>
        </w:rPr>
        <w:t>сбір анамнезу, загальний огляд, лабораторні</w:t>
      </w:r>
      <w:r>
        <w:rPr>
          <w:rFonts w:cstheme="minorHAnsi"/>
          <w:sz w:val="28"/>
          <w:szCs w:val="28"/>
          <w:lang w:val="uk-UA"/>
        </w:rPr>
        <w:t xml:space="preserve"> дослідження включали клінічний аналіз крові та сечі, біохімічне дослідження крові – </w:t>
      </w:r>
      <w:r>
        <w:rPr>
          <w:rFonts w:ascii="Times New Roman" w:hAnsi="Times New Roman" w:cs="Times New Roman"/>
          <w:sz w:val="28"/>
          <w:szCs w:val="28"/>
          <w:lang w:val="uk-UA"/>
        </w:rPr>
        <w:t>з</w:t>
      </w:r>
      <w:r w:rsidRPr="002E4089">
        <w:rPr>
          <w:rFonts w:ascii="Times New Roman" w:hAnsi="Times New Roman" w:cs="Times New Roman"/>
          <w:sz w:val="28"/>
          <w:szCs w:val="28"/>
          <w:lang w:val="uk-UA"/>
        </w:rPr>
        <w:t xml:space="preserve">абір крові </w:t>
      </w:r>
      <w:r>
        <w:rPr>
          <w:rFonts w:ascii="Times New Roman" w:hAnsi="Times New Roman" w:cs="Times New Roman"/>
          <w:sz w:val="28"/>
          <w:szCs w:val="28"/>
          <w:lang w:val="uk-UA"/>
        </w:rPr>
        <w:t>проводився всім пацієнтам і</w:t>
      </w:r>
      <w:r w:rsidRPr="002E4089">
        <w:rPr>
          <w:rFonts w:ascii="Times New Roman" w:hAnsi="Times New Roman" w:cs="Times New Roman"/>
          <w:sz w:val="28"/>
          <w:szCs w:val="28"/>
          <w:lang w:val="uk-UA"/>
        </w:rPr>
        <w:t>з ліктьової вени у кількості 10 мл вранці натще (через 12 годи</w:t>
      </w:r>
      <w:r>
        <w:rPr>
          <w:rFonts w:ascii="Times New Roman" w:hAnsi="Times New Roman" w:cs="Times New Roman"/>
          <w:sz w:val="28"/>
          <w:szCs w:val="28"/>
          <w:lang w:val="uk-UA"/>
        </w:rPr>
        <w:t>н після останнього прийому їжі);</w:t>
      </w:r>
      <w:r>
        <w:rPr>
          <w:rFonts w:cstheme="minorHAnsi"/>
          <w:sz w:val="28"/>
          <w:szCs w:val="28"/>
          <w:lang w:val="uk-UA"/>
        </w:rPr>
        <w:t xml:space="preserve"> і інструментальні методи – ультразвукове дослідження нирок проводило</w:t>
      </w:r>
      <w:r w:rsidRPr="00C35AA2">
        <w:rPr>
          <w:rFonts w:cstheme="minorHAnsi"/>
          <w:sz w:val="28"/>
          <w:szCs w:val="28"/>
          <w:lang w:val="uk-UA"/>
        </w:rPr>
        <w:t xml:space="preserve">ся </w:t>
      </w:r>
      <w:r>
        <w:rPr>
          <w:rFonts w:cstheme="minorHAnsi"/>
          <w:sz w:val="28"/>
          <w:szCs w:val="28"/>
          <w:lang w:val="uk-UA"/>
        </w:rPr>
        <w:t>на апараті …</w:t>
      </w:r>
      <w:r w:rsidRPr="00C35AA2">
        <w:rPr>
          <w:rFonts w:cstheme="minorHAnsi"/>
          <w:sz w:val="28"/>
          <w:szCs w:val="28"/>
          <w:lang w:val="uk-UA"/>
        </w:rPr>
        <w:t>;</w:t>
      </w:r>
    </w:p>
    <w:p w:rsidR="009144E7" w:rsidRDefault="009144E7" w:rsidP="009144E7">
      <w:pPr>
        <w:spacing w:after="0" w:line="360" w:lineRule="auto"/>
        <w:ind w:firstLine="709"/>
        <w:jc w:val="both"/>
        <w:rPr>
          <w:rFonts w:cstheme="minorHAnsi"/>
          <w:sz w:val="28"/>
          <w:szCs w:val="28"/>
          <w:lang w:val="uk-UA"/>
        </w:rPr>
      </w:pPr>
      <w:r w:rsidRPr="00C35AA2">
        <w:rPr>
          <w:rFonts w:cstheme="minorHAnsi"/>
          <w:sz w:val="28"/>
          <w:szCs w:val="28"/>
          <w:lang w:val="uk-UA"/>
        </w:rPr>
        <w:t>2. Методи оцінки ефективності антибіотико-терапії вивчалися в динаміці клінічних симптомів і лабораторних показників</w:t>
      </w:r>
      <w:r>
        <w:rPr>
          <w:rFonts w:cstheme="minorHAnsi"/>
          <w:sz w:val="28"/>
          <w:szCs w:val="28"/>
          <w:lang w:val="uk-UA"/>
        </w:rPr>
        <w:t xml:space="preserve"> </w:t>
      </w:r>
      <w:r w:rsidRPr="006E3519">
        <w:rPr>
          <w:rFonts w:cstheme="minorHAnsi"/>
          <w:color w:val="000000" w:themeColor="text1"/>
          <w:sz w:val="28"/>
          <w:szCs w:val="28"/>
          <w:lang w:val="uk-UA"/>
        </w:rPr>
        <w:t>(</w:t>
      </w:r>
      <w:r>
        <w:rPr>
          <w:rFonts w:cstheme="minorHAnsi"/>
          <w:color w:val="000000" w:themeColor="text1"/>
          <w:sz w:val="28"/>
          <w:szCs w:val="28"/>
          <w:lang w:val="uk-UA"/>
        </w:rPr>
        <w:t>клінічного аналізу крові та сечі, біохімічного аналізу крові з визначенням концентрацій креатиніну, сечовини, загального білку</w:t>
      </w:r>
      <w:r w:rsidRPr="006E3519">
        <w:rPr>
          <w:rFonts w:cstheme="minorHAnsi"/>
          <w:color w:val="000000" w:themeColor="text1"/>
          <w:sz w:val="28"/>
          <w:szCs w:val="28"/>
          <w:lang w:val="uk-UA"/>
        </w:rPr>
        <w:t>)</w:t>
      </w:r>
      <w:r w:rsidRPr="00C35AA2">
        <w:rPr>
          <w:rFonts w:cstheme="minorHAnsi"/>
          <w:sz w:val="28"/>
          <w:szCs w:val="28"/>
          <w:lang w:val="uk-UA"/>
        </w:rPr>
        <w:t>;</w:t>
      </w:r>
    </w:p>
    <w:p w:rsidR="009144E7" w:rsidRDefault="009144E7" w:rsidP="009144E7">
      <w:pPr>
        <w:spacing w:after="0" w:line="360" w:lineRule="auto"/>
        <w:ind w:firstLine="709"/>
        <w:jc w:val="both"/>
        <w:rPr>
          <w:rFonts w:ascii="Times New Roman" w:hAnsi="Times New Roman" w:cs="Times New Roman"/>
          <w:sz w:val="28"/>
          <w:szCs w:val="28"/>
          <w:lang w:val="uk-UA"/>
        </w:rPr>
      </w:pPr>
      <w:r w:rsidRPr="00C35AA2">
        <w:rPr>
          <w:rFonts w:cstheme="minorHAnsi"/>
          <w:sz w:val="28"/>
          <w:szCs w:val="28"/>
          <w:lang w:val="uk-UA"/>
        </w:rPr>
        <w:t xml:space="preserve"> 3. Методи оцінки резистентності in vitro </w:t>
      </w:r>
      <w:r>
        <w:rPr>
          <w:rFonts w:cstheme="minorHAnsi"/>
          <w:sz w:val="28"/>
          <w:szCs w:val="28"/>
          <w:lang w:val="uk-UA"/>
        </w:rPr>
        <w:t>–</w:t>
      </w:r>
      <w:r w:rsidRPr="00C35AA2">
        <w:rPr>
          <w:rFonts w:cstheme="minorHAnsi"/>
          <w:sz w:val="28"/>
          <w:szCs w:val="28"/>
          <w:lang w:val="uk-UA"/>
        </w:rPr>
        <w:t xml:space="preserve"> </w:t>
      </w:r>
      <w:r>
        <w:rPr>
          <w:rFonts w:cstheme="minorHAnsi"/>
          <w:sz w:val="28"/>
          <w:szCs w:val="28"/>
          <w:lang w:val="uk-UA"/>
        </w:rPr>
        <w:t xml:space="preserve">бактеріологічне дослідження сечі з визначенням чутливості виділених збудників. </w:t>
      </w:r>
      <w:r w:rsidRPr="00AB304C">
        <w:rPr>
          <w:rFonts w:ascii="Times New Roman" w:hAnsi="Times New Roman" w:cs="Times New Roman"/>
          <w:sz w:val="28"/>
          <w:szCs w:val="28"/>
        </w:rPr>
        <w:t>Матер</w:t>
      </w:r>
      <w:r w:rsidRPr="00AB304C">
        <w:rPr>
          <w:rFonts w:ascii="Times New Roman" w:hAnsi="Times New Roman" w:cs="Times New Roman"/>
          <w:sz w:val="28"/>
          <w:szCs w:val="28"/>
          <w:lang w:val="uk-UA"/>
        </w:rPr>
        <w:t xml:space="preserve">іалом для мікробіологічного дослідження було </w:t>
      </w:r>
      <w:r w:rsidRPr="00AB304C">
        <w:rPr>
          <w:rFonts w:ascii="Times New Roman" w:hAnsi="Times New Roman" w:cs="Times New Roman"/>
          <w:sz w:val="28"/>
          <w:szCs w:val="28"/>
        </w:rPr>
        <w:t xml:space="preserve">3-5 мл </w:t>
      </w:r>
      <w:r w:rsidRPr="00AB304C">
        <w:rPr>
          <w:rFonts w:ascii="Times New Roman" w:hAnsi="Times New Roman" w:cs="Times New Roman"/>
          <w:sz w:val="28"/>
          <w:szCs w:val="28"/>
          <w:lang w:val="uk-UA"/>
        </w:rPr>
        <w:t>середн</w:t>
      </w:r>
      <w:r>
        <w:rPr>
          <w:rFonts w:ascii="Times New Roman" w:hAnsi="Times New Roman" w:cs="Times New Roman"/>
          <w:sz w:val="28"/>
          <w:szCs w:val="28"/>
          <w:lang w:val="uk-UA"/>
        </w:rPr>
        <w:t>ь</w:t>
      </w:r>
      <w:r w:rsidRPr="00AB304C">
        <w:rPr>
          <w:rFonts w:ascii="Times New Roman" w:hAnsi="Times New Roman" w:cs="Times New Roman"/>
          <w:sz w:val="28"/>
          <w:szCs w:val="28"/>
          <w:lang w:val="uk-UA"/>
        </w:rPr>
        <w:t>ої порції вільно випущеної у стерильний посуд сечі. Сечу збирали до початку антибіотикотерапії після ретельного туалету зовнішніх статевих органів.</w:t>
      </w:r>
      <w:r w:rsidRPr="00AB304C">
        <w:rPr>
          <w:rFonts w:ascii="Times New Roman" w:hAnsi="Times New Roman" w:cs="Times New Roman"/>
          <w:sz w:val="28"/>
          <w:szCs w:val="28"/>
        </w:rPr>
        <w:t xml:space="preserve"> </w:t>
      </w:r>
      <w:r w:rsidRPr="00AB304C">
        <w:rPr>
          <w:rFonts w:ascii="Times New Roman" w:hAnsi="Times New Roman" w:cs="Times New Roman"/>
          <w:sz w:val="28"/>
          <w:szCs w:val="28"/>
          <w:lang w:val="uk-UA"/>
        </w:rPr>
        <w:t>Доставку матеріалу для бактеріологічного дослідження здійснювали не пізніше 2-х годин від моменту збирання.</w:t>
      </w:r>
      <w:r>
        <w:rPr>
          <w:rFonts w:ascii="Times New Roman" w:hAnsi="Times New Roman" w:cs="Times New Roman"/>
          <w:sz w:val="28"/>
          <w:szCs w:val="28"/>
          <w:lang w:val="uk-UA"/>
        </w:rPr>
        <w:t xml:space="preserve"> </w:t>
      </w:r>
      <w:r w:rsidRPr="00AB304C">
        <w:rPr>
          <w:rFonts w:ascii="Times New Roman" w:hAnsi="Times New Roman" w:cs="Times New Roman"/>
          <w:sz w:val="28"/>
          <w:szCs w:val="28"/>
          <w:lang w:val="uk-UA"/>
        </w:rPr>
        <w:t>Мікробіологічні дослідження проводили у відповідності до діючих нормативних документів класичними бактеріологічними методами [</w:t>
      </w:r>
      <w:r w:rsidRPr="00F96AB8">
        <w:rPr>
          <w:sz w:val="28"/>
          <w:szCs w:val="28"/>
        </w:rPr>
        <w:t>Приказ №</w:t>
      </w:r>
      <w:r>
        <w:rPr>
          <w:sz w:val="28"/>
          <w:szCs w:val="28"/>
          <w:lang w:val="uk-UA"/>
        </w:rPr>
        <w:t xml:space="preserve"> </w:t>
      </w:r>
      <w:r w:rsidRPr="00F96AB8">
        <w:rPr>
          <w:sz w:val="28"/>
          <w:szCs w:val="28"/>
        </w:rPr>
        <w:t xml:space="preserve">535 ”Об унификации </w:t>
      </w:r>
      <w:r w:rsidRPr="00F96AB8">
        <w:rPr>
          <w:sz w:val="28"/>
          <w:szCs w:val="28"/>
        </w:rPr>
        <w:lastRenderedPageBreak/>
        <w:t>микробиологических (бактериологических) методов исследования, применяемых в клинико-диагностических лабораториях лечебно-профилактических учреждений” МЗ СССР от 22.04.1985 г. – 123 с.</w:t>
      </w:r>
      <w:r w:rsidRPr="00AB304C">
        <w:rPr>
          <w:rFonts w:ascii="Times New Roman" w:hAnsi="Times New Roman" w:cs="Times New Roman"/>
          <w:sz w:val="28"/>
          <w:szCs w:val="28"/>
          <w:lang w:val="uk-UA"/>
        </w:rPr>
        <w:t xml:space="preserve">]. Кількісне визначення бактерій у 1 мл сечі (ступінь бактеріурії) проводили шляхом висіву матеріалу на 5 % кров’яний агар за методом </w:t>
      </w:r>
      <w:r w:rsidRPr="00AB304C">
        <w:rPr>
          <w:rFonts w:ascii="Times New Roman" w:hAnsi="Times New Roman" w:cs="Times New Roman"/>
          <w:sz w:val="28"/>
          <w:szCs w:val="28"/>
        </w:rPr>
        <w:t>Gould (1965).</w:t>
      </w:r>
      <w:r w:rsidRPr="00AB304C">
        <w:rPr>
          <w:rFonts w:ascii="Times New Roman" w:hAnsi="Times New Roman" w:cs="Times New Roman"/>
          <w:sz w:val="28"/>
          <w:szCs w:val="28"/>
          <w:lang w:val="uk-UA"/>
        </w:rPr>
        <w:t xml:space="preserve"> Також для висіву </w:t>
      </w:r>
      <w:r w:rsidRPr="004D14A0">
        <w:rPr>
          <w:rFonts w:ascii="Times New Roman" w:hAnsi="Times New Roman" w:cs="Times New Roman"/>
          <w:sz w:val="28"/>
          <w:szCs w:val="28"/>
          <w:lang w:val="uk-UA"/>
        </w:rPr>
        <w:t xml:space="preserve">використовували </w:t>
      </w:r>
      <w:r w:rsidRPr="00FC1055">
        <w:rPr>
          <w:rFonts w:ascii="Times New Roman" w:eastAsia="ArialMT" w:hAnsi="Times New Roman" w:cs="Times New Roman"/>
          <w:color w:val="000000" w:themeColor="text1"/>
          <w:sz w:val="28"/>
          <w:szCs w:val="28"/>
          <w:lang w:val="uk-UA"/>
        </w:rPr>
        <w:t xml:space="preserve">хромогенний агар </w:t>
      </w:r>
      <w:r w:rsidRPr="00FC1055">
        <w:rPr>
          <w:rFonts w:ascii="Times New Roman" w:eastAsia="ArialMT" w:hAnsi="Times New Roman" w:cs="Times New Roman"/>
          <w:color w:val="000000" w:themeColor="text1"/>
          <w:sz w:val="28"/>
          <w:szCs w:val="28"/>
        </w:rPr>
        <w:t>ChromID</w:t>
      </w:r>
      <w:r w:rsidRPr="00FC1055">
        <w:rPr>
          <w:rFonts w:ascii="Times New Roman" w:eastAsia="ArialMT" w:hAnsi="Times New Roman" w:cs="Times New Roman"/>
          <w:color w:val="000000" w:themeColor="text1"/>
          <w:sz w:val="28"/>
          <w:szCs w:val="28"/>
          <w:lang w:val="uk-UA"/>
        </w:rPr>
        <w:t xml:space="preserve"> </w:t>
      </w:r>
      <w:r w:rsidRPr="00FC1055">
        <w:rPr>
          <w:rFonts w:ascii="Times New Roman" w:eastAsia="ArialMT" w:hAnsi="Times New Roman" w:cs="Times New Roman"/>
          <w:color w:val="000000" w:themeColor="text1"/>
          <w:sz w:val="28"/>
          <w:szCs w:val="28"/>
        </w:rPr>
        <w:t>CPS</w:t>
      </w:r>
      <w:r w:rsidRPr="00FC1055">
        <w:rPr>
          <w:rFonts w:ascii="Times New Roman" w:eastAsia="ArialMT" w:hAnsi="Times New Roman" w:cs="Times New Roman"/>
          <w:color w:val="000000" w:themeColor="text1"/>
          <w:sz w:val="28"/>
          <w:szCs w:val="28"/>
          <w:lang w:val="uk-UA"/>
        </w:rPr>
        <w:t xml:space="preserve"> (</w:t>
      </w:r>
      <w:r w:rsidRPr="00FC1055">
        <w:rPr>
          <w:rFonts w:ascii="Times New Roman" w:hAnsi="Times New Roman" w:cs="Times New Roman"/>
          <w:color w:val="000000" w:themeColor="text1"/>
          <w:sz w:val="28"/>
          <w:szCs w:val="28"/>
          <w:lang w:val="en-US"/>
        </w:rPr>
        <w:t>bioMerieux</w:t>
      </w:r>
      <w:r w:rsidRPr="00FC1055">
        <w:rPr>
          <w:rFonts w:ascii="Times New Roman" w:hAnsi="Times New Roman" w:cs="Times New Roman"/>
          <w:color w:val="000000" w:themeColor="text1"/>
          <w:sz w:val="28"/>
          <w:szCs w:val="28"/>
          <w:lang w:val="uk-UA"/>
        </w:rPr>
        <w:t>, Франція)</w:t>
      </w:r>
      <w:r w:rsidRPr="00FC1055">
        <w:rPr>
          <w:rFonts w:ascii="Times New Roman" w:eastAsia="ArialMT" w:hAnsi="Times New Roman" w:cs="Times New Roman"/>
          <w:color w:val="000000" w:themeColor="text1"/>
          <w:sz w:val="28"/>
          <w:szCs w:val="28"/>
          <w:lang w:val="uk-UA"/>
        </w:rPr>
        <w:t xml:space="preserve"> для вилучення та прямої ідентифікації </w:t>
      </w:r>
      <w:r w:rsidRPr="00FC1055">
        <w:rPr>
          <w:rFonts w:ascii="Times New Roman" w:eastAsia="Arial-ItalicMT" w:hAnsi="Times New Roman" w:cs="Times New Roman"/>
          <w:i/>
          <w:iCs/>
          <w:color w:val="000000" w:themeColor="text1"/>
          <w:sz w:val="28"/>
          <w:szCs w:val="28"/>
          <w:lang w:val="en-US"/>
        </w:rPr>
        <w:t>Escerichia</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coli</w:t>
      </w:r>
      <w:r w:rsidRPr="00FC1055">
        <w:rPr>
          <w:rFonts w:ascii="Times New Roman" w:eastAsia="ArialMT" w:hAnsi="Times New Roman" w:cs="Times New Roman"/>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Enterococcus</w:t>
      </w:r>
      <w:r w:rsidRPr="00FC1055">
        <w:rPr>
          <w:rFonts w:ascii="Times New Roman" w:eastAsia="Arial-ItalicMT" w:hAnsi="Times New Roman" w:cs="Times New Roman"/>
          <w:i/>
          <w:iCs/>
          <w:color w:val="000000" w:themeColor="text1"/>
          <w:sz w:val="28"/>
          <w:szCs w:val="28"/>
          <w:lang w:val="uk-UA"/>
        </w:rPr>
        <w:t xml:space="preserve"> spp</w:t>
      </w:r>
      <w:r w:rsidRPr="00FC1055">
        <w:rPr>
          <w:rFonts w:ascii="Times New Roman" w:eastAsia="ArialMT" w:hAnsi="Times New Roman" w:cs="Times New Roman"/>
          <w:color w:val="000000" w:themeColor="text1"/>
          <w:sz w:val="28"/>
          <w:szCs w:val="28"/>
          <w:lang w:val="uk-UA"/>
        </w:rPr>
        <w:t xml:space="preserve">, бактерій групи </w:t>
      </w:r>
      <w:r w:rsidRPr="00FC1055">
        <w:rPr>
          <w:rFonts w:ascii="Times New Roman" w:eastAsia="ArialMT" w:hAnsi="Times New Roman" w:cs="Times New Roman"/>
          <w:color w:val="000000" w:themeColor="text1"/>
          <w:sz w:val="28"/>
          <w:szCs w:val="28"/>
          <w:lang w:val="en-US"/>
        </w:rPr>
        <w:t>KESC</w:t>
      </w:r>
      <w:r w:rsidRPr="00FC1055">
        <w:rPr>
          <w:rFonts w:ascii="Times New Roman" w:eastAsia="ArialMT" w:hAnsi="Times New Roman" w:cs="Times New Roman"/>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Klebsiella</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spp</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Enterobacter</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spp</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Serratia</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spp</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Citrobacter</w:t>
      </w:r>
      <w:r w:rsidRPr="00FC1055">
        <w:rPr>
          <w:rFonts w:ascii="Times New Roman" w:eastAsia="Arial-ItalicMT" w:hAnsi="Times New Roman" w:cs="Times New Roman"/>
          <w:i/>
          <w:iCs/>
          <w:color w:val="000000" w:themeColor="text1"/>
          <w:sz w:val="28"/>
          <w:szCs w:val="28"/>
          <w:lang w:val="uk-UA"/>
        </w:rPr>
        <w:t xml:space="preserve"> </w:t>
      </w:r>
      <w:r w:rsidRPr="00FC1055">
        <w:rPr>
          <w:rFonts w:ascii="Times New Roman" w:eastAsia="Arial-ItalicMT" w:hAnsi="Times New Roman" w:cs="Times New Roman"/>
          <w:i/>
          <w:iCs/>
          <w:color w:val="000000" w:themeColor="text1"/>
          <w:sz w:val="28"/>
          <w:szCs w:val="28"/>
          <w:lang w:val="en-US"/>
        </w:rPr>
        <w:t>spp</w:t>
      </w:r>
      <w:r w:rsidRPr="00FC1055">
        <w:rPr>
          <w:rFonts w:ascii="Times New Roman" w:eastAsia="ArialMT" w:hAnsi="Times New Roman" w:cs="Times New Roman"/>
          <w:color w:val="000000" w:themeColor="text1"/>
          <w:sz w:val="28"/>
          <w:szCs w:val="28"/>
          <w:lang w:val="uk-UA"/>
        </w:rPr>
        <w:t xml:space="preserve">) та </w:t>
      </w:r>
      <w:r w:rsidRPr="00FC1055">
        <w:rPr>
          <w:rFonts w:ascii="Times New Roman" w:eastAsia="ArialMT" w:hAnsi="Times New Roman" w:cs="Times New Roman"/>
          <w:i/>
          <w:iCs/>
          <w:color w:val="000000" w:themeColor="text1"/>
          <w:sz w:val="28"/>
          <w:szCs w:val="28"/>
        </w:rPr>
        <w:t>Prote</w:t>
      </w:r>
      <w:r w:rsidRPr="00FC1055">
        <w:rPr>
          <w:rFonts w:ascii="Times New Roman" w:eastAsia="ArialMT" w:hAnsi="Times New Roman" w:cs="Times New Roman"/>
          <w:i/>
          <w:iCs/>
          <w:color w:val="000000" w:themeColor="text1"/>
          <w:sz w:val="28"/>
          <w:szCs w:val="28"/>
          <w:lang w:val="en-US"/>
        </w:rPr>
        <w:t>us</w:t>
      </w:r>
      <w:r w:rsidRPr="00FC1055">
        <w:rPr>
          <w:rFonts w:ascii="Times New Roman" w:eastAsia="ArialMT" w:hAnsi="Times New Roman" w:cs="Times New Roman"/>
          <w:i/>
          <w:iCs/>
          <w:color w:val="000000" w:themeColor="text1"/>
          <w:sz w:val="28"/>
          <w:szCs w:val="28"/>
          <w:lang w:val="uk-UA"/>
        </w:rPr>
        <w:t xml:space="preserve"> </w:t>
      </w:r>
      <w:r w:rsidRPr="00FC1055">
        <w:rPr>
          <w:rFonts w:ascii="Times New Roman" w:eastAsia="ArialMT" w:hAnsi="Times New Roman" w:cs="Times New Roman"/>
          <w:i/>
          <w:iCs/>
          <w:color w:val="000000" w:themeColor="text1"/>
          <w:sz w:val="28"/>
          <w:szCs w:val="28"/>
          <w:lang w:val="en-US"/>
        </w:rPr>
        <w:t>spp</w:t>
      </w:r>
      <w:r w:rsidRPr="00FC1055">
        <w:rPr>
          <w:rFonts w:ascii="Times New Roman" w:eastAsia="ArialMT" w:hAnsi="Times New Roman" w:cs="Times New Roman"/>
          <w:color w:val="000000" w:themeColor="text1"/>
          <w:sz w:val="28"/>
          <w:szCs w:val="28"/>
          <w:lang w:val="uk-UA"/>
        </w:rPr>
        <w:t xml:space="preserve">. Ідентифікацію інших видів бактерій здійснювали </w:t>
      </w:r>
      <w:r w:rsidRPr="00FC1055">
        <w:rPr>
          <w:rFonts w:ascii="Times New Roman" w:hAnsi="Times New Roman" w:cs="Times New Roman"/>
          <w:color w:val="000000" w:themeColor="text1"/>
          <w:sz w:val="28"/>
          <w:szCs w:val="28"/>
          <w:lang w:val="uk-UA"/>
        </w:rPr>
        <w:t>за морфологічними, культуральними, біохімічними ознаками згідно з „Визначником бактерій Берджі”, 1997.</w:t>
      </w:r>
      <w:r>
        <w:rPr>
          <w:rFonts w:ascii="Times New Roman" w:hAnsi="Times New Roman" w:cs="Times New Roman"/>
          <w:sz w:val="28"/>
          <w:szCs w:val="28"/>
          <w:lang w:val="uk-UA"/>
        </w:rPr>
        <w:t xml:space="preserve"> Для оцінки молекулярно-генетичних характеристик вилучених із сечі штамів використовували добові агарові культури. Для цього чисту бактеріальну культуру, вирощену 18-</w:t>
      </w:r>
      <w:r w:rsidRPr="00141FC8">
        <w:rPr>
          <w:rFonts w:ascii="Times New Roman" w:hAnsi="Times New Roman" w:cs="Times New Roman"/>
          <w:sz w:val="28"/>
          <w:szCs w:val="28"/>
          <w:lang w:val="uk-UA"/>
        </w:rPr>
        <w:t xml:space="preserve">20 годин на поживному агарі, суспендували у буферному розчині рН 7,0-7,2 до оптичної щільності 3 одиниці за шкалою </w:t>
      </w:r>
      <w:r w:rsidRPr="00141FC8">
        <w:rPr>
          <w:rFonts w:ascii="Times New Roman" w:hAnsi="Times New Roman" w:cs="Times New Roman"/>
          <w:sz w:val="28"/>
          <w:szCs w:val="28"/>
          <w:lang w:val="en-US"/>
        </w:rPr>
        <w:t>McFarland</w:t>
      </w:r>
      <w:r w:rsidRPr="00141FC8">
        <w:rPr>
          <w:rFonts w:ascii="Times New Roman" w:hAnsi="Times New Roman" w:cs="Times New Roman"/>
          <w:sz w:val="28"/>
          <w:szCs w:val="28"/>
          <w:lang w:val="uk-UA"/>
        </w:rPr>
        <w:t xml:space="preserve">. Визначення оптичної щільності бактеріальних суспензій проводили за допомогою денситометру (DENSIMAT, </w:t>
      </w:r>
      <w:r w:rsidRPr="00141FC8">
        <w:rPr>
          <w:rFonts w:ascii="Times New Roman" w:hAnsi="Times New Roman" w:cs="Times New Roman"/>
          <w:sz w:val="28"/>
          <w:szCs w:val="28"/>
          <w:lang w:val="en-US"/>
        </w:rPr>
        <w:t>bioMerieux</w:t>
      </w:r>
      <w:r w:rsidRPr="00141FC8">
        <w:rPr>
          <w:rFonts w:ascii="Times New Roman" w:hAnsi="Times New Roman" w:cs="Times New Roman"/>
          <w:sz w:val="28"/>
          <w:szCs w:val="28"/>
          <w:lang w:val="uk-UA"/>
        </w:rPr>
        <w:t>, Франція)</w:t>
      </w:r>
      <w:r>
        <w:rPr>
          <w:rFonts w:ascii="Times New Roman" w:hAnsi="Times New Roman" w:cs="Times New Roman"/>
          <w:sz w:val="28"/>
          <w:szCs w:val="28"/>
          <w:lang w:val="uk-UA"/>
        </w:rPr>
        <w:t>.</w:t>
      </w:r>
    </w:p>
    <w:p w:rsidR="009144E7" w:rsidRPr="008C3176" w:rsidRDefault="009144E7" w:rsidP="009144E7">
      <w:pPr>
        <w:spacing w:after="0" w:line="360" w:lineRule="auto"/>
        <w:ind w:firstLine="709"/>
        <w:jc w:val="both"/>
        <w:rPr>
          <w:rFonts w:ascii="Times New Roman" w:hAnsi="Times New Roman" w:cs="Times New Roman"/>
          <w:sz w:val="28"/>
          <w:szCs w:val="28"/>
          <w:lang w:val="uk-UA"/>
        </w:rPr>
      </w:pPr>
      <w:r w:rsidRPr="008C3176">
        <w:rPr>
          <w:sz w:val="28"/>
          <w:szCs w:val="28"/>
          <w:lang w:val="uk-UA"/>
        </w:rPr>
        <w:t xml:space="preserve">Визначення чутливості </w:t>
      </w:r>
      <w:r>
        <w:rPr>
          <w:sz w:val="28"/>
          <w:szCs w:val="28"/>
          <w:lang w:val="uk-UA"/>
        </w:rPr>
        <w:t xml:space="preserve">вилучених із сечі </w:t>
      </w:r>
      <w:r w:rsidRPr="008C3176">
        <w:rPr>
          <w:sz w:val="28"/>
          <w:szCs w:val="28"/>
          <w:lang w:val="uk-UA"/>
        </w:rPr>
        <w:t xml:space="preserve">культур </w:t>
      </w:r>
      <w:r>
        <w:rPr>
          <w:sz w:val="28"/>
          <w:szCs w:val="28"/>
          <w:lang w:val="uk-UA"/>
        </w:rPr>
        <w:t xml:space="preserve">мікроорганізмів </w:t>
      </w:r>
      <w:r w:rsidRPr="008C3176">
        <w:rPr>
          <w:sz w:val="28"/>
          <w:szCs w:val="28"/>
          <w:lang w:val="uk-UA"/>
        </w:rPr>
        <w:t xml:space="preserve">до </w:t>
      </w:r>
      <w:r>
        <w:rPr>
          <w:sz w:val="28"/>
          <w:szCs w:val="28"/>
          <w:lang w:val="uk-UA"/>
        </w:rPr>
        <w:t xml:space="preserve">протимікробних препаратів </w:t>
      </w:r>
      <w:r w:rsidRPr="008C3176">
        <w:rPr>
          <w:sz w:val="28"/>
          <w:szCs w:val="28"/>
          <w:lang w:val="uk-UA"/>
        </w:rPr>
        <w:t xml:space="preserve">проводили </w:t>
      </w:r>
      <w:r>
        <w:rPr>
          <w:sz w:val="28"/>
          <w:szCs w:val="28"/>
          <w:lang w:val="uk-UA"/>
        </w:rPr>
        <w:t xml:space="preserve">диско-дифузійним методом </w:t>
      </w:r>
      <w:r>
        <w:rPr>
          <w:sz w:val="28"/>
          <w:szCs w:val="28"/>
          <w:lang w:val="en-US"/>
        </w:rPr>
        <w:t>Bauer</w:t>
      </w:r>
      <w:r>
        <w:rPr>
          <w:sz w:val="28"/>
          <w:szCs w:val="28"/>
          <w:lang w:val="uk-UA"/>
        </w:rPr>
        <w:t>-</w:t>
      </w:r>
      <w:r>
        <w:rPr>
          <w:sz w:val="28"/>
          <w:szCs w:val="28"/>
          <w:lang w:val="en-US"/>
        </w:rPr>
        <w:t>Kirbi</w:t>
      </w:r>
      <w:r>
        <w:rPr>
          <w:sz w:val="28"/>
          <w:szCs w:val="28"/>
          <w:lang w:val="uk-UA"/>
        </w:rPr>
        <w:t xml:space="preserve"> на середовищі Хінтон-Мюллера з використанням готових комерційних дисків відповідно до діючих нормативних документів. Облік результатів проводили шляхом</w:t>
      </w:r>
      <w:r>
        <w:rPr>
          <w:sz w:val="28"/>
          <w:szCs w:val="28"/>
        </w:rPr>
        <w:t xml:space="preserve"> виміру зон затримки росту мікроорганізмів навколо дисків, включаючи діаметр самого диска.</w:t>
      </w:r>
      <w:r>
        <w:rPr>
          <w:sz w:val="28"/>
          <w:szCs w:val="28"/>
          <w:lang w:val="uk-UA"/>
        </w:rPr>
        <w:t xml:space="preserve"> Результати дослідження антибіотикочутливості мікроорганізмів інтерпретували у відповідності з Наказом МОЗ України</w:t>
      </w:r>
      <w:r>
        <w:rPr>
          <w:szCs w:val="28"/>
          <w:lang w:val="uk-UA"/>
        </w:rPr>
        <w:t xml:space="preserve"> </w:t>
      </w:r>
      <w:r>
        <w:rPr>
          <w:sz w:val="28"/>
          <w:szCs w:val="28"/>
          <w:lang w:val="uk-UA"/>
        </w:rPr>
        <w:t>№167 [</w:t>
      </w:r>
      <w:r w:rsidRPr="008C3176">
        <w:rPr>
          <w:color w:val="000000" w:themeColor="text1"/>
          <w:sz w:val="28"/>
          <w:szCs w:val="28"/>
          <w:lang w:val="uk-UA"/>
        </w:rPr>
        <w:t>Визначення чутливості мікроорганізмів до антибактеріальних препаратів : Наказ. – [Чинний від 2007-04-05]. – К. : МОЗ України, 2007. – 78 с. – (Нормативний документ МОЗ України. Вказівки, Наказ).</w:t>
      </w:r>
      <w:r w:rsidRPr="008C3176">
        <w:rPr>
          <w:sz w:val="28"/>
          <w:szCs w:val="28"/>
          <w:lang w:val="uk-UA"/>
        </w:rPr>
        <w:t>].</w:t>
      </w:r>
      <w:r>
        <w:rPr>
          <w:sz w:val="28"/>
          <w:szCs w:val="28"/>
          <w:lang w:val="uk-UA"/>
        </w:rPr>
        <w:t xml:space="preserve"> Оцінку результатів проводили за таблицями, що містять граничні значення діаметрів зон затримки росту для стійких, помірно-стійких і чутливих штамів. Отримані значення діаметрів зон затримки росту </w:t>
      </w:r>
      <w:r>
        <w:rPr>
          <w:sz w:val="28"/>
          <w:szCs w:val="28"/>
          <w:lang w:val="uk-UA"/>
        </w:rPr>
        <w:lastRenderedPageBreak/>
        <w:t>порівнювали з граничними значеннями таблиць і відносили досліджувані штами до однієї з трьох категорій чутливості.</w:t>
      </w:r>
    </w:p>
    <w:p w:rsidR="009144E7" w:rsidRDefault="009144E7" w:rsidP="009144E7">
      <w:pPr>
        <w:spacing w:after="0" w:line="360" w:lineRule="auto"/>
        <w:ind w:firstLine="709"/>
        <w:jc w:val="both"/>
        <w:rPr>
          <w:sz w:val="28"/>
          <w:lang w:val="uk-UA"/>
        </w:rPr>
      </w:pPr>
      <w:r w:rsidRPr="00AE030D">
        <w:rPr>
          <w:sz w:val="28"/>
          <w:lang w:val="uk-UA"/>
        </w:rPr>
        <w:t xml:space="preserve">Крім загальноприйнятих методів обстеження в процесі виконання роботи </w:t>
      </w:r>
      <w:r w:rsidRPr="0045169D">
        <w:rPr>
          <w:sz w:val="28"/>
          <w:lang w:val="uk-UA"/>
        </w:rPr>
        <w:t>ми проводили діагностику плазм</w:t>
      </w:r>
      <w:r>
        <w:rPr>
          <w:sz w:val="28"/>
          <w:lang w:val="uk-UA"/>
        </w:rPr>
        <w:t>і</w:t>
      </w:r>
      <w:r w:rsidRPr="0045169D">
        <w:rPr>
          <w:sz w:val="28"/>
          <w:lang w:val="uk-UA"/>
        </w:rPr>
        <w:t xml:space="preserve">д-індукованих генних механізмів резистентності </w:t>
      </w:r>
      <w:r>
        <w:rPr>
          <w:sz w:val="28"/>
          <w:lang w:val="uk-UA"/>
        </w:rPr>
        <w:t xml:space="preserve">методом полімеразної ланцюжкової реакції </w:t>
      </w:r>
      <w:r w:rsidRPr="0045169D">
        <w:rPr>
          <w:sz w:val="28"/>
          <w:lang w:val="uk-UA"/>
        </w:rPr>
        <w:t>в лабораторії Вірола.</w:t>
      </w:r>
    </w:p>
    <w:p w:rsidR="009144E7" w:rsidRPr="00943858" w:rsidRDefault="009144E7" w:rsidP="009144E7">
      <w:pPr>
        <w:spacing w:after="0" w:line="360" w:lineRule="auto"/>
        <w:ind w:firstLine="709"/>
        <w:jc w:val="both"/>
        <w:rPr>
          <w:b/>
          <w:sz w:val="28"/>
          <w:lang w:val="uk-UA"/>
        </w:rPr>
      </w:pPr>
      <w:r w:rsidRPr="00943858">
        <w:rPr>
          <w:b/>
          <w:sz w:val="28"/>
          <w:lang w:val="uk-UA"/>
        </w:rPr>
        <w:t xml:space="preserve">Визначення та ідентифікація плазмід-індукованих генних механізмів резистентності. </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Для отримання ДНК використовували наступний метод виділення ДНК (</w:t>
      </w:r>
      <w:r w:rsidRPr="005273E4">
        <w:rPr>
          <w:rFonts w:ascii="Times New Roman" w:hAnsi="Times New Roman"/>
          <w:bCs/>
          <w:color w:val="000000" w:themeColor="text1"/>
          <w:sz w:val="28"/>
          <w:szCs w:val="28"/>
          <w:lang w:val="en-US"/>
        </w:rPr>
        <w:t>MolecularCloning</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A</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Laboratory</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Manual</w:t>
      </w:r>
      <w:r w:rsidRPr="005273E4">
        <w:rPr>
          <w:rFonts w:ascii="Times New Roman" w:hAnsi="Times New Roman"/>
          <w:color w:val="000000" w:themeColor="text1"/>
          <w:sz w:val="28"/>
          <w:szCs w:val="28"/>
          <w:lang w:val="uk-UA"/>
        </w:rPr>
        <w:t>, (</w:t>
      </w:r>
      <w:r w:rsidRPr="005273E4">
        <w:rPr>
          <w:rFonts w:ascii="Times New Roman" w:hAnsi="Times New Roman"/>
          <w:bCs/>
          <w:color w:val="000000" w:themeColor="text1"/>
          <w:sz w:val="28"/>
          <w:szCs w:val="28"/>
          <w:lang w:val="uk-UA"/>
        </w:rPr>
        <w:t>1989</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Second</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Edition</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Sambrook</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J</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Fritsch</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E</w:t>
      </w:r>
      <w:r w:rsidRPr="005273E4">
        <w:rPr>
          <w:rFonts w:ascii="Times New Roman" w:hAnsi="Times New Roman"/>
          <w:color w:val="000000" w:themeColor="text1"/>
          <w:sz w:val="28"/>
          <w:szCs w:val="28"/>
          <w:lang w:val="uk-UA"/>
        </w:rPr>
        <w:t>.</w:t>
      </w:r>
      <w:r w:rsidRPr="005273E4">
        <w:rPr>
          <w:rFonts w:ascii="Times New Roman" w:hAnsi="Times New Roman"/>
          <w:color w:val="000000" w:themeColor="text1"/>
          <w:sz w:val="28"/>
          <w:szCs w:val="28"/>
          <w:lang w:val="en-US"/>
        </w:rPr>
        <w:t>F</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and</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Maniatis</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T</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eds</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ColdSpringHarborLaboratoryPress</w:t>
      </w:r>
      <w:r w:rsidRPr="005273E4">
        <w:rPr>
          <w:rFonts w:ascii="Times New Roman" w:hAnsi="Times New Roman"/>
          <w:color w:val="000000" w:themeColor="text1"/>
          <w:sz w:val="28"/>
          <w:szCs w:val="28"/>
          <w:lang w:val="uk-UA"/>
        </w:rPr>
        <w:t xml:space="preserve">, </w:t>
      </w:r>
      <w:r w:rsidRPr="005273E4">
        <w:rPr>
          <w:rFonts w:ascii="Times New Roman" w:hAnsi="Times New Roman"/>
          <w:bCs/>
          <w:color w:val="000000" w:themeColor="text1"/>
          <w:sz w:val="28"/>
          <w:szCs w:val="28"/>
          <w:lang w:val="en-US"/>
        </w:rPr>
        <w:t>ColdSpringHarbor</w:t>
      </w:r>
      <w:r w:rsidRPr="005273E4">
        <w:rPr>
          <w:rFonts w:ascii="Times New Roman" w:hAnsi="Times New Roman"/>
          <w:color w:val="000000" w:themeColor="text1"/>
          <w:sz w:val="28"/>
          <w:szCs w:val="28"/>
          <w:lang w:val="uk-UA"/>
        </w:rPr>
        <w:t xml:space="preserve">, </w:t>
      </w:r>
      <w:r w:rsidRPr="005273E4">
        <w:rPr>
          <w:rFonts w:ascii="Times New Roman" w:hAnsi="Times New Roman"/>
          <w:color w:val="000000" w:themeColor="text1"/>
          <w:sz w:val="28"/>
          <w:szCs w:val="28"/>
          <w:lang w:val="en-US"/>
        </w:rPr>
        <w:t>NY</w:t>
      </w:r>
      <w:r w:rsidRPr="005273E4">
        <w:rPr>
          <w:rFonts w:ascii="Times New Roman" w:hAnsi="Times New Roman"/>
          <w:color w:val="000000" w:themeColor="text1"/>
          <w:sz w:val="28"/>
          <w:szCs w:val="28"/>
          <w:lang w:val="uk-UA"/>
        </w:rPr>
        <w:t>.</w:t>
      </w:r>
      <w:r w:rsidRPr="005273E4">
        <w:rPr>
          <w:rFonts w:cstheme="minorHAnsi"/>
          <w:sz w:val="28"/>
          <w:szCs w:val="28"/>
          <w:lang w:val="uk-UA"/>
        </w:rPr>
        <w:t>):</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1. Зразки інкубували при 95 ° С в 0,2 М NaOH 15</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2. Додавали протеїназу К до концентрації 50 мкг / мл і SDS до 0,5%. Інкубували 12 годин при 37оС.</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3. Доводили об'єм зразка до 5 мл розчином 10 мМтріс-ЕДТА, рН 8,0 і послідовно проводили екстракцію ДНК рівними обсягами фенолу, суміші фенол-хлороформ і хлороформом.</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4. До зразк</w:t>
      </w:r>
      <w:r>
        <w:rPr>
          <w:rFonts w:cstheme="minorHAnsi"/>
          <w:sz w:val="28"/>
          <w:szCs w:val="28"/>
          <w:lang w:val="uk-UA"/>
        </w:rPr>
        <w:t>у</w:t>
      </w:r>
      <w:r w:rsidRPr="005273E4">
        <w:rPr>
          <w:rFonts w:cstheme="minorHAnsi"/>
          <w:sz w:val="28"/>
          <w:szCs w:val="28"/>
          <w:lang w:val="uk-UA"/>
        </w:rPr>
        <w:t xml:space="preserve"> додавали 1/10 обсягу 5М ацетату натрію, рН 5,3, перемішували і облягали ДНК 2,5 обсягами холодного 96% етанолу, витримуючи зразок 30 хв. при температурі - 70</w:t>
      </w:r>
      <w:r w:rsidRPr="005273E4">
        <w:rPr>
          <w:rFonts w:cstheme="minorHAnsi"/>
          <w:sz w:val="28"/>
          <w:szCs w:val="28"/>
          <w:vertAlign w:val="superscript"/>
          <w:lang w:val="uk-UA"/>
        </w:rPr>
        <w:t>о</w:t>
      </w:r>
      <w:r w:rsidRPr="005273E4">
        <w:rPr>
          <w:rFonts w:cstheme="minorHAnsi"/>
          <w:sz w:val="28"/>
          <w:szCs w:val="28"/>
          <w:lang w:val="uk-UA"/>
        </w:rPr>
        <w:t>С.</w:t>
      </w:r>
    </w:p>
    <w:p w:rsidR="009144E7" w:rsidRPr="005273E4"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5. Пробу центрифуг</w:t>
      </w:r>
      <w:r>
        <w:rPr>
          <w:rFonts w:cstheme="minorHAnsi"/>
          <w:sz w:val="28"/>
          <w:szCs w:val="28"/>
          <w:lang w:val="uk-UA"/>
        </w:rPr>
        <w:t>іру</w:t>
      </w:r>
      <w:r w:rsidRPr="005273E4">
        <w:rPr>
          <w:rFonts w:cstheme="minorHAnsi"/>
          <w:sz w:val="28"/>
          <w:szCs w:val="28"/>
          <w:lang w:val="uk-UA"/>
        </w:rPr>
        <w:t>вали 15 хв з прискоренням 12000g. Висушували осад ДНК на повітрі і розчиняли в 200 мкл10 мМтріс-ЕДТА, рН 8.0.</w:t>
      </w:r>
    </w:p>
    <w:p w:rsidR="009144E7" w:rsidRPr="0041789B" w:rsidRDefault="009144E7" w:rsidP="009144E7">
      <w:pPr>
        <w:spacing w:after="0" w:line="360" w:lineRule="auto"/>
        <w:ind w:firstLine="709"/>
        <w:jc w:val="both"/>
        <w:rPr>
          <w:rFonts w:cstheme="minorHAnsi"/>
          <w:sz w:val="28"/>
          <w:szCs w:val="28"/>
          <w:lang w:val="uk-UA"/>
        </w:rPr>
      </w:pPr>
      <w:r w:rsidRPr="005273E4">
        <w:rPr>
          <w:rFonts w:cstheme="minorHAnsi"/>
          <w:sz w:val="28"/>
          <w:szCs w:val="28"/>
          <w:lang w:val="uk-UA"/>
        </w:rPr>
        <w:t>6. Якість виділеної ДНК перевіряли електрофорезом в 1,5% агарозному гелі з візуалізацією етидієм бромідом. Виділену ДНК зберігали при -20 ° С</w:t>
      </w:r>
    </w:p>
    <w:p w:rsidR="009144E7" w:rsidRDefault="009144E7" w:rsidP="009144E7">
      <w:pPr>
        <w:spacing w:after="0" w:line="360" w:lineRule="auto"/>
        <w:ind w:firstLine="709"/>
        <w:jc w:val="both"/>
        <w:rPr>
          <w:sz w:val="28"/>
          <w:lang w:val="uk-UA"/>
        </w:rPr>
      </w:pPr>
      <w:r>
        <w:rPr>
          <w:sz w:val="28"/>
          <w:lang w:val="uk-UA"/>
        </w:rPr>
        <w:t xml:space="preserve">  </w:t>
      </w:r>
      <w:r w:rsidRPr="005273E4">
        <w:rPr>
          <w:sz w:val="28"/>
          <w:lang w:val="uk-UA"/>
        </w:rPr>
        <w:t>ПЛР проводили за стандартною схемою за допомогою програмованого термоциклер «Терцик-2» фірми ДНК-технологія.</w:t>
      </w:r>
    </w:p>
    <w:p w:rsidR="009144E7" w:rsidRDefault="009144E7" w:rsidP="009144E7">
      <w:pPr>
        <w:spacing w:after="0" w:line="360" w:lineRule="auto"/>
        <w:ind w:firstLine="709"/>
        <w:jc w:val="both"/>
        <w:rPr>
          <w:sz w:val="28"/>
          <w:lang w:val="uk-UA"/>
        </w:rPr>
      </w:pPr>
      <w:r>
        <w:rPr>
          <w:sz w:val="28"/>
          <w:lang w:val="uk-UA"/>
        </w:rPr>
        <w:t xml:space="preserve">Використані праймери: </w:t>
      </w:r>
    </w:p>
    <w:p w:rsidR="009144E7" w:rsidRPr="00A624C9" w:rsidRDefault="009144E7" w:rsidP="009144E7">
      <w:pPr>
        <w:spacing w:before="100" w:beforeAutospacing="1" w:after="100" w:afterAutospacing="1" w:line="240" w:lineRule="auto"/>
        <w:ind w:left="142"/>
        <w:rPr>
          <w:rFonts w:ascii="Times New Roman" w:hAnsi="Times New Roman"/>
          <w:sz w:val="28"/>
          <w:szCs w:val="28"/>
          <w:lang w:val="uk-UA" w:eastAsia="ru-RU"/>
        </w:rPr>
      </w:pPr>
      <w:r w:rsidRPr="00106E8D">
        <w:rPr>
          <w:rFonts w:ascii="Times New Roman" w:hAnsi="Times New Roman"/>
          <w:b/>
          <w:i/>
          <w:sz w:val="24"/>
          <w:szCs w:val="24"/>
          <w:lang w:val="uk-UA" w:eastAsia="ru-RU"/>
        </w:rPr>
        <w:t xml:space="preserve">      </w:t>
      </w:r>
      <w:r w:rsidRPr="00A624C9">
        <w:rPr>
          <w:rFonts w:ascii="Times New Roman" w:hAnsi="Times New Roman"/>
          <w:b/>
          <w:i/>
          <w:sz w:val="28"/>
          <w:szCs w:val="28"/>
          <w:lang w:val="en-US" w:eastAsia="ru-RU"/>
        </w:rPr>
        <w:t>blaTEM</w:t>
      </w:r>
      <w:r w:rsidRPr="00A624C9">
        <w:rPr>
          <w:rFonts w:ascii="Times New Roman" w:hAnsi="Times New Roman"/>
          <w:sz w:val="28"/>
          <w:szCs w:val="28"/>
          <w:lang w:val="uk-UA" w:eastAsia="ru-RU"/>
        </w:rPr>
        <w:t xml:space="preserve">           5'-</w:t>
      </w:r>
      <w:r w:rsidRPr="00A624C9">
        <w:rPr>
          <w:rFonts w:ascii="Times New Roman" w:hAnsi="Times New Roman"/>
          <w:sz w:val="28"/>
          <w:szCs w:val="28"/>
          <w:lang w:val="en-US" w:eastAsia="ru-RU"/>
        </w:rPr>
        <w:t>ATG</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AGT</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ATT</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CAA</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CAT</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TTC</w:t>
      </w:r>
      <w:r w:rsidRPr="00A624C9">
        <w:rPr>
          <w:rFonts w:ascii="Times New Roman" w:hAnsi="Times New Roman"/>
          <w:sz w:val="28"/>
          <w:szCs w:val="28"/>
          <w:lang w:val="uk-UA" w:eastAsia="ru-RU"/>
        </w:rPr>
        <w:t xml:space="preserve"> </w:t>
      </w:r>
      <w:r w:rsidRPr="00A624C9">
        <w:rPr>
          <w:rFonts w:ascii="Times New Roman" w:hAnsi="Times New Roman"/>
          <w:sz w:val="28"/>
          <w:szCs w:val="28"/>
          <w:lang w:val="en-US" w:eastAsia="ru-RU"/>
        </w:rPr>
        <w:t>CG</w:t>
      </w:r>
    </w:p>
    <w:p w:rsidR="009144E7" w:rsidRPr="00A624C9" w:rsidRDefault="009144E7" w:rsidP="009144E7">
      <w:pPr>
        <w:spacing w:before="100" w:beforeAutospacing="1" w:after="100" w:afterAutospacing="1" w:line="240" w:lineRule="auto"/>
        <w:ind w:left="142"/>
        <w:rPr>
          <w:rFonts w:ascii="Times New Roman" w:hAnsi="Times New Roman"/>
          <w:sz w:val="28"/>
          <w:szCs w:val="28"/>
          <w:lang w:val="en-US" w:eastAsia="ru-RU"/>
        </w:rPr>
      </w:pPr>
      <w:r w:rsidRPr="00A624C9">
        <w:rPr>
          <w:rFonts w:ascii="Times New Roman" w:hAnsi="Times New Roman"/>
          <w:sz w:val="28"/>
          <w:szCs w:val="28"/>
          <w:lang w:val="uk-UA" w:eastAsia="ru-RU"/>
        </w:rPr>
        <w:lastRenderedPageBreak/>
        <w:t xml:space="preserve">                         </w:t>
      </w:r>
      <w:r>
        <w:rPr>
          <w:rFonts w:ascii="Times New Roman" w:hAnsi="Times New Roman"/>
          <w:sz w:val="28"/>
          <w:szCs w:val="28"/>
          <w:lang w:val="uk-UA" w:eastAsia="ru-RU"/>
        </w:rPr>
        <w:t xml:space="preserve">     </w:t>
      </w:r>
      <w:r w:rsidRPr="00A624C9">
        <w:rPr>
          <w:rFonts w:ascii="Times New Roman" w:hAnsi="Times New Roman"/>
          <w:sz w:val="28"/>
          <w:szCs w:val="28"/>
          <w:lang w:val="en-US" w:eastAsia="ru-RU"/>
        </w:rPr>
        <w:t>5’-CCA ATG CTT AAT CAG TGA GG;</w:t>
      </w:r>
    </w:p>
    <w:p w:rsidR="009144E7" w:rsidRPr="00A624C9" w:rsidRDefault="009144E7" w:rsidP="009144E7">
      <w:pPr>
        <w:spacing w:before="100" w:beforeAutospacing="1" w:after="100" w:afterAutospacing="1" w:line="240" w:lineRule="auto"/>
        <w:ind w:left="142"/>
        <w:rPr>
          <w:rFonts w:ascii="Times New Roman" w:hAnsi="Times New Roman"/>
          <w:sz w:val="28"/>
          <w:szCs w:val="28"/>
          <w:lang w:val="en-US" w:eastAsia="ru-RU"/>
        </w:rPr>
      </w:pPr>
      <w:r w:rsidRPr="00A624C9">
        <w:rPr>
          <w:rFonts w:ascii="Times New Roman" w:hAnsi="Times New Roman"/>
          <w:b/>
          <w:i/>
          <w:sz w:val="28"/>
          <w:szCs w:val="28"/>
          <w:lang w:val="en-US" w:eastAsia="ru-RU"/>
        </w:rPr>
        <w:t xml:space="preserve">      blaSHV</w:t>
      </w:r>
      <w:r w:rsidRPr="00A624C9">
        <w:rPr>
          <w:rFonts w:ascii="Times New Roman" w:hAnsi="Times New Roman"/>
          <w:sz w:val="28"/>
          <w:szCs w:val="28"/>
          <w:lang w:val="en-US" w:eastAsia="ru-RU"/>
        </w:rPr>
        <w:t xml:space="preserve">           5’-ATG CGT TAT ATT CGC CTG TG</w:t>
      </w:r>
    </w:p>
    <w:p w:rsidR="009144E7" w:rsidRPr="00A624C9" w:rsidRDefault="009144E7" w:rsidP="009144E7">
      <w:pPr>
        <w:spacing w:before="100" w:beforeAutospacing="1" w:after="100" w:afterAutospacing="1" w:line="240" w:lineRule="auto"/>
        <w:ind w:left="142"/>
        <w:rPr>
          <w:rFonts w:ascii="Times New Roman" w:hAnsi="Times New Roman"/>
          <w:sz w:val="28"/>
          <w:szCs w:val="28"/>
          <w:lang w:val="en-US" w:eastAsia="ru-RU"/>
        </w:rPr>
      </w:pPr>
      <w:r w:rsidRPr="00A624C9">
        <w:rPr>
          <w:rFonts w:ascii="Times New Roman" w:hAnsi="Times New Roman"/>
          <w:sz w:val="28"/>
          <w:szCs w:val="28"/>
          <w:lang w:val="en-US" w:eastAsia="ru-RU"/>
        </w:rPr>
        <w:t xml:space="preserve"> </w:t>
      </w:r>
      <w:r w:rsidRPr="00A624C9">
        <w:rPr>
          <w:rFonts w:ascii="Times New Roman" w:hAnsi="Times New Roman"/>
          <w:sz w:val="28"/>
          <w:szCs w:val="28"/>
          <w:lang w:val="en-US" w:eastAsia="ru-RU"/>
        </w:rPr>
        <w:tab/>
        <w:t xml:space="preserve">                      5’-AGC GTT GCC AGT GCT CGA TC;</w:t>
      </w:r>
    </w:p>
    <w:p w:rsidR="009144E7" w:rsidRPr="00A624C9" w:rsidRDefault="009144E7" w:rsidP="009144E7">
      <w:pPr>
        <w:spacing w:before="100" w:beforeAutospacing="1" w:after="100" w:afterAutospacing="1" w:line="240" w:lineRule="auto"/>
        <w:ind w:left="142"/>
        <w:rPr>
          <w:rFonts w:ascii="Times New Roman" w:hAnsi="Times New Roman"/>
          <w:sz w:val="28"/>
          <w:szCs w:val="28"/>
          <w:lang w:val="en-US" w:eastAsia="ru-RU"/>
        </w:rPr>
      </w:pPr>
      <w:r w:rsidRPr="00A624C9">
        <w:rPr>
          <w:rFonts w:ascii="Times New Roman" w:hAnsi="Times New Roman"/>
          <w:b/>
          <w:i/>
          <w:sz w:val="28"/>
          <w:szCs w:val="28"/>
          <w:lang w:val="en-US" w:eastAsia="ru-RU"/>
        </w:rPr>
        <w:t xml:space="preserve">     blaCTX-M</w:t>
      </w:r>
      <w:r w:rsidRPr="00A624C9">
        <w:rPr>
          <w:rFonts w:ascii="Times New Roman" w:hAnsi="Times New Roman"/>
          <w:sz w:val="28"/>
          <w:szCs w:val="28"/>
          <w:lang w:val="en-US" w:eastAsia="ru-RU"/>
        </w:rPr>
        <w:t xml:space="preserve">       5’-SCS ATG TGC AGY ACC AGT AA</w:t>
      </w:r>
    </w:p>
    <w:p w:rsidR="009144E7" w:rsidRDefault="009144E7" w:rsidP="009144E7">
      <w:pPr>
        <w:spacing w:line="360" w:lineRule="auto"/>
        <w:ind w:firstLine="709"/>
        <w:jc w:val="both"/>
        <w:rPr>
          <w:sz w:val="28"/>
          <w:lang w:val="uk-UA"/>
        </w:rPr>
      </w:pPr>
      <w:r w:rsidRPr="00A624C9">
        <w:rPr>
          <w:rFonts w:ascii="Times New Roman" w:hAnsi="Times New Roman"/>
          <w:sz w:val="28"/>
          <w:szCs w:val="28"/>
          <w:lang w:val="en-US" w:eastAsia="ru-RU"/>
        </w:rPr>
        <w:tab/>
      </w:r>
      <w:r w:rsidRPr="00A624C9">
        <w:rPr>
          <w:rFonts w:ascii="Times New Roman" w:hAnsi="Times New Roman"/>
          <w:sz w:val="28"/>
          <w:szCs w:val="28"/>
          <w:lang w:val="uk-UA" w:eastAsia="ru-RU"/>
        </w:rPr>
        <w:t xml:space="preserve">          </w:t>
      </w:r>
      <w:r>
        <w:rPr>
          <w:rFonts w:ascii="Times New Roman" w:hAnsi="Times New Roman"/>
          <w:sz w:val="28"/>
          <w:szCs w:val="28"/>
          <w:lang w:val="en-US" w:eastAsia="ru-RU"/>
        </w:rPr>
        <w:t xml:space="preserve"> </w:t>
      </w:r>
      <w:r w:rsidRPr="00A624C9">
        <w:rPr>
          <w:rFonts w:ascii="Times New Roman" w:hAnsi="Times New Roman"/>
          <w:sz w:val="28"/>
          <w:szCs w:val="28"/>
          <w:lang w:val="en-US" w:eastAsia="ru-RU"/>
        </w:rPr>
        <w:t>5’-ACC AGA AYV AGC GGB GC;</w:t>
      </w:r>
    </w:p>
    <w:p w:rsidR="009144E7" w:rsidRDefault="009144E7" w:rsidP="009144E7">
      <w:pPr>
        <w:spacing w:after="0" w:line="360" w:lineRule="auto"/>
        <w:ind w:firstLine="709"/>
        <w:jc w:val="both"/>
        <w:rPr>
          <w:sz w:val="28"/>
          <w:szCs w:val="28"/>
          <w:lang w:val="en-US"/>
        </w:rPr>
      </w:pPr>
      <w:r w:rsidRPr="007032CE">
        <w:rPr>
          <w:b/>
          <w:i/>
          <w:sz w:val="28"/>
          <w:szCs w:val="28"/>
          <w:lang w:val="en-US"/>
        </w:rPr>
        <w:t>Qnr A</w:t>
      </w:r>
      <w:r>
        <w:rPr>
          <w:b/>
          <w:i/>
          <w:sz w:val="28"/>
          <w:szCs w:val="28"/>
          <w:lang w:val="en-US"/>
        </w:rPr>
        <w:t xml:space="preserve">      </w:t>
      </w:r>
      <w:r>
        <w:rPr>
          <w:sz w:val="28"/>
          <w:szCs w:val="28"/>
          <w:lang w:val="en-US"/>
        </w:rPr>
        <w:t>qnrAF   ATTTCTCACGCCAGGATTTG</w:t>
      </w:r>
    </w:p>
    <w:p w:rsidR="009144E7" w:rsidRPr="00A624C9" w:rsidRDefault="009144E7" w:rsidP="009144E7">
      <w:pPr>
        <w:spacing w:line="360" w:lineRule="auto"/>
        <w:ind w:firstLine="709"/>
        <w:jc w:val="both"/>
        <w:rPr>
          <w:sz w:val="28"/>
          <w:szCs w:val="28"/>
          <w:lang w:val="en-US"/>
        </w:rPr>
      </w:pPr>
      <w:r>
        <w:rPr>
          <w:sz w:val="28"/>
          <w:szCs w:val="28"/>
          <w:lang w:val="en-US"/>
        </w:rPr>
        <w:t xml:space="preserve">                qnrAR   GATCGGCAAAGGTTAGGTCA; </w:t>
      </w:r>
    </w:p>
    <w:p w:rsidR="009144E7" w:rsidRDefault="009144E7" w:rsidP="009144E7">
      <w:pPr>
        <w:spacing w:after="0" w:line="360" w:lineRule="auto"/>
        <w:ind w:firstLine="709"/>
        <w:jc w:val="both"/>
        <w:rPr>
          <w:rFonts w:ascii="Times New Roman" w:hAnsi="Times New Roman"/>
          <w:sz w:val="28"/>
          <w:szCs w:val="28"/>
          <w:lang w:val="en-US" w:eastAsia="ru-RU"/>
        </w:rPr>
      </w:pPr>
      <w:r w:rsidRPr="00A624C9">
        <w:rPr>
          <w:rFonts w:ascii="Times New Roman" w:hAnsi="Times New Roman"/>
          <w:b/>
          <w:i/>
          <w:sz w:val="28"/>
          <w:szCs w:val="28"/>
          <w:lang w:val="en-US" w:eastAsia="ru-RU"/>
        </w:rPr>
        <w:t>aac(6’)Ib</w:t>
      </w:r>
      <w:r>
        <w:rPr>
          <w:rFonts w:ascii="Times New Roman" w:hAnsi="Times New Roman"/>
          <w:sz w:val="28"/>
          <w:szCs w:val="28"/>
          <w:lang w:val="en-US" w:eastAsia="ru-RU"/>
        </w:rPr>
        <w:t xml:space="preserve">  aacIbF  TTGCGATGCTCTATGAGTGGCTA</w:t>
      </w:r>
    </w:p>
    <w:p w:rsidR="009144E7" w:rsidRPr="00A624C9" w:rsidRDefault="009144E7" w:rsidP="009144E7">
      <w:pPr>
        <w:spacing w:line="360" w:lineRule="auto"/>
        <w:ind w:firstLine="709"/>
        <w:jc w:val="both"/>
        <w:rPr>
          <w:rFonts w:ascii="Times New Roman" w:hAnsi="Times New Roman"/>
          <w:sz w:val="28"/>
          <w:szCs w:val="28"/>
          <w:lang w:val="en-US" w:eastAsia="ru-RU"/>
        </w:rPr>
      </w:pPr>
      <w:r>
        <w:rPr>
          <w:rFonts w:ascii="Times New Roman" w:hAnsi="Times New Roman"/>
          <w:sz w:val="28"/>
          <w:szCs w:val="28"/>
          <w:lang w:val="en-US" w:eastAsia="ru-RU"/>
        </w:rPr>
        <w:t xml:space="preserve">                 aacIbR  CTCGAATGCCTGGCGTGTTT;</w:t>
      </w:r>
    </w:p>
    <w:p w:rsidR="009144E7" w:rsidRDefault="009144E7" w:rsidP="009144E7">
      <w:pPr>
        <w:spacing w:after="0" w:line="360" w:lineRule="auto"/>
        <w:ind w:firstLine="709"/>
        <w:jc w:val="both"/>
        <w:rPr>
          <w:rFonts w:ascii="Times New Roman" w:hAnsi="Times New Roman"/>
          <w:sz w:val="28"/>
          <w:szCs w:val="28"/>
          <w:lang w:val="en-US" w:eastAsia="ru-RU"/>
        </w:rPr>
      </w:pPr>
      <w:r w:rsidRPr="00A624C9">
        <w:rPr>
          <w:rFonts w:ascii="Times New Roman" w:hAnsi="Times New Roman"/>
          <w:b/>
          <w:i/>
          <w:sz w:val="28"/>
          <w:szCs w:val="28"/>
          <w:lang w:val="en-US" w:eastAsia="ru-RU"/>
        </w:rPr>
        <w:t>gepA</w:t>
      </w:r>
      <w:r>
        <w:rPr>
          <w:rFonts w:ascii="Times New Roman" w:hAnsi="Times New Roman"/>
          <w:sz w:val="28"/>
          <w:szCs w:val="28"/>
          <w:lang w:val="en-US" w:eastAsia="ru-RU"/>
        </w:rPr>
        <w:t xml:space="preserve">         qepAF  AACTGCTTGAGCCCGTAGAT</w:t>
      </w:r>
    </w:p>
    <w:p w:rsidR="009144E7" w:rsidRDefault="009144E7" w:rsidP="009144E7">
      <w:pPr>
        <w:spacing w:line="360" w:lineRule="auto"/>
        <w:ind w:firstLine="709"/>
        <w:jc w:val="both"/>
        <w:rPr>
          <w:rFonts w:ascii="Times New Roman" w:hAnsi="Times New Roman"/>
          <w:sz w:val="28"/>
          <w:szCs w:val="28"/>
          <w:lang w:val="en-US" w:eastAsia="ru-RU"/>
        </w:rPr>
      </w:pPr>
      <w:r>
        <w:rPr>
          <w:rFonts w:ascii="Times New Roman" w:hAnsi="Times New Roman"/>
          <w:sz w:val="28"/>
          <w:szCs w:val="28"/>
          <w:lang w:val="en-US" w:eastAsia="ru-RU"/>
        </w:rPr>
        <w:t xml:space="preserve">                 qepAR  GTCTACGCCATGGACCTCAC</w:t>
      </w:r>
    </w:p>
    <w:p w:rsidR="009144E7" w:rsidRDefault="009144E7" w:rsidP="009144E7">
      <w:pPr>
        <w:spacing w:line="360" w:lineRule="auto"/>
        <w:ind w:firstLine="709"/>
        <w:jc w:val="both"/>
        <w:rPr>
          <w:rFonts w:ascii="Times New Roman" w:hAnsi="Times New Roman"/>
          <w:sz w:val="28"/>
          <w:szCs w:val="28"/>
          <w:lang w:val="en-US" w:eastAsia="ru-RU"/>
        </w:rPr>
      </w:pPr>
      <w:r w:rsidRPr="00D92584">
        <w:rPr>
          <w:rFonts w:ascii="Times New Roman" w:hAnsi="Times New Roman"/>
          <w:sz w:val="28"/>
          <w:szCs w:val="28"/>
          <w:lang w:val="uk-UA" w:eastAsia="ru-RU"/>
        </w:rPr>
        <w:t>Розміри ампліфікованих фрагментів: - 858, 862, 585, 516, 482, 596 п.н. відповідно.</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В реакційну суміш, яка містить 50мм KCl, 10мм трис-HCl pH 8,4, по 5 пМ праймерів, 2,5 мМ MgCl2, 200 мкМ dNTP, 10% DMSO, 5мм меркаптоетанол та 2 одиниці термофільної ДНК-полімерази. Потім додавали краплю вазелінової олії, прогрівали суміш при 95</w:t>
      </w:r>
      <w:r w:rsidRPr="001854F2">
        <w:rPr>
          <w:rFonts w:ascii="Times New Roman" w:hAnsi="Times New Roman"/>
          <w:sz w:val="28"/>
          <w:szCs w:val="28"/>
          <w:vertAlign w:val="superscript"/>
          <w:lang w:val="uk-UA" w:eastAsia="ru-RU"/>
        </w:rPr>
        <w:t>о</w:t>
      </w:r>
      <w:r w:rsidRPr="001854F2">
        <w:rPr>
          <w:rFonts w:ascii="Times New Roman" w:hAnsi="Times New Roman"/>
          <w:sz w:val="28"/>
          <w:szCs w:val="28"/>
          <w:lang w:val="uk-UA" w:eastAsia="ru-RU"/>
        </w:rPr>
        <w:t>С протягом 10 хв. і проводили 33 циклу з параметрами:</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Денатурація: 95 ОС - 30 сек.</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Відпал і елонгація: 50</w:t>
      </w:r>
      <w:r w:rsidRPr="001854F2">
        <w:rPr>
          <w:rFonts w:ascii="Times New Roman" w:hAnsi="Times New Roman"/>
          <w:sz w:val="24"/>
          <w:szCs w:val="24"/>
          <w:vertAlign w:val="superscript"/>
          <w:lang w:val="uk-UA" w:eastAsia="ru-RU"/>
        </w:rPr>
        <w:t>О</w:t>
      </w:r>
      <w:r w:rsidRPr="001854F2">
        <w:rPr>
          <w:rFonts w:ascii="Times New Roman" w:hAnsi="Times New Roman"/>
          <w:sz w:val="28"/>
          <w:szCs w:val="28"/>
          <w:lang w:val="uk-UA" w:eastAsia="ru-RU"/>
        </w:rPr>
        <w:t>С - для праймерів blaTEM,</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   </w:t>
      </w:r>
      <w:r>
        <w:rPr>
          <w:rFonts w:ascii="Times New Roman" w:hAnsi="Times New Roman"/>
          <w:sz w:val="28"/>
          <w:szCs w:val="28"/>
          <w:lang w:val="uk-UA" w:eastAsia="ru-RU"/>
        </w:rPr>
        <w:t>                               </w:t>
      </w:r>
      <w:r w:rsidRPr="001854F2">
        <w:rPr>
          <w:rFonts w:ascii="Times New Roman" w:hAnsi="Times New Roman"/>
          <w:sz w:val="28"/>
          <w:szCs w:val="28"/>
          <w:lang w:val="uk-UA" w:eastAsia="ru-RU"/>
        </w:rPr>
        <w:t>58 ° С - для праймерів blaSHV і blaSHV,</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   </w:t>
      </w:r>
      <w:r>
        <w:rPr>
          <w:rFonts w:ascii="Times New Roman" w:hAnsi="Times New Roman"/>
          <w:sz w:val="28"/>
          <w:szCs w:val="28"/>
          <w:lang w:val="uk-UA" w:eastAsia="ru-RU"/>
        </w:rPr>
        <w:t>                             </w:t>
      </w:r>
      <w:r w:rsidRPr="001854F2">
        <w:rPr>
          <w:rFonts w:ascii="Times New Roman" w:hAnsi="Times New Roman"/>
          <w:sz w:val="28"/>
          <w:szCs w:val="28"/>
          <w:lang w:val="uk-UA" w:eastAsia="ru-RU"/>
        </w:rPr>
        <w:t>55 ° С - для праймерів qnrA, aac (6 ') Ib і gepA, 30 сек.</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t>Фінальну інкубацію проводили при 72</w:t>
      </w:r>
      <w:r w:rsidRPr="001854F2">
        <w:rPr>
          <w:rFonts w:ascii="Times New Roman" w:hAnsi="Times New Roman"/>
          <w:sz w:val="28"/>
          <w:szCs w:val="28"/>
          <w:vertAlign w:val="superscript"/>
          <w:lang w:val="uk-UA" w:eastAsia="ru-RU"/>
        </w:rPr>
        <w:t>о</w:t>
      </w:r>
      <w:r w:rsidRPr="001854F2">
        <w:rPr>
          <w:rFonts w:ascii="Times New Roman" w:hAnsi="Times New Roman"/>
          <w:sz w:val="28"/>
          <w:szCs w:val="28"/>
          <w:lang w:val="uk-UA" w:eastAsia="ru-RU"/>
        </w:rPr>
        <w:t>С протягом 10 хв.</w:t>
      </w:r>
    </w:p>
    <w:p w:rsidR="009144E7" w:rsidRDefault="009144E7" w:rsidP="009144E7">
      <w:pPr>
        <w:spacing w:line="360" w:lineRule="auto"/>
        <w:ind w:firstLine="709"/>
        <w:jc w:val="both"/>
        <w:rPr>
          <w:rFonts w:ascii="Times New Roman" w:hAnsi="Times New Roman"/>
          <w:sz w:val="28"/>
          <w:szCs w:val="28"/>
          <w:lang w:val="uk-UA" w:eastAsia="ru-RU"/>
        </w:rPr>
      </w:pPr>
      <w:r w:rsidRPr="001854F2">
        <w:rPr>
          <w:rFonts w:ascii="Times New Roman" w:hAnsi="Times New Roman"/>
          <w:sz w:val="28"/>
          <w:szCs w:val="28"/>
          <w:lang w:val="uk-UA" w:eastAsia="ru-RU"/>
        </w:rPr>
        <w:lastRenderedPageBreak/>
        <w:t xml:space="preserve">Результати ПЛР оцінювали після проведення електрофорезу в 2% агарозному гелі з подальшим фарбуванням в розчині </w:t>
      </w:r>
      <w:r>
        <w:rPr>
          <w:rFonts w:ascii="Times New Roman" w:hAnsi="Times New Roman"/>
          <w:sz w:val="28"/>
          <w:szCs w:val="28"/>
          <w:lang w:val="uk-UA" w:eastAsia="ru-RU"/>
        </w:rPr>
        <w:t xml:space="preserve">етидію </w:t>
      </w:r>
      <w:r w:rsidRPr="001854F2">
        <w:rPr>
          <w:rFonts w:ascii="Times New Roman" w:hAnsi="Times New Roman"/>
          <w:sz w:val="28"/>
          <w:szCs w:val="28"/>
          <w:lang w:val="uk-UA" w:eastAsia="ru-RU"/>
        </w:rPr>
        <w:t>броми</w:t>
      </w:r>
      <w:r>
        <w:rPr>
          <w:rFonts w:ascii="Times New Roman" w:hAnsi="Times New Roman"/>
          <w:sz w:val="28"/>
          <w:szCs w:val="28"/>
          <w:lang w:val="uk-UA" w:eastAsia="ru-RU"/>
        </w:rPr>
        <w:t xml:space="preserve">ду </w:t>
      </w:r>
      <w:r w:rsidRPr="001854F2">
        <w:rPr>
          <w:rFonts w:ascii="Times New Roman" w:hAnsi="Times New Roman"/>
          <w:sz w:val="28"/>
          <w:szCs w:val="28"/>
          <w:lang w:val="uk-UA" w:eastAsia="ru-RU"/>
        </w:rPr>
        <w:t xml:space="preserve">з </w:t>
      </w:r>
      <w:r>
        <w:rPr>
          <w:rFonts w:ascii="Times New Roman" w:hAnsi="Times New Roman"/>
          <w:sz w:val="28"/>
          <w:szCs w:val="28"/>
          <w:lang w:val="uk-UA" w:eastAsia="ru-RU"/>
        </w:rPr>
        <w:t>концентрацією 1 мг/</w:t>
      </w:r>
      <w:r w:rsidRPr="001854F2">
        <w:rPr>
          <w:rFonts w:ascii="Times New Roman" w:hAnsi="Times New Roman"/>
          <w:sz w:val="28"/>
          <w:szCs w:val="28"/>
          <w:lang w:val="uk-UA" w:eastAsia="ru-RU"/>
        </w:rPr>
        <w:t>мл, в якості маркера молекулярної ваги використовували ДНК плазміди puc19 г</w:t>
      </w:r>
      <w:r>
        <w:rPr>
          <w:rFonts w:ascii="Times New Roman" w:hAnsi="Times New Roman"/>
          <w:sz w:val="28"/>
          <w:szCs w:val="28"/>
          <w:lang w:val="uk-UA" w:eastAsia="ru-RU"/>
        </w:rPr>
        <w:t>і</w:t>
      </w:r>
      <w:r w:rsidRPr="001854F2">
        <w:rPr>
          <w:rFonts w:ascii="Times New Roman" w:hAnsi="Times New Roman"/>
          <w:sz w:val="28"/>
          <w:szCs w:val="28"/>
          <w:lang w:val="uk-UA" w:eastAsia="ru-RU"/>
        </w:rPr>
        <w:t>дрол</w:t>
      </w:r>
      <w:r>
        <w:rPr>
          <w:rFonts w:ascii="Times New Roman" w:hAnsi="Times New Roman"/>
          <w:sz w:val="28"/>
          <w:szCs w:val="28"/>
          <w:lang w:val="uk-UA" w:eastAsia="ru-RU"/>
        </w:rPr>
        <w:t>і</w:t>
      </w:r>
      <w:r w:rsidRPr="001854F2">
        <w:rPr>
          <w:rFonts w:ascii="Times New Roman" w:hAnsi="Times New Roman"/>
          <w:sz w:val="28"/>
          <w:szCs w:val="28"/>
          <w:lang w:val="uk-UA" w:eastAsia="ru-RU"/>
        </w:rPr>
        <w:t>зовану ферментом HpaII.</w:t>
      </w:r>
    </w:p>
    <w:p w:rsidR="009144E7" w:rsidRDefault="009144E7" w:rsidP="009144E7">
      <w:pPr>
        <w:spacing w:line="360" w:lineRule="auto"/>
        <w:ind w:firstLine="720"/>
        <w:jc w:val="both"/>
        <w:rPr>
          <w:sz w:val="28"/>
          <w:lang w:val="uk-UA"/>
        </w:rPr>
      </w:pPr>
      <w:r w:rsidRPr="00943858">
        <w:rPr>
          <w:b/>
          <w:sz w:val="28"/>
          <w:lang w:val="uk-UA"/>
        </w:rPr>
        <w:t>Визначення ІЛ-6 в плазмі крові</w:t>
      </w:r>
      <w:r>
        <w:rPr>
          <w:sz w:val="28"/>
          <w:lang w:val="uk-UA"/>
        </w:rPr>
        <w:t>.</w:t>
      </w:r>
    </w:p>
    <w:p w:rsidR="009144E7" w:rsidRPr="00AE030D" w:rsidRDefault="009144E7" w:rsidP="009144E7">
      <w:pPr>
        <w:spacing w:line="360" w:lineRule="auto"/>
        <w:ind w:firstLine="720"/>
        <w:jc w:val="both"/>
        <w:rPr>
          <w:sz w:val="28"/>
          <w:lang w:val="uk-UA"/>
        </w:rPr>
      </w:pPr>
      <w:r w:rsidRPr="00AE030D">
        <w:rPr>
          <w:sz w:val="28"/>
          <w:lang w:val="uk-UA"/>
        </w:rPr>
        <w:t>Для визначення рівня ІЛ-</w:t>
      </w:r>
      <w:r>
        <w:rPr>
          <w:sz w:val="28"/>
          <w:lang w:val="uk-UA"/>
        </w:rPr>
        <w:t>6</w:t>
      </w:r>
      <w:r w:rsidRPr="00AE030D">
        <w:rPr>
          <w:sz w:val="28"/>
          <w:lang w:val="uk-UA"/>
        </w:rPr>
        <w:t xml:space="preserve"> використовували імуноферментні тест-системи</w:t>
      </w:r>
      <w:r w:rsidRPr="00AE030D">
        <w:rPr>
          <w:lang w:val="uk-UA"/>
        </w:rPr>
        <w:t xml:space="preserve"> </w:t>
      </w:r>
      <w:r w:rsidRPr="00AE030D">
        <w:rPr>
          <w:sz w:val="28"/>
          <w:lang w:val="uk-UA"/>
        </w:rPr>
        <w:t xml:space="preserve"> «ProCon» (ООО «Протеиновый контур», Санкт-Петербург, Росія). </w:t>
      </w:r>
    </w:p>
    <w:p w:rsidR="009144E7" w:rsidRPr="00AE030D" w:rsidRDefault="009144E7" w:rsidP="009144E7">
      <w:pPr>
        <w:spacing w:line="360" w:lineRule="auto"/>
        <w:ind w:firstLine="720"/>
        <w:jc w:val="both"/>
        <w:rPr>
          <w:sz w:val="28"/>
          <w:lang w:val="uk-UA"/>
        </w:rPr>
      </w:pPr>
      <w:r w:rsidRPr="00AE030D">
        <w:rPr>
          <w:i/>
          <w:sz w:val="28"/>
          <w:lang w:val="uk-UA"/>
        </w:rPr>
        <w:t xml:space="preserve">Принцип методу: </w:t>
      </w:r>
      <w:r w:rsidRPr="00AE030D">
        <w:rPr>
          <w:sz w:val="28"/>
          <w:lang w:val="uk-UA"/>
        </w:rPr>
        <w:t>для вимірювання рівня ІЛ-</w:t>
      </w:r>
      <w:r>
        <w:rPr>
          <w:sz w:val="28"/>
          <w:lang w:val="uk-UA"/>
        </w:rPr>
        <w:t>6</w:t>
      </w:r>
      <w:r w:rsidRPr="00AE030D">
        <w:rPr>
          <w:sz w:val="28"/>
          <w:lang w:val="uk-UA"/>
        </w:rPr>
        <w:t xml:space="preserve"> використовується твердофазний імуноферментний метод з застосуванням пероксидази хрону у якості індикаторного ферменту. Один тип антитіл імобілізується на внутрішніх поверхнях лунок планшетів для мікротитрування. Другий тип моноклональних антитіл для незалежного епітопу молекули ІЛ-1β знаходиться в наборі у вигляді кон’югата з біотином. Індикаторним компонентом є кон’югат пероксидази хрону зі стрептовідином, що має дуже високу спорідненість до біотину. Після інкубацій і промивань в лунки вносять кон’югат пероксидази зі стрептовідином, знову інкубують, промивають, вносять субстрат і вимірюють активність зв’язаної пероксидази з використанням автоматичного фотометра.</w:t>
      </w:r>
    </w:p>
    <w:p w:rsidR="009144E7" w:rsidRPr="00AE030D" w:rsidRDefault="009144E7" w:rsidP="009144E7">
      <w:pPr>
        <w:spacing w:line="360" w:lineRule="auto"/>
        <w:ind w:firstLine="720"/>
        <w:jc w:val="both"/>
        <w:rPr>
          <w:sz w:val="28"/>
          <w:lang w:val="uk-UA"/>
        </w:rPr>
      </w:pPr>
      <w:r w:rsidRPr="00AE030D">
        <w:rPr>
          <w:i/>
          <w:sz w:val="28"/>
          <w:lang w:val="uk-UA"/>
        </w:rPr>
        <w:t>Об'єкт дослідженн</w:t>
      </w:r>
      <w:r w:rsidRPr="00AE030D">
        <w:rPr>
          <w:sz w:val="28"/>
          <w:lang w:val="uk-UA"/>
        </w:rPr>
        <w:t>я - плазма крові. Набір матеріалу для дослідження вмісту ІЛ-</w:t>
      </w:r>
      <w:r>
        <w:rPr>
          <w:sz w:val="28"/>
          <w:lang w:val="uk-UA"/>
        </w:rPr>
        <w:t>6</w:t>
      </w:r>
      <w:r w:rsidRPr="00AE030D">
        <w:rPr>
          <w:sz w:val="28"/>
          <w:lang w:val="uk-UA"/>
        </w:rPr>
        <w:t xml:space="preserve"> у крові проводився в такий спосіб: в обстежуваних хворих ранком натще в пробірку, що містить стабілізатор (</w:t>
      </w:r>
      <w:r>
        <w:rPr>
          <w:sz w:val="28"/>
          <w:lang w:val="uk-UA"/>
        </w:rPr>
        <w:t>Е</w:t>
      </w:r>
      <w:r w:rsidRPr="00AE030D">
        <w:rPr>
          <w:sz w:val="28"/>
          <w:lang w:val="uk-UA"/>
        </w:rPr>
        <w:t>ДТА), забирали 5 мл венозної крові, що відразу центрифугували, відбирали зразки плазми й заморожували. Зразки плазми зберігалися при температурі мінус 20° С.</w:t>
      </w:r>
    </w:p>
    <w:p w:rsidR="009144E7" w:rsidRPr="00AE030D" w:rsidRDefault="009144E7" w:rsidP="009144E7">
      <w:pPr>
        <w:spacing w:line="360" w:lineRule="auto"/>
        <w:ind w:firstLine="720"/>
        <w:jc w:val="both"/>
        <w:rPr>
          <w:i/>
          <w:sz w:val="28"/>
          <w:lang w:val="uk-UA"/>
        </w:rPr>
      </w:pPr>
      <w:r w:rsidRPr="00AE030D">
        <w:rPr>
          <w:i/>
          <w:sz w:val="28"/>
          <w:lang w:val="uk-UA"/>
        </w:rPr>
        <w:t xml:space="preserve">Постановка імуноферментного аналізу: </w:t>
      </w:r>
    </w:p>
    <w:p w:rsidR="009144E7" w:rsidRPr="00AE030D" w:rsidRDefault="009144E7" w:rsidP="009144E7">
      <w:pPr>
        <w:spacing w:line="360" w:lineRule="auto"/>
        <w:ind w:firstLine="720"/>
        <w:jc w:val="both"/>
        <w:rPr>
          <w:sz w:val="28"/>
          <w:lang w:val="uk-UA"/>
        </w:rPr>
      </w:pPr>
      <w:r w:rsidRPr="00AE030D">
        <w:rPr>
          <w:sz w:val="28"/>
          <w:lang w:val="uk-UA"/>
        </w:rPr>
        <w:t xml:space="preserve">В усі лунки планшета набору для імуноферментного аналізу «ProCon» додавали 300мкл буфера для промивання й витримували протягом 5 хвилин, </w:t>
      </w:r>
      <w:r w:rsidRPr="00AE030D">
        <w:rPr>
          <w:sz w:val="28"/>
          <w:lang w:val="uk-UA"/>
        </w:rPr>
        <w:lastRenderedPageBreak/>
        <w:t xml:space="preserve">потім проводили повну аспірацію рідини. Готували набір стандартів ІЛ-1β, змішуючи стандартний зразок (1нг/мл) з буфером за наступною схемою: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08"/>
        <w:gridCol w:w="3392"/>
        <w:gridCol w:w="3171"/>
      </w:tblGrid>
      <w:tr w:rsidR="009144E7" w:rsidRPr="00D54FB0" w:rsidTr="009144E7">
        <w:trPr>
          <w:trHeight w:val="284"/>
        </w:trPr>
        <w:tc>
          <w:tcPr>
            <w:tcW w:w="3008" w:type="dxa"/>
          </w:tcPr>
          <w:p w:rsidR="009144E7" w:rsidRPr="00D54FB0" w:rsidRDefault="009144E7" w:rsidP="009144E7">
            <w:pPr>
              <w:spacing w:line="360" w:lineRule="auto"/>
              <w:jc w:val="center"/>
              <w:rPr>
                <w:sz w:val="28"/>
                <w:szCs w:val="28"/>
                <w:lang w:val="uk-UA"/>
              </w:rPr>
            </w:pPr>
            <w:r w:rsidRPr="00D54FB0">
              <w:rPr>
                <w:sz w:val="28"/>
                <w:szCs w:val="28"/>
                <w:lang w:val="uk-UA"/>
              </w:rPr>
              <w:t>Концентрація ІЛ-</w:t>
            </w:r>
            <w:r>
              <w:rPr>
                <w:sz w:val="28"/>
                <w:szCs w:val="28"/>
                <w:lang w:val="uk-UA"/>
              </w:rPr>
              <w:t>6</w:t>
            </w:r>
          </w:p>
        </w:tc>
        <w:tc>
          <w:tcPr>
            <w:tcW w:w="3392" w:type="dxa"/>
          </w:tcPr>
          <w:p w:rsidR="009144E7" w:rsidRPr="00D54FB0" w:rsidRDefault="009144E7" w:rsidP="009144E7">
            <w:pPr>
              <w:spacing w:line="360" w:lineRule="auto"/>
              <w:jc w:val="center"/>
              <w:rPr>
                <w:sz w:val="28"/>
                <w:szCs w:val="28"/>
                <w:lang w:val="uk-UA"/>
              </w:rPr>
            </w:pPr>
            <w:r w:rsidRPr="00D54FB0">
              <w:rPr>
                <w:sz w:val="28"/>
                <w:szCs w:val="28"/>
                <w:lang w:val="uk-UA"/>
              </w:rPr>
              <w:t>Об’єм стандарту (1нг/мл)</w:t>
            </w:r>
          </w:p>
        </w:tc>
        <w:tc>
          <w:tcPr>
            <w:tcW w:w="3171" w:type="dxa"/>
          </w:tcPr>
          <w:p w:rsidR="009144E7" w:rsidRPr="00D54FB0" w:rsidRDefault="009144E7" w:rsidP="009144E7">
            <w:pPr>
              <w:spacing w:line="360" w:lineRule="auto"/>
              <w:jc w:val="center"/>
              <w:rPr>
                <w:sz w:val="28"/>
                <w:szCs w:val="28"/>
                <w:lang w:val="uk-UA"/>
              </w:rPr>
            </w:pPr>
            <w:r w:rsidRPr="00D54FB0">
              <w:rPr>
                <w:sz w:val="28"/>
                <w:szCs w:val="28"/>
                <w:lang w:val="uk-UA"/>
              </w:rPr>
              <w:t>Об’єм буфера</w:t>
            </w:r>
          </w:p>
        </w:tc>
      </w:tr>
      <w:tr w:rsidR="009144E7" w:rsidRPr="00D54FB0" w:rsidTr="009144E7">
        <w:trPr>
          <w:trHeight w:val="284"/>
        </w:trPr>
        <w:tc>
          <w:tcPr>
            <w:tcW w:w="3008"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500 пг/мл</w:t>
            </w:r>
          </w:p>
        </w:tc>
        <w:tc>
          <w:tcPr>
            <w:tcW w:w="3392"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100 мкл</w:t>
            </w:r>
          </w:p>
        </w:tc>
        <w:tc>
          <w:tcPr>
            <w:tcW w:w="3171"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100 мкл</w:t>
            </w:r>
          </w:p>
        </w:tc>
      </w:tr>
      <w:tr w:rsidR="009144E7" w:rsidRPr="00D54FB0" w:rsidTr="009144E7">
        <w:trPr>
          <w:trHeight w:val="284"/>
        </w:trPr>
        <w:tc>
          <w:tcPr>
            <w:tcW w:w="3008"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250 пг/мл</w:t>
            </w:r>
          </w:p>
        </w:tc>
        <w:tc>
          <w:tcPr>
            <w:tcW w:w="3392"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50 мкл</w:t>
            </w:r>
          </w:p>
        </w:tc>
        <w:tc>
          <w:tcPr>
            <w:tcW w:w="3171"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150 мкл</w:t>
            </w:r>
          </w:p>
        </w:tc>
      </w:tr>
      <w:tr w:rsidR="009144E7" w:rsidRPr="00D54FB0" w:rsidTr="009144E7">
        <w:trPr>
          <w:trHeight w:val="284"/>
        </w:trPr>
        <w:tc>
          <w:tcPr>
            <w:tcW w:w="3008"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100 пг/мл</w:t>
            </w:r>
          </w:p>
        </w:tc>
        <w:tc>
          <w:tcPr>
            <w:tcW w:w="3392"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20 мкл</w:t>
            </w:r>
          </w:p>
        </w:tc>
        <w:tc>
          <w:tcPr>
            <w:tcW w:w="3171"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180 мкл</w:t>
            </w:r>
          </w:p>
        </w:tc>
      </w:tr>
      <w:tr w:rsidR="009144E7" w:rsidRPr="00D54FB0" w:rsidTr="009144E7">
        <w:trPr>
          <w:trHeight w:val="284"/>
        </w:trPr>
        <w:tc>
          <w:tcPr>
            <w:tcW w:w="3008"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50 пг/мл</w:t>
            </w:r>
          </w:p>
        </w:tc>
        <w:tc>
          <w:tcPr>
            <w:tcW w:w="3392"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10 мкл</w:t>
            </w:r>
          </w:p>
        </w:tc>
        <w:tc>
          <w:tcPr>
            <w:tcW w:w="3171" w:type="dxa"/>
          </w:tcPr>
          <w:p w:rsidR="009144E7" w:rsidRPr="00D54FB0" w:rsidRDefault="009144E7" w:rsidP="009144E7">
            <w:pPr>
              <w:spacing w:line="360" w:lineRule="auto"/>
              <w:ind w:firstLine="720"/>
              <w:jc w:val="both"/>
              <w:rPr>
                <w:sz w:val="24"/>
                <w:szCs w:val="24"/>
                <w:lang w:val="uk-UA"/>
              </w:rPr>
            </w:pPr>
            <w:r w:rsidRPr="00D54FB0">
              <w:rPr>
                <w:sz w:val="24"/>
                <w:szCs w:val="24"/>
                <w:lang w:val="uk-UA"/>
              </w:rPr>
              <w:t>190 мкл</w:t>
            </w:r>
          </w:p>
        </w:tc>
      </w:tr>
    </w:tbl>
    <w:p w:rsidR="009144E7" w:rsidRPr="00AE030D" w:rsidRDefault="009144E7" w:rsidP="009144E7">
      <w:pPr>
        <w:spacing w:before="240" w:line="360" w:lineRule="auto"/>
        <w:ind w:firstLine="720"/>
        <w:jc w:val="both"/>
        <w:rPr>
          <w:sz w:val="28"/>
          <w:lang w:val="uk-UA"/>
        </w:rPr>
      </w:pPr>
      <w:r w:rsidRPr="00AE030D">
        <w:rPr>
          <w:sz w:val="28"/>
          <w:lang w:val="uk-UA"/>
        </w:rPr>
        <w:t xml:space="preserve">В усі лунки мікропланшета вносили по 100 мкл біотінільованих моноклональних антитіл, потім по 100 мкл досліджуваної плазми, инкубували протягом 1 години при температурі 37° С, після чого промивали їх буфером, вносили в лунки по 200 мкл розчину стрептовідину з пероксидазой хрону </w:t>
      </w:r>
      <w:r>
        <w:rPr>
          <w:sz w:val="28"/>
          <w:lang w:val="uk-UA"/>
        </w:rPr>
        <w:t>та</w:t>
      </w:r>
      <w:r w:rsidRPr="00AE030D">
        <w:rPr>
          <w:sz w:val="28"/>
          <w:lang w:val="uk-UA"/>
        </w:rPr>
        <w:t xml:space="preserve"> </w:t>
      </w:r>
      <w:r>
        <w:rPr>
          <w:sz w:val="28"/>
          <w:lang w:val="uk-UA"/>
        </w:rPr>
        <w:t>і</w:t>
      </w:r>
      <w:r w:rsidRPr="00AE030D">
        <w:rPr>
          <w:sz w:val="28"/>
          <w:lang w:val="uk-UA"/>
        </w:rPr>
        <w:t xml:space="preserve">нкубували 30 хвилин. Потім лунки тричі промивали буфером і вносили по 200 мкл розчину субстрату з барвником  в усі лунки. Після інкубації протягом 15-25 хвилин додавали 50 мкл розчину сірчаної кислоти в кожну лунку для зупинки реакції. </w:t>
      </w:r>
    </w:p>
    <w:p w:rsidR="009144E7" w:rsidRPr="001854F2" w:rsidRDefault="009144E7" w:rsidP="009144E7">
      <w:pPr>
        <w:spacing w:line="360" w:lineRule="auto"/>
        <w:ind w:firstLine="709"/>
        <w:jc w:val="both"/>
        <w:rPr>
          <w:rFonts w:ascii="Times New Roman" w:hAnsi="Times New Roman"/>
          <w:sz w:val="28"/>
          <w:szCs w:val="28"/>
          <w:lang w:val="uk-UA" w:eastAsia="ru-RU"/>
        </w:rPr>
      </w:pPr>
      <w:r w:rsidRPr="00AE030D">
        <w:rPr>
          <w:sz w:val="28"/>
          <w:lang w:val="uk-UA"/>
        </w:rPr>
        <w:t>Підрахунок результатів проводили з використанням фотометра-аналізатора імуноферментного Humareader, 2003 р., № 2106-1709, при довжині хвилі 492 нм.</w:t>
      </w:r>
    </w:p>
    <w:p w:rsidR="009144E7" w:rsidRDefault="009144E7" w:rsidP="009144E7">
      <w:pPr>
        <w:spacing w:after="0" w:line="360" w:lineRule="auto"/>
        <w:ind w:firstLine="709"/>
        <w:jc w:val="both"/>
        <w:rPr>
          <w:rFonts w:ascii="Times New Roman" w:hAnsi="Times New Roman"/>
          <w:b/>
          <w:sz w:val="28"/>
          <w:szCs w:val="28"/>
          <w:lang w:val="uk-UA" w:eastAsia="ru-RU"/>
        </w:rPr>
      </w:pPr>
      <w:r w:rsidRPr="007332A8">
        <w:rPr>
          <w:rFonts w:ascii="Times New Roman" w:hAnsi="Times New Roman"/>
          <w:b/>
          <w:sz w:val="28"/>
          <w:szCs w:val="28"/>
          <w:lang w:val="uk-UA" w:eastAsia="ru-RU"/>
        </w:rPr>
        <w:t>2.3 Статистичні методи дослідження.</w:t>
      </w:r>
    </w:p>
    <w:p w:rsidR="009144E7" w:rsidRPr="002B3D84" w:rsidRDefault="009144E7" w:rsidP="009144E7">
      <w:pPr>
        <w:spacing w:after="0" w:line="360" w:lineRule="auto"/>
        <w:ind w:firstLine="709"/>
        <w:jc w:val="both"/>
        <w:rPr>
          <w:rFonts w:cstheme="minorHAnsi"/>
          <w:sz w:val="28"/>
          <w:szCs w:val="28"/>
          <w:lang w:val="uk-UA" w:eastAsia="ru-RU"/>
        </w:rPr>
      </w:pPr>
      <w:r w:rsidRPr="002B3D84">
        <w:rPr>
          <w:rFonts w:cstheme="minorHAnsi"/>
          <w:sz w:val="28"/>
          <w:szCs w:val="28"/>
          <w:lang w:val="uk-UA" w:eastAsia="ru-RU"/>
        </w:rPr>
        <w:t>Статистичну обробку даних проводили за допомогою пакету статистичних програм Statistica 6.0. На першому етапі проводили візуальний аналіз даних, визначали характер кривих розподілів і вибирали відповідні методи аналізу. Для параметричного аналізу використовували блок базових статистик. Оцінку значимостей відмінностей середніх проводили за допомогою ANOVA. Для аналізу непараметричних даних використовував блок непараметрич</w:t>
      </w:r>
      <w:r>
        <w:rPr>
          <w:rFonts w:cstheme="minorHAnsi"/>
          <w:sz w:val="28"/>
          <w:szCs w:val="28"/>
          <w:lang w:val="uk-UA" w:eastAsia="ru-RU"/>
        </w:rPr>
        <w:t>них</w:t>
      </w:r>
      <w:r w:rsidRPr="002B3D84">
        <w:rPr>
          <w:rFonts w:cstheme="minorHAnsi"/>
          <w:sz w:val="28"/>
          <w:szCs w:val="28"/>
          <w:lang w:val="uk-UA" w:eastAsia="ru-RU"/>
        </w:rPr>
        <w:t xml:space="preserve"> статистик, методи </w:t>
      </w:r>
      <w:r>
        <w:rPr>
          <w:rFonts w:cstheme="minorHAnsi"/>
          <w:sz w:val="28"/>
          <w:szCs w:val="28"/>
          <w:lang w:val="uk-UA" w:eastAsia="ru-RU"/>
        </w:rPr>
        <w:t>о</w:t>
      </w:r>
      <w:r w:rsidRPr="002B3D84">
        <w:rPr>
          <w:rFonts w:cstheme="minorHAnsi"/>
          <w:sz w:val="28"/>
          <w:szCs w:val="28"/>
          <w:lang w:val="uk-UA" w:eastAsia="ru-RU"/>
        </w:rPr>
        <w:t>б</w:t>
      </w:r>
      <w:r>
        <w:rPr>
          <w:rFonts w:cstheme="minorHAnsi"/>
          <w:sz w:val="28"/>
          <w:szCs w:val="28"/>
          <w:lang w:val="uk-UA" w:eastAsia="ru-RU"/>
        </w:rPr>
        <w:t>и</w:t>
      </w:r>
      <w:r w:rsidRPr="002B3D84">
        <w:rPr>
          <w:rFonts w:cstheme="minorHAnsi"/>
          <w:sz w:val="28"/>
          <w:szCs w:val="28"/>
          <w:lang w:val="uk-UA" w:eastAsia="ru-RU"/>
        </w:rPr>
        <w:t xml:space="preserve">ралися у відповідності з </w:t>
      </w:r>
      <w:r w:rsidRPr="002B3D84">
        <w:rPr>
          <w:rFonts w:cstheme="minorHAnsi"/>
          <w:sz w:val="28"/>
          <w:szCs w:val="28"/>
          <w:lang w:val="uk-UA" w:eastAsia="ru-RU"/>
        </w:rPr>
        <w:lastRenderedPageBreak/>
        <w:t>характером аналізованих даних. При аналізі за допомогою ч</w:t>
      </w:r>
      <w:r>
        <w:rPr>
          <w:rFonts w:cstheme="minorHAnsi"/>
          <w:sz w:val="28"/>
          <w:szCs w:val="28"/>
          <w:lang w:val="uk-UA" w:eastAsia="ru-RU"/>
        </w:rPr>
        <w:t>о</w:t>
      </w:r>
      <w:r w:rsidRPr="002B3D84">
        <w:rPr>
          <w:rFonts w:cstheme="minorHAnsi"/>
          <w:sz w:val="28"/>
          <w:szCs w:val="28"/>
          <w:lang w:val="uk-UA" w:eastAsia="ru-RU"/>
        </w:rPr>
        <w:t>тир</w:t>
      </w:r>
      <w:r>
        <w:rPr>
          <w:rFonts w:cstheme="minorHAnsi"/>
          <w:sz w:val="28"/>
          <w:szCs w:val="28"/>
          <w:lang w:val="uk-UA" w:eastAsia="ru-RU"/>
        </w:rPr>
        <w:t>и</w:t>
      </w:r>
      <w:r w:rsidRPr="002B3D84">
        <w:rPr>
          <w:rFonts w:cstheme="minorHAnsi"/>
          <w:sz w:val="28"/>
          <w:szCs w:val="28"/>
          <w:lang w:val="uk-UA" w:eastAsia="ru-RU"/>
        </w:rPr>
        <w:t>польни</w:t>
      </w:r>
      <w:r>
        <w:rPr>
          <w:rFonts w:cstheme="minorHAnsi"/>
          <w:sz w:val="28"/>
          <w:szCs w:val="28"/>
          <w:lang w:val="uk-UA" w:eastAsia="ru-RU"/>
        </w:rPr>
        <w:t>х</w:t>
      </w:r>
      <w:r w:rsidRPr="002B3D84">
        <w:rPr>
          <w:rFonts w:cstheme="minorHAnsi"/>
          <w:sz w:val="28"/>
          <w:szCs w:val="28"/>
          <w:lang w:val="uk-UA" w:eastAsia="ru-RU"/>
        </w:rPr>
        <w:t xml:space="preserve"> таблиць результати оцінювали в з</w:t>
      </w:r>
      <w:r>
        <w:rPr>
          <w:rFonts w:cstheme="minorHAnsi"/>
          <w:sz w:val="28"/>
          <w:szCs w:val="28"/>
          <w:lang w:val="uk-UA" w:eastAsia="ru-RU"/>
        </w:rPr>
        <w:t>алежності</w:t>
      </w:r>
      <w:r w:rsidRPr="002B3D84">
        <w:rPr>
          <w:rFonts w:cstheme="minorHAnsi"/>
          <w:sz w:val="28"/>
          <w:szCs w:val="28"/>
          <w:lang w:val="uk-UA" w:eastAsia="ru-RU"/>
        </w:rPr>
        <w:t xml:space="preserve"> від вихідних даних за критерієм Хі квадрат (при необхідності з поправкою Йеті) або по точному критері</w:t>
      </w:r>
      <w:r>
        <w:rPr>
          <w:rFonts w:cstheme="minorHAnsi"/>
          <w:sz w:val="28"/>
          <w:szCs w:val="28"/>
          <w:lang w:val="uk-UA" w:eastAsia="ru-RU"/>
        </w:rPr>
        <w:t>ю</w:t>
      </w:r>
      <w:r w:rsidRPr="002B3D84">
        <w:rPr>
          <w:rFonts w:cstheme="minorHAnsi"/>
          <w:sz w:val="28"/>
          <w:szCs w:val="28"/>
          <w:lang w:val="uk-UA" w:eastAsia="ru-RU"/>
        </w:rPr>
        <w:t xml:space="preserve"> Фішера. При проведенні факторного аналізу на першому етапі оцінювалася кількість значущих чинників, а потім проводився сам аналіз, за </w:t>
      </w:r>
      <w:r w:rsidRPr="002B3D84">
        <w:rPr>
          <w:rFonts w:ascii="Cambria Math" w:hAnsi="Cambria Math" w:cs="Cambria Math"/>
          <w:sz w:val="28"/>
          <w:szCs w:val="28"/>
          <w:lang w:val="uk-UA" w:eastAsia="ru-RU"/>
        </w:rPr>
        <w:t>​​</w:t>
      </w:r>
      <w:r w:rsidRPr="002B3D84">
        <w:rPr>
          <w:rFonts w:ascii="Times New Roman" w:hAnsi="Times New Roman" w:cs="Times New Roman"/>
          <w:sz w:val="28"/>
          <w:szCs w:val="28"/>
          <w:lang w:val="uk-UA" w:eastAsia="ru-RU"/>
        </w:rPr>
        <w:t>стандартною</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процедурою</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Використовувався</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тип</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обертання</w:t>
      </w:r>
      <w:r w:rsidRPr="002B3D84">
        <w:rPr>
          <w:rFonts w:cstheme="minorHAnsi"/>
          <w:sz w:val="28"/>
          <w:szCs w:val="28"/>
          <w:lang w:val="uk-UA" w:eastAsia="ru-RU"/>
        </w:rPr>
        <w:t xml:space="preserve"> - </w:t>
      </w:r>
      <w:r>
        <w:rPr>
          <w:rFonts w:ascii="Times New Roman" w:hAnsi="Times New Roman" w:cs="Times New Roman"/>
          <w:sz w:val="28"/>
          <w:szCs w:val="28"/>
          <w:lang w:val="uk-UA" w:eastAsia="ru-RU"/>
        </w:rPr>
        <w:t>варі</w:t>
      </w:r>
      <w:r w:rsidRPr="002B3D84">
        <w:rPr>
          <w:rFonts w:ascii="Times New Roman" w:hAnsi="Times New Roman" w:cs="Times New Roman"/>
          <w:sz w:val="28"/>
          <w:szCs w:val="28"/>
          <w:lang w:val="uk-UA" w:eastAsia="ru-RU"/>
        </w:rPr>
        <w:t>макс</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нормалізованності</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як</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найбільш</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адекватний</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для</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характеру</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наявних</w:t>
      </w:r>
      <w:r w:rsidRPr="002B3D84">
        <w:rPr>
          <w:rFonts w:cstheme="minorHAnsi"/>
          <w:sz w:val="28"/>
          <w:szCs w:val="28"/>
          <w:lang w:val="uk-UA" w:eastAsia="ru-RU"/>
        </w:rPr>
        <w:t xml:space="preserve"> </w:t>
      </w:r>
      <w:r w:rsidRPr="002B3D84">
        <w:rPr>
          <w:rFonts w:ascii="Times New Roman" w:hAnsi="Times New Roman" w:cs="Times New Roman"/>
          <w:sz w:val="28"/>
          <w:szCs w:val="28"/>
          <w:lang w:val="uk-UA" w:eastAsia="ru-RU"/>
        </w:rPr>
        <w:t>даних</w:t>
      </w:r>
      <w:r w:rsidRPr="002B3D84">
        <w:rPr>
          <w:rFonts w:cstheme="minorHAnsi"/>
          <w:sz w:val="28"/>
          <w:szCs w:val="28"/>
          <w:lang w:val="uk-UA" w:eastAsia="ru-RU"/>
        </w:rPr>
        <w:t xml:space="preserve">. </w:t>
      </w:r>
    </w:p>
    <w:p w:rsidR="009144E7" w:rsidRPr="001854F2" w:rsidRDefault="009144E7" w:rsidP="009144E7">
      <w:pPr>
        <w:spacing w:line="360" w:lineRule="auto"/>
        <w:ind w:firstLine="709"/>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Default="009144E7" w:rsidP="003A0A00">
      <w:pPr>
        <w:jc w:val="both"/>
        <w:rPr>
          <w:sz w:val="28"/>
          <w:szCs w:val="28"/>
        </w:rPr>
      </w:pPr>
    </w:p>
    <w:p w:rsidR="009144E7" w:rsidRPr="009144E7" w:rsidRDefault="009144E7" w:rsidP="009144E7">
      <w:pPr>
        <w:spacing w:line="360" w:lineRule="auto"/>
        <w:jc w:val="center"/>
        <w:rPr>
          <w:b/>
          <w:sz w:val="28"/>
          <w:szCs w:val="28"/>
          <w:lang w:val="uk-UA"/>
        </w:rPr>
      </w:pPr>
      <w:r w:rsidRPr="009144E7">
        <w:rPr>
          <w:b/>
          <w:sz w:val="28"/>
          <w:szCs w:val="28"/>
          <w:lang w:val="uk-UA"/>
        </w:rPr>
        <w:lastRenderedPageBreak/>
        <w:t>ГЛАВА 3</w:t>
      </w:r>
    </w:p>
    <w:p w:rsidR="009144E7" w:rsidRPr="009144E7" w:rsidRDefault="009144E7" w:rsidP="009144E7">
      <w:pPr>
        <w:spacing w:line="360" w:lineRule="auto"/>
        <w:jc w:val="center"/>
        <w:rPr>
          <w:b/>
          <w:sz w:val="28"/>
          <w:szCs w:val="28"/>
          <w:lang w:val="uk-UA"/>
        </w:rPr>
      </w:pPr>
      <w:r w:rsidRPr="009144E7">
        <w:rPr>
          <w:b/>
          <w:sz w:val="28"/>
          <w:szCs w:val="28"/>
          <w:lang w:val="uk-UA"/>
        </w:rPr>
        <w:t>ВЛАСНІ СПОСТЕРЕЖЕННЯ</w:t>
      </w:r>
    </w:p>
    <w:p w:rsidR="009144E7" w:rsidRPr="009144E7" w:rsidRDefault="009144E7" w:rsidP="009144E7">
      <w:pPr>
        <w:spacing w:line="360" w:lineRule="auto"/>
        <w:jc w:val="both"/>
        <w:rPr>
          <w:b/>
          <w:sz w:val="28"/>
          <w:szCs w:val="28"/>
          <w:lang w:val="uk-UA"/>
        </w:rPr>
      </w:pPr>
      <w:r w:rsidRPr="009144E7">
        <w:rPr>
          <w:b/>
          <w:sz w:val="28"/>
          <w:szCs w:val="28"/>
          <w:lang w:val="uk-UA"/>
        </w:rPr>
        <w:t>3.1 ПОШИРЕНІСТЬ ПЛАЗМІД-ІНДУКОВАНИХ МЕХАНІЗМІВ РЕЗИСТЕНТНОСТІ СЕРЕД ХВОРИХ НА ХРОНІЧНИЙ ПІЄЛОНЕФРИТ І СУПУТНІЙ ЦУКРОВИЙ ДІАБЕТ 2 ТИПУ.</w:t>
      </w:r>
    </w:p>
    <w:p w:rsidR="009144E7" w:rsidRPr="009144E7" w:rsidRDefault="009144E7" w:rsidP="009144E7">
      <w:pPr>
        <w:spacing w:after="0" w:line="360" w:lineRule="auto"/>
        <w:ind w:firstLine="709"/>
        <w:jc w:val="both"/>
        <w:rPr>
          <w:rFonts w:eastAsia="Times New Roman" w:cstheme="minorHAnsi"/>
          <w:sz w:val="28"/>
          <w:szCs w:val="28"/>
          <w:lang w:val="uk-UA" w:eastAsia="ru-RU"/>
        </w:rPr>
      </w:pPr>
      <w:r w:rsidRPr="009144E7">
        <w:rPr>
          <w:sz w:val="28"/>
          <w:szCs w:val="28"/>
          <w:lang w:val="uk-UA"/>
        </w:rPr>
        <w:t xml:space="preserve">Поширеність плазмід-індукованих механізмів резистентності серед хворих з ІСС варіює між країнами. Так, згідно опублікованих даних дослідження </w:t>
      </w:r>
      <w:r w:rsidRPr="009144E7">
        <w:rPr>
          <w:rFonts w:cstheme="minorHAnsi"/>
          <w:color w:val="000000" w:themeColor="text1"/>
          <w:sz w:val="28"/>
          <w:szCs w:val="28"/>
          <w:lang w:val="en-US"/>
        </w:rPr>
        <w:t>SENTRY</w:t>
      </w:r>
      <w:r w:rsidRPr="009144E7">
        <w:rPr>
          <w:rFonts w:cstheme="minorHAnsi"/>
          <w:color w:val="000000" w:themeColor="text1"/>
          <w:sz w:val="28"/>
          <w:szCs w:val="28"/>
          <w:lang w:val="uk-UA"/>
        </w:rPr>
        <w:t>, поширеність плазмідних механізмів стійкості до β-лактамів серед таких хворих складає 6,4% [</w:t>
      </w:r>
      <w:r w:rsidRPr="009144E7">
        <w:rPr>
          <w:color w:val="000000" w:themeColor="text1"/>
          <w:sz w:val="28"/>
          <w:szCs w:val="28"/>
          <w:lang w:val="uk-UA"/>
        </w:rPr>
        <w:t>29</w:t>
      </w:r>
      <w:r w:rsidRPr="009144E7">
        <w:rPr>
          <w:rFonts w:cstheme="minorHAnsi"/>
          <w:color w:val="000000" w:themeColor="text1"/>
          <w:sz w:val="28"/>
          <w:szCs w:val="28"/>
          <w:lang w:val="uk-UA"/>
        </w:rPr>
        <w:t xml:space="preserve">]. Щодо плазмід-індукованої резистентності до фторхінолонів, </w:t>
      </w:r>
      <w:r w:rsidRPr="009144E7">
        <w:rPr>
          <w:rFonts w:eastAsia="Times New Roman" w:cstheme="minorHAnsi"/>
          <w:sz w:val="28"/>
          <w:szCs w:val="28"/>
          <w:lang w:val="en-US" w:eastAsia="ru-RU"/>
        </w:rPr>
        <w:t>Longhi</w:t>
      </w:r>
      <w:r w:rsidRPr="009144E7">
        <w:rPr>
          <w:rFonts w:eastAsia="Times New Roman" w:cstheme="minorHAnsi"/>
          <w:sz w:val="28"/>
          <w:szCs w:val="28"/>
          <w:lang w:val="uk-UA" w:eastAsia="ru-RU"/>
        </w:rPr>
        <w:t xml:space="preserve"> </w:t>
      </w:r>
      <w:r w:rsidRPr="009144E7">
        <w:rPr>
          <w:rFonts w:eastAsia="Times New Roman" w:cstheme="minorHAnsi"/>
          <w:sz w:val="28"/>
          <w:szCs w:val="28"/>
          <w:lang w:val="en-US" w:eastAsia="ru-RU"/>
        </w:rPr>
        <w:t>C</w:t>
      </w:r>
      <w:r w:rsidRPr="009144E7">
        <w:rPr>
          <w:sz w:val="28"/>
          <w:szCs w:val="28"/>
          <w:lang w:val="uk-UA"/>
        </w:rPr>
        <w:t xml:space="preserve"> та соавт. в своєму дослідженні демонструють такі рівні: 11% для амбулаторних пацієнтів з ІСС та 21% - для госпіталізованих </w:t>
      </w:r>
      <w:r w:rsidRPr="009144E7">
        <w:rPr>
          <w:rFonts w:cstheme="minorHAnsi"/>
          <w:sz w:val="28"/>
          <w:szCs w:val="28"/>
          <w:lang w:val="uk-UA"/>
        </w:rPr>
        <w:t>[</w:t>
      </w:r>
      <w:r w:rsidRPr="009144E7">
        <w:rPr>
          <w:rFonts w:eastAsia="Times New Roman" w:cstheme="minorHAnsi"/>
          <w:sz w:val="28"/>
          <w:szCs w:val="28"/>
          <w:lang w:val="uk-UA" w:eastAsia="ru-RU"/>
        </w:rPr>
        <w:t xml:space="preserve">75]. </w:t>
      </w:r>
      <w:r w:rsidRPr="009144E7">
        <w:rPr>
          <w:sz w:val="28"/>
          <w:szCs w:val="28"/>
          <w:lang w:val="uk-UA"/>
        </w:rPr>
        <w:t xml:space="preserve">Поширеність плазмід-індукованих механізмів резистентності серед збудників ІСС згідно даних дослідження </w:t>
      </w:r>
      <w:r w:rsidRPr="009144E7">
        <w:rPr>
          <w:sz w:val="28"/>
          <w:szCs w:val="28"/>
          <w:lang w:val="en-US"/>
        </w:rPr>
        <w:t>SMART</w:t>
      </w:r>
      <w:r w:rsidRPr="009144E7">
        <w:rPr>
          <w:sz w:val="28"/>
          <w:szCs w:val="28"/>
          <w:lang w:val="uk-UA"/>
        </w:rPr>
        <w:t xml:space="preserve"> складає 11,6% для E. coli і 17,9% для K.pneumoniae </w:t>
      </w:r>
      <w:r w:rsidRPr="009144E7">
        <w:rPr>
          <w:rFonts w:cstheme="minorHAnsi"/>
          <w:sz w:val="28"/>
          <w:szCs w:val="28"/>
          <w:lang w:val="uk-UA"/>
        </w:rPr>
        <w:t>[56].</w:t>
      </w:r>
      <w:r w:rsidRPr="009144E7">
        <w:rPr>
          <w:sz w:val="28"/>
          <w:szCs w:val="28"/>
          <w:lang w:val="uk-UA"/>
        </w:rPr>
        <w:t xml:space="preserve"> А річний звіт європейської громади з епіднагляду за антимікробною резистентністю (EARS-Net) за 2012 рік, наголошує о 85-100% наявності плазмідних βЛРС серед уропатогенних штамів E. coli і K.pneumoniae, резистентних до 3-ї генерації цефалоспоринів </w:t>
      </w:r>
      <w:r w:rsidRPr="009144E7">
        <w:rPr>
          <w:rFonts w:cstheme="minorHAnsi"/>
          <w:bCs/>
          <w:iCs/>
          <w:sz w:val="28"/>
          <w:szCs w:val="28"/>
          <w:lang w:val="uk-UA"/>
        </w:rPr>
        <w:t>[38</w:t>
      </w:r>
      <w:r w:rsidRPr="009144E7">
        <w:rPr>
          <w:sz w:val="28"/>
          <w:szCs w:val="28"/>
          <w:lang w:val="uk-UA"/>
        </w:rPr>
        <w:t>].</w:t>
      </w:r>
      <w:r w:rsidRPr="009144E7">
        <w:rPr>
          <w:rFonts w:cstheme="minorHAnsi"/>
          <w:sz w:val="28"/>
          <w:szCs w:val="28"/>
          <w:lang w:val="uk-UA"/>
        </w:rPr>
        <w:t xml:space="preserve"> </w:t>
      </w:r>
      <w:r w:rsidRPr="009144E7">
        <w:rPr>
          <w:sz w:val="28"/>
          <w:szCs w:val="28"/>
          <w:lang w:val="uk-UA"/>
        </w:rPr>
        <w:t xml:space="preserve">Однак, </w:t>
      </w:r>
      <w:r w:rsidRPr="009144E7">
        <w:rPr>
          <w:rFonts w:eastAsia="Times New Roman" w:cstheme="minorHAnsi"/>
          <w:sz w:val="28"/>
          <w:szCs w:val="28"/>
          <w:lang w:val="uk-UA" w:eastAsia="ru-RU"/>
        </w:rPr>
        <w:t xml:space="preserve">в Україні, даних щодо розповсюдженості плазмід-індукованих механізмів резистентності серед пацієнтів з інфекціями сечової системи, зокрема ХП, нема. </w:t>
      </w:r>
    </w:p>
    <w:p w:rsidR="009144E7" w:rsidRPr="009144E7" w:rsidRDefault="009144E7" w:rsidP="009144E7">
      <w:pPr>
        <w:spacing w:line="360" w:lineRule="auto"/>
        <w:ind w:firstLine="709"/>
        <w:jc w:val="both"/>
        <w:rPr>
          <w:rFonts w:ascii="Times New Roman" w:hAnsi="Times New Roman" w:cs="Times New Roman"/>
          <w:color w:val="000000"/>
          <w:sz w:val="28"/>
          <w:szCs w:val="28"/>
          <w:lang w:val="uk-UA"/>
        </w:rPr>
      </w:pPr>
      <w:r w:rsidRPr="009144E7">
        <w:rPr>
          <w:sz w:val="28"/>
          <w:szCs w:val="28"/>
          <w:lang w:val="uk-UA"/>
        </w:rPr>
        <w:t xml:space="preserve">Тому, </w:t>
      </w:r>
      <w:r w:rsidRPr="009144E7">
        <w:rPr>
          <w:rFonts w:cstheme="minorHAnsi"/>
          <w:sz w:val="28"/>
          <w:szCs w:val="28"/>
          <w:lang w:val="uk-UA"/>
        </w:rPr>
        <w:t xml:space="preserve">завданням нашого дослідження було вивчити поширеність плазмід-індукованих механізмів резистентності серед хворих на хронічний пієлонефрит з і без супутнього ЦД 2 типу, та визначити основні види бактерій з наявністю плазмідних генів резистентності.  </w:t>
      </w:r>
    </w:p>
    <w:p w:rsidR="009144E7" w:rsidRPr="009144E7" w:rsidRDefault="009144E7" w:rsidP="009144E7">
      <w:pPr>
        <w:spacing w:line="360" w:lineRule="auto"/>
        <w:ind w:firstLine="709"/>
        <w:jc w:val="both"/>
        <w:rPr>
          <w:rFonts w:cstheme="minorHAnsi"/>
          <w:b/>
          <w:color w:val="000000" w:themeColor="text1"/>
          <w:sz w:val="28"/>
          <w:szCs w:val="28"/>
          <w:lang w:val="uk-UA"/>
        </w:rPr>
      </w:pPr>
      <w:r w:rsidRPr="009144E7">
        <w:rPr>
          <w:rFonts w:cstheme="minorHAnsi"/>
          <w:b/>
          <w:color w:val="000000" w:themeColor="text1"/>
          <w:sz w:val="28"/>
          <w:szCs w:val="28"/>
          <w:lang w:val="uk-UA"/>
        </w:rPr>
        <w:t>3.1.1 Виявлення плазмід-індукованих механізмів антибіотико-резистентності у хворих на хронічний пієлонефрит.</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Серед обстежених 105 хворих на ХП, у 31 (29,5%) були виявлені плазмід-індуковані механізми резистентності, серед яких у 20 (19%) хворих </w:t>
      </w:r>
      <w:r w:rsidRPr="009144E7">
        <w:rPr>
          <w:sz w:val="28"/>
          <w:szCs w:val="28"/>
          <w:lang w:val="uk-UA"/>
        </w:rPr>
        <w:lastRenderedPageBreak/>
        <w:t xml:space="preserve">виявлені </w:t>
      </w:r>
      <w:r w:rsidRPr="009144E7">
        <w:rPr>
          <w:rFonts w:cstheme="minorHAnsi"/>
          <w:sz w:val="28"/>
          <w:szCs w:val="28"/>
          <w:lang w:val="uk-UA"/>
        </w:rPr>
        <w:t>β</w:t>
      </w:r>
      <w:r w:rsidRPr="009144E7">
        <w:rPr>
          <w:sz w:val="28"/>
          <w:szCs w:val="28"/>
          <w:lang w:val="uk-UA"/>
        </w:rPr>
        <w:t xml:space="preserve">ЛРС, у 9 (9%) – гени резистентності до фторхінолонів та у 2 (2%) хворих – комбінація </w:t>
      </w:r>
      <w:r w:rsidRPr="009144E7">
        <w:rPr>
          <w:rFonts w:cstheme="minorHAnsi"/>
          <w:sz w:val="28"/>
          <w:szCs w:val="28"/>
          <w:lang w:val="uk-UA"/>
        </w:rPr>
        <w:t>β</w:t>
      </w:r>
      <w:r w:rsidRPr="009144E7">
        <w:rPr>
          <w:sz w:val="28"/>
          <w:szCs w:val="28"/>
          <w:lang w:val="uk-UA"/>
        </w:rPr>
        <w:t>ЛРС і генів резистентності до фторхінолонів (малюнок 3.1).</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34DF0469" wp14:editId="6AB905B6">
            <wp:extent cx="5486400" cy="2904186"/>
            <wp:effectExtent l="0" t="0" r="19050" b="1079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3.1 Виявлення плазмід-індукованих механізмів резистентності у хворих на ХП.</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Всього було виявлено 44 плазмідних генів резистентності: 30 (68,2%) </w:t>
      </w:r>
      <w:r w:rsidRPr="009144E7">
        <w:rPr>
          <w:rFonts w:cstheme="minorHAnsi"/>
          <w:sz w:val="28"/>
          <w:szCs w:val="28"/>
          <w:lang w:val="uk-UA"/>
        </w:rPr>
        <w:t>β</w:t>
      </w:r>
      <w:r w:rsidRPr="009144E7">
        <w:rPr>
          <w:sz w:val="28"/>
          <w:szCs w:val="28"/>
          <w:lang w:val="uk-UA"/>
        </w:rPr>
        <w:t xml:space="preserve">ЛРС та 14 (31,8%) – генів стійкості до фторхінолонів. Серед 30 виявлених </w:t>
      </w:r>
      <w:r w:rsidRPr="009144E7">
        <w:rPr>
          <w:rFonts w:cstheme="minorHAnsi"/>
          <w:sz w:val="28"/>
          <w:szCs w:val="28"/>
          <w:lang w:val="uk-UA"/>
        </w:rPr>
        <w:t>β</w:t>
      </w:r>
      <w:r w:rsidRPr="009144E7">
        <w:rPr>
          <w:sz w:val="28"/>
          <w:szCs w:val="28"/>
          <w:lang w:val="uk-UA"/>
        </w:rPr>
        <w:t xml:space="preserve">ЛРС було 11 (25%) генів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11 (25%)</w:t>
      </w:r>
      <w:r w:rsidRPr="009144E7">
        <w:rPr>
          <w:sz w:val="28"/>
          <w:szCs w:val="28"/>
          <w:lang w:val="uk-UA"/>
        </w:rPr>
        <w:t xml:space="preserve"> –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sz w:val="28"/>
          <w:szCs w:val="28"/>
          <w:lang w:val="uk-UA"/>
        </w:rPr>
        <w:t xml:space="preserve"> та 8 (18,2%) – </w:t>
      </w:r>
      <w:r w:rsidRPr="009144E7">
        <w:rPr>
          <w:rFonts w:cstheme="minorHAnsi"/>
          <w:color w:val="000000" w:themeColor="text1"/>
          <w:sz w:val="28"/>
          <w:szCs w:val="28"/>
          <w:lang w:val="en-US"/>
        </w:rPr>
        <w:t>blaSHV</w:t>
      </w:r>
      <w:r w:rsidRPr="009144E7">
        <w:rPr>
          <w:rFonts w:cstheme="minorHAnsi"/>
          <w:color w:val="000000" w:themeColor="text1"/>
          <w:sz w:val="28"/>
          <w:szCs w:val="28"/>
          <w:lang w:val="uk-UA"/>
        </w:rPr>
        <w:t xml:space="preserve">. Серед генів резистентності до фторхінолонів було виявлено 4 (9,1%) протеїна </w:t>
      </w:r>
      <w:r w:rsidRPr="009144E7">
        <w:rPr>
          <w:rFonts w:cstheme="minorHAnsi"/>
          <w:sz w:val="28"/>
          <w:szCs w:val="28"/>
          <w:lang w:val="uk-UA"/>
        </w:rPr>
        <w:t>QnrА, 3 (6,8%) – аміноглікозид-ацетилтрансферази AAC(6')-Ib-cr, та 7 (15,9%) генів QepA (малюнок 3.2).</w:t>
      </w:r>
    </w:p>
    <w:p w:rsidR="009144E7" w:rsidRPr="009144E7" w:rsidRDefault="009144E7" w:rsidP="009144E7">
      <w:pPr>
        <w:spacing w:after="0" w:line="360" w:lineRule="auto"/>
        <w:ind w:firstLine="709"/>
        <w:jc w:val="both"/>
        <w:rPr>
          <w:rFonts w:cstheme="minorHAnsi"/>
          <w:sz w:val="28"/>
          <w:szCs w:val="28"/>
          <w:lang w:val="uk-UA"/>
        </w:rPr>
      </w:pPr>
      <w:r w:rsidRPr="009144E7">
        <w:rPr>
          <w:rFonts w:cstheme="minorHAnsi"/>
          <w:noProof/>
          <w:sz w:val="28"/>
          <w:szCs w:val="28"/>
          <w:lang w:eastAsia="ru-RU"/>
        </w:rPr>
        <w:lastRenderedPageBreak/>
        <w:drawing>
          <wp:inline distT="0" distB="0" distL="0" distR="0" wp14:anchorId="571D0197" wp14:editId="0ED2DBF8">
            <wp:extent cx="5486400" cy="3200400"/>
            <wp:effectExtent l="0" t="0" r="1905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144E7" w:rsidRPr="009144E7" w:rsidRDefault="009144E7" w:rsidP="009144E7">
      <w:pPr>
        <w:spacing w:line="360" w:lineRule="auto"/>
        <w:ind w:firstLine="709"/>
        <w:jc w:val="both"/>
        <w:rPr>
          <w:rFonts w:cstheme="minorHAnsi"/>
          <w:sz w:val="24"/>
          <w:szCs w:val="24"/>
          <w:lang w:val="uk-UA"/>
        </w:rPr>
      </w:pPr>
      <w:r w:rsidRPr="009144E7">
        <w:rPr>
          <w:rFonts w:cstheme="minorHAnsi"/>
          <w:sz w:val="24"/>
          <w:szCs w:val="24"/>
          <w:lang w:val="uk-UA"/>
        </w:rPr>
        <w:t>Мал. 3.2 Виявлення різних типів плазмід-індукованих механізмів резистентності у хворих на ХП.</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 xml:space="preserve">Отже, виявляємість плазмід-індукованих механізмів резистентності серед хворих на ХП складає 29,5%. Найпоширенішими генами визначені </w:t>
      </w:r>
      <w:r w:rsidRPr="009144E7">
        <w:rPr>
          <w:rFonts w:cstheme="minorHAnsi"/>
          <w:sz w:val="28"/>
          <w:szCs w:val="28"/>
          <w:lang w:val="uk-UA"/>
        </w:rPr>
        <w:t>β</w:t>
      </w:r>
      <w:r w:rsidRPr="009144E7">
        <w:rPr>
          <w:sz w:val="28"/>
          <w:szCs w:val="28"/>
          <w:lang w:val="uk-UA"/>
        </w:rPr>
        <w:t xml:space="preserve">ЛРС (19%), розповсюдження генів резистентності до фторхінолонів складає 9%, у 2% хворих – виявилася комбінація </w:t>
      </w:r>
      <w:r w:rsidRPr="009144E7">
        <w:rPr>
          <w:rFonts w:cstheme="minorHAnsi"/>
          <w:sz w:val="28"/>
          <w:szCs w:val="28"/>
          <w:lang w:val="uk-UA"/>
        </w:rPr>
        <w:t>β</w:t>
      </w:r>
      <w:r w:rsidRPr="009144E7">
        <w:rPr>
          <w:sz w:val="28"/>
          <w:szCs w:val="28"/>
          <w:lang w:val="uk-UA"/>
        </w:rPr>
        <w:t xml:space="preserve">ЛРС і генів стійкості до фторхінолонів. Серед </w:t>
      </w:r>
      <w:r w:rsidRPr="009144E7">
        <w:rPr>
          <w:rFonts w:cstheme="minorHAnsi"/>
          <w:sz w:val="28"/>
          <w:szCs w:val="28"/>
          <w:lang w:val="uk-UA"/>
        </w:rPr>
        <w:t>β</w:t>
      </w:r>
      <w:r w:rsidRPr="009144E7">
        <w:rPr>
          <w:sz w:val="28"/>
          <w:szCs w:val="28"/>
          <w:lang w:val="uk-UA"/>
        </w:rPr>
        <w:t xml:space="preserve">ЛРС, по виявляємості, домінували гени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xml:space="preserve">; серед генів резистентності до фторхінолонів – </w:t>
      </w:r>
      <w:r w:rsidRPr="009144E7">
        <w:rPr>
          <w:rFonts w:cstheme="minorHAnsi"/>
          <w:sz w:val="28"/>
          <w:szCs w:val="28"/>
          <w:lang w:val="uk-UA"/>
        </w:rPr>
        <w:t>efflux pump QepA.</w:t>
      </w:r>
      <w:r w:rsidRPr="009144E7">
        <w:rPr>
          <w:rFonts w:cstheme="minorHAnsi"/>
          <w:color w:val="000000" w:themeColor="text1"/>
          <w:sz w:val="28"/>
          <w:szCs w:val="28"/>
          <w:lang w:val="uk-UA"/>
        </w:rPr>
        <w:t xml:space="preserve"> </w:t>
      </w:r>
      <w:r w:rsidRPr="009144E7">
        <w:rPr>
          <w:sz w:val="28"/>
          <w:szCs w:val="28"/>
          <w:lang w:val="uk-UA"/>
        </w:rPr>
        <w:t xml:space="preserve"> </w:t>
      </w:r>
    </w:p>
    <w:p w:rsidR="009144E7" w:rsidRPr="009144E7" w:rsidRDefault="009144E7" w:rsidP="009144E7">
      <w:pPr>
        <w:spacing w:before="240" w:line="360" w:lineRule="auto"/>
        <w:ind w:firstLine="709"/>
        <w:jc w:val="both"/>
        <w:rPr>
          <w:sz w:val="28"/>
          <w:szCs w:val="28"/>
          <w:lang w:val="uk-UA"/>
        </w:rPr>
      </w:pPr>
      <w:r w:rsidRPr="009144E7">
        <w:rPr>
          <w:b/>
          <w:sz w:val="28"/>
          <w:szCs w:val="28"/>
          <w:lang w:val="uk-UA"/>
        </w:rPr>
        <w:t>3.1.2 Виявлення плазмід-індукованих механізмів резистентності в залежності від наявності супутнього цукрового діабету 2 типу.</w:t>
      </w:r>
      <w:r w:rsidRPr="009144E7">
        <w:rPr>
          <w:sz w:val="28"/>
          <w:szCs w:val="28"/>
          <w:lang w:val="uk-UA"/>
        </w:rPr>
        <w:t xml:space="preserve">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В залежності від наявності супутньої патології – ЦД 2 типу, хворі були розподілені на 2 групи: </w:t>
      </w:r>
      <w:r w:rsidRPr="009144E7">
        <w:rPr>
          <w:rFonts w:cstheme="minorHAnsi"/>
          <w:sz w:val="28"/>
          <w:szCs w:val="28"/>
          <w:lang w:val="uk-UA"/>
        </w:rPr>
        <w:t>І</w:t>
      </w:r>
      <w:r w:rsidRPr="009144E7">
        <w:rPr>
          <w:sz w:val="28"/>
          <w:szCs w:val="28"/>
          <w:lang w:val="uk-UA"/>
        </w:rPr>
        <w:t xml:space="preserve"> група – хворі на ХП із ЦД 2 типу, </w:t>
      </w:r>
      <w:r w:rsidRPr="009144E7">
        <w:rPr>
          <w:rFonts w:cstheme="minorHAnsi"/>
          <w:sz w:val="28"/>
          <w:szCs w:val="28"/>
          <w:lang w:val="uk-UA"/>
        </w:rPr>
        <w:t>ІІ</w:t>
      </w:r>
      <w:r w:rsidRPr="009144E7">
        <w:rPr>
          <w:sz w:val="28"/>
          <w:szCs w:val="28"/>
          <w:lang w:val="uk-UA"/>
        </w:rPr>
        <w:t xml:space="preserve"> група – пацієнти із ХП без ЦД 2 типу. У пацієнтів на ХП і ЦД 2 типу, виявляємість плазмід-індукованих механізмів резистентності дещо вища і становить 31,5% (23/73), тоді як у пацієнтів із ХП без діабету – 25% (8/32), проте достовірних відмінностей між групами не виявлено.</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В першій групі (</w:t>
      </w:r>
      <w:r w:rsidRPr="009144E7">
        <w:rPr>
          <w:rFonts w:cstheme="minorHAnsi"/>
          <w:color w:val="000000" w:themeColor="text1"/>
          <w:sz w:val="28"/>
          <w:szCs w:val="28"/>
          <w:lang w:val="en-US"/>
        </w:rPr>
        <w:t>n</w:t>
      </w:r>
      <w:r w:rsidRPr="009144E7">
        <w:rPr>
          <w:rFonts w:cstheme="minorHAnsi"/>
          <w:color w:val="000000" w:themeColor="text1"/>
          <w:sz w:val="28"/>
          <w:szCs w:val="28"/>
          <w:lang w:val="uk-UA"/>
        </w:rPr>
        <w:t>=73</w:t>
      </w:r>
      <w:r w:rsidRPr="009144E7">
        <w:rPr>
          <w:sz w:val="28"/>
          <w:szCs w:val="28"/>
          <w:lang w:val="uk-UA"/>
        </w:rPr>
        <w:t xml:space="preserve">), всього було виявлено 28 (38,4%) плазмідних генів резистентності: 20 генів </w:t>
      </w:r>
      <w:r w:rsidRPr="009144E7">
        <w:rPr>
          <w:rFonts w:cstheme="minorHAnsi"/>
          <w:color w:val="000000" w:themeColor="text1"/>
          <w:sz w:val="28"/>
          <w:szCs w:val="28"/>
          <w:lang w:val="uk-UA"/>
        </w:rPr>
        <w:t>βЛРС</w:t>
      </w:r>
      <w:r w:rsidRPr="009144E7">
        <w:rPr>
          <w:sz w:val="28"/>
          <w:szCs w:val="28"/>
          <w:lang w:val="uk-UA"/>
        </w:rPr>
        <w:t xml:space="preserve"> та 8 генів стійкості до фторхінолонів. </w:t>
      </w:r>
      <w:r w:rsidRPr="009144E7">
        <w:rPr>
          <w:rFonts w:cstheme="minorHAnsi"/>
          <w:color w:val="000000" w:themeColor="text1"/>
          <w:sz w:val="28"/>
          <w:szCs w:val="28"/>
          <w:lang w:val="uk-UA"/>
        </w:rPr>
        <w:t xml:space="preserve">В </w:t>
      </w:r>
      <w:r w:rsidRPr="009144E7">
        <w:rPr>
          <w:rFonts w:cstheme="minorHAnsi"/>
          <w:color w:val="000000" w:themeColor="text1"/>
          <w:sz w:val="28"/>
          <w:szCs w:val="28"/>
          <w:lang w:val="uk-UA"/>
        </w:rPr>
        <w:lastRenderedPageBreak/>
        <w:t>другій групі (</w:t>
      </w:r>
      <w:r w:rsidRPr="009144E7">
        <w:rPr>
          <w:rFonts w:cstheme="minorHAnsi"/>
          <w:color w:val="000000" w:themeColor="text1"/>
          <w:sz w:val="28"/>
          <w:szCs w:val="28"/>
          <w:lang w:val="en-US"/>
        </w:rPr>
        <w:t>n</w:t>
      </w:r>
      <w:r w:rsidRPr="009144E7">
        <w:rPr>
          <w:rFonts w:cstheme="minorHAnsi"/>
          <w:color w:val="000000" w:themeColor="text1"/>
          <w:sz w:val="28"/>
          <w:szCs w:val="28"/>
          <w:lang w:val="uk-UA"/>
        </w:rPr>
        <w:t xml:space="preserve">=32), було виявлено 16 (50%) плазмідних генів резистентності: 10 генів βЛРС та 6 – </w:t>
      </w:r>
      <w:r w:rsidRPr="009144E7">
        <w:rPr>
          <w:sz w:val="28"/>
          <w:szCs w:val="28"/>
          <w:lang w:val="uk-UA"/>
        </w:rPr>
        <w:t>генів стійкості до фторхінолонів (малюнок 3.3).</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4A4D71F7" wp14:editId="1819E567">
            <wp:extent cx="5486400" cy="2955701"/>
            <wp:effectExtent l="0" t="0" r="19050" b="1651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3.3 Виявлення плазмід-індукованих механізмів резистентності у хворих на ХП з і без супутнього ЦД 2 типу.</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 По типам виявлених генів, в </w:t>
      </w:r>
      <w:r w:rsidRPr="009144E7">
        <w:rPr>
          <w:rFonts w:cstheme="minorHAnsi"/>
          <w:sz w:val="28"/>
          <w:szCs w:val="28"/>
          <w:lang w:val="uk-UA"/>
        </w:rPr>
        <w:t>І</w:t>
      </w:r>
      <w:r w:rsidRPr="009144E7">
        <w:rPr>
          <w:sz w:val="28"/>
          <w:szCs w:val="28"/>
          <w:lang w:val="uk-UA"/>
        </w:rPr>
        <w:t xml:space="preserve"> групі серед </w:t>
      </w:r>
      <w:r w:rsidRPr="009144E7">
        <w:rPr>
          <w:rFonts w:cstheme="minorHAnsi"/>
          <w:color w:val="000000" w:themeColor="text1"/>
          <w:sz w:val="28"/>
          <w:szCs w:val="28"/>
          <w:lang w:val="uk-UA"/>
        </w:rPr>
        <w:t xml:space="preserve">βЛРС переважали типи </w:t>
      </w:r>
      <w:r w:rsidRPr="009144E7">
        <w:rPr>
          <w:sz w:val="28"/>
          <w:szCs w:val="28"/>
          <w:lang w:val="en-US"/>
        </w:rPr>
        <w:t>blaTEM</w:t>
      </w:r>
      <w:r w:rsidRPr="009144E7">
        <w:rPr>
          <w:sz w:val="28"/>
          <w:szCs w:val="28"/>
          <w:lang w:val="uk-UA"/>
        </w:rPr>
        <w:t xml:space="preserve"> і </w:t>
      </w:r>
      <w:r w:rsidRPr="009144E7">
        <w:rPr>
          <w:sz w:val="28"/>
          <w:szCs w:val="28"/>
          <w:lang w:val="en-US"/>
        </w:rPr>
        <w:t>blaCTX</w:t>
      </w:r>
      <w:r w:rsidRPr="009144E7">
        <w:rPr>
          <w:sz w:val="28"/>
          <w:szCs w:val="28"/>
          <w:lang w:val="uk-UA"/>
        </w:rPr>
        <w:t>-</w:t>
      </w:r>
      <w:r w:rsidRPr="009144E7">
        <w:rPr>
          <w:sz w:val="28"/>
          <w:szCs w:val="28"/>
          <w:lang w:val="en-US"/>
        </w:rPr>
        <w:t>M</w:t>
      </w:r>
      <w:r w:rsidRPr="009144E7">
        <w:rPr>
          <w:sz w:val="28"/>
          <w:szCs w:val="28"/>
          <w:lang w:val="uk-UA"/>
        </w:rPr>
        <w:t xml:space="preserve">, серед генів стійкості до фторхінолонів – протеїн </w:t>
      </w:r>
      <w:r w:rsidRPr="009144E7">
        <w:rPr>
          <w:rFonts w:cstheme="minorHAnsi"/>
          <w:sz w:val="28"/>
          <w:szCs w:val="28"/>
          <w:lang w:val="uk-UA"/>
        </w:rPr>
        <w:t xml:space="preserve">QnrА. В ІІ групі – серед </w:t>
      </w:r>
      <w:r w:rsidRPr="009144E7">
        <w:rPr>
          <w:rFonts w:cstheme="minorHAnsi"/>
          <w:color w:val="000000" w:themeColor="text1"/>
          <w:sz w:val="28"/>
          <w:szCs w:val="28"/>
          <w:lang w:val="uk-UA"/>
        </w:rPr>
        <w:t xml:space="preserve">βЛРС також переважали типи </w:t>
      </w:r>
      <w:r w:rsidRPr="009144E7">
        <w:rPr>
          <w:sz w:val="28"/>
          <w:szCs w:val="28"/>
          <w:lang w:val="en-US"/>
        </w:rPr>
        <w:t>blaTEM</w:t>
      </w:r>
      <w:r w:rsidRPr="009144E7">
        <w:rPr>
          <w:sz w:val="28"/>
          <w:szCs w:val="28"/>
          <w:lang w:val="uk-UA"/>
        </w:rPr>
        <w:t xml:space="preserve"> і </w:t>
      </w:r>
      <w:r w:rsidRPr="009144E7">
        <w:rPr>
          <w:sz w:val="28"/>
          <w:szCs w:val="28"/>
          <w:lang w:val="en-US"/>
        </w:rPr>
        <w:t>blaCTX</w:t>
      </w:r>
      <w:r w:rsidRPr="009144E7">
        <w:rPr>
          <w:sz w:val="28"/>
          <w:szCs w:val="28"/>
          <w:lang w:val="uk-UA"/>
        </w:rPr>
        <w:t>-</w:t>
      </w:r>
      <w:r w:rsidRPr="009144E7">
        <w:rPr>
          <w:sz w:val="28"/>
          <w:szCs w:val="28"/>
          <w:lang w:val="en-US"/>
        </w:rPr>
        <w:t>M</w:t>
      </w:r>
      <w:r w:rsidRPr="009144E7">
        <w:rPr>
          <w:sz w:val="28"/>
          <w:szCs w:val="28"/>
          <w:lang w:val="uk-UA"/>
        </w:rPr>
        <w:t xml:space="preserve">, серед генів стійкості до фторхінолонів – </w:t>
      </w:r>
      <w:r w:rsidRPr="009144E7">
        <w:rPr>
          <w:rFonts w:cstheme="minorHAnsi"/>
          <w:sz w:val="28"/>
          <w:szCs w:val="28"/>
          <w:lang w:val="uk-UA"/>
        </w:rPr>
        <w:t>efflux pump QepA (малюнок 3.4).</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34825DA3" wp14:editId="084EF90E">
            <wp:extent cx="5486400" cy="3000777"/>
            <wp:effectExtent l="0" t="0" r="19050"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3.4 Виявлення різних типів плазмід-індукованих механізмів резистентності у хворих на ХП з і без супутнього ЦД 2 типу.</w:t>
      </w:r>
    </w:p>
    <w:p w:rsidR="009144E7" w:rsidRPr="009144E7" w:rsidRDefault="009144E7" w:rsidP="009144E7">
      <w:pPr>
        <w:spacing w:line="360" w:lineRule="auto"/>
        <w:ind w:firstLine="709"/>
        <w:jc w:val="both"/>
        <w:rPr>
          <w:sz w:val="28"/>
          <w:szCs w:val="28"/>
          <w:lang w:val="uk-UA"/>
        </w:rPr>
      </w:pPr>
      <w:r w:rsidRPr="009144E7">
        <w:rPr>
          <w:sz w:val="28"/>
          <w:szCs w:val="28"/>
          <w:lang w:val="uk-UA"/>
        </w:rPr>
        <w:lastRenderedPageBreak/>
        <w:t xml:space="preserve">Отже, виявляємість плазмід-індукованих механізмів резистентності у хворих на ХП і супутнім ЦД 2 типу вище ніж у пацієнтів без діабету (31,5% </w:t>
      </w:r>
      <w:r w:rsidRPr="009144E7">
        <w:rPr>
          <w:sz w:val="28"/>
          <w:szCs w:val="28"/>
          <w:lang w:val="en-US"/>
        </w:rPr>
        <w:t>vs</w:t>
      </w:r>
      <w:r w:rsidRPr="009144E7">
        <w:rPr>
          <w:sz w:val="28"/>
          <w:szCs w:val="28"/>
          <w:lang w:val="uk-UA"/>
        </w:rPr>
        <w:t xml:space="preserve">. 25%), однак достовірних відмінностей між групами не виявлено. Серед генів стійкості до </w:t>
      </w:r>
      <w:r w:rsidRPr="009144E7">
        <w:rPr>
          <w:rFonts w:cstheme="minorHAnsi"/>
          <w:sz w:val="28"/>
          <w:szCs w:val="28"/>
          <w:lang w:val="uk-UA"/>
        </w:rPr>
        <w:t>β</w:t>
      </w:r>
      <w:r w:rsidRPr="009144E7">
        <w:rPr>
          <w:sz w:val="28"/>
          <w:szCs w:val="28"/>
          <w:lang w:val="uk-UA"/>
        </w:rPr>
        <w:t xml:space="preserve">-лактамів переважають </w:t>
      </w:r>
      <w:r w:rsidRPr="009144E7">
        <w:rPr>
          <w:rFonts w:cstheme="minorHAnsi"/>
          <w:sz w:val="28"/>
          <w:szCs w:val="28"/>
          <w:lang w:val="uk-UA"/>
        </w:rPr>
        <w:t>β</w:t>
      </w:r>
      <w:r w:rsidRPr="009144E7">
        <w:rPr>
          <w:sz w:val="28"/>
          <w:szCs w:val="28"/>
          <w:lang w:val="uk-UA"/>
        </w:rPr>
        <w:t xml:space="preserve">-лактамази типів </w:t>
      </w:r>
      <w:r w:rsidRPr="009144E7">
        <w:rPr>
          <w:sz w:val="28"/>
          <w:szCs w:val="28"/>
          <w:lang w:val="en-US"/>
        </w:rPr>
        <w:t>blaTEM</w:t>
      </w:r>
      <w:r w:rsidRPr="009144E7">
        <w:rPr>
          <w:sz w:val="28"/>
          <w:szCs w:val="28"/>
          <w:lang w:val="uk-UA"/>
        </w:rPr>
        <w:t xml:space="preserve"> і </w:t>
      </w:r>
      <w:r w:rsidRPr="009144E7">
        <w:rPr>
          <w:sz w:val="28"/>
          <w:szCs w:val="28"/>
          <w:lang w:val="en-US"/>
        </w:rPr>
        <w:t>blaCTX</w:t>
      </w:r>
      <w:r w:rsidRPr="009144E7">
        <w:rPr>
          <w:sz w:val="28"/>
          <w:szCs w:val="28"/>
          <w:lang w:val="uk-UA"/>
        </w:rPr>
        <w:t>-</w:t>
      </w:r>
      <w:r w:rsidRPr="009144E7">
        <w:rPr>
          <w:sz w:val="28"/>
          <w:szCs w:val="28"/>
          <w:lang w:val="en-US"/>
        </w:rPr>
        <w:t>M</w:t>
      </w:r>
      <w:r w:rsidRPr="009144E7">
        <w:rPr>
          <w:sz w:val="28"/>
          <w:szCs w:val="28"/>
          <w:lang w:val="uk-UA"/>
        </w:rPr>
        <w:t xml:space="preserve"> в обох групах, серед генів резистентності до фторхінолонів в </w:t>
      </w:r>
      <w:r w:rsidRPr="009144E7">
        <w:rPr>
          <w:rFonts w:cstheme="minorHAnsi"/>
          <w:sz w:val="28"/>
          <w:szCs w:val="28"/>
          <w:lang w:val="uk-UA"/>
        </w:rPr>
        <w:t>І</w:t>
      </w:r>
      <w:r w:rsidRPr="009144E7">
        <w:rPr>
          <w:sz w:val="28"/>
          <w:szCs w:val="28"/>
          <w:lang w:val="uk-UA"/>
        </w:rPr>
        <w:t xml:space="preserve"> групі – протеїн </w:t>
      </w:r>
      <w:r w:rsidRPr="009144E7">
        <w:rPr>
          <w:rFonts w:cstheme="minorHAnsi"/>
          <w:sz w:val="28"/>
          <w:szCs w:val="28"/>
          <w:lang w:val="uk-UA"/>
        </w:rPr>
        <w:t>QnrА, в ІІ групі – efflux pump QepA.</w:t>
      </w:r>
      <w:r w:rsidRPr="009144E7">
        <w:rPr>
          <w:sz w:val="28"/>
          <w:szCs w:val="28"/>
          <w:lang w:val="uk-UA"/>
        </w:rPr>
        <w:t xml:space="preserve">  </w:t>
      </w:r>
    </w:p>
    <w:p w:rsidR="009144E7" w:rsidRPr="009144E7" w:rsidRDefault="009144E7" w:rsidP="009144E7">
      <w:pPr>
        <w:tabs>
          <w:tab w:val="left" w:pos="2694"/>
        </w:tabs>
        <w:spacing w:line="360" w:lineRule="auto"/>
        <w:ind w:firstLine="709"/>
        <w:jc w:val="both"/>
        <w:rPr>
          <w:rFonts w:cstheme="minorHAnsi"/>
          <w:b/>
          <w:sz w:val="28"/>
          <w:szCs w:val="28"/>
          <w:lang w:val="uk-UA"/>
        </w:rPr>
      </w:pPr>
      <w:r w:rsidRPr="009144E7">
        <w:rPr>
          <w:rFonts w:cstheme="minorHAnsi"/>
          <w:b/>
          <w:sz w:val="28"/>
          <w:szCs w:val="28"/>
          <w:lang w:val="uk-UA"/>
        </w:rPr>
        <w:t>3.1.3 Виявлення плазмід-індукованих механізмів резистентності серед збудників хронічного пієлонефриту.</w:t>
      </w:r>
    </w:p>
    <w:p w:rsidR="009144E7" w:rsidRPr="009144E7" w:rsidRDefault="009144E7" w:rsidP="009144E7">
      <w:pPr>
        <w:tabs>
          <w:tab w:val="left" w:pos="2694"/>
        </w:tabs>
        <w:spacing w:after="0" w:line="360" w:lineRule="auto"/>
        <w:ind w:firstLine="709"/>
        <w:jc w:val="both"/>
        <w:rPr>
          <w:rFonts w:cstheme="minorHAnsi"/>
          <w:sz w:val="28"/>
          <w:szCs w:val="28"/>
          <w:lang w:val="uk-UA"/>
        </w:rPr>
      </w:pPr>
      <w:r w:rsidRPr="009144E7">
        <w:rPr>
          <w:rFonts w:cstheme="minorHAnsi"/>
          <w:sz w:val="28"/>
          <w:szCs w:val="28"/>
          <w:lang w:val="uk-UA"/>
        </w:rPr>
        <w:t xml:space="preserve">За результатами бактеріологічного дослідження сечі було виділено 120 патогенних збудників: 81 штам (67,5%) Грам-негативної флори, 34 (28,3%) – Грам-позитивні бактерії та 5 (4,2%) бактерій грибкової флори. Серед Г- бактерій домінуючим збудником виявилася </w:t>
      </w:r>
      <w:r w:rsidRPr="009144E7">
        <w:rPr>
          <w:rFonts w:cstheme="minorHAnsi"/>
          <w:sz w:val="28"/>
          <w:szCs w:val="28"/>
          <w:lang w:val="en-US"/>
        </w:rPr>
        <w:t>E</w:t>
      </w:r>
      <w:r w:rsidRPr="009144E7">
        <w:rPr>
          <w:rFonts w:cstheme="minorHAnsi"/>
          <w:sz w:val="28"/>
          <w:szCs w:val="28"/>
          <w:lang w:val="uk-UA"/>
        </w:rPr>
        <w:t>.</w:t>
      </w:r>
      <w:r w:rsidRPr="009144E7">
        <w:rPr>
          <w:rFonts w:cstheme="minorHAnsi"/>
          <w:sz w:val="28"/>
          <w:szCs w:val="28"/>
          <w:lang w:val="en-US"/>
        </w:rPr>
        <w:t>coli</w:t>
      </w:r>
      <w:r w:rsidRPr="009144E7">
        <w:rPr>
          <w:rFonts w:cstheme="minorHAnsi"/>
          <w:sz w:val="28"/>
          <w:szCs w:val="28"/>
          <w:lang w:val="uk-UA"/>
        </w:rPr>
        <w:t xml:space="preserve"> (44%), серед Г+ флори – сімейство </w:t>
      </w:r>
      <w:r w:rsidRPr="009144E7">
        <w:rPr>
          <w:rFonts w:cstheme="minorHAnsi"/>
          <w:sz w:val="28"/>
          <w:szCs w:val="28"/>
          <w:lang w:val="en-US"/>
        </w:rPr>
        <w:t>Enterococcus</w:t>
      </w:r>
      <w:r w:rsidRPr="009144E7">
        <w:rPr>
          <w:rFonts w:cstheme="minorHAnsi"/>
          <w:sz w:val="28"/>
          <w:szCs w:val="28"/>
          <w:lang w:val="uk-UA"/>
        </w:rPr>
        <w:t xml:space="preserve"> </w:t>
      </w:r>
      <w:r w:rsidRPr="009144E7">
        <w:rPr>
          <w:rFonts w:cstheme="minorHAnsi"/>
          <w:sz w:val="28"/>
          <w:szCs w:val="28"/>
          <w:lang w:val="en-US"/>
        </w:rPr>
        <w:t>spp</w:t>
      </w:r>
      <w:r w:rsidRPr="009144E7">
        <w:rPr>
          <w:rFonts w:cstheme="minorHAnsi"/>
          <w:sz w:val="28"/>
          <w:szCs w:val="28"/>
          <w:lang w:val="uk-UA"/>
        </w:rPr>
        <w:t xml:space="preserve"> (14%). Типи виявлених збудників представлені на малюнку 3.5</w:t>
      </w:r>
    </w:p>
    <w:p w:rsidR="009144E7" w:rsidRPr="009144E7" w:rsidRDefault="009144E7" w:rsidP="009144E7">
      <w:pPr>
        <w:tabs>
          <w:tab w:val="left" w:pos="2694"/>
        </w:tabs>
        <w:spacing w:after="0" w:line="360" w:lineRule="auto"/>
        <w:ind w:firstLine="709"/>
        <w:jc w:val="both"/>
        <w:rPr>
          <w:rFonts w:cstheme="minorHAnsi"/>
          <w:sz w:val="28"/>
          <w:szCs w:val="28"/>
          <w:lang w:val="uk-UA"/>
        </w:rPr>
      </w:pPr>
      <w:r w:rsidRPr="009144E7">
        <w:rPr>
          <w:rFonts w:cstheme="minorHAnsi"/>
          <w:noProof/>
          <w:sz w:val="28"/>
          <w:szCs w:val="28"/>
          <w:lang w:eastAsia="ru-RU"/>
        </w:rPr>
        <w:drawing>
          <wp:inline distT="0" distB="0" distL="0" distR="0" wp14:anchorId="58B54276" wp14:editId="3CC3816F">
            <wp:extent cx="5492839" cy="3032974"/>
            <wp:effectExtent l="0" t="0" r="12700" b="1524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144E7" w:rsidRPr="009144E7" w:rsidRDefault="009144E7" w:rsidP="009144E7">
      <w:pPr>
        <w:tabs>
          <w:tab w:val="left" w:pos="2694"/>
        </w:tabs>
        <w:spacing w:line="360" w:lineRule="auto"/>
        <w:ind w:firstLine="709"/>
        <w:jc w:val="both"/>
        <w:rPr>
          <w:rFonts w:cstheme="minorHAnsi"/>
          <w:sz w:val="24"/>
          <w:szCs w:val="24"/>
          <w:lang w:val="uk-UA"/>
        </w:rPr>
      </w:pPr>
      <w:r w:rsidRPr="009144E7">
        <w:rPr>
          <w:rFonts w:cstheme="minorHAnsi"/>
          <w:sz w:val="24"/>
          <w:szCs w:val="24"/>
          <w:lang w:val="uk-UA"/>
        </w:rPr>
        <w:t>Мал. 3.5 Виявлені збудники у хворих на ХП і ЦД 2 типу.</w:t>
      </w:r>
    </w:p>
    <w:p w:rsidR="009144E7" w:rsidRPr="009144E7" w:rsidRDefault="009144E7" w:rsidP="009144E7">
      <w:pPr>
        <w:tabs>
          <w:tab w:val="left" w:pos="2694"/>
        </w:tabs>
        <w:spacing w:after="0" w:line="360" w:lineRule="auto"/>
        <w:ind w:firstLine="709"/>
        <w:jc w:val="both"/>
        <w:rPr>
          <w:rFonts w:cstheme="minorHAnsi"/>
          <w:sz w:val="28"/>
          <w:szCs w:val="28"/>
          <w:lang w:val="uk-UA"/>
        </w:rPr>
      </w:pPr>
      <w:r w:rsidRPr="009144E7">
        <w:rPr>
          <w:spacing w:val="1"/>
          <w:sz w:val="28"/>
          <w:szCs w:val="28"/>
          <w:lang w:val="uk-UA"/>
        </w:rPr>
        <w:t>Серед</w:t>
      </w:r>
      <w:r w:rsidRPr="009144E7">
        <w:rPr>
          <w:spacing w:val="1"/>
          <w:sz w:val="28"/>
          <w:szCs w:val="28"/>
        </w:rPr>
        <w:t xml:space="preserve"> 115 </w:t>
      </w:r>
      <w:r w:rsidRPr="009144E7">
        <w:rPr>
          <w:spacing w:val="1"/>
          <w:sz w:val="28"/>
          <w:szCs w:val="28"/>
          <w:lang w:val="uk-UA"/>
        </w:rPr>
        <w:t>виділених</w:t>
      </w:r>
      <w:r w:rsidRPr="009144E7">
        <w:rPr>
          <w:spacing w:val="1"/>
          <w:sz w:val="28"/>
          <w:szCs w:val="28"/>
        </w:rPr>
        <w:t xml:space="preserve"> </w:t>
      </w:r>
      <w:r w:rsidRPr="009144E7">
        <w:rPr>
          <w:spacing w:val="1"/>
          <w:sz w:val="28"/>
          <w:szCs w:val="28"/>
          <w:lang w:val="uk-UA"/>
        </w:rPr>
        <w:t>штамів,</w:t>
      </w:r>
      <w:r w:rsidRPr="009144E7">
        <w:rPr>
          <w:spacing w:val="1"/>
          <w:sz w:val="28"/>
          <w:szCs w:val="28"/>
        </w:rPr>
        <w:t xml:space="preserve"> 30 </w:t>
      </w:r>
      <w:r w:rsidRPr="009144E7">
        <w:rPr>
          <w:rFonts w:eastAsia="Times New Roman" w:cstheme="minorHAnsi"/>
          <w:color w:val="000000"/>
          <w:sz w:val="28"/>
          <w:szCs w:val="28"/>
          <w:lang w:eastAsia="ru-RU"/>
        </w:rPr>
        <w:t xml:space="preserve">(26,1%) </w:t>
      </w:r>
      <w:r w:rsidRPr="009144E7">
        <w:rPr>
          <w:rFonts w:eastAsia="Times New Roman" w:cstheme="minorHAnsi"/>
          <w:color w:val="000000"/>
          <w:sz w:val="28"/>
          <w:szCs w:val="28"/>
          <w:lang w:val="uk-UA" w:eastAsia="ru-RU"/>
        </w:rPr>
        <w:t xml:space="preserve">були </w:t>
      </w:r>
      <w:r w:rsidRPr="009144E7">
        <w:rPr>
          <w:rFonts w:eastAsia="Times New Roman" w:cstheme="minorHAnsi"/>
          <w:color w:val="000000"/>
          <w:sz w:val="28"/>
          <w:szCs w:val="28"/>
          <w:lang w:eastAsia="ru-RU"/>
        </w:rPr>
        <w:t>продуц</w:t>
      </w:r>
      <w:r w:rsidRPr="009144E7">
        <w:rPr>
          <w:rFonts w:eastAsia="Times New Roman" w:cstheme="minorHAnsi"/>
          <w:color w:val="000000"/>
          <w:sz w:val="28"/>
          <w:szCs w:val="28"/>
          <w:lang w:val="uk-UA" w:eastAsia="ru-RU"/>
        </w:rPr>
        <w:t>ентами</w:t>
      </w:r>
      <w:r w:rsidRPr="009144E7">
        <w:rPr>
          <w:rFonts w:eastAsia="Times New Roman" w:cstheme="minorHAnsi"/>
          <w:color w:val="000000"/>
          <w:sz w:val="28"/>
          <w:szCs w:val="28"/>
          <w:lang w:eastAsia="ru-RU"/>
        </w:rPr>
        <w:t xml:space="preserve"> βЛРС. </w:t>
      </w:r>
      <w:r w:rsidRPr="009144E7">
        <w:rPr>
          <w:rFonts w:eastAsia="Times New Roman" w:cstheme="minorHAnsi"/>
          <w:color w:val="000000"/>
          <w:sz w:val="28"/>
          <w:szCs w:val="28"/>
          <w:lang w:val="uk-UA" w:eastAsia="ru-RU"/>
        </w:rPr>
        <w:t xml:space="preserve">Максимум генів β-лактамаз було виділено у P.mirabilis - 4 (50%), виявлення βЛРС в штамах E.сoli склала 37,7%, </w:t>
      </w:r>
      <w:r w:rsidRPr="009144E7">
        <w:rPr>
          <w:rFonts w:cstheme="minorHAnsi"/>
          <w:color w:val="000000"/>
          <w:sz w:val="28"/>
          <w:szCs w:val="28"/>
          <w:lang w:val="en-US"/>
        </w:rPr>
        <w:t>K</w:t>
      </w:r>
      <w:r w:rsidRPr="009144E7">
        <w:rPr>
          <w:rFonts w:cstheme="minorHAnsi"/>
          <w:color w:val="000000"/>
          <w:sz w:val="28"/>
          <w:szCs w:val="28"/>
          <w:lang w:val="uk-UA"/>
        </w:rPr>
        <w:t>.</w:t>
      </w:r>
      <w:r w:rsidRPr="009144E7">
        <w:rPr>
          <w:rFonts w:cstheme="minorHAnsi"/>
          <w:color w:val="000000"/>
          <w:sz w:val="28"/>
          <w:szCs w:val="28"/>
          <w:lang w:val="en-US"/>
        </w:rPr>
        <w:t>pneumoniae</w:t>
      </w:r>
      <w:r w:rsidRPr="009144E7">
        <w:rPr>
          <w:rFonts w:eastAsia="Times New Roman" w:cstheme="minorHAnsi"/>
          <w:color w:val="000000"/>
          <w:sz w:val="28"/>
          <w:szCs w:val="28"/>
          <w:lang w:val="uk-UA" w:eastAsia="ru-RU"/>
        </w:rPr>
        <w:t xml:space="preserve"> – 22,2%. Серед Грам-</w:t>
      </w:r>
      <w:r w:rsidRPr="009144E7">
        <w:rPr>
          <w:rFonts w:eastAsia="Times New Roman" w:cstheme="minorHAnsi"/>
          <w:color w:val="000000"/>
          <w:sz w:val="28"/>
          <w:szCs w:val="28"/>
          <w:lang w:val="uk-UA" w:eastAsia="ru-RU"/>
        </w:rPr>
        <w:lastRenderedPageBreak/>
        <w:t>позитивної флори, гени антибіотико-резистентності виявлені у 13,3% виділених бактерій. Найпоширенішими βЛРС були гени blaTEM і blaCTX-M з частотою виявлення 33.3% та 36.6% відповідно (таблиця 3.1).</w:t>
      </w:r>
    </w:p>
    <w:p w:rsidR="009144E7" w:rsidRPr="009144E7" w:rsidRDefault="009144E7" w:rsidP="009144E7">
      <w:pPr>
        <w:tabs>
          <w:tab w:val="left" w:pos="2694"/>
        </w:tabs>
        <w:spacing w:after="0" w:line="360" w:lineRule="auto"/>
        <w:ind w:firstLine="709"/>
        <w:jc w:val="right"/>
        <w:rPr>
          <w:rFonts w:eastAsia="Times New Roman" w:cstheme="minorHAnsi"/>
          <w:color w:val="000000"/>
          <w:sz w:val="28"/>
          <w:szCs w:val="28"/>
          <w:lang w:val="uk-UA" w:eastAsia="ru-RU"/>
        </w:rPr>
      </w:pPr>
      <w:r w:rsidRPr="009144E7">
        <w:rPr>
          <w:rFonts w:eastAsia="Times New Roman" w:cstheme="minorHAnsi"/>
          <w:color w:val="000000"/>
          <w:sz w:val="28"/>
          <w:szCs w:val="28"/>
          <w:lang w:val="uk-UA" w:eastAsia="ru-RU"/>
        </w:rPr>
        <w:t>Таблиця 3.1</w:t>
      </w:r>
    </w:p>
    <w:p w:rsidR="009144E7" w:rsidRPr="009144E7" w:rsidRDefault="009144E7" w:rsidP="009144E7">
      <w:pPr>
        <w:tabs>
          <w:tab w:val="left" w:pos="2694"/>
        </w:tabs>
        <w:spacing w:after="0" w:line="360" w:lineRule="auto"/>
        <w:ind w:firstLine="709"/>
        <w:jc w:val="center"/>
        <w:rPr>
          <w:rFonts w:eastAsia="Times New Roman" w:cstheme="minorHAnsi"/>
          <w:b/>
          <w:color w:val="000000"/>
          <w:sz w:val="28"/>
          <w:szCs w:val="28"/>
          <w:lang w:val="uk-UA" w:eastAsia="ru-RU"/>
        </w:rPr>
      </w:pPr>
      <w:r w:rsidRPr="009144E7">
        <w:rPr>
          <w:rFonts w:eastAsia="Times New Roman" w:cstheme="minorHAnsi"/>
          <w:b/>
          <w:color w:val="000000"/>
          <w:sz w:val="28"/>
          <w:szCs w:val="28"/>
          <w:lang w:val="uk-UA" w:eastAsia="ru-RU"/>
        </w:rPr>
        <w:t xml:space="preserve">Виявляємість плазмідних </w:t>
      </w:r>
      <w:r w:rsidRPr="009144E7">
        <w:rPr>
          <w:rFonts w:eastAsia="Times New Roman" w:cstheme="minorHAnsi"/>
          <w:b/>
          <w:color w:val="000000"/>
          <w:sz w:val="28"/>
          <w:szCs w:val="28"/>
          <w:lang w:eastAsia="ru-RU"/>
        </w:rPr>
        <w:t>βЛРС</w:t>
      </w:r>
      <w:r w:rsidRPr="009144E7">
        <w:rPr>
          <w:rFonts w:eastAsia="Times New Roman" w:cstheme="minorHAnsi"/>
          <w:b/>
          <w:color w:val="000000"/>
          <w:sz w:val="28"/>
          <w:szCs w:val="28"/>
          <w:lang w:val="uk-UA" w:eastAsia="ru-RU"/>
        </w:rPr>
        <w:t xml:space="preserve"> у збудників ХП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1828"/>
        <w:gridCol w:w="1828"/>
        <w:gridCol w:w="1828"/>
        <w:gridCol w:w="1828"/>
      </w:tblGrid>
      <w:tr w:rsidR="009144E7" w:rsidRPr="009144E7" w:rsidTr="009144E7">
        <w:tc>
          <w:tcPr>
            <w:tcW w:w="2259" w:type="dxa"/>
            <w:vMerge w:val="restart"/>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bCs/>
                <w:sz w:val="24"/>
                <w:szCs w:val="24"/>
                <w:lang w:val="uk-UA"/>
              </w:rPr>
              <w:t>Збудники</w:t>
            </w:r>
          </w:p>
        </w:tc>
        <w:tc>
          <w:tcPr>
            <w:tcW w:w="1828" w:type="dxa"/>
            <w:vMerge w:val="restart"/>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uk-UA"/>
              </w:rPr>
              <w:t xml:space="preserve">Загальна кількість </w:t>
            </w:r>
            <w:r w:rsidRPr="009144E7">
              <w:rPr>
                <w:rFonts w:cstheme="minorHAnsi"/>
                <w:b/>
                <w:color w:val="000000"/>
                <w:sz w:val="24"/>
                <w:szCs w:val="24"/>
                <w:shd w:val="clear" w:color="auto" w:fill="FFFFFF"/>
                <w:lang w:val="en-US"/>
              </w:rPr>
              <w:t>n</w:t>
            </w:r>
            <w:r w:rsidRPr="009144E7">
              <w:rPr>
                <w:rFonts w:cstheme="minorHAnsi"/>
                <w:b/>
                <w:color w:val="000000"/>
                <w:sz w:val="24"/>
                <w:szCs w:val="24"/>
                <w:shd w:val="clear" w:color="auto" w:fill="FFFFFF"/>
                <w:lang w:val="uk-UA"/>
              </w:rPr>
              <w:t xml:space="preserve"> (%)</w:t>
            </w:r>
          </w:p>
        </w:tc>
        <w:tc>
          <w:tcPr>
            <w:tcW w:w="5484" w:type="dxa"/>
            <w:gridSpan w:val="3"/>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en-US"/>
              </w:rPr>
              <w:t>ESBLs</w:t>
            </w:r>
            <w:r w:rsidRPr="009144E7">
              <w:rPr>
                <w:rFonts w:cstheme="minorHAnsi"/>
                <w:b/>
                <w:color w:val="000000"/>
                <w:sz w:val="24"/>
                <w:szCs w:val="24"/>
                <w:shd w:val="clear" w:color="auto" w:fill="FFFFFF"/>
                <w:lang w:val="uk-UA"/>
              </w:rPr>
              <w:t xml:space="preserve"> гени </w:t>
            </w:r>
            <w:r w:rsidRPr="009144E7">
              <w:rPr>
                <w:rFonts w:cstheme="minorHAnsi"/>
                <w:b/>
                <w:color w:val="000000"/>
                <w:sz w:val="24"/>
                <w:szCs w:val="24"/>
                <w:shd w:val="clear" w:color="auto" w:fill="FFFFFF"/>
                <w:lang w:val="en-US"/>
              </w:rPr>
              <w:t>n</w:t>
            </w:r>
            <w:r w:rsidRPr="009144E7">
              <w:rPr>
                <w:rFonts w:cstheme="minorHAnsi"/>
                <w:b/>
                <w:color w:val="000000"/>
                <w:sz w:val="24"/>
                <w:szCs w:val="24"/>
                <w:shd w:val="clear" w:color="auto" w:fill="FFFFFF"/>
                <w:lang w:val="uk-UA"/>
              </w:rPr>
              <w:t xml:space="preserve"> (%)</w:t>
            </w:r>
          </w:p>
        </w:tc>
      </w:tr>
      <w:tr w:rsidR="009144E7" w:rsidRPr="009144E7" w:rsidTr="009144E7">
        <w:tc>
          <w:tcPr>
            <w:tcW w:w="2259" w:type="dxa"/>
            <w:vMerge/>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uk-UA"/>
              </w:rPr>
            </w:pPr>
          </w:p>
        </w:tc>
        <w:tc>
          <w:tcPr>
            <w:tcW w:w="1828" w:type="dxa"/>
            <w:vMerge/>
            <w:shd w:val="clear" w:color="auto" w:fill="auto"/>
          </w:tcPr>
          <w:p w:rsidR="009144E7" w:rsidRPr="009144E7" w:rsidRDefault="009144E7" w:rsidP="009144E7">
            <w:pPr>
              <w:autoSpaceDE w:val="0"/>
              <w:autoSpaceDN w:val="0"/>
              <w:adjustRightInd w:val="0"/>
              <w:spacing w:after="0" w:line="240" w:lineRule="auto"/>
              <w:jc w:val="both"/>
              <w:rPr>
                <w:rFonts w:cstheme="minorHAnsi"/>
                <w:b/>
                <w:color w:val="000000"/>
                <w:sz w:val="24"/>
                <w:szCs w:val="24"/>
                <w:shd w:val="clear" w:color="auto" w:fill="FFFFFF"/>
                <w:lang w:val="uk-UA"/>
              </w:rPr>
            </w:pP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en-US"/>
              </w:rPr>
              <w:t>blaCTX</w:t>
            </w:r>
            <w:r w:rsidRPr="009144E7">
              <w:rPr>
                <w:rFonts w:cstheme="minorHAnsi"/>
                <w:b/>
                <w:color w:val="000000"/>
                <w:sz w:val="24"/>
                <w:szCs w:val="24"/>
                <w:shd w:val="clear" w:color="auto" w:fill="FFFFFF"/>
                <w:lang w:val="uk-UA"/>
              </w:rPr>
              <w:t>-</w:t>
            </w:r>
            <w:r w:rsidRPr="009144E7">
              <w:rPr>
                <w:rFonts w:cstheme="minorHAnsi"/>
                <w:b/>
                <w:color w:val="000000"/>
                <w:sz w:val="24"/>
                <w:szCs w:val="24"/>
                <w:shd w:val="clear" w:color="auto" w:fill="FFFFFF"/>
                <w:lang w:val="en-US"/>
              </w:rPr>
              <w:t>M</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en-US"/>
              </w:rPr>
              <w:t>blaTEM</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en-US"/>
              </w:rPr>
              <w:t>blaSHV</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uk-UA"/>
              </w:rPr>
            </w:pPr>
            <w:r w:rsidRPr="009144E7">
              <w:rPr>
                <w:rFonts w:cstheme="minorHAnsi"/>
                <w:b/>
                <w:color w:val="000000"/>
                <w:sz w:val="24"/>
                <w:szCs w:val="24"/>
                <w:lang w:val="en-US"/>
              </w:rPr>
              <w:t>E</w:t>
            </w:r>
            <w:r w:rsidRPr="009144E7">
              <w:rPr>
                <w:rFonts w:cstheme="minorHAnsi"/>
                <w:b/>
                <w:color w:val="000000"/>
                <w:sz w:val="24"/>
                <w:szCs w:val="24"/>
                <w:lang w:val="uk-UA"/>
              </w:rPr>
              <w:t xml:space="preserve">. </w:t>
            </w:r>
            <w:r w:rsidRPr="009144E7">
              <w:rPr>
                <w:rFonts w:cstheme="minorHAnsi"/>
                <w:b/>
                <w:color w:val="000000"/>
                <w:sz w:val="24"/>
                <w:szCs w:val="24"/>
                <w:lang w:val="en-US"/>
              </w:rPr>
              <w:t>coli</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uk-UA"/>
              </w:rPr>
            </w:pPr>
            <w:r w:rsidRPr="009144E7">
              <w:rPr>
                <w:rFonts w:cstheme="minorHAnsi"/>
                <w:color w:val="000000"/>
                <w:shd w:val="clear" w:color="auto" w:fill="FFFFFF"/>
                <w:lang w:val="uk-UA"/>
              </w:rPr>
              <w:t>20 (37.7)</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uk-UA"/>
              </w:rPr>
            </w:pPr>
            <w:r w:rsidRPr="009144E7">
              <w:rPr>
                <w:rFonts w:cstheme="minorHAnsi"/>
                <w:color w:val="000000"/>
                <w:shd w:val="clear" w:color="auto" w:fill="FFFFFF"/>
                <w:lang w:val="uk-UA"/>
              </w:rPr>
              <w:t>6 (30)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uk-UA"/>
              </w:rPr>
            </w:pPr>
            <w:r w:rsidRPr="009144E7">
              <w:rPr>
                <w:rFonts w:cstheme="minorHAnsi"/>
                <w:color w:val="000000"/>
                <w:shd w:val="clear" w:color="auto" w:fill="FFFFFF"/>
                <w:lang w:val="uk-UA"/>
              </w:rPr>
              <w:t>10 (50)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uk-UA"/>
              </w:rPr>
            </w:pPr>
            <w:r w:rsidRPr="009144E7">
              <w:rPr>
                <w:rFonts w:cstheme="minorHAnsi"/>
                <w:color w:val="000000"/>
                <w:shd w:val="clear" w:color="auto" w:fill="FFFFFF"/>
                <w:lang w:val="uk-UA"/>
              </w:rPr>
              <w:t>4 (20)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K</w:t>
            </w:r>
            <w:r w:rsidRPr="009144E7">
              <w:rPr>
                <w:rFonts w:cstheme="minorHAnsi"/>
                <w:b/>
                <w:color w:val="000000"/>
                <w:sz w:val="24"/>
                <w:szCs w:val="24"/>
                <w:lang w:val="uk-UA"/>
              </w:rPr>
              <w:t>.</w:t>
            </w:r>
            <w:r w:rsidRPr="009144E7">
              <w:rPr>
                <w:rFonts w:cstheme="minorHAnsi"/>
                <w:b/>
                <w:color w:val="000000"/>
                <w:sz w:val="24"/>
                <w:szCs w:val="24"/>
                <w:lang w:val="en-US"/>
              </w:rPr>
              <w:t xml:space="preserve">pneumoniae </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2 (</w:t>
            </w:r>
            <w:r w:rsidRPr="009144E7">
              <w:rPr>
                <w:rFonts w:cstheme="minorHAnsi"/>
                <w:bCs/>
              </w:rPr>
              <w:t>22</w:t>
            </w:r>
            <w:r w:rsidRPr="009144E7">
              <w:rPr>
                <w:rFonts w:cstheme="minorHAnsi"/>
                <w:bCs/>
                <w:lang w:val="en-US"/>
              </w:rPr>
              <w:t>.</w:t>
            </w:r>
            <w:r w:rsidRPr="009144E7">
              <w:rPr>
                <w:rFonts w:cstheme="minorHAnsi"/>
                <w:bCs/>
              </w:rPr>
              <w:t>2</w:t>
            </w:r>
            <w:r w:rsidRPr="009144E7">
              <w:rPr>
                <w:rFonts w:cstheme="minorHAnsi"/>
                <w:bCs/>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2 (</w:t>
            </w:r>
            <w:r w:rsidRPr="009144E7">
              <w:rPr>
                <w:rFonts w:cstheme="minorHAnsi"/>
                <w:color w:val="000000"/>
                <w:shd w:val="clear" w:color="auto" w:fill="FFFFFF"/>
              </w:rPr>
              <w:t>100</w:t>
            </w:r>
            <w:r w:rsidRPr="009144E7">
              <w:rPr>
                <w:rFonts w:cstheme="minorHAnsi"/>
                <w:color w:val="000000"/>
                <w:shd w:val="clear" w:color="auto" w:fill="FFFFFF"/>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P.mirabilis</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4 (50)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(25)</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(2</w:t>
            </w:r>
            <w:r w:rsidRPr="009144E7">
              <w:rPr>
                <w:rFonts w:cstheme="minorHAnsi"/>
                <w:color w:val="000000"/>
                <w:shd w:val="clear" w:color="auto" w:fill="FFFFFF"/>
              </w:rPr>
              <w:t>5</w:t>
            </w:r>
            <w:r w:rsidRPr="009144E7">
              <w:rPr>
                <w:rFonts w:cstheme="minorHAnsi"/>
                <w:color w:val="000000"/>
                <w:shd w:val="clear" w:color="auto" w:fill="FFFFFF"/>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2 (50)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Staphylococcus spp.</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1 (</w:t>
            </w:r>
            <w:r w:rsidRPr="009144E7">
              <w:rPr>
                <w:rFonts w:cstheme="minorHAnsi"/>
                <w:bCs/>
              </w:rPr>
              <w:t>8</w:t>
            </w:r>
            <w:r w:rsidRPr="009144E7">
              <w:rPr>
                <w:rFonts w:cstheme="minorHAnsi"/>
                <w:bCs/>
                <w:lang w:val="en-US"/>
              </w:rPr>
              <w:t>.</w:t>
            </w:r>
            <w:r w:rsidRPr="009144E7">
              <w:rPr>
                <w:rFonts w:cstheme="minorHAnsi"/>
                <w:bCs/>
              </w:rPr>
              <w:t>3</w:t>
            </w:r>
            <w:r w:rsidRPr="009144E7">
              <w:rPr>
                <w:rFonts w:cstheme="minorHAnsi"/>
                <w:bCs/>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w:t>
            </w:r>
            <w:r w:rsidRPr="009144E7">
              <w:rPr>
                <w:rFonts w:cstheme="minorHAnsi"/>
                <w:color w:val="000000"/>
                <w:shd w:val="clear" w:color="auto" w:fill="FFFFFF"/>
              </w:rPr>
              <w:t>100</w:t>
            </w:r>
            <w:r w:rsidRPr="009144E7">
              <w:rPr>
                <w:rFonts w:cstheme="minorHAnsi"/>
                <w:color w:val="000000"/>
                <w:shd w:val="clear" w:color="auto" w:fill="FFFFFF"/>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Enterococcus spp.</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Cs/>
                <w:lang w:val="en-US"/>
              </w:rPr>
            </w:pPr>
            <w:r w:rsidRPr="009144E7">
              <w:rPr>
                <w:rFonts w:cstheme="minorHAnsi"/>
                <w:bCs/>
                <w:lang w:val="en-US"/>
              </w:rPr>
              <w:t>2 (11.8)</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(50)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(50)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 xml:space="preserve">Corynebacterium </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1 (25)</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(100)</w:t>
            </w:r>
          </w:p>
        </w:tc>
      </w:tr>
    </w:tbl>
    <w:p w:rsidR="009144E7" w:rsidRPr="009144E7" w:rsidRDefault="009144E7" w:rsidP="009144E7">
      <w:pPr>
        <w:tabs>
          <w:tab w:val="left" w:pos="2694"/>
        </w:tabs>
        <w:spacing w:after="0" w:line="360" w:lineRule="auto"/>
        <w:jc w:val="both"/>
        <w:rPr>
          <w:rFonts w:eastAsia="Times New Roman" w:cstheme="minorHAnsi"/>
          <w:color w:val="000000"/>
          <w:sz w:val="28"/>
          <w:szCs w:val="28"/>
          <w:lang w:val="uk-UA" w:eastAsia="ru-RU"/>
        </w:rPr>
      </w:pPr>
    </w:p>
    <w:p w:rsidR="009144E7" w:rsidRPr="009144E7" w:rsidRDefault="009144E7" w:rsidP="009144E7">
      <w:pPr>
        <w:tabs>
          <w:tab w:val="left" w:pos="2694"/>
        </w:tabs>
        <w:spacing w:after="0" w:line="360" w:lineRule="auto"/>
        <w:ind w:firstLine="709"/>
        <w:jc w:val="both"/>
        <w:rPr>
          <w:rFonts w:cstheme="minorHAnsi"/>
          <w:color w:val="000000"/>
          <w:sz w:val="28"/>
          <w:szCs w:val="28"/>
          <w:lang w:val="uk-UA"/>
        </w:rPr>
      </w:pPr>
      <w:r w:rsidRPr="009144E7">
        <w:rPr>
          <w:rFonts w:cstheme="minorHAnsi"/>
          <w:sz w:val="28"/>
          <w:szCs w:val="28"/>
          <w:lang w:val="uk-UA"/>
        </w:rPr>
        <w:t xml:space="preserve">Виявляємість плазмідних генів резистентності до фторхінолонів серед збудників ХП склала 12,2% (14/115). Найбільше генів резистентності було виявлено в штамах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aeruginosa</w:t>
      </w:r>
      <w:r w:rsidRPr="009144E7">
        <w:rPr>
          <w:rFonts w:cstheme="minorHAnsi"/>
          <w:color w:val="000000"/>
          <w:sz w:val="28"/>
          <w:szCs w:val="28"/>
          <w:lang w:val="uk-UA"/>
        </w:rPr>
        <w:t xml:space="preserve"> (50%), </w:t>
      </w:r>
      <w:r w:rsidRPr="009144E7">
        <w:rPr>
          <w:rFonts w:cstheme="minorHAnsi"/>
          <w:color w:val="000000"/>
          <w:sz w:val="28"/>
          <w:szCs w:val="28"/>
          <w:lang w:val="en-US"/>
        </w:rPr>
        <w:t>E</w:t>
      </w:r>
      <w:r w:rsidRPr="009144E7">
        <w:rPr>
          <w:rFonts w:cstheme="minorHAnsi"/>
          <w:color w:val="000000"/>
          <w:sz w:val="28"/>
          <w:szCs w:val="28"/>
          <w:lang w:val="uk-UA"/>
        </w:rPr>
        <w:t>.</w:t>
      </w:r>
      <w:r w:rsidRPr="009144E7">
        <w:rPr>
          <w:rFonts w:cstheme="minorHAnsi"/>
          <w:color w:val="000000"/>
          <w:sz w:val="28"/>
          <w:szCs w:val="28"/>
          <w:lang w:val="en-US"/>
        </w:rPr>
        <w:t>coli</w:t>
      </w:r>
      <w:r w:rsidRPr="009144E7">
        <w:rPr>
          <w:rFonts w:cstheme="minorHAnsi"/>
          <w:color w:val="000000"/>
          <w:sz w:val="28"/>
          <w:szCs w:val="28"/>
          <w:lang w:val="uk-UA"/>
        </w:rPr>
        <w:t xml:space="preserve"> (15,1%) та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mirabilis</w:t>
      </w:r>
      <w:r w:rsidRPr="009144E7">
        <w:rPr>
          <w:rFonts w:cstheme="minorHAnsi"/>
          <w:color w:val="000000"/>
          <w:sz w:val="28"/>
          <w:szCs w:val="28"/>
          <w:lang w:val="uk-UA"/>
        </w:rPr>
        <w:t xml:space="preserve"> (12,5%). Серед Грам-позитивної флори, питома вага генів стійкості склала 11,8%. Найпоширенішими генами були виявлені </w:t>
      </w:r>
      <w:r w:rsidRPr="009144E7">
        <w:rPr>
          <w:rFonts w:cstheme="minorHAnsi"/>
          <w:sz w:val="28"/>
          <w:szCs w:val="28"/>
          <w:lang w:val="uk-UA"/>
        </w:rPr>
        <w:t xml:space="preserve">efflux pump QepA та </w:t>
      </w:r>
      <w:r w:rsidRPr="009144E7">
        <w:rPr>
          <w:sz w:val="28"/>
          <w:szCs w:val="28"/>
          <w:lang w:val="uk-UA"/>
        </w:rPr>
        <w:t xml:space="preserve">протеїн </w:t>
      </w:r>
      <w:r w:rsidRPr="009144E7">
        <w:rPr>
          <w:rFonts w:cstheme="minorHAnsi"/>
          <w:sz w:val="28"/>
          <w:szCs w:val="28"/>
          <w:lang w:val="uk-UA"/>
        </w:rPr>
        <w:t>QnrА з частотою виявлення 42,8% та 35,7% відповідно</w:t>
      </w:r>
      <w:r w:rsidRPr="009144E7">
        <w:rPr>
          <w:rFonts w:cstheme="minorHAnsi"/>
          <w:color w:val="000000"/>
          <w:sz w:val="28"/>
          <w:szCs w:val="28"/>
          <w:lang w:val="uk-UA"/>
        </w:rPr>
        <w:t xml:space="preserve"> (таблиця 3.2). </w:t>
      </w:r>
    </w:p>
    <w:p w:rsidR="009144E7" w:rsidRPr="009144E7" w:rsidRDefault="009144E7" w:rsidP="009144E7">
      <w:pPr>
        <w:tabs>
          <w:tab w:val="left" w:pos="2694"/>
        </w:tabs>
        <w:spacing w:after="0" w:line="360" w:lineRule="auto"/>
        <w:ind w:firstLine="709"/>
        <w:jc w:val="right"/>
        <w:rPr>
          <w:rFonts w:cstheme="minorHAnsi"/>
          <w:color w:val="000000"/>
          <w:sz w:val="28"/>
          <w:szCs w:val="28"/>
          <w:lang w:val="uk-UA"/>
        </w:rPr>
      </w:pPr>
      <w:r w:rsidRPr="009144E7">
        <w:rPr>
          <w:rFonts w:cstheme="minorHAnsi"/>
          <w:color w:val="000000"/>
          <w:sz w:val="28"/>
          <w:szCs w:val="28"/>
          <w:lang w:val="uk-UA"/>
        </w:rPr>
        <w:t>Таблиця 3.2</w:t>
      </w:r>
    </w:p>
    <w:p w:rsidR="009144E7" w:rsidRPr="009144E7" w:rsidRDefault="009144E7" w:rsidP="009144E7">
      <w:pPr>
        <w:tabs>
          <w:tab w:val="left" w:pos="2694"/>
        </w:tabs>
        <w:spacing w:after="0" w:line="360" w:lineRule="auto"/>
        <w:ind w:firstLine="709"/>
        <w:jc w:val="center"/>
        <w:rPr>
          <w:rFonts w:cstheme="minorHAnsi"/>
          <w:b/>
          <w:color w:val="000000"/>
          <w:sz w:val="28"/>
          <w:szCs w:val="28"/>
          <w:lang w:val="uk-UA"/>
        </w:rPr>
      </w:pPr>
      <w:r w:rsidRPr="009144E7">
        <w:rPr>
          <w:rFonts w:cstheme="minorHAnsi"/>
          <w:b/>
          <w:color w:val="000000"/>
          <w:sz w:val="28"/>
          <w:szCs w:val="28"/>
          <w:lang w:val="uk-UA"/>
        </w:rPr>
        <w:t>Виявляємість плазмідних генів резистентності до фторхінолонів у збудників ХП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1828"/>
        <w:gridCol w:w="1828"/>
        <w:gridCol w:w="1828"/>
        <w:gridCol w:w="1828"/>
      </w:tblGrid>
      <w:tr w:rsidR="009144E7" w:rsidRPr="009144E7" w:rsidTr="009144E7">
        <w:tc>
          <w:tcPr>
            <w:tcW w:w="2259" w:type="dxa"/>
            <w:vMerge w:val="restart"/>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hd w:val="clear" w:color="auto" w:fill="FFFFFF"/>
                <w:lang w:val="uk-UA"/>
              </w:rPr>
            </w:pPr>
            <w:r w:rsidRPr="009144E7">
              <w:rPr>
                <w:rFonts w:cstheme="minorHAnsi"/>
                <w:b/>
                <w:bCs/>
                <w:lang w:val="uk-UA"/>
              </w:rPr>
              <w:t>Збудники</w:t>
            </w:r>
          </w:p>
        </w:tc>
        <w:tc>
          <w:tcPr>
            <w:tcW w:w="1828" w:type="dxa"/>
            <w:vMerge w:val="restart"/>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uk-UA"/>
              </w:rPr>
            </w:pPr>
            <w:r w:rsidRPr="009144E7">
              <w:rPr>
                <w:rFonts w:cstheme="minorHAnsi"/>
                <w:b/>
                <w:color w:val="000000"/>
                <w:sz w:val="24"/>
                <w:szCs w:val="24"/>
                <w:shd w:val="clear" w:color="auto" w:fill="FFFFFF"/>
                <w:lang w:val="uk-UA"/>
              </w:rPr>
              <w:t xml:space="preserve">Загальна кількість </w:t>
            </w:r>
            <w:r w:rsidRPr="009144E7">
              <w:rPr>
                <w:rFonts w:cstheme="minorHAnsi"/>
                <w:b/>
                <w:color w:val="000000"/>
                <w:sz w:val="24"/>
                <w:szCs w:val="24"/>
                <w:shd w:val="clear" w:color="auto" w:fill="FFFFFF"/>
                <w:lang w:val="en-US"/>
              </w:rPr>
              <w:t>n</w:t>
            </w:r>
            <w:r w:rsidRPr="009144E7">
              <w:rPr>
                <w:rFonts w:cstheme="minorHAnsi"/>
                <w:b/>
                <w:color w:val="000000"/>
                <w:sz w:val="24"/>
                <w:szCs w:val="24"/>
                <w:shd w:val="clear" w:color="auto" w:fill="FFFFFF"/>
                <w:lang w:val="uk-UA"/>
              </w:rPr>
              <w:t xml:space="preserve"> (%)</w:t>
            </w:r>
          </w:p>
        </w:tc>
        <w:tc>
          <w:tcPr>
            <w:tcW w:w="5484" w:type="dxa"/>
            <w:gridSpan w:val="3"/>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rPr>
            </w:pPr>
            <w:r w:rsidRPr="009144E7">
              <w:rPr>
                <w:rFonts w:cstheme="minorHAnsi"/>
                <w:b/>
                <w:color w:val="000000"/>
                <w:sz w:val="24"/>
                <w:szCs w:val="24"/>
                <w:shd w:val="clear" w:color="auto" w:fill="FFFFFF"/>
                <w:lang w:val="uk-UA"/>
              </w:rPr>
              <w:t xml:space="preserve">гени резистентності до фторхінолонів </w:t>
            </w:r>
            <w:r w:rsidRPr="009144E7">
              <w:rPr>
                <w:rFonts w:cstheme="minorHAnsi"/>
                <w:b/>
                <w:color w:val="000000"/>
                <w:sz w:val="24"/>
                <w:szCs w:val="24"/>
                <w:shd w:val="clear" w:color="auto" w:fill="FFFFFF"/>
                <w:lang w:val="en-US"/>
              </w:rPr>
              <w:t>n</w:t>
            </w:r>
            <w:r w:rsidRPr="009144E7">
              <w:rPr>
                <w:rFonts w:cstheme="minorHAnsi"/>
                <w:b/>
                <w:color w:val="000000"/>
                <w:sz w:val="24"/>
                <w:szCs w:val="24"/>
                <w:shd w:val="clear" w:color="auto" w:fill="FFFFFF"/>
              </w:rPr>
              <w:t xml:space="preserve"> (%)</w:t>
            </w:r>
          </w:p>
        </w:tc>
      </w:tr>
      <w:tr w:rsidR="009144E7" w:rsidRPr="009144E7" w:rsidTr="009144E7">
        <w:tc>
          <w:tcPr>
            <w:tcW w:w="2259" w:type="dxa"/>
            <w:vMerge/>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rPr>
            </w:pPr>
          </w:p>
        </w:tc>
        <w:tc>
          <w:tcPr>
            <w:tcW w:w="1828" w:type="dxa"/>
            <w:vMerge/>
            <w:shd w:val="clear" w:color="auto" w:fill="auto"/>
          </w:tcPr>
          <w:p w:rsidR="009144E7" w:rsidRPr="009144E7" w:rsidRDefault="009144E7" w:rsidP="009144E7">
            <w:pPr>
              <w:autoSpaceDE w:val="0"/>
              <w:autoSpaceDN w:val="0"/>
              <w:adjustRightInd w:val="0"/>
              <w:spacing w:after="0" w:line="240" w:lineRule="auto"/>
              <w:jc w:val="both"/>
              <w:rPr>
                <w:rFonts w:cstheme="minorHAnsi"/>
                <w:b/>
                <w:color w:val="000000"/>
                <w:sz w:val="24"/>
                <w:szCs w:val="24"/>
                <w:shd w:val="clear" w:color="auto" w:fill="FFFFFF"/>
              </w:rPr>
            </w:pP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en-US"/>
              </w:rPr>
            </w:pPr>
            <w:r w:rsidRPr="009144E7">
              <w:rPr>
                <w:rFonts w:cstheme="minorHAnsi"/>
                <w:b/>
                <w:sz w:val="24"/>
                <w:szCs w:val="24"/>
                <w:lang w:val="uk-UA"/>
              </w:rPr>
              <w:t>QnrА</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en-US"/>
              </w:rPr>
            </w:pPr>
            <w:r w:rsidRPr="009144E7">
              <w:rPr>
                <w:rFonts w:cstheme="minorHAnsi"/>
                <w:b/>
                <w:sz w:val="24"/>
                <w:szCs w:val="24"/>
                <w:lang w:val="uk-UA"/>
              </w:rPr>
              <w:t>AAC(6')-Ib-cr</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
                <w:color w:val="000000"/>
                <w:sz w:val="24"/>
                <w:szCs w:val="24"/>
                <w:shd w:val="clear" w:color="auto" w:fill="FFFFFF"/>
                <w:lang w:val="en-US"/>
              </w:rPr>
            </w:pPr>
            <w:r w:rsidRPr="009144E7">
              <w:rPr>
                <w:rFonts w:cstheme="minorHAnsi"/>
                <w:b/>
                <w:sz w:val="24"/>
                <w:szCs w:val="24"/>
                <w:lang w:val="uk-UA"/>
              </w:rPr>
              <w:t>QepA</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E. coli</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8 (15.1)</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2 (25)</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2 (25)</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rPr>
              <w:t>4</w:t>
            </w:r>
            <w:r w:rsidRPr="009144E7">
              <w:rPr>
                <w:rFonts w:cstheme="minorHAnsi"/>
                <w:color w:val="000000"/>
                <w:shd w:val="clear" w:color="auto" w:fill="FFFFFF"/>
                <w:lang w:val="en-US"/>
              </w:rPr>
              <w:t xml:space="preserve"> (5</w:t>
            </w:r>
            <w:r w:rsidRPr="009144E7">
              <w:rPr>
                <w:rFonts w:cstheme="minorHAnsi"/>
                <w:color w:val="000000"/>
                <w:shd w:val="clear" w:color="auto" w:fill="FFFFFF"/>
              </w:rPr>
              <w:t>0</w:t>
            </w:r>
            <w:r w:rsidRPr="009144E7">
              <w:rPr>
                <w:rFonts w:cstheme="minorHAnsi"/>
                <w:color w:val="000000"/>
                <w:shd w:val="clear" w:color="auto" w:fill="FFFFFF"/>
                <w:lang w:val="en-US"/>
              </w:rPr>
              <w:t>)</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 xml:space="preserve">K.pneumoniae </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1 (11.1)</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(100)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P.mirabilis</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1 (12.5)</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w:t>
            </w:r>
            <w:r w:rsidRPr="009144E7">
              <w:rPr>
                <w:rFonts w:cstheme="minorHAnsi"/>
                <w:color w:val="000000"/>
                <w:shd w:val="clear" w:color="auto" w:fill="FFFFFF"/>
              </w:rPr>
              <w:t>100</w:t>
            </w:r>
            <w:r w:rsidRPr="009144E7">
              <w:rPr>
                <w:rFonts w:cstheme="minorHAnsi"/>
                <w:color w:val="000000"/>
                <w:shd w:val="clear" w:color="auto" w:fill="FFFFFF"/>
                <w:lang w:val="en-US"/>
              </w:rPr>
              <w:t>)</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P.aeruginosa</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bCs/>
                <w:lang w:val="en-US"/>
              </w:rPr>
            </w:pPr>
            <w:r w:rsidRPr="009144E7">
              <w:rPr>
                <w:rFonts w:cstheme="minorHAnsi"/>
                <w:bCs/>
                <w:lang w:val="en-US"/>
              </w:rPr>
              <w:t>2 (50)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2 (100)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r>
      <w:tr w:rsidR="009144E7" w:rsidRPr="009144E7" w:rsidTr="009144E7">
        <w:tc>
          <w:tcPr>
            <w:tcW w:w="2259" w:type="dxa"/>
            <w:shd w:val="clear" w:color="auto" w:fill="auto"/>
            <w:vAlign w:val="center"/>
          </w:tcPr>
          <w:p w:rsidR="009144E7" w:rsidRPr="009144E7" w:rsidRDefault="009144E7" w:rsidP="009144E7">
            <w:pPr>
              <w:autoSpaceDE w:val="0"/>
              <w:autoSpaceDN w:val="0"/>
              <w:adjustRightInd w:val="0"/>
              <w:spacing w:after="0" w:line="240" w:lineRule="auto"/>
              <w:rPr>
                <w:rFonts w:cstheme="minorHAnsi"/>
                <w:b/>
                <w:color w:val="000000"/>
                <w:sz w:val="24"/>
                <w:szCs w:val="24"/>
                <w:lang w:val="en-US"/>
              </w:rPr>
            </w:pPr>
            <w:r w:rsidRPr="009144E7">
              <w:rPr>
                <w:rFonts w:cstheme="minorHAnsi"/>
                <w:b/>
                <w:color w:val="000000"/>
                <w:sz w:val="24"/>
                <w:szCs w:val="24"/>
                <w:lang w:val="en-US"/>
              </w:rPr>
              <w:t>Enterococcus spp.</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bCs/>
                <w:lang w:val="en-US"/>
              </w:rPr>
              <w:t>2 (11.8)</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(50)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0 (0.0)</w:t>
            </w:r>
          </w:p>
        </w:tc>
        <w:tc>
          <w:tcPr>
            <w:tcW w:w="1828" w:type="dxa"/>
            <w:shd w:val="clear" w:color="auto" w:fill="auto"/>
            <w:vAlign w:val="center"/>
          </w:tcPr>
          <w:p w:rsidR="009144E7" w:rsidRPr="009144E7" w:rsidRDefault="009144E7" w:rsidP="009144E7">
            <w:pPr>
              <w:autoSpaceDE w:val="0"/>
              <w:autoSpaceDN w:val="0"/>
              <w:adjustRightInd w:val="0"/>
              <w:spacing w:after="0" w:line="240" w:lineRule="auto"/>
              <w:jc w:val="center"/>
              <w:rPr>
                <w:rFonts w:cstheme="minorHAnsi"/>
                <w:color w:val="000000"/>
                <w:shd w:val="clear" w:color="auto" w:fill="FFFFFF"/>
                <w:lang w:val="en-US"/>
              </w:rPr>
            </w:pPr>
            <w:r w:rsidRPr="009144E7">
              <w:rPr>
                <w:rFonts w:cstheme="minorHAnsi"/>
                <w:color w:val="000000"/>
                <w:shd w:val="clear" w:color="auto" w:fill="FFFFFF"/>
                <w:lang w:val="en-US"/>
              </w:rPr>
              <w:t>1 (50)</w:t>
            </w:r>
          </w:p>
        </w:tc>
      </w:tr>
    </w:tbl>
    <w:p w:rsidR="009144E7" w:rsidRPr="009144E7" w:rsidRDefault="009144E7" w:rsidP="009144E7">
      <w:pPr>
        <w:tabs>
          <w:tab w:val="left" w:pos="2694"/>
        </w:tabs>
        <w:spacing w:after="0" w:line="360" w:lineRule="auto"/>
        <w:jc w:val="both"/>
        <w:rPr>
          <w:rFonts w:cstheme="minorHAnsi"/>
          <w:sz w:val="28"/>
          <w:szCs w:val="28"/>
          <w:lang w:val="uk-UA"/>
        </w:rPr>
      </w:pPr>
      <w:r w:rsidRPr="009144E7">
        <w:rPr>
          <w:rFonts w:cstheme="minorHAnsi"/>
          <w:sz w:val="28"/>
          <w:szCs w:val="28"/>
          <w:lang w:val="uk-UA"/>
        </w:rPr>
        <w:t xml:space="preserve"> </w:t>
      </w:r>
    </w:p>
    <w:p w:rsidR="009144E7" w:rsidRPr="009144E7" w:rsidRDefault="009144E7" w:rsidP="009144E7">
      <w:pPr>
        <w:tabs>
          <w:tab w:val="left" w:pos="2694"/>
        </w:tabs>
        <w:spacing w:after="0" w:line="360" w:lineRule="auto"/>
        <w:ind w:firstLine="709"/>
        <w:jc w:val="both"/>
        <w:rPr>
          <w:rFonts w:eastAsia="Times New Roman" w:cstheme="minorHAnsi"/>
          <w:color w:val="000000"/>
          <w:sz w:val="28"/>
          <w:szCs w:val="28"/>
          <w:lang w:val="uk-UA" w:eastAsia="ru-RU"/>
        </w:rPr>
      </w:pPr>
      <w:r w:rsidRPr="009144E7">
        <w:rPr>
          <w:rFonts w:eastAsia="Times New Roman" w:cstheme="minorHAnsi"/>
          <w:color w:val="000000"/>
          <w:sz w:val="28"/>
          <w:szCs w:val="28"/>
          <w:lang w:val="uk-UA" w:eastAsia="ru-RU"/>
        </w:rPr>
        <w:t xml:space="preserve">Із 30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ЛРС-продукуючих мікроорганізмів, у 6 (20%) виявлені різні комбінації генів. Патогенні бактерії </w:t>
      </w:r>
      <w:r w:rsidRPr="009144E7">
        <w:rPr>
          <w:rFonts w:cstheme="minorHAnsi"/>
          <w:color w:val="000000"/>
          <w:sz w:val="28"/>
          <w:szCs w:val="28"/>
          <w:lang w:val="en-US"/>
        </w:rPr>
        <w:t>E</w:t>
      </w:r>
      <w:r w:rsidRPr="009144E7">
        <w:rPr>
          <w:rFonts w:cstheme="minorHAnsi"/>
          <w:color w:val="000000"/>
          <w:sz w:val="28"/>
          <w:szCs w:val="28"/>
          <w:lang w:val="uk-UA"/>
        </w:rPr>
        <w:t>.</w:t>
      </w:r>
      <w:r w:rsidRPr="009144E7">
        <w:rPr>
          <w:rFonts w:cstheme="minorHAnsi"/>
          <w:color w:val="000000"/>
          <w:sz w:val="28"/>
          <w:szCs w:val="28"/>
          <w:lang w:val="en-US"/>
        </w:rPr>
        <w:t>coli</w:t>
      </w:r>
      <w:r w:rsidRPr="009144E7">
        <w:rPr>
          <w:rFonts w:cstheme="minorHAnsi"/>
          <w:color w:val="000000"/>
          <w:sz w:val="28"/>
          <w:szCs w:val="28"/>
          <w:lang w:val="uk-UA"/>
        </w:rPr>
        <w:t xml:space="preserve"> мали: 2 штами – </w:t>
      </w:r>
      <w:r w:rsidRPr="009144E7">
        <w:rPr>
          <w:rFonts w:cstheme="minorHAnsi"/>
          <w:sz w:val="28"/>
          <w:szCs w:val="28"/>
          <w:lang w:val="uk-UA"/>
        </w:rPr>
        <w:t xml:space="preserve">комбінацію QepA,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2 –</w:t>
      </w:r>
      <w:r w:rsidRPr="009144E7">
        <w:rPr>
          <w:rFonts w:cstheme="minorHAnsi"/>
          <w:color w:val="000000"/>
          <w:sz w:val="28"/>
          <w:szCs w:val="28"/>
          <w:lang w:val="uk-UA"/>
        </w:rPr>
        <w:t xml:space="preserve">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xml:space="preserve">, і один штам мав комбінацію </w:t>
      </w:r>
      <w:r w:rsidRPr="009144E7">
        <w:rPr>
          <w:rFonts w:cstheme="minorHAnsi"/>
          <w:color w:val="000000" w:themeColor="text1"/>
          <w:sz w:val="28"/>
          <w:szCs w:val="28"/>
          <w:lang w:val="en-US"/>
        </w:rPr>
        <w:lastRenderedPageBreak/>
        <w:t>blaSHV</w:t>
      </w:r>
      <w:r w:rsidRPr="009144E7">
        <w:rPr>
          <w:rFonts w:cstheme="minorHAnsi"/>
          <w:color w:val="000000" w:themeColor="text1"/>
          <w:sz w:val="28"/>
          <w:szCs w:val="28"/>
          <w:lang w:val="uk-UA"/>
        </w:rPr>
        <w:t xml:space="preserve"> і </w:t>
      </w:r>
      <w:r w:rsidRPr="009144E7">
        <w:rPr>
          <w:rFonts w:cstheme="minorHAnsi"/>
          <w:sz w:val="28"/>
          <w:szCs w:val="28"/>
          <w:lang w:val="uk-UA"/>
        </w:rPr>
        <w:t xml:space="preserve">QnrА. В штамі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mirabilis</w:t>
      </w:r>
      <w:r w:rsidRPr="009144E7">
        <w:rPr>
          <w:rFonts w:cstheme="minorHAnsi"/>
          <w:color w:val="000000"/>
          <w:sz w:val="28"/>
          <w:szCs w:val="28"/>
          <w:lang w:val="uk-UA"/>
        </w:rPr>
        <w:t xml:space="preserve"> була виявлена комбінація </w:t>
      </w:r>
      <w:r w:rsidRPr="009144E7">
        <w:rPr>
          <w:rFonts w:eastAsia="Times New Roman" w:cstheme="minorHAnsi"/>
          <w:color w:val="000000"/>
          <w:sz w:val="28"/>
          <w:szCs w:val="28"/>
          <w:lang w:val="uk-UA" w:eastAsia="ru-RU"/>
        </w:rPr>
        <w:t xml:space="preserve">2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xml:space="preserve"> (малюнок 3.6).</w:t>
      </w:r>
      <w:r w:rsidRPr="009144E7">
        <w:rPr>
          <w:rFonts w:eastAsia="Times New Roman" w:cstheme="minorHAnsi"/>
          <w:color w:val="000000"/>
          <w:sz w:val="28"/>
          <w:szCs w:val="28"/>
          <w:lang w:val="uk-UA" w:eastAsia="ru-RU"/>
        </w:rPr>
        <w:t xml:space="preserve"> </w:t>
      </w:r>
    </w:p>
    <w:p w:rsidR="009144E7" w:rsidRPr="009144E7" w:rsidRDefault="009144E7" w:rsidP="009144E7">
      <w:pPr>
        <w:tabs>
          <w:tab w:val="left" w:pos="2694"/>
        </w:tabs>
        <w:spacing w:after="0" w:line="360" w:lineRule="auto"/>
        <w:ind w:firstLine="709"/>
        <w:jc w:val="both"/>
        <w:rPr>
          <w:rFonts w:cstheme="minorHAnsi"/>
          <w:sz w:val="28"/>
          <w:szCs w:val="28"/>
          <w:lang w:val="uk-UA"/>
        </w:rPr>
      </w:pPr>
      <w:r w:rsidRPr="009144E7">
        <w:rPr>
          <w:rFonts w:cstheme="minorHAnsi"/>
          <w:noProof/>
          <w:sz w:val="28"/>
          <w:szCs w:val="28"/>
          <w:lang w:eastAsia="ru-RU"/>
        </w:rPr>
        <w:drawing>
          <wp:inline distT="0" distB="0" distL="0" distR="0" wp14:anchorId="33494DA0" wp14:editId="1E33C5D9">
            <wp:extent cx="5486400" cy="2929944"/>
            <wp:effectExtent l="0" t="0" r="19050" b="2286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144E7" w:rsidRPr="009144E7" w:rsidRDefault="009144E7" w:rsidP="009144E7">
      <w:pPr>
        <w:tabs>
          <w:tab w:val="left" w:pos="2694"/>
        </w:tabs>
        <w:spacing w:line="360" w:lineRule="auto"/>
        <w:ind w:firstLine="709"/>
        <w:jc w:val="both"/>
        <w:rPr>
          <w:rFonts w:cstheme="minorHAnsi"/>
          <w:sz w:val="24"/>
          <w:szCs w:val="24"/>
          <w:lang w:val="uk-UA"/>
        </w:rPr>
      </w:pPr>
      <w:r w:rsidRPr="009144E7">
        <w:rPr>
          <w:rFonts w:cstheme="minorHAnsi"/>
          <w:sz w:val="24"/>
          <w:szCs w:val="24"/>
          <w:lang w:val="uk-UA"/>
        </w:rPr>
        <w:t>Мал. 3.6 Виявлені комбінації плазмід-індукованих механізмів резистентності серед збудників ХП.</w:t>
      </w:r>
    </w:p>
    <w:p w:rsidR="009144E7" w:rsidRPr="009144E7" w:rsidRDefault="009144E7" w:rsidP="009144E7">
      <w:pPr>
        <w:spacing w:after="0" w:line="360" w:lineRule="auto"/>
        <w:ind w:firstLine="709"/>
        <w:jc w:val="both"/>
        <w:rPr>
          <w:rFonts w:cstheme="minorHAnsi"/>
          <w:color w:val="000000"/>
          <w:sz w:val="28"/>
          <w:szCs w:val="28"/>
          <w:lang w:val="uk-UA"/>
        </w:rPr>
      </w:pPr>
      <w:r w:rsidRPr="009144E7">
        <w:rPr>
          <w:sz w:val="28"/>
          <w:szCs w:val="28"/>
          <w:lang w:val="uk-UA"/>
        </w:rPr>
        <w:t xml:space="preserve">Таким чином, виявлення плазмід-індукованих генних механізмів резистентності серед основних збудників ХП складає 38,3%. Виявляємість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 складає 26,1%, генів резистентності до фторхінолонів – 12,2%. Максимум генів β-лактамаз було виділено в штамах P.mirabilis (50%), генів резистентності до фторхінолонів – в штамах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aeruginosa</w:t>
      </w:r>
      <w:r w:rsidRPr="009144E7">
        <w:rPr>
          <w:rFonts w:cstheme="minorHAnsi"/>
          <w:color w:val="000000"/>
          <w:sz w:val="28"/>
          <w:szCs w:val="28"/>
          <w:lang w:val="uk-UA"/>
        </w:rPr>
        <w:t xml:space="preserve"> (50%). В патогенних ізолятах </w:t>
      </w:r>
      <w:r w:rsidRPr="009144E7">
        <w:rPr>
          <w:rFonts w:cstheme="minorHAnsi"/>
          <w:color w:val="000000"/>
          <w:sz w:val="28"/>
          <w:szCs w:val="28"/>
          <w:lang w:val="en-US"/>
        </w:rPr>
        <w:t>E</w:t>
      </w:r>
      <w:r w:rsidRPr="009144E7">
        <w:rPr>
          <w:rFonts w:cstheme="minorHAnsi"/>
          <w:color w:val="000000"/>
          <w:sz w:val="28"/>
          <w:szCs w:val="28"/>
          <w:lang w:val="uk-UA"/>
        </w:rPr>
        <w:t>.</w:t>
      </w:r>
      <w:r w:rsidRPr="009144E7">
        <w:rPr>
          <w:rFonts w:cstheme="minorHAnsi"/>
          <w:color w:val="000000"/>
          <w:sz w:val="28"/>
          <w:szCs w:val="28"/>
          <w:lang w:val="en-US"/>
        </w:rPr>
        <w:t>coli</w:t>
      </w:r>
      <w:r w:rsidRPr="009144E7">
        <w:rPr>
          <w:rFonts w:cstheme="minorHAnsi"/>
          <w:color w:val="000000"/>
          <w:sz w:val="28"/>
          <w:szCs w:val="28"/>
          <w:lang w:val="uk-UA"/>
        </w:rPr>
        <w:t xml:space="preserve"> було виявлено найбільшу кількість комбінацій генів стійкості. </w:t>
      </w:r>
    </w:p>
    <w:p w:rsidR="009144E7" w:rsidRPr="009144E7" w:rsidRDefault="009144E7" w:rsidP="009144E7">
      <w:pPr>
        <w:spacing w:line="360" w:lineRule="auto"/>
        <w:ind w:firstLine="709"/>
        <w:jc w:val="both"/>
        <w:rPr>
          <w:rFonts w:cstheme="minorHAnsi"/>
          <w:sz w:val="28"/>
          <w:szCs w:val="28"/>
          <w:lang w:val="uk-UA"/>
        </w:rPr>
      </w:pPr>
      <w:r w:rsidRPr="009144E7">
        <w:rPr>
          <w:rFonts w:cstheme="minorHAnsi"/>
          <w:color w:val="000000"/>
          <w:sz w:val="28"/>
          <w:szCs w:val="28"/>
          <w:lang w:val="uk-UA"/>
        </w:rPr>
        <w:t xml:space="preserve">Найпоширенішими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 були виявлені типи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xml:space="preserve"> </w:t>
      </w:r>
      <w:r w:rsidRPr="009144E7">
        <w:rPr>
          <w:rFonts w:eastAsia="Times New Roman" w:cstheme="minorHAnsi"/>
          <w:color w:val="000000"/>
          <w:sz w:val="28"/>
          <w:szCs w:val="28"/>
          <w:lang w:val="uk-UA" w:eastAsia="ru-RU"/>
        </w:rPr>
        <w:t>з частотою виявлення 33.3% та 36.6% відповідно</w:t>
      </w:r>
      <w:r w:rsidRPr="009144E7">
        <w:rPr>
          <w:rFonts w:cstheme="minorHAnsi"/>
          <w:color w:val="000000" w:themeColor="text1"/>
          <w:sz w:val="28"/>
          <w:szCs w:val="28"/>
          <w:lang w:val="uk-UA"/>
        </w:rPr>
        <w:t xml:space="preserve">. Серед генів резистентності до фторхінолонів домінували </w:t>
      </w:r>
      <w:r w:rsidRPr="009144E7">
        <w:rPr>
          <w:rFonts w:cstheme="minorHAnsi"/>
          <w:sz w:val="28"/>
          <w:szCs w:val="28"/>
          <w:lang w:val="uk-UA"/>
        </w:rPr>
        <w:t xml:space="preserve">efflux pump QepA (42,8%) та </w:t>
      </w:r>
      <w:r w:rsidRPr="009144E7">
        <w:rPr>
          <w:sz w:val="28"/>
          <w:szCs w:val="28"/>
          <w:lang w:val="uk-UA"/>
        </w:rPr>
        <w:t xml:space="preserve">протеїн </w:t>
      </w:r>
      <w:r w:rsidRPr="009144E7">
        <w:rPr>
          <w:rFonts w:cstheme="minorHAnsi"/>
          <w:sz w:val="28"/>
          <w:szCs w:val="28"/>
          <w:lang w:val="uk-UA"/>
        </w:rPr>
        <w:t xml:space="preserve">QnrА  (35,7%). </w:t>
      </w:r>
    </w:p>
    <w:p w:rsidR="009144E7" w:rsidRPr="009144E7" w:rsidRDefault="009144E7" w:rsidP="009144E7">
      <w:pPr>
        <w:spacing w:after="0" w:line="360" w:lineRule="auto"/>
        <w:ind w:firstLine="709"/>
        <w:jc w:val="both"/>
        <w:rPr>
          <w:rFonts w:eastAsia="Times New Roman" w:cstheme="minorHAnsi"/>
          <w:color w:val="000000"/>
          <w:sz w:val="28"/>
          <w:szCs w:val="28"/>
          <w:lang w:val="uk-UA" w:eastAsia="ru-RU"/>
        </w:rPr>
      </w:pPr>
      <w:r w:rsidRPr="009144E7">
        <w:rPr>
          <w:rFonts w:cstheme="minorHAnsi"/>
          <w:color w:val="000000" w:themeColor="text1"/>
          <w:sz w:val="28"/>
          <w:szCs w:val="28"/>
          <w:lang w:val="uk-UA"/>
        </w:rPr>
        <w:t xml:space="preserve">Поширеність плазмід-індукованих механізмів резистентності серед хворих на ХП складає 29,1%. Розповсюдження плазмідних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 становило 19%, генів резистентності до фторхінолонів – 9%, у 2% хворих виявилася комбінація </w:t>
      </w:r>
      <w:r w:rsidRPr="009144E7">
        <w:rPr>
          <w:rFonts w:eastAsia="Times New Roman" w:cstheme="minorHAnsi"/>
          <w:color w:val="000000"/>
          <w:sz w:val="28"/>
          <w:szCs w:val="28"/>
          <w:lang w:eastAsia="ru-RU"/>
        </w:rPr>
        <w:t>β</w:t>
      </w:r>
      <w:r w:rsidRPr="009144E7">
        <w:rPr>
          <w:rFonts w:eastAsia="Times New Roman" w:cstheme="minorHAnsi"/>
          <w:color w:val="000000"/>
          <w:sz w:val="28"/>
          <w:szCs w:val="28"/>
          <w:lang w:val="uk-UA" w:eastAsia="ru-RU"/>
        </w:rPr>
        <w:t xml:space="preserve">ЛРС і генів резистентності до фторхінолонів. Отже, </w:t>
      </w:r>
      <w:r w:rsidRPr="009144E7">
        <w:rPr>
          <w:rFonts w:eastAsia="Times New Roman" w:cstheme="minorHAnsi"/>
          <w:color w:val="000000"/>
          <w:sz w:val="28"/>
          <w:szCs w:val="28"/>
          <w:lang w:val="uk-UA" w:eastAsia="ru-RU"/>
        </w:rPr>
        <w:lastRenderedPageBreak/>
        <w:t xml:space="preserve">спостерігається висока розповсюдженість плазмідних генів стійкості серед хворих на ХП, що, можливо, є однією із причин зниження ефективності лікування пієлонефриту, оскільки </w:t>
      </w:r>
      <w:r w:rsidRPr="009144E7">
        <w:rPr>
          <w:rFonts w:cstheme="minorHAnsi"/>
          <w:color w:val="000000" w:themeColor="text1"/>
          <w:sz w:val="28"/>
          <w:szCs w:val="28"/>
          <w:lang w:val="uk-UA"/>
        </w:rPr>
        <w:t>за даними офіційного реєстру хворих з ХХН в Україні за 2012 рік саме ХП в структурі причин ХХН V ст. займає провідну позицію [8]. Щодо даних світової статистики, ІСС є найбільш розповсюдженими інфекціями серед всіх бактеріальних інфекцій [</w:t>
      </w:r>
      <w:r w:rsidRPr="009144E7">
        <w:rPr>
          <w:rFonts w:cstheme="minorHAnsi"/>
          <w:color w:val="000000"/>
          <w:sz w:val="28"/>
          <w:szCs w:val="28"/>
          <w:lang w:val="uk-UA"/>
        </w:rPr>
        <w:t>40</w:t>
      </w:r>
      <w:r w:rsidRPr="009144E7">
        <w:rPr>
          <w:rFonts w:cstheme="minorHAnsi"/>
          <w:color w:val="000000" w:themeColor="text1"/>
          <w:sz w:val="28"/>
          <w:szCs w:val="28"/>
          <w:lang w:val="uk-UA"/>
        </w:rPr>
        <w:t xml:space="preserve">], і поширеність плазмідних механізмів стійкості серед таких хворих варіює від 6,4% згідно дослідження </w:t>
      </w:r>
      <w:r w:rsidRPr="009144E7">
        <w:rPr>
          <w:rFonts w:cstheme="minorHAnsi"/>
          <w:color w:val="000000" w:themeColor="text1"/>
          <w:sz w:val="28"/>
          <w:szCs w:val="28"/>
          <w:lang w:val="en-US"/>
        </w:rPr>
        <w:t>SENTRY</w:t>
      </w:r>
      <w:r w:rsidRPr="009144E7">
        <w:rPr>
          <w:rFonts w:cstheme="minorHAnsi"/>
          <w:color w:val="000000" w:themeColor="text1"/>
          <w:sz w:val="28"/>
          <w:szCs w:val="28"/>
          <w:lang w:val="uk-UA"/>
        </w:rPr>
        <w:t xml:space="preserve"> [</w:t>
      </w:r>
      <w:r w:rsidRPr="009144E7">
        <w:rPr>
          <w:color w:val="000000" w:themeColor="text1"/>
          <w:sz w:val="28"/>
          <w:szCs w:val="28"/>
          <w:lang w:val="uk-UA"/>
        </w:rPr>
        <w:t>29</w:t>
      </w:r>
      <w:r w:rsidRPr="009144E7">
        <w:rPr>
          <w:rFonts w:cstheme="minorHAnsi"/>
          <w:color w:val="000000" w:themeColor="text1"/>
          <w:sz w:val="28"/>
          <w:szCs w:val="28"/>
          <w:lang w:val="uk-UA"/>
        </w:rPr>
        <w:t xml:space="preserve">] до 52% згідно даних </w:t>
      </w:r>
      <w:r w:rsidRPr="009144E7">
        <w:rPr>
          <w:rFonts w:eastAsia="Times New Roman" w:cstheme="minorHAnsi"/>
          <w:color w:val="000000" w:themeColor="text1"/>
          <w:sz w:val="28"/>
          <w:szCs w:val="28"/>
          <w:lang w:val="en-US" w:eastAsia="ru-RU"/>
        </w:rPr>
        <w:t>Sharma</w:t>
      </w:r>
      <w:r w:rsidRPr="009144E7">
        <w:rPr>
          <w:rFonts w:eastAsia="Times New Roman" w:cstheme="minorHAnsi"/>
          <w:color w:val="000000" w:themeColor="text1"/>
          <w:sz w:val="28"/>
          <w:szCs w:val="28"/>
          <w:lang w:val="uk-UA" w:eastAsia="ru-RU"/>
        </w:rPr>
        <w:t xml:space="preserve"> </w:t>
      </w:r>
      <w:r w:rsidRPr="009144E7">
        <w:rPr>
          <w:rFonts w:eastAsia="Times New Roman" w:cstheme="minorHAnsi"/>
          <w:color w:val="000000" w:themeColor="text1"/>
          <w:sz w:val="28"/>
          <w:szCs w:val="28"/>
          <w:lang w:val="en-US" w:eastAsia="ru-RU"/>
        </w:rPr>
        <w:t>M</w:t>
      </w:r>
      <w:r w:rsidRPr="009144E7">
        <w:rPr>
          <w:lang w:val="uk-UA"/>
        </w:rPr>
        <w:t xml:space="preserve"> </w:t>
      </w:r>
      <w:r w:rsidRPr="009144E7">
        <w:rPr>
          <w:sz w:val="28"/>
          <w:szCs w:val="28"/>
          <w:lang w:val="uk-UA"/>
        </w:rPr>
        <w:t xml:space="preserve">та співавт. </w:t>
      </w:r>
      <w:r w:rsidRPr="009144E7">
        <w:rPr>
          <w:rFonts w:cstheme="minorHAnsi"/>
          <w:sz w:val="28"/>
          <w:szCs w:val="28"/>
          <w:lang w:val="uk-UA"/>
        </w:rPr>
        <w:t>[</w:t>
      </w:r>
      <w:r w:rsidRPr="009144E7">
        <w:rPr>
          <w:rFonts w:eastAsia="Times New Roman" w:cstheme="minorHAnsi"/>
          <w:color w:val="000000" w:themeColor="text1"/>
          <w:sz w:val="28"/>
          <w:szCs w:val="28"/>
          <w:lang w:val="uk-UA" w:eastAsia="ru-RU"/>
        </w:rPr>
        <w:t>108</w:t>
      </w:r>
      <w:r w:rsidRPr="009144E7">
        <w:rPr>
          <w:rFonts w:cstheme="minorHAnsi"/>
          <w:sz w:val="28"/>
          <w:szCs w:val="28"/>
          <w:lang w:val="uk-UA"/>
        </w:rPr>
        <w:t>]</w:t>
      </w:r>
      <w:r w:rsidRPr="009144E7">
        <w:rPr>
          <w:rFonts w:cstheme="minorHAnsi"/>
          <w:color w:val="000000" w:themeColor="text1"/>
          <w:sz w:val="28"/>
          <w:szCs w:val="28"/>
          <w:lang w:val="uk-UA"/>
        </w:rPr>
        <w:t xml:space="preserve">. </w:t>
      </w:r>
      <w:r w:rsidRPr="009144E7">
        <w:rPr>
          <w:rFonts w:eastAsia="Times New Roman" w:cstheme="minorHAnsi"/>
          <w:sz w:val="28"/>
          <w:szCs w:val="28"/>
          <w:lang w:val="en-US" w:eastAsia="ru-RU"/>
        </w:rPr>
        <w:t>Longhi</w:t>
      </w:r>
      <w:r w:rsidRPr="009144E7">
        <w:rPr>
          <w:rFonts w:eastAsia="Times New Roman" w:cstheme="minorHAnsi"/>
          <w:sz w:val="28"/>
          <w:szCs w:val="28"/>
          <w:lang w:val="uk-UA" w:eastAsia="ru-RU"/>
        </w:rPr>
        <w:t xml:space="preserve"> </w:t>
      </w:r>
      <w:r w:rsidRPr="009144E7">
        <w:rPr>
          <w:rFonts w:eastAsia="Times New Roman" w:cstheme="minorHAnsi"/>
          <w:sz w:val="28"/>
          <w:szCs w:val="28"/>
          <w:lang w:val="en-US" w:eastAsia="ru-RU"/>
        </w:rPr>
        <w:t>C</w:t>
      </w:r>
      <w:r w:rsidRPr="009144E7">
        <w:rPr>
          <w:sz w:val="28"/>
          <w:szCs w:val="28"/>
          <w:lang w:val="uk-UA"/>
        </w:rPr>
        <w:t xml:space="preserve"> та співавт. в своєму дослідженні демонструють такі рівні плазмід-індукованої резистентності до фторхінолонів: 11% для амбулаторних пацієнтів з ІСС та 21% - для госпіталізованих </w:t>
      </w:r>
      <w:r w:rsidRPr="009144E7">
        <w:rPr>
          <w:rFonts w:cstheme="minorHAnsi"/>
          <w:sz w:val="28"/>
          <w:szCs w:val="28"/>
          <w:lang w:val="uk-UA"/>
        </w:rPr>
        <w:t>[</w:t>
      </w:r>
      <w:r w:rsidRPr="009144E7">
        <w:rPr>
          <w:rFonts w:eastAsia="Times New Roman" w:cstheme="minorHAnsi"/>
          <w:sz w:val="28"/>
          <w:szCs w:val="28"/>
          <w:lang w:val="uk-UA" w:eastAsia="ru-RU"/>
        </w:rPr>
        <w:t xml:space="preserve">74]. </w:t>
      </w:r>
      <w:r w:rsidRPr="009144E7">
        <w:rPr>
          <w:rFonts w:cstheme="minorHAnsi"/>
          <w:color w:val="000000" w:themeColor="text1"/>
          <w:sz w:val="28"/>
          <w:szCs w:val="28"/>
          <w:lang w:val="uk-UA"/>
        </w:rPr>
        <w:t>Крім того, поширеність генів резистентності також щорічно зростає завдяки високій активності мобільних генетичних елементів – плазмід [</w:t>
      </w:r>
      <w:r w:rsidRPr="009144E7">
        <w:rPr>
          <w:rFonts w:cstheme="minorHAnsi"/>
          <w:bCs/>
          <w:iCs/>
          <w:sz w:val="28"/>
          <w:szCs w:val="28"/>
          <w:lang w:val="uk-UA"/>
        </w:rPr>
        <w:t>38</w:t>
      </w:r>
      <w:r w:rsidRPr="009144E7">
        <w:rPr>
          <w:rFonts w:cstheme="minorHAnsi"/>
          <w:color w:val="000000" w:themeColor="text1"/>
          <w:sz w:val="28"/>
          <w:szCs w:val="28"/>
          <w:lang w:val="uk-UA"/>
        </w:rPr>
        <w:t>].</w:t>
      </w:r>
      <w:r w:rsidRPr="009144E7">
        <w:rPr>
          <w:rFonts w:eastAsia="Times New Roman" w:cstheme="minorHAnsi"/>
          <w:color w:val="000000"/>
          <w:sz w:val="28"/>
          <w:szCs w:val="28"/>
          <w:lang w:val="uk-UA" w:eastAsia="ru-RU"/>
        </w:rPr>
        <w:t xml:space="preserve">   </w:t>
      </w:r>
    </w:p>
    <w:p w:rsidR="009144E7" w:rsidRPr="009144E7" w:rsidRDefault="009144E7" w:rsidP="009144E7">
      <w:pPr>
        <w:spacing w:after="0" w:line="360" w:lineRule="auto"/>
        <w:ind w:firstLine="709"/>
        <w:jc w:val="both"/>
        <w:rPr>
          <w:rFonts w:cstheme="minorHAnsi"/>
          <w:color w:val="000000" w:themeColor="text1"/>
          <w:sz w:val="28"/>
          <w:szCs w:val="28"/>
          <w:lang w:val="uk-UA"/>
        </w:rPr>
      </w:pPr>
      <w:r w:rsidRPr="009144E7">
        <w:rPr>
          <w:rFonts w:cstheme="minorHAnsi"/>
          <w:color w:val="000000" w:themeColor="text1"/>
          <w:sz w:val="28"/>
          <w:szCs w:val="28"/>
          <w:lang w:val="uk-UA"/>
        </w:rPr>
        <w:t>У хворих на ХП із супутнім ЦД 2 типу вивляємість плазмід-індукованих механізмів резистентності дещо вища і становить 31,5%, тоді як у пацієнтів без діабету – 25%, проте достовірних відмінностей не виявлено. Лікування ХП, особливо на тлі ЦД 2 типу, є досить складними завданням для клініцистів, і, можливо, однією із причин, є саме вплив плазмід-індукованих механізмів резистентності. По виявляємості домінували βЛРС як у пацієнтів із ХП і супутнім ЦД 2 типу, так і без останнього, хоча розповсюдженість плазмідних генів стійкості до фторхінолонів теж була доволі висока (11% для І групи, 19% - для ІІ групи). По даним різних авторів, ЦД є незалежним фактором ризику, що сприяє колонізації сечової системи бактеріями з плазмідними механізмами резистентності [</w:t>
      </w:r>
      <w:r w:rsidRPr="009144E7">
        <w:rPr>
          <w:rFonts w:ascii="Times New Roman" w:hAnsi="Times New Roman" w:cs="Times New Roman"/>
          <w:color w:val="000000"/>
          <w:sz w:val="28"/>
          <w:szCs w:val="28"/>
          <w:lang w:val="uk-UA"/>
        </w:rPr>
        <w:t>45, 65</w:t>
      </w:r>
      <w:r w:rsidRPr="009144E7">
        <w:rPr>
          <w:rFonts w:cstheme="minorHAnsi"/>
          <w:color w:val="000000" w:themeColor="text1"/>
          <w:sz w:val="28"/>
          <w:szCs w:val="28"/>
          <w:lang w:val="uk-UA"/>
        </w:rPr>
        <w:t xml:space="preserve">]. Проте, в нашому дослідженні, достовірних відмінностей по виявляємості плазмідних генів резистентності серед хворих на ХП в залежності від наявності супутнього ЦД 2 типу, виявлено не було. Тому, у зв’язку з суперечливими даними, цей факт потребує подальших досліджень з метою підвищення ефективності АБТ.  </w:t>
      </w:r>
    </w:p>
    <w:p w:rsidR="009144E7" w:rsidRPr="009144E7" w:rsidRDefault="009144E7" w:rsidP="009144E7">
      <w:pPr>
        <w:spacing w:after="0" w:line="360" w:lineRule="auto"/>
        <w:ind w:firstLine="709"/>
        <w:jc w:val="both"/>
        <w:rPr>
          <w:rFonts w:cstheme="minorHAnsi"/>
          <w:sz w:val="28"/>
          <w:szCs w:val="28"/>
          <w:lang w:val="uk-UA"/>
        </w:rPr>
      </w:pPr>
      <w:r w:rsidRPr="009144E7">
        <w:rPr>
          <w:rFonts w:cstheme="minorHAnsi"/>
          <w:color w:val="000000" w:themeColor="text1"/>
          <w:sz w:val="28"/>
          <w:szCs w:val="28"/>
          <w:lang w:val="uk-UA"/>
        </w:rPr>
        <w:t xml:space="preserve">Щодо розповсюдженості плазмід-індукованих механізмів резистентності серед основних збудників ХП, в нашому дослідженні вона </w:t>
      </w:r>
      <w:r w:rsidRPr="009144E7">
        <w:rPr>
          <w:rFonts w:cstheme="minorHAnsi"/>
          <w:color w:val="000000" w:themeColor="text1"/>
          <w:sz w:val="28"/>
          <w:szCs w:val="28"/>
          <w:lang w:val="uk-UA"/>
        </w:rPr>
        <w:lastRenderedPageBreak/>
        <w:t xml:space="preserve">складала 38,3%: 26,1% генів, що кодують βЛРС та 12,3% генів – що опосередковують резистентність до фторхінолонів. </w:t>
      </w:r>
      <w:r w:rsidRPr="009144E7">
        <w:rPr>
          <w:rFonts w:eastAsia="Times New Roman" w:cstheme="minorHAnsi"/>
          <w:color w:val="000000"/>
          <w:sz w:val="28"/>
          <w:szCs w:val="28"/>
          <w:lang w:val="uk-UA" w:eastAsia="ru-RU"/>
        </w:rPr>
        <w:t xml:space="preserve">Максимум генів β-лактамаз було виділено у P.mirabilis - 4 (50%), виявлення βЛРС в штамах E.сoli склала 37,7%, </w:t>
      </w:r>
      <w:r w:rsidRPr="009144E7">
        <w:rPr>
          <w:rFonts w:cstheme="minorHAnsi"/>
          <w:color w:val="000000"/>
          <w:sz w:val="28"/>
          <w:szCs w:val="28"/>
          <w:lang w:val="en-US"/>
        </w:rPr>
        <w:t>K</w:t>
      </w:r>
      <w:r w:rsidRPr="009144E7">
        <w:rPr>
          <w:rFonts w:cstheme="minorHAnsi"/>
          <w:color w:val="000000"/>
          <w:sz w:val="28"/>
          <w:szCs w:val="28"/>
          <w:lang w:val="uk-UA"/>
        </w:rPr>
        <w:t>.</w:t>
      </w:r>
      <w:r w:rsidRPr="009144E7">
        <w:rPr>
          <w:rFonts w:cstheme="minorHAnsi"/>
          <w:color w:val="000000"/>
          <w:sz w:val="28"/>
          <w:szCs w:val="28"/>
          <w:lang w:val="en-US"/>
        </w:rPr>
        <w:t>pneumoniae</w:t>
      </w:r>
      <w:r w:rsidRPr="009144E7">
        <w:rPr>
          <w:rFonts w:eastAsia="Times New Roman" w:cstheme="minorHAnsi"/>
          <w:color w:val="000000"/>
          <w:sz w:val="28"/>
          <w:szCs w:val="28"/>
          <w:lang w:val="uk-UA" w:eastAsia="ru-RU"/>
        </w:rPr>
        <w:t xml:space="preserve"> – 22,2%. Найбільш поширеними визнані типи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w:t>
      </w:r>
      <w:r w:rsidRPr="009144E7">
        <w:rPr>
          <w:rFonts w:cstheme="minorHAnsi"/>
          <w:sz w:val="28"/>
          <w:szCs w:val="28"/>
          <w:lang w:val="uk-UA"/>
        </w:rPr>
        <w:t xml:space="preserve"> Найбільше генів резистентності до фторхінолонів було виявлено в штамах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aeruginosa</w:t>
      </w:r>
      <w:r w:rsidRPr="009144E7">
        <w:rPr>
          <w:rFonts w:cstheme="minorHAnsi"/>
          <w:color w:val="000000"/>
          <w:sz w:val="28"/>
          <w:szCs w:val="28"/>
          <w:lang w:val="uk-UA"/>
        </w:rPr>
        <w:t xml:space="preserve"> (50%), </w:t>
      </w:r>
      <w:r w:rsidRPr="009144E7">
        <w:rPr>
          <w:rFonts w:cstheme="minorHAnsi"/>
          <w:color w:val="000000"/>
          <w:sz w:val="28"/>
          <w:szCs w:val="28"/>
          <w:lang w:val="en-US"/>
        </w:rPr>
        <w:t>E</w:t>
      </w:r>
      <w:r w:rsidRPr="009144E7">
        <w:rPr>
          <w:rFonts w:cstheme="minorHAnsi"/>
          <w:color w:val="000000"/>
          <w:sz w:val="28"/>
          <w:szCs w:val="28"/>
          <w:lang w:val="uk-UA"/>
        </w:rPr>
        <w:t>.</w:t>
      </w:r>
      <w:r w:rsidRPr="009144E7">
        <w:rPr>
          <w:rFonts w:cstheme="minorHAnsi"/>
          <w:color w:val="000000"/>
          <w:sz w:val="28"/>
          <w:szCs w:val="28"/>
          <w:lang w:val="en-US"/>
        </w:rPr>
        <w:t>coli</w:t>
      </w:r>
      <w:r w:rsidRPr="009144E7">
        <w:rPr>
          <w:rFonts w:cstheme="minorHAnsi"/>
          <w:color w:val="000000"/>
          <w:sz w:val="28"/>
          <w:szCs w:val="28"/>
          <w:lang w:val="uk-UA"/>
        </w:rPr>
        <w:t xml:space="preserve"> (15,1%) та </w:t>
      </w:r>
      <w:r w:rsidRPr="009144E7">
        <w:rPr>
          <w:rFonts w:cstheme="minorHAnsi"/>
          <w:color w:val="000000"/>
          <w:sz w:val="28"/>
          <w:szCs w:val="28"/>
          <w:lang w:val="en-US"/>
        </w:rPr>
        <w:t>P</w:t>
      </w:r>
      <w:r w:rsidRPr="009144E7">
        <w:rPr>
          <w:rFonts w:cstheme="minorHAnsi"/>
          <w:color w:val="000000"/>
          <w:sz w:val="28"/>
          <w:szCs w:val="28"/>
          <w:lang w:val="uk-UA"/>
        </w:rPr>
        <w:t>.</w:t>
      </w:r>
      <w:r w:rsidRPr="009144E7">
        <w:rPr>
          <w:rFonts w:cstheme="minorHAnsi"/>
          <w:color w:val="000000"/>
          <w:sz w:val="28"/>
          <w:szCs w:val="28"/>
          <w:lang w:val="en-US"/>
        </w:rPr>
        <w:t>mirabilis</w:t>
      </w:r>
      <w:r w:rsidRPr="009144E7">
        <w:rPr>
          <w:rFonts w:cstheme="minorHAnsi"/>
          <w:color w:val="000000"/>
          <w:sz w:val="28"/>
          <w:szCs w:val="28"/>
          <w:lang w:val="uk-UA"/>
        </w:rPr>
        <w:t xml:space="preserve"> (12,5%). Домінуючими генами були </w:t>
      </w:r>
      <w:r w:rsidRPr="009144E7">
        <w:rPr>
          <w:rFonts w:cstheme="minorHAnsi"/>
          <w:sz w:val="28"/>
          <w:szCs w:val="28"/>
          <w:lang w:val="uk-UA"/>
        </w:rPr>
        <w:t xml:space="preserve">efflux pump QepA та </w:t>
      </w:r>
      <w:r w:rsidRPr="009144E7">
        <w:rPr>
          <w:sz w:val="28"/>
          <w:szCs w:val="28"/>
          <w:lang w:val="uk-UA"/>
        </w:rPr>
        <w:t xml:space="preserve">протеїн </w:t>
      </w:r>
      <w:r w:rsidRPr="009144E7">
        <w:rPr>
          <w:rFonts w:cstheme="minorHAnsi"/>
          <w:sz w:val="28"/>
          <w:szCs w:val="28"/>
          <w:lang w:val="uk-UA"/>
        </w:rPr>
        <w:t>QnrА.</w:t>
      </w:r>
      <w:r w:rsidRPr="009144E7">
        <w:rPr>
          <w:rFonts w:cstheme="minorHAnsi"/>
          <w:color w:val="000000"/>
          <w:sz w:val="28"/>
          <w:szCs w:val="28"/>
          <w:lang w:val="uk-UA"/>
        </w:rPr>
        <w:t xml:space="preserve"> В Європейських країнах, згідно даних </w:t>
      </w:r>
      <w:r w:rsidRPr="009144E7">
        <w:rPr>
          <w:sz w:val="28"/>
          <w:szCs w:val="28"/>
          <w:lang w:val="uk-UA"/>
        </w:rPr>
        <w:t xml:space="preserve">річного звіту європейської громади з епіднагляду за антимікробною резистентністю (EARS-Net) за 2013 рік, поширеність βЛРС серед клінічних штамів E. coli і K.pneumoniae, резистентних до 3-ї генерації цефалоспоринів, варіює від 85-100% </w:t>
      </w:r>
      <w:r w:rsidRPr="009144E7">
        <w:rPr>
          <w:rFonts w:cstheme="minorHAnsi"/>
          <w:bCs/>
          <w:iCs/>
          <w:sz w:val="28"/>
          <w:szCs w:val="28"/>
          <w:lang w:val="uk-UA"/>
        </w:rPr>
        <w:t>[38</w:t>
      </w:r>
      <w:r w:rsidRPr="009144E7">
        <w:rPr>
          <w:sz w:val="28"/>
          <w:szCs w:val="28"/>
          <w:lang w:val="uk-UA"/>
        </w:rPr>
        <w:t>].</w:t>
      </w:r>
      <w:r w:rsidRPr="009144E7">
        <w:rPr>
          <w:rFonts w:cstheme="minorHAnsi"/>
          <w:sz w:val="28"/>
          <w:szCs w:val="28"/>
          <w:lang w:val="uk-UA"/>
        </w:rPr>
        <w:t xml:space="preserve"> </w:t>
      </w:r>
      <w:r w:rsidRPr="009144E7">
        <w:rPr>
          <w:rFonts w:eastAsia="Times New Roman" w:cstheme="minorHAnsi"/>
          <w:sz w:val="28"/>
          <w:szCs w:val="28"/>
          <w:lang w:val="uk-UA" w:eastAsia="ru-RU"/>
        </w:rPr>
        <w:t xml:space="preserve">Поширеність плазмід-індукованих генів резистентності до фторхінолонів серед клінічних штамів Escherichia coli і K.pneumoniae в Таїланді становить 22,3% і 65,3% відповідно. За виявленням гени розташувалися в наступному порядку: aac (6 ') - Ib-cr, qnrS, qnrB і qnrA </w:t>
      </w:r>
      <w:r w:rsidRPr="009144E7">
        <w:rPr>
          <w:rFonts w:cstheme="minorHAnsi"/>
          <w:sz w:val="28"/>
          <w:szCs w:val="28"/>
          <w:shd w:val="clear" w:color="auto" w:fill="FFFFFF"/>
        </w:rPr>
        <w:t>[</w:t>
      </w:r>
      <w:r w:rsidRPr="009144E7">
        <w:rPr>
          <w:rFonts w:eastAsia="Times New Roman" w:cstheme="minorHAnsi"/>
          <w:sz w:val="28"/>
          <w:szCs w:val="28"/>
          <w:lang w:val="uk-UA" w:eastAsia="ru-RU"/>
        </w:rPr>
        <w:t>87</w:t>
      </w:r>
      <w:r w:rsidRPr="009144E7">
        <w:rPr>
          <w:rFonts w:eastAsia="Times New Roman" w:cstheme="minorHAnsi"/>
          <w:sz w:val="28"/>
          <w:szCs w:val="28"/>
          <w:lang w:eastAsia="ru-RU"/>
        </w:rPr>
        <w:t>].</w:t>
      </w:r>
      <w:r w:rsidRPr="009144E7">
        <w:rPr>
          <w:rFonts w:cstheme="minorHAnsi"/>
          <w:sz w:val="28"/>
          <w:szCs w:val="28"/>
        </w:rPr>
        <w:t xml:space="preserve"> </w:t>
      </w:r>
    </w:p>
    <w:p w:rsidR="009144E7" w:rsidRPr="009144E7" w:rsidRDefault="009144E7" w:rsidP="009144E7">
      <w:pPr>
        <w:spacing w:line="360" w:lineRule="auto"/>
        <w:ind w:firstLine="709"/>
        <w:jc w:val="both"/>
        <w:rPr>
          <w:sz w:val="28"/>
          <w:szCs w:val="28"/>
          <w:lang w:val="uk-UA"/>
        </w:rPr>
      </w:pPr>
      <w:r w:rsidRPr="009144E7">
        <w:rPr>
          <w:rFonts w:ascii="Times New Roman" w:eastAsia="Times New Roman" w:hAnsi="Times New Roman" w:cs="Times New Roman"/>
          <w:color w:val="000000" w:themeColor="text1"/>
          <w:sz w:val="28"/>
          <w:szCs w:val="28"/>
          <w:lang w:val="uk-UA" w:eastAsia="ru-RU"/>
        </w:rPr>
        <w:t xml:space="preserve">При інфекціях, викликаних </w:t>
      </w:r>
      <w:r w:rsidRPr="009144E7">
        <w:rPr>
          <w:rFonts w:eastAsia="Times New Roman" w:cstheme="minorHAnsi"/>
          <w:color w:val="000000"/>
          <w:sz w:val="28"/>
          <w:szCs w:val="28"/>
          <w:lang w:val="uk-UA" w:eastAsia="ru-RU"/>
        </w:rPr>
        <w:t>βЛРС</w:t>
      </w:r>
      <w:r w:rsidRPr="009144E7">
        <w:rPr>
          <w:rFonts w:ascii="Times New Roman" w:eastAsia="Times New Roman" w:hAnsi="Times New Roman" w:cs="Times New Roman"/>
          <w:color w:val="000000" w:themeColor="text1"/>
          <w:sz w:val="28"/>
          <w:szCs w:val="28"/>
          <w:lang w:val="uk-UA" w:eastAsia="ru-RU"/>
        </w:rPr>
        <w:t xml:space="preserve">-продукуючими бактеріями, визначається висока частота перехресної резистентності, що обмежує застосування як фторхінолонів, так і аміноглікозидів </w:t>
      </w:r>
      <w:r w:rsidRPr="009144E7">
        <w:rPr>
          <w:rFonts w:cstheme="minorHAnsi"/>
          <w:sz w:val="28"/>
          <w:szCs w:val="28"/>
          <w:lang w:val="uk-UA"/>
        </w:rPr>
        <w:t>[</w:t>
      </w:r>
      <w:r w:rsidRPr="009144E7">
        <w:rPr>
          <w:rFonts w:ascii="Times New Roman" w:eastAsia="Times New Roman" w:hAnsi="Times New Roman" w:cs="Times New Roman"/>
          <w:color w:val="000000" w:themeColor="text1"/>
          <w:sz w:val="28"/>
          <w:szCs w:val="28"/>
          <w:bdr w:val="none" w:sz="0" w:space="0" w:color="auto" w:frame="1"/>
          <w:lang w:val="uk-UA" w:eastAsia="ru-RU"/>
        </w:rPr>
        <w:t>32</w:t>
      </w:r>
      <w:r w:rsidRPr="009144E7">
        <w:rPr>
          <w:rFonts w:ascii="Times New Roman" w:eastAsia="Times New Roman" w:hAnsi="Times New Roman" w:cs="Times New Roman"/>
          <w:color w:val="000000" w:themeColor="text1"/>
          <w:sz w:val="28"/>
          <w:szCs w:val="28"/>
          <w:lang w:val="uk-UA" w:eastAsia="ru-RU"/>
        </w:rPr>
        <w:t xml:space="preserve">]. Згідно даних </w:t>
      </w:r>
      <w:r w:rsidRPr="009144E7">
        <w:rPr>
          <w:rFonts w:ascii="Times New Roman" w:eastAsia="Times New Roman" w:hAnsi="Times New Roman" w:cs="Times New Roman"/>
          <w:color w:val="000000" w:themeColor="text1"/>
          <w:sz w:val="28"/>
          <w:szCs w:val="28"/>
          <w:lang w:val="en-US" w:eastAsia="ru-RU"/>
        </w:rPr>
        <w:t>Ferjani</w:t>
      </w:r>
      <w:r w:rsidRPr="009144E7">
        <w:rPr>
          <w:rFonts w:ascii="Times New Roman" w:eastAsia="Times New Roman" w:hAnsi="Times New Roman" w:cs="Times New Roman"/>
          <w:color w:val="000000" w:themeColor="text1"/>
          <w:sz w:val="28"/>
          <w:szCs w:val="28"/>
          <w:lang w:val="uk-UA" w:eastAsia="ru-RU"/>
        </w:rPr>
        <w:t xml:space="preserve"> </w:t>
      </w:r>
      <w:r w:rsidRPr="009144E7">
        <w:rPr>
          <w:rFonts w:ascii="Times New Roman" w:eastAsia="Times New Roman" w:hAnsi="Times New Roman" w:cs="Times New Roman"/>
          <w:color w:val="000000" w:themeColor="text1"/>
          <w:sz w:val="28"/>
          <w:szCs w:val="28"/>
          <w:lang w:val="en-US" w:eastAsia="ru-RU"/>
        </w:rPr>
        <w:t>S</w:t>
      </w:r>
      <w:r w:rsidRPr="009144E7">
        <w:rPr>
          <w:rFonts w:cstheme="minorHAnsi"/>
          <w:sz w:val="28"/>
          <w:szCs w:val="28"/>
          <w:lang w:val="uk-UA"/>
        </w:rPr>
        <w:t xml:space="preserve"> та соавт., виявляємість плазмід-індукованих механізмів резистентності серед </w:t>
      </w:r>
      <w:r w:rsidRPr="009144E7">
        <w:rPr>
          <w:sz w:val="28"/>
          <w:szCs w:val="28"/>
          <w:lang w:val="uk-UA"/>
        </w:rPr>
        <w:t xml:space="preserve">βЛРС-продукуючих бактерій склало 60% </w:t>
      </w:r>
      <w:r w:rsidRPr="009144E7">
        <w:rPr>
          <w:rFonts w:ascii="Times New Roman" w:eastAsia="Times New Roman" w:hAnsi="Times New Roman" w:cs="Times New Roman"/>
          <w:color w:val="000000" w:themeColor="text1"/>
          <w:sz w:val="28"/>
          <w:szCs w:val="28"/>
          <w:lang w:val="uk-UA" w:eastAsia="ru-RU"/>
        </w:rPr>
        <w:t>[</w:t>
      </w:r>
      <w:r w:rsidRPr="009144E7">
        <w:rPr>
          <w:rFonts w:ascii="Times New Roman" w:eastAsia="Times New Roman" w:hAnsi="Times New Roman" w:cs="Times New Roman"/>
          <w:bCs/>
          <w:color w:val="000000" w:themeColor="text1"/>
          <w:kern w:val="36"/>
          <w:sz w:val="28"/>
          <w:szCs w:val="28"/>
          <w:lang w:val="uk-UA" w:eastAsia="ru-RU"/>
        </w:rPr>
        <w:t>39</w:t>
      </w:r>
      <w:r w:rsidRPr="009144E7">
        <w:rPr>
          <w:rFonts w:ascii="Times New Roman" w:eastAsia="Times New Roman" w:hAnsi="Times New Roman" w:cs="Times New Roman"/>
          <w:color w:val="000000" w:themeColor="text1"/>
          <w:sz w:val="28"/>
          <w:szCs w:val="28"/>
          <w:lang w:val="uk-UA" w:eastAsia="ru-RU"/>
        </w:rPr>
        <w:t xml:space="preserve">]. Дослідження </w:t>
      </w:r>
      <w:r w:rsidRPr="009144E7">
        <w:rPr>
          <w:rFonts w:cstheme="minorHAnsi"/>
          <w:color w:val="000000" w:themeColor="text1"/>
          <w:sz w:val="28"/>
          <w:szCs w:val="28"/>
          <w:shd w:val="clear" w:color="auto" w:fill="FFFFFF"/>
          <w:lang w:val="en-US"/>
        </w:rPr>
        <w:t>GEIH</w:t>
      </w:r>
      <w:r w:rsidRPr="009144E7">
        <w:rPr>
          <w:rFonts w:cstheme="minorHAnsi"/>
          <w:color w:val="000000" w:themeColor="text1"/>
          <w:sz w:val="28"/>
          <w:szCs w:val="28"/>
          <w:shd w:val="clear" w:color="auto" w:fill="FFFFFF"/>
          <w:lang w:val="uk-UA"/>
        </w:rPr>
        <w:t>-</w:t>
      </w:r>
      <w:r w:rsidRPr="009144E7">
        <w:rPr>
          <w:rFonts w:cstheme="minorHAnsi"/>
          <w:color w:val="000000" w:themeColor="text1"/>
          <w:sz w:val="28"/>
          <w:szCs w:val="28"/>
          <w:shd w:val="clear" w:color="auto" w:fill="FFFFFF"/>
          <w:lang w:val="en-US"/>
        </w:rPr>
        <w:t>ESBL </w:t>
      </w:r>
      <w:r w:rsidRPr="009144E7">
        <w:rPr>
          <w:rFonts w:cstheme="minorHAnsi"/>
          <w:color w:val="000000" w:themeColor="text1"/>
          <w:sz w:val="28"/>
          <w:szCs w:val="28"/>
          <w:shd w:val="clear" w:color="auto" w:fill="FFFFFF"/>
          <w:lang w:val="uk-UA"/>
        </w:rPr>
        <w:t xml:space="preserve">2006 </w:t>
      </w:r>
      <w:r w:rsidRPr="009144E7">
        <w:rPr>
          <w:rFonts w:cstheme="minorHAnsi"/>
          <w:color w:val="000000" w:themeColor="text1"/>
          <w:sz w:val="28"/>
          <w:szCs w:val="28"/>
          <w:shd w:val="clear" w:color="auto" w:fill="FFFFFF"/>
          <w:lang w:val="en-US"/>
        </w:rPr>
        <w:t>project</w:t>
      </w:r>
      <w:r w:rsidRPr="009144E7">
        <w:rPr>
          <w:rFonts w:ascii="Times New Roman" w:eastAsia="Times New Roman" w:hAnsi="Times New Roman" w:cs="Times New Roman"/>
          <w:color w:val="000000" w:themeColor="text1"/>
          <w:sz w:val="28"/>
          <w:szCs w:val="28"/>
          <w:lang w:val="uk-UA" w:eastAsia="ru-RU"/>
        </w:rPr>
        <w:t xml:space="preserve"> демонструє виявлення протеїнів </w:t>
      </w:r>
      <w:r w:rsidRPr="009144E7">
        <w:rPr>
          <w:rFonts w:cstheme="minorHAnsi"/>
          <w:sz w:val="28"/>
          <w:szCs w:val="28"/>
          <w:lang w:val="uk-UA"/>
        </w:rPr>
        <w:t xml:space="preserve">Qnr серед </w:t>
      </w:r>
      <w:r w:rsidRPr="009144E7">
        <w:rPr>
          <w:sz w:val="28"/>
          <w:szCs w:val="28"/>
          <w:lang w:val="uk-UA"/>
        </w:rPr>
        <w:t xml:space="preserve">βЛРС-продукуючих мікроорганізмів, що склало 3,7%, а виявлення аміноглікозид-ацетилтрансферази (aac (6 ') - Ib-cr) – 16,2% </w:t>
      </w:r>
      <w:r w:rsidRPr="009144E7">
        <w:rPr>
          <w:rFonts w:cstheme="minorHAnsi"/>
          <w:sz w:val="28"/>
          <w:szCs w:val="28"/>
          <w:lang w:val="uk-UA"/>
        </w:rPr>
        <w:t>[</w:t>
      </w:r>
      <w:r w:rsidRPr="009144E7">
        <w:rPr>
          <w:rFonts w:ascii="Times New Roman" w:eastAsia="Times New Roman" w:hAnsi="Times New Roman" w:cs="Times New Roman"/>
          <w:color w:val="000000" w:themeColor="text1"/>
          <w:sz w:val="28"/>
          <w:szCs w:val="28"/>
          <w:lang w:val="uk-UA" w:eastAsia="ru-RU"/>
        </w:rPr>
        <w:t xml:space="preserve">25]. В нашому дослідженні, виявлення плазмідних генів резистентності до фторхінолонів серед </w:t>
      </w:r>
      <w:r w:rsidRPr="009144E7">
        <w:rPr>
          <w:sz w:val="28"/>
          <w:szCs w:val="28"/>
          <w:lang w:val="uk-UA"/>
        </w:rPr>
        <w:t>βЛРС-продукуючих мікроорганізмів становило 10%.</w:t>
      </w:r>
    </w:p>
    <w:p w:rsidR="009144E7" w:rsidRPr="009144E7" w:rsidRDefault="009144E7" w:rsidP="009144E7">
      <w:pPr>
        <w:spacing w:line="360" w:lineRule="auto"/>
        <w:ind w:firstLine="709"/>
        <w:jc w:val="both"/>
        <w:rPr>
          <w:rFonts w:cstheme="minorHAnsi"/>
          <w:sz w:val="28"/>
          <w:szCs w:val="28"/>
          <w:lang w:val="uk-UA"/>
        </w:rPr>
      </w:pPr>
      <w:r w:rsidRPr="009144E7">
        <w:rPr>
          <w:sz w:val="28"/>
          <w:szCs w:val="28"/>
          <w:lang w:val="uk-UA"/>
        </w:rPr>
        <w:t xml:space="preserve">Висновки. </w:t>
      </w:r>
    </w:p>
    <w:p w:rsidR="009144E7" w:rsidRPr="009144E7" w:rsidRDefault="009144E7" w:rsidP="009144E7">
      <w:pPr>
        <w:numPr>
          <w:ilvl w:val="0"/>
          <w:numId w:val="4"/>
        </w:numPr>
        <w:shd w:val="clear" w:color="auto" w:fill="FFFFFF"/>
        <w:spacing w:after="0" w:line="360" w:lineRule="auto"/>
        <w:contextualSpacing/>
        <w:jc w:val="both"/>
        <w:outlineLvl w:val="0"/>
        <w:rPr>
          <w:sz w:val="28"/>
          <w:szCs w:val="28"/>
          <w:lang w:val="uk-UA"/>
        </w:rPr>
      </w:pPr>
      <w:r w:rsidRPr="009144E7">
        <w:rPr>
          <w:sz w:val="28"/>
          <w:szCs w:val="28"/>
          <w:lang w:val="uk-UA"/>
        </w:rPr>
        <w:t xml:space="preserve">Поширеність плазмід-індукованих механізмів резистентності серед хворих на ХП становить </w:t>
      </w:r>
      <w:r w:rsidRPr="009144E7">
        <w:rPr>
          <w:rFonts w:cstheme="minorHAnsi"/>
          <w:color w:val="000000" w:themeColor="text1"/>
          <w:sz w:val="28"/>
          <w:szCs w:val="28"/>
          <w:lang w:val="uk-UA"/>
        </w:rPr>
        <w:t xml:space="preserve">29,5%: 19% за рахунок </w:t>
      </w:r>
      <w:r w:rsidRPr="009144E7">
        <w:rPr>
          <w:sz w:val="28"/>
          <w:szCs w:val="28"/>
          <w:lang w:val="uk-UA"/>
        </w:rPr>
        <w:t xml:space="preserve">βЛРС, 9% - складають гени резистентності до фторхінолонів та 2% хворих мають комбінацію </w:t>
      </w:r>
      <w:r w:rsidRPr="009144E7">
        <w:rPr>
          <w:sz w:val="28"/>
          <w:szCs w:val="28"/>
          <w:lang w:val="uk-UA"/>
        </w:rPr>
        <w:lastRenderedPageBreak/>
        <w:t>βЛРС та генів стійкості до фторхінолонів. У пацієнтів на ХП і ЦД 2 типу, виявляємість плазмід-індукованих механізмів резистентності дещо вища – 31,5% (23/73), у пацієнтів із ХП без діабету – виявляємість становить 25% (8/32), проте достовірних відмінностей між групами не виявлено.</w:t>
      </w:r>
    </w:p>
    <w:p w:rsidR="009144E7" w:rsidRPr="009144E7" w:rsidRDefault="009144E7" w:rsidP="009144E7">
      <w:pPr>
        <w:numPr>
          <w:ilvl w:val="0"/>
          <w:numId w:val="4"/>
        </w:numPr>
        <w:shd w:val="clear" w:color="auto" w:fill="FFFFFF"/>
        <w:spacing w:after="0" w:line="360" w:lineRule="auto"/>
        <w:contextualSpacing/>
        <w:jc w:val="both"/>
        <w:outlineLvl w:val="0"/>
        <w:rPr>
          <w:sz w:val="28"/>
          <w:szCs w:val="28"/>
          <w:lang w:val="uk-UA"/>
        </w:rPr>
      </w:pPr>
      <w:r w:rsidRPr="009144E7">
        <w:rPr>
          <w:rFonts w:eastAsia="Times New Roman" w:cstheme="minorHAnsi"/>
          <w:color w:val="000000"/>
          <w:sz w:val="28"/>
          <w:szCs w:val="28"/>
          <w:lang w:val="uk-UA" w:eastAsia="ru-RU"/>
        </w:rPr>
        <w:t xml:space="preserve">Виявляємість плазмід-індукованих механізмів резистентності серед збудників ХП становить 38,3%: 26,1% складають </w:t>
      </w:r>
      <w:r w:rsidRPr="009144E7">
        <w:rPr>
          <w:rFonts w:ascii="Times New Roman" w:hAnsi="Times New Roman" w:cs="Times New Roman"/>
          <w:sz w:val="28"/>
          <w:szCs w:val="28"/>
          <w:lang w:val="uk-UA"/>
        </w:rPr>
        <w:t>βЛРС, 12,2% - гени стійкості до фторхінолонів. Найбільш поширеними серед βЛРС були визначені типи</w:t>
      </w:r>
      <w:r w:rsidRPr="009144E7">
        <w:rPr>
          <w:rFonts w:eastAsia="Times New Roman" w:cstheme="minorHAnsi"/>
          <w:color w:val="000000"/>
          <w:sz w:val="28"/>
          <w:szCs w:val="28"/>
          <w:lang w:val="uk-UA" w:eastAsia="ru-RU"/>
        </w:rPr>
        <w:t xml:space="preserve"> </w:t>
      </w:r>
      <w:r w:rsidRPr="009144E7">
        <w:rPr>
          <w:rFonts w:cstheme="minorHAnsi"/>
          <w:color w:val="000000" w:themeColor="text1"/>
          <w:sz w:val="28"/>
          <w:szCs w:val="28"/>
          <w:lang w:val="en-US"/>
        </w:rPr>
        <w:t>blaTEM</w:t>
      </w:r>
      <w:r w:rsidRPr="009144E7">
        <w:rPr>
          <w:rFonts w:cstheme="minorHAnsi"/>
          <w:color w:val="000000" w:themeColor="text1"/>
          <w:sz w:val="28"/>
          <w:szCs w:val="28"/>
          <w:lang w:val="uk-UA"/>
        </w:rPr>
        <w:t xml:space="preserve"> і </w:t>
      </w: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r w:rsidRPr="009144E7">
        <w:rPr>
          <w:rFonts w:cstheme="minorHAnsi"/>
          <w:color w:val="000000" w:themeColor="text1"/>
          <w:sz w:val="28"/>
          <w:szCs w:val="28"/>
          <w:lang w:val="uk-UA"/>
        </w:rPr>
        <w:t xml:space="preserve">, серед генів стійкості до фторхінолонів - </w:t>
      </w:r>
      <w:r w:rsidRPr="009144E7">
        <w:rPr>
          <w:rFonts w:cstheme="minorHAnsi"/>
          <w:sz w:val="28"/>
          <w:szCs w:val="28"/>
          <w:lang w:val="uk-UA"/>
        </w:rPr>
        <w:t xml:space="preserve">efflux pump QepA та </w:t>
      </w:r>
      <w:r w:rsidRPr="009144E7">
        <w:rPr>
          <w:sz w:val="28"/>
          <w:szCs w:val="28"/>
          <w:lang w:val="uk-UA"/>
        </w:rPr>
        <w:t xml:space="preserve">протеїн </w:t>
      </w:r>
      <w:r w:rsidRPr="009144E7">
        <w:rPr>
          <w:rFonts w:cstheme="minorHAnsi"/>
          <w:sz w:val="28"/>
          <w:szCs w:val="28"/>
          <w:lang w:val="uk-UA"/>
        </w:rPr>
        <w:t>QnrА.</w:t>
      </w:r>
      <w:r w:rsidRPr="009144E7">
        <w:rPr>
          <w:rFonts w:cstheme="minorHAnsi"/>
          <w:color w:val="000000" w:themeColor="text1"/>
          <w:sz w:val="28"/>
          <w:szCs w:val="28"/>
          <w:lang w:val="uk-UA"/>
        </w:rPr>
        <w:t xml:space="preserve"> </w:t>
      </w: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Default="009144E7" w:rsidP="009144E7">
      <w:pPr>
        <w:shd w:val="clear" w:color="auto" w:fill="FFFFFF"/>
        <w:spacing w:after="0" w:line="360" w:lineRule="auto"/>
        <w:contextualSpacing/>
        <w:jc w:val="both"/>
        <w:outlineLvl w:val="0"/>
        <w:rPr>
          <w:rFonts w:cstheme="minorHAnsi"/>
          <w:color w:val="000000" w:themeColor="text1"/>
          <w:sz w:val="28"/>
          <w:szCs w:val="28"/>
          <w:lang w:val="uk-UA"/>
        </w:rPr>
      </w:pPr>
    </w:p>
    <w:p w:rsidR="009144E7" w:rsidRPr="009144E7" w:rsidRDefault="009144E7" w:rsidP="009144E7">
      <w:pPr>
        <w:spacing w:line="360" w:lineRule="auto"/>
        <w:jc w:val="both"/>
        <w:rPr>
          <w:b/>
          <w:sz w:val="28"/>
          <w:szCs w:val="28"/>
          <w:lang w:val="uk-UA"/>
        </w:rPr>
      </w:pPr>
      <w:r w:rsidRPr="009144E7">
        <w:rPr>
          <w:b/>
          <w:sz w:val="28"/>
          <w:szCs w:val="28"/>
          <w:lang w:val="uk-UA"/>
        </w:rPr>
        <w:lastRenderedPageBreak/>
        <w:t>3.2 ОСНОВНІ ФАКТОРИ, ПОВ</w:t>
      </w:r>
      <w:r w:rsidRPr="009144E7">
        <w:rPr>
          <w:rFonts w:cstheme="minorHAnsi"/>
          <w:b/>
          <w:sz w:val="28"/>
          <w:szCs w:val="28"/>
          <w:lang w:val="uk-UA"/>
        </w:rPr>
        <w:t>'</w:t>
      </w:r>
      <w:r w:rsidRPr="009144E7">
        <w:rPr>
          <w:b/>
          <w:sz w:val="28"/>
          <w:szCs w:val="28"/>
          <w:lang w:val="uk-UA"/>
        </w:rPr>
        <w:t xml:space="preserve">ЯЗАНІ З НАЯВНІСТЮ ПЛАЗМІД-ІНДУКОВАНИХ МЕХАНІЗМІВ РЕЗИСТЕНТНОСТІ У ХВОРИХ НА ХРОНІЧНИЙ ПІЄЛОНЕФРИТ І СУПУТНІЙ ЦУКРОВИЙ ДІАБЕТ 2 ТИПУ </w:t>
      </w:r>
    </w:p>
    <w:p w:rsidR="009144E7" w:rsidRPr="009144E7" w:rsidRDefault="009144E7" w:rsidP="009144E7">
      <w:pPr>
        <w:spacing w:after="0" w:line="360" w:lineRule="auto"/>
        <w:ind w:firstLine="709"/>
        <w:jc w:val="both"/>
        <w:rPr>
          <w:rFonts w:ascii="Times New Roman" w:hAnsi="Times New Roman" w:cs="Times New Roman"/>
          <w:sz w:val="24"/>
          <w:szCs w:val="24"/>
          <w:lang w:val="uk-UA"/>
        </w:rPr>
      </w:pPr>
      <w:r w:rsidRPr="009144E7">
        <w:rPr>
          <w:rFonts w:cstheme="minorHAnsi"/>
          <w:color w:val="000000" w:themeColor="text1"/>
          <w:sz w:val="28"/>
          <w:szCs w:val="28"/>
          <w:lang w:val="uk-UA"/>
        </w:rPr>
        <w:t xml:space="preserve">Фактори, що можуть бути пов’язані з наявністю у хворого на ХП і супутній ЦД 2 типу плазмід-індукованих механізмів резистентності, вивчені недостатньо. Так, </w:t>
      </w:r>
      <w:r w:rsidRPr="009144E7">
        <w:rPr>
          <w:sz w:val="28"/>
          <w:szCs w:val="28"/>
          <w:lang w:val="uk-UA"/>
        </w:rPr>
        <w:t xml:space="preserve">згідно досліджень, достовірними факторами ризику інфекції, спричиненої </w:t>
      </w:r>
      <w:r w:rsidRPr="009144E7">
        <w:rPr>
          <w:rFonts w:ascii="Times New Roman" w:hAnsi="Times New Roman" w:cs="Times New Roman"/>
          <w:sz w:val="28"/>
          <w:szCs w:val="28"/>
          <w:lang w:val="uk-UA"/>
        </w:rPr>
        <w:t>мікроорганізмами з плазмідними генами резистентності, є: чоловіча стать; вік 65 років і вище; випадок не давньої госпіталізації; лікування в попередні 3 місяці цефалоспоринами, пеніцилінами та фторхінолонами; захворювання простати; деменція; діабет [</w:t>
      </w:r>
      <w:r w:rsidRPr="009144E7">
        <w:rPr>
          <w:rFonts w:ascii="Times New Roman" w:eastAsia="Times New Roman" w:hAnsi="Times New Roman" w:cs="Times New Roman"/>
          <w:color w:val="000000" w:themeColor="text1"/>
          <w:sz w:val="28"/>
          <w:szCs w:val="28"/>
          <w:lang w:val="uk-UA" w:eastAsia="ru-RU"/>
        </w:rPr>
        <w:t>18, 126</w:t>
      </w:r>
      <w:r w:rsidRPr="009144E7">
        <w:rPr>
          <w:rFonts w:ascii="Times New Roman" w:hAnsi="Times New Roman" w:cs="Times New Roman"/>
          <w:sz w:val="28"/>
          <w:szCs w:val="28"/>
          <w:lang w:val="uk-UA"/>
        </w:rPr>
        <w:t>].</w:t>
      </w:r>
      <w:r w:rsidRPr="009144E7">
        <w:rPr>
          <w:rFonts w:ascii="Times New Roman" w:hAnsi="Times New Roman" w:cs="Times New Roman"/>
          <w:sz w:val="24"/>
          <w:szCs w:val="24"/>
          <w:lang w:val="uk-UA"/>
        </w:rPr>
        <w:t xml:space="preserve"> </w:t>
      </w:r>
      <w:r w:rsidRPr="009144E7">
        <w:rPr>
          <w:rFonts w:ascii="Times New Roman" w:hAnsi="Times New Roman" w:cs="Times New Roman"/>
          <w:sz w:val="28"/>
          <w:szCs w:val="28"/>
          <w:lang w:val="uk-UA"/>
        </w:rPr>
        <w:t>Проте, можливі взаємозв’язки між тривалістю</w:t>
      </w:r>
      <w:r w:rsidRPr="009144E7">
        <w:rPr>
          <w:rFonts w:cstheme="minorHAnsi"/>
          <w:color w:val="000000" w:themeColor="text1"/>
          <w:sz w:val="28"/>
          <w:szCs w:val="28"/>
          <w:lang w:val="uk-UA"/>
        </w:rPr>
        <w:t xml:space="preserve"> ХП, наявністю ХХН різних стадій, супутньої обструкції сечовивідних шляхів, артеріальної гіпертензії у таких хворих, </w:t>
      </w:r>
      <w:r w:rsidRPr="009144E7">
        <w:rPr>
          <w:rFonts w:ascii="Times New Roman" w:hAnsi="Times New Roman" w:cs="Times New Roman"/>
          <w:sz w:val="28"/>
          <w:szCs w:val="28"/>
          <w:lang w:val="uk-UA"/>
        </w:rPr>
        <w:t>залишаються нез’ясованими.</w:t>
      </w:r>
      <w:r w:rsidRPr="009144E7">
        <w:rPr>
          <w:rFonts w:ascii="Times New Roman" w:hAnsi="Times New Roman" w:cs="Times New Roman"/>
          <w:sz w:val="24"/>
          <w:szCs w:val="24"/>
          <w:lang w:val="uk-UA"/>
        </w:rPr>
        <w:t xml:space="preserve"> </w:t>
      </w:r>
      <w:r w:rsidRPr="009144E7">
        <w:rPr>
          <w:rFonts w:ascii="Times New Roman" w:hAnsi="Times New Roman" w:cs="Times New Roman"/>
          <w:sz w:val="28"/>
          <w:szCs w:val="28"/>
          <w:lang w:val="uk-UA"/>
        </w:rPr>
        <w:t>Крім того, невизначеними є вплив плазмід-індукованих механізмів резистентності на клінічну картину захворювання, ступінь активності ХП, а також можливі взаємозв’язки між вираженістю лейкоцитурії, протеїнурії, тощо, тобто основних клінічних характеристик пієлонефриту.</w:t>
      </w:r>
      <w:r w:rsidRPr="009144E7">
        <w:rPr>
          <w:rFonts w:ascii="Times New Roman" w:hAnsi="Times New Roman" w:cs="Times New Roman"/>
          <w:sz w:val="24"/>
          <w:szCs w:val="24"/>
          <w:lang w:val="uk-UA"/>
        </w:rPr>
        <w:t xml:space="preserve"> </w:t>
      </w:r>
    </w:p>
    <w:p w:rsidR="009144E7" w:rsidRPr="009144E7" w:rsidRDefault="009144E7" w:rsidP="009144E7">
      <w:pPr>
        <w:spacing w:line="360" w:lineRule="auto"/>
        <w:ind w:firstLine="709"/>
        <w:jc w:val="both"/>
        <w:rPr>
          <w:rFonts w:ascii="Times New Roman" w:hAnsi="Times New Roman" w:cs="Times New Roman"/>
          <w:sz w:val="28"/>
          <w:szCs w:val="28"/>
          <w:lang w:val="uk-UA"/>
        </w:rPr>
      </w:pPr>
      <w:r w:rsidRPr="009144E7">
        <w:rPr>
          <w:rFonts w:ascii="Times New Roman" w:hAnsi="Times New Roman" w:cs="Times New Roman"/>
          <w:color w:val="000000" w:themeColor="text1"/>
          <w:sz w:val="28"/>
          <w:szCs w:val="28"/>
          <w:lang w:val="uk-UA"/>
        </w:rPr>
        <w:t>В</w:t>
      </w:r>
      <w:r w:rsidRPr="009144E7">
        <w:rPr>
          <w:rFonts w:ascii="Times New Roman" w:hAnsi="Times New Roman" w:cs="Times New Roman"/>
          <w:sz w:val="28"/>
          <w:szCs w:val="28"/>
          <w:lang w:val="uk-UA"/>
        </w:rPr>
        <w:t>становлення факторів, що можуть бути пов’язані з колонізацією сечової системи бактеріями з плазмідними генами стійкості, дозволить відокремити основні категорії хворих на ХП і ЦД 2 типу, яким доцільно в план обстеження включати дослідження експресії плазмід-індукованих механізмів резистентності.</w:t>
      </w:r>
    </w:p>
    <w:p w:rsidR="009144E7" w:rsidRPr="009144E7" w:rsidRDefault="009144E7" w:rsidP="009144E7">
      <w:pPr>
        <w:spacing w:line="360" w:lineRule="auto"/>
        <w:jc w:val="both"/>
        <w:rPr>
          <w:rFonts w:cstheme="minorHAnsi"/>
          <w:b/>
          <w:color w:val="000000" w:themeColor="text1"/>
          <w:sz w:val="28"/>
          <w:szCs w:val="28"/>
          <w:lang w:val="uk-UA"/>
        </w:rPr>
      </w:pPr>
      <w:r w:rsidRPr="009144E7">
        <w:rPr>
          <w:b/>
          <w:sz w:val="28"/>
          <w:szCs w:val="28"/>
          <w:lang w:val="uk-UA"/>
        </w:rPr>
        <w:t>3.2.1</w:t>
      </w:r>
      <w:r w:rsidRPr="009144E7">
        <w:rPr>
          <w:sz w:val="28"/>
          <w:szCs w:val="28"/>
          <w:lang w:val="uk-UA"/>
        </w:rPr>
        <w:t xml:space="preserve"> </w:t>
      </w:r>
      <w:r w:rsidRPr="009144E7">
        <w:rPr>
          <w:b/>
          <w:sz w:val="28"/>
          <w:szCs w:val="28"/>
          <w:lang w:val="uk-UA"/>
        </w:rPr>
        <w:t>Вплив</w:t>
      </w:r>
      <w:r w:rsidRPr="009144E7">
        <w:rPr>
          <w:sz w:val="28"/>
          <w:szCs w:val="28"/>
          <w:lang w:val="uk-UA"/>
        </w:rPr>
        <w:t xml:space="preserve"> </w:t>
      </w:r>
      <w:r w:rsidRPr="009144E7">
        <w:rPr>
          <w:b/>
          <w:sz w:val="28"/>
          <w:szCs w:val="28"/>
          <w:lang w:val="uk-UA"/>
        </w:rPr>
        <w:t xml:space="preserve">плазмід-індукованих механізмів резистентності на клінічні характеристики ХП.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Для аналізу взаємозв’язків плазмідних генів резистентності з вираженістю клінічних симптомів, хворі з ХП були розподілені на 2 групи:  група А – пацієнти з наявністю </w:t>
      </w:r>
      <w:r w:rsidRPr="009144E7">
        <w:rPr>
          <w:rFonts w:cstheme="minorHAnsi"/>
          <w:sz w:val="28"/>
          <w:szCs w:val="28"/>
          <w:lang w:val="uk-UA"/>
        </w:rPr>
        <w:t>плазмідних генів резистентності</w:t>
      </w:r>
      <w:r w:rsidRPr="009144E7">
        <w:rPr>
          <w:sz w:val="28"/>
          <w:szCs w:val="28"/>
          <w:lang w:val="uk-UA"/>
        </w:rPr>
        <w:t xml:space="preserve">; група В – пацієнти без генів стійкості. У хворих, що не мають генів резистентності, </w:t>
      </w:r>
      <w:r w:rsidRPr="009144E7">
        <w:rPr>
          <w:sz w:val="28"/>
          <w:szCs w:val="28"/>
          <w:lang w:val="uk-UA"/>
        </w:rPr>
        <w:lastRenderedPageBreak/>
        <w:t xml:space="preserve">скарги на підвищення температури тіла вище </w:t>
      </w:r>
      <w:r w:rsidRPr="009144E7">
        <w:rPr>
          <w:rFonts w:cstheme="minorHAnsi"/>
          <w:color w:val="000000" w:themeColor="text1"/>
          <w:sz w:val="28"/>
          <w:szCs w:val="28"/>
          <w:lang w:val="uk-UA"/>
        </w:rPr>
        <w:t>37,2</w:t>
      </w:r>
      <w:r w:rsidRPr="009144E7">
        <w:rPr>
          <w:rFonts w:ascii="Cambria Math" w:hAnsi="Cambria Math" w:cs="Cambria Math"/>
          <w:color w:val="000000" w:themeColor="text1"/>
          <w:sz w:val="24"/>
          <w:szCs w:val="24"/>
          <w:lang w:val="uk-UA"/>
        </w:rPr>
        <w:t>⁰</w:t>
      </w:r>
      <w:r w:rsidRPr="009144E7">
        <w:rPr>
          <w:sz w:val="28"/>
          <w:szCs w:val="28"/>
          <w:lang w:val="uk-UA"/>
        </w:rPr>
        <w:t>, дизурію, больовий та інтоксикаційний синдроми, пред’являло 55%, 47%, 95% та 100% хворих відповідно. Щодо пацієнтів з виявленими генами резистентності, у більшої половини (52,9%) спостерігається відсутність лихоманки, у 47% та 15% - відсутність сечового та больового синдромів відповідно (малюнок 3.7).</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29350A8B" wp14:editId="72E23CA0">
            <wp:extent cx="5486400" cy="1860997"/>
            <wp:effectExtent l="0" t="0" r="19050" b="2540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Малюнок 3.7 Виразність клінічних симптомів ХП в залежності від наявності плазмідних генів резистентності.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При об’єктивному обстеженні: середня температура тіла склала 37,3</w:t>
      </w:r>
      <w:r w:rsidRPr="009144E7">
        <w:rPr>
          <w:rFonts w:cstheme="minorHAnsi"/>
          <w:sz w:val="28"/>
          <w:szCs w:val="28"/>
          <w:lang w:val="uk-UA"/>
        </w:rPr>
        <w:t>±</w:t>
      </w:r>
      <w:r w:rsidRPr="009144E7">
        <w:rPr>
          <w:sz w:val="28"/>
          <w:szCs w:val="28"/>
          <w:lang w:val="uk-UA"/>
        </w:rPr>
        <w:t>0,07; підвищення АТ було виявлено у 71 (67,6%) хворих з ХП, середні показники: САТ – 140,3</w:t>
      </w:r>
      <w:r w:rsidRPr="009144E7">
        <w:rPr>
          <w:rFonts w:cstheme="minorHAnsi"/>
          <w:sz w:val="28"/>
          <w:szCs w:val="28"/>
          <w:lang w:val="uk-UA"/>
        </w:rPr>
        <w:t>±</w:t>
      </w:r>
      <w:r w:rsidRPr="009144E7">
        <w:rPr>
          <w:sz w:val="28"/>
          <w:szCs w:val="28"/>
          <w:lang w:val="uk-UA"/>
        </w:rPr>
        <w:t>2,4 мм.рт.ст.; ДАТ – 86,7</w:t>
      </w:r>
      <w:r w:rsidRPr="009144E7">
        <w:rPr>
          <w:rFonts w:cstheme="minorHAnsi"/>
          <w:sz w:val="28"/>
          <w:szCs w:val="28"/>
          <w:lang w:val="uk-UA"/>
        </w:rPr>
        <w:t>±</w:t>
      </w:r>
      <w:r w:rsidRPr="009144E7">
        <w:rPr>
          <w:sz w:val="28"/>
          <w:szCs w:val="28"/>
          <w:lang w:val="uk-UA"/>
        </w:rPr>
        <w:t>1,2 мм.рт.ст.; середній рівень частоти серцевих скорочень та пульсу склав 83,3</w:t>
      </w:r>
      <w:r w:rsidRPr="009144E7">
        <w:rPr>
          <w:rFonts w:cstheme="minorHAnsi"/>
          <w:sz w:val="28"/>
          <w:szCs w:val="28"/>
          <w:lang w:val="uk-UA"/>
        </w:rPr>
        <w:t>±</w:t>
      </w:r>
      <w:r w:rsidRPr="009144E7">
        <w:rPr>
          <w:sz w:val="28"/>
          <w:szCs w:val="28"/>
          <w:lang w:val="uk-UA"/>
        </w:rPr>
        <w:t>1,1 та 82,8</w:t>
      </w:r>
      <w:r w:rsidRPr="009144E7">
        <w:rPr>
          <w:rFonts w:cstheme="minorHAnsi"/>
          <w:sz w:val="28"/>
          <w:szCs w:val="28"/>
          <w:lang w:val="uk-UA"/>
        </w:rPr>
        <w:t>±</w:t>
      </w:r>
      <w:r w:rsidRPr="009144E7">
        <w:rPr>
          <w:sz w:val="28"/>
          <w:szCs w:val="28"/>
          <w:lang w:val="uk-UA"/>
        </w:rPr>
        <w:t>1,1 ударів за хвилину відповідно. Дані об’єктивного обстеження по групах представлено у таблиці 3.3.</w:t>
      </w:r>
    </w:p>
    <w:p w:rsidR="009144E7" w:rsidRPr="009144E7" w:rsidRDefault="009144E7" w:rsidP="009144E7">
      <w:pPr>
        <w:spacing w:after="0" w:line="360" w:lineRule="auto"/>
        <w:jc w:val="right"/>
        <w:rPr>
          <w:sz w:val="28"/>
          <w:szCs w:val="28"/>
          <w:lang w:val="uk-UA"/>
        </w:rPr>
      </w:pPr>
      <w:r w:rsidRPr="009144E7">
        <w:rPr>
          <w:sz w:val="28"/>
          <w:szCs w:val="28"/>
          <w:lang w:val="uk-UA"/>
        </w:rPr>
        <w:t>Таблиця 3.3</w:t>
      </w:r>
    </w:p>
    <w:p w:rsidR="009144E7" w:rsidRPr="009144E7" w:rsidRDefault="009144E7" w:rsidP="009144E7">
      <w:pPr>
        <w:spacing w:after="0" w:line="360" w:lineRule="auto"/>
        <w:jc w:val="center"/>
        <w:rPr>
          <w:b/>
          <w:sz w:val="28"/>
          <w:szCs w:val="28"/>
          <w:lang w:val="uk-UA"/>
        </w:rPr>
      </w:pPr>
      <w:r w:rsidRPr="009144E7">
        <w:rPr>
          <w:b/>
          <w:sz w:val="28"/>
          <w:szCs w:val="28"/>
          <w:lang w:val="uk-UA"/>
        </w:rPr>
        <w:t>Показники об’єктивного обстеження пацієнтів з ХП в залежності від наявності плазмідних генів стійкості</w:t>
      </w:r>
    </w:p>
    <w:tbl>
      <w:tblPr>
        <w:tblStyle w:val="ae"/>
        <w:tblW w:w="5000" w:type="pct"/>
        <w:tblLook w:val="04A0" w:firstRow="1" w:lastRow="0" w:firstColumn="1" w:lastColumn="0" w:noHBand="0" w:noVBand="1"/>
      </w:tblPr>
      <w:tblGrid>
        <w:gridCol w:w="1440"/>
        <w:gridCol w:w="1419"/>
        <w:gridCol w:w="1864"/>
        <w:gridCol w:w="1864"/>
        <w:gridCol w:w="1493"/>
        <w:gridCol w:w="1491"/>
      </w:tblGrid>
      <w:tr w:rsidR="009144E7" w:rsidRPr="009144E7" w:rsidTr="009144E7">
        <w:tc>
          <w:tcPr>
            <w:tcW w:w="752" w:type="pct"/>
          </w:tcPr>
          <w:p w:rsidR="009144E7" w:rsidRPr="009144E7" w:rsidRDefault="009144E7" w:rsidP="009144E7">
            <w:pPr>
              <w:spacing w:line="360" w:lineRule="auto"/>
              <w:jc w:val="both"/>
              <w:rPr>
                <w:sz w:val="28"/>
                <w:szCs w:val="28"/>
                <w:lang w:val="uk-UA"/>
              </w:rPr>
            </w:pPr>
          </w:p>
        </w:tc>
        <w:tc>
          <w:tcPr>
            <w:tcW w:w="741" w:type="pct"/>
            <w:vAlign w:val="center"/>
          </w:tcPr>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en-US"/>
              </w:rPr>
              <w:t>t</w:t>
            </w:r>
            <w:r w:rsidRPr="009144E7">
              <w:rPr>
                <w:rFonts w:ascii="Cambria Math" w:hAnsi="Cambria Math" w:cs="Cambria Math"/>
                <w:b/>
                <w:sz w:val="18"/>
                <w:szCs w:val="18"/>
                <w:lang w:val="uk-UA"/>
              </w:rPr>
              <w:t>⁰</w:t>
            </w:r>
            <w:r w:rsidRPr="009144E7">
              <w:rPr>
                <w:rFonts w:cstheme="minorHAnsi"/>
                <w:b/>
                <w:sz w:val="24"/>
                <w:szCs w:val="24"/>
                <w:lang w:val="uk-UA"/>
              </w:rPr>
              <w:t xml:space="preserve"> тіла</w:t>
            </w:r>
          </w:p>
        </w:tc>
        <w:tc>
          <w:tcPr>
            <w:tcW w:w="974" w:type="pct"/>
            <w:vAlign w:val="center"/>
          </w:tcPr>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САТ</w:t>
            </w:r>
          </w:p>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(мм.рт.ст.)</w:t>
            </w:r>
          </w:p>
        </w:tc>
        <w:tc>
          <w:tcPr>
            <w:tcW w:w="974" w:type="pct"/>
            <w:vAlign w:val="center"/>
          </w:tcPr>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ДАД</w:t>
            </w:r>
          </w:p>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(мм.рт.ст.)</w:t>
            </w:r>
          </w:p>
        </w:tc>
        <w:tc>
          <w:tcPr>
            <w:tcW w:w="780" w:type="pct"/>
            <w:vAlign w:val="center"/>
          </w:tcPr>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ЧСС</w:t>
            </w:r>
          </w:p>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(уд/хв.)</w:t>
            </w:r>
          </w:p>
        </w:tc>
        <w:tc>
          <w:tcPr>
            <w:tcW w:w="779" w:type="pct"/>
            <w:vAlign w:val="center"/>
          </w:tcPr>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en-US"/>
              </w:rPr>
              <w:t>PS</w:t>
            </w:r>
            <w:r w:rsidRPr="009144E7">
              <w:rPr>
                <w:rFonts w:cstheme="minorHAnsi"/>
                <w:b/>
                <w:sz w:val="24"/>
                <w:szCs w:val="24"/>
                <w:lang w:val="uk-UA"/>
              </w:rPr>
              <w:t xml:space="preserve"> </w:t>
            </w:r>
          </w:p>
          <w:p w:rsidR="009144E7" w:rsidRPr="009144E7" w:rsidRDefault="009144E7" w:rsidP="009144E7">
            <w:pPr>
              <w:spacing w:line="360" w:lineRule="auto"/>
              <w:jc w:val="center"/>
              <w:rPr>
                <w:rFonts w:cstheme="minorHAnsi"/>
                <w:b/>
                <w:sz w:val="24"/>
                <w:szCs w:val="24"/>
                <w:lang w:val="uk-UA"/>
              </w:rPr>
            </w:pPr>
            <w:r w:rsidRPr="009144E7">
              <w:rPr>
                <w:rFonts w:cstheme="minorHAnsi"/>
                <w:b/>
                <w:sz w:val="24"/>
                <w:szCs w:val="24"/>
                <w:lang w:val="uk-UA"/>
              </w:rPr>
              <w:t>(уд/хв.)</w:t>
            </w:r>
          </w:p>
        </w:tc>
      </w:tr>
      <w:tr w:rsidR="009144E7" w:rsidRPr="009144E7" w:rsidTr="009144E7">
        <w:tc>
          <w:tcPr>
            <w:tcW w:w="752" w:type="pct"/>
          </w:tcPr>
          <w:p w:rsidR="009144E7" w:rsidRPr="009144E7" w:rsidRDefault="009144E7" w:rsidP="009144E7">
            <w:pPr>
              <w:spacing w:line="360" w:lineRule="auto"/>
              <w:jc w:val="both"/>
              <w:rPr>
                <w:lang w:val="uk-UA"/>
              </w:rPr>
            </w:pPr>
            <w:r w:rsidRPr="009144E7">
              <w:rPr>
                <w:lang w:val="uk-UA"/>
              </w:rPr>
              <w:t>Група А</w:t>
            </w:r>
          </w:p>
        </w:tc>
        <w:tc>
          <w:tcPr>
            <w:tcW w:w="741" w:type="pct"/>
            <w:vAlign w:val="center"/>
          </w:tcPr>
          <w:p w:rsidR="009144E7" w:rsidRPr="009144E7" w:rsidRDefault="009144E7" w:rsidP="009144E7">
            <w:pPr>
              <w:spacing w:line="360" w:lineRule="auto"/>
              <w:jc w:val="center"/>
              <w:rPr>
                <w:lang w:val="uk-UA"/>
              </w:rPr>
            </w:pPr>
            <w:r w:rsidRPr="009144E7">
              <w:rPr>
                <w:lang w:val="uk-UA"/>
              </w:rPr>
              <w:t>37,2</w:t>
            </w:r>
            <w:r w:rsidRPr="009144E7">
              <w:rPr>
                <w:rFonts w:cstheme="minorHAnsi"/>
                <w:lang w:val="uk-UA"/>
              </w:rPr>
              <w:t>±</w:t>
            </w:r>
            <w:r w:rsidRPr="009144E7">
              <w:rPr>
                <w:lang w:val="uk-UA"/>
              </w:rPr>
              <w:t>0,1</w:t>
            </w:r>
          </w:p>
        </w:tc>
        <w:tc>
          <w:tcPr>
            <w:tcW w:w="974" w:type="pct"/>
            <w:vAlign w:val="center"/>
          </w:tcPr>
          <w:p w:rsidR="009144E7" w:rsidRPr="009144E7" w:rsidRDefault="009144E7" w:rsidP="009144E7">
            <w:pPr>
              <w:spacing w:line="360" w:lineRule="auto"/>
              <w:jc w:val="center"/>
              <w:rPr>
                <w:lang w:val="uk-UA"/>
              </w:rPr>
            </w:pPr>
            <w:r w:rsidRPr="009144E7">
              <w:rPr>
                <w:lang w:val="uk-UA"/>
              </w:rPr>
              <w:t>143,2</w:t>
            </w:r>
            <w:r w:rsidRPr="009144E7">
              <w:rPr>
                <w:rFonts w:cstheme="minorHAnsi"/>
                <w:lang w:val="uk-UA"/>
              </w:rPr>
              <w:t>±</w:t>
            </w:r>
            <w:r w:rsidRPr="009144E7">
              <w:rPr>
                <w:lang w:val="uk-UA"/>
              </w:rPr>
              <w:t>4,7</w:t>
            </w:r>
          </w:p>
        </w:tc>
        <w:tc>
          <w:tcPr>
            <w:tcW w:w="974" w:type="pct"/>
            <w:vAlign w:val="center"/>
          </w:tcPr>
          <w:p w:rsidR="009144E7" w:rsidRPr="009144E7" w:rsidRDefault="009144E7" w:rsidP="009144E7">
            <w:pPr>
              <w:spacing w:line="360" w:lineRule="auto"/>
              <w:jc w:val="center"/>
              <w:rPr>
                <w:lang w:val="uk-UA"/>
              </w:rPr>
            </w:pPr>
            <w:r w:rsidRPr="009144E7">
              <w:rPr>
                <w:lang w:val="uk-UA"/>
              </w:rPr>
              <w:t>87,8</w:t>
            </w:r>
            <w:r w:rsidRPr="009144E7">
              <w:rPr>
                <w:rFonts w:cstheme="minorHAnsi"/>
                <w:lang w:val="uk-UA"/>
              </w:rPr>
              <w:t>±</w:t>
            </w:r>
            <w:r w:rsidRPr="009144E7">
              <w:rPr>
                <w:lang w:val="uk-UA"/>
              </w:rPr>
              <w:t>2,2</w:t>
            </w:r>
          </w:p>
        </w:tc>
        <w:tc>
          <w:tcPr>
            <w:tcW w:w="780" w:type="pct"/>
            <w:vAlign w:val="center"/>
          </w:tcPr>
          <w:p w:rsidR="009144E7" w:rsidRPr="009144E7" w:rsidRDefault="009144E7" w:rsidP="009144E7">
            <w:pPr>
              <w:spacing w:line="360" w:lineRule="auto"/>
              <w:jc w:val="center"/>
              <w:rPr>
                <w:lang w:val="uk-UA"/>
              </w:rPr>
            </w:pPr>
            <w:r w:rsidRPr="009144E7">
              <w:rPr>
                <w:lang w:val="uk-UA"/>
              </w:rPr>
              <w:t>82,8</w:t>
            </w:r>
            <w:r w:rsidRPr="009144E7">
              <w:rPr>
                <w:rFonts w:cstheme="minorHAnsi"/>
                <w:lang w:val="uk-UA"/>
              </w:rPr>
              <w:t>±</w:t>
            </w:r>
            <w:r w:rsidRPr="009144E7">
              <w:rPr>
                <w:lang w:val="uk-UA"/>
              </w:rPr>
              <w:t>2,1</w:t>
            </w:r>
          </w:p>
        </w:tc>
        <w:tc>
          <w:tcPr>
            <w:tcW w:w="779" w:type="pct"/>
            <w:vAlign w:val="center"/>
          </w:tcPr>
          <w:p w:rsidR="009144E7" w:rsidRPr="009144E7" w:rsidRDefault="009144E7" w:rsidP="009144E7">
            <w:pPr>
              <w:spacing w:line="360" w:lineRule="auto"/>
              <w:jc w:val="center"/>
              <w:rPr>
                <w:lang w:val="uk-UA"/>
              </w:rPr>
            </w:pPr>
            <w:r w:rsidRPr="009144E7">
              <w:rPr>
                <w:lang w:val="uk-UA"/>
              </w:rPr>
              <w:t>82,5</w:t>
            </w:r>
            <w:r w:rsidRPr="009144E7">
              <w:rPr>
                <w:rFonts w:cstheme="minorHAnsi"/>
                <w:lang w:val="uk-UA"/>
              </w:rPr>
              <w:t>±</w:t>
            </w:r>
            <w:r w:rsidRPr="009144E7">
              <w:rPr>
                <w:lang w:val="uk-UA"/>
              </w:rPr>
              <w:t>2,1</w:t>
            </w:r>
          </w:p>
        </w:tc>
      </w:tr>
      <w:tr w:rsidR="009144E7" w:rsidRPr="009144E7" w:rsidTr="009144E7">
        <w:tc>
          <w:tcPr>
            <w:tcW w:w="752" w:type="pct"/>
          </w:tcPr>
          <w:p w:rsidR="009144E7" w:rsidRPr="009144E7" w:rsidRDefault="009144E7" w:rsidP="009144E7">
            <w:pPr>
              <w:spacing w:line="360" w:lineRule="auto"/>
              <w:jc w:val="both"/>
              <w:rPr>
                <w:lang w:val="uk-UA"/>
              </w:rPr>
            </w:pPr>
            <w:r w:rsidRPr="009144E7">
              <w:rPr>
                <w:lang w:val="uk-UA"/>
              </w:rPr>
              <w:t>Група В</w:t>
            </w:r>
          </w:p>
        </w:tc>
        <w:tc>
          <w:tcPr>
            <w:tcW w:w="741" w:type="pct"/>
            <w:vAlign w:val="center"/>
          </w:tcPr>
          <w:p w:rsidR="009144E7" w:rsidRPr="009144E7" w:rsidRDefault="009144E7" w:rsidP="009144E7">
            <w:pPr>
              <w:spacing w:line="360" w:lineRule="auto"/>
              <w:jc w:val="center"/>
              <w:rPr>
                <w:lang w:val="uk-UA"/>
              </w:rPr>
            </w:pPr>
            <w:r w:rsidRPr="009144E7">
              <w:rPr>
                <w:lang w:val="uk-UA"/>
              </w:rPr>
              <w:t>37,3</w:t>
            </w:r>
            <w:r w:rsidRPr="009144E7">
              <w:rPr>
                <w:rFonts w:cstheme="minorHAnsi"/>
                <w:lang w:val="uk-UA"/>
              </w:rPr>
              <w:t>±</w:t>
            </w:r>
            <w:r w:rsidRPr="009144E7">
              <w:rPr>
                <w:lang w:val="uk-UA"/>
              </w:rPr>
              <w:t>0,2</w:t>
            </w:r>
          </w:p>
        </w:tc>
        <w:tc>
          <w:tcPr>
            <w:tcW w:w="974" w:type="pct"/>
            <w:vAlign w:val="center"/>
          </w:tcPr>
          <w:p w:rsidR="009144E7" w:rsidRPr="009144E7" w:rsidRDefault="009144E7" w:rsidP="009144E7">
            <w:pPr>
              <w:spacing w:line="360" w:lineRule="auto"/>
              <w:jc w:val="center"/>
              <w:rPr>
                <w:lang w:val="uk-UA"/>
              </w:rPr>
            </w:pPr>
            <w:r w:rsidRPr="009144E7">
              <w:rPr>
                <w:lang w:val="uk-UA"/>
              </w:rPr>
              <w:t>139,3</w:t>
            </w:r>
            <w:r w:rsidRPr="009144E7">
              <w:rPr>
                <w:rFonts w:cstheme="minorHAnsi"/>
                <w:lang w:val="uk-UA"/>
              </w:rPr>
              <w:t>±</w:t>
            </w:r>
            <w:r w:rsidRPr="009144E7">
              <w:rPr>
                <w:lang w:val="uk-UA"/>
              </w:rPr>
              <w:t>2,9</w:t>
            </w:r>
          </w:p>
        </w:tc>
        <w:tc>
          <w:tcPr>
            <w:tcW w:w="974" w:type="pct"/>
            <w:vAlign w:val="center"/>
          </w:tcPr>
          <w:p w:rsidR="009144E7" w:rsidRPr="009144E7" w:rsidRDefault="009144E7" w:rsidP="009144E7">
            <w:pPr>
              <w:spacing w:line="360" w:lineRule="auto"/>
              <w:jc w:val="center"/>
              <w:rPr>
                <w:lang w:val="uk-UA"/>
              </w:rPr>
            </w:pPr>
            <w:r w:rsidRPr="009144E7">
              <w:rPr>
                <w:lang w:val="uk-UA"/>
              </w:rPr>
              <w:t>86,4</w:t>
            </w:r>
            <w:r w:rsidRPr="009144E7">
              <w:rPr>
                <w:rFonts w:cstheme="minorHAnsi"/>
                <w:lang w:val="uk-UA"/>
              </w:rPr>
              <w:t>±</w:t>
            </w:r>
            <w:r w:rsidRPr="009144E7">
              <w:rPr>
                <w:lang w:val="uk-UA"/>
              </w:rPr>
              <w:t>1,4</w:t>
            </w:r>
          </w:p>
        </w:tc>
        <w:tc>
          <w:tcPr>
            <w:tcW w:w="780" w:type="pct"/>
            <w:vAlign w:val="center"/>
          </w:tcPr>
          <w:p w:rsidR="009144E7" w:rsidRPr="009144E7" w:rsidRDefault="009144E7" w:rsidP="009144E7">
            <w:pPr>
              <w:spacing w:line="360" w:lineRule="auto"/>
              <w:jc w:val="center"/>
              <w:rPr>
                <w:lang w:val="uk-UA"/>
              </w:rPr>
            </w:pPr>
            <w:r w:rsidRPr="009144E7">
              <w:rPr>
                <w:lang w:val="uk-UA"/>
              </w:rPr>
              <w:t>83,6</w:t>
            </w:r>
            <w:r w:rsidRPr="009144E7">
              <w:rPr>
                <w:rFonts w:cstheme="minorHAnsi"/>
                <w:lang w:val="uk-UA"/>
              </w:rPr>
              <w:t>±</w:t>
            </w:r>
            <w:r w:rsidRPr="009144E7">
              <w:rPr>
                <w:lang w:val="uk-UA"/>
              </w:rPr>
              <w:t>1,4</w:t>
            </w:r>
          </w:p>
        </w:tc>
        <w:tc>
          <w:tcPr>
            <w:tcW w:w="779" w:type="pct"/>
            <w:vAlign w:val="center"/>
          </w:tcPr>
          <w:p w:rsidR="009144E7" w:rsidRPr="009144E7" w:rsidRDefault="009144E7" w:rsidP="009144E7">
            <w:pPr>
              <w:spacing w:line="360" w:lineRule="auto"/>
              <w:jc w:val="center"/>
              <w:rPr>
                <w:lang w:val="uk-UA"/>
              </w:rPr>
            </w:pPr>
            <w:r w:rsidRPr="009144E7">
              <w:rPr>
                <w:lang w:val="uk-UA"/>
              </w:rPr>
              <w:t>83</w:t>
            </w:r>
            <w:r w:rsidRPr="009144E7">
              <w:rPr>
                <w:rFonts w:cstheme="minorHAnsi"/>
                <w:lang w:val="uk-UA"/>
              </w:rPr>
              <w:t>±</w:t>
            </w:r>
            <w:r w:rsidRPr="009144E7">
              <w:rPr>
                <w:lang w:val="uk-UA"/>
              </w:rPr>
              <w:t>1,3</w:t>
            </w:r>
          </w:p>
        </w:tc>
      </w:tr>
    </w:tbl>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При лабораторному обстеженні, показники азотемії були підвищеними у 41 (39%)</w:t>
      </w:r>
      <w:r w:rsidRPr="009144E7">
        <w:rPr>
          <w:sz w:val="24"/>
          <w:szCs w:val="24"/>
          <w:lang w:val="uk-UA"/>
        </w:rPr>
        <w:t xml:space="preserve"> </w:t>
      </w:r>
      <w:r w:rsidRPr="009144E7">
        <w:rPr>
          <w:sz w:val="28"/>
          <w:szCs w:val="28"/>
          <w:lang w:val="uk-UA"/>
        </w:rPr>
        <w:t xml:space="preserve">осіб, середній рівень креатиніну становив – 148,4±12,1 мкмоль/мл, сечовини – 9,32±0,56 ммоль/мл; в клінічному аналізі сечі відносна щільність </w:t>
      </w:r>
      <w:r w:rsidRPr="009144E7">
        <w:rPr>
          <w:sz w:val="28"/>
          <w:szCs w:val="28"/>
          <w:lang w:val="uk-UA"/>
        </w:rPr>
        <w:lastRenderedPageBreak/>
        <w:t>в середньому склала 1013,5±0,6;</w:t>
      </w:r>
      <w:r w:rsidRPr="009144E7">
        <w:rPr>
          <w:lang w:val="uk-UA"/>
        </w:rPr>
        <w:t xml:space="preserve"> </w:t>
      </w:r>
      <w:r w:rsidRPr="009144E7">
        <w:rPr>
          <w:sz w:val="28"/>
          <w:szCs w:val="28"/>
          <w:lang w:val="uk-UA"/>
        </w:rPr>
        <w:t xml:space="preserve">при дослідженні сечового осаду лейкоцитурія мала місце у 85 (80,9%) пацієнтів, гематурія була виявлена у 35 (33,3%), альбумінурія зустрічалася у 32 (30,5%), протеїнурія у 23 (21,9%). При подальшому аналізі встановлено, що у пацієнтів, які мають гени резистентності, виявлено </w:t>
      </w:r>
      <w:r w:rsidRPr="009144E7">
        <w:rPr>
          <w:color w:val="000000" w:themeColor="text1"/>
          <w:sz w:val="28"/>
          <w:szCs w:val="28"/>
          <w:lang w:val="uk-UA"/>
        </w:rPr>
        <w:t xml:space="preserve">достовірно більші </w:t>
      </w:r>
      <w:r w:rsidRPr="009144E7">
        <w:rPr>
          <w:sz w:val="28"/>
          <w:szCs w:val="28"/>
          <w:lang w:val="uk-UA"/>
        </w:rPr>
        <w:t xml:space="preserve">показники азотемії, альбумінурії та протеїнурії і </w:t>
      </w:r>
      <w:r w:rsidRPr="009144E7">
        <w:rPr>
          <w:color w:val="000000" w:themeColor="text1"/>
          <w:sz w:val="28"/>
          <w:szCs w:val="28"/>
          <w:lang w:val="uk-UA"/>
        </w:rPr>
        <w:t>достовірно</w:t>
      </w:r>
      <w:r w:rsidRPr="009144E7">
        <w:rPr>
          <w:sz w:val="28"/>
          <w:szCs w:val="28"/>
          <w:lang w:val="uk-UA"/>
        </w:rPr>
        <w:t xml:space="preserve"> нижчу ШКФ (таблиця 3.4). </w:t>
      </w:r>
    </w:p>
    <w:p w:rsidR="009144E7" w:rsidRPr="009144E7" w:rsidRDefault="009144E7" w:rsidP="009144E7">
      <w:pPr>
        <w:spacing w:after="0" w:line="360" w:lineRule="auto"/>
        <w:ind w:firstLine="709"/>
        <w:jc w:val="right"/>
        <w:rPr>
          <w:sz w:val="28"/>
          <w:szCs w:val="28"/>
          <w:lang w:val="uk-UA"/>
        </w:rPr>
      </w:pPr>
      <w:r w:rsidRPr="009144E7">
        <w:rPr>
          <w:sz w:val="28"/>
          <w:szCs w:val="28"/>
          <w:lang w:val="uk-UA"/>
        </w:rPr>
        <w:t>Таблиця 3.4</w:t>
      </w:r>
    </w:p>
    <w:p w:rsidR="009144E7" w:rsidRPr="009144E7" w:rsidRDefault="009144E7" w:rsidP="009144E7">
      <w:pPr>
        <w:spacing w:after="0" w:line="360" w:lineRule="auto"/>
        <w:ind w:firstLine="709"/>
        <w:jc w:val="center"/>
        <w:rPr>
          <w:b/>
          <w:sz w:val="28"/>
          <w:szCs w:val="28"/>
          <w:lang w:val="uk-UA"/>
        </w:rPr>
      </w:pPr>
      <w:r w:rsidRPr="009144E7">
        <w:rPr>
          <w:b/>
          <w:sz w:val="28"/>
          <w:szCs w:val="28"/>
          <w:lang w:val="uk-UA"/>
        </w:rPr>
        <w:t>Дані лабораторних обстежень пацієнтів з ХП в залежності від наявності плазмідних генів стійкості</w:t>
      </w:r>
    </w:p>
    <w:tbl>
      <w:tblPr>
        <w:tblStyle w:val="ae"/>
        <w:tblW w:w="5000" w:type="pct"/>
        <w:tblLook w:val="04A0" w:firstRow="1" w:lastRow="0" w:firstColumn="1" w:lastColumn="0" w:noHBand="0" w:noVBand="1"/>
      </w:tblPr>
      <w:tblGrid>
        <w:gridCol w:w="1169"/>
        <w:gridCol w:w="1335"/>
        <w:gridCol w:w="1537"/>
        <w:gridCol w:w="1537"/>
        <w:gridCol w:w="1216"/>
        <w:gridCol w:w="1461"/>
        <w:gridCol w:w="1316"/>
      </w:tblGrid>
      <w:tr w:rsidR="009144E7" w:rsidRPr="009144E7" w:rsidTr="009144E7">
        <w:tc>
          <w:tcPr>
            <w:tcW w:w="642" w:type="pct"/>
          </w:tcPr>
          <w:p w:rsidR="009144E7" w:rsidRPr="009144E7" w:rsidRDefault="009144E7" w:rsidP="009144E7">
            <w:pPr>
              <w:spacing w:line="360" w:lineRule="auto"/>
              <w:jc w:val="both"/>
              <w:rPr>
                <w:sz w:val="28"/>
                <w:szCs w:val="28"/>
                <w:lang w:val="uk-UA"/>
              </w:rPr>
            </w:pPr>
          </w:p>
        </w:tc>
        <w:tc>
          <w:tcPr>
            <w:tcW w:w="697" w:type="pct"/>
            <w:vAlign w:val="center"/>
          </w:tcPr>
          <w:p w:rsidR="009144E7" w:rsidRPr="009144E7" w:rsidRDefault="009144E7" w:rsidP="009144E7">
            <w:pPr>
              <w:spacing w:line="360" w:lineRule="auto"/>
              <w:jc w:val="center"/>
              <w:rPr>
                <w:rFonts w:cstheme="minorHAnsi"/>
                <w:b/>
                <w:sz w:val="20"/>
                <w:szCs w:val="20"/>
                <w:lang w:val="uk-UA"/>
              </w:rPr>
            </w:pPr>
            <w:r w:rsidRPr="009144E7">
              <w:rPr>
                <w:b/>
                <w:sz w:val="20"/>
                <w:szCs w:val="20"/>
                <w:lang w:val="uk-UA"/>
              </w:rPr>
              <w:t>ШКФ, мл/хв/</w:t>
            </w:r>
            <w:r w:rsidRPr="009144E7">
              <w:rPr>
                <w:rFonts w:cstheme="minorHAnsi"/>
                <w:b/>
                <w:sz w:val="20"/>
                <w:szCs w:val="20"/>
                <w:lang w:val="uk-UA"/>
              </w:rPr>
              <w:t>1,73м</w:t>
            </w:r>
            <w:r w:rsidRPr="009144E7">
              <w:rPr>
                <w:rFonts w:cstheme="minorHAnsi"/>
                <w:b/>
                <w:sz w:val="20"/>
                <w:szCs w:val="20"/>
                <w:vertAlign w:val="superscript"/>
                <w:lang w:val="uk-UA"/>
              </w:rPr>
              <w:t>2</w:t>
            </w:r>
          </w:p>
        </w:tc>
        <w:tc>
          <w:tcPr>
            <w:tcW w:w="834" w:type="pct"/>
            <w:vAlign w:val="center"/>
          </w:tcPr>
          <w:p w:rsidR="009144E7" w:rsidRPr="009144E7" w:rsidRDefault="009144E7" w:rsidP="009144E7">
            <w:pPr>
              <w:spacing w:line="360" w:lineRule="auto"/>
              <w:jc w:val="center"/>
              <w:rPr>
                <w:rFonts w:cstheme="minorHAnsi"/>
                <w:b/>
                <w:sz w:val="20"/>
                <w:szCs w:val="20"/>
                <w:lang w:val="uk-UA"/>
              </w:rPr>
            </w:pPr>
            <w:r w:rsidRPr="009144E7">
              <w:rPr>
                <w:b/>
                <w:sz w:val="20"/>
                <w:szCs w:val="20"/>
                <w:lang w:val="uk-UA"/>
              </w:rPr>
              <w:t>Креатинін крові, мкмоль/л</w:t>
            </w:r>
          </w:p>
        </w:tc>
        <w:tc>
          <w:tcPr>
            <w:tcW w:w="834" w:type="pct"/>
            <w:vAlign w:val="center"/>
          </w:tcPr>
          <w:p w:rsidR="009144E7" w:rsidRPr="009144E7" w:rsidRDefault="009144E7" w:rsidP="009144E7">
            <w:pPr>
              <w:spacing w:line="360" w:lineRule="auto"/>
              <w:jc w:val="center"/>
              <w:rPr>
                <w:rFonts w:cstheme="minorHAnsi"/>
                <w:b/>
                <w:sz w:val="20"/>
                <w:szCs w:val="20"/>
                <w:lang w:val="uk-UA"/>
              </w:rPr>
            </w:pPr>
            <w:r w:rsidRPr="009144E7">
              <w:rPr>
                <w:b/>
                <w:sz w:val="20"/>
                <w:szCs w:val="20"/>
                <w:lang w:val="uk-UA"/>
              </w:rPr>
              <w:t>Сечовина крові, ммоль/л</w:t>
            </w:r>
          </w:p>
        </w:tc>
        <w:tc>
          <w:tcPr>
            <w:tcW w:w="666" w:type="pct"/>
            <w:vAlign w:val="center"/>
          </w:tcPr>
          <w:p w:rsidR="009144E7" w:rsidRPr="009144E7" w:rsidRDefault="009144E7" w:rsidP="009144E7">
            <w:pPr>
              <w:spacing w:line="360" w:lineRule="auto"/>
              <w:jc w:val="center"/>
              <w:rPr>
                <w:rFonts w:cstheme="minorHAnsi"/>
                <w:b/>
                <w:sz w:val="20"/>
                <w:szCs w:val="20"/>
                <w:lang w:val="uk-UA"/>
              </w:rPr>
            </w:pPr>
            <w:r w:rsidRPr="009144E7">
              <w:rPr>
                <w:rFonts w:cstheme="minorHAnsi"/>
                <w:b/>
                <w:sz w:val="20"/>
                <w:szCs w:val="20"/>
                <w:lang w:val="uk-UA"/>
              </w:rPr>
              <w:t>Загальний білок крові (г/л)</w:t>
            </w:r>
          </w:p>
        </w:tc>
        <w:tc>
          <w:tcPr>
            <w:tcW w:w="665" w:type="pct"/>
            <w:vAlign w:val="center"/>
          </w:tcPr>
          <w:p w:rsidR="009144E7" w:rsidRPr="009144E7" w:rsidRDefault="009144E7" w:rsidP="009144E7">
            <w:pPr>
              <w:spacing w:line="360" w:lineRule="auto"/>
              <w:jc w:val="center"/>
              <w:rPr>
                <w:rFonts w:cstheme="minorHAnsi"/>
                <w:b/>
                <w:sz w:val="20"/>
                <w:szCs w:val="20"/>
                <w:lang w:val="uk-UA"/>
              </w:rPr>
            </w:pPr>
            <w:r w:rsidRPr="009144E7">
              <w:rPr>
                <w:rFonts w:cstheme="minorHAnsi"/>
                <w:b/>
                <w:sz w:val="20"/>
                <w:szCs w:val="20"/>
                <w:lang w:val="uk-UA"/>
              </w:rPr>
              <w:t>Альбумінурія (г/л)</w:t>
            </w:r>
          </w:p>
        </w:tc>
        <w:tc>
          <w:tcPr>
            <w:tcW w:w="663" w:type="pct"/>
            <w:vAlign w:val="center"/>
          </w:tcPr>
          <w:p w:rsidR="009144E7" w:rsidRPr="009144E7" w:rsidRDefault="009144E7" w:rsidP="009144E7">
            <w:pPr>
              <w:spacing w:line="360" w:lineRule="auto"/>
              <w:jc w:val="center"/>
              <w:rPr>
                <w:rFonts w:cstheme="minorHAnsi"/>
                <w:b/>
                <w:sz w:val="20"/>
                <w:szCs w:val="20"/>
                <w:lang w:val="uk-UA"/>
              </w:rPr>
            </w:pPr>
            <w:r w:rsidRPr="009144E7">
              <w:rPr>
                <w:rFonts w:cstheme="minorHAnsi"/>
                <w:b/>
                <w:sz w:val="20"/>
                <w:szCs w:val="20"/>
                <w:lang w:val="uk-UA"/>
              </w:rPr>
              <w:t>Протеїнурія</w:t>
            </w:r>
          </w:p>
          <w:p w:rsidR="009144E7" w:rsidRPr="009144E7" w:rsidRDefault="009144E7" w:rsidP="009144E7">
            <w:pPr>
              <w:spacing w:line="360" w:lineRule="auto"/>
              <w:jc w:val="center"/>
              <w:rPr>
                <w:rFonts w:cstheme="minorHAnsi"/>
                <w:b/>
                <w:sz w:val="20"/>
                <w:szCs w:val="20"/>
                <w:lang w:val="uk-UA"/>
              </w:rPr>
            </w:pPr>
            <w:r w:rsidRPr="009144E7">
              <w:rPr>
                <w:rFonts w:cstheme="minorHAnsi"/>
                <w:b/>
                <w:sz w:val="20"/>
                <w:szCs w:val="20"/>
                <w:lang w:val="uk-UA"/>
              </w:rPr>
              <w:t>(г/л)</w:t>
            </w:r>
          </w:p>
        </w:tc>
      </w:tr>
      <w:tr w:rsidR="009144E7" w:rsidRPr="009144E7" w:rsidTr="009144E7">
        <w:tc>
          <w:tcPr>
            <w:tcW w:w="642" w:type="pct"/>
          </w:tcPr>
          <w:p w:rsidR="009144E7" w:rsidRPr="009144E7" w:rsidRDefault="009144E7" w:rsidP="009144E7">
            <w:pPr>
              <w:spacing w:line="360" w:lineRule="auto"/>
              <w:jc w:val="both"/>
              <w:rPr>
                <w:lang w:val="uk-UA"/>
              </w:rPr>
            </w:pPr>
            <w:r w:rsidRPr="009144E7">
              <w:rPr>
                <w:lang w:val="uk-UA"/>
              </w:rPr>
              <w:t>Група А</w:t>
            </w:r>
          </w:p>
        </w:tc>
        <w:tc>
          <w:tcPr>
            <w:tcW w:w="697" w:type="pct"/>
            <w:vAlign w:val="center"/>
          </w:tcPr>
          <w:p w:rsidR="009144E7" w:rsidRPr="009144E7" w:rsidRDefault="009144E7" w:rsidP="009144E7">
            <w:pPr>
              <w:spacing w:line="360" w:lineRule="auto"/>
              <w:jc w:val="center"/>
              <w:rPr>
                <w:lang w:val="uk-UA"/>
              </w:rPr>
            </w:pPr>
            <w:r w:rsidRPr="009144E7">
              <w:rPr>
                <w:lang w:val="uk-UA"/>
              </w:rPr>
              <w:t>54,3</w:t>
            </w:r>
            <w:r w:rsidRPr="009144E7">
              <w:rPr>
                <w:rFonts w:cstheme="minorHAnsi"/>
                <w:lang w:val="uk-UA"/>
              </w:rPr>
              <w:t>±</w:t>
            </w:r>
            <w:r w:rsidRPr="009144E7">
              <w:rPr>
                <w:lang w:val="uk-UA"/>
              </w:rPr>
              <w:t>6,03</w:t>
            </w:r>
          </w:p>
        </w:tc>
        <w:tc>
          <w:tcPr>
            <w:tcW w:w="834" w:type="pct"/>
            <w:vAlign w:val="center"/>
          </w:tcPr>
          <w:p w:rsidR="009144E7" w:rsidRPr="009144E7" w:rsidRDefault="009144E7" w:rsidP="009144E7">
            <w:pPr>
              <w:spacing w:line="360" w:lineRule="auto"/>
              <w:jc w:val="center"/>
              <w:rPr>
                <w:lang w:val="uk-UA"/>
              </w:rPr>
            </w:pPr>
            <w:r w:rsidRPr="009144E7">
              <w:rPr>
                <w:lang w:val="uk-UA"/>
              </w:rPr>
              <w:t>168,5</w:t>
            </w:r>
            <w:r w:rsidRPr="009144E7">
              <w:rPr>
                <w:rFonts w:cstheme="minorHAnsi"/>
                <w:lang w:val="uk-UA"/>
              </w:rPr>
              <w:t>±</w:t>
            </w:r>
            <w:r w:rsidRPr="009144E7">
              <w:rPr>
                <w:lang w:val="uk-UA"/>
              </w:rPr>
              <w:t>25,02</w:t>
            </w:r>
          </w:p>
        </w:tc>
        <w:tc>
          <w:tcPr>
            <w:tcW w:w="834" w:type="pct"/>
            <w:vAlign w:val="center"/>
          </w:tcPr>
          <w:p w:rsidR="009144E7" w:rsidRPr="009144E7" w:rsidRDefault="009144E7" w:rsidP="009144E7">
            <w:pPr>
              <w:spacing w:line="360" w:lineRule="auto"/>
              <w:jc w:val="center"/>
              <w:rPr>
                <w:lang w:val="uk-UA"/>
              </w:rPr>
            </w:pPr>
            <w:r w:rsidRPr="009144E7">
              <w:rPr>
                <w:lang w:val="uk-UA"/>
              </w:rPr>
              <w:t>11,1</w:t>
            </w:r>
            <w:r w:rsidRPr="009144E7">
              <w:rPr>
                <w:rFonts w:cstheme="minorHAnsi"/>
                <w:lang w:val="uk-UA"/>
              </w:rPr>
              <w:t>±</w:t>
            </w:r>
            <w:r w:rsidRPr="009144E7">
              <w:rPr>
                <w:lang w:val="uk-UA"/>
              </w:rPr>
              <w:t>1,1</w:t>
            </w:r>
          </w:p>
        </w:tc>
        <w:tc>
          <w:tcPr>
            <w:tcW w:w="666" w:type="pct"/>
            <w:vAlign w:val="center"/>
          </w:tcPr>
          <w:p w:rsidR="009144E7" w:rsidRPr="009144E7" w:rsidRDefault="009144E7" w:rsidP="009144E7">
            <w:pPr>
              <w:spacing w:line="360" w:lineRule="auto"/>
              <w:jc w:val="center"/>
              <w:rPr>
                <w:lang w:val="uk-UA"/>
              </w:rPr>
            </w:pPr>
            <w:r w:rsidRPr="009144E7">
              <w:rPr>
                <w:lang w:val="uk-UA"/>
              </w:rPr>
              <w:t>70,8</w:t>
            </w:r>
            <w:r w:rsidRPr="009144E7">
              <w:rPr>
                <w:rFonts w:cstheme="minorHAnsi"/>
                <w:lang w:val="uk-UA"/>
              </w:rPr>
              <w:t>±</w:t>
            </w:r>
            <w:r w:rsidRPr="009144E7">
              <w:rPr>
                <w:lang w:val="uk-UA"/>
              </w:rPr>
              <w:t>1,5</w:t>
            </w:r>
          </w:p>
        </w:tc>
        <w:tc>
          <w:tcPr>
            <w:tcW w:w="665" w:type="pct"/>
            <w:vAlign w:val="center"/>
          </w:tcPr>
          <w:p w:rsidR="009144E7" w:rsidRPr="009144E7" w:rsidRDefault="009144E7" w:rsidP="009144E7">
            <w:pPr>
              <w:spacing w:line="360" w:lineRule="auto"/>
              <w:jc w:val="center"/>
              <w:rPr>
                <w:lang w:val="uk-UA"/>
              </w:rPr>
            </w:pPr>
            <w:r w:rsidRPr="009144E7">
              <w:rPr>
                <w:lang w:val="uk-UA"/>
              </w:rPr>
              <w:t>0,07</w:t>
            </w:r>
            <w:r w:rsidRPr="009144E7">
              <w:rPr>
                <w:rFonts w:cstheme="minorHAnsi"/>
                <w:lang w:val="uk-UA"/>
              </w:rPr>
              <w:t>±</w:t>
            </w:r>
            <w:r w:rsidRPr="009144E7">
              <w:rPr>
                <w:lang w:val="uk-UA"/>
              </w:rPr>
              <w:t>0,01</w:t>
            </w:r>
          </w:p>
        </w:tc>
        <w:tc>
          <w:tcPr>
            <w:tcW w:w="663" w:type="pct"/>
          </w:tcPr>
          <w:p w:rsidR="009144E7" w:rsidRPr="009144E7" w:rsidRDefault="009144E7" w:rsidP="009144E7">
            <w:pPr>
              <w:spacing w:line="360" w:lineRule="auto"/>
              <w:jc w:val="center"/>
              <w:rPr>
                <w:lang w:val="uk-UA"/>
              </w:rPr>
            </w:pPr>
            <w:r w:rsidRPr="009144E7">
              <w:rPr>
                <w:lang w:val="uk-UA"/>
              </w:rPr>
              <w:t>1,45</w:t>
            </w:r>
            <w:r w:rsidRPr="009144E7">
              <w:rPr>
                <w:rFonts w:cstheme="minorHAnsi"/>
                <w:lang w:val="uk-UA"/>
              </w:rPr>
              <w:t>±</w:t>
            </w:r>
            <w:r w:rsidRPr="009144E7">
              <w:rPr>
                <w:lang w:val="uk-UA"/>
              </w:rPr>
              <w:t>0,61</w:t>
            </w:r>
          </w:p>
        </w:tc>
      </w:tr>
      <w:tr w:rsidR="009144E7" w:rsidRPr="009144E7" w:rsidTr="009144E7">
        <w:tc>
          <w:tcPr>
            <w:tcW w:w="642" w:type="pct"/>
          </w:tcPr>
          <w:p w:rsidR="009144E7" w:rsidRPr="009144E7" w:rsidRDefault="009144E7" w:rsidP="009144E7">
            <w:pPr>
              <w:spacing w:line="360" w:lineRule="auto"/>
              <w:jc w:val="both"/>
              <w:rPr>
                <w:lang w:val="uk-UA"/>
              </w:rPr>
            </w:pPr>
            <w:r w:rsidRPr="009144E7">
              <w:rPr>
                <w:lang w:val="uk-UA"/>
              </w:rPr>
              <w:t>Група В</w:t>
            </w:r>
          </w:p>
        </w:tc>
        <w:tc>
          <w:tcPr>
            <w:tcW w:w="697" w:type="pct"/>
            <w:vAlign w:val="center"/>
          </w:tcPr>
          <w:p w:rsidR="009144E7" w:rsidRPr="009144E7" w:rsidRDefault="009144E7" w:rsidP="009144E7">
            <w:pPr>
              <w:spacing w:line="360" w:lineRule="auto"/>
              <w:jc w:val="center"/>
              <w:rPr>
                <w:lang w:val="uk-UA"/>
              </w:rPr>
            </w:pPr>
            <w:r w:rsidRPr="009144E7">
              <w:rPr>
                <w:lang w:val="uk-UA"/>
              </w:rPr>
              <w:t>74,7</w:t>
            </w:r>
            <w:r w:rsidRPr="009144E7">
              <w:rPr>
                <w:rFonts w:cstheme="minorHAnsi"/>
                <w:lang w:val="uk-UA"/>
              </w:rPr>
              <w:t>±</w:t>
            </w:r>
            <w:r w:rsidRPr="009144E7">
              <w:rPr>
                <w:lang w:val="uk-UA"/>
              </w:rPr>
              <w:t>4,4</w:t>
            </w:r>
          </w:p>
        </w:tc>
        <w:tc>
          <w:tcPr>
            <w:tcW w:w="834" w:type="pct"/>
            <w:vAlign w:val="center"/>
          </w:tcPr>
          <w:p w:rsidR="009144E7" w:rsidRPr="009144E7" w:rsidRDefault="009144E7" w:rsidP="009144E7">
            <w:pPr>
              <w:spacing w:line="360" w:lineRule="auto"/>
              <w:jc w:val="center"/>
              <w:rPr>
                <w:lang w:val="uk-UA"/>
              </w:rPr>
            </w:pPr>
            <w:r w:rsidRPr="009144E7">
              <w:rPr>
                <w:lang w:val="uk-UA"/>
              </w:rPr>
              <w:t>139,8</w:t>
            </w:r>
            <w:r w:rsidRPr="009144E7">
              <w:rPr>
                <w:rFonts w:cstheme="minorHAnsi"/>
                <w:lang w:val="uk-UA"/>
              </w:rPr>
              <w:t>±</w:t>
            </w:r>
            <w:r w:rsidRPr="009144E7">
              <w:rPr>
                <w:lang w:val="uk-UA"/>
              </w:rPr>
              <w:t>13,2</w:t>
            </w:r>
          </w:p>
        </w:tc>
        <w:tc>
          <w:tcPr>
            <w:tcW w:w="834" w:type="pct"/>
            <w:vAlign w:val="center"/>
          </w:tcPr>
          <w:p w:rsidR="009144E7" w:rsidRPr="009144E7" w:rsidRDefault="009144E7" w:rsidP="009144E7">
            <w:pPr>
              <w:spacing w:line="360" w:lineRule="auto"/>
              <w:jc w:val="center"/>
              <w:rPr>
                <w:lang w:val="uk-UA"/>
              </w:rPr>
            </w:pPr>
            <w:r w:rsidRPr="009144E7">
              <w:rPr>
                <w:lang w:val="uk-UA"/>
              </w:rPr>
              <w:t>8,6</w:t>
            </w:r>
            <w:r w:rsidRPr="009144E7">
              <w:rPr>
                <w:rFonts w:cstheme="minorHAnsi"/>
                <w:lang w:val="uk-UA"/>
              </w:rPr>
              <w:t>±</w:t>
            </w:r>
            <w:r w:rsidRPr="009144E7">
              <w:rPr>
                <w:lang w:val="uk-UA"/>
              </w:rPr>
              <w:t>0,6</w:t>
            </w:r>
          </w:p>
        </w:tc>
        <w:tc>
          <w:tcPr>
            <w:tcW w:w="666" w:type="pct"/>
            <w:vAlign w:val="center"/>
          </w:tcPr>
          <w:p w:rsidR="009144E7" w:rsidRPr="009144E7" w:rsidRDefault="009144E7" w:rsidP="009144E7">
            <w:pPr>
              <w:spacing w:line="360" w:lineRule="auto"/>
              <w:jc w:val="center"/>
              <w:rPr>
                <w:lang w:val="uk-UA"/>
              </w:rPr>
            </w:pPr>
            <w:r w:rsidRPr="009144E7">
              <w:rPr>
                <w:lang w:val="uk-UA"/>
              </w:rPr>
              <w:t>73,7</w:t>
            </w:r>
            <w:r w:rsidRPr="009144E7">
              <w:rPr>
                <w:rFonts w:cstheme="minorHAnsi"/>
                <w:lang w:val="uk-UA"/>
              </w:rPr>
              <w:t>±</w:t>
            </w:r>
            <w:r w:rsidRPr="009144E7">
              <w:rPr>
                <w:lang w:val="uk-UA"/>
              </w:rPr>
              <w:t>1,2</w:t>
            </w:r>
          </w:p>
        </w:tc>
        <w:tc>
          <w:tcPr>
            <w:tcW w:w="665" w:type="pct"/>
            <w:vAlign w:val="center"/>
          </w:tcPr>
          <w:p w:rsidR="009144E7" w:rsidRPr="009144E7" w:rsidRDefault="009144E7" w:rsidP="009144E7">
            <w:pPr>
              <w:spacing w:line="360" w:lineRule="auto"/>
              <w:jc w:val="center"/>
              <w:rPr>
                <w:lang w:val="uk-UA"/>
              </w:rPr>
            </w:pPr>
            <w:r w:rsidRPr="009144E7">
              <w:rPr>
                <w:lang w:val="uk-UA"/>
              </w:rPr>
              <w:t>0,06</w:t>
            </w:r>
            <w:r w:rsidRPr="009144E7">
              <w:rPr>
                <w:rFonts w:cstheme="minorHAnsi"/>
                <w:lang w:val="uk-UA"/>
              </w:rPr>
              <w:t>±</w:t>
            </w:r>
            <w:r w:rsidRPr="009144E7">
              <w:rPr>
                <w:lang w:val="uk-UA"/>
              </w:rPr>
              <w:t>0,01</w:t>
            </w:r>
          </w:p>
        </w:tc>
        <w:tc>
          <w:tcPr>
            <w:tcW w:w="663" w:type="pct"/>
          </w:tcPr>
          <w:p w:rsidR="009144E7" w:rsidRPr="009144E7" w:rsidRDefault="009144E7" w:rsidP="009144E7">
            <w:pPr>
              <w:spacing w:line="360" w:lineRule="auto"/>
              <w:jc w:val="center"/>
              <w:rPr>
                <w:lang w:val="uk-UA"/>
              </w:rPr>
            </w:pPr>
            <w:r w:rsidRPr="009144E7">
              <w:rPr>
                <w:lang w:val="uk-UA"/>
              </w:rPr>
              <w:t>0,75</w:t>
            </w:r>
            <w:r w:rsidRPr="009144E7">
              <w:rPr>
                <w:rFonts w:cstheme="minorHAnsi"/>
                <w:lang w:val="uk-UA"/>
              </w:rPr>
              <w:t>±</w:t>
            </w:r>
            <w:r w:rsidRPr="009144E7">
              <w:rPr>
                <w:lang w:val="uk-UA"/>
              </w:rPr>
              <w:t>0,17</w:t>
            </w:r>
          </w:p>
        </w:tc>
      </w:tr>
    </w:tbl>
    <w:p w:rsidR="009144E7" w:rsidRPr="009144E7" w:rsidRDefault="009144E7" w:rsidP="009144E7">
      <w:pPr>
        <w:spacing w:after="0" w:line="360" w:lineRule="auto"/>
        <w:jc w:val="both"/>
        <w:rPr>
          <w:sz w:val="28"/>
          <w:szCs w:val="28"/>
          <w:lang w:val="uk-UA"/>
        </w:rPr>
      </w:pP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При проведенні аналізу між наявністю генів резистентності і виразністю лейкоцитурії, виявлено, що у пацієнтів без генів резистентності, питома вага цього лабораторного показника дещо вище ніж у хворих з виявленими генами стійкості (85% </w:t>
      </w:r>
      <w:r w:rsidRPr="009144E7">
        <w:rPr>
          <w:sz w:val="28"/>
          <w:szCs w:val="28"/>
          <w:lang w:val="en-US"/>
        </w:rPr>
        <w:t>vs</w:t>
      </w:r>
      <w:r w:rsidRPr="009144E7">
        <w:rPr>
          <w:sz w:val="28"/>
          <w:szCs w:val="28"/>
          <w:lang w:val="uk-UA"/>
        </w:rPr>
        <w:t xml:space="preserve">. 71%, </w:t>
      </w:r>
      <w:r w:rsidRPr="009144E7">
        <w:rPr>
          <w:sz w:val="28"/>
          <w:szCs w:val="28"/>
          <w:lang w:val="en-US"/>
        </w:rPr>
        <w:t>p</w:t>
      </w:r>
      <w:r w:rsidRPr="009144E7">
        <w:rPr>
          <w:rFonts w:cstheme="minorHAnsi"/>
          <w:sz w:val="28"/>
          <w:szCs w:val="28"/>
          <w:lang w:val="uk-UA"/>
        </w:rPr>
        <w:t>≥</w:t>
      </w:r>
      <w:r w:rsidRPr="009144E7">
        <w:rPr>
          <w:sz w:val="28"/>
          <w:szCs w:val="28"/>
          <w:lang w:val="uk-UA"/>
        </w:rPr>
        <w:t>0,05), малюнок 4.2.</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74A38707" wp14:editId="40800F34">
            <wp:extent cx="5486400" cy="2002665"/>
            <wp:effectExtent l="0" t="0" r="19050" b="1714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3.8 Виразність лейкоцитурії у хворих на ХП і ЦД 2 типу в залежності від наявності плазмідних генів резистентності.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При розподілі хворих за ступенем активності ХП, виявлено: </w:t>
      </w:r>
      <w:r w:rsidRPr="009144E7">
        <w:rPr>
          <w:rFonts w:cstheme="minorHAnsi"/>
          <w:sz w:val="28"/>
          <w:szCs w:val="28"/>
          <w:lang w:val="uk-UA"/>
        </w:rPr>
        <w:t>І</w:t>
      </w:r>
      <w:r w:rsidRPr="009144E7">
        <w:rPr>
          <w:sz w:val="28"/>
          <w:szCs w:val="28"/>
          <w:lang w:val="uk-UA"/>
        </w:rPr>
        <w:t xml:space="preserve"> ст. активності мали 20 (19%) пацієнтів, </w:t>
      </w:r>
      <w:r w:rsidRPr="009144E7">
        <w:rPr>
          <w:rFonts w:cstheme="minorHAnsi"/>
          <w:sz w:val="28"/>
          <w:szCs w:val="28"/>
          <w:lang w:val="uk-UA"/>
        </w:rPr>
        <w:t>ІІ</w:t>
      </w:r>
      <w:r w:rsidRPr="009144E7">
        <w:rPr>
          <w:sz w:val="28"/>
          <w:szCs w:val="28"/>
          <w:lang w:val="uk-UA"/>
        </w:rPr>
        <w:t xml:space="preserve"> ст. активності – 43 (40,9%), </w:t>
      </w:r>
      <w:r w:rsidRPr="009144E7">
        <w:rPr>
          <w:rFonts w:cstheme="minorHAnsi"/>
          <w:sz w:val="28"/>
          <w:szCs w:val="28"/>
          <w:lang w:val="uk-UA"/>
        </w:rPr>
        <w:t>ІІІ</w:t>
      </w:r>
      <w:r w:rsidRPr="009144E7">
        <w:rPr>
          <w:sz w:val="28"/>
          <w:szCs w:val="28"/>
          <w:lang w:val="uk-UA"/>
        </w:rPr>
        <w:t xml:space="preserve"> ст. мала місце у 42 (40%) осіб. При наступному аналізі взаємозв</w:t>
      </w:r>
      <w:r w:rsidRPr="009144E7">
        <w:rPr>
          <w:rFonts w:cstheme="minorHAnsi"/>
          <w:sz w:val="28"/>
          <w:szCs w:val="28"/>
          <w:lang w:val="uk-UA"/>
        </w:rPr>
        <w:t>'</w:t>
      </w:r>
      <w:r w:rsidRPr="009144E7">
        <w:rPr>
          <w:sz w:val="28"/>
          <w:szCs w:val="28"/>
          <w:lang w:val="uk-UA"/>
        </w:rPr>
        <w:t xml:space="preserve">язків між наявністю </w:t>
      </w:r>
      <w:r w:rsidRPr="009144E7">
        <w:rPr>
          <w:sz w:val="28"/>
          <w:szCs w:val="28"/>
          <w:lang w:val="uk-UA"/>
        </w:rPr>
        <w:lastRenderedPageBreak/>
        <w:t xml:space="preserve">генів стійкості і ступенем активності ХП встановлено, що у пацієнтів з </w:t>
      </w:r>
      <w:r w:rsidRPr="009144E7">
        <w:rPr>
          <w:rFonts w:cstheme="minorHAnsi"/>
          <w:sz w:val="28"/>
          <w:szCs w:val="28"/>
          <w:lang w:val="uk-UA"/>
        </w:rPr>
        <w:t>І</w:t>
      </w:r>
      <w:r w:rsidRPr="009144E7">
        <w:rPr>
          <w:sz w:val="28"/>
          <w:szCs w:val="28"/>
          <w:lang w:val="uk-UA"/>
        </w:rPr>
        <w:t xml:space="preserve"> ст. активності ХП питома вага плазмідних генів достовірно вище (85%) порівняно з пацієнтами з </w:t>
      </w:r>
      <w:r w:rsidRPr="009144E7">
        <w:rPr>
          <w:rFonts w:cstheme="minorHAnsi"/>
          <w:sz w:val="28"/>
          <w:szCs w:val="28"/>
          <w:lang w:val="uk-UA"/>
        </w:rPr>
        <w:t>ІІ</w:t>
      </w:r>
      <w:r w:rsidRPr="009144E7">
        <w:rPr>
          <w:sz w:val="28"/>
          <w:szCs w:val="28"/>
          <w:lang w:val="uk-UA"/>
        </w:rPr>
        <w:t xml:space="preserve"> ст. (18,6%, р</w:t>
      </w:r>
      <w:r w:rsidRPr="009144E7">
        <w:rPr>
          <w:rFonts w:cstheme="minorHAnsi"/>
          <w:sz w:val="28"/>
          <w:szCs w:val="28"/>
          <w:lang w:val="uk-UA"/>
        </w:rPr>
        <w:t>&lt;</w:t>
      </w:r>
      <w:r w:rsidRPr="009144E7">
        <w:rPr>
          <w:sz w:val="28"/>
          <w:szCs w:val="28"/>
          <w:lang w:val="uk-UA"/>
        </w:rPr>
        <w:t xml:space="preserve">0,05) та </w:t>
      </w:r>
      <w:r w:rsidRPr="009144E7">
        <w:rPr>
          <w:rFonts w:cstheme="minorHAnsi"/>
          <w:sz w:val="28"/>
          <w:szCs w:val="28"/>
          <w:lang w:val="uk-UA"/>
        </w:rPr>
        <w:t>ІІІ</w:t>
      </w:r>
      <w:r w:rsidRPr="009144E7">
        <w:rPr>
          <w:sz w:val="28"/>
          <w:szCs w:val="28"/>
          <w:lang w:val="uk-UA"/>
        </w:rPr>
        <w:t xml:space="preserve"> ст. (45,2%, р</w:t>
      </w:r>
      <w:r w:rsidRPr="009144E7">
        <w:rPr>
          <w:rFonts w:cstheme="minorHAnsi"/>
          <w:sz w:val="28"/>
          <w:szCs w:val="28"/>
          <w:lang w:val="uk-UA"/>
        </w:rPr>
        <w:t>&lt;</w:t>
      </w:r>
      <w:r w:rsidRPr="009144E7">
        <w:rPr>
          <w:sz w:val="28"/>
          <w:szCs w:val="28"/>
          <w:lang w:val="uk-UA"/>
        </w:rPr>
        <w:t>0,05) активності. Виявлення різних типів плазмідних генів резистентності в залежності від ступеня активності пієлонефриту показано на малюнку 3.9.</w:t>
      </w:r>
    </w:p>
    <w:p w:rsidR="009144E7" w:rsidRPr="009144E7" w:rsidRDefault="009144E7" w:rsidP="009144E7">
      <w:pPr>
        <w:spacing w:after="0" w:line="240" w:lineRule="auto"/>
        <w:ind w:firstLine="709"/>
        <w:jc w:val="both"/>
        <w:rPr>
          <w:rFonts w:cstheme="minorHAnsi"/>
          <w:sz w:val="24"/>
          <w:szCs w:val="24"/>
          <w:lang w:val="uk-UA"/>
        </w:rPr>
      </w:pPr>
      <w:r w:rsidRPr="009144E7">
        <w:rPr>
          <w:noProof/>
          <w:sz w:val="28"/>
          <w:szCs w:val="28"/>
          <w:lang w:eastAsia="ru-RU"/>
        </w:rPr>
        <w:drawing>
          <wp:inline distT="0" distB="0" distL="0" distR="0" wp14:anchorId="2181F2C5" wp14:editId="114B40DE">
            <wp:extent cx="5486400" cy="2099257"/>
            <wp:effectExtent l="0" t="0" r="19050" b="1587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144E7" w:rsidRPr="009144E7" w:rsidRDefault="009144E7" w:rsidP="009144E7">
      <w:pPr>
        <w:spacing w:after="0" w:line="360" w:lineRule="auto"/>
        <w:ind w:firstLine="709"/>
        <w:jc w:val="both"/>
        <w:rPr>
          <w:rFonts w:cstheme="minorHAnsi"/>
          <w:sz w:val="24"/>
          <w:szCs w:val="24"/>
          <w:lang w:val="uk-UA"/>
        </w:rPr>
      </w:pPr>
      <w:r w:rsidRPr="009144E7">
        <w:rPr>
          <w:sz w:val="24"/>
          <w:szCs w:val="24"/>
          <w:lang w:val="uk-UA"/>
        </w:rPr>
        <w:t xml:space="preserve">Мал. 3.9 Виявлення плазмідних генів резистентності в залежності від ступеня активності ХП. </w:t>
      </w:r>
    </w:p>
    <w:p w:rsidR="009144E7" w:rsidRPr="009144E7" w:rsidRDefault="009144E7" w:rsidP="009144E7">
      <w:pPr>
        <w:spacing w:after="0" w:line="240" w:lineRule="auto"/>
        <w:ind w:firstLine="709"/>
        <w:jc w:val="both"/>
        <w:rPr>
          <w:rFonts w:cstheme="minorHAnsi"/>
          <w:sz w:val="28"/>
          <w:szCs w:val="28"/>
          <w:lang w:val="uk-UA"/>
        </w:rPr>
      </w:pPr>
      <w:r w:rsidRPr="009144E7">
        <w:rPr>
          <w:rFonts w:cstheme="minorHAnsi"/>
          <w:sz w:val="24"/>
          <w:szCs w:val="24"/>
          <w:lang w:val="uk-UA"/>
        </w:rPr>
        <w:t xml:space="preserve">Примітка: </w:t>
      </w:r>
      <w:r w:rsidRPr="009144E7">
        <w:rPr>
          <w:rFonts w:cstheme="minorHAnsi"/>
          <w:b/>
          <w:sz w:val="24"/>
          <w:szCs w:val="24"/>
          <w:vertAlign w:val="superscript"/>
          <w:lang w:val="uk-UA"/>
        </w:rPr>
        <w:t>*</w:t>
      </w:r>
      <w:r w:rsidRPr="009144E7">
        <w:rPr>
          <w:rFonts w:cstheme="minorHAnsi"/>
          <w:b/>
          <w:sz w:val="24"/>
          <w:szCs w:val="24"/>
          <w:lang w:val="uk-UA"/>
        </w:rPr>
        <w:t xml:space="preserve"> - </w:t>
      </w:r>
      <w:r w:rsidRPr="009144E7">
        <w:rPr>
          <w:rFonts w:cstheme="minorHAnsi"/>
          <w:sz w:val="24"/>
          <w:szCs w:val="24"/>
          <w:lang w:val="uk-UA"/>
        </w:rPr>
        <w:t>при</w:t>
      </w:r>
      <w:r w:rsidRPr="009144E7">
        <w:rPr>
          <w:rFonts w:cstheme="minorHAnsi"/>
          <w:b/>
          <w:sz w:val="24"/>
          <w:szCs w:val="24"/>
          <w:lang w:val="uk-UA"/>
        </w:rPr>
        <w:t xml:space="preserve"> </w:t>
      </w:r>
      <w:r w:rsidRPr="009144E7">
        <w:rPr>
          <w:rFonts w:cstheme="minorHAnsi"/>
          <w:sz w:val="24"/>
          <w:szCs w:val="24"/>
          <w:lang w:val="uk-UA"/>
        </w:rPr>
        <w:t xml:space="preserve">порівнянні І та ІІ ст. активності; </w:t>
      </w:r>
      <w:r w:rsidRPr="009144E7">
        <w:rPr>
          <w:rFonts w:cstheme="minorHAnsi"/>
          <w:b/>
          <w:sz w:val="24"/>
          <w:szCs w:val="24"/>
          <w:vertAlign w:val="superscript"/>
          <w:lang w:val="uk-UA"/>
        </w:rPr>
        <w:t>**</w:t>
      </w:r>
      <w:r w:rsidRPr="009144E7">
        <w:rPr>
          <w:rFonts w:cstheme="minorHAnsi"/>
          <w:sz w:val="24"/>
          <w:szCs w:val="24"/>
          <w:lang w:val="uk-UA"/>
        </w:rPr>
        <w:t xml:space="preserve"> - при порівнянні ІІ та ІІІ ст. активності; </w:t>
      </w:r>
      <w:r w:rsidRPr="009144E7">
        <w:rPr>
          <w:rFonts w:cstheme="minorHAnsi"/>
          <w:b/>
          <w:sz w:val="24"/>
          <w:szCs w:val="24"/>
          <w:vertAlign w:val="superscript"/>
          <w:lang w:val="uk-UA"/>
        </w:rPr>
        <w:t xml:space="preserve">*** </w:t>
      </w:r>
      <w:r w:rsidRPr="009144E7">
        <w:rPr>
          <w:rFonts w:cstheme="minorHAnsi"/>
          <w:b/>
          <w:sz w:val="24"/>
          <w:szCs w:val="24"/>
          <w:lang w:val="uk-UA"/>
        </w:rPr>
        <w:t xml:space="preserve">- </w:t>
      </w:r>
      <w:r w:rsidRPr="009144E7">
        <w:rPr>
          <w:rFonts w:cstheme="minorHAnsi"/>
          <w:sz w:val="24"/>
          <w:szCs w:val="24"/>
          <w:lang w:val="uk-UA"/>
        </w:rPr>
        <w:t>при порівнянні</w:t>
      </w:r>
      <w:r w:rsidRPr="009144E7">
        <w:rPr>
          <w:rFonts w:cstheme="minorHAnsi"/>
          <w:b/>
          <w:sz w:val="24"/>
          <w:szCs w:val="24"/>
          <w:lang w:val="uk-UA"/>
        </w:rPr>
        <w:t xml:space="preserve"> </w:t>
      </w:r>
      <w:r w:rsidRPr="009144E7">
        <w:rPr>
          <w:rFonts w:cstheme="minorHAnsi"/>
          <w:sz w:val="24"/>
          <w:szCs w:val="24"/>
          <w:lang w:val="uk-UA"/>
        </w:rPr>
        <w:t>І та ІІІ ст. активності.</w:t>
      </w:r>
    </w:p>
    <w:p w:rsidR="009144E7" w:rsidRPr="009144E7" w:rsidRDefault="009144E7" w:rsidP="009144E7">
      <w:pPr>
        <w:spacing w:before="240" w:line="360" w:lineRule="auto"/>
        <w:ind w:firstLine="709"/>
        <w:jc w:val="both"/>
        <w:rPr>
          <w:sz w:val="28"/>
          <w:szCs w:val="28"/>
          <w:lang w:val="uk-UA"/>
        </w:rPr>
      </w:pPr>
      <w:r w:rsidRPr="009144E7">
        <w:rPr>
          <w:sz w:val="28"/>
          <w:szCs w:val="28"/>
          <w:lang w:val="uk-UA"/>
        </w:rPr>
        <w:t xml:space="preserve">Отже, у пацієнтів з плазмідними генами резистентності, у більшої половини (52,9%) спостерігається відсутність лихоманки, у 47% та 15% - відсутність сечового та больового синдромів відповідно. Щодо лабораторних даних, показники азотемії були достовірно вище у пацієнтів з виділеними генами резистентності; питома вага лейкоцитурії була вище у пацієнтів без генів резистентності, проте достовірних відмінностей не виявлено; середні показники загального білку крові достовірно не відрізнялися поміж груп; середні значення альбумінурії та протеїнурії були достовірно вище у хворих з виділеними плазмідними генами резистентності. Проте, по критеріям активності ХП, пацієнти, що не мають плазмідних генів стійкості, були віднесені до </w:t>
      </w:r>
      <w:r w:rsidRPr="009144E7">
        <w:rPr>
          <w:rFonts w:cstheme="minorHAnsi"/>
          <w:sz w:val="28"/>
          <w:szCs w:val="28"/>
          <w:lang w:val="uk-UA"/>
        </w:rPr>
        <w:t>ІІ</w:t>
      </w:r>
      <w:r w:rsidRPr="009144E7">
        <w:rPr>
          <w:sz w:val="28"/>
          <w:szCs w:val="28"/>
          <w:lang w:val="uk-UA"/>
        </w:rPr>
        <w:t xml:space="preserve"> та </w:t>
      </w:r>
      <w:r w:rsidRPr="009144E7">
        <w:rPr>
          <w:rFonts w:cstheme="minorHAnsi"/>
          <w:sz w:val="28"/>
          <w:szCs w:val="28"/>
          <w:lang w:val="uk-UA"/>
        </w:rPr>
        <w:t>ІІІ</w:t>
      </w:r>
      <w:r w:rsidRPr="009144E7">
        <w:rPr>
          <w:sz w:val="28"/>
          <w:szCs w:val="28"/>
          <w:lang w:val="uk-UA"/>
        </w:rPr>
        <w:t xml:space="preserve"> ступеня (80% та 55% пацієнтів відповідно), тоді як 85% хворих з виявленими генами резистентності, були віднесені до </w:t>
      </w:r>
      <w:r w:rsidRPr="009144E7">
        <w:rPr>
          <w:rFonts w:cstheme="minorHAnsi"/>
          <w:sz w:val="28"/>
          <w:szCs w:val="28"/>
          <w:lang w:val="uk-UA"/>
        </w:rPr>
        <w:t>І</w:t>
      </w:r>
      <w:r w:rsidRPr="009144E7">
        <w:rPr>
          <w:sz w:val="28"/>
          <w:szCs w:val="28"/>
          <w:lang w:val="uk-UA"/>
        </w:rPr>
        <w:t xml:space="preserve"> ступеня активності ХП. </w:t>
      </w:r>
    </w:p>
    <w:p w:rsidR="009144E7" w:rsidRPr="009144E7" w:rsidRDefault="009144E7" w:rsidP="009144E7">
      <w:pPr>
        <w:spacing w:before="240" w:after="0" w:line="360" w:lineRule="auto"/>
        <w:ind w:firstLine="709"/>
        <w:jc w:val="both"/>
        <w:rPr>
          <w:b/>
          <w:sz w:val="28"/>
          <w:szCs w:val="28"/>
          <w:lang w:val="uk-UA"/>
        </w:rPr>
      </w:pPr>
      <w:r w:rsidRPr="009144E7">
        <w:rPr>
          <w:b/>
          <w:sz w:val="28"/>
          <w:szCs w:val="28"/>
          <w:lang w:val="uk-UA"/>
        </w:rPr>
        <w:lastRenderedPageBreak/>
        <w:t>3.2.3 Виявлення плазмід-індукованих механізмів резистентності у хворих на ХП і ЦД 2 типу в залежності від стадії ХХН.</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 xml:space="preserve">При аналізі розповсюдженості плазмід-індукованих механізмів резистентності у хворих з різними стадіями ХХН, встановлено тенденцію до </w:t>
      </w:r>
      <w:r w:rsidRPr="009144E7">
        <w:rPr>
          <w:rFonts w:cstheme="minorHAnsi"/>
          <w:color w:val="000000" w:themeColor="text1"/>
          <w:sz w:val="28"/>
          <w:szCs w:val="28"/>
          <w:lang w:val="uk-UA"/>
        </w:rPr>
        <w:t>збільшення колонізації сечового тракту бактеріями с генами стійкості при прогресуванні ХХН. Так у хворих з ХХН І ст., частота виявлення генів резистентності склала 23,8%, з ХХН ІІ ст. – 28,6%, ХХН ІІІ ст. – 55,6% (р&lt;0,05), а у пацієнтів з вираженою нирковою недостатністю ХХН ІV ст. – 55,2% (р&lt;0,05).</w:t>
      </w:r>
      <w:r w:rsidRPr="009144E7">
        <w:rPr>
          <w:sz w:val="28"/>
          <w:szCs w:val="28"/>
          <w:lang w:val="uk-UA"/>
        </w:rPr>
        <w:t xml:space="preserve"> Виявлення різних типів плазмідних генів резистентності в залежності від стадії ХХН представлено на малюнку 3.10.</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6FC949B3" wp14:editId="181D59E1">
            <wp:extent cx="5563673" cy="2228045"/>
            <wp:effectExtent l="0" t="0" r="18415" b="2032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144E7" w:rsidRPr="009144E7" w:rsidRDefault="009144E7" w:rsidP="009144E7">
      <w:pPr>
        <w:spacing w:after="0" w:line="360" w:lineRule="auto"/>
        <w:ind w:firstLine="709"/>
        <w:jc w:val="both"/>
        <w:rPr>
          <w:sz w:val="24"/>
          <w:szCs w:val="24"/>
          <w:lang w:val="uk-UA"/>
        </w:rPr>
      </w:pPr>
      <w:r w:rsidRPr="009144E7">
        <w:rPr>
          <w:sz w:val="24"/>
          <w:szCs w:val="24"/>
          <w:lang w:val="uk-UA"/>
        </w:rPr>
        <w:t xml:space="preserve">Мал. 3.10 Виявлення плазмідних генів резистентності у хворих на ХП в залежності від стадії ХХН. </w:t>
      </w:r>
    </w:p>
    <w:p w:rsidR="009144E7" w:rsidRPr="009144E7" w:rsidRDefault="009144E7" w:rsidP="009144E7">
      <w:pPr>
        <w:spacing w:line="360" w:lineRule="auto"/>
        <w:ind w:firstLine="709"/>
        <w:jc w:val="both"/>
        <w:rPr>
          <w:sz w:val="24"/>
          <w:szCs w:val="24"/>
          <w:lang w:val="uk-UA"/>
        </w:rPr>
      </w:pPr>
      <w:r w:rsidRPr="009144E7">
        <w:rPr>
          <w:rFonts w:cstheme="minorHAnsi"/>
          <w:sz w:val="24"/>
          <w:szCs w:val="24"/>
          <w:lang w:val="uk-UA"/>
        </w:rPr>
        <w:t xml:space="preserve">Примітка: </w:t>
      </w:r>
      <w:r w:rsidRPr="009144E7">
        <w:rPr>
          <w:rFonts w:cstheme="minorHAnsi"/>
          <w:b/>
          <w:sz w:val="24"/>
          <w:szCs w:val="24"/>
          <w:vertAlign w:val="superscript"/>
          <w:lang w:val="uk-UA"/>
        </w:rPr>
        <w:t>*</w:t>
      </w:r>
      <w:r w:rsidRPr="009144E7">
        <w:rPr>
          <w:rFonts w:cstheme="minorHAnsi"/>
          <w:b/>
          <w:sz w:val="24"/>
          <w:szCs w:val="24"/>
          <w:lang w:val="uk-UA"/>
        </w:rPr>
        <w:t xml:space="preserve"> - </w:t>
      </w:r>
      <w:r w:rsidRPr="009144E7">
        <w:rPr>
          <w:rFonts w:cstheme="minorHAnsi"/>
          <w:sz w:val="24"/>
          <w:szCs w:val="24"/>
          <w:lang w:val="uk-UA"/>
        </w:rPr>
        <w:t>р≤0,05</w:t>
      </w:r>
      <w:r w:rsidRPr="009144E7">
        <w:rPr>
          <w:rFonts w:cstheme="minorHAnsi"/>
          <w:b/>
          <w:sz w:val="24"/>
          <w:szCs w:val="24"/>
          <w:lang w:val="uk-UA"/>
        </w:rPr>
        <w:t xml:space="preserve"> </w:t>
      </w:r>
      <w:r w:rsidRPr="009144E7">
        <w:rPr>
          <w:rFonts w:cstheme="minorHAnsi"/>
          <w:sz w:val="24"/>
          <w:szCs w:val="24"/>
          <w:lang w:val="uk-UA"/>
        </w:rPr>
        <w:t>при</w:t>
      </w:r>
      <w:r w:rsidRPr="009144E7">
        <w:rPr>
          <w:rFonts w:cstheme="minorHAnsi"/>
          <w:b/>
          <w:sz w:val="24"/>
          <w:szCs w:val="24"/>
          <w:lang w:val="uk-UA"/>
        </w:rPr>
        <w:t xml:space="preserve"> </w:t>
      </w:r>
      <w:r w:rsidRPr="009144E7">
        <w:rPr>
          <w:rFonts w:cstheme="minorHAnsi"/>
          <w:sz w:val="24"/>
          <w:szCs w:val="24"/>
          <w:lang w:val="uk-UA"/>
        </w:rPr>
        <w:t xml:space="preserve">порівнянні ХХН І та ІІІ ст. активності; </w:t>
      </w:r>
      <w:r w:rsidRPr="009144E7">
        <w:rPr>
          <w:rFonts w:cstheme="minorHAnsi"/>
          <w:b/>
          <w:sz w:val="24"/>
          <w:szCs w:val="24"/>
          <w:vertAlign w:val="superscript"/>
          <w:lang w:val="uk-UA"/>
        </w:rPr>
        <w:t>**</w:t>
      </w:r>
      <w:r w:rsidRPr="009144E7">
        <w:rPr>
          <w:rFonts w:cstheme="minorHAnsi"/>
          <w:sz w:val="24"/>
          <w:szCs w:val="24"/>
          <w:lang w:val="uk-UA"/>
        </w:rPr>
        <w:t xml:space="preserve"> - р≤0,05 при порівнянні І та ІV ст. ХХН.</w:t>
      </w:r>
    </w:p>
    <w:p w:rsidR="009144E7" w:rsidRPr="009144E7" w:rsidRDefault="009144E7" w:rsidP="009144E7">
      <w:pPr>
        <w:spacing w:after="0" w:line="360" w:lineRule="auto"/>
        <w:ind w:firstLine="709"/>
        <w:jc w:val="both"/>
        <w:rPr>
          <w:rFonts w:cstheme="minorHAnsi"/>
          <w:color w:val="000000" w:themeColor="text1"/>
          <w:sz w:val="28"/>
          <w:szCs w:val="28"/>
          <w:lang w:val="uk-UA"/>
        </w:rPr>
      </w:pPr>
      <w:r w:rsidRPr="009144E7">
        <w:rPr>
          <w:sz w:val="28"/>
          <w:szCs w:val="28"/>
          <w:lang w:val="uk-UA"/>
        </w:rPr>
        <w:t xml:space="preserve">При аналізі розповсюдженості плазмід-індукованих механізмів резистентності у хворих на ХП з і без супутнього ЦД 2 типу в залежності від стадії ХХН, встановлено, що при ХХН </w:t>
      </w:r>
      <w:r w:rsidRPr="009144E7">
        <w:rPr>
          <w:rFonts w:cstheme="minorHAnsi"/>
          <w:color w:val="000000" w:themeColor="text1"/>
          <w:sz w:val="28"/>
          <w:szCs w:val="28"/>
          <w:lang w:val="uk-UA"/>
        </w:rPr>
        <w:t xml:space="preserve">І ст., виявлення генів стійкості переважає у пацієнтів І групи (26% </w:t>
      </w:r>
      <w:r w:rsidRPr="009144E7">
        <w:rPr>
          <w:rFonts w:cstheme="minorHAnsi"/>
          <w:color w:val="000000" w:themeColor="text1"/>
          <w:sz w:val="28"/>
          <w:szCs w:val="28"/>
          <w:lang w:val="en-US"/>
        </w:rPr>
        <w:t>vs</w:t>
      </w:r>
      <w:r w:rsidRPr="009144E7">
        <w:rPr>
          <w:rFonts w:cstheme="minorHAnsi"/>
          <w:color w:val="000000" w:themeColor="text1"/>
          <w:sz w:val="28"/>
          <w:szCs w:val="28"/>
          <w:lang w:val="uk-UA"/>
        </w:rPr>
        <w:t xml:space="preserve"> 0%), при ХХН ІІ ст. – у пацієнтів ІІ групи (40% </w:t>
      </w:r>
      <w:r w:rsidRPr="009144E7">
        <w:rPr>
          <w:rFonts w:cstheme="minorHAnsi"/>
          <w:color w:val="000000" w:themeColor="text1"/>
          <w:sz w:val="28"/>
          <w:szCs w:val="28"/>
          <w:lang w:val="en-US"/>
        </w:rPr>
        <w:t>vs</w:t>
      </w:r>
      <w:r w:rsidRPr="009144E7">
        <w:rPr>
          <w:rFonts w:cstheme="minorHAnsi"/>
          <w:color w:val="000000" w:themeColor="text1"/>
          <w:sz w:val="28"/>
          <w:szCs w:val="28"/>
          <w:lang w:val="uk-UA"/>
        </w:rPr>
        <w:t xml:space="preserve"> 26%), проте найвища питома вага плазмідних генів резистентності спостерігається при ХХН ІІІ ст. та ХХН ІV ст. в обох групах (малюнок 3.11).  </w:t>
      </w:r>
    </w:p>
    <w:p w:rsidR="009144E7" w:rsidRPr="009144E7" w:rsidRDefault="009144E7" w:rsidP="009144E7">
      <w:pPr>
        <w:spacing w:after="0" w:line="360" w:lineRule="auto"/>
        <w:ind w:firstLine="709"/>
        <w:jc w:val="both"/>
        <w:rPr>
          <w:rFonts w:cstheme="minorHAnsi"/>
          <w:color w:val="000000" w:themeColor="text1"/>
          <w:sz w:val="28"/>
          <w:szCs w:val="28"/>
          <w:lang w:val="uk-UA"/>
        </w:rPr>
      </w:pPr>
      <w:r w:rsidRPr="009144E7">
        <w:rPr>
          <w:rFonts w:cstheme="minorHAnsi"/>
          <w:noProof/>
          <w:color w:val="000000" w:themeColor="text1"/>
          <w:sz w:val="28"/>
          <w:szCs w:val="28"/>
          <w:lang w:eastAsia="ru-RU"/>
        </w:rPr>
        <w:lastRenderedPageBreak/>
        <w:drawing>
          <wp:inline distT="0" distB="0" distL="0" distR="0" wp14:anchorId="6FD68EEF" wp14:editId="15365C51">
            <wp:extent cx="5486400" cy="2376152"/>
            <wp:effectExtent l="0" t="0" r="19050" b="2476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144E7" w:rsidRPr="009144E7" w:rsidRDefault="009144E7" w:rsidP="009144E7">
      <w:pPr>
        <w:spacing w:line="360" w:lineRule="auto"/>
        <w:ind w:firstLine="709"/>
        <w:jc w:val="both"/>
        <w:rPr>
          <w:sz w:val="24"/>
          <w:szCs w:val="24"/>
          <w:lang w:val="uk-UA"/>
        </w:rPr>
      </w:pPr>
      <w:r w:rsidRPr="009144E7">
        <w:rPr>
          <w:rFonts w:cstheme="minorHAnsi"/>
          <w:color w:val="000000" w:themeColor="text1"/>
          <w:sz w:val="24"/>
          <w:szCs w:val="24"/>
          <w:lang w:val="uk-UA"/>
        </w:rPr>
        <w:t>Мал. 3.11</w:t>
      </w:r>
      <w:r w:rsidRPr="009144E7">
        <w:rPr>
          <w:rFonts w:cstheme="minorHAnsi"/>
          <w:color w:val="000000" w:themeColor="text1"/>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стадії ХХН.</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При аналізі типів виявлених генів, встановлено, що серед хворих з ХХН </w:t>
      </w:r>
      <w:r w:rsidRPr="009144E7">
        <w:rPr>
          <w:rFonts w:cstheme="minorHAnsi"/>
          <w:sz w:val="28"/>
          <w:szCs w:val="28"/>
          <w:lang w:val="uk-UA"/>
        </w:rPr>
        <w:t>І</w:t>
      </w:r>
      <w:r w:rsidRPr="009144E7">
        <w:rPr>
          <w:sz w:val="28"/>
          <w:szCs w:val="28"/>
          <w:lang w:val="uk-UA"/>
        </w:rPr>
        <w:t xml:space="preserve"> ст. переважають </w:t>
      </w:r>
      <w:r w:rsidRPr="009144E7">
        <w:rPr>
          <w:rFonts w:cstheme="minorHAnsi"/>
          <w:sz w:val="28"/>
          <w:szCs w:val="28"/>
          <w:lang w:val="uk-UA"/>
        </w:rPr>
        <w:t>β</w:t>
      </w:r>
      <w:r w:rsidRPr="009144E7">
        <w:rPr>
          <w:sz w:val="28"/>
          <w:szCs w:val="28"/>
          <w:lang w:val="uk-UA"/>
        </w:rPr>
        <w:t xml:space="preserve">ЛРС типу </w:t>
      </w:r>
      <w:r w:rsidRPr="009144E7">
        <w:rPr>
          <w:sz w:val="28"/>
          <w:szCs w:val="28"/>
          <w:lang w:val="en-US"/>
        </w:rPr>
        <w:t>blaSHV</w:t>
      </w:r>
      <w:r w:rsidRPr="009144E7">
        <w:rPr>
          <w:sz w:val="28"/>
          <w:szCs w:val="28"/>
          <w:lang w:val="uk-UA"/>
        </w:rPr>
        <w:t xml:space="preserve">, та ефлюкс насос </w:t>
      </w:r>
      <w:r w:rsidRPr="009144E7">
        <w:rPr>
          <w:rFonts w:cstheme="minorHAnsi"/>
          <w:sz w:val="28"/>
          <w:szCs w:val="28"/>
          <w:lang w:val="uk-UA"/>
        </w:rPr>
        <w:t xml:space="preserve">QepA; серед пацієнтів з ХХН ІІ ст. – гени </w:t>
      </w:r>
      <w:r w:rsidRPr="009144E7">
        <w:rPr>
          <w:rFonts w:cstheme="minorHAnsi"/>
          <w:sz w:val="28"/>
          <w:szCs w:val="28"/>
          <w:lang w:val="en-US"/>
        </w:rPr>
        <w:t>blaTEM</w:t>
      </w:r>
      <w:r w:rsidRPr="009144E7">
        <w:rPr>
          <w:rFonts w:cstheme="minorHAnsi"/>
          <w:sz w:val="28"/>
          <w:szCs w:val="28"/>
          <w:lang w:val="uk-UA"/>
        </w:rPr>
        <w:t xml:space="preserve"> та </w:t>
      </w:r>
      <w:r w:rsidRPr="009144E7">
        <w:rPr>
          <w:rFonts w:cstheme="minorHAnsi"/>
          <w:sz w:val="28"/>
          <w:szCs w:val="28"/>
          <w:lang w:val="en-US"/>
        </w:rPr>
        <w:t>blaCTX</w:t>
      </w:r>
      <w:r w:rsidRPr="009144E7">
        <w:rPr>
          <w:rFonts w:cstheme="minorHAnsi"/>
          <w:sz w:val="28"/>
          <w:szCs w:val="28"/>
          <w:lang w:val="uk-UA"/>
        </w:rPr>
        <w:t>-</w:t>
      </w:r>
      <w:r w:rsidRPr="009144E7">
        <w:rPr>
          <w:rFonts w:cstheme="minorHAnsi"/>
          <w:sz w:val="28"/>
          <w:szCs w:val="28"/>
          <w:lang w:val="en-US"/>
        </w:rPr>
        <w:t>M</w:t>
      </w:r>
      <w:r w:rsidRPr="009144E7">
        <w:rPr>
          <w:rFonts w:cstheme="minorHAnsi"/>
          <w:sz w:val="28"/>
          <w:szCs w:val="28"/>
          <w:lang w:val="uk-UA"/>
        </w:rPr>
        <w:t>; з ХХН ІІІ ст. – β</w:t>
      </w:r>
      <w:r w:rsidRPr="009144E7">
        <w:rPr>
          <w:sz w:val="28"/>
          <w:szCs w:val="28"/>
          <w:lang w:val="uk-UA"/>
        </w:rPr>
        <w:t>ЛРС</w:t>
      </w:r>
      <w:r w:rsidRPr="009144E7">
        <w:rPr>
          <w:rFonts w:cstheme="minorHAnsi"/>
          <w:sz w:val="28"/>
          <w:szCs w:val="28"/>
          <w:lang w:val="uk-UA"/>
        </w:rPr>
        <w:t xml:space="preserve"> </w:t>
      </w:r>
      <w:r w:rsidRPr="009144E7">
        <w:rPr>
          <w:rFonts w:cstheme="minorHAnsi"/>
          <w:sz w:val="28"/>
          <w:szCs w:val="28"/>
          <w:lang w:val="en-US"/>
        </w:rPr>
        <w:t>blaTEM</w:t>
      </w:r>
      <w:r w:rsidRPr="009144E7">
        <w:rPr>
          <w:rFonts w:cstheme="minorHAnsi"/>
          <w:sz w:val="28"/>
          <w:szCs w:val="28"/>
          <w:lang w:val="uk-UA"/>
        </w:rPr>
        <w:t xml:space="preserve"> та </w:t>
      </w:r>
      <w:r w:rsidRPr="009144E7">
        <w:rPr>
          <w:sz w:val="28"/>
          <w:szCs w:val="28"/>
          <w:lang w:val="uk-UA"/>
        </w:rPr>
        <w:t xml:space="preserve">ефлюкс насос </w:t>
      </w:r>
      <w:r w:rsidRPr="009144E7">
        <w:rPr>
          <w:rFonts w:cstheme="minorHAnsi"/>
          <w:sz w:val="28"/>
          <w:szCs w:val="28"/>
          <w:lang w:val="uk-UA"/>
        </w:rPr>
        <w:t>QepA; з ХХН ІVст. – β</w:t>
      </w:r>
      <w:r w:rsidRPr="009144E7">
        <w:rPr>
          <w:sz w:val="28"/>
          <w:szCs w:val="28"/>
          <w:lang w:val="uk-UA"/>
        </w:rPr>
        <w:t>ЛРС</w:t>
      </w:r>
      <w:r w:rsidRPr="009144E7">
        <w:rPr>
          <w:rFonts w:cstheme="minorHAnsi"/>
          <w:sz w:val="28"/>
          <w:szCs w:val="28"/>
          <w:lang w:val="uk-UA"/>
        </w:rPr>
        <w:t xml:space="preserve"> </w:t>
      </w:r>
      <w:r w:rsidRPr="009144E7">
        <w:rPr>
          <w:rFonts w:cstheme="minorHAnsi"/>
          <w:sz w:val="28"/>
          <w:szCs w:val="28"/>
          <w:lang w:val="en-US"/>
        </w:rPr>
        <w:t>blaCTX</w:t>
      </w:r>
      <w:r w:rsidRPr="009144E7">
        <w:rPr>
          <w:rFonts w:cstheme="minorHAnsi"/>
          <w:sz w:val="28"/>
          <w:szCs w:val="28"/>
          <w:lang w:val="uk-UA"/>
        </w:rPr>
        <w:t>-</w:t>
      </w:r>
      <w:r w:rsidRPr="009144E7">
        <w:rPr>
          <w:rFonts w:cstheme="minorHAnsi"/>
          <w:sz w:val="28"/>
          <w:szCs w:val="28"/>
          <w:lang w:val="en-US"/>
        </w:rPr>
        <w:t>M</w:t>
      </w:r>
      <w:r w:rsidRPr="009144E7">
        <w:rPr>
          <w:rFonts w:cstheme="minorHAnsi"/>
          <w:sz w:val="28"/>
          <w:szCs w:val="28"/>
          <w:lang w:val="uk-UA"/>
        </w:rPr>
        <w:t xml:space="preserve"> та протеїн QnrА (таблиця 3.5).</w:t>
      </w:r>
    </w:p>
    <w:p w:rsidR="009144E7" w:rsidRPr="009144E7" w:rsidRDefault="009144E7" w:rsidP="009144E7">
      <w:pPr>
        <w:spacing w:after="0" w:line="360" w:lineRule="auto"/>
        <w:ind w:firstLine="709"/>
        <w:jc w:val="right"/>
        <w:rPr>
          <w:rFonts w:cstheme="minorHAnsi"/>
          <w:sz w:val="28"/>
          <w:szCs w:val="28"/>
          <w:lang w:val="uk-UA"/>
        </w:rPr>
      </w:pPr>
      <w:r w:rsidRPr="009144E7">
        <w:rPr>
          <w:rFonts w:cstheme="minorHAnsi"/>
          <w:sz w:val="28"/>
          <w:szCs w:val="28"/>
          <w:lang w:val="uk-UA"/>
        </w:rPr>
        <w:t>Таблиця 3.5</w:t>
      </w:r>
    </w:p>
    <w:p w:rsidR="009144E7" w:rsidRPr="009144E7" w:rsidRDefault="009144E7" w:rsidP="009144E7">
      <w:pPr>
        <w:spacing w:after="0" w:line="360" w:lineRule="auto"/>
        <w:ind w:firstLine="709"/>
        <w:jc w:val="center"/>
        <w:rPr>
          <w:rFonts w:cstheme="minorHAnsi"/>
          <w:b/>
          <w:sz w:val="28"/>
          <w:szCs w:val="28"/>
          <w:lang w:val="uk-UA"/>
        </w:rPr>
      </w:pPr>
      <w:r w:rsidRPr="009144E7">
        <w:rPr>
          <w:rFonts w:cstheme="minorHAnsi"/>
          <w:b/>
          <w:sz w:val="28"/>
          <w:szCs w:val="28"/>
          <w:lang w:val="uk-UA"/>
        </w:rPr>
        <w:t>Типи виявлених генів у хворих з різними стадіями ХХН</w:t>
      </w:r>
    </w:p>
    <w:tbl>
      <w:tblPr>
        <w:tblStyle w:val="ae"/>
        <w:tblW w:w="0" w:type="auto"/>
        <w:tblLook w:val="04A0" w:firstRow="1" w:lastRow="0" w:firstColumn="1" w:lastColumn="0" w:noHBand="0" w:noVBand="1"/>
      </w:tblPr>
      <w:tblGrid>
        <w:gridCol w:w="1914"/>
        <w:gridCol w:w="1914"/>
        <w:gridCol w:w="1914"/>
        <w:gridCol w:w="1914"/>
        <w:gridCol w:w="1914"/>
      </w:tblGrid>
      <w:tr w:rsidR="009144E7" w:rsidRPr="009144E7" w:rsidTr="009144E7">
        <w:tc>
          <w:tcPr>
            <w:tcW w:w="1914" w:type="dxa"/>
            <w:vMerge w:val="restart"/>
            <w:vAlign w:val="center"/>
          </w:tcPr>
          <w:p w:rsidR="009144E7" w:rsidRPr="009144E7" w:rsidRDefault="009144E7" w:rsidP="009144E7">
            <w:pPr>
              <w:spacing w:line="360" w:lineRule="auto"/>
              <w:jc w:val="center"/>
              <w:rPr>
                <w:rFonts w:cstheme="minorHAnsi"/>
                <w:b/>
                <w:color w:val="000000" w:themeColor="text1"/>
                <w:sz w:val="28"/>
                <w:szCs w:val="28"/>
                <w:lang w:val="uk-UA"/>
              </w:rPr>
            </w:pPr>
            <w:r w:rsidRPr="009144E7">
              <w:rPr>
                <w:rFonts w:cstheme="minorHAnsi"/>
                <w:b/>
                <w:color w:val="000000" w:themeColor="text1"/>
                <w:sz w:val="28"/>
                <w:szCs w:val="28"/>
                <w:lang w:val="uk-UA"/>
              </w:rPr>
              <w:t>Гени</w:t>
            </w:r>
          </w:p>
        </w:tc>
        <w:tc>
          <w:tcPr>
            <w:tcW w:w="7656" w:type="dxa"/>
            <w:gridSpan w:val="4"/>
          </w:tcPr>
          <w:p w:rsidR="009144E7" w:rsidRPr="009144E7" w:rsidRDefault="009144E7" w:rsidP="009144E7">
            <w:pPr>
              <w:spacing w:line="360" w:lineRule="auto"/>
              <w:jc w:val="center"/>
              <w:rPr>
                <w:rFonts w:cstheme="minorHAnsi"/>
                <w:b/>
                <w:color w:val="000000" w:themeColor="text1"/>
                <w:sz w:val="28"/>
                <w:szCs w:val="28"/>
                <w:lang w:val="uk-UA"/>
              </w:rPr>
            </w:pPr>
            <w:r w:rsidRPr="009144E7">
              <w:rPr>
                <w:rFonts w:cstheme="minorHAnsi"/>
                <w:b/>
                <w:color w:val="000000" w:themeColor="text1"/>
                <w:sz w:val="28"/>
                <w:szCs w:val="28"/>
                <w:lang w:val="uk-UA"/>
              </w:rPr>
              <w:t>Стадії ХХН</w:t>
            </w:r>
          </w:p>
        </w:tc>
      </w:tr>
      <w:tr w:rsidR="009144E7" w:rsidRPr="009144E7" w:rsidTr="009144E7">
        <w:tc>
          <w:tcPr>
            <w:tcW w:w="1914" w:type="dxa"/>
            <w:vMerge/>
          </w:tcPr>
          <w:p w:rsidR="009144E7" w:rsidRPr="009144E7" w:rsidRDefault="009144E7" w:rsidP="009144E7">
            <w:pPr>
              <w:spacing w:line="360" w:lineRule="auto"/>
              <w:jc w:val="both"/>
              <w:rPr>
                <w:sz w:val="28"/>
                <w:szCs w:val="28"/>
                <w:lang w:val="uk-UA"/>
              </w:rPr>
            </w:pPr>
          </w:p>
        </w:tc>
        <w:tc>
          <w:tcPr>
            <w:tcW w:w="1914" w:type="dxa"/>
            <w:vAlign w:val="center"/>
          </w:tcPr>
          <w:p w:rsidR="009144E7" w:rsidRPr="009144E7" w:rsidRDefault="009144E7" w:rsidP="009144E7">
            <w:pPr>
              <w:spacing w:line="360" w:lineRule="auto"/>
              <w:jc w:val="center"/>
              <w:rPr>
                <w:rFonts w:cstheme="minorHAnsi"/>
                <w:b/>
                <w:i/>
                <w:color w:val="000000" w:themeColor="text1"/>
                <w:sz w:val="28"/>
                <w:szCs w:val="28"/>
                <w:lang w:val="uk-UA"/>
              </w:rPr>
            </w:pPr>
            <w:r w:rsidRPr="009144E7">
              <w:rPr>
                <w:rFonts w:cstheme="minorHAnsi"/>
                <w:b/>
                <w:i/>
                <w:color w:val="000000" w:themeColor="text1"/>
                <w:sz w:val="28"/>
                <w:szCs w:val="28"/>
                <w:lang w:val="uk-UA"/>
              </w:rPr>
              <w:t>ХХН І ст..</w:t>
            </w:r>
          </w:p>
        </w:tc>
        <w:tc>
          <w:tcPr>
            <w:tcW w:w="1914" w:type="dxa"/>
            <w:vAlign w:val="center"/>
          </w:tcPr>
          <w:p w:rsidR="009144E7" w:rsidRPr="009144E7" w:rsidRDefault="009144E7" w:rsidP="009144E7">
            <w:pPr>
              <w:spacing w:line="360" w:lineRule="auto"/>
              <w:jc w:val="center"/>
              <w:rPr>
                <w:rFonts w:cstheme="minorHAnsi"/>
                <w:b/>
                <w:i/>
                <w:color w:val="000000" w:themeColor="text1"/>
                <w:sz w:val="28"/>
                <w:szCs w:val="28"/>
                <w:lang w:val="uk-UA"/>
              </w:rPr>
            </w:pPr>
            <w:r w:rsidRPr="009144E7">
              <w:rPr>
                <w:rFonts w:cstheme="minorHAnsi"/>
                <w:b/>
                <w:i/>
                <w:color w:val="000000" w:themeColor="text1"/>
                <w:sz w:val="28"/>
                <w:szCs w:val="28"/>
                <w:lang w:val="uk-UA"/>
              </w:rPr>
              <w:t>ХХН ІІ ст..</w:t>
            </w:r>
          </w:p>
        </w:tc>
        <w:tc>
          <w:tcPr>
            <w:tcW w:w="1914" w:type="dxa"/>
            <w:vAlign w:val="center"/>
          </w:tcPr>
          <w:p w:rsidR="009144E7" w:rsidRPr="009144E7" w:rsidRDefault="009144E7" w:rsidP="009144E7">
            <w:pPr>
              <w:spacing w:line="360" w:lineRule="auto"/>
              <w:jc w:val="center"/>
              <w:rPr>
                <w:rFonts w:cstheme="minorHAnsi"/>
                <w:b/>
                <w:i/>
                <w:color w:val="000000" w:themeColor="text1"/>
                <w:sz w:val="28"/>
                <w:szCs w:val="28"/>
                <w:lang w:val="uk-UA"/>
              </w:rPr>
            </w:pPr>
            <w:r w:rsidRPr="009144E7">
              <w:rPr>
                <w:rFonts w:cstheme="minorHAnsi"/>
                <w:b/>
                <w:i/>
                <w:color w:val="000000" w:themeColor="text1"/>
                <w:sz w:val="28"/>
                <w:szCs w:val="28"/>
                <w:lang w:val="uk-UA"/>
              </w:rPr>
              <w:t>ХХН ІІІ ст..</w:t>
            </w:r>
          </w:p>
        </w:tc>
        <w:tc>
          <w:tcPr>
            <w:tcW w:w="1914" w:type="dxa"/>
            <w:vAlign w:val="center"/>
          </w:tcPr>
          <w:p w:rsidR="009144E7" w:rsidRPr="009144E7" w:rsidRDefault="009144E7" w:rsidP="009144E7">
            <w:pPr>
              <w:spacing w:line="360" w:lineRule="auto"/>
              <w:jc w:val="center"/>
              <w:rPr>
                <w:rFonts w:cstheme="minorHAnsi"/>
                <w:b/>
                <w:i/>
                <w:color w:val="000000" w:themeColor="text1"/>
                <w:sz w:val="28"/>
                <w:szCs w:val="28"/>
                <w:lang w:val="uk-UA"/>
              </w:rPr>
            </w:pPr>
            <w:r w:rsidRPr="009144E7">
              <w:rPr>
                <w:rFonts w:cstheme="minorHAnsi"/>
                <w:b/>
                <w:i/>
                <w:color w:val="000000" w:themeColor="text1"/>
                <w:sz w:val="28"/>
                <w:szCs w:val="28"/>
                <w:lang w:val="uk-UA"/>
              </w:rPr>
              <w:t>ХХН ІV ст..</w:t>
            </w:r>
          </w:p>
        </w:tc>
      </w:tr>
      <w:tr w:rsidR="009144E7" w:rsidRPr="009144E7" w:rsidTr="009144E7">
        <w:tc>
          <w:tcPr>
            <w:tcW w:w="1914"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0 (0,0%)</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(7,1%)</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4 (14,8%)</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5 (17,2%)</w:t>
            </w:r>
          </w:p>
        </w:tc>
      </w:tr>
      <w:tr w:rsidR="009144E7" w:rsidRPr="009144E7" w:rsidTr="009144E7">
        <w:tc>
          <w:tcPr>
            <w:tcW w:w="1914" w:type="dxa"/>
            <w:tcBorders>
              <w:bottom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blaTEM</w:t>
            </w:r>
          </w:p>
        </w:tc>
        <w:tc>
          <w:tcPr>
            <w:tcW w:w="1914" w:type="dxa"/>
            <w:tcBorders>
              <w:bottom w:val="sing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0 (0,0%)</w:t>
            </w:r>
          </w:p>
        </w:tc>
        <w:tc>
          <w:tcPr>
            <w:tcW w:w="1914" w:type="dxa"/>
            <w:tcBorders>
              <w:bottom w:val="sing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(7,1%)</w:t>
            </w:r>
          </w:p>
        </w:tc>
        <w:tc>
          <w:tcPr>
            <w:tcW w:w="1914" w:type="dxa"/>
            <w:tcBorders>
              <w:bottom w:val="sing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5 (18,5%)</w:t>
            </w:r>
          </w:p>
        </w:tc>
        <w:tc>
          <w:tcPr>
            <w:tcW w:w="1914" w:type="dxa"/>
            <w:tcBorders>
              <w:bottom w:val="sing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4 (13,8%)</w:t>
            </w:r>
          </w:p>
        </w:tc>
      </w:tr>
      <w:tr w:rsidR="009144E7" w:rsidRPr="009144E7" w:rsidTr="009144E7">
        <w:tc>
          <w:tcPr>
            <w:tcW w:w="1914" w:type="dxa"/>
            <w:tcBorders>
              <w:bottom w:val="doub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blaSHV</w:t>
            </w:r>
          </w:p>
        </w:tc>
        <w:tc>
          <w:tcPr>
            <w:tcW w:w="1914" w:type="dxa"/>
            <w:tcBorders>
              <w:bottom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(9,5%)</w:t>
            </w:r>
          </w:p>
        </w:tc>
        <w:tc>
          <w:tcPr>
            <w:tcW w:w="1914" w:type="dxa"/>
            <w:tcBorders>
              <w:bottom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(3,6%)</w:t>
            </w:r>
          </w:p>
        </w:tc>
        <w:tc>
          <w:tcPr>
            <w:tcW w:w="1914" w:type="dxa"/>
            <w:tcBorders>
              <w:bottom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3 (11,1%)</w:t>
            </w:r>
          </w:p>
        </w:tc>
        <w:tc>
          <w:tcPr>
            <w:tcW w:w="1914" w:type="dxa"/>
            <w:tcBorders>
              <w:bottom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(6,9%)</w:t>
            </w:r>
          </w:p>
        </w:tc>
      </w:tr>
      <w:tr w:rsidR="009144E7" w:rsidRPr="009144E7" w:rsidTr="009144E7">
        <w:tc>
          <w:tcPr>
            <w:tcW w:w="1914" w:type="dxa"/>
            <w:tcBorders>
              <w:top w:val="doub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QnrА</w:t>
            </w:r>
          </w:p>
        </w:tc>
        <w:tc>
          <w:tcPr>
            <w:tcW w:w="1914" w:type="dxa"/>
            <w:tcBorders>
              <w:top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(4,8%)</w:t>
            </w:r>
          </w:p>
        </w:tc>
        <w:tc>
          <w:tcPr>
            <w:tcW w:w="1914" w:type="dxa"/>
            <w:tcBorders>
              <w:top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(3,6%)</w:t>
            </w:r>
          </w:p>
        </w:tc>
        <w:tc>
          <w:tcPr>
            <w:tcW w:w="1914" w:type="dxa"/>
            <w:tcBorders>
              <w:top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0 (0,0%)</w:t>
            </w:r>
          </w:p>
        </w:tc>
        <w:tc>
          <w:tcPr>
            <w:tcW w:w="1914" w:type="dxa"/>
            <w:tcBorders>
              <w:top w:val="double" w:sz="4" w:space="0" w:color="auto"/>
            </w:tcBorders>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(6,9%)</w:t>
            </w:r>
          </w:p>
        </w:tc>
      </w:tr>
      <w:tr w:rsidR="009144E7" w:rsidRPr="009144E7" w:rsidTr="009144E7">
        <w:tc>
          <w:tcPr>
            <w:tcW w:w="1914"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QepA</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(9,5%)</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(3,6%)</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(7,4%)</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2 (6,9%)</w:t>
            </w:r>
          </w:p>
        </w:tc>
      </w:tr>
      <w:tr w:rsidR="009144E7" w:rsidRPr="009144E7" w:rsidTr="009144E7">
        <w:tc>
          <w:tcPr>
            <w:tcW w:w="1914"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AAC(6 ')-Ib-cr</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0 (0,0%)</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(3,6%)</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(3,7%)</w:t>
            </w:r>
          </w:p>
        </w:tc>
        <w:tc>
          <w:tcPr>
            <w:tcW w:w="1914" w:type="dxa"/>
            <w:vAlign w:val="center"/>
          </w:tcPr>
          <w:p w:rsidR="009144E7" w:rsidRPr="009144E7" w:rsidRDefault="009144E7" w:rsidP="009144E7">
            <w:pPr>
              <w:spacing w:line="360" w:lineRule="auto"/>
              <w:jc w:val="center"/>
              <w:rPr>
                <w:rFonts w:cstheme="minorHAnsi"/>
                <w:color w:val="000000" w:themeColor="text1"/>
                <w:sz w:val="24"/>
                <w:szCs w:val="24"/>
                <w:lang w:val="uk-UA"/>
              </w:rPr>
            </w:pPr>
            <w:r w:rsidRPr="009144E7">
              <w:rPr>
                <w:rFonts w:cstheme="minorHAnsi"/>
                <w:color w:val="000000" w:themeColor="text1"/>
                <w:sz w:val="24"/>
                <w:szCs w:val="24"/>
                <w:lang w:val="uk-UA"/>
              </w:rPr>
              <w:t>1 (3,4%)</w:t>
            </w:r>
          </w:p>
        </w:tc>
      </w:tr>
    </w:tbl>
    <w:p w:rsidR="009144E7" w:rsidRPr="009144E7" w:rsidRDefault="009144E7" w:rsidP="009144E7">
      <w:pPr>
        <w:spacing w:before="240" w:line="360" w:lineRule="auto"/>
        <w:contextualSpacing/>
        <w:jc w:val="both"/>
        <w:rPr>
          <w:sz w:val="28"/>
          <w:szCs w:val="28"/>
          <w:lang w:val="uk-UA"/>
        </w:rPr>
      </w:pPr>
    </w:p>
    <w:p w:rsidR="009144E7" w:rsidRPr="009144E7" w:rsidRDefault="009144E7" w:rsidP="009144E7">
      <w:pPr>
        <w:spacing w:line="360" w:lineRule="auto"/>
        <w:ind w:firstLine="709"/>
        <w:jc w:val="both"/>
        <w:rPr>
          <w:sz w:val="28"/>
          <w:szCs w:val="28"/>
          <w:lang w:val="uk-UA"/>
        </w:rPr>
      </w:pPr>
      <w:r w:rsidRPr="009144E7">
        <w:rPr>
          <w:sz w:val="28"/>
          <w:szCs w:val="28"/>
          <w:lang w:val="uk-UA"/>
        </w:rPr>
        <w:t xml:space="preserve">Отже, колонізація уропатогенів з плазмідними генами найвища у пацієнтів з начальною та вираженою нирковою недостатністю (ХХН </w:t>
      </w:r>
      <w:r w:rsidRPr="009144E7">
        <w:rPr>
          <w:rFonts w:cstheme="minorHAnsi"/>
          <w:sz w:val="28"/>
          <w:szCs w:val="28"/>
          <w:lang w:val="uk-UA"/>
        </w:rPr>
        <w:t>ІІІ</w:t>
      </w:r>
      <w:r w:rsidRPr="009144E7">
        <w:rPr>
          <w:sz w:val="28"/>
          <w:szCs w:val="28"/>
          <w:lang w:val="uk-UA"/>
        </w:rPr>
        <w:t xml:space="preserve"> та </w:t>
      </w:r>
      <w:r w:rsidRPr="009144E7">
        <w:rPr>
          <w:rFonts w:cstheme="minorHAnsi"/>
          <w:sz w:val="28"/>
          <w:szCs w:val="28"/>
          <w:lang w:val="uk-UA"/>
        </w:rPr>
        <w:t>ІV</w:t>
      </w:r>
      <w:r w:rsidRPr="009144E7">
        <w:rPr>
          <w:sz w:val="28"/>
          <w:szCs w:val="28"/>
          <w:lang w:val="uk-UA"/>
        </w:rPr>
        <w:t xml:space="preserve"> ст.), що простежується в усіх групах обстежених хворих. </w:t>
      </w:r>
      <w:r w:rsidRPr="009144E7">
        <w:rPr>
          <w:rFonts w:cstheme="minorHAnsi"/>
          <w:sz w:val="28"/>
          <w:szCs w:val="28"/>
          <w:lang w:val="uk-UA"/>
        </w:rPr>
        <w:t>β</w:t>
      </w:r>
      <w:r w:rsidRPr="009144E7">
        <w:rPr>
          <w:sz w:val="28"/>
          <w:szCs w:val="28"/>
          <w:lang w:val="uk-UA"/>
        </w:rPr>
        <w:t xml:space="preserve">-лактамази </w:t>
      </w:r>
      <w:r w:rsidRPr="009144E7">
        <w:rPr>
          <w:sz w:val="28"/>
          <w:szCs w:val="28"/>
          <w:lang w:val="uk-UA"/>
        </w:rPr>
        <w:lastRenderedPageBreak/>
        <w:t>розширеного спектру дії були визначені як найбільш поширені плазмід-індуковані механізми резистентності.</w:t>
      </w:r>
    </w:p>
    <w:p w:rsidR="009144E7" w:rsidRPr="009144E7" w:rsidRDefault="009144E7" w:rsidP="009144E7">
      <w:pPr>
        <w:spacing w:before="240" w:line="360" w:lineRule="auto"/>
        <w:ind w:firstLine="709"/>
        <w:contextualSpacing/>
        <w:jc w:val="both"/>
        <w:rPr>
          <w:b/>
          <w:sz w:val="28"/>
          <w:szCs w:val="28"/>
          <w:lang w:val="uk-UA"/>
        </w:rPr>
      </w:pPr>
      <w:r w:rsidRPr="009144E7">
        <w:rPr>
          <w:b/>
          <w:sz w:val="28"/>
          <w:szCs w:val="28"/>
          <w:lang w:val="uk-UA"/>
        </w:rPr>
        <w:t>3.2.4 Виявлення плазмід-індукованих механізмів резистентності у хворих на ХП в залежності від наявності обструкції сечовивідних шляхів.</w:t>
      </w:r>
    </w:p>
    <w:p w:rsidR="009144E7" w:rsidRPr="009144E7" w:rsidRDefault="009144E7" w:rsidP="009144E7">
      <w:pPr>
        <w:spacing w:before="240" w:line="360" w:lineRule="auto"/>
        <w:ind w:firstLine="709"/>
        <w:contextualSpacing/>
        <w:jc w:val="both"/>
        <w:rPr>
          <w:sz w:val="28"/>
          <w:szCs w:val="28"/>
          <w:lang w:val="uk-UA"/>
        </w:rPr>
      </w:pPr>
      <w:r w:rsidRPr="009144E7">
        <w:rPr>
          <w:sz w:val="28"/>
          <w:szCs w:val="28"/>
          <w:lang w:val="uk-UA"/>
        </w:rPr>
        <w:t xml:space="preserve">Серед обстежених пацієнтів із ХП, обструкція сечовивідних шляхів була виявлена у 22 осіб. При аналізі розповсюдженості плазмід-індукованих механізмів резистентності в залежності від наявності обструкції, встановлено, що у пацієнтів з обструктивним пієлонефритом питома вага генів резистентності була дещо вище (45,5% </w:t>
      </w:r>
      <w:r w:rsidRPr="009144E7">
        <w:rPr>
          <w:sz w:val="28"/>
          <w:szCs w:val="28"/>
          <w:lang w:val="en-US"/>
        </w:rPr>
        <w:t>vs</w:t>
      </w:r>
      <w:r w:rsidRPr="009144E7">
        <w:rPr>
          <w:sz w:val="28"/>
          <w:szCs w:val="28"/>
          <w:lang w:val="uk-UA"/>
        </w:rPr>
        <w:t xml:space="preserve"> 40,9%), проте достовірних відмінностей між групами не виявлено (малюнок 3.12). </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67C66D7D" wp14:editId="4263452D">
            <wp:extent cx="5486400" cy="2273122"/>
            <wp:effectExtent l="0" t="0" r="19050" b="1333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3.12 Виявлення плазмідних генів резистентності в залежності від наявності обструкції сечових шляхів.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У хворих на ХП з із без супутнього ЦД 2 типу, обструкція сечових шляхів була виявлена у 3 та 19 осіб відповідно. У пацієнтів </w:t>
      </w:r>
      <w:r w:rsidRPr="009144E7">
        <w:rPr>
          <w:rFonts w:cstheme="minorHAnsi"/>
          <w:sz w:val="28"/>
          <w:szCs w:val="28"/>
          <w:lang w:val="uk-UA"/>
        </w:rPr>
        <w:t xml:space="preserve">із ХП без супутнього </w:t>
      </w:r>
      <w:r w:rsidRPr="009144E7">
        <w:rPr>
          <w:sz w:val="28"/>
          <w:szCs w:val="28"/>
          <w:lang w:val="uk-UA"/>
        </w:rPr>
        <w:t xml:space="preserve">ЦД 2 типу, виявлення плазмід-індукованих механізмів резистентності склало 52,6%, проте, у хворих, що страждають ХП на тлі ЦД 2 типу, плазмідних генів стійкості виявлено не було. У пацієнтів з необструктивним пієлонефритом, виявлення генів стійкості в </w:t>
      </w:r>
      <w:r w:rsidRPr="009144E7">
        <w:rPr>
          <w:rFonts w:cstheme="minorHAnsi"/>
          <w:sz w:val="28"/>
          <w:szCs w:val="28"/>
          <w:lang w:val="uk-UA"/>
        </w:rPr>
        <w:t>І</w:t>
      </w:r>
      <w:r w:rsidRPr="009144E7">
        <w:rPr>
          <w:sz w:val="28"/>
          <w:szCs w:val="28"/>
          <w:lang w:val="uk-UA"/>
        </w:rPr>
        <w:t xml:space="preserve"> групі склало 33,3%, в </w:t>
      </w:r>
      <w:r w:rsidRPr="009144E7">
        <w:rPr>
          <w:rFonts w:cstheme="minorHAnsi"/>
          <w:sz w:val="28"/>
          <w:szCs w:val="28"/>
          <w:lang w:val="uk-UA"/>
        </w:rPr>
        <w:t>ІІ</w:t>
      </w:r>
      <w:r w:rsidRPr="009144E7">
        <w:rPr>
          <w:sz w:val="28"/>
          <w:szCs w:val="28"/>
          <w:lang w:val="uk-UA"/>
        </w:rPr>
        <w:t xml:space="preserve"> групі – 55,2% (малюнок 3.13)</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lastRenderedPageBreak/>
        <w:drawing>
          <wp:inline distT="0" distB="0" distL="0" distR="0" wp14:anchorId="0F2D1FBC" wp14:editId="51272984">
            <wp:extent cx="5486400" cy="2389031"/>
            <wp:effectExtent l="0" t="0" r="19050" b="1143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144E7" w:rsidRPr="009144E7" w:rsidRDefault="009144E7" w:rsidP="009144E7">
      <w:pPr>
        <w:spacing w:line="360" w:lineRule="auto"/>
        <w:ind w:firstLine="709"/>
        <w:jc w:val="both"/>
        <w:rPr>
          <w:sz w:val="28"/>
          <w:szCs w:val="28"/>
          <w:lang w:val="uk-UA"/>
        </w:rPr>
      </w:pPr>
      <w:r w:rsidRPr="009144E7">
        <w:rPr>
          <w:sz w:val="24"/>
          <w:szCs w:val="24"/>
          <w:lang w:val="uk-UA"/>
        </w:rPr>
        <w:t>Мал. 3.13 Виявлення плазмідних генів резистентності у хворих на ХП з і без супутнього ЦД 2 типу в залежності від наявності обструкції сечових шляхів.</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При аналізі типів виявлених генів, встановлено, що серед хворих з обструктивним пієлонефритом переважають </w:t>
      </w:r>
      <w:r w:rsidRPr="009144E7">
        <w:rPr>
          <w:rFonts w:cstheme="minorHAnsi"/>
          <w:sz w:val="28"/>
          <w:szCs w:val="28"/>
          <w:lang w:val="uk-UA"/>
        </w:rPr>
        <w:t>β</w:t>
      </w:r>
      <w:r w:rsidRPr="009144E7">
        <w:rPr>
          <w:sz w:val="28"/>
          <w:szCs w:val="28"/>
          <w:lang w:val="uk-UA"/>
        </w:rPr>
        <w:t xml:space="preserve">ЛРС типів </w:t>
      </w:r>
      <w:r w:rsidRPr="009144E7">
        <w:rPr>
          <w:rFonts w:cstheme="minorHAnsi"/>
          <w:sz w:val="28"/>
          <w:szCs w:val="28"/>
          <w:lang w:val="en-US"/>
        </w:rPr>
        <w:t>blaTEM</w:t>
      </w:r>
      <w:r w:rsidRPr="009144E7">
        <w:rPr>
          <w:rFonts w:cstheme="minorHAnsi"/>
          <w:sz w:val="28"/>
          <w:szCs w:val="28"/>
          <w:lang w:val="uk-UA"/>
        </w:rPr>
        <w:t xml:space="preserve"> і </w:t>
      </w:r>
      <w:r w:rsidRPr="009144E7">
        <w:rPr>
          <w:rFonts w:cstheme="minorHAnsi"/>
          <w:sz w:val="28"/>
          <w:szCs w:val="28"/>
          <w:lang w:val="en-US"/>
        </w:rPr>
        <w:t>blaCTX</w:t>
      </w:r>
      <w:r w:rsidRPr="009144E7">
        <w:rPr>
          <w:rFonts w:cstheme="minorHAnsi"/>
          <w:sz w:val="28"/>
          <w:szCs w:val="28"/>
          <w:lang w:val="uk-UA"/>
        </w:rPr>
        <w:t>-</w:t>
      </w:r>
      <w:r w:rsidRPr="009144E7">
        <w:rPr>
          <w:rFonts w:cstheme="minorHAnsi"/>
          <w:sz w:val="28"/>
          <w:szCs w:val="28"/>
          <w:lang w:val="en-US"/>
        </w:rPr>
        <w:t>M</w:t>
      </w:r>
      <w:r w:rsidRPr="009144E7">
        <w:rPr>
          <w:rFonts w:cstheme="minorHAnsi"/>
          <w:sz w:val="28"/>
          <w:szCs w:val="28"/>
          <w:lang w:val="uk-UA"/>
        </w:rPr>
        <w:t>, серед генів резистентності до фторхінолонів – протеїн QnrА. У пацієнтів з необструктивним пієлонефритом, виявляємість 3-х типів β</w:t>
      </w:r>
      <w:r w:rsidRPr="009144E7">
        <w:rPr>
          <w:sz w:val="28"/>
          <w:szCs w:val="28"/>
          <w:lang w:val="uk-UA"/>
        </w:rPr>
        <w:t xml:space="preserve">ЛРС була однаковою, серед механізмів резистентності до фторхінолонів переважав ефлюкс насос </w:t>
      </w:r>
      <w:r w:rsidRPr="009144E7">
        <w:rPr>
          <w:rFonts w:cstheme="minorHAnsi"/>
          <w:sz w:val="28"/>
          <w:szCs w:val="28"/>
          <w:lang w:val="uk-UA"/>
        </w:rPr>
        <w:t>QepA (таблиця 3.6).</w:t>
      </w:r>
    </w:p>
    <w:p w:rsidR="009144E7" w:rsidRPr="009144E7" w:rsidRDefault="009144E7" w:rsidP="009144E7">
      <w:pPr>
        <w:spacing w:after="0" w:line="360" w:lineRule="auto"/>
        <w:ind w:firstLine="709"/>
        <w:jc w:val="right"/>
        <w:rPr>
          <w:rFonts w:cstheme="minorHAnsi"/>
          <w:sz w:val="28"/>
          <w:szCs w:val="28"/>
          <w:lang w:val="uk-UA"/>
        </w:rPr>
      </w:pPr>
      <w:r w:rsidRPr="009144E7">
        <w:rPr>
          <w:rFonts w:cstheme="minorHAnsi"/>
          <w:sz w:val="28"/>
          <w:szCs w:val="28"/>
          <w:lang w:val="uk-UA"/>
        </w:rPr>
        <w:t>Таблиця 3.6</w:t>
      </w:r>
    </w:p>
    <w:p w:rsidR="009144E7" w:rsidRPr="009144E7" w:rsidRDefault="009144E7" w:rsidP="009144E7">
      <w:pPr>
        <w:spacing w:after="0" w:line="360" w:lineRule="auto"/>
        <w:ind w:firstLine="709"/>
        <w:jc w:val="center"/>
        <w:rPr>
          <w:rFonts w:cstheme="minorHAnsi"/>
          <w:b/>
          <w:sz w:val="28"/>
          <w:szCs w:val="28"/>
          <w:lang w:val="uk-UA"/>
        </w:rPr>
      </w:pPr>
      <w:r w:rsidRPr="009144E7">
        <w:rPr>
          <w:rFonts w:cstheme="minorHAnsi"/>
          <w:b/>
          <w:sz w:val="28"/>
          <w:szCs w:val="28"/>
          <w:lang w:val="uk-UA"/>
        </w:rPr>
        <w:t>Типи виявлених генів в залежності від наявності обструкції сечових шляхів</w:t>
      </w:r>
    </w:p>
    <w:tbl>
      <w:tblPr>
        <w:tblStyle w:val="ae"/>
        <w:tblW w:w="0" w:type="auto"/>
        <w:tblLook w:val="04A0" w:firstRow="1" w:lastRow="0" w:firstColumn="1" w:lastColumn="0" w:noHBand="0" w:noVBand="1"/>
      </w:tblPr>
      <w:tblGrid>
        <w:gridCol w:w="3190"/>
        <w:gridCol w:w="3190"/>
        <w:gridCol w:w="3191"/>
      </w:tblGrid>
      <w:tr w:rsidR="009144E7" w:rsidRPr="009144E7" w:rsidTr="009144E7">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 xml:space="preserve">Гени </w:t>
            </w:r>
          </w:p>
        </w:tc>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Обструктивний ПН</w:t>
            </w:r>
          </w:p>
        </w:tc>
        <w:tc>
          <w:tcPr>
            <w:tcW w:w="3191"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Необструктивний ПН</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3 (13,6%)</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8 (9,6%)</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blaTEM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3 (13,6%)</w:t>
            </w:r>
          </w:p>
        </w:tc>
        <w:tc>
          <w:tcPr>
            <w:tcW w:w="3191" w:type="dxa"/>
          </w:tcPr>
          <w:p w:rsidR="009144E7" w:rsidRPr="009144E7" w:rsidRDefault="009144E7" w:rsidP="009144E7">
            <w:r w:rsidRPr="009144E7">
              <w:rPr>
                <w:rFonts w:cstheme="minorHAnsi"/>
                <w:sz w:val="28"/>
                <w:szCs w:val="28"/>
                <w:lang w:val="uk-UA"/>
              </w:rPr>
              <w:t>8 (9,6%)</w:t>
            </w:r>
          </w:p>
        </w:tc>
      </w:tr>
      <w:tr w:rsidR="009144E7" w:rsidRPr="009144E7" w:rsidTr="009144E7">
        <w:trPr>
          <w:trHeight w:val="457"/>
        </w:trPr>
        <w:tc>
          <w:tcPr>
            <w:tcW w:w="3190" w:type="dxa"/>
            <w:tcBorders>
              <w:bottom w:val="doub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blaSHV</w:t>
            </w:r>
          </w:p>
        </w:tc>
        <w:tc>
          <w:tcPr>
            <w:tcW w:w="3190" w:type="dxa"/>
            <w:tcBorders>
              <w:bottom w:val="double" w:sz="4" w:space="0" w:color="auto"/>
            </w:tcBorders>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c>
          <w:tcPr>
            <w:tcW w:w="3191" w:type="dxa"/>
            <w:tcBorders>
              <w:bottom w:val="double" w:sz="4" w:space="0" w:color="auto"/>
            </w:tcBorders>
          </w:tcPr>
          <w:p w:rsidR="009144E7" w:rsidRPr="009144E7" w:rsidRDefault="009144E7" w:rsidP="009144E7">
            <w:r w:rsidRPr="009144E7">
              <w:rPr>
                <w:rFonts w:cstheme="minorHAnsi"/>
                <w:sz w:val="28"/>
                <w:szCs w:val="28"/>
                <w:lang w:val="uk-UA"/>
              </w:rPr>
              <w:t>8 (9,6%)</w:t>
            </w:r>
          </w:p>
        </w:tc>
      </w:tr>
      <w:tr w:rsidR="009144E7" w:rsidRPr="009144E7" w:rsidTr="009144E7">
        <w:tc>
          <w:tcPr>
            <w:tcW w:w="3190" w:type="dxa"/>
            <w:tcBorders>
              <w:bottom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QnrА</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(9,1%)</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(2,4%)</w:t>
            </w:r>
          </w:p>
        </w:tc>
      </w:tr>
      <w:tr w:rsidR="009144E7" w:rsidRPr="009144E7" w:rsidTr="009144E7">
        <w:tc>
          <w:tcPr>
            <w:tcW w:w="3190" w:type="dxa"/>
            <w:tcBorders>
              <w:top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QepA</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 (4,5%)</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6 (7,2%)</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AAC(6 ')-Ib-cr</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 (4,5%)</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(2,4%)</w:t>
            </w:r>
          </w:p>
        </w:tc>
      </w:tr>
    </w:tbl>
    <w:p w:rsidR="009144E7" w:rsidRPr="009144E7" w:rsidRDefault="009144E7" w:rsidP="009144E7">
      <w:pPr>
        <w:spacing w:before="240" w:line="360" w:lineRule="auto"/>
        <w:ind w:firstLine="709"/>
        <w:jc w:val="both"/>
        <w:rPr>
          <w:sz w:val="28"/>
          <w:szCs w:val="28"/>
          <w:lang w:val="uk-UA"/>
        </w:rPr>
      </w:pPr>
      <w:r w:rsidRPr="009144E7">
        <w:rPr>
          <w:sz w:val="28"/>
          <w:szCs w:val="28"/>
          <w:lang w:val="uk-UA"/>
        </w:rPr>
        <w:t xml:space="preserve"> Таким чином, у пацієнтів із ХП без супутнього ЦД 2 типу, проте з наявністю обструкції сечових шляхів, колонізація бактеріями з плазмідними генами резистентності вище ніж у пацієнтів з необструктивним </w:t>
      </w:r>
      <w:r w:rsidRPr="009144E7">
        <w:rPr>
          <w:sz w:val="28"/>
          <w:szCs w:val="28"/>
          <w:lang w:val="uk-UA"/>
        </w:rPr>
        <w:lastRenderedPageBreak/>
        <w:t xml:space="preserve">пієлонефритом. Однак, у хворих, що страждають ХП на тлі ЦД 2 типу, виявлення плазмід-індукованих механізмів резистентності вище у пацієнтів з необструктивним пієлонефритом. </w:t>
      </w:r>
    </w:p>
    <w:p w:rsidR="009144E7" w:rsidRPr="009144E7" w:rsidRDefault="009144E7" w:rsidP="009144E7">
      <w:pPr>
        <w:spacing w:line="360" w:lineRule="auto"/>
        <w:ind w:firstLine="709"/>
        <w:jc w:val="both"/>
        <w:rPr>
          <w:b/>
          <w:sz w:val="28"/>
          <w:szCs w:val="28"/>
          <w:lang w:val="uk-UA"/>
        </w:rPr>
      </w:pPr>
      <w:r w:rsidRPr="009144E7">
        <w:rPr>
          <w:b/>
          <w:sz w:val="28"/>
          <w:szCs w:val="28"/>
          <w:lang w:val="uk-UA"/>
        </w:rPr>
        <w:t>3.2.5</w:t>
      </w:r>
      <w:r w:rsidRPr="009144E7">
        <w:rPr>
          <w:sz w:val="28"/>
          <w:szCs w:val="28"/>
          <w:lang w:val="uk-UA"/>
        </w:rPr>
        <w:t xml:space="preserve"> </w:t>
      </w:r>
      <w:r w:rsidRPr="009144E7">
        <w:rPr>
          <w:b/>
          <w:sz w:val="28"/>
          <w:szCs w:val="28"/>
          <w:lang w:val="uk-UA"/>
        </w:rPr>
        <w:t>Виявлення плазмід-індукованих механізмів резистентності у хворих на ХП і ЦД 2 типу в залежності від наявності епізодів перенесеної інфекції сечової системи (ІСС).</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Серед обстежених пацієнтів, наявність епізоду перенесеної </w:t>
      </w:r>
      <w:r w:rsidRPr="009144E7">
        <w:rPr>
          <w:color w:val="000000" w:themeColor="text1"/>
          <w:sz w:val="28"/>
          <w:szCs w:val="28"/>
          <w:lang w:val="uk-UA"/>
        </w:rPr>
        <w:t>ІСС</w:t>
      </w:r>
      <w:r w:rsidRPr="009144E7">
        <w:rPr>
          <w:color w:val="FF0000"/>
          <w:sz w:val="28"/>
          <w:szCs w:val="28"/>
          <w:lang w:val="uk-UA"/>
        </w:rPr>
        <w:t xml:space="preserve"> </w:t>
      </w:r>
      <w:r w:rsidRPr="009144E7">
        <w:rPr>
          <w:sz w:val="28"/>
          <w:szCs w:val="28"/>
          <w:lang w:val="uk-UA"/>
        </w:rPr>
        <w:t>було відмічено у 11 осіб. Виявлення плазмід-індукованих механізмів резистентності серед цих хворих склало (63,6%). Серед чоловіків, наявність простатиту була відмічена у 4 осіб, серед яких у 3 (75%) були виявлені плазмідні гени стійкості. Серед жінок, епізод перенесеного циститу мав місце у 7 осіб, серед яких гени антибіотикорезистентності були виявлені у 4 (57,1%), малюнок 3.14.</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2EB34879" wp14:editId="2EF004A1">
            <wp:extent cx="5486400" cy="2195848"/>
            <wp:effectExtent l="0" t="0" r="19050" b="1397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3.14 Виявлення плазмідних генів резистентності в залежності від наявності перенесеного епізоду ІСС. </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У хворих на ХП з і без супутнього ЦД 2 типу, епізод перенесеної ІСС мав місце у 3-х та 8 осіб відповідно. Виявлення плазмід-індукованих механізмів у пацієнтів </w:t>
      </w:r>
      <w:r w:rsidRPr="009144E7">
        <w:rPr>
          <w:rFonts w:cstheme="minorHAnsi"/>
          <w:sz w:val="28"/>
          <w:szCs w:val="28"/>
          <w:lang w:val="uk-UA"/>
        </w:rPr>
        <w:t>І</w:t>
      </w:r>
      <w:r w:rsidRPr="009144E7">
        <w:rPr>
          <w:sz w:val="28"/>
          <w:szCs w:val="28"/>
          <w:lang w:val="uk-UA"/>
        </w:rPr>
        <w:t xml:space="preserve"> групи склало 62,5%, найпоширенішими типами були виявлені </w:t>
      </w:r>
      <w:r w:rsidRPr="009144E7">
        <w:rPr>
          <w:rFonts w:cstheme="minorHAnsi"/>
          <w:sz w:val="28"/>
          <w:szCs w:val="28"/>
          <w:lang w:val="uk-UA"/>
        </w:rPr>
        <w:t>β</w:t>
      </w:r>
      <w:r w:rsidRPr="009144E7">
        <w:rPr>
          <w:sz w:val="28"/>
          <w:szCs w:val="28"/>
          <w:lang w:val="uk-UA"/>
        </w:rPr>
        <w:t xml:space="preserve">ЛРС типу </w:t>
      </w:r>
      <w:r w:rsidRPr="009144E7">
        <w:rPr>
          <w:rFonts w:cstheme="minorHAnsi"/>
          <w:sz w:val="28"/>
          <w:szCs w:val="28"/>
          <w:lang w:val="en-US"/>
        </w:rPr>
        <w:t>blaCTX</w:t>
      </w:r>
      <w:r w:rsidRPr="009144E7">
        <w:rPr>
          <w:rFonts w:cstheme="minorHAnsi"/>
          <w:sz w:val="28"/>
          <w:szCs w:val="28"/>
          <w:lang w:val="uk-UA"/>
        </w:rPr>
        <w:t>-</w:t>
      </w:r>
      <w:r w:rsidRPr="009144E7">
        <w:rPr>
          <w:rFonts w:cstheme="minorHAnsi"/>
          <w:sz w:val="28"/>
          <w:szCs w:val="28"/>
          <w:lang w:val="en-US"/>
        </w:rPr>
        <w:t>M</w:t>
      </w:r>
      <w:r w:rsidRPr="009144E7">
        <w:rPr>
          <w:rFonts w:cstheme="minorHAnsi"/>
          <w:sz w:val="28"/>
          <w:szCs w:val="28"/>
          <w:lang w:val="uk-UA"/>
        </w:rPr>
        <w:t xml:space="preserve"> та </w:t>
      </w:r>
      <w:r w:rsidRPr="009144E7">
        <w:rPr>
          <w:sz w:val="28"/>
          <w:szCs w:val="28"/>
          <w:lang w:val="uk-UA"/>
        </w:rPr>
        <w:t xml:space="preserve">ефлюкс насос </w:t>
      </w:r>
      <w:r w:rsidRPr="009144E7">
        <w:rPr>
          <w:rFonts w:cstheme="minorHAnsi"/>
          <w:sz w:val="28"/>
          <w:szCs w:val="28"/>
          <w:lang w:val="uk-UA"/>
        </w:rPr>
        <w:t>QepA. У пацієнтів ІІ</w:t>
      </w:r>
      <w:r w:rsidRPr="009144E7">
        <w:rPr>
          <w:sz w:val="28"/>
          <w:szCs w:val="28"/>
          <w:lang w:val="uk-UA"/>
        </w:rPr>
        <w:t xml:space="preserve"> групи  питома вага плазмідних генів резистентності склала 66,7%, переважно за рахунок генів стійкості до фторхінолонів </w:t>
      </w:r>
      <w:r w:rsidRPr="009144E7">
        <w:rPr>
          <w:rFonts w:cstheme="minorHAnsi"/>
          <w:sz w:val="28"/>
          <w:szCs w:val="28"/>
          <w:lang w:val="uk-UA"/>
        </w:rPr>
        <w:t>(малюнок 3.15).</w:t>
      </w:r>
    </w:p>
    <w:p w:rsidR="009144E7" w:rsidRPr="009144E7" w:rsidRDefault="009144E7" w:rsidP="009144E7">
      <w:pPr>
        <w:spacing w:after="0" w:line="360" w:lineRule="auto"/>
        <w:ind w:firstLine="709"/>
        <w:jc w:val="both"/>
        <w:rPr>
          <w:rFonts w:cstheme="minorHAnsi"/>
          <w:sz w:val="28"/>
          <w:szCs w:val="28"/>
          <w:lang w:val="uk-UA"/>
        </w:rPr>
      </w:pPr>
    </w:p>
    <w:p w:rsidR="009144E7" w:rsidRPr="009144E7" w:rsidRDefault="009144E7" w:rsidP="009144E7">
      <w:pPr>
        <w:spacing w:after="0" w:line="360" w:lineRule="auto"/>
        <w:ind w:firstLine="709"/>
        <w:jc w:val="both"/>
        <w:rPr>
          <w:sz w:val="28"/>
          <w:szCs w:val="28"/>
          <w:lang w:val="uk-UA"/>
        </w:rPr>
      </w:pPr>
      <w:r w:rsidRPr="009144E7">
        <w:rPr>
          <w:rFonts w:cstheme="minorHAnsi"/>
          <w:noProof/>
          <w:sz w:val="28"/>
          <w:szCs w:val="28"/>
          <w:lang w:eastAsia="ru-RU"/>
        </w:rPr>
        <w:drawing>
          <wp:inline distT="0" distB="0" distL="0" distR="0" wp14:anchorId="26722FC9" wp14:editId="05A006EB">
            <wp:extent cx="5486400" cy="2350394"/>
            <wp:effectExtent l="0" t="0" r="19050" b="1206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144E7" w:rsidRPr="009144E7" w:rsidRDefault="009144E7" w:rsidP="009144E7">
      <w:pPr>
        <w:spacing w:line="360" w:lineRule="auto"/>
        <w:ind w:firstLine="709"/>
        <w:jc w:val="both"/>
        <w:rPr>
          <w:sz w:val="28"/>
          <w:szCs w:val="28"/>
          <w:lang w:val="uk-UA"/>
        </w:rPr>
      </w:pPr>
      <w:r w:rsidRPr="009144E7">
        <w:rPr>
          <w:sz w:val="24"/>
          <w:szCs w:val="24"/>
          <w:lang w:val="uk-UA"/>
        </w:rPr>
        <w:t>Мал. 3.15</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наявності перенесеного епізоду ІСС.</w:t>
      </w:r>
    </w:p>
    <w:p w:rsidR="009144E7" w:rsidRPr="009144E7" w:rsidRDefault="009144E7" w:rsidP="009144E7">
      <w:pPr>
        <w:spacing w:after="0" w:line="360" w:lineRule="auto"/>
        <w:ind w:firstLine="709"/>
        <w:jc w:val="both"/>
        <w:rPr>
          <w:rFonts w:cstheme="minorHAnsi"/>
          <w:sz w:val="28"/>
          <w:szCs w:val="28"/>
          <w:lang w:val="uk-UA"/>
        </w:rPr>
      </w:pPr>
      <w:r w:rsidRPr="009144E7">
        <w:rPr>
          <w:sz w:val="28"/>
          <w:szCs w:val="28"/>
          <w:lang w:val="uk-UA"/>
        </w:rPr>
        <w:t xml:space="preserve">При аналізі типів виявлених генів, встановлено, що серед чоловіків із хронічним простатитом, переважають </w:t>
      </w:r>
      <w:r w:rsidRPr="009144E7">
        <w:rPr>
          <w:rFonts w:cstheme="minorHAnsi"/>
          <w:sz w:val="28"/>
          <w:szCs w:val="28"/>
          <w:lang w:val="uk-UA"/>
        </w:rPr>
        <w:t>β</w:t>
      </w:r>
      <w:r w:rsidRPr="009144E7">
        <w:rPr>
          <w:sz w:val="28"/>
          <w:szCs w:val="28"/>
          <w:lang w:val="uk-UA"/>
        </w:rPr>
        <w:t xml:space="preserve">ЛРС типу </w:t>
      </w:r>
      <w:r w:rsidRPr="009144E7">
        <w:rPr>
          <w:rFonts w:cstheme="minorHAnsi"/>
          <w:sz w:val="28"/>
          <w:szCs w:val="28"/>
          <w:lang w:val="en-US"/>
        </w:rPr>
        <w:t>blaCTX</w:t>
      </w:r>
      <w:r w:rsidRPr="009144E7">
        <w:rPr>
          <w:rFonts w:cstheme="minorHAnsi"/>
          <w:sz w:val="28"/>
          <w:szCs w:val="28"/>
          <w:lang w:val="uk-UA"/>
        </w:rPr>
        <w:t>-</w:t>
      </w:r>
      <w:r w:rsidRPr="009144E7">
        <w:rPr>
          <w:rFonts w:cstheme="minorHAnsi"/>
          <w:sz w:val="28"/>
          <w:szCs w:val="28"/>
          <w:lang w:val="en-US"/>
        </w:rPr>
        <w:t>M</w:t>
      </w:r>
      <w:r w:rsidRPr="009144E7">
        <w:rPr>
          <w:rFonts w:cstheme="minorHAnsi"/>
          <w:sz w:val="28"/>
          <w:szCs w:val="28"/>
          <w:lang w:val="uk-UA"/>
        </w:rPr>
        <w:t>, серед жінок із епізодом перенесеного циститу – гени резистентності до фторхінолонів (таблиця 3.7).</w:t>
      </w:r>
    </w:p>
    <w:p w:rsidR="009144E7" w:rsidRPr="009144E7" w:rsidRDefault="009144E7" w:rsidP="009144E7">
      <w:pPr>
        <w:spacing w:after="0" w:line="360" w:lineRule="auto"/>
        <w:ind w:firstLine="709"/>
        <w:jc w:val="right"/>
        <w:rPr>
          <w:rFonts w:cstheme="minorHAnsi"/>
          <w:sz w:val="28"/>
          <w:szCs w:val="28"/>
          <w:lang w:val="uk-UA"/>
        </w:rPr>
      </w:pPr>
      <w:r w:rsidRPr="009144E7">
        <w:rPr>
          <w:rFonts w:cstheme="minorHAnsi"/>
          <w:sz w:val="28"/>
          <w:szCs w:val="28"/>
          <w:lang w:val="uk-UA"/>
        </w:rPr>
        <w:t>Таблиця 3.7</w:t>
      </w:r>
    </w:p>
    <w:p w:rsidR="009144E7" w:rsidRPr="009144E7" w:rsidRDefault="009144E7" w:rsidP="009144E7">
      <w:pPr>
        <w:spacing w:after="0" w:line="360" w:lineRule="auto"/>
        <w:ind w:firstLine="709"/>
        <w:jc w:val="center"/>
        <w:rPr>
          <w:rFonts w:cstheme="minorHAnsi"/>
          <w:b/>
          <w:sz w:val="28"/>
          <w:szCs w:val="28"/>
          <w:lang w:val="uk-UA"/>
        </w:rPr>
      </w:pPr>
      <w:r w:rsidRPr="009144E7">
        <w:rPr>
          <w:rFonts w:cstheme="minorHAnsi"/>
          <w:b/>
          <w:sz w:val="28"/>
          <w:szCs w:val="28"/>
          <w:lang w:val="uk-UA"/>
        </w:rPr>
        <w:t>Типи виявлених генів в залежності від наявності епізоду перенесеної ІСС</w:t>
      </w:r>
    </w:p>
    <w:tbl>
      <w:tblPr>
        <w:tblStyle w:val="ae"/>
        <w:tblW w:w="0" w:type="auto"/>
        <w:tblLook w:val="04A0" w:firstRow="1" w:lastRow="0" w:firstColumn="1" w:lastColumn="0" w:noHBand="0" w:noVBand="1"/>
      </w:tblPr>
      <w:tblGrid>
        <w:gridCol w:w="3190"/>
        <w:gridCol w:w="3190"/>
        <w:gridCol w:w="3191"/>
      </w:tblGrid>
      <w:tr w:rsidR="009144E7" w:rsidRPr="009144E7" w:rsidTr="009144E7">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 xml:space="preserve">Гени </w:t>
            </w:r>
          </w:p>
        </w:tc>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Простатит</w:t>
            </w:r>
          </w:p>
        </w:tc>
        <w:tc>
          <w:tcPr>
            <w:tcW w:w="3191"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Цистит</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(50%)</w:t>
            </w:r>
          </w:p>
        </w:tc>
        <w:tc>
          <w:tcPr>
            <w:tcW w:w="3191" w:type="dxa"/>
          </w:tcPr>
          <w:p w:rsidR="009144E7" w:rsidRPr="009144E7" w:rsidRDefault="009144E7" w:rsidP="009144E7">
            <w:r w:rsidRPr="009144E7">
              <w:rPr>
                <w:rFonts w:cstheme="minorHAnsi"/>
                <w:sz w:val="28"/>
                <w:szCs w:val="28"/>
                <w:lang w:val="uk-UA"/>
              </w:rPr>
              <w:t>0 (0,0%)</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blaTEM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c>
          <w:tcPr>
            <w:tcW w:w="3191" w:type="dxa"/>
          </w:tcPr>
          <w:p w:rsidR="009144E7" w:rsidRPr="009144E7" w:rsidRDefault="009144E7" w:rsidP="009144E7">
            <w:r w:rsidRPr="009144E7">
              <w:rPr>
                <w:rFonts w:cstheme="minorHAnsi"/>
                <w:sz w:val="28"/>
                <w:szCs w:val="28"/>
                <w:lang w:val="uk-UA"/>
              </w:rPr>
              <w:t>0 (0,0%)</w:t>
            </w:r>
          </w:p>
        </w:tc>
      </w:tr>
      <w:tr w:rsidR="009144E7" w:rsidRPr="009144E7" w:rsidTr="009144E7">
        <w:trPr>
          <w:trHeight w:val="457"/>
        </w:trPr>
        <w:tc>
          <w:tcPr>
            <w:tcW w:w="3190" w:type="dxa"/>
            <w:tcBorders>
              <w:bottom w:val="doub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blaSHV</w:t>
            </w:r>
          </w:p>
        </w:tc>
        <w:tc>
          <w:tcPr>
            <w:tcW w:w="3190" w:type="dxa"/>
            <w:tcBorders>
              <w:bottom w:val="double" w:sz="4" w:space="0" w:color="auto"/>
            </w:tcBorders>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c>
          <w:tcPr>
            <w:tcW w:w="3191" w:type="dxa"/>
            <w:tcBorders>
              <w:bottom w:val="double" w:sz="4" w:space="0" w:color="auto"/>
            </w:tcBorders>
          </w:tcPr>
          <w:p w:rsidR="009144E7" w:rsidRPr="009144E7" w:rsidRDefault="009144E7" w:rsidP="009144E7">
            <w:r w:rsidRPr="009144E7">
              <w:rPr>
                <w:rFonts w:cstheme="minorHAnsi"/>
                <w:sz w:val="28"/>
                <w:szCs w:val="28"/>
                <w:lang w:val="uk-UA"/>
              </w:rPr>
              <w:t>0 (0,0%)</w:t>
            </w:r>
          </w:p>
        </w:tc>
      </w:tr>
      <w:tr w:rsidR="009144E7" w:rsidRPr="009144E7" w:rsidTr="009144E7">
        <w:tc>
          <w:tcPr>
            <w:tcW w:w="3190" w:type="dxa"/>
            <w:tcBorders>
              <w:bottom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QnrА</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r>
      <w:tr w:rsidR="009144E7" w:rsidRPr="009144E7" w:rsidTr="009144E7">
        <w:tc>
          <w:tcPr>
            <w:tcW w:w="3190" w:type="dxa"/>
            <w:tcBorders>
              <w:top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QepA</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 (25%)</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(28,6%)</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AAC(6 ')-Ib-cr</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(28,6%)</w:t>
            </w:r>
          </w:p>
        </w:tc>
      </w:tr>
    </w:tbl>
    <w:p w:rsidR="009144E7" w:rsidRPr="009144E7" w:rsidRDefault="009144E7" w:rsidP="009144E7">
      <w:pPr>
        <w:spacing w:before="240" w:line="360" w:lineRule="auto"/>
        <w:ind w:firstLine="709"/>
        <w:jc w:val="both"/>
        <w:rPr>
          <w:sz w:val="28"/>
          <w:szCs w:val="28"/>
          <w:lang w:val="uk-UA"/>
        </w:rPr>
      </w:pPr>
      <w:r w:rsidRPr="009144E7">
        <w:rPr>
          <w:sz w:val="28"/>
          <w:szCs w:val="28"/>
          <w:lang w:val="uk-UA"/>
        </w:rPr>
        <w:t xml:space="preserve">Отже, у пацієнтів на ХП при наявності епізоду перенесеної ІСС, виявлення плазмід-індукованих механізмів резистентності достовірно вище як у хворих із супутнім ЦД 2 типу, так і без останнього. У чоловіків, епізод </w:t>
      </w:r>
      <w:r w:rsidRPr="009144E7">
        <w:rPr>
          <w:sz w:val="28"/>
          <w:szCs w:val="28"/>
          <w:lang w:val="uk-UA"/>
        </w:rPr>
        <w:lastRenderedPageBreak/>
        <w:t xml:space="preserve">перенесеного простатиту, достовірно пов’язаний з виявленням плазмідних генів стійкості, серед жінок – епізод циститу.    </w:t>
      </w:r>
    </w:p>
    <w:p w:rsidR="009144E7" w:rsidRPr="009144E7" w:rsidRDefault="009144E7" w:rsidP="009144E7">
      <w:pPr>
        <w:spacing w:before="240" w:line="360" w:lineRule="auto"/>
        <w:ind w:firstLine="709"/>
        <w:jc w:val="both"/>
        <w:rPr>
          <w:b/>
          <w:sz w:val="28"/>
          <w:szCs w:val="28"/>
          <w:lang w:val="uk-UA"/>
        </w:rPr>
      </w:pPr>
      <w:r w:rsidRPr="009144E7">
        <w:rPr>
          <w:b/>
          <w:sz w:val="28"/>
          <w:szCs w:val="28"/>
          <w:lang w:val="uk-UA"/>
        </w:rPr>
        <w:t>3.2.6 Виявлення плазмід-індукованих механізмів резистентності у хворих на ХП і ЦД 2 типу в залежності від наявності артеріальної гіпертензії.</w:t>
      </w:r>
    </w:p>
    <w:p w:rsidR="009144E7" w:rsidRPr="009144E7" w:rsidRDefault="009144E7" w:rsidP="009144E7">
      <w:pPr>
        <w:spacing w:before="240" w:line="360" w:lineRule="auto"/>
        <w:ind w:firstLine="709"/>
        <w:contextualSpacing/>
        <w:jc w:val="both"/>
        <w:rPr>
          <w:sz w:val="28"/>
          <w:szCs w:val="28"/>
          <w:lang w:val="uk-UA"/>
        </w:rPr>
      </w:pPr>
      <w:r w:rsidRPr="009144E7">
        <w:rPr>
          <w:sz w:val="28"/>
          <w:szCs w:val="28"/>
          <w:lang w:val="uk-UA"/>
        </w:rPr>
        <w:t xml:space="preserve">При аналізі розповсюдженості плазмід-індукованих механізмів стійкості у хворих на ХП і супутній ЦД 2 типу в залежності від наявності артеріальної гіпертензії (АГ) встановлено достовірно вищу частоту виявлення генів антибіотикорезистентності серед пацієнтів із АГ (50,7% </w:t>
      </w:r>
      <w:r w:rsidRPr="009144E7">
        <w:rPr>
          <w:sz w:val="28"/>
          <w:szCs w:val="28"/>
          <w:lang w:val="en-US"/>
        </w:rPr>
        <w:t>vs</w:t>
      </w:r>
      <w:r w:rsidRPr="009144E7">
        <w:rPr>
          <w:sz w:val="28"/>
          <w:szCs w:val="28"/>
          <w:lang w:val="uk-UA"/>
        </w:rPr>
        <w:t xml:space="preserve"> 23,5%, </w:t>
      </w:r>
      <w:r w:rsidRPr="009144E7">
        <w:rPr>
          <w:sz w:val="28"/>
          <w:szCs w:val="28"/>
          <w:lang w:val="en-US"/>
        </w:rPr>
        <w:t>p</w:t>
      </w:r>
      <w:r w:rsidRPr="009144E7">
        <w:rPr>
          <w:rFonts w:cstheme="minorHAnsi"/>
          <w:sz w:val="28"/>
          <w:szCs w:val="28"/>
          <w:lang w:val="uk-UA"/>
        </w:rPr>
        <w:t>≤</w:t>
      </w:r>
      <w:r w:rsidRPr="009144E7">
        <w:rPr>
          <w:sz w:val="28"/>
          <w:szCs w:val="28"/>
          <w:lang w:val="uk-UA"/>
        </w:rPr>
        <w:t xml:space="preserve">0,05), малюнок 3.16. </w:t>
      </w:r>
    </w:p>
    <w:p w:rsidR="009144E7" w:rsidRPr="009144E7" w:rsidRDefault="009144E7" w:rsidP="009144E7">
      <w:pPr>
        <w:spacing w:before="240" w:line="360" w:lineRule="auto"/>
        <w:ind w:firstLine="709"/>
        <w:contextualSpacing/>
        <w:jc w:val="both"/>
        <w:rPr>
          <w:sz w:val="28"/>
          <w:szCs w:val="28"/>
          <w:lang w:val="uk-UA"/>
        </w:rPr>
      </w:pPr>
      <w:r w:rsidRPr="009144E7">
        <w:rPr>
          <w:rFonts w:cstheme="minorHAnsi"/>
          <w:noProof/>
          <w:sz w:val="28"/>
          <w:szCs w:val="28"/>
          <w:lang w:eastAsia="ru-RU"/>
        </w:rPr>
        <w:drawing>
          <wp:inline distT="0" distB="0" distL="0" distR="0" wp14:anchorId="096CB1EC" wp14:editId="29F27165">
            <wp:extent cx="5486400" cy="2266682"/>
            <wp:effectExtent l="0" t="0" r="19050" b="1968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144E7" w:rsidRPr="009144E7" w:rsidRDefault="009144E7" w:rsidP="009144E7">
      <w:pPr>
        <w:spacing w:before="240" w:line="360" w:lineRule="auto"/>
        <w:ind w:firstLine="709"/>
        <w:contextualSpacing/>
        <w:jc w:val="both"/>
        <w:rPr>
          <w:sz w:val="28"/>
          <w:szCs w:val="28"/>
          <w:lang w:val="uk-UA"/>
        </w:rPr>
      </w:pPr>
      <w:r w:rsidRPr="009144E7">
        <w:rPr>
          <w:sz w:val="24"/>
          <w:szCs w:val="24"/>
          <w:lang w:val="uk-UA"/>
        </w:rPr>
        <w:t>Мал. 3.16 Виявлення плазмідних генів резистентності в залежності від наявності артеріальної гіпертензії.</w:t>
      </w:r>
    </w:p>
    <w:p w:rsidR="009144E7" w:rsidRPr="009144E7" w:rsidRDefault="009144E7" w:rsidP="009144E7">
      <w:pPr>
        <w:spacing w:before="240" w:after="0" w:line="360" w:lineRule="auto"/>
        <w:ind w:firstLine="709"/>
        <w:jc w:val="both"/>
        <w:rPr>
          <w:rFonts w:cstheme="minorHAnsi"/>
          <w:sz w:val="28"/>
          <w:szCs w:val="28"/>
          <w:lang w:val="uk-UA"/>
        </w:rPr>
      </w:pPr>
      <w:r w:rsidRPr="009144E7">
        <w:rPr>
          <w:rFonts w:cstheme="minorHAnsi"/>
          <w:sz w:val="28"/>
          <w:szCs w:val="28"/>
          <w:lang w:val="uk-UA"/>
        </w:rPr>
        <w:t>У хворих на ХП з і без супутнього ЦД 2 типу, артеріальна гіпертензія була виявлена у 43 (58,9%) та 28 (87,5%) пацієнтів відповідно. При подальшому аналізі встановлено, що у пацієнтів І групи з АГ, виявлення плазмід-індукованих механізмів резистентності складає 46,4%, ІІ групи з АГ – 53,5%. Виявлення плазмідних генів резистентності у хворих без АГ склало: в І групі – 75%, в ІІ групі – 16,7% (малюнок 3.17).</w:t>
      </w:r>
    </w:p>
    <w:p w:rsidR="009144E7" w:rsidRPr="009144E7" w:rsidRDefault="009144E7" w:rsidP="009144E7">
      <w:pPr>
        <w:spacing w:after="0" w:line="360" w:lineRule="auto"/>
        <w:ind w:firstLine="709"/>
        <w:jc w:val="both"/>
        <w:rPr>
          <w:rFonts w:cstheme="minorHAnsi"/>
          <w:sz w:val="28"/>
          <w:szCs w:val="28"/>
          <w:lang w:val="uk-UA"/>
        </w:rPr>
      </w:pPr>
      <w:r w:rsidRPr="009144E7">
        <w:rPr>
          <w:rFonts w:cstheme="minorHAnsi"/>
          <w:noProof/>
          <w:sz w:val="28"/>
          <w:szCs w:val="28"/>
          <w:lang w:eastAsia="ru-RU"/>
        </w:rPr>
        <w:lastRenderedPageBreak/>
        <w:drawing>
          <wp:inline distT="0" distB="0" distL="0" distR="0" wp14:anchorId="75B2513E" wp14:editId="54E3BD1F">
            <wp:extent cx="5486400" cy="2240924"/>
            <wp:effectExtent l="0" t="0" r="19050" b="2603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3.17</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наявності артеріальної гіпертензії.</w:t>
      </w:r>
    </w:p>
    <w:p w:rsidR="009144E7" w:rsidRPr="009144E7" w:rsidRDefault="009144E7" w:rsidP="009144E7">
      <w:pPr>
        <w:spacing w:after="0" w:line="360" w:lineRule="auto"/>
        <w:ind w:firstLine="709"/>
        <w:jc w:val="both"/>
        <w:rPr>
          <w:rFonts w:cstheme="minorHAnsi"/>
          <w:sz w:val="28"/>
          <w:szCs w:val="28"/>
          <w:lang w:val="uk-UA"/>
        </w:rPr>
      </w:pPr>
      <w:r w:rsidRPr="009144E7">
        <w:rPr>
          <w:rFonts w:cstheme="minorHAnsi"/>
          <w:color w:val="000000" w:themeColor="text1"/>
          <w:sz w:val="28"/>
          <w:szCs w:val="28"/>
          <w:lang w:val="uk-UA"/>
        </w:rPr>
        <w:t>При аналізі типів виявлених генів встановлено, що</w:t>
      </w:r>
      <w:r w:rsidRPr="009144E7">
        <w:rPr>
          <w:rFonts w:cstheme="minorHAnsi"/>
          <w:sz w:val="28"/>
          <w:szCs w:val="28"/>
          <w:lang w:val="uk-UA"/>
        </w:rPr>
        <w:t xml:space="preserve"> у пацієнтів без артеріальної гіпертензії, по виявляємості домінували гени резистентності до фторхінолонів, тоді як у хворих із АГ, переважали β-лактамази розширеного спектру дії (таблиця 3.8).</w:t>
      </w:r>
    </w:p>
    <w:p w:rsidR="009144E7" w:rsidRPr="009144E7" w:rsidRDefault="009144E7" w:rsidP="009144E7">
      <w:pPr>
        <w:spacing w:after="0" w:line="360" w:lineRule="auto"/>
        <w:ind w:firstLine="709"/>
        <w:jc w:val="right"/>
        <w:rPr>
          <w:rFonts w:cstheme="minorHAnsi"/>
          <w:sz w:val="28"/>
          <w:szCs w:val="28"/>
          <w:lang w:val="uk-UA"/>
        </w:rPr>
      </w:pPr>
      <w:r w:rsidRPr="009144E7">
        <w:rPr>
          <w:rFonts w:cstheme="minorHAnsi"/>
          <w:sz w:val="28"/>
          <w:szCs w:val="28"/>
          <w:lang w:val="uk-UA"/>
        </w:rPr>
        <w:t>Таблиця 3.8</w:t>
      </w:r>
    </w:p>
    <w:p w:rsidR="009144E7" w:rsidRPr="009144E7" w:rsidRDefault="009144E7" w:rsidP="009144E7">
      <w:pPr>
        <w:spacing w:after="0" w:line="360" w:lineRule="auto"/>
        <w:ind w:firstLine="709"/>
        <w:jc w:val="center"/>
        <w:rPr>
          <w:rFonts w:cstheme="minorHAnsi"/>
          <w:b/>
          <w:sz w:val="28"/>
          <w:szCs w:val="28"/>
          <w:lang w:val="uk-UA"/>
        </w:rPr>
      </w:pPr>
      <w:r w:rsidRPr="009144E7">
        <w:rPr>
          <w:rFonts w:cstheme="minorHAnsi"/>
          <w:b/>
          <w:sz w:val="28"/>
          <w:szCs w:val="28"/>
          <w:lang w:val="uk-UA"/>
        </w:rPr>
        <w:t>Типи виявлених генів в залежності від наявності АГ</w:t>
      </w:r>
    </w:p>
    <w:tbl>
      <w:tblPr>
        <w:tblStyle w:val="ae"/>
        <w:tblW w:w="0" w:type="auto"/>
        <w:tblLook w:val="04A0" w:firstRow="1" w:lastRow="0" w:firstColumn="1" w:lastColumn="0" w:noHBand="0" w:noVBand="1"/>
      </w:tblPr>
      <w:tblGrid>
        <w:gridCol w:w="3190"/>
        <w:gridCol w:w="3190"/>
        <w:gridCol w:w="3191"/>
      </w:tblGrid>
      <w:tr w:rsidR="009144E7" w:rsidRPr="009144E7" w:rsidTr="009144E7">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 xml:space="preserve">Гени </w:t>
            </w:r>
          </w:p>
        </w:tc>
        <w:tc>
          <w:tcPr>
            <w:tcW w:w="3190"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З АГ</w:t>
            </w:r>
          </w:p>
        </w:tc>
        <w:tc>
          <w:tcPr>
            <w:tcW w:w="3191" w:type="dxa"/>
          </w:tcPr>
          <w:p w:rsidR="009144E7" w:rsidRPr="009144E7" w:rsidRDefault="009144E7" w:rsidP="009144E7">
            <w:pPr>
              <w:spacing w:line="360" w:lineRule="auto"/>
              <w:jc w:val="both"/>
              <w:rPr>
                <w:rFonts w:cstheme="minorHAnsi"/>
                <w:b/>
                <w:sz w:val="28"/>
                <w:szCs w:val="28"/>
                <w:lang w:val="uk-UA"/>
              </w:rPr>
            </w:pPr>
            <w:r w:rsidRPr="009144E7">
              <w:rPr>
                <w:rFonts w:cstheme="minorHAnsi"/>
                <w:b/>
                <w:sz w:val="28"/>
                <w:szCs w:val="28"/>
                <w:lang w:val="uk-UA"/>
              </w:rPr>
              <w:t>Без АГ</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10 (14,1%)</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 (2,9%)</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blaTEM</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11 (15,5%)</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r>
      <w:tr w:rsidR="009144E7" w:rsidRPr="009144E7" w:rsidTr="009144E7">
        <w:trPr>
          <w:trHeight w:val="457"/>
        </w:trPr>
        <w:tc>
          <w:tcPr>
            <w:tcW w:w="3190" w:type="dxa"/>
            <w:tcBorders>
              <w:bottom w:val="doub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blaSHV</w:t>
            </w:r>
          </w:p>
        </w:tc>
        <w:tc>
          <w:tcPr>
            <w:tcW w:w="3190" w:type="dxa"/>
            <w:tcBorders>
              <w:bottom w:val="double" w:sz="4" w:space="0" w:color="auto"/>
            </w:tcBorders>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8 (11,3%)</w:t>
            </w:r>
          </w:p>
        </w:tc>
        <w:tc>
          <w:tcPr>
            <w:tcW w:w="3191" w:type="dxa"/>
            <w:tcBorders>
              <w:bottom w:val="double" w:sz="4" w:space="0" w:color="auto"/>
            </w:tcBorders>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0 (0,0%)</w:t>
            </w:r>
          </w:p>
        </w:tc>
      </w:tr>
      <w:tr w:rsidR="009144E7" w:rsidRPr="009144E7" w:rsidTr="009144E7">
        <w:tc>
          <w:tcPr>
            <w:tcW w:w="3190" w:type="dxa"/>
            <w:tcBorders>
              <w:bottom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QnrА</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(2,8%)</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(5,9%)</w:t>
            </w:r>
          </w:p>
        </w:tc>
      </w:tr>
      <w:tr w:rsidR="009144E7" w:rsidRPr="009144E7" w:rsidTr="009144E7">
        <w:tc>
          <w:tcPr>
            <w:tcW w:w="3190" w:type="dxa"/>
            <w:tcBorders>
              <w:top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QepA</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3 (4,2%)</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4 (11,8%)</w:t>
            </w:r>
          </w:p>
        </w:tc>
      </w:tr>
      <w:tr w:rsidR="009144E7" w:rsidRPr="009144E7" w:rsidTr="009144E7">
        <w:tc>
          <w:tcPr>
            <w:tcW w:w="3190"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AAC(6 ')-Ib-cr</w:t>
            </w:r>
          </w:p>
        </w:tc>
        <w:tc>
          <w:tcPr>
            <w:tcW w:w="3190"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2 (2,8%)</w:t>
            </w:r>
          </w:p>
        </w:tc>
        <w:tc>
          <w:tcPr>
            <w:tcW w:w="3191" w:type="dxa"/>
          </w:tcPr>
          <w:p w:rsidR="009144E7" w:rsidRPr="009144E7" w:rsidRDefault="009144E7" w:rsidP="009144E7">
            <w:pPr>
              <w:spacing w:line="360" w:lineRule="auto"/>
              <w:jc w:val="both"/>
              <w:rPr>
                <w:rFonts w:cstheme="minorHAnsi"/>
                <w:sz w:val="28"/>
                <w:szCs w:val="28"/>
                <w:lang w:val="uk-UA"/>
              </w:rPr>
            </w:pPr>
            <w:r w:rsidRPr="009144E7">
              <w:rPr>
                <w:rFonts w:cstheme="minorHAnsi"/>
                <w:sz w:val="28"/>
                <w:szCs w:val="28"/>
                <w:lang w:val="uk-UA"/>
              </w:rPr>
              <w:t>1 (2,9%)</w:t>
            </w:r>
          </w:p>
        </w:tc>
      </w:tr>
    </w:tbl>
    <w:p w:rsidR="009144E7" w:rsidRPr="009144E7" w:rsidRDefault="009144E7" w:rsidP="009144E7">
      <w:pPr>
        <w:spacing w:after="0" w:line="360" w:lineRule="auto"/>
        <w:jc w:val="both"/>
        <w:rPr>
          <w:rFonts w:cstheme="minorHAnsi"/>
          <w:sz w:val="28"/>
          <w:szCs w:val="28"/>
          <w:lang w:val="uk-UA"/>
        </w:rPr>
      </w:pPr>
    </w:p>
    <w:p w:rsidR="009144E7" w:rsidRPr="009144E7" w:rsidRDefault="009144E7" w:rsidP="009144E7">
      <w:pPr>
        <w:spacing w:line="360" w:lineRule="auto"/>
        <w:ind w:firstLine="709"/>
        <w:jc w:val="both"/>
        <w:rPr>
          <w:rFonts w:cstheme="minorHAnsi"/>
          <w:sz w:val="28"/>
          <w:szCs w:val="28"/>
          <w:lang w:val="uk-UA"/>
        </w:rPr>
      </w:pPr>
      <w:r w:rsidRPr="009144E7">
        <w:rPr>
          <w:rFonts w:cstheme="minorHAnsi"/>
          <w:sz w:val="28"/>
          <w:szCs w:val="28"/>
          <w:lang w:val="uk-UA"/>
        </w:rPr>
        <w:t xml:space="preserve">Таким чином, виявляємість плазмід-індукованих механізмів резистентності достовірно вище у пацієнтів із артеріальною гіпертензією (51% </w:t>
      </w:r>
      <w:r w:rsidRPr="009144E7">
        <w:rPr>
          <w:rFonts w:cstheme="minorHAnsi"/>
          <w:sz w:val="28"/>
          <w:szCs w:val="28"/>
          <w:lang w:val="en-US"/>
        </w:rPr>
        <w:t>vs</w:t>
      </w:r>
      <w:r w:rsidRPr="009144E7">
        <w:rPr>
          <w:rFonts w:cstheme="minorHAnsi"/>
          <w:sz w:val="28"/>
          <w:szCs w:val="28"/>
          <w:lang w:val="uk-UA"/>
        </w:rPr>
        <w:t xml:space="preserve"> 24%, р≤0,05). Проте, у хворих, що страждають ХП і ЦД 2 типу, питома вага генів стійкості була високою як у пацієнтів із АГ, так і без останньої (46% та 75% відповідно).   </w:t>
      </w:r>
    </w:p>
    <w:p w:rsidR="009144E7" w:rsidRPr="009144E7" w:rsidRDefault="009144E7" w:rsidP="009144E7">
      <w:pPr>
        <w:spacing w:line="360" w:lineRule="auto"/>
        <w:ind w:firstLine="709"/>
        <w:jc w:val="both"/>
        <w:rPr>
          <w:sz w:val="28"/>
          <w:szCs w:val="28"/>
          <w:lang w:val="uk-UA"/>
        </w:rPr>
      </w:pPr>
      <w:r w:rsidRPr="009144E7">
        <w:rPr>
          <w:rFonts w:cstheme="minorHAnsi"/>
          <w:sz w:val="28"/>
          <w:szCs w:val="28"/>
          <w:lang w:val="uk-UA"/>
        </w:rPr>
        <w:lastRenderedPageBreak/>
        <w:t xml:space="preserve">Отже, у пацієнтів, що страждають ХП і ЦД 2 типу на тлі ХХН ІІІ та ІV стадій; або із супутніми: </w:t>
      </w:r>
      <w:r w:rsidRPr="009144E7">
        <w:rPr>
          <w:sz w:val="28"/>
          <w:szCs w:val="28"/>
          <w:lang w:val="uk-UA"/>
        </w:rPr>
        <w:t>обструкцією сечовивідних шляхів;</w:t>
      </w:r>
      <w:r w:rsidRPr="009144E7">
        <w:rPr>
          <w:rFonts w:cstheme="minorHAnsi"/>
          <w:sz w:val="28"/>
          <w:szCs w:val="28"/>
          <w:lang w:val="uk-UA"/>
        </w:rPr>
        <w:t xml:space="preserve"> </w:t>
      </w:r>
      <w:r w:rsidRPr="009144E7">
        <w:rPr>
          <w:sz w:val="28"/>
          <w:szCs w:val="28"/>
          <w:lang w:val="uk-UA"/>
        </w:rPr>
        <w:t xml:space="preserve">артеріальною гіпертензією; наявністю епізодів перенесеного простатиту або циститу, можливість колонізації сечової системи бактеріями з плазмідними генами резистентності достовірно вище. Тому, в план обстеження таких пацієнтів доцільно включати дослідження експресії плазмід-індукованих механізмів резистентності з метою раціонального підбору АБП.      </w:t>
      </w:r>
    </w:p>
    <w:p w:rsidR="009144E7" w:rsidRPr="009144E7" w:rsidRDefault="009144E7" w:rsidP="009144E7">
      <w:pPr>
        <w:spacing w:after="0" w:line="360" w:lineRule="auto"/>
        <w:ind w:firstLine="709"/>
        <w:jc w:val="both"/>
        <w:rPr>
          <w:b/>
          <w:sz w:val="28"/>
          <w:szCs w:val="28"/>
          <w:lang w:val="uk-UA"/>
        </w:rPr>
      </w:pPr>
      <w:r w:rsidRPr="009144E7">
        <w:rPr>
          <w:b/>
          <w:sz w:val="28"/>
          <w:szCs w:val="28"/>
          <w:lang w:val="uk-UA"/>
        </w:rPr>
        <w:t>3.2.7 Фактори, що можуть бути пов’язані з наявністю плазмід-індукованих механізмів резистентності у хворих на ХП і ЦД 2 типу.</w:t>
      </w:r>
    </w:p>
    <w:p w:rsidR="009144E7" w:rsidRPr="009144E7" w:rsidRDefault="009144E7" w:rsidP="009144E7">
      <w:pPr>
        <w:spacing w:line="360" w:lineRule="auto"/>
        <w:ind w:firstLine="709"/>
        <w:jc w:val="both"/>
        <w:rPr>
          <w:rFonts w:cstheme="minorHAnsi"/>
          <w:color w:val="000000" w:themeColor="text1"/>
          <w:sz w:val="28"/>
          <w:szCs w:val="28"/>
          <w:lang w:val="uk-UA"/>
        </w:rPr>
      </w:pPr>
      <w:r w:rsidRPr="009144E7">
        <w:rPr>
          <w:sz w:val="28"/>
          <w:szCs w:val="28"/>
          <w:lang w:val="uk-UA"/>
        </w:rPr>
        <w:t xml:space="preserve">З метою підвищення ефективності антибактеріальної терапії та запобігання поширення мульти-резистентності серед уропатогенів, по всьому світі проводиться пошук факторів, що можуть сприяти колонізації сечового тракту бактеріями з плазмідними генами стійкості. Ми проаналізували взаємозв’язки між наявністю генів резистентності у хворих на ХП і ЦД 2 типу та статтю, віком, </w:t>
      </w:r>
      <w:r w:rsidRPr="009144E7">
        <w:rPr>
          <w:rFonts w:cstheme="minorHAnsi"/>
          <w:color w:val="000000" w:themeColor="text1"/>
          <w:sz w:val="28"/>
          <w:szCs w:val="28"/>
          <w:lang w:val="uk-UA"/>
        </w:rPr>
        <w:t>тривалістю хронічного пієлонефриту, факту стаціонарного лікування протягом року та прийомом антибіотиків з різних причин.</w:t>
      </w:r>
    </w:p>
    <w:p w:rsidR="009144E7" w:rsidRPr="009144E7" w:rsidRDefault="009144E7" w:rsidP="009144E7">
      <w:pPr>
        <w:spacing w:line="360" w:lineRule="auto"/>
        <w:ind w:firstLine="709"/>
        <w:jc w:val="both"/>
        <w:rPr>
          <w:rFonts w:cstheme="minorHAnsi"/>
          <w:b/>
          <w:color w:val="000000" w:themeColor="text1"/>
          <w:sz w:val="28"/>
          <w:szCs w:val="28"/>
          <w:lang w:val="uk-UA"/>
        </w:rPr>
      </w:pPr>
      <w:r w:rsidRPr="009144E7">
        <w:rPr>
          <w:rFonts w:cstheme="minorHAnsi"/>
          <w:b/>
          <w:color w:val="000000" w:themeColor="text1"/>
          <w:sz w:val="28"/>
          <w:szCs w:val="28"/>
          <w:lang w:val="uk-UA"/>
        </w:rPr>
        <w:t>3.2.7.1 Виявлення плазмід-індукованих механізмів резистентності в залежності від статі.</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 xml:space="preserve">Частота виявлення плазмід-індукованих механізмів резистентності серед чоловіків склала 35,7%, переважно за рахунок генів стійкості до фторхінолонів, серед жінок виявляємість склала 42,9%, переважали </w:t>
      </w:r>
      <w:r w:rsidRPr="009144E7">
        <w:rPr>
          <w:rFonts w:cstheme="minorHAnsi"/>
          <w:sz w:val="28"/>
          <w:szCs w:val="28"/>
          <w:lang w:val="uk-UA"/>
        </w:rPr>
        <w:t>β</w:t>
      </w:r>
      <w:r w:rsidRPr="009144E7">
        <w:rPr>
          <w:sz w:val="28"/>
          <w:szCs w:val="28"/>
          <w:lang w:val="uk-UA"/>
        </w:rPr>
        <w:t>ЛРС. Поширення генів резистентності по групах представлено на малюнку 3.18</w:t>
      </w:r>
    </w:p>
    <w:p w:rsidR="009144E7" w:rsidRPr="009144E7" w:rsidRDefault="009144E7" w:rsidP="009144E7">
      <w:pPr>
        <w:spacing w:after="0" w:line="360" w:lineRule="auto"/>
        <w:ind w:firstLine="709"/>
        <w:jc w:val="right"/>
        <w:rPr>
          <w:sz w:val="28"/>
          <w:szCs w:val="28"/>
          <w:lang w:val="uk-UA"/>
        </w:rPr>
      </w:pPr>
      <w:r w:rsidRPr="009144E7">
        <w:rPr>
          <w:noProof/>
          <w:sz w:val="28"/>
          <w:szCs w:val="28"/>
          <w:lang w:eastAsia="ru-RU"/>
        </w:rPr>
        <w:lastRenderedPageBreak/>
        <w:drawing>
          <wp:inline distT="0" distB="0" distL="0" distR="0" wp14:anchorId="57984961" wp14:editId="0843FF29">
            <wp:extent cx="5486400" cy="2202287"/>
            <wp:effectExtent l="0" t="0" r="19050" b="2667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3.18 Виявлення плазмідних генів резистентності в залежності від статі.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При аналізі виявляємості плазмідних генів резистентності у хворих на ХП з і без супутнього ЦД 2 типу, питома вага генів резистентності серед жінок в </w:t>
      </w:r>
      <w:r w:rsidRPr="009144E7">
        <w:rPr>
          <w:rFonts w:cstheme="minorHAnsi"/>
          <w:sz w:val="28"/>
          <w:szCs w:val="28"/>
          <w:lang w:val="uk-UA"/>
        </w:rPr>
        <w:t>І</w:t>
      </w:r>
      <w:r w:rsidRPr="009144E7">
        <w:rPr>
          <w:sz w:val="28"/>
          <w:szCs w:val="28"/>
          <w:lang w:val="uk-UA"/>
        </w:rPr>
        <w:t xml:space="preserve"> групі склала 55,6%, в </w:t>
      </w:r>
      <w:r w:rsidRPr="009144E7">
        <w:rPr>
          <w:rFonts w:cstheme="minorHAnsi"/>
          <w:sz w:val="28"/>
          <w:szCs w:val="28"/>
          <w:lang w:val="uk-UA"/>
        </w:rPr>
        <w:t>ІІ</w:t>
      </w:r>
      <w:r w:rsidRPr="009144E7">
        <w:rPr>
          <w:sz w:val="28"/>
          <w:szCs w:val="28"/>
          <w:lang w:val="uk-UA"/>
        </w:rPr>
        <w:t xml:space="preserve"> групі – 35,9%; серед чоловіків – </w:t>
      </w:r>
      <w:r w:rsidRPr="009144E7">
        <w:rPr>
          <w:rFonts w:cstheme="minorHAnsi"/>
          <w:sz w:val="28"/>
          <w:szCs w:val="28"/>
          <w:lang w:val="uk-UA"/>
        </w:rPr>
        <w:t>І</w:t>
      </w:r>
      <w:r w:rsidRPr="009144E7">
        <w:rPr>
          <w:sz w:val="28"/>
          <w:szCs w:val="28"/>
          <w:lang w:val="uk-UA"/>
        </w:rPr>
        <w:t xml:space="preserve"> групі генів не виділено,  в </w:t>
      </w:r>
      <w:r w:rsidRPr="009144E7">
        <w:rPr>
          <w:rFonts w:cstheme="minorHAnsi"/>
          <w:sz w:val="28"/>
          <w:szCs w:val="28"/>
          <w:lang w:val="uk-UA"/>
        </w:rPr>
        <w:t>ІІ</w:t>
      </w:r>
      <w:r w:rsidRPr="009144E7">
        <w:rPr>
          <w:sz w:val="28"/>
          <w:szCs w:val="28"/>
          <w:lang w:val="uk-UA"/>
        </w:rPr>
        <w:t xml:space="preserve"> групі – виявлення склало 55,6% (малюнок 3.19).</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1827F0AE" wp14:editId="4F48FEB4">
            <wp:extent cx="5486400" cy="2228045"/>
            <wp:effectExtent l="0" t="0" r="19050" b="2032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3.19</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статі.</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По типам виявлених плазмідних механізмів резистентності, серед чоловіків домінували гени стійкості до фторхінолонів, серед жінок – </w:t>
      </w:r>
      <w:r w:rsidRPr="009144E7">
        <w:rPr>
          <w:rFonts w:cstheme="minorHAnsi"/>
          <w:sz w:val="28"/>
          <w:szCs w:val="28"/>
          <w:lang w:val="uk-UA"/>
        </w:rPr>
        <w:t>β</w:t>
      </w:r>
      <w:r w:rsidRPr="009144E7">
        <w:rPr>
          <w:sz w:val="28"/>
          <w:szCs w:val="28"/>
          <w:lang w:val="uk-UA"/>
        </w:rPr>
        <w:t>-лактамази розширеного спектру дії (таблиця 3.9).</w:t>
      </w:r>
    </w:p>
    <w:p w:rsidR="009144E7" w:rsidRPr="009144E7" w:rsidRDefault="009144E7" w:rsidP="009144E7">
      <w:pPr>
        <w:spacing w:after="0" w:line="360" w:lineRule="auto"/>
        <w:ind w:firstLine="709"/>
        <w:jc w:val="right"/>
        <w:rPr>
          <w:sz w:val="28"/>
          <w:szCs w:val="28"/>
          <w:lang w:val="uk-UA"/>
        </w:rPr>
      </w:pPr>
      <w:r w:rsidRPr="009144E7">
        <w:rPr>
          <w:sz w:val="28"/>
          <w:szCs w:val="28"/>
          <w:lang w:val="uk-UA"/>
        </w:rPr>
        <w:t>Таблиця 3.9</w:t>
      </w:r>
    </w:p>
    <w:p w:rsidR="009144E7" w:rsidRPr="009144E7" w:rsidRDefault="009144E7" w:rsidP="009144E7">
      <w:pPr>
        <w:spacing w:after="0" w:line="360" w:lineRule="auto"/>
        <w:ind w:firstLine="709"/>
        <w:jc w:val="center"/>
        <w:rPr>
          <w:sz w:val="28"/>
          <w:szCs w:val="28"/>
          <w:lang w:val="uk-UA"/>
        </w:rPr>
      </w:pPr>
      <w:r w:rsidRPr="009144E7">
        <w:rPr>
          <w:rFonts w:cstheme="minorHAnsi"/>
          <w:b/>
          <w:sz w:val="28"/>
          <w:szCs w:val="28"/>
          <w:lang w:val="uk-UA"/>
        </w:rPr>
        <w:t>Типи виявлених генів в залежності від статі</w:t>
      </w:r>
    </w:p>
    <w:tbl>
      <w:tblPr>
        <w:tblStyle w:val="ae"/>
        <w:tblW w:w="0" w:type="auto"/>
        <w:tblLook w:val="00A0" w:firstRow="1" w:lastRow="0" w:firstColumn="1" w:lastColumn="0" w:noHBand="0" w:noVBand="0"/>
      </w:tblPr>
      <w:tblGrid>
        <w:gridCol w:w="2106"/>
        <w:gridCol w:w="1866"/>
        <w:gridCol w:w="1866"/>
        <w:gridCol w:w="1866"/>
        <w:gridCol w:w="1866"/>
      </w:tblGrid>
      <w:tr w:rsidR="009144E7" w:rsidRPr="009144E7" w:rsidTr="009144E7">
        <w:tc>
          <w:tcPr>
            <w:tcW w:w="2106" w:type="dxa"/>
            <w:vMerge w:val="restart"/>
            <w:tcBorders>
              <w:right w:val="single" w:sz="4" w:space="0" w:color="auto"/>
            </w:tcBorders>
            <w:vAlign w:val="center"/>
          </w:tcPr>
          <w:p w:rsidR="009144E7" w:rsidRPr="009144E7" w:rsidRDefault="009144E7" w:rsidP="009144E7">
            <w:pPr>
              <w:spacing w:line="360" w:lineRule="auto"/>
              <w:rPr>
                <w:sz w:val="28"/>
                <w:szCs w:val="28"/>
                <w:lang w:val="uk-UA"/>
              </w:rPr>
            </w:pPr>
            <w:r w:rsidRPr="009144E7">
              <w:rPr>
                <w:sz w:val="28"/>
                <w:szCs w:val="28"/>
                <w:lang w:val="uk-UA"/>
              </w:rPr>
              <w:t>Гени</w:t>
            </w:r>
          </w:p>
        </w:tc>
        <w:tc>
          <w:tcPr>
            <w:tcW w:w="3732" w:type="dxa"/>
            <w:gridSpan w:val="2"/>
            <w:tcBorders>
              <w:top w:val="single" w:sz="4" w:space="0" w:color="auto"/>
              <w:left w:val="single" w:sz="4" w:space="0" w:color="auto"/>
              <w:bottom w:val="single" w:sz="4" w:space="0" w:color="auto"/>
              <w:right w:val="single" w:sz="4" w:space="0" w:color="auto"/>
            </w:tcBorders>
          </w:tcPr>
          <w:p w:rsidR="009144E7" w:rsidRPr="009144E7" w:rsidRDefault="009144E7" w:rsidP="009144E7">
            <w:pPr>
              <w:spacing w:line="360" w:lineRule="auto"/>
              <w:jc w:val="center"/>
              <w:rPr>
                <w:sz w:val="28"/>
                <w:szCs w:val="28"/>
                <w:lang w:val="uk-UA"/>
              </w:rPr>
            </w:pPr>
            <w:r w:rsidRPr="009144E7">
              <w:rPr>
                <w:rFonts w:cstheme="minorHAnsi"/>
                <w:sz w:val="28"/>
                <w:szCs w:val="28"/>
                <w:lang w:val="uk-UA"/>
              </w:rPr>
              <w:t>І</w:t>
            </w:r>
            <w:r w:rsidRPr="009144E7">
              <w:rPr>
                <w:sz w:val="28"/>
                <w:szCs w:val="28"/>
                <w:lang w:val="uk-UA"/>
              </w:rPr>
              <w:t xml:space="preserve"> група</w:t>
            </w:r>
          </w:p>
        </w:tc>
        <w:tc>
          <w:tcPr>
            <w:tcW w:w="3732" w:type="dxa"/>
            <w:gridSpan w:val="2"/>
            <w:tcBorders>
              <w:top w:val="single" w:sz="4" w:space="0" w:color="auto"/>
              <w:left w:val="single" w:sz="4" w:space="0" w:color="auto"/>
              <w:bottom w:val="single" w:sz="4" w:space="0" w:color="auto"/>
              <w:right w:val="single" w:sz="4" w:space="0" w:color="auto"/>
            </w:tcBorders>
          </w:tcPr>
          <w:p w:rsidR="009144E7" w:rsidRPr="009144E7" w:rsidRDefault="009144E7" w:rsidP="009144E7">
            <w:pPr>
              <w:spacing w:line="360" w:lineRule="auto"/>
              <w:jc w:val="center"/>
              <w:rPr>
                <w:sz w:val="28"/>
                <w:szCs w:val="28"/>
                <w:lang w:val="uk-UA"/>
              </w:rPr>
            </w:pPr>
            <w:r w:rsidRPr="009144E7">
              <w:rPr>
                <w:rFonts w:cstheme="minorHAnsi"/>
                <w:sz w:val="28"/>
                <w:szCs w:val="28"/>
                <w:lang w:val="uk-UA"/>
              </w:rPr>
              <w:t>І</w:t>
            </w:r>
            <w:r w:rsidRPr="009144E7">
              <w:rPr>
                <w:rFonts w:asciiTheme="minorBidi" w:hAnsiTheme="minorBidi"/>
                <w:sz w:val="28"/>
                <w:szCs w:val="28"/>
                <w:lang w:val="uk-UA"/>
              </w:rPr>
              <w:t>І</w:t>
            </w:r>
            <w:r w:rsidRPr="009144E7">
              <w:rPr>
                <w:sz w:val="28"/>
                <w:szCs w:val="28"/>
                <w:lang w:val="uk-UA"/>
              </w:rPr>
              <w:t xml:space="preserve"> група</w:t>
            </w:r>
          </w:p>
        </w:tc>
      </w:tr>
      <w:tr w:rsidR="009144E7" w:rsidRPr="009144E7" w:rsidTr="009144E7">
        <w:tc>
          <w:tcPr>
            <w:tcW w:w="2106" w:type="dxa"/>
            <w:vMerge/>
            <w:tcBorders>
              <w:right w:val="single" w:sz="4" w:space="0" w:color="auto"/>
            </w:tcBorders>
          </w:tcPr>
          <w:p w:rsidR="009144E7" w:rsidRPr="009144E7" w:rsidRDefault="009144E7" w:rsidP="009144E7">
            <w:pPr>
              <w:spacing w:line="360" w:lineRule="auto"/>
              <w:jc w:val="both"/>
              <w:rPr>
                <w:sz w:val="28"/>
                <w:szCs w:val="28"/>
                <w:lang w:val="uk-UA"/>
              </w:rPr>
            </w:pPr>
          </w:p>
        </w:tc>
        <w:tc>
          <w:tcPr>
            <w:tcW w:w="1866" w:type="dxa"/>
            <w:tcBorders>
              <w:top w:val="single" w:sz="4" w:space="0" w:color="auto"/>
              <w:left w:val="single" w:sz="4"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 xml:space="preserve">Чоловіки </w:t>
            </w:r>
            <w:r w:rsidRPr="009144E7">
              <w:rPr>
                <w:sz w:val="28"/>
                <w:szCs w:val="28"/>
                <w:lang w:val="uk-UA"/>
              </w:rPr>
              <w:lastRenderedPageBreak/>
              <w:t>(</w:t>
            </w:r>
            <w:r w:rsidRPr="009144E7">
              <w:rPr>
                <w:sz w:val="28"/>
                <w:szCs w:val="28"/>
                <w:lang w:val="en-US"/>
              </w:rPr>
              <w:t>n</w:t>
            </w:r>
            <w:r w:rsidRPr="009144E7">
              <w:rPr>
                <w:sz w:val="28"/>
                <w:szCs w:val="28"/>
                <w:lang w:val="uk-UA"/>
              </w:rPr>
              <w:t>=9)</w:t>
            </w:r>
          </w:p>
        </w:tc>
        <w:tc>
          <w:tcPr>
            <w:tcW w:w="1866" w:type="dxa"/>
            <w:tcBorders>
              <w:top w:val="single" w:sz="4"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lastRenderedPageBreak/>
              <w:t xml:space="preserve">Жінки </w:t>
            </w:r>
          </w:p>
          <w:p w:rsidR="009144E7" w:rsidRPr="009144E7" w:rsidRDefault="009144E7" w:rsidP="009144E7">
            <w:pPr>
              <w:spacing w:line="360" w:lineRule="auto"/>
              <w:jc w:val="center"/>
              <w:rPr>
                <w:sz w:val="28"/>
                <w:szCs w:val="28"/>
                <w:lang w:val="uk-UA"/>
              </w:rPr>
            </w:pPr>
            <w:r w:rsidRPr="009144E7">
              <w:rPr>
                <w:sz w:val="28"/>
                <w:szCs w:val="28"/>
                <w:lang w:val="uk-UA"/>
              </w:rPr>
              <w:lastRenderedPageBreak/>
              <w:t>(</w:t>
            </w:r>
            <w:r w:rsidRPr="009144E7">
              <w:rPr>
                <w:sz w:val="28"/>
                <w:szCs w:val="28"/>
                <w:lang w:val="en-US"/>
              </w:rPr>
              <w:t>n</w:t>
            </w:r>
            <w:r w:rsidRPr="009144E7">
              <w:rPr>
                <w:sz w:val="28"/>
                <w:szCs w:val="28"/>
                <w:lang w:val="uk-UA"/>
              </w:rPr>
              <w:t>=64)</w:t>
            </w:r>
          </w:p>
        </w:tc>
        <w:tc>
          <w:tcPr>
            <w:tcW w:w="1866" w:type="dxa"/>
            <w:tcBorders>
              <w:top w:val="single" w:sz="4"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lastRenderedPageBreak/>
              <w:t xml:space="preserve">Чоловіки </w:t>
            </w:r>
            <w:r w:rsidRPr="009144E7">
              <w:rPr>
                <w:sz w:val="28"/>
                <w:szCs w:val="28"/>
                <w:lang w:val="uk-UA"/>
              </w:rPr>
              <w:lastRenderedPageBreak/>
              <w:t>(</w:t>
            </w:r>
            <w:r w:rsidRPr="009144E7">
              <w:rPr>
                <w:sz w:val="28"/>
                <w:szCs w:val="28"/>
                <w:lang w:val="en-US"/>
              </w:rPr>
              <w:t>n</w:t>
            </w:r>
            <w:r w:rsidRPr="009144E7">
              <w:rPr>
                <w:sz w:val="28"/>
                <w:szCs w:val="28"/>
                <w:lang w:val="uk-UA"/>
              </w:rPr>
              <w:t>=5)</w:t>
            </w:r>
          </w:p>
        </w:tc>
        <w:tc>
          <w:tcPr>
            <w:tcW w:w="1866" w:type="dxa"/>
            <w:tcBorders>
              <w:top w:val="single" w:sz="4"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lastRenderedPageBreak/>
              <w:t xml:space="preserve">Жінки </w:t>
            </w:r>
          </w:p>
          <w:p w:rsidR="009144E7" w:rsidRPr="009144E7" w:rsidRDefault="009144E7" w:rsidP="009144E7">
            <w:pPr>
              <w:spacing w:line="360" w:lineRule="auto"/>
              <w:jc w:val="center"/>
              <w:rPr>
                <w:sz w:val="28"/>
                <w:szCs w:val="28"/>
                <w:lang w:val="uk-UA"/>
              </w:rPr>
            </w:pPr>
            <w:r w:rsidRPr="009144E7">
              <w:rPr>
                <w:sz w:val="28"/>
                <w:szCs w:val="28"/>
                <w:lang w:val="uk-UA"/>
              </w:rPr>
              <w:lastRenderedPageBreak/>
              <w:t>(</w:t>
            </w:r>
            <w:r w:rsidRPr="009144E7">
              <w:rPr>
                <w:sz w:val="28"/>
                <w:szCs w:val="28"/>
                <w:lang w:val="en-US"/>
              </w:rPr>
              <w:t>n</w:t>
            </w:r>
            <w:r w:rsidRPr="009144E7">
              <w:rPr>
                <w:sz w:val="28"/>
                <w:szCs w:val="28"/>
                <w:lang w:val="uk-UA"/>
              </w:rPr>
              <w:t>=27)</w:t>
            </w:r>
          </w:p>
        </w:tc>
      </w:tr>
      <w:tr w:rsidR="009144E7" w:rsidRPr="009144E7" w:rsidTr="009144E7">
        <w:tc>
          <w:tcPr>
            <w:tcW w:w="2106" w:type="dxa"/>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lastRenderedPageBreak/>
              <w:t>blaCTX</w:t>
            </w:r>
            <w:r w:rsidRPr="009144E7">
              <w:rPr>
                <w:rFonts w:cstheme="minorHAnsi"/>
                <w:color w:val="000000" w:themeColor="text1"/>
                <w:sz w:val="28"/>
                <w:szCs w:val="28"/>
                <w:lang w:val="uk-UA"/>
              </w:rPr>
              <w:t>-</w:t>
            </w:r>
            <w:r w:rsidRPr="009144E7">
              <w:rPr>
                <w:rFonts w:cstheme="minorHAnsi"/>
                <w:color w:val="000000" w:themeColor="text1"/>
                <w:sz w:val="28"/>
                <w:szCs w:val="28"/>
                <w:lang w:val="en-US"/>
              </w:rPr>
              <w:t>M</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2 (22,2%)</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5 (7,8%)</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4 (14,8%)</w:t>
            </w:r>
          </w:p>
        </w:tc>
      </w:tr>
      <w:tr w:rsidR="009144E7" w:rsidRPr="009144E7" w:rsidTr="009144E7">
        <w:tc>
          <w:tcPr>
            <w:tcW w:w="2106" w:type="dxa"/>
            <w:tcBorders>
              <w:bottom w:val="single" w:sz="4" w:space="0" w:color="auto"/>
            </w:tcBorders>
          </w:tcPr>
          <w:p w:rsidR="009144E7" w:rsidRPr="009144E7" w:rsidRDefault="009144E7" w:rsidP="009144E7">
            <w:pPr>
              <w:spacing w:line="360" w:lineRule="auto"/>
              <w:jc w:val="both"/>
              <w:rPr>
                <w:sz w:val="28"/>
                <w:szCs w:val="28"/>
                <w:lang w:val="uk-UA"/>
              </w:rPr>
            </w:pPr>
            <w:r w:rsidRPr="009144E7">
              <w:rPr>
                <w:rFonts w:cstheme="minorHAnsi"/>
                <w:color w:val="000000" w:themeColor="text1"/>
                <w:sz w:val="28"/>
                <w:szCs w:val="28"/>
                <w:lang w:val="en-US"/>
              </w:rPr>
              <w:t>blaTEM</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7 (10,9%)</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4 (14,8%)</w:t>
            </w:r>
          </w:p>
        </w:tc>
      </w:tr>
      <w:tr w:rsidR="009144E7" w:rsidRPr="009144E7" w:rsidTr="009144E7">
        <w:tc>
          <w:tcPr>
            <w:tcW w:w="2106" w:type="dxa"/>
            <w:tcBorders>
              <w:bottom w:val="double" w:sz="6" w:space="0" w:color="auto"/>
            </w:tcBorders>
          </w:tcPr>
          <w:p w:rsidR="009144E7" w:rsidRPr="009144E7" w:rsidRDefault="009144E7" w:rsidP="009144E7">
            <w:pPr>
              <w:spacing w:line="360" w:lineRule="auto"/>
              <w:jc w:val="both"/>
              <w:rPr>
                <w:rFonts w:cstheme="minorHAnsi"/>
                <w:color w:val="000000" w:themeColor="text1"/>
                <w:sz w:val="28"/>
                <w:szCs w:val="28"/>
                <w:lang w:val="uk-UA"/>
              </w:rPr>
            </w:pPr>
            <w:r w:rsidRPr="009144E7">
              <w:rPr>
                <w:rFonts w:cstheme="minorHAnsi"/>
                <w:color w:val="000000" w:themeColor="text1"/>
                <w:sz w:val="28"/>
                <w:szCs w:val="28"/>
                <w:lang w:val="en-US"/>
              </w:rPr>
              <w:t>blaSHV</w:t>
            </w:r>
          </w:p>
        </w:tc>
        <w:tc>
          <w:tcPr>
            <w:tcW w:w="1866" w:type="dxa"/>
            <w:tcBorders>
              <w:bottom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Borders>
              <w:bottom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6 (9,4%)</w:t>
            </w:r>
          </w:p>
        </w:tc>
        <w:tc>
          <w:tcPr>
            <w:tcW w:w="1866" w:type="dxa"/>
            <w:tcBorders>
              <w:bottom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Borders>
              <w:bottom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2 (7,4%)</w:t>
            </w:r>
          </w:p>
        </w:tc>
      </w:tr>
      <w:tr w:rsidR="009144E7" w:rsidRPr="009144E7" w:rsidTr="009144E7">
        <w:tc>
          <w:tcPr>
            <w:tcW w:w="2106" w:type="dxa"/>
            <w:tcBorders>
              <w:top w:val="double" w:sz="6" w:space="0" w:color="auto"/>
            </w:tcBorders>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QnrА</w:t>
            </w:r>
          </w:p>
        </w:tc>
        <w:tc>
          <w:tcPr>
            <w:tcW w:w="1866" w:type="dxa"/>
            <w:tcBorders>
              <w:top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2 (22,2%)</w:t>
            </w:r>
          </w:p>
        </w:tc>
        <w:tc>
          <w:tcPr>
            <w:tcW w:w="1866" w:type="dxa"/>
            <w:tcBorders>
              <w:top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2 (3,1%)</w:t>
            </w:r>
          </w:p>
        </w:tc>
        <w:tc>
          <w:tcPr>
            <w:tcW w:w="1866" w:type="dxa"/>
            <w:tcBorders>
              <w:top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Borders>
              <w:top w:val="double" w:sz="6" w:space="0" w:color="auto"/>
            </w:tcBorders>
          </w:tcPr>
          <w:p w:rsidR="009144E7" w:rsidRPr="009144E7" w:rsidRDefault="009144E7" w:rsidP="009144E7">
            <w:pPr>
              <w:spacing w:line="360" w:lineRule="auto"/>
              <w:jc w:val="center"/>
              <w:rPr>
                <w:sz w:val="28"/>
                <w:szCs w:val="28"/>
                <w:lang w:val="uk-UA"/>
              </w:rPr>
            </w:pPr>
            <w:r w:rsidRPr="009144E7">
              <w:rPr>
                <w:sz w:val="28"/>
                <w:szCs w:val="28"/>
                <w:lang w:val="uk-UA"/>
              </w:rPr>
              <w:t>0 (0,0%)</w:t>
            </w:r>
          </w:p>
        </w:tc>
      </w:tr>
      <w:tr w:rsidR="009144E7" w:rsidRPr="009144E7" w:rsidTr="009144E7">
        <w:tc>
          <w:tcPr>
            <w:tcW w:w="2106"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QepA</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1 (11,1%)</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2 (3,1%)</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3 (11,1%)</w:t>
            </w:r>
          </w:p>
        </w:tc>
      </w:tr>
      <w:tr w:rsidR="009144E7" w:rsidRPr="009144E7" w:rsidTr="009144E7">
        <w:tc>
          <w:tcPr>
            <w:tcW w:w="2106" w:type="dxa"/>
          </w:tcPr>
          <w:p w:rsidR="009144E7" w:rsidRPr="009144E7" w:rsidRDefault="009144E7" w:rsidP="009144E7">
            <w:pPr>
              <w:spacing w:line="360" w:lineRule="auto"/>
              <w:jc w:val="both"/>
              <w:rPr>
                <w:sz w:val="28"/>
                <w:szCs w:val="28"/>
                <w:lang w:val="uk-UA"/>
              </w:rPr>
            </w:pPr>
            <w:r w:rsidRPr="009144E7">
              <w:rPr>
                <w:rFonts w:cstheme="minorHAnsi"/>
                <w:sz w:val="28"/>
                <w:szCs w:val="28"/>
                <w:lang w:val="uk-UA"/>
              </w:rPr>
              <w:t>AAC(6 ')-Ib-cr</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1 (1,6%)</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0 (0,0%)</w:t>
            </w:r>
          </w:p>
        </w:tc>
        <w:tc>
          <w:tcPr>
            <w:tcW w:w="1866" w:type="dxa"/>
          </w:tcPr>
          <w:p w:rsidR="009144E7" w:rsidRPr="009144E7" w:rsidRDefault="009144E7" w:rsidP="009144E7">
            <w:pPr>
              <w:spacing w:line="360" w:lineRule="auto"/>
              <w:jc w:val="center"/>
              <w:rPr>
                <w:sz w:val="28"/>
                <w:szCs w:val="28"/>
                <w:lang w:val="uk-UA"/>
              </w:rPr>
            </w:pPr>
            <w:r w:rsidRPr="009144E7">
              <w:rPr>
                <w:sz w:val="28"/>
                <w:szCs w:val="28"/>
                <w:lang w:val="uk-UA"/>
              </w:rPr>
              <w:t>2 (7,4%)</w:t>
            </w:r>
          </w:p>
        </w:tc>
      </w:tr>
    </w:tbl>
    <w:p w:rsidR="009144E7" w:rsidRPr="009144E7" w:rsidRDefault="009144E7" w:rsidP="009144E7">
      <w:pPr>
        <w:spacing w:before="240" w:line="360" w:lineRule="auto"/>
        <w:ind w:firstLine="709"/>
        <w:jc w:val="both"/>
        <w:rPr>
          <w:sz w:val="28"/>
          <w:szCs w:val="28"/>
          <w:lang w:val="uk-UA"/>
        </w:rPr>
      </w:pPr>
      <w:r w:rsidRPr="009144E7">
        <w:rPr>
          <w:sz w:val="28"/>
          <w:szCs w:val="28"/>
          <w:lang w:val="uk-UA"/>
        </w:rPr>
        <w:t xml:space="preserve">Отже, у пацієнтів, що страждають ХП і ЦД 2 типу, виявляємість плазмід-індукованих механізмів резистентності вище серед жінок (56% </w:t>
      </w:r>
      <w:r w:rsidRPr="009144E7">
        <w:rPr>
          <w:sz w:val="28"/>
          <w:szCs w:val="28"/>
          <w:lang w:val="en-US"/>
        </w:rPr>
        <w:t>vs</w:t>
      </w:r>
      <w:r w:rsidRPr="009144E7">
        <w:rPr>
          <w:sz w:val="28"/>
          <w:szCs w:val="28"/>
          <w:lang w:val="uk-UA"/>
        </w:rPr>
        <w:t xml:space="preserve"> 0%), проте у хворих без ЦД 2 типу, виявляємість генів вище серед чоловіків (56% </w:t>
      </w:r>
      <w:r w:rsidRPr="009144E7">
        <w:rPr>
          <w:sz w:val="28"/>
          <w:szCs w:val="28"/>
          <w:lang w:val="en-US"/>
        </w:rPr>
        <w:t>vs</w:t>
      </w:r>
      <w:r w:rsidRPr="009144E7">
        <w:rPr>
          <w:sz w:val="28"/>
          <w:szCs w:val="28"/>
          <w:lang w:val="uk-UA"/>
        </w:rPr>
        <w:t xml:space="preserve"> 36%</w:t>
      </w:r>
      <w:r w:rsidRPr="009144E7">
        <w:rPr>
          <w:sz w:val="28"/>
          <w:szCs w:val="28"/>
        </w:rPr>
        <w:t xml:space="preserve">, </w:t>
      </w:r>
      <w:r w:rsidRPr="009144E7">
        <w:rPr>
          <w:sz w:val="28"/>
          <w:szCs w:val="28"/>
          <w:lang w:val="uk-UA"/>
        </w:rPr>
        <w:t xml:space="preserve">р=0,04). За поширеністю, серед жінок домінують </w:t>
      </w:r>
      <w:r w:rsidRPr="009144E7">
        <w:rPr>
          <w:rFonts w:cstheme="minorHAnsi"/>
          <w:sz w:val="28"/>
          <w:szCs w:val="28"/>
          <w:lang w:val="uk-UA"/>
        </w:rPr>
        <w:t>β</w:t>
      </w:r>
      <w:r w:rsidRPr="009144E7">
        <w:rPr>
          <w:sz w:val="28"/>
          <w:szCs w:val="28"/>
          <w:lang w:val="uk-UA"/>
        </w:rPr>
        <w:t>ЛРС, серед чоловіків – гени резистентності до фторхінолонів.</w:t>
      </w:r>
    </w:p>
    <w:p w:rsidR="009144E7" w:rsidRPr="009144E7" w:rsidRDefault="009144E7" w:rsidP="009144E7">
      <w:pPr>
        <w:spacing w:before="240" w:line="360" w:lineRule="auto"/>
        <w:ind w:firstLine="709"/>
        <w:jc w:val="both"/>
        <w:rPr>
          <w:b/>
          <w:sz w:val="28"/>
          <w:szCs w:val="28"/>
          <w:lang w:val="uk-UA"/>
        </w:rPr>
      </w:pPr>
      <w:r w:rsidRPr="009144E7">
        <w:rPr>
          <w:b/>
          <w:sz w:val="28"/>
          <w:szCs w:val="28"/>
          <w:lang w:val="uk-UA"/>
        </w:rPr>
        <w:t>3.2.7.2 Виявлення плазмід-індукованих механізмів резистентності в залежності від віку.</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При розподілі хворих на дві вікові групи (до 55 років, старше 55 років), встановлено, що у віковому діапазоні старше 55 років, частота колонізації сечового тракту бактеріями з плазмідними генами достовірно вища (53% </w:t>
      </w:r>
      <w:r w:rsidRPr="009144E7">
        <w:rPr>
          <w:sz w:val="28"/>
          <w:szCs w:val="28"/>
          <w:lang w:val="en-US"/>
        </w:rPr>
        <w:t>vs</w:t>
      </w:r>
      <w:r w:rsidRPr="009144E7">
        <w:rPr>
          <w:sz w:val="28"/>
          <w:szCs w:val="28"/>
          <w:lang w:val="uk-UA"/>
        </w:rPr>
        <w:t xml:space="preserve"> 23,1%, </w:t>
      </w:r>
      <w:r w:rsidRPr="009144E7">
        <w:rPr>
          <w:rFonts w:cstheme="minorHAnsi"/>
          <w:sz w:val="28"/>
          <w:szCs w:val="28"/>
          <w:lang w:val="uk-UA"/>
        </w:rPr>
        <w:t>р&lt;0,05</w:t>
      </w:r>
      <w:r w:rsidRPr="009144E7">
        <w:rPr>
          <w:sz w:val="28"/>
          <w:szCs w:val="28"/>
          <w:lang w:val="uk-UA"/>
        </w:rPr>
        <w:t xml:space="preserve">). </w:t>
      </w:r>
      <w:r w:rsidRPr="009144E7">
        <w:rPr>
          <w:rFonts w:cstheme="minorHAnsi"/>
          <w:sz w:val="28"/>
          <w:szCs w:val="28"/>
          <w:lang w:val="uk-UA"/>
        </w:rPr>
        <w:t>Плазмід-індуковані β</w:t>
      </w:r>
      <w:r w:rsidRPr="009144E7">
        <w:rPr>
          <w:sz w:val="28"/>
          <w:szCs w:val="28"/>
          <w:lang w:val="uk-UA"/>
        </w:rPr>
        <w:t>ЛРС визначені як найбільш поширені механізми резистентності серед обох вікових когорт хворих (малюнок 3.20).</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042438AF" wp14:editId="7C9F4ECA">
            <wp:extent cx="5486400" cy="2086378"/>
            <wp:effectExtent l="0" t="0" r="19050" b="9525"/>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3.20 Виявлення плазмідних генів резистентності в залежності від віку.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lastRenderedPageBreak/>
        <w:t xml:space="preserve">У хворих на ХП з і без ЦД 2 типу, у віковому діапазоні до 55 років, виявляємість плазмід-індукованих механізмів резистентності складає: для </w:t>
      </w:r>
      <w:r w:rsidRPr="009144E7">
        <w:rPr>
          <w:rFonts w:cstheme="minorHAnsi"/>
          <w:sz w:val="28"/>
          <w:szCs w:val="28"/>
          <w:lang w:val="uk-UA"/>
        </w:rPr>
        <w:t>І</w:t>
      </w:r>
      <w:r w:rsidRPr="009144E7">
        <w:rPr>
          <w:sz w:val="28"/>
          <w:szCs w:val="28"/>
          <w:lang w:val="uk-UA"/>
        </w:rPr>
        <w:t xml:space="preserve"> групи – 27%, для </w:t>
      </w:r>
      <w:r w:rsidRPr="009144E7">
        <w:rPr>
          <w:rFonts w:cstheme="minorHAnsi"/>
          <w:sz w:val="28"/>
          <w:szCs w:val="28"/>
          <w:lang w:val="uk-UA"/>
        </w:rPr>
        <w:t>ІІ</w:t>
      </w:r>
      <w:r w:rsidRPr="009144E7">
        <w:rPr>
          <w:sz w:val="28"/>
          <w:szCs w:val="28"/>
          <w:lang w:val="uk-UA"/>
        </w:rPr>
        <w:t xml:space="preserve"> групи – 0%. Проте, у віці старше 55 років, колонізація сечового тракту бактеріями з плазмідними генами стійкості достовірно зростає в обох групах (малюнок 3.21).</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30F14748" wp14:editId="334867E1">
            <wp:extent cx="5486400" cy="2350394"/>
            <wp:effectExtent l="0" t="0" r="19050" b="1206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Мал. 3.21</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віку.</w:t>
      </w:r>
    </w:p>
    <w:p w:rsidR="009144E7" w:rsidRPr="009144E7" w:rsidRDefault="009144E7" w:rsidP="009144E7">
      <w:pPr>
        <w:spacing w:line="360" w:lineRule="auto"/>
        <w:ind w:firstLine="709"/>
        <w:jc w:val="both"/>
        <w:rPr>
          <w:sz w:val="28"/>
          <w:szCs w:val="28"/>
          <w:lang w:val="uk-UA"/>
        </w:rPr>
      </w:pPr>
      <w:r w:rsidRPr="009144E7">
        <w:rPr>
          <w:sz w:val="28"/>
          <w:szCs w:val="28"/>
          <w:lang w:val="uk-UA"/>
        </w:rPr>
        <w:t xml:space="preserve">Отже, у віковому діапазоні старше 55 років, виявлення плазмід-індукованих механізмів резистентності достовірно вище (53% </w:t>
      </w:r>
      <w:r w:rsidRPr="009144E7">
        <w:rPr>
          <w:sz w:val="28"/>
          <w:szCs w:val="28"/>
          <w:lang w:val="en-US"/>
        </w:rPr>
        <w:t>vs</w:t>
      </w:r>
      <w:r w:rsidRPr="009144E7">
        <w:rPr>
          <w:sz w:val="28"/>
          <w:szCs w:val="28"/>
          <w:lang w:val="uk-UA"/>
        </w:rPr>
        <w:t xml:space="preserve"> 23,1%, </w:t>
      </w:r>
      <w:r w:rsidRPr="009144E7">
        <w:rPr>
          <w:rFonts w:cstheme="minorHAnsi"/>
          <w:sz w:val="28"/>
          <w:szCs w:val="28"/>
          <w:lang w:val="uk-UA"/>
        </w:rPr>
        <w:t>р&lt;0,05</w:t>
      </w:r>
      <w:r w:rsidRPr="009144E7">
        <w:rPr>
          <w:sz w:val="28"/>
          <w:szCs w:val="28"/>
          <w:lang w:val="uk-UA"/>
        </w:rPr>
        <w:t xml:space="preserve">), і спостерігається у всіх групах обстежених хворих. </w:t>
      </w:r>
      <w:r w:rsidRPr="009144E7">
        <w:rPr>
          <w:rFonts w:cstheme="minorHAnsi"/>
          <w:sz w:val="28"/>
          <w:szCs w:val="28"/>
          <w:lang w:val="uk-UA"/>
        </w:rPr>
        <w:t>β</w:t>
      </w:r>
      <w:r w:rsidRPr="009144E7">
        <w:rPr>
          <w:sz w:val="28"/>
          <w:szCs w:val="28"/>
          <w:lang w:val="uk-UA"/>
        </w:rPr>
        <w:t xml:space="preserve">-лактамази розширеного спектру дії були домінуючими механізмами в обох вікових когортах хворих. </w:t>
      </w:r>
    </w:p>
    <w:p w:rsidR="009144E7" w:rsidRPr="009144E7" w:rsidRDefault="009144E7" w:rsidP="009144E7">
      <w:pPr>
        <w:spacing w:line="360" w:lineRule="auto"/>
        <w:ind w:firstLine="709"/>
        <w:jc w:val="both"/>
        <w:rPr>
          <w:b/>
          <w:sz w:val="28"/>
          <w:szCs w:val="28"/>
          <w:lang w:val="uk-UA"/>
        </w:rPr>
      </w:pPr>
      <w:r w:rsidRPr="009144E7">
        <w:rPr>
          <w:b/>
          <w:sz w:val="28"/>
          <w:szCs w:val="28"/>
          <w:lang w:val="uk-UA"/>
        </w:rPr>
        <w:t xml:space="preserve">3.2.7.3 Виявлення плазмід-індукованих механізмів резистентності в залежності від тривалості ХП. </w:t>
      </w:r>
    </w:p>
    <w:p w:rsidR="009144E7" w:rsidRPr="009144E7" w:rsidRDefault="009144E7" w:rsidP="009144E7">
      <w:pPr>
        <w:spacing w:after="0" w:line="360" w:lineRule="auto"/>
        <w:ind w:firstLine="709"/>
        <w:jc w:val="both"/>
        <w:rPr>
          <w:sz w:val="28"/>
          <w:szCs w:val="28"/>
          <w:lang w:val="uk-UA"/>
        </w:rPr>
      </w:pPr>
      <w:r w:rsidRPr="009144E7">
        <w:rPr>
          <w:rFonts w:cstheme="minorHAnsi"/>
          <w:color w:val="000000" w:themeColor="text1"/>
          <w:sz w:val="28"/>
          <w:szCs w:val="28"/>
          <w:lang w:val="uk-UA"/>
        </w:rPr>
        <w:t>При аналізі виявлення плазмід-індукованих механізмів резистентності в залежності від тривалості ХП встановлено, що у хворих з виявленими генами резистентності середня тривалість ХП склала 12,3±2,4 років, тоді як у пацієнтів без генів стійкості, середня тривалість ХП була достовірно нижче  – 8,3±1,05 років (р=0,07). Для подальшого аналізу виявляємості різних типів плазмід-індукованих механізмів резистентності в залежності від тривалості ХП, хворі були поділені на 3 групи: група А – до 5 років (</w:t>
      </w:r>
      <w:r w:rsidRPr="009144E7">
        <w:rPr>
          <w:rFonts w:cstheme="minorHAnsi"/>
          <w:color w:val="000000" w:themeColor="text1"/>
          <w:sz w:val="28"/>
          <w:szCs w:val="28"/>
          <w:lang w:val="en-US"/>
        </w:rPr>
        <w:t>n</w:t>
      </w:r>
      <w:r w:rsidRPr="009144E7">
        <w:rPr>
          <w:rFonts w:cstheme="minorHAnsi"/>
          <w:color w:val="000000" w:themeColor="text1"/>
          <w:sz w:val="28"/>
          <w:szCs w:val="28"/>
          <w:lang w:val="uk-UA"/>
        </w:rPr>
        <w:t>=54), група В – 6-</w:t>
      </w:r>
      <w:r w:rsidRPr="009144E7">
        <w:rPr>
          <w:rFonts w:cstheme="minorHAnsi"/>
          <w:color w:val="000000" w:themeColor="text1"/>
          <w:sz w:val="28"/>
          <w:szCs w:val="28"/>
          <w:lang w:val="uk-UA"/>
        </w:rPr>
        <w:lastRenderedPageBreak/>
        <w:t>10 років (</w:t>
      </w:r>
      <w:r w:rsidRPr="009144E7">
        <w:rPr>
          <w:rFonts w:cstheme="minorHAnsi"/>
          <w:color w:val="000000" w:themeColor="text1"/>
          <w:sz w:val="28"/>
          <w:szCs w:val="28"/>
          <w:lang w:val="en-US"/>
        </w:rPr>
        <w:t>n</w:t>
      </w:r>
      <w:r w:rsidRPr="009144E7">
        <w:rPr>
          <w:rFonts w:cstheme="minorHAnsi"/>
          <w:color w:val="000000" w:themeColor="text1"/>
          <w:sz w:val="28"/>
          <w:szCs w:val="28"/>
          <w:lang w:val="uk-UA"/>
        </w:rPr>
        <w:t>=21) та група С – більше 10 років (</w:t>
      </w:r>
      <w:r w:rsidRPr="009144E7">
        <w:rPr>
          <w:rFonts w:cstheme="minorHAnsi"/>
          <w:color w:val="000000" w:themeColor="text1"/>
          <w:sz w:val="28"/>
          <w:szCs w:val="28"/>
          <w:lang w:val="en-US"/>
        </w:rPr>
        <w:t>n</w:t>
      </w:r>
      <w:r w:rsidRPr="009144E7">
        <w:rPr>
          <w:rFonts w:cstheme="minorHAnsi"/>
          <w:color w:val="000000" w:themeColor="text1"/>
          <w:sz w:val="28"/>
          <w:szCs w:val="28"/>
          <w:lang w:val="uk-UA"/>
        </w:rPr>
        <w:t xml:space="preserve">=30). У хворих тривалістю ХП більше 10 років відмічено більшу частоту колонізації сечового тракту бактеріями с плазмідними генами стійкості (50%), проте достовірних відмінностей між групами виявлено не було. У пацієнтів з тривалістю ХП до 5 років виявлено більшу частоту колонізації бактеріями з плазмідними генами резистентності до фторхінолонів, а </w:t>
      </w:r>
      <w:r w:rsidRPr="009144E7">
        <w:rPr>
          <w:rFonts w:cstheme="minorHAnsi"/>
          <w:sz w:val="28"/>
          <w:szCs w:val="28"/>
          <w:lang w:val="uk-UA"/>
        </w:rPr>
        <w:t>β</w:t>
      </w:r>
      <w:r w:rsidRPr="009144E7">
        <w:rPr>
          <w:sz w:val="28"/>
          <w:szCs w:val="28"/>
          <w:lang w:val="uk-UA"/>
        </w:rPr>
        <w:t>ЛРС-продукуючі мікроорганізми частіше зустрічаються у пацієнтів з тривалістю захворювання більше 10 років (малюнок 3.22).</w:t>
      </w:r>
    </w:p>
    <w:p w:rsidR="009144E7" w:rsidRPr="009144E7" w:rsidRDefault="009144E7" w:rsidP="009144E7">
      <w:pPr>
        <w:spacing w:after="0" w:line="360" w:lineRule="auto"/>
        <w:ind w:firstLine="709"/>
        <w:jc w:val="both"/>
        <w:rPr>
          <w:sz w:val="28"/>
          <w:szCs w:val="28"/>
          <w:lang w:val="uk-UA"/>
        </w:rPr>
      </w:pPr>
      <w:r w:rsidRPr="009144E7">
        <w:rPr>
          <w:rFonts w:cstheme="minorHAnsi"/>
          <w:noProof/>
          <w:color w:val="000000" w:themeColor="text1"/>
          <w:sz w:val="28"/>
          <w:szCs w:val="28"/>
          <w:lang w:eastAsia="ru-RU"/>
        </w:rPr>
        <w:drawing>
          <wp:inline distT="0" distB="0" distL="0" distR="0" wp14:anchorId="28232A5E" wp14:editId="681D1DD4">
            <wp:extent cx="5486400" cy="2382591"/>
            <wp:effectExtent l="0" t="19050" r="19050" b="1778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3.22 Виявлення плазмідних генів резистентності в залежності від тривалості ХП.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У хворих на ХП і супутнім ЦД 2 типу, виявлення плазмід-індукованих механізмів резистентності було достовірно вище при тривалості ХП до 10 років (65% </w:t>
      </w:r>
      <w:r w:rsidRPr="009144E7">
        <w:rPr>
          <w:sz w:val="28"/>
          <w:szCs w:val="28"/>
          <w:lang w:val="en-US"/>
        </w:rPr>
        <w:t>vs</w:t>
      </w:r>
      <w:r w:rsidRPr="009144E7">
        <w:rPr>
          <w:sz w:val="28"/>
          <w:szCs w:val="28"/>
          <w:lang w:val="uk-UA"/>
        </w:rPr>
        <w:t xml:space="preserve">. 32% у хворих групи А, та 44% </w:t>
      </w:r>
      <w:r w:rsidRPr="009144E7">
        <w:rPr>
          <w:sz w:val="28"/>
          <w:szCs w:val="28"/>
          <w:lang w:val="en-US"/>
        </w:rPr>
        <w:t>vs</w:t>
      </w:r>
      <w:r w:rsidRPr="009144E7">
        <w:rPr>
          <w:sz w:val="28"/>
          <w:szCs w:val="28"/>
          <w:lang w:val="uk-UA"/>
        </w:rPr>
        <w:t xml:space="preserve">. 17% - у хворих групи В), тоді як у пацієнтів на ХП без ЦД 2 типу, питома вага плазмідних генів стійкості була вище при тривалості ХП більше 10 років (58,3% </w:t>
      </w:r>
      <w:r w:rsidRPr="009144E7">
        <w:rPr>
          <w:sz w:val="28"/>
          <w:szCs w:val="28"/>
          <w:lang w:val="en-US"/>
        </w:rPr>
        <w:t>vs</w:t>
      </w:r>
      <w:r w:rsidRPr="009144E7">
        <w:rPr>
          <w:sz w:val="28"/>
          <w:szCs w:val="28"/>
          <w:lang w:val="uk-UA"/>
        </w:rPr>
        <w:t xml:space="preserve">. 17%), малюнок 3.23. </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lastRenderedPageBreak/>
        <w:drawing>
          <wp:inline distT="0" distB="0" distL="0" distR="0" wp14:anchorId="5E649B10" wp14:editId="549D9A44">
            <wp:extent cx="5486400" cy="2401910"/>
            <wp:effectExtent l="0" t="0" r="19050" b="1778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144E7" w:rsidRPr="009144E7" w:rsidRDefault="009144E7" w:rsidP="009144E7">
      <w:pPr>
        <w:spacing w:after="0" w:line="360" w:lineRule="auto"/>
        <w:ind w:firstLine="709"/>
        <w:jc w:val="both"/>
        <w:rPr>
          <w:sz w:val="24"/>
          <w:szCs w:val="24"/>
          <w:lang w:val="uk-UA"/>
        </w:rPr>
      </w:pPr>
      <w:r w:rsidRPr="009144E7">
        <w:rPr>
          <w:sz w:val="24"/>
          <w:szCs w:val="24"/>
          <w:lang w:val="uk-UA"/>
        </w:rPr>
        <w:t>Мал. 3.23 Виявлення плазмід-індукованих механізмів резистентності у хворих на ХП з і без супутнього ЦД 2 типу в залежності від тривалості ХП.</w:t>
      </w:r>
    </w:p>
    <w:p w:rsidR="009144E7" w:rsidRPr="009144E7" w:rsidRDefault="009144E7" w:rsidP="009144E7">
      <w:pPr>
        <w:spacing w:before="240" w:after="0" w:line="360" w:lineRule="auto"/>
        <w:ind w:firstLine="709"/>
        <w:jc w:val="both"/>
        <w:rPr>
          <w:b/>
          <w:sz w:val="24"/>
          <w:szCs w:val="24"/>
          <w:lang w:val="uk-UA"/>
        </w:rPr>
      </w:pPr>
      <w:r w:rsidRPr="009144E7">
        <w:rPr>
          <w:b/>
          <w:sz w:val="28"/>
          <w:szCs w:val="28"/>
          <w:lang w:val="uk-UA"/>
        </w:rPr>
        <w:t>3.2.7.4 Виявлення плазмід-індукованих механізмів резистентності в залежності від факту стаціонарного лікування упродовж останнього року.</w:t>
      </w:r>
      <w:r w:rsidRPr="009144E7">
        <w:rPr>
          <w:b/>
          <w:sz w:val="24"/>
          <w:szCs w:val="24"/>
          <w:lang w:val="uk-UA"/>
        </w:rPr>
        <w:t xml:space="preserve">   </w:t>
      </w:r>
    </w:p>
    <w:p w:rsidR="009144E7" w:rsidRPr="009144E7" w:rsidRDefault="009144E7" w:rsidP="009144E7">
      <w:pPr>
        <w:spacing w:before="240" w:after="0" w:line="360" w:lineRule="auto"/>
        <w:ind w:firstLine="709"/>
        <w:jc w:val="both"/>
        <w:rPr>
          <w:sz w:val="28"/>
          <w:szCs w:val="28"/>
          <w:lang w:val="uk-UA"/>
        </w:rPr>
      </w:pPr>
      <w:r w:rsidRPr="009144E7">
        <w:rPr>
          <w:rFonts w:cstheme="minorHAnsi"/>
          <w:color w:val="000000" w:themeColor="text1"/>
          <w:sz w:val="28"/>
          <w:szCs w:val="28"/>
          <w:lang w:val="uk-UA"/>
        </w:rPr>
        <w:t xml:space="preserve">Згідно анамнестичних даних, стаціонарне лікування у поточному році проводили 24 обстежених пацієнтів. При подальшому аналізі встановлено, що питома вага генів резистентності у цієї когорти хворих достовірно вища, ніж у пацієнтів, що не перебували у стаціонарі протягом року (79,2% проти 30,9%, р&lt;0,05). Слід зазначити, що частота колонізації сечової системи </w:t>
      </w:r>
      <w:r w:rsidRPr="009144E7">
        <w:rPr>
          <w:rFonts w:cstheme="minorHAnsi"/>
          <w:sz w:val="28"/>
          <w:szCs w:val="28"/>
          <w:lang w:val="uk-UA"/>
        </w:rPr>
        <w:t>β</w:t>
      </w:r>
      <w:r w:rsidRPr="009144E7">
        <w:rPr>
          <w:sz w:val="28"/>
          <w:szCs w:val="28"/>
          <w:lang w:val="uk-UA"/>
        </w:rPr>
        <w:t>ЛРС-продукуючими мікроорганізмами була достовірно вище у</w:t>
      </w:r>
      <w:r w:rsidRPr="009144E7">
        <w:rPr>
          <w:rFonts w:cstheme="minorHAnsi"/>
          <w:color w:val="000000" w:themeColor="text1"/>
          <w:sz w:val="28"/>
          <w:szCs w:val="28"/>
          <w:lang w:val="uk-UA"/>
        </w:rPr>
        <w:t xml:space="preserve"> пацієнтів котрі проводили стаціонарне лікування протягом року </w:t>
      </w:r>
      <w:r w:rsidRPr="009144E7">
        <w:rPr>
          <w:sz w:val="28"/>
          <w:szCs w:val="28"/>
          <w:lang w:val="uk-UA"/>
        </w:rPr>
        <w:t xml:space="preserve">(70,8% проти 16%, </w:t>
      </w:r>
      <w:r w:rsidRPr="009144E7">
        <w:rPr>
          <w:rFonts w:cstheme="minorHAnsi"/>
          <w:color w:val="000000" w:themeColor="text1"/>
          <w:sz w:val="28"/>
          <w:szCs w:val="28"/>
          <w:lang w:val="uk-UA"/>
        </w:rPr>
        <w:t>р&lt;0,05</w:t>
      </w:r>
      <w:r w:rsidRPr="009144E7">
        <w:rPr>
          <w:sz w:val="28"/>
          <w:szCs w:val="28"/>
          <w:lang w:val="uk-UA"/>
        </w:rPr>
        <w:t>), проте у хворих, що не перебували у стаціонарі – частіше виявлялися гени резистентності до фторхінолонів (14,8% проти 8,3%, р=0,09), малюнок 3.24.</w:t>
      </w:r>
    </w:p>
    <w:p w:rsidR="009144E7" w:rsidRPr="009144E7" w:rsidRDefault="009144E7" w:rsidP="009144E7">
      <w:pPr>
        <w:spacing w:after="0" w:line="360" w:lineRule="auto"/>
        <w:ind w:firstLine="709"/>
        <w:jc w:val="right"/>
        <w:rPr>
          <w:sz w:val="28"/>
          <w:szCs w:val="28"/>
          <w:lang w:val="uk-UA"/>
        </w:rPr>
      </w:pPr>
      <w:r w:rsidRPr="009144E7">
        <w:rPr>
          <w:noProof/>
          <w:sz w:val="28"/>
          <w:szCs w:val="28"/>
          <w:lang w:eastAsia="ru-RU"/>
        </w:rPr>
        <w:lastRenderedPageBreak/>
        <w:drawing>
          <wp:inline distT="0" distB="0" distL="0" distR="0" wp14:anchorId="1A682C1C" wp14:editId="2970FE92">
            <wp:extent cx="5486400" cy="2414788"/>
            <wp:effectExtent l="0" t="0" r="19050" b="2413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3.24 Виявлення плазмідних генів резистентності в залежності від наявності випадку госпіталізації.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У хворих ХП з і без ЦД 2 типу, лікування у стаціонарі проводили 13 та 11 пацієнтів відповідно. При аналізі розповсюдженості плазмід-індукованих механізмів резистентності в залежності від випадку госпіталізації, встановлено, що у пацієнтів </w:t>
      </w:r>
      <w:r w:rsidRPr="009144E7">
        <w:rPr>
          <w:rFonts w:cstheme="minorHAnsi"/>
          <w:sz w:val="28"/>
          <w:szCs w:val="28"/>
          <w:lang w:val="uk-UA"/>
        </w:rPr>
        <w:t>І</w:t>
      </w:r>
      <w:r w:rsidRPr="009144E7">
        <w:rPr>
          <w:sz w:val="28"/>
          <w:szCs w:val="28"/>
          <w:lang w:val="uk-UA"/>
        </w:rPr>
        <w:t xml:space="preserve"> групи, виявляємість склала 72,7%, в </w:t>
      </w:r>
      <w:r w:rsidRPr="009144E7">
        <w:rPr>
          <w:rFonts w:cstheme="minorHAnsi"/>
          <w:sz w:val="28"/>
          <w:szCs w:val="28"/>
          <w:lang w:val="uk-UA"/>
        </w:rPr>
        <w:t>ІІ</w:t>
      </w:r>
      <w:r w:rsidRPr="009144E7">
        <w:rPr>
          <w:sz w:val="28"/>
          <w:szCs w:val="28"/>
          <w:lang w:val="uk-UA"/>
        </w:rPr>
        <w:t xml:space="preserve"> групі – 84,6% (малюнок 3.25). </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768DED85" wp14:editId="3DDE0F76">
            <wp:extent cx="5486400" cy="2337515"/>
            <wp:effectExtent l="0" t="0" r="19050" b="24765"/>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144E7" w:rsidRPr="009144E7" w:rsidRDefault="009144E7" w:rsidP="009144E7">
      <w:pPr>
        <w:spacing w:after="0" w:line="360" w:lineRule="auto"/>
        <w:ind w:firstLine="709"/>
        <w:jc w:val="both"/>
        <w:rPr>
          <w:sz w:val="24"/>
          <w:szCs w:val="24"/>
          <w:lang w:val="uk-UA"/>
        </w:rPr>
      </w:pPr>
      <w:r w:rsidRPr="009144E7">
        <w:rPr>
          <w:sz w:val="24"/>
          <w:szCs w:val="24"/>
          <w:lang w:val="uk-UA"/>
        </w:rPr>
        <w:t>Мал. 3.25</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наявності випадку госпіталізації.</w:t>
      </w:r>
    </w:p>
    <w:p w:rsidR="009144E7" w:rsidRPr="009144E7" w:rsidRDefault="009144E7" w:rsidP="009144E7">
      <w:pPr>
        <w:spacing w:after="0" w:line="360" w:lineRule="auto"/>
        <w:ind w:firstLine="709"/>
        <w:jc w:val="both"/>
        <w:rPr>
          <w:rFonts w:cstheme="minorHAnsi"/>
          <w:b/>
          <w:color w:val="000000" w:themeColor="text1"/>
          <w:sz w:val="24"/>
          <w:szCs w:val="24"/>
          <w:lang w:val="uk-UA"/>
        </w:rPr>
      </w:pPr>
      <w:r w:rsidRPr="009144E7">
        <w:rPr>
          <w:rFonts w:cstheme="minorHAnsi"/>
          <w:sz w:val="24"/>
          <w:szCs w:val="24"/>
          <w:lang w:val="uk-UA"/>
        </w:rPr>
        <w:t xml:space="preserve">Примітка: </w:t>
      </w:r>
      <w:r w:rsidRPr="009144E7">
        <w:rPr>
          <w:rFonts w:cstheme="minorHAnsi"/>
          <w:b/>
          <w:sz w:val="24"/>
          <w:szCs w:val="24"/>
          <w:vertAlign w:val="superscript"/>
          <w:lang w:val="uk-UA"/>
        </w:rPr>
        <w:t>*</w:t>
      </w:r>
      <w:r w:rsidRPr="009144E7">
        <w:rPr>
          <w:rFonts w:cstheme="minorHAnsi"/>
          <w:b/>
          <w:sz w:val="24"/>
          <w:szCs w:val="24"/>
          <w:lang w:val="uk-UA"/>
        </w:rPr>
        <w:t xml:space="preserve"> - </w:t>
      </w:r>
      <w:r w:rsidRPr="009144E7">
        <w:rPr>
          <w:rFonts w:cstheme="minorHAnsi"/>
          <w:sz w:val="24"/>
          <w:szCs w:val="24"/>
          <w:lang w:val="uk-UA"/>
        </w:rPr>
        <w:t xml:space="preserve">р≤0,05 при порівнянні наявності/відсутності випадку госпіталізації в групах. </w:t>
      </w:r>
      <w:r w:rsidRPr="009144E7">
        <w:rPr>
          <w:rFonts w:cstheme="minorHAnsi"/>
          <w:b/>
          <w:color w:val="000000" w:themeColor="text1"/>
          <w:sz w:val="24"/>
          <w:szCs w:val="24"/>
          <w:lang w:val="uk-UA"/>
        </w:rPr>
        <w:t xml:space="preserve"> </w:t>
      </w:r>
    </w:p>
    <w:p w:rsidR="009144E7" w:rsidRPr="009144E7" w:rsidRDefault="009144E7" w:rsidP="009144E7">
      <w:pPr>
        <w:spacing w:before="240" w:after="0" w:line="360" w:lineRule="auto"/>
        <w:ind w:firstLine="709"/>
        <w:jc w:val="both"/>
        <w:rPr>
          <w:rFonts w:cstheme="minorHAnsi"/>
          <w:b/>
          <w:color w:val="000000" w:themeColor="text1"/>
          <w:sz w:val="28"/>
          <w:szCs w:val="28"/>
          <w:lang w:val="uk-UA"/>
        </w:rPr>
      </w:pPr>
      <w:r w:rsidRPr="009144E7">
        <w:rPr>
          <w:rFonts w:cstheme="minorHAnsi"/>
          <w:b/>
          <w:color w:val="000000" w:themeColor="text1"/>
          <w:sz w:val="28"/>
          <w:szCs w:val="28"/>
          <w:lang w:val="uk-UA"/>
        </w:rPr>
        <w:lastRenderedPageBreak/>
        <w:t>3.2.7.5 Виявлення плазмід-індукованих механізмів резистентності в залежності від факту прийому антибактеріальних препаратів у поточному році.</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 xml:space="preserve">Згідно анамнестичних даних, факт прийому антибіотиків з різних причин упродовж останнього року мав місце у 38 (36,2%) хворих: 6 (15,8%) з них приймали </w:t>
      </w:r>
      <w:r w:rsidRPr="009144E7">
        <w:rPr>
          <w:rFonts w:cstheme="minorHAnsi"/>
          <w:sz w:val="28"/>
          <w:szCs w:val="28"/>
          <w:lang w:val="uk-UA"/>
        </w:rPr>
        <w:t>β</w:t>
      </w:r>
      <w:r w:rsidRPr="009144E7">
        <w:rPr>
          <w:sz w:val="28"/>
          <w:szCs w:val="28"/>
          <w:lang w:val="uk-UA"/>
        </w:rPr>
        <w:t xml:space="preserve">-лактами, 2 (5,3%) – фторхінолони і 30 (78,9%) приймали обидва класу АБП. При наступному аналізі, питома вага генів резистентності до </w:t>
      </w:r>
      <w:r w:rsidRPr="009144E7">
        <w:rPr>
          <w:rFonts w:cstheme="minorHAnsi"/>
          <w:sz w:val="28"/>
          <w:szCs w:val="28"/>
          <w:lang w:val="uk-UA"/>
        </w:rPr>
        <w:t>β</w:t>
      </w:r>
      <w:r w:rsidRPr="009144E7">
        <w:rPr>
          <w:sz w:val="28"/>
          <w:szCs w:val="28"/>
          <w:lang w:val="uk-UA"/>
        </w:rPr>
        <w:t xml:space="preserve">-лактамів серед пацієнтів, що приймали антибіотики, була достовірна вища (44,7% проти 19,4%, </w:t>
      </w:r>
      <w:r w:rsidRPr="009144E7">
        <w:rPr>
          <w:rFonts w:cstheme="minorHAnsi"/>
          <w:sz w:val="28"/>
          <w:szCs w:val="28"/>
          <w:lang w:val="uk-UA"/>
        </w:rPr>
        <w:t>р&lt;0,05</w:t>
      </w:r>
      <w:r w:rsidRPr="009144E7">
        <w:rPr>
          <w:sz w:val="28"/>
          <w:szCs w:val="28"/>
          <w:lang w:val="uk-UA"/>
        </w:rPr>
        <w:t>). Щодо генів стійкості до фторхінолонів, виявлення останніх було достовірно вище в групі хворих, що не приймали АБП (19,4% проти 2,6%, р</w:t>
      </w:r>
      <w:r w:rsidRPr="009144E7">
        <w:rPr>
          <w:rFonts w:cstheme="minorHAnsi"/>
          <w:sz w:val="28"/>
          <w:szCs w:val="28"/>
          <w:lang w:val="uk-UA"/>
        </w:rPr>
        <w:t>≤</w:t>
      </w:r>
      <w:r w:rsidRPr="009144E7">
        <w:rPr>
          <w:sz w:val="28"/>
          <w:szCs w:val="28"/>
          <w:lang w:val="uk-UA"/>
        </w:rPr>
        <w:t xml:space="preserve">0,05), малюнок 3.26. </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drawing>
          <wp:inline distT="0" distB="0" distL="0" distR="0" wp14:anchorId="3FB4A783" wp14:editId="108B3053">
            <wp:extent cx="5486400" cy="2260242"/>
            <wp:effectExtent l="0" t="0" r="19050" b="26035"/>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144E7" w:rsidRPr="009144E7" w:rsidRDefault="009144E7" w:rsidP="009144E7">
      <w:pPr>
        <w:spacing w:line="360" w:lineRule="auto"/>
        <w:ind w:firstLine="709"/>
        <w:jc w:val="both"/>
        <w:rPr>
          <w:sz w:val="24"/>
          <w:szCs w:val="24"/>
          <w:lang w:val="uk-UA"/>
        </w:rPr>
      </w:pPr>
      <w:r w:rsidRPr="009144E7">
        <w:rPr>
          <w:sz w:val="24"/>
          <w:szCs w:val="24"/>
          <w:lang w:val="uk-UA"/>
        </w:rPr>
        <w:t xml:space="preserve">Мал. 3.26 Виявлення плазмідних генів резистентності в залежності від факту прийому АБП. </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У хворих ХП з і без супутнього ЦД 2 типу, факт прийому антибіотиків мав місце у 30 та 8 осіб відповідно. Виявлення плазмід-індукованих механізмів резистентності у пацієнтів </w:t>
      </w:r>
      <w:r w:rsidRPr="009144E7">
        <w:rPr>
          <w:rFonts w:cstheme="minorHAnsi"/>
          <w:sz w:val="28"/>
          <w:szCs w:val="28"/>
          <w:lang w:val="uk-UA"/>
        </w:rPr>
        <w:t>І</w:t>
      </w:r>
      <w:r w:rsidRPr="009144E7">
        <w:rPr>
          <w:sz w:val="28"/>
          <w:szCs w:val="28"/>
          <w:lang w:val="uk-UA"/>
        </w:rPr>
        <w:t xml:space="preserve"> групи склало 63%, </w:t>
      </w:r>
      <w:r w:rsidRPr="009144E7">
        <w:rPr>
          <w:rFonts w:cstheme="minorHAnsi"/>
          <w:sz w:val="28"/>
          <w:szCs w:val="28"/>
          <w:lang w:val="uk-UA"/>
        </w:rPr>
        <w:t>ІІ</w:t>
      </w:r>
      <w:r w:rsidRPr="009144E7">
        <w:rPr>
          <w:sz w:val="28"/>
          <w:szCs w:val="28"/>
          <w:lang w:val="uk-UA"/>
        </w:rPr>
        <w:t xml:space="preserve"> групи – 40%, малюнок 3.27. </w:t>
      </w:r>
    </w:p>
    <w:p w:rsidR="009144E7" w:rsidRPr="009144E7" w:rsidRDefault="009144E7" w:rsidP="009144E7">
      <w:pPr>
        <w:spacing w:after="0" w:line="360" w:lineRule="auto"/>
        <w:ind w:firstLine="709"/>
        <w:jc w:val="both"/>
        <w:rPr>
          <w:sz w:val="28"/>
          <w:szCs w:val="28"/>
          <w:lang w:val="uk-UA"/>
        </w:rPr>
      </w:pPr>
      <w:r w:rsidRPr="009144E7">
        <w:rPr>
          <w:noProof/>
          <w:sz w:val="28"/>
          <w:szCs w:val="28"/>
          <w:lang w:eastAsia="ru-RU"/>
        </w:rPr>
        <w:lastRenderedPageBreak/>
        <w:drawing>
          <wp:inline distT="0" distB="0" distL="0" distR="0" wp14:anchorId="5E13FD35" wp14:editId="3FE5D07E">
            <wp:extent cx="5486400" cy="2376153"/>
            <wp:effectExtent l="0" t="0" r="19050" b="2476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 </w:t>
      </w:r>
      <w:r w:rsidRPr="009144E7">
        <w:rPr>
          <w:sz w:val="24"/>
          <w:szCs w:val="24"/>
          <w:lang w:val="uk-UA"/>
        </w:rPr>
        <w:t>Мал. 3.27</w:t>
      </w:r>
      <w:r w:rsidRPr="009144E7">
        <w:rPr>
          <w:sz w:val="28"/>
          <w:szCs w:val="28"/>
          <w:lang w:val="uk-UA"/>
        </w:rPr>
        <w:t xml:space="preserve"> </w:t>
      </w:r>
      <w:r w:rsidRPr="009144E7">
        <w:rPr>
          <w:sz w:val="24"/>
          <w:szCs w:val="24"/>
          <w:lang w:val="uk-UA"/>
        </w:rPr>
        <w:t>Виявлення плазмідних генів резистентності у хворих на ХП з і без супутнього ЦД 2 типу в залежності від факту прийому АБП.</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Був проведений факторний аналіз з метою встановлення взаємопов'язаних факторів у хворих на ХП з виявленими плазмід-індукованими механізмами резистентності. Було виявлено 3 фактори з власними значеннями більше 0,7. Ці фактори піддалися обертанню за методом варімакс. Перший фактор, що містив тривалість ХП, систолічний та діастолічний тиск, протеїнурію, можна інтерпретувати як загально-клінічний, у зв’язку з найвищим навантаженням по цим показникам.</w:t>
      </w:r>
      <w:r w:rsidRPr="009144E7">
        <w:rPr>
          <w:lang w:val="uk-UA"/>
        </w:rPr>
        <w:t xml:space="preserve"> </w:t>
      </w:r>
      <w:r w:rsidRPr="009144E7">
        <w:rPr>
          <w:sz w:val="28"/>
          <w:szCs w:val="28"/>
          <w:lang w:val="uk-UA"/>
        </w:rPr>
        <w:t xml:space="preserve">Другий фактор можна інтерпретувати як імунологічний, так як змінні, пов'язані з цим явищем (СРБ, </w:t>
      </w:r>
      <w:r w:rsidRPr="009144E7">
        <w:rPr>
          <w:sz w:val="28"/>
          <w:szCs w:val="28"/>
          <w:lang w:val="en-US"/>
        </w:rPr>
        <w:t>IgA</w:t>
      </w:r>
      <w:r w:rsidRPr="009144E7">
        <w:rPr>
          <w:sz w:val="28"/>
          <w:szCs w:val="28"/>
          <w:lang w:val="uk-UA"/>
        </w:rPr>
        <w:t xml:space="preserve">, </w:t>
      </w:r>
      <w:r w:rsidRPr="009144E7">
        <w:rPr>
          <w:sz w:val="28"/>
          <w:szCs w:val="28"/>
          <w:lang w:val="en-US"/>
        </w:rPr>
        <w:t>IgM</w:t>
      </w:r>
      <w:r w:rsidRPr="009144E7">
        <w:rPr>
          <w:sz w:val="28"/>
          <w:szCs w:val="28"/>
          <w:lang w:val="uk-UA"/>
        </w:rPr>
        <w:t xml:space="preserve">, </w:t>
      </w:r>
      <w:r w:rsidRPr="009144E7">
        <w:rPr>
          <w:sz w:val="28"/>
          <w:szCs w:val="28"/>
          <w:lang w:val="en-US"/>
        </w:rPr>
        <w:t>IgG</w:t>
      </w:r>
      <w:r w:rsidRPr="009144E7">
        <w:rPr>
          <w:sz w:val="28"/>
          <w:szCs w:val="28"/>
          <w:lang w:val="uk-UA"/>
        </w:rPr>
        <w:t>) мають по ньому найвищі навантаження. Третій фактор можна інтерпретувати як функціональний, тому що включає рівень креатиніну, сечовини, ШКФ,</w:t>
      </w:r>
      <w:r w:rsidRPr="009144E7">
        <w:rPr>
          <w:color w:val="FF0000"/>
          <w:sz w:val="28"/>
          <w:szCs w:val="28"/>
          <w:lang w:val="uk-UA"/>
        </w:rPr>
        <w:t xml:space="preserve"> </w:t>
      </w:r>
      <w:r w:rsidRPr="009144E7">
        <w:rPr>
          <w:sz w:val="28"/>
          <w:szCs w:val="28"/>
          <w:lang w:val="uk-UA"/>
        </w:rPr>
        <w:t xml:space="preserve"> та має власні значення більше 0,7 (таблиця 3.10).</w:t>
      </w:r>
    </w:p>
    <w:p w:rsidR="009144E7" w:rsidRPr="009144E7" w:rsidRDefault="009144E7" w:rsidP="009144E7">
      <w:pPr>
        <w:spacing w:after="0" w:line="360" w:lineRule="auto"/>
        <w:ind w:firstLine="709"/>
        <w:jc w:val="right"/>
        <w:rPr>
          <w:sz w:val="28"/>
          <w:szCs w:val="28"/>
          <w:lang w:val="uk-UA"/>
        </w:rPr>
      </w:pPr>
      <w:r w:rsidRPr="009144E7">
        <w:rPr>
          <w:sz w:val="28"/>
          <w:szCs w:val="28"/>
          <w:lang w:val="uk-UA"/>
        </w:rPr>
        <w:t>Таблиця 3.10</w:t>
      </w:r>
    </w:p>
    <w:p w:rsidR="009144E7" w:rsidRPr="009144E7" w:rsidRDefault="009144E7" w:rsidP="009144E7">
      <w:pPr>
        <w:spacing w:after="0" w:line="360" w:lineRule="auto"/>
        <w:ind w:firstLine="709"/>
        <w:jc w:val="center"/>
        <w:rPr>
          <w:b/>
          <w:sz w:val="28"/>
          <w:szCs w:val="28"/>
          <w:lang w:val="uk-UA"/>
        </w:rPr>
      </w:pPr>
      <w:r w:rsidRPr="009144E7">
        <w:rPr>
          <w:b/>
          <w:sz w:val="28"/>
          <w:szCs w:val="28"/>
          <w:lang w:val="uk-UA"/>
        </w:rPr>
        <w:t>Кореляційна матриця змінних у хворих на ХП з виявленими генами резистентності</w:t>
      </w:r>
    </w:p>
    <w:p w:rsidR="009144E7" w:rsidRPr="009144E7" w:rsidRDefault="009144E7" w:rsidP="009144E7">
      <w:pPr>
        <w:spacing w:before="240" w:after="0" w:line="360" w:lineRule="auto"/>
        <w:ind w:firstLine="709"/>
        <w:jc w:val="both"/>
        <w:rPr>
          <w:lang w:val="uk-UA"/>
        </w:rPr>
      </w:pPr>
      <w:r w:rsidRPr="009144E7">
        <w:object w:dxaOrig="5835" w:dyaOrig="66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1.55pt;height:332.1pt" o:ole="">
            <v:imagedata r:id="rId41" o:title=""/>
          </v:shape>
          <o:OLEObject Type="Embed" ProgID="STATISTICA.Spreadsheet" ShapeID="_x0000_i1025" DrawAspect="Content" ObjectID="_1508614361" r:id="rId42">
            <o:FieldCodes>\s</o:FieldCodes>
          </o:OLEObject>
        </w:objec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 xml:space="preserve">Таким чином, в результаті обертання за методом варімакс, було визначено три взаємопов'язаних фактора (загально-клінічний, імунологічний та функціональний), у хворих з виявленими плазмід-індукованими механізмами резистентності, що  демонструють наявність взаємозв’язків та узагальнюючої складової між цими показниками у даної категорії хворих. Перший фактор (загально-клінічний), що включає тривалість захворювання, САТ і ДАД, протеїнурію підтверджує значимість отриманих результатів і демонструє необхідність дослідження плазмід-індукованих механізмів резистентності у хворих, що страждають ХП більше 10 років, мають АГ і протеїнурію більше 0,15 г/л за добу. Другий фактор (імунологічний) свідчить о наявності взаємозв’язків між показниками системного запалення та їх значенням у хворих на ХП з виявленими генами резистентності, та підтверджує необхідність визначення експресії плазмід-індукованих механізмів резистентності у хворих з порушеннями імунного статусу. Третій фактор, функціональний, з одного боку демонструє вплив порушення функції </w:t>
      </w:r>
      <w:r w:rsidRPr="009144E7">
        <w:rPr>
          <w:sz w:val="28"/>
          <w:szCs w:val="28"/>
          <w:lang w:val="uk-UA"/>
        </w:rPr>
        <w:lastRenderedPageBreak/>
        <w:t xml:space="preserve">нирок на колонізацію сечової системи бактеріями з плазмідними генами резистентності, а з іншого – вказує на необхідність дослідження індукованих плазмідами механізмів резистентності у хворих з начальною та вираженою нирковою недостатністю (ХХН </w:t>
      </w:r>
      <w:r w:rsidRPr="009144E7">
        <w:rPr>
          <w:rFonts w:cstheme="minorHAnsi"/>
          <w:sz w:val="28"/>
          <w:szCs w:val="28"/>
          <w:lang w:val="uk-UA"/>
        </w:rPr>
        <w:t>ІІІ</w:t>
      </w:r>
      <w:r w:rsidRPr="009144E7">
        <w:rPr>
          <w:sz w:val="28"/>
          <w:szCs w:val="28"/>
          <w:lang w:val="uk-UA"/>
        </w:rPr>
        <w:t xml:space="preserve"> та </w:t>
      </w:r>
      <w:r w:rsidRPr="009144E7">
        <w:rPr>
          <w:rFonts w:cstheme="minorHAnsi"/>
          <w:sz w:val="28"/>
          <w:szCs w:val="28"/>
          <w:lang w:val="uk-UA"/>
        </w:rPr>
        <w:t>ІV</w:t>
      </w:r>
      <w:r w:rsidRPr="009144E7">
        <w:rPr>
          <w:sz w:val="28"/>
          <w:szCs w:val="28"/>
          <w:lang w:val="uk-UA"/>
        </w:rPr>
        <w:t xml:space="preserve"> стадій). </w:t>
      </w:r>
    </w:p>
    <w:p w:rsidR="009144E7" w:rsidRPr="009144E7" w:rsidRDefault="009144E7" w:rsidP="009144E7">
      <w:pPr>
        <w:spacing w:before="240" w:after="0" w:line="360" w:lineRule="auto"/>
        <w:ind w:firstLine="709"/>
        <w:jc w:val="both"/>
        <w:rPr>
          <w:sz w:val="28"/>
          <w:szCs w:val="28"/>
          <w:lang w:val="uk-UA"/>
        </w:rPr>
      </w:pPr>
      <w:r w:rsidRPr="009144E7">
        <w:rPr>
          <w:sz w:val="28"/>
          <w:szCs w:val="28"/>
          <w:lang w:val="uk-UA"/>
        </w:rPr>
        <w:t>Отже, у жінок питома вага генів резистентності вища ніж у чоловіків (42,9% проти 35,7%), і достовірно зростає з віком.</w:t>
      </w:r>
    </w:p>
    <w:p w:rsidR="009144E7" w:rsidRPr="009144E7" w:rsidRDefault="009144E7" w:rsidP="009144E7">
      <w:pPr>
        <w:spacing w:after="0" w:line="360" w:lineRule="auto"/>
        <w:ind w:firstLine="709"/>
        <w:jc w:val="both"/>
        <w:rPr>
          <w:sz w:val="28"/>
          <w:szCs w:val="28"/>
          <w:lang w:val="uk-UA"/>
        </w:rPr>
      </w:pPr>
      <w:r w:rsidRPr="009144E7">
        <w:rPr>
          <w:rFonts w:cstheme="minorHAnsi"/>
          <w:color w:val="000000" w:themeColor="text1"/>
          <w:sz w:val="28"/>
          <w:szCs w:val="28"/>
          <w:lang w:val="uk-UA"/>
        </w:rPr>
        <w:t xml:space="preserve">У пацієнтів з тривалістю ХП до 5 років виявлено більшу частоту колонізації бактеріями з плазмідними генами резистентності до фторхінолонів, а </w:t>
      </w:r>
      <w:r w:rsidRPr="009144E7">
        <w:rPr>
          <w:rFonts w:cstheme="minorHAnsi"/>
          <w:sz w:val="28"/>
          <w:szCs w:val="28"/>
          <w:lang w:val="uk-UA"/>
        </w:rPr>
        <w:t>β</w:t>
      </w:r>
      <w:r w:rsidRPr="009144E7">
        <w:rPr>
          <w:sz w:val="28"/>
          <w:szCs w:val="28"/>
          <w:lang w:val="uk-UA"/>
        </w:rPr>
        <w:t>ЛРС-продукуючі мікроорганізми частіше зустрічаються у пацієнтів з тривалістю захворювання більше 10 років.</w:t>
      </w:r>
    </w:p>
    <w:p w:rsidR="009144E7" w:rsidRPr="009144E7" w:rsidRDefault="009144E7" w:rsidP="009144E7">
      <w:pPr>
        <w:spacing w:after="0" w:line="360" w:lineRule="auto"/>
        <w:ind w:firstLine="709"/>
        <w:jc w:val="both"/>
        <w:rPr>
          <w:sz w:val="28"/>
          <w:szCs w:val="28"/>
          <w:lang w:val="uk-UA"/>
        </w:rPr>
      </w:pPr>
      <w:r w:rsidRPr="009144E7">
        <w:rPr>
          <w:sz w:val="28"/>
          <w:szCs w:val="28"/>
          <w:lang w:val="uk-UA"/>
        </w:rPr>
        <w:t xml:space="preserve">При прогресування ХХН, частота колонізації сечового тракту бактеріями с плазмідними генами стійкості достовірно зростає у всіх хворих. </w:t>
      </w:r>
    </w:p>
    <w:p w:rsidR="009144E7" w:rsidRPr="009144E7" w:rsidRDefault="009144E7" w:rsidP="009144E7">
      <w:pPr>
        <w:spacing w:after="0" w:line="360" w:lineRule="auto"/>
        <w:ind w:firstLine="709"/>
        <w:jc w:val="both"/>
        <w:rPr>
          <w:rFonts w:ascii="Times New Roman" w:hAnsi="Times New Roman" w:cs="Times New Roman"/>
          <w:color w:val="FF0000"/>
          <w:sz w:val="28"/>
          <w:szCs w:val="28"/>
          <w:lang w:val="uk-UA"/>
        </w:rPr>
      </w:pPr>
      <w:r w:rsidRPr="009144E7">
        <w:rPr>
          <w:rFonts w:cstheme="minorHAnsi"/>
          <w:color w:val="000000" w:themeColor="text1"/>
          <w:sz w:val="28"/>
          <w:szCs w:val="28"/>
          <w:lang w:val="uk-UA"/>
        </w:rPr>
        <w:t xml:space="preserve">До факторів, що достовірно пов’язані з виявленням плазмід-індукованих </w:t>
      </w:r>
      <w:r w:rsidRPr="009144E7">
        <w:rPr>
          <w:rFonts w:ascii="Times New Roman" w:hAnsi="Times New Roman" w:cs="Times New Roman"/>
          <w:sz w:val="28"/>
          <w:szCs w:val="28"/>
          <w:lang w:val="uk-UA"/>
        </w:rPr>
        <w:t>генів резистентності</w:t>
      </w:r>
      <w:r w:rsidRPr="009144E7">
        <w:rPr>
          <w:rFonts w:cstheme="minorHAnsi"/>
          <w:color w:val="000000" w:themeColor="text1"/>
          <w:sz w:val="28"/>
          <w:szCs w:val="28"/>
          <w:lang w:val="uk-UA"/>
        </w:rPr>
        <w:t xml:space="preserve"> можна віднести: вік 55 років і вище, факт стаціонарного лікування упродовж останнього року, прийом β-лактамів та фторхінолонів з різних причин у поточному році</w:t>
      </w:r>
      <w:r w:rsidRPr="009144E7">
        <w:rPr>
          <w:rFonts w:ascii="Times New Roman" w:hAnsi="Times New Roman" w:cs="Times New Roman"/>
          <w:sz w:val="28"/>
          <w:szCs w:val="28"/>
          <w:lang w:val="uk-UA"/>
        </w:rPr>
        <w:t>.</w:t>
      </w:r>
      <w:r w:rsidRPr="009144E7">
        <w:rPr>
          <w:rFonts w:ascii="Times New Roman" w:hAnsi="Times New Roman" w:cs="Times New Roman"/>
          <w:color w:val="FF0000"/>
          <w:sz w:val="28"/>
          <w:szCs w:val="28"/>
          <w:lang w:val="uk-UA"/>
        </w:rPr>
        <w:t xml:space="preserve"> </w:t>
      </w:r>
    </w:p>
    <w:p w:rsidR="009144E7" w:rsidRPr="009144E7" w:rsidRDefault="009144E7" w:rsidP="009144E7">
      <w:pPr>
        <w:spacing w:after="0" w:line="360" w:lineRule="auto"/>
        <w:ind w:firstLine="709"/>
        <w:jc w:val="both"/>
        <w:rPr>
          <w:rFonts w:ascii="Times New Roman" w:hAnsi="Times New Roman" w:cs="Times New Roman"/>
          <w:color w:val="000000" w:themeColor="text1"/>
          <w:sz w:val="28"/>
          <w:szCs w:val="28"/>
          <w:lang w:val="uk-UA"/>
        </w:rPr>
      </w:pPr>
      <w:r w:rsidRPr="009144E7">
        <w:rPr>
          <w:rFonts w:ascii="Times New Roman" w:hAnsi="Times New Roman" w:cs="Times New Roman"/>
          <w:color w:val="000000" w:themeColor="text1"/>
          <w:sz w:val="28"/>
          <w:szCs w:val="28"/>
          <w:lang w:val="uk-UA"/>
        </w:rPr>
        <w:t xml:space="preserve">За результатами факторного аналізу було встановлено три взаємопов’язаних фактора у хворих на ХП і ЦД 2 типу з виявленими генами стійкості: загально-клінічний, що включає </w:t>
      </w:r>
      <w:r w:rsidRPr="009144E7">
        <w:rPr>
          <w:sz w:val="28"/>
          <w:szCs w:val="28"/>
          <w:lang w:val="uk-UA"/>
        </w:rPr>
        <w:t>тривалість ХП, систолічний та діастолічний тиск, протеїнурію;</w:t>
      </w:r>
      <w:r w:rsidRPr="009144E7">
        <w:rPr>
          <w:rFonts w:ascii="Times New Roman" w:hAnsi="Times New Roman" w:cs="Times New Roman"/>
          <w:color w:val="000000" w:themeColor="text1"/>
          <w:sz w:val="28"/>
          <w:szCs w:val="28"/>
          <w:lang w:val="uk-UA"/>
        </w:rPr>
        <w:t xml:space="preserve"> імунологічний, до якого відносяться </w:t>
      </w:r>
      <w:r w:rsidRPr="009144E7">
        <w:rPr>
          <w:sz w:val="28"/>
          <w:szCs w:val="28"/>
          <w:lang w:val="uk-UA"/>
        </w:rPr>
        <w:t xml:space="preserve">СРБ, </w:t>
      </w:r>
      <w:r w:rsidRPr="009144E7">
        <w:rPr>
          <w:sz w:val="28"/>
          <w:szCs w:val="28"/>
          <w:lang w:val="en-US"/>
        </w:rPr>
        <w:t>IgA</w:t>
      </w:r>
      <w:r w:rsidRPr="009144E7">
        <w:rPr>
          <w:sz w:val="28"/>
          <w:szCs w:val="28"/>
          <w:lang w:val="uk-UA"/>
        </w:rPr>
        <w:t xml:space="preserve">, </w:t>
      </w:r>
      <w:r w:rsidRPr="009144E7">
        <w:rPr>
          <w:sz w:val="28"/>
          <w:szCs w:val="28"/>
          <w:lang w:val="en-US"/>
        </w:rPr>
        <w:t>IgM</w:t>
      </w:r>
      <w:r w:rsidRPr="009144E7">
        <w:rPr>
          <w:sz w:val="28"/>
          <w:szCs w:val="28"/>
          <w:lang w:val="uk-UA"/>
        </w:rPr>
        <w:t xml:space="preserve">, </w:t>
      </w:r>
      <w:r w:rsidRPr="009144E7">
        <w:rPr>
          <w:sz w:val="28"/>
          <w:szCs w:val="28"/>
          <w:lang w:val="en-US"/>
        </w:rPr>
        <w:t>IgG</w:t>
      </w:r>
      <w:r w:rsidRPr="009144E7">
        <w:rPr>
          <w:sz w:val="28"/>
          <w:szCs w:val="28"/>
          <w:lang w:val="uk-UA"/>
        </w:rPr>
        <w:t>;</w:t>
      </w:r>
      <w:r w:rsidRPr="009144E7">
        <w:rPr>
          <w:rFonts w:ascii="Times New Roman" w:hAnsi="Times New Roman" w:cs="Times New Roman"/>
          <w:color w:val="000000" w:themeColor="text1"/>
          <w:sz w:val="28"/>
          <w:szCs w:val="28"/>
          <w:lang w:val="uk-UA"/>
        </w:rPr>
        <w:t xml:space="preserve"> та функціональний – містить </w:t>
      </w:r>
      <w:r w:rsidRPr="009144E7">
        <w:rPr>
          <w:sz w:val="28"/>
          <w:szCs w:val="28"/>
          <w:lang w:val="uk-UA"/>
        </w:rPr>
        <w:t xml:space="preserve">креатинін, сечовину, ШКФ, </w:t>
      </w:r>
      <w:r w:rsidRPr="009144E7">
        <w:rPr>
          <w:sz w:val="28"/>
          <w:szCs w:val="28"/>
          <w:lang w:val="en-US"/>
        </w:rPr>
        <w:t>IL</w:t>
      </w:r>
      <w:r w:rsidRPr="009144E7">
        <w:rPr>
          <w:sz w:val="28"/>
          <w:szCs w:val="28"/>
          <w:lang w:val="uk-UA"/>
        </w:rPr>
        <w:t>-6</w:t>
      </w:r>
      <w:r w:rsidRPr="009144E7">
        <w:rPr>
          <w:rFonts w:ascii="Times New Roman" w:hAnsi="Times New Roman" w:cs="Times New Roman"/>
          <w:color w:val="000000" w:themeColor="text1"/>
          <w:sz w:val="28"/>
          <w:szCs w:val="28"/>
          <w:lang w:val="uk-UA"/>
        </w:rPr>
        <w:t>.</w:t>
      </w:r>
    </w:p>
    <w:p w:rsidR="009144E7" w:rsidRPr="009144E7" w:rsidRDefault="009144E7" w:rsidP="009144E7">
      <w:pPr>
        <w:spacing w:line="360" w:lineRule="auto"/>
        <w:ind w:firstLine="709"/>
        <w:jc w:val="both"/>
        <w:rPr>
          <w:rFonts w:ascii="Times New Roman" w:hAnsi="Times New Roman" w:cs="Times New Roman"/>
          <w:color w:val="FF0000"/>
          <w:sz w:val="28"/>
          <w:szCs w:val="28"/>
          <w:lang w:val="uk-UA"/>
        </w:rPr>
      </w:pPr>
      <w:r w:rsidRPr="009144E7">
        <w:rPr>
          <w:rFonts w:ascii="Times New Roman" w:hAnsi="Times New Roman" w:cs="Times New Roman"/>
          <w:color w:val="000000" w:themeColor="text1"/>
          <w:sz w:val="28"/>
          <w:szCs w:val="28"/>
          <w:lang w:val="uk-UA"/>
        </w:rPr>
        <w:t xml:space="preserve">Таким чином, пацієнтам у віці старше 55 років, що страждають ХП більше 10 років, мають АГ, ХХН </w:t>
      </w:r>
      <w:r w:rsidRPr="009144E7">
        <w:rPr>
          <w:rFonts w:cstheme="minorHAnsi"/>
          <w:sz w:val="28"/>
          <w:szCs w:val="28"/>
          <w:lang w:val="uk-UA"/>
        </w:rPr>
        <w:t>ІІІ</w:t>
      </w:r>
      <w:r w:rsidRPr="009144E7">
        <w:rPr>
          <w:sz w:val="28"/>
          <w:szCs w:val="28"/>
          <w:lang w:val="uk-UA"/>
        </w:rPr>
        <w:t xml:space="preserve"> і </w:t>
      </w:r>
      <w:r w:rsidRPr="009144E7">
        <w:rPr>
          <w:rFonts w:cstheme="minorHAnsi"/>
          <w:sz w:val="28"/>
          <w:szCs w:val="28"/>
          <w:lang w:val="uk-UA"/>
        </w:rPr>
        <w:t>ІV</w:t>
      </w:r>
      <w:r w:rsidRPr="009144E7">
        <w:rPr>
          <w:sz w:val="28"/>
          <w:szCs w:val="28"/>
          <w:lang w:val="uk-UA"/>
        </w:rPr>
        <w:t xml:space="preserve"> стадій, виявлені зміни в імунологічному статусі, доцільно в план обстеження включати дослідження експресії плазмід-індукованих механізмів резистентності з метою раціонального підбору АБТ.</w:t>
      </w:r>
      <w:r w:rsidRPr="009144E7">
        <w:rPr>
          <w:rFonts w:ascii="Times New Roman" w:hAnsi="Times New Roman" w:cs="Times New Roman"/>
          <w:color w:val="000000" w:themeColor="text1"/>
          <w:sz w:val="28"/>
          <w:szCs w:val="28"/>
          <w:lang w:val="uk-UA"/>
        </w:rPr>
        <w:t xml:space="preserve"> </w:t>
      </w:r>
      <w:r w:rsidRPr="009144E7">
        <w:rPr>
          <w:rFonts w:ascii="Times New Roman" w:hAnsi="Times New Roman" w:cs="Times New Roman"/>
          <w:color w:val="FF0000"/>
          <w:sz w:val="28"/>
          <w:szCs w:val="28"/>
          <w:lang w:val="uk-UA"/>
        </w:rPr>
        <w:t xml:space="preserve"> </w:t>
      </w:r>
    </w:p>
    <w:p w:rsidR="009144E7" w:rsidRPr="009144E7" w:rsidRDefault="009144E7" w:rsidP="009144E7">
      <w:pPr>
        <w:spacing w:after="0" w:line="360" w:lineRule="auto"/>
        <w:ind w:firstLine="709"/>
        <w:jc w:val="both"/>
        <w:rPr>
          <w:sz w:val="28"/>
          <w:szCs w:val="28"/>
          <w:lang w:val="uk-UA"/>
        </w:rPr>
      </w:pPr>
      <w:r w:rsidRPr="009144E7">
        <w:rPr>
          <w:rFonts w:ascii="Times New Roman" w:hAnsi="Times New Roman" w:cs="Times New Roman"/>
          <w:color w:val="000000" w:themeColor="text1"/>
          <w:sz w:val="28"/>
          <w:szCs w:val="28"/>
          <w:lang w:val="uk-UA"/>
        </w:rPr>
        <w:t xml:space="preserve">Визначення факторів, що пов’язані з виявленням плазмідних генів  резистентності у хворих на ХП, дозволяє відокремити основні категорії хворих, яким доцільно в план обстеження </w:t>
      </w:r>
      <w:r w:rsidRPr="009144E7">
        <w:rPr>
          <w:rFonts w:ascii="Times New Roman" w:hAnsi="Times New Roman" w:cs="Times New Roman"/>
          <w:sz w:val="28"/>
          <w:szCs w:val="28"/>
          <w:lang w:val="uk-UA"/>
        </w:rPr>
        <w:t xml:space="preserve">включати дослідження експресії </w:t>
      </w:r>
      <w:r w:rsidRPr="009144E7">
        <w:rPr>
          <w:rFonts w:ascii="Times New Roman" w:hAnsi="Times New Roman" w:cs="Times New Roman"/>
          <w:sz w:val="28"/>
          <w:szCs w:val="28"/>
          <w:lang w:val="uk-UA"/>
        </w:rPr>
        <w:lastRenderedPageBreak/>
        <w:t xml:space="preserve">плазмід-індукованих механізмів резистентності. В нашому дослідженні було визначено, що у пацієнтів, які </w:t>
      </w:r>
      <w:r w:rsidRPr="009144E7">
        <w:rPr>
          <w:rFonts w:cstheme="minorHAnsi"/>
          <w:sz w:val="28"/>
          <w:szCs w:val="28"/>
          <w:lang w:val="uk-UA"/>
        </w:rPr>
        <w:t xml:space="preserve">страждають ХП на тлі ХХН ІІІ та ІV стадій; або із супутніми: </w:t>
      </w:r>
      <w:r w:rsidRPr="009144E7">
        <w:rPr>
          <w:sz w:val="28"/>
          <w:szCs w:val="28"/>
          <w:lang w:val="uk-UA"/>
        </w:rPr>
        <w:t>обструкцією сечовивідних шляхів;</w:t>
      </w:r>
      <w:r w:rsidRPr="009144E7">
        <w:rPr>
          <w:rFonts w:cstheme="minorHAnsi"/>
          <w:sz w:val="28"/>
          <w:szCs w:val="28"/>
          <w:lang w:val="uk-UA"/>
        </w:rPr>
        <w:t xml:space="preserve"> </w:t>
      </w:r>
      <w:r w:rsidRPr="009144E7">
        <w:rPr>
          <w:sz w:val="28"/>
          <w:szCs w:val="28"/>
          <w:lang w:val="uk-UA"/>
        </w:rPr>
        <w:t xml:space="preserve">артеріальною гіпертензією; наявністю епізодів перенесеного простатиту або циститу, можливість колонізації сечової системи бактеріями з плазмідними генами резистентності достовірно вище. Отримані нами результати узгоджуються з даними </w:t>
      </w:r>
      <w:r w:rsidRPr="009144E7">
        <w:rPr>
          <w:rFonts w:ascii="Times New Roman" w:hAnsi="Times New Roman" w:cs="Times New Roman"/>
          <w:color w:val="000000"/>
          <w:sz w:val="28"/>
          <w:szCs w:val="28"/>
          <w:lang w:val="en-US"/>
        </w:rPr>
        <w:t>Freeman</w:t>
      </w:r>
      <w:r w:rsidRPr="009144E7">
        <w:rPr>
          <w:rFonts w:ascii="Times New Roman" w:hAnsi="Times New Roman" w:cs="Times New Roman"/>
          <w:color w:val="000000"/>
          <w:sz w:val="28"/>
          <w:szCs w:val="28"/>
          <w:lang w:val="uk-UA"/>
        </w:rPr>
        <w:t xml:space="preserve"> </w:t>
      </w:r>
      <w:r w:rsidRPr="009144E7">
        <w:rPr>
          <w:rFonts w:ascii="Times New Roman" w:hAnsi="Times New Roman" w:cs="Times New Roman"/>
          <w:color w:val="000000"/>
          <w:sz w:val="28"/>
          <w:szCs w:val="28"/>
          <w:lang w:val="en-US"/>
        </w:rPr>
        <w:t>JT</w:t>
      </w:r>
      <w:r w:rsidRPr="009144E7">
        <w:rPr>
          <w:rFonts w:ascii="Times New Roman" w:hAnsi="Times New Roman" w:cs="Times New Roman"/>
          <w:color w:val="000000"/>
          <w:sz w:val="28"/>
          <w:szCs w:val="28"/>
          <w:lang w:val="uk-UA"/>
        </w:rPr>
        <w:t xml:space="preserve"> та співавт., що продемонстрували</w:t>
      </w:r>
      <w:r w:rsidRPr="009144E7">
        <w:rPr>
          <w:sz w:val="28"/>
          <w:szCs w:val="28"/>
          <w:lang w:val="uk-UA"/>
        </w:rPr>
        <w:t xml:space="preserve"> високу питому вагу плазмідних генів резистентності серед хворих із ЦД (23,9%), хронічним захворюванням легень (15,2%), у хворих лейкозом (13%) і у пацієнтів, що мають солідні новоутворення (18,5%), та рецидивуючим перебігом ІСС (43%) </w:t>
      </w:r>
      <w:r w:rsidRPr="009144E7">
        <w:rPr>
          <w:rFonts w:cstheme="minorHAnsi"/>
          <w:sz w:val="28"/>
          <w:szCs w:val="28"/>
          <w:lang w:val="uk-UA"/>
        </w:rPr>
        <w:t>[</w:t>
      </w:r>
      <w:r w:rsidRPr="009144E7">
        <w:rPr>
          <w:rFonts w:ascii="Times New Roman" w:hAnsi="Times New Roman" w:cs="Times New Roman"/>
          <w:color w:val="000000"/>
          <w:sz w:val="28"/>
          <w:szCs w:val="28"/>
          <w:lang w:val="uk-UA"/>
        </w:rPr>
        <w:t>45</w:t>
      </w:r>
      <w:r w:rsidRPr="009144E7">
        <w:rPr>
          <w:rFonts w:cstheme="minorHAnsi"/>
          <w:sz w:val="28"/>
          <w:szCs w:val="28"/>
          <w:lang w:val="uk-UA"/>
        </w:rPr>
        <w:t xml:space="preserve">]. В іншому дослідженні, проведеному </w:t>
      </w:r>
      <w:r w:rsidRPr="009144E7">
        <w:rPr>
          <w:sz w:val="28"/>
          <w:szCs w:val="28"/>
          <w:lang w:val="uk-UA"/>
        </w:rPr>
        <w:t xml:space="preserve">в Кореї, висока частота колонізації сечової системи бактеріями з плазмідними генами резистентності була виявлена у хворих із термінальною нирковою недостатністю (13%), цукровим діабетом (25,9%), захворюванням простати (54%), та солідними новоутвореннями (22,2%) </w:t>
      </w:r>
      <w:r w:rsidRPr="009144E7">
        <w:rPr>
          <w:rFonts w:cstheme="minorHAnsi"/>
          <w:bCs/>
          <w:color w:val="000000" w:themeColor="text1"/>
          <w:sz w:val="28"/>
          <w:szCs w:val="28"/>
          <w:lang w:val="uk-UA"/>
        </w:rPr>
        <w:t>[</w:t>
      </w:r>
      <w:r w:rsidRPr="009144E7">
        <w:rPr>
          <w:rFonts w:cstheme="minorHAnsi"/>
          <w:sz w:val="28"/>
          <w:szCs w:val="28"/>
          <w:bdr w:val="none" w:sz="0" w:space="0" w:color="auto" w:frame="1"/>
          <w:shd w:val="clear" w:color="auto" w:fill="FFFFFF"/>
          <w:lang w:val="uk-UA"/>
        </w:rPr>
        <w:t>65</w:t>
      </w:r>
      <w:r w:rsidRPr="009144E7">
        <w:rPr>
          <w:rFonts w:cstheme="minorHAnsi"/>
          <w:color w:val="000000" w:themeColor="text1"/>
          <w:sz w:val="28"/>
          <w:szCs w:val="28"/>
          <w:lang w:val="uk-UA"/>
        </w:rPr>
        <w:t>].</w:t>
      </w:r>
      <w:r w:rsidRPr="009144E7">
        <w:rPr>
          <w:sz w:val="28"/>
          <w:szCs w:val="28"/>
          <w:lang w:val="uk-UA"/>
        </w:rPr>
        <w:t xml:space="preserve"> </w:t>
      </w:r>
    </w:p>
    <w:p w:rsidR="009144E7" w:rsidRPr="009144E7" w:rsidRDefault="009144E7" w:rsidP="009144E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144E7">
        <w:rPr>
          <w:sz w:val="28"/>
          <w:szCs w:val="28"/>
          <w:lang w:val="uk-UA"/>
        </w:rPr>
        <w:t xml:space="preserve">Крім того, було визначено фактори ризику, </w:t>
      </w:r>
      <w:r w:rsidRPr="009144E7">
        <w:rPr>
          <w:rFonts w:cstheme="minorHAnsi"/>
          <w:color w:val="000000" w:themeColor="text1"/>
          <w:sz w:val="28"/>
          <w:szCs w:val="28"/>
          <w:lang w:val="uk-UA"/>
        </w:rPr>
        <w:t xml:space="preserve">достовірно пов’язані з виявленням плазмід-індукованих </w:t>
      </w:r>
      <w:r w:rsidRPr="009144E7">
        <w:rPr>
          <w:rFonts w:ascii="Times New Roman" w:hAnsi="Times New Roman" w:cs="Times New Roman"/>
          <w:sz w:val="28"/>
          <w:szCs w:val="28"/>
        </w:rPr>
        <w:t>β</w:t>
      </w:r>
      <w:r w:rsidRPr="009144E7">
        <w:rPr>
          <w:rFonts w:ascii="Times New Roman" w:hAnsi="Times New Roman" w:cs="Times New Roman"/>
          <w:sz w:val="28"/>
          <w:szCs w:val="28"/>
          <w:lang w:val="uk-UA"/>
        </w:rPr>
        <w:t xml:space="preserve">ЛРС: </w:t>
      </w:r>
      <w:r w:rsidRPr="009144E7">
        <w:rPr>
          <w:rFonts w:cstheme="minorHAnsi"/>
          <w:color w:val="000000" w:themeColor="text1"/>
          <w:sz w:val="28"/>
          <w:szCs w:val="28"/>
          <w:lang w:val="uk-UA"/>
        </w:rPr>
        <w:t>вік 55 років і вище (</w:t>
      </w:r>
      <w:r w:rsidRPr="009144E7">
        <w:rPr>
          <w:sz w:val="28"/>
          <w:szCs w:val="28"/>
          <w:lang w:val="uk-UA"/>
        </w:rPr>
        <w:t xml:space="preserve">53%, </w:t>
      </w:r>
      <w:r w:rsidRPr="009144E7">
        <w:rPr>
          <w:rFonts w:ascii="Times New Roman" w:hAnsi="Times New Roman" w:cs="Times New Roman"/>
          <w:sz w:val="28"/>
          <w:szCs w:val="28"/>
          <w:lang w:val="uk-UA"/>
        </w:rPr>
        <w:t>р≤0,05</w:t>
      </w:r>
      <w:r w:rsidRPr="009144E7">
        <w:rPr>
          <w:rFonts w:cstheme="minorHAnsi"/>
          <w:color w:val="000000" w:themeColor="text1"/>
          <w:sz w:val="28"/>
          <w:szCs w:val="28"/>
          <w:lang w:val="uk-UA"/>
        </w:rPr>
        <w:t>), факт стаціонарного лікування упродовж останнього року (</w:t>
      </w:r>
      <w:r w:rsidRPr="009144E7">
        <w:rPr>
          <w:sz w:val="28"/>
          <w:szCs w:val="28"/>
          <w:lang w:val="uk-UA"/>
        </w:rPr>
        <w:t xml:space="preserve">70,8%, </w:t>
      </w:r>
      <w:r w:rsidRPr="009144E7">
        <w:rPr>
          <w:rFonts w:ascii="Times New Roman" w:hAnsi="Times New Roman" w:cs="Times New Roman"/>
          <w:sz w:val="28"/>
          <w:szCs w:val="28"/>
          <w:lang w:val="uk-UA"/>
        </w:rPr>
        <w:t>р≤0,05</w:t>
      </w:r>
      <w:r w:rsidRPr="009144E7">
        <w:rPr>
          <w:rFonts w:cstheme="minorHAnsi"/>
          <w:color w:val="000000" w:themeColor="text1"/>
          <w:sz w:val="28"/>
          <w:szCs w:val="28"/>
          <w:lang w:val="uk-UA"/>
        </w:rPr>
        <w:t>), прийом β-лактамів та фторхінолонів з різних причин у поточному році (</w:t>
      </w:r>
      <w:r w:rsidRPr="009144E7">
        <w:rPr>
          <w:sz w:val="28"/>
          <w:szCs w:val="28"/>
          <w:lang w:val="uk-UA"/>
        </w:rPr>
        <w:t xml:space="preserve">44,7%, </w:t>
      </w:r>
      <w:r w:rsidRPr="009144E7">
        <w:rPr>
          <w:rFonts w:ascii="Times New Roman" w:hAnsi="Times New Roman" w:cs="Times New Roman"/>
          <w:sz w:val="28"/>
          <w:szCs w:val="28"/>
          <w:lang w:val="uk-UA"/>
        </w:rPr>
        <w:t>р≤0,05</w:t>
      </w:r>
      <w:r w:rsidRPr="009144E7">
        <w:rPr>
          <w:rFonts w:cstheme="minorHAnsi"/>
          <w:color w:val="000000" w:themeColor="text1"/>
          <w:sz w:val="28"/>
          <w:szCs w:val="28"/>
          <w:lang w:val="uk-UA"/>
        </w:rPr>
        <w:t>).</w:t>
      </w:r>
      <w:r w:rsidRPr="009144E7">
        <w:rPr>
          <w:sz w:val="28"/>
          <w:szCs w:val="28"/>
          <w:lang w:val="uk-UA"/>
        </w:rPr>
        <w:t xml:space="preserve"> Отримані нами результати підтверджуються даними ряду  досліджень,  згідно яких до факторів ризику </w:t>
      </w:r>
      <w:r w:rsidRPr="009144E7">
        <w:rPr>
          <w:rFonts w:ascii="Times New Roman" w:hAnsi="Times New Roman" w:cs="Times New Roman"/>
          <w:sz w:val="28"/>
          <w:szCs w:val="28"/>
          <w:lang w:val="uk-UA"/>
        </w:rPr>
        <w:t xml:space="preserve">колонізації або інфекції, спричинених </w:t>
      </w:r>
      <w:r w:rsidRPr="009144E7">
        <w:rPr>
          <w:rFonts w:ascii="Times New Roman" w:hAnsi="Times New Roman" w:cs="Times New Roman"/>
          <w:sz w:val="28"/>
          <w:szCs w:val="28"/>
        </w:rPr>
        <w:t>β</w:t>
      </w:r>
      <w:r w:rsidRPr="009144E7">
        <w:rPr>
          <w:rFonts w:ascii="Times New Roman" w:hAnsi="Times New Roman" w:cs="Times New Roman"/>
          <w:sz w:val="28"/>
          <w:szCs w:val="28"/>
          <w:lang w:val="uk-UA"/>
        </w:rPr>
        <w:t>ЛРС-продукуючими організмами, відносять: чоловічу стать (65,2%, р≤0,05); вік 65 років і вище (51,9%, р≤0,05); випадок не давньої госпіталізації (95%, р≤0,001); лікування в попередні 3 місяці цефалоспоринами, пеніцилінами та фторхінолонами (95%, р≤0,001); захворювання простати (95%, р≤0,05) [</w:t>
      </w:r>
      <w:r w:rsidRPr="009144E7">
        <w:rPr>
          <w:rFonts w:ascii="Times New Roman" w:eastAsia="Times New Roman" w:hAnsi="Times New Roman" w:cs="Times New Roman"/>
          <w:color w:val="000000" w:themeColor="text1"/>
          <w:sz w:val="28"/>
          <w:szCs w:val="28"/>
          <w:lang w:val="uk-UA" w:eastAsia="ru-RU"/>
        </w:rPr>
        <w:t xml:space="preserve">18, 65, 55, 122]. </w:t>
      </w:r>
    </w:p>
    <w:p w:rsidR="009144E7" w:rsidRPr="009144E7" w:rsidRDefault="009144E7" w:rsidP="009144E7">
      <w:pPr>
        <w:spacing w:line="360" w:lineRule="auto"/>
        <w:ind w:firstLine="709"/>
        <w:jc w:val="both"/>
        <w:rPr>
          <w:sz w:val="28"/>
          <w:szCs w:val="28"/>
          <w:lang w:val="uk-UA"/>
        </w:rPr>
      </w:pPr>
      <w:r w:rsidRPr="009144E7">
        <w:rPr>
          <w:rFonts w:ascii="Times New Roman" w:eastAsia="Times New Roman" w:hAnsi="Times New Roman" w:cs="Times New Roman"/>
          <w:color w:val="000000" w:themeColor="text1"/>
          <w:sz w:val="28"/>
          <w:szCs w:val="28"/>
          <w:lang w:val="uk-UA" w:eastAsia="ru-RU"/>
        </w:rPr>
        <w:t xml:space="preserve">До факторів ризику, що були пов’язані з виявленням плазмід-індукованих механізмів резистентності до фторхінолонів, можна віднести: </w:t>
      </w:r>
      <w:r w:rsidRPr="009144E7">
        <w:rPr>
          <w:sz w:val="28"/>
          <w:szCs w:val="28"/>
          <w:lang w:val="uk-UA"/>
        </w:rPr>
        <w:t>чоловічу стать, вік старше 55 років, та тривалість ХП до 5 років.</w:t>
      </w:r>
      <w:r w:rsidRPr="009144E7">
        <w:rPr>
          <w:rFonts w:ascii="Times New Roman" w:eastAsia="Times New Roman" w:hAnsi="Times New Roman" w:cs="Times New Roman"/>
          <w:color w:val="000000" w:themeColor="text1"/>
          <w:sz w:val="28"/>
          <w:szCs w:val="28"/>
          <w:lang w:val="uk-UA" w:eastAsia="ru-RU"/>
        </w:rPr>
        <w:t xml:space="preserve"> Проте, згідно з даними </w:t>
      </w:r>
      <w:r w:rsidRPr="009144E7">
        <w:rPr>
          <w:rFonts w:cstheme="minorHAnsi"/>
          <w:bCs/>
          <w:iCs/>
          <w:color w:val="000000"/>
          <w:sz w:val="28"/>
          <w:szCs w:val="28"/>
          <w:shd w:val="clear" w:color="auto" w:fill="FFFFFF"/>
          <w:lang w:val="en-US"/>
        </w:rPr>
        <w:t>Ver</w:t>
      </w:r>
      <w:r w:rsidRPr="009144E7">
        <w:rPr>
          <w:rFonts w:cstheme="minorHAnsi"/>
          <w:bCs/>
          <w:iCs/>
          <w:color w:val="000000"/>
          <w:sz w:val="28"/>
          <w:szCs w:val="28"/>
          <w:shd w:val="clear" w:color="auto" w:fill="FFFFFF"/>
          <w:lang w:val="uk-UA"/>
        </w:rPr>
        <w:t>ó</w:t>
      </w:r>
      <w:r w:rsidRPr="009144E7">
        <w:rPr>
          <w:rFonts w:cstheme="minorHAnsi"/>
          <w:bCs/>
          <w:iCs/>
          <w:color w:val="000000"/>
          <w:sz w:val="28"/>
          <w:szCs w:val="28"/>
          <w:shd w:val="clear" w:color="auto" w:fill="FFFFFF"/>
          <w:lang w:val="en-US"/>
        </w:rPr>
        <w:t>nica</w:t>
      </w:r>
      <w:r w:rsidRPr="009144E7">
        <w:rPr>
          <w:rFonts w:cstheme="minorHAnsi"/>
          <w:bCs/>
          <w:iCs/>
          <w:color w:val="000000"/>
          <w:sz w:val="28"/>
          <w:szCs w:val="28"/>
          <w:shd w:val="clear" w:color="auto" w:fill="FFFFFF"/>
          <w:lang w:val="uk-UA"/>
        </w:rPr>
        <w:t xml:space="preserve"> </w:t>
      </w:r>
      <w:r w:rsidRPr="009144E7">
        <w:rPr>
          <w:rFonts w:cstheme="minorHAnsi"/>
          <w:bCs/>
          <w:iCs/>
          <w:color w:val="000000"/>
          <w:sz w:val="28"/>
          <w:szCs w:val="28"/>
          <w:shd w:val="clear" w:color="auto" w:fill="FFFFFF"/>
          <w:lang w:val="en-US"/>
        </w:rPr>
        <w:t>Seija</w:t>
      </w:r>
      <w:r w:rsidRPr="009144E7">
        <w:rPr>
          <w:rFonts w:eastAsia="Times New Roman" w:cstheme="minorHAnsi"/>
          <w:color w:val="000000"/>
          <w:sz w:val="28"/>
          <w:szCs w:val="28"/>
          <w:lang w:val="uk-UA" w:eastAsia="ru-RU"/>
        </w:rPr>
        <w:t xml:space="preserve"> і співавт. та </w:t>
      </w:r>
      <w:r w:rsidRPr="009144E7">
        <w:rPr>
          <w:rFonts w:eastAsia="Times New Roman" w:cstheme="minorHAnsi"/>
          <w:sz w:val="28"/>
          <w:szCs w:val="28"/>
          <w:lang w:val="en-US" w:eastAsia="ru-RU"/>
        </w:rPr>
        <w:t>Smithson</w:t>
      </w:r>
      <w:r w:rsidRPr="009144E7">
        <w:rPr>
          <w:rFonts w:eastAsia="Times New Roman" w:cstheme="minorHAnsi"/>
          <w:sz w:val="28"/>
          <w:szCs w:val="28"/>
          <w:lang w:val="uk-UA" w:eastAsia="ru-RU"/>
        </w:rPr>
        <w:t xml:space="preserve"> </w:t>
      </w:r>
      <w:r w:rsidRPr="009144E7">
        <w:rPr>
          <w:rFonts w:eastAsia="Times New Roman" w:cstheme="minorHAnsi"/>
          <w:sz w:val="28"/>
          <w:szCs w:val="28"/>
          <w:lang w:val="en-US" w:eastAsia="ru-RU"/>
        </w:rPr>
        <w:t>A</w:t>
      </w:r>
      <w:r w:rsidRPr="009144E7">
        <w:rPr>
          <w:rFonts w:eastAsia="Times New Roman" w:cstheme="minorHAnsi"/>
          <w:sz w:val="28"/>
          <w:szCs w:val="28"/>
          <w:lang w:val="uk-UA" w:eastAsia="ru-RU"/>
        </w:rPr>
        <w:t xml:space="preserve"> і співавт.,</w:t>
      </w:r>
      <w:r w:rsidRPr="009144E7">
        <w:rPr>
          <w:rFonts w:ascii="Times New Roman" w:hAnsi="Times New Roman" w:cs="Times New Roman"/>
          <w:sz w:val="28"/>
          <w:szCs w:val="28"/>
          <w:lang w:val="uk-UA"/>
        </w:rPr>
        <w:t xml:space="preserve"> факторами </w:t>
      </w:r>
      <w:r w:rsidRPr="009144E7">
        <w:rPr>
          <w:rFonts w:ascii="Times New Roman" w:hAnsi="Times New Roman" w:cs="Times New Roman"/>
          <w:sz w:val="28"/>
          <w:szCs w:val="28"/>
          <w:lang w:val="uk-UA"/>
        </w:rPr>
        <w:lastRenderedPageBreak/>
        <w:t>ризику колонізації сечової системи уропатогенами з плазмідними механізмами резистентності до фторхінолонів, були визначені: вік старше 60 років (</w:t>
      </w:r>
      <w:r w:rsidRPr="009144E7">
        <w:rPr>
          <w:rFonts w:ascii="Times New Roman" w:hAnsi="Times New Roman" w:cs="Times New Roman"/>
          <w:sz w:val="28"/>
          <w:szCs w:val="28"/>
          <w:lang w:val="en-US"/>
        </w:rPr>
        <w:t>OR</w:t>
      </w:r>
      <w:r w:rsidRPr="009144E7">
        <w:rPr>
          <w:rFonts w:ascii="Times New Roman" w:hAnsi="Times New Roman" w:cs="Times New Roman"/>
          <w:sz w:val="28"/>
          <w:szCs w:val="28"/>
          <w:lang w:val="uk-UA"/>
        </w:rPr>
        <w:t xml:space="preserve"> 2,52), наявність обструкції сечових шляхів (</w:t>
      </w:r>
      <w:r w:rsidRPr="009144E7">
        <w:rPr>
          <w:rFonts w:ascii="Times New Roman" w:hAnsi="Times New Roman" w:cs="Times New Roman"/>
          <w:sz w:val="28"/>
          <w:szCs w:val="28"/>
          <w:lang w:val="en-US"/>
        </w:rPr>
        <w:t>OR</w:t>
      </w:r>
      <w:r w:rsidRPr="009144E7">
        <w:rPr>
          <w:rFonts w:ascii="Times New Roman" w:hAnsi="Times New Roman" w:cs="Times New Roman"/>
          <w:sz w:val="28"/>
          <w:szCs w:val="28"/>
          <w:lang w:val="uk-UA"/>
        </w:rPr>
        <w:t xml:space="preserve"> 2,09), епізод рецидиву ІСС у минулому (</w:t>
      </w:r>
      <w:r w:rsidRPr="009144E7">
        <w:rPr>
          <w:rFonts w:ascii="Times New Roman" w:hAnsi="Times New Roman" w:cs="Times New Roman"/>
          <w:sz w:val="28"/>
          <w:szCs w:val="28"/>
          <w:lang w:val="en-US"/>
        </w:rPr>
        <w:t>OR</w:t>
      </w:r>
      <w:r w:rsidRPr="009144E7">
        <w:rPr>
          <w:rFonts w:ascii="Times New Roman" w:hAnsi="Times New Roman" w:cs="Times New Roman"/>
          <w:sz w:val="28"/>
          <w:szCs w:val="28"/>
          <w:lang w:val="uk-UA"/>
        </w:rPr>
        <w:t xml:space="preserve"> 2,98), та прийом фторхінолонів у попередні 3 місяця (</w:t>
      </w:r>
      <w:r w:rsidRPr="009144E7">
        <w:rPr>
          <w:rFonts w:ascii="Times New Roman" w:hAnsi="Times New Roman" w:cs="Times New Roman"/>
          <w:sz w:val="28"/>
          <w:szCs w:val="28"/>
          <w:lang w:val="en-US"/>
        </w:rPr>
        <w:t>OR</w:t>
      </w:r>
      <w:r w:rsidRPr="009144E7">
        <w:rPr>
          <w:rFonts w:ascii="Times New Roman" w:hAnsi="Times New Roman" w:cs="Times New Roman"/>
          <w:sz w:val="28"/>
          <w:szCs w:val="28"/>
          <w:lang w:val="uk-UA"/>
        </w:rPr>
        <w:t xml:space="preserve"> 4,27) [126, </w:t>
      </w:r>
      <w:r w:rsidRPr="009144E7">
        <w:rPr>
          <w:rFonts w:cstheme="minorHAnsi"/>
          <w:bCs/>
          <w:iCs/>
          <w:color w:val="000000"/>
          <w:sz w:val="28"/>
          <w:szCs w:val="28"/>
          <w:shd w:val="clear" w:color="auto" w:fill="FFFFFF"/>
          <w:lang w:val="uk-UA"/>
        </w:rPr>
        <w:t>112</w:t>
      </w:r>
      <w:r w:rsidRPr="009144E7">
        <w:rPr>
          <w:rFonts w:eastAsia="Times New Roman" w:cstheme="minorHAnsi"/>
          <w:sz w:val="28"/>
          <w:szCs w:val="28"/>
          <w:lang w:val="uk-UA" w:eastAsia="ru-RU"/>
        </w:rPr>
        <w:t>].</w:t>
      </w:r>
      <w:r w:rsidRPr="009144E7">
        <w:rPr>
          <w:rFonts w:eastAsia="Times New Roman" w:cstheme="minorHAnsi"/>
          <w:color w:val="000000"/>
          <w:sz w:val="28"/>
          <w:szCs w:val="28"/>
          <w:lang w:val="uk-UA" w:eastAsia="ru-RU"/>
        </w:rPr>
        <w:t xml:space="preserve"> </w:t>
      </w:r>
    </w:p>
    <w:p w:rsidR="009144E7" w:rsidRPr="009144E7" w:rsidRDefault="009144E7" w:rsidP="009144E7">
      <w:pPr>
        <w:spacing w:before="240" w:line="360" w:lineRule="auto"/>
        <w:ind w:firstLine="709"/>
        <w:jc w:val="both"/>
        <w:rPr>
          <w:sz w:val="28"/>
          <w:szCs w:val="28"/>
          <w:lang w:val="uk-UA"/>
        </w:rPr>
      </w:pPr>
      <w:r w:rsidRPr="009144E7">
        <w:rPr>
          <w:sz w:val="28"/>
          <w:szCs w:val="28"/>
          <w:lang w:val="uk-UA"/>
        </w:rPr>
        <w:t xml:space="preserve">Висновки. </w:t>
      </w:r>
    </w:p>
    <w:p w:rsidR="009144E7" w:rsidRPr="009144E7" w:rsidRDefault="009144E7" w:rsidP="009144E7">
      <w:pPr>
        <w:numPr>
          <w:ilvl w:val="0"/>
          <w:numId w:val="6"/>
        </w:numPr>
        <w:spacing w:before="240" w:line="360" w:lineRule="auto"/>
        <w:contextualSpacing/>
        <w:jc w:val="both"/>
        <w:rPr>
          <w:sz w:val="28"/>
          <w:szCs w:val="28"/>
          <w:lang w:val="uk-UA"/>
        </w:rPr>
      </w:pPr>
      <w:r w:rsidRPr="009144E7">
        <w:rPr>
          <w:sz w:val="28"/>
          <w:szCs w:val="28"/>
          <w:lang w:val="uk-UA"/>
        </w:rPr>
        <w:t xml:space="preserve">Достовірними факторами, що сприяли колонізації сечового тракту бактеріями с плазмідними генами стійкості виявлені: чоловіча стать, вік старше 55 років, тривалість ХП більше 10 років, </w:t>
      </w:r>
      <w:r w:rsidRPr="009144E7">
        <w:rPr>
          <w:rFonts w:cstheme="minorHAnsi"/>
          <w:color w:val="000000" w:themeColor="text1"/>
          <w:sz w:val="28"/>
          <w:szCs w:val="28"/>
          <w:lang w:val="uk-UA"/>
        </w:rPr>
        <w:t>факт стаціонарного лікування упродовж останнього року, прийом β-лактамів та фторхінолонів з різних причин у поточному році.</w:t>
      </w:r>
    </w:p>
    <w:p w:rsidR="009144E7" w:rsidRPr="009144E7" w:rsidRDefault="009144E7" w:rsidP="009144E7">
      <w:pPr>
        <w:numPr>
          <w:ilvl w:val="0"/>
          <w:numId w:val="6"/>
        </w:numPr>
        <w:spacing w:before="240" w:line="360" w:lineRule="auto"/>
        <w:contextualSpacing/>
        <w:jc w:val="both"/>
        <w:rPr>
          <w:sz w:val="28"/>
          <w:szCs w:val="28"/>
          <w:lang w:val="uk-UA"/>
        </w:rPr>
      </w:pPr>
      <w:r w:rsidRPr="009144E7">
        <w:rPr>
          <w:sz w:val="28"/>
          <w:szCs w:val="28"/>
          <w:lang w:val="uk-UA"/>
        </w:rPr>
        <w:t xml:space="preserve">Хворим із </w:t>
      </w:r>
      <w:r w:rsidRPr="009144E7">
        <w:rPr>
          <w:rFonts w:cstheme="minorHAnsi"/>
          <w:sz w:val="28"/>
          <w:szCs w:val="28"/>
          <w:lang w:val="uk-UA"/>
        </w:rPr>
        <w:t xml:space="preserve">ХП і ЦД 2 типу на тлі ХХН ІІІ та ІV стадій; або із супутніми: </w:t>
      </w:r>
      <w:r w:rsidRPr="009144E7">
        <w:rPr>
          <w:sz w:val="28"/>
          <w:szCs w:val="28"/>
          <w:lang w:val="uk-UA"/>
        </w:rPr>
        <w:t>обструкцією сечовивідних шляхів;</w:t>
      </w:r>
      <w:r w:rsidRPr="009144E7">
        <w:rPr>
          <w:rFonts w:cstheme="minorHAnsi"/>
          <w:sz w:val="28"/>
          <w:szCs w:val="28"/>
          <w:lang w:val="uk-UA"/>
        </w:rPr>
        <w:t xml:space="preserve"> </w:t>
      </w:r>
      <w:r w:rsidRPr="009144E7">
        <w:rPr>
          <w:sz w:val="28"/>
          <w:szCs w:val="28"/>
          <w:lang w:val="uk-UA"/>
        </w:rPr>
        <w:t xml:space="preserve">артеріальною гіпертензією; наявністю епізодів перенесеного простатиту або циститу, а також наявністю факторів ризику доцільно в план обстеження включати дослідження експресії плазмід-індукованих механізмів резистентності. </w:t>
      </w:r>
    </w:p>
    <w:p w:rsidR="009144E7" w:rsidRPr="009144E7" w:rsidRDefault="009144E7" w:rsidP="009144E7">
      <w:pPr>
        <w:spacing w:line="360" w:lineRule="auto"/>
        <w:jc w:val="right"/>
        <w:rPr>
          <w:sz w:val="28"/>
          <w:szCs w:val="28"/>
          <w:lang w:val="uk-UA"/>
        </w:rPr>
      </w:pPr>
    </w:p>
    <w:p w:rsidR="009144E7" w:rsidRPr="009144E7" w:rsidRDefault="009144E7" w:rsidP="009144E7">
      <w:pPr>
        <w:spacing w:line="360" w:lineRule="auto"/>
        <w:jc w:val="right"/>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807701" w:rsidRPr="00807701" w:rsidRDefault="00807701" w:rsidP="00807701">
      <w:pPr>
        <w:spacing w:line="360" w:lineRule="auto"/>
        <w:rPr>
          <w:b/>
          <w:sz w:val="28"/>
          <w:szCs w:val="28"/>
          <w:lang w:val="uk-UA"/>
        </w:rPr>
      </w:pPr>
      <w:r w:rsidRPr="00807701">
        <w:rPr>
          <w:b/>
          <w:sz w:val="28"/>
          <w:szCs w:val="28"/>
          <w:lang w:val="uk-UA"/>
        </w:rPr>
        <w:lastRenderedPageBreak/>
        <w:t>3.3 ВЗАЄМОЗВ</w:t>
      </w:r>
      <w:r w:rsidRPr="00807701">
        <w:rPr>
          <w:rFonts w:cstheme="minorHAnsi"/>
          <w:b/>
          <w:sz w:val="28"/>
          <w:szCs w:val="28"/>
          <w:lang w:val="uk-UA"/>
        </w:rPr>
        <w:t>'</w:t>
      </w:r>
      <w:r w:rsidRPr="00807701">
        <w:rPr>
          <w:b/>
          <w:sz w:val="28"/>
          <w:szCs w:val="28"/>
          <w:lang w:val="uk-UA"/>
        </w:rPr>
        <w:t xml:space="preserve">ЯЗОК РЕЗИСТЕНТНОСТІ </w:t>
      </w:r>
      <w:r w:rsidRPr="00807701">
        <w:rPr>
          <w:b/>
          <w:sz w:val="28"/>
          <w:szCs w:val="28"/>
          <w:lang w:val="en-US"/>
        </w:rPr>
        <w:t>IN</w:t>
      </w:r>
      <w:r w:rsidRPr="00807701">
        <w:rPr>
          <w:b/>
          <w:sz w:val="28"/>
          <w:szCs w:val="28"/>
          <w:lang w:val="uk-UA"/>
        </w:rPr>
        <w:t xml:space="preserve"> </w:t>
      </w:r>
      <w:r w:rsidRPr="00807701">
        <w:rPr>
          <w:b/>
          <w:sz w:val="28"/>
          <w:szCs w:val="28"/>
          <w:lang w:val="en-US"/>
        </w:rPr>
        <w:t>VITRO</w:t>
      </w:r>
      <w:r w:rsidRPr="00807701">
        <w:rPr>
          <w:b/>
          <w:sz w:val="28"/>
          <w:szCs w:val="28"/>
          <w:lang w:val="uk-UA"/>
        </w:rPr>
        <w:t xml:space="preserve"> ДО </w:t>
      </w:r>
      <w:r w:rsidRPr="00807701">
        <w:rPr>
          <w:rFonts w:cstheme="minorHAnsi"/>
          <w:b/>
          <w:sz w:val="28"/>
          <w:szCs w:val="28"/>
          <w:lang w:val="uk-UA"/>
        </w:rPr>
        <w:t>β</w:t>
      </w:r>
      <w:r w:rsidRPr="00807701">
        <w:rPr>
          <w:b/>
          <w:sz w:val="28"/>
          <w:szCs w:val="28"/>
          <w:lang w:val="uk-UA"/>
        </w:rPr>
        <w:t>-ЛАКТАМІВ ТА ФТОРХІНОЛОНІВ З НАЯВНІСТЮ ПЛАЗМІД-ІНДУКОВАНИХ МЕХАНІЗМІВ РЕЗИСТЕНТНОСТІ</w:t>
      </w:r>
    </w:p>
    <w:p w:rsidR="00807701" w:rsidRPr="00807701" w:rsidRDefault="00807701" w:rsidP="00807701">
      <w:pPr>
        <w:autoSpaceDE w:val="0"/>
        <w:autoSpaceDN w:val="0"/>
        <w:adjustRightInd w:val="0"/>
        <w:spacing w:after="0" w:line="360" w:lineRule="auto"/>
        <w:ind w:firstLine="709"/>
        <w:jc w:val="both"/>
        <w:rPr>
          <w:sz w:val="28"/>
          <w:szCs w:val="28"/>
          <w:lang w:val="uk-UA"/>
        </w:rPr>
      </w:pPr>
      <w:r w:rsidRPr="00807701">
        <w:rPr>
          <w:sz w:val="28"/>
          <w:lang w:val="uk-UA"/>
        </w:rPr>
        <w:t xml:space="preserve">Дані щодо взаємозв’язків між резистентністю </w:t>
      </w:r>
      <w:r w:rsidRPr="00807701">
        <w:rPr>
          <w:sz w:val="28"/>
          <w:lang w:val="en-US"/>
        </w:rPr>
        <w:t>in</w:t>
      </w:r>
      <w:r w:rsidRPr="00807701">
        <w:rPr>
          <w:sz w:val="28"/>
          <w:lang w:val="uk-UA"/>
        </w:rPr>
        <w:t xml:space="preserve"> </w:t>
      </w:r>
      <w:r w:rsidRPr="00807701">
        <w:rPr>
          <w:sz w:val="28"/>
          <w:lang w:val="en-US"/>
        </w:rPr>
        <w:t>vitro</w:t>
      </w:r>
      <w:r w:rsidRPr="00807701">
        <w:rPr>
          <w:sz w:val="28"/>
          <w:lang w:val="uk-UA"/>
        </w:rPr>
        <w:t xml:space="preserve"> до </w:t>
      </w:r>
      <w:r w:rsidRPr="00807701">
        <w:rPr>
          <w:rFonts w:cstheme="minorHAnsi"/>
          <w:sz w:val="28"/>
          <w:lang w:val="uk-UA"/>
        </w:rPr>
        <w:t>β</w:t>
      </w:r>
      <w:r w:rsidRPr="00807701">
        <w:rPr>
          <w:sz w:val="28"/>
          <w:lang w:val="uk-UA"/>
        </w:rPr>
        <w:t xml:space="preserve">-лактамів та фторхінолонів з наявністю плазмідних генів стійкості, дуже відрізняються між країнами. Так, згідно опублікованого </w:t>
      </w:r>
      <w:r w:rsidRPr="00807701">
        <w:rPr>
          <w:sz w:val="28"/>
          <w:szCs w:val="28"/>
          <w:lang w:val="uk-UA"/>
        </w:rPr>
        <w:t>річного звіту європейської громади з епіднагляду за антимікробною резистентністю (EARS-Net) за 2013 рік</w:t>
      </w:r>
      <w:r w:rsidRPr="00807701">
        <w:rPr>
          <w:sz w:val="28"/>
          <w:lang w:val="uk-UA"/>
        </w:rPr>
        <w:t xml:space="preserve">, </w:t>
      </w:r>
      <w:r w:rsidRPr="00807701">
        <w:rPr>
          <w:sz w:val="28"/>
          <w:szCs w:val="28"/>
          <w:lang w:val="uk-UA"/>
        </w:rPr>
        <w:t xml:space="preserve">поширеність плазмід-індукованих βЛРС серед клінічних штамів E.coli та K.pneumoniae, резистентних до 3-ї генерації цефалоспоринів, варіює від 85-100% </w:t>
      </w:r>
      <w:r w:rsidRPr="00807701">
        <w:rPr>
          <w:rFonts w:cstheme="minorHAnsi"/>
          <w:bCs/>
          <w:iCs/>
          <w:sz w:val="28"/>
          <w:szCs w:val="28"/>
          <w:lang w:val="uk-UA"/>
        </w:rPr>
        <w:t>[38</w:t>
      </w:r>
      <w:r w:rsidRPr="00807701">
        <w:rPr>
          <w:sz w:val="28"/>
          <w:szCs w:val="28"/>
          <w:lang w:val="uk-UA"/>
        </w:rPr>
        <w:t xml:space="preserve">]. Проте, дослідження </w:t>
      </w:r>
      <w:r w:rsidRPr="00807701">
        <w:rPr>
          <w:sz w:val="28"/>
          <w:szCs w:val="28"/>
          <w:lang w:val="en-US"/>
        </w:rPr>
        <w:t>SENTRY</w:t>
      </w:r>
      <w:r w:rsidRPr="00807701">
        <w:rPr>
          <w:sz w:val="28"/>
          <w:szCs w:val="28"/>
          <w:lang w:val="uk-UA"/>
        </w:rPr>
        <w:t xml:space="preserve"> </w:t>
      </w:r>
      <w:r w:rsidRPr="00807701">
        <w:rPr>
          <w:rFonts w:cstheme="minorHAnsi"/>
          <w:sz w:val="28"/>
          <w:szCs w:val="28"/>
          <w:lang w:val="en-US"/>
        </w:rPr>
        <w:t>Surveillance</w:t>
      </w:r>
      <w:r w:rsidRPr="00807701">
        <w:rPr>
          <w:rFonts w:cstheme="minorHAnsi"/>
          <w:sz w:val="28"/>
          <w:szCs w:val="28"/>
          <w:lang w:val="uk-UA"/>
        </w:rPr>
        <w:t xml:space="preserve"> </w:t>
      </w:r>
      <w:r w:rsidRPr="00807701">
        <w:rPr>
          <w:rFonts w:cstheme="minorHAnsi"/>
          <w:sz w:val="28"/>
          <w:szCs w:val="28"/>
          <w:lang w:val="en-US"/>
        </w:rPr>
        <w:t>program</w:t>
      </w:r>
      <w:r w:rsidRPr="00807701">
        <w:rPr>
          <w:rFonts w:cstheme="minorHAnsi"/>
          <w:sz w:val="28"/>
          <w:szCs w:val="28"/>
          <w:lang w:val="uk-UA"/>
        </w:rPr>
        <w:t xml:space="preserve">, що включало 26 лікарень із 20 штатів США, </w:t>
      </w:r>
      <w:r w:rsidRPr="00807701">
        <w:rPr>
          <w:sz w:val="28"/>
          <w:szCs w:val="28"/>
          <w:lang w:val="uk-UA"/>
        </w:rPr>
        <w:t xml:space="preserve">демонструє рівень плазмід-індукованої резистентності до цефалоспоринів серед штамів сімейства </w:t>
      </w:r>
      <w:r w:rsidRPr="00807701">
        <w:rPr>
          <w:sz w:val="28"/>
          <w:szCs w:val="28"/>
          <w:lang w:val="en-US"/>
        </w:rPr>
        <w:t>Enterobacteriaceae</w:t>
      </w:r>
      <w:r w:rsidRPr="00807701">
        <w:rPr>
          <w:sz w:val="28"/>
          <w:szCs w:val="28"/>
          <w:lang w:val="uk-UA"/>
        </w:rPr>
        <w:t xml:space="preserve">, що складає 6,4% </w:t>
      </w:r>
      <w:r w:rsidRPr="00807701">
        <w:rPr>
          <w:rFonts w:cstheme="minorHAnsi"/>
          <w:sz w:val="28"/>
          <w:szCs w:val="28"/>
          <w:lang w:val="uk-UA"/>
        </w:rPr>
        <w:t>[</w:t>
      </w:r>
      <w:r w:rsidRPr="00807701">
        <w:rPr>
          <w:rFonts w:ascii="Times New Roman" w:hAnsi="Times New Roman" w:cs="Times New Roman"/>
          <w:sz w:val="28"/>
          <w:szCs w:val="28"/>
          <w:lang w:val="uk-UA"/>
        </w:rPr>
        <w:t>29</w:t>
      </w:r>
      <w:r w:rsidRPr="00807701">
        <w:rPr>
          <w:rFonts w:cstheme="minorHAnsi"/>
          <w:sz w:val="28"/>
          <w:szCs w:val="28"/>
          <w:lang w:val="uk-UA"/>
        </w:rPr>
        <w:t>]</w:t>
      </w:r>
      <w:r w:rsidRPr="00807701">
        <w:rPr>
          <w:sz w:val="28"/>
          <w:szCs w:val="28"/>
          <w:lang w:val="uk-UA"/>
        </w:rPr>
        <w:t xml:space="preserve">. Збільшення рівнів резистентності до фторхінолонів серед бактеріальних штамів внаслідок трансфера плазмідних генів резистентності було продемонстровано в дослідженні </w:t>
      </w:r>
      <w:r w:rsidRPr="00807701">
        <w:rPr>
          <w:rFonts w:cstheme="minorHAnsi"/>
          <w:color w:val="000000"/>
          <w:sz w:val="28"/>
          <w:szCs w:val="28"/>
          <w:shd w:val="clear" w:color="auto" w:fill="FFFFFF"/>
          <w:lang w:val="en-US"/>
        </w:rPr>
        <w:t>ECO</w:t>
      </w:r>
      <w:r w:rsidRPr="00807701">
        <w:rPr>
          <w:rFonts w:cstheme="minorHAnsi"/>
          <w:color w:val="000000"/>
          <w:sz w:val="28"/>
          <w:szCs w:val="28"/>
          <w:shd w:val="clear" w:color="auto" w:fill="FFFFFF"/>
          <w:lang w:val="uk-UA"/>
        </w:rPr>
        <w:t>·</w:t>
      </w:r>
      <w:r w:rsidRPr="00807701">
        <w:rPr>
          <w:rFonts w:cstheme="minorHAnsi"/>
          <w:color w:val="000000"/>
          <w:sz w:val="28"/>
          <w:szCs w:val="28"/>
          <w:shd w:val="clear" w:color="auto" w:fill="FFFFFF"/>
          <w:lang w:val="en-US"/>
        </w:rPr>
        <w:t>SENS</w:t>
      </w:r>
      <w:r w:rsidRPr="00807701">
        <w:rPr>
          <w:rFonts w:cstheme="minorHAnsi"/>
          <w:color w:val="000000"/>
          <w:sz w:val="28"/>
          <w:szCs w:val="28"/>
          <w:shd w:val="clear" w:color="auto" w:fill="FFFFFF"/>
          <w:lang w:val="uk-UA"/>
        </w:rPr>
        <w:t xml:space="preserve"> ІІ: для налідиксової кислоти рівень стійкості збільшився з 4.3% до 10.2%; для ципрофлоксацину – з 1.1% до 3.9%, для триметоприм-сульфаметоксазолу – з 13.3% до 16.7% [</w:t>
      </w:r>
      <w:r w:rsidRPr="00807701">
        <w:rPr>
          <w:rFonts w:ascii="Times New Roman" w:eastAsia="Times New Roman" w:hAnsi="Times New Roman" w:cs="Times New Roman"/>
          <w:color w:val="000000" w:themeColor="text1"/>
          <w:sz w:val="28"/>
          <w:szCs w:val="28"/>
          <w:lang w:val="uk-UA" w:eastAsia="ru-RU"/>
        </w:rPr>
        <w:t>64</w:t>
      </w:r>
      <w:r w:rsidRPr="00807701">
        <w:rPr>
          <w:rFonts w:cstheme="minorHAnsi"/>
          <w:color w:val="000000"/>
          <w:sz w:val="28"/>
          <w:szCs w:val="28"/>
          <w:shd w:val="clear" w:color="auto" w:fill="FFFFFF"/>
          <w:lang w:val="uk-UA"/>
        </w:rPr>
        <w:t xml:space="preserve">]. </w:t>
      </w:r>
      <w:r w:rsidRPr="00807701">
        <w:rPr>
          <w:sz w:val="28"/>
          <w:szCs w:val="28"/>
          <w:lang w:val="uk-UA"/>
        </w:rPr>
        <w:t xml:space="preserve">В Україні, даних щодо плазмід-індукованої резистентності серед уропатогенних штамів, нема. Крім того, дуже мало відомостей о розповсюдженості плазмід-індукованих механізмів стійкості серед інших уропатогенів, зокрема штамів </w:t>
      </w:r>
      <w:r w:rsidRPr="00807701">
        <w:rPr>
          <w:sz w:val="28"/>
          <w:szCs w:val="28"/>
          <w:lang w:val="en-US"/>
        </w:rPr>
        <w:t>P</w:t>
      </w:r>
      <w:r w:rsidRPr="00807701">
        <w:rPr>
          <w:sz w:val="28"/>
          <w:szCs w:val="28"/>
          <w:lang w:val="uk-UA"/>
        </w:rPr>
        <w:t>.</w:t>
      </w:r>
      <w:r w:rsidRPr="00807701">
        <w:rPr>
          <w:sz w:val="28"/>
          <w:szCs w:val="28"/>
          <w:lang w:val="en-US"/>
        </w:rPr>
        <w:t>mirabilis</w:t>
      </w:r>
      <w:r w:rsidRPr="00807701">
        <w:rPr>
          <w:sz w:val="28"/>
          <w:szCs w:val="28"/>
          <w:lang w:val="uk-UA"/>
        </w:rPr>
        <w:t xml:space="preserve">, </w:t>
      </w:r>
      <w:r w:rsidRPr="00807701">
        <w:rPr>
          <w:sz w:val="28"/>
          <w:szCs w:val="28"/>
          <w:lang w:val="en-US"/>
        </w:rPr>
        <w:t>P</w:t>
      </w:r>
      <w:r w:rsidRPr="00807701">
        <w:rPr>
          <w:sz w:val="28"/>
          <w:szCs w:val="28"/>
          <w:lang w:val="uk-UA"/>
        </w:rPr>
        <w:t>.</w:t>
      </w:r>
      <w:r w:rsidRPr="00807701">
        <w:rPr>
          <w:sz w:val="28"/>
          <w:szCs w:val="28"/>
          <w:lang w:val="en-US"/>
        </w:rPr>
        <w:t>aeruginosa</w:t>
      </w:r>
      <w:r w:rsidRPr="00807701">
        <w:rPr>
          <w:sz w:val="28"/>
          <w:szCs w:val="28"/>
          <w:lang w:val="uk-UA"/>
        </w:rPr>
        <w:t xml:space="preserve">, сімейства </w:t>
      </w:r>
      <w:r w:rsidRPr="00807701">
        <w:rPr>
          <w:sz w:val="28"/>
          <w:szCs w:val="28"/>
          <w:lang w:val="en-US"/>
        </w:rPr>
        <w:t>Enterococcus</w:t>
      </w:r>
      <w:r w:rsidRPr="00807701">
        <w:rPr>
          <w:sz w:val="28"/>
          <w:szCs w:val="28"/>
          <w:lang w:val="uk-UA"/>
        </w:rPr>
        <w:t xml:space="preserve"> </w:t>
      </w:r>
      <w:r w:rsidRPr="00807701">
        <w:rPr>
          <w:sz w:val="28"/>
          <w:szCs w:val="28"/>
          <w:lang w:val="en-US"/>
        </w:rPr>
        <w:t>spp</w:t>
      </w:r>
      <w:r w:rsidRPr="00807701">
        <w:rPr>
          <w:sz w:val="28"/>
          <w:szCs w:val="28"/>
          <w:lang w:val="uk-UA"/>
        </w:rPr>
        <w:t xml:space="preserve">. та </w:t>
      </w:r>
      <w:r w:rsidRPr="00807701">
        <w:rPr>
          <w:sz w:val="28"/>
          <w:szCs w:val="28"/>
          <w:lang w:val="en-US"/>
        </w:rPr>
        <w:t>Staphylococcus</w:t>
      </w:r>
      <w:r w:rsidRPr="00807701">
        <w:rPr>
          <w:sz w:val="28"/>
          <w:szCs w:val="28"/>
          <w:lang w:val="uk-UA"/>
        </w:rPr>
        <w:t xml:space="preserve"> </w:t>
      </w:r>
      <w:r w:rsidRPr="00807701">
        <w:rPr>
          <w:sz w:val="28"/>
          <w:szCs w:val="28"/>
          <w:lang w:val="en-US"/>
        </w:rPr>
        <w:t>spp</w:t>
      </w:r>
      <w:r w:rsidRPr="00807701">
        <w:rPr>
          <w:sz w:val="28"/>
          <w:szCs w:val="28"/>
          <w:lang w:val="uk-UA"/>
        </w:rPr>
        <w:t xml:space="preserve">. </w:t>
      </w:r>
    </w:p>
    <w:p w:rsidR="00807701" w:rsidRPr="00807701" w:rsidRDefault="00807701" w:rsidP="00807701">
      <w:pPr>
        <w:autoSpaceDE w:val="0"/>
        <w:autoSpaceDN w:val="0"/>
        <w:adjustRightInd w:val="0"/>
        <w:spacing w:line="360" w:lineRule="auto"/>
        <w:ind w:firstLine="709"/>
        <w:jc w:val="both"/>
        <w:rPr>
          <w:sz w:val="28"/>
          <w:szCs w:val="28"/>
          <w:lang w:val="uk-UA"/>
        </w:rPr>
      </w:pPr>
      <w:r w:rsidRPr="00807701">
        <w:rPr>
          <w:sz w:val="28"/>
          <w:szCs w:val="28"/>
          <w:lang w:val="uk-UA"/>
        </w:rPr>
        <w:t xml:space="preserve">Тому, встановлення взаємозв’язків між чутливістю/резистентністю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до АБП та наявністю плазмід-індукованих механізмів резистентності серед збудників ХП з одного боку дозволить визначити необхідність дослідження експресії плазмідних генів стійкості у бактерій з резистентністю до АБП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а з іншого – встановити найбільш ефективні препарати проти мікроорганізмів з плазмідними генами резистентності та підвищити ефективність емпіричної АБТ.</w:t>
      </w:r>
    </w:p>
    <w:p w:rsidR="00807701" w:rsidRPr="00807701" w:rsidRDefault="00807701" w:rsidP="00807701">
      <w:pPr>
        <w:spacing w:line="360" w:lineRule="auto"/>
        <w:ind w:firstLine="720"/>
        <w:jc w:val="both"/>
        <w:rPr>
          <w:b/>
          <w:sz w:val="28"/>
          <w:szCs w:val="28"/>
          <w:lang w:val="uk-UA"/>
        </w:rPr>
      </w:pPr>
      <w:r w:rsidRPr="00807701">
        <w:rPr>
          <w:b/>
          <w:sz w:val="28"/>
          <w:szCs w:val="28"/>
          <w:lang w:val="uk-UA"/>
        </w:rPr>
        <w:lastRenderedPageBreak/>
        <w:t xml:space="preserve">3.3.1 Чутливість виділених збудників ХП до АБП </w:t>
      </w:r>
      <w:r w:rsidRPr="00807701">
        <w:rPr>
          <w:b/>
          <w:sz w:val="28"/>
          <w:szCs w:val="28"/>
          <w:lang w:val="en-US"/>
        </w:rPr>
        <w:t>in</w:t>
      </w:r>
      <w:r w:rsidRPr="00807701">
        <w:rPr>
          <w:b/>
          <w:sz w:val="28"/>
          <w:szCs w:val="28"/>
          <w:lang w:val="uk-UA"/>
        </w:rPr>
        <w:t xml:space="preserve"> </w:t>
      </w:r>
      <w:r w:rsidRPr="00807701">
        <w:rPr>
          <w:b/>
          <w:sz w:val="28"/>
          <w:szCs w:val="28"/>
          <w:lang w:val="en-US"/>
        </w:rPr>
        <w:t>vitro</w:t>
      </w:r>
      <w:r w:rsidRPr="00807701">
        <w:rPr>
          <w:b/>
          <w:sz w:val="28"/>
          <w:szCs w:val="28"/>
          <w:lang w:val="uk-UA"/>
        </w:rPr>
        <w:t>.</w:t>
      </w:r>
    </w:p>
    <w:p w:rsidR="00807701" w:rsidRPr="00807701" w:rsidRDefault="00807701" w:rsidP="00807701">
      <w:pPr>
        <w:spacing w:after="0" w:line="360" w:lineRule="auto"/>
        <w:ind w:firstLine="720"/>
        <w:jc w:val="both"/>
        <w:rPr>
          <w:color w:val="FF0000"/>
          <w:sz w:val="28"/>
          <w:szCs w:val="28"/>
          <w:lang w:val="uk-UA"/>
        </w:rPr>
      </w:pPr>
      <w:r w:rsidRPr="00807701">
        <w:rPr>
          <w:sz w:val="28"/>
          <w:szCs w:val="28"/>
          <w:lang w:val="uk-UA"/>
        </w:rPr>
        <w:t xml:space="preserve">Була проаналізована чутливість виділених збудників до 15 антибактеріальних препаратів. Встановлено, що найбільшу інгібуючу активність проти уропатогенних штамів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проявляють: меропенем (94,7%), нитроксолін (80,8%), фосфоміцин (72,2%), </w:t>
      </w:r>
      <w:r w:rsidRPr="00807701">
        <w:rPr>
          <w:color w:val="000000" w:themeColor="text1"/>
          <w:sz w:val="28"/>
          <w:szCs w:val="28"/>
          <w:lang w:val="uk-UA"/>
        </w:rPr>
        <w:t>амікацин (64,3%), цефіпім (60%) та левофлоксацин (59,1%).</w:t>
      </w:r>
      <w:r w:rsidRPr="00807701">
        <w:rPr>
          <w:sz w:val="28"/>
          <w:szCs w:val="28"/>
          <w:lang w:val="uk-UA"/>
        </w:rPr>
        <w:t xml:space="preserve"> Найвищі рівні резистентності були виявлені до ампіцилліну (72,2%), амоксициллін/клавуланату (57,4%), ципрофлоксацину (46,9%), гентаміцину (43,5%), цефотаксіму (41,7%), малюнок 3.28. </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drawing>
          <wp:inline distT="0" distB="0" distL="0" distR="0" wp14:anchorId="1FB73696" wp14:editId="52B5ED3C">
            <wp:extent cx="5486400" cy="2775397"/>
            <wp:effectExtent l="0" t="0" r="19050" b="2540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07701" w:rsidRPr="00807701" w:rsidRDefault="00807701" w:rsidP="00807701">
      <w:pPr>
        <w:spacing w:line="360" w:lineRule="auto"/>
        <w:ind w:firstLine="720"/>
        <w:jc w:val="both"/>
        <w:rPr>
          <w:sz w:val="24"/>
          <w:szCs w:val="24"/>
          <w:lang w:val="uk-UA"/>
        </w:rPr>
      </w:pPr>
      <w:r w:rsidRPr="00807701">
        <w:rPr>
          <w:sz w:val="24"/>
          <w:szCs w:val="24"/>
          <w:lang w:val="uk-UA"/>
        </w:rPr>
        <w:t>Мал. 3.28 Чутливість виділених збудників до АБП.</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У хворих на ХП без супутнього ЦД 2 типу, чутливість виділених збудників була вище ніж у пацієнтів із ЦД 2 типу до: амінопеніциллінів (46% </w:t>
      </w:r>
      <w:r w:rsidRPr="00807701">
        <w:rPr>
          <w:sz w:val="28"/>
          <w:szCs w:val="28"/>
          <w:lang w:val="en-US"/>
        </w:rPr>
        <w:t>vs</w:t>
      </w:r>
      <w:r w:rsidRPr="00807701">
        <w:rPr>
          <w:sz w:val="28"/>
          <w:szCs w:val="28"/>
          <w:lang w:val="uk-UA"/>
        </w:rPr>
        <w:t xml:space="preserve">. 36%), цефалоспоринів (64% </w:t>
      </w:r>
      <w:r w:rsidRPr="00807701">
        <w:rPr>
          <w:sz w:val="28"/>
          <w:szCs w:val="28"/>
          <w:lang w:val="en-US"/>
        </w:rPr>
        <w:t>vs</w:t>
      </w:r>
      <w:r w:rsidRPr="00807701">
        <w:rPr>
          <w:sz w:val="28"/>
          <w:szCs w:val="28"/>
          <w:lang w:val="uk-UA"/>
        </w:rPr>
        <w:t xml:space="preserve">. 54%), аміноглікозидів (64% </w:t>
      </w:r>
      <w:r w:rsidRPr="00807701">
        <w:rPr>
          <w:sz w:val="28"/>
          <w:szCs w:val="28"/>
          <w:lang w:val="en-US"/>
        </w:rPr>
        <w:t>vs</w:t>
      </w:r>
      <w:r w:rsidRPr="00807701">
        <w:rPr>
          <w:sz w:val="28"/>
          <w:szCs w:val="28"/>
          <w:lang w:val="uk-UA"/>
        </w:rPr>
        <w:t xml:space="preserve">. 54%), нітрофурантоїну (76% </w:t>
      </w:r>
      <w:r w:rsidRPr="00807701">
        <w:rPr>
          <w:sz w:val="28"/>
          <w:szCs w:val="28"/>
          <w:lang w:val="en-US"/>
        </w:rPr>
        <w:t>vs</w:t>
      </w:r>
      <w:r w:rsidRPr="00807701">
        <w:rPr>
          <w:sz w:val="28"/>
          <w:szCs w:val="28"/>
          <w:lang w:val="uk-UA"/>
        </w:rPr>
        <w:t xml:space="preserve">. 62%), фурамагу (78% </w:t>
      </w:r>
      <w:r w:rsidRPr="00807701">
        <w:rPr>
          <w:sz w:val="28"/>
          <w:szCs w:val="28"/>
          <w:lang w:val="en-US"/>
        </w:rPr>
        <w:t>vs</w:t>
      </w:r>
      <w:r w:rsidRPr="00807701">
        <w:rPr>
          <w:sz w:val="28"/>
          <w:szCs w:val="28"/>
          <w:lang w:val="uk-UA"/>
        </w:rPr>
        <w:t xml:space="preserve">. 59%), нітроксоліну (83% </w:t>
      </w:r>
      <w:r w:rsidRPr="00807701">
        <w:rPr>
          <w:sz w:val="28"/>
          <w:szCs w:val="28"/>
          <w:lang w:val="en-US"/>
        </w:rPr>
        <w:t>vs</w:t>
      </w:r>
      <w:r w:rsidRPr="00807701">
        <w:rPr>
          <w:sz w:val="28"/>
          <w:szCs w:val="28"/>
          <w:lang w:val="uk-UA"/>
        </w:rPr>
        <w:t xml:space="preserve">. 77%). Чутливість до меропенему та фосфоміцину не відрізнялась поміж груп  і складала 95% та 72% відповідно. Чутливість до ко-трімоксазолу була вище у пацієнтів із ХП і ЦД 2 типу (67% </w:t>
      </w:r>
      <w:r w:rsidRPr="00807701">
        <w:rPr>
          <w:sz w:val="28"/>
          <w:szCs w:val="28"/>
          <w:lang w:val="en-US"/>
        </w:rPr>
        <w:t>vs</w:t>
      </w:r>
      <w:r w:rsidRPr="00807701">
        <w:rPr>
          <w:sz w:val="28"/>
          <w:szCs w:val="28"/>
          <w:lang w:val="uk-UA"/>
        </w:rPr>
        <w:t xml:space="preserve">. 55%), малюнок 3.29. </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lastRenderedPageBreak/>
        <w:drawing>
          <wp:inline distT="0" distB="0" distL="0" distR="0" wp14:anchorId="285B0159" wp14:editId="464F720C">
            <wp:extent cx="5486400" cy="2878428"/>
            <wp:effectExtent l="0" t="0" r="19050" b="1778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07701" w:rsidRPr="00807701" w:rsidRDefault="00807701" w:rsidP="00807701">
      <w:pPr>
        <w:spacing w:line="360" w:lineRule="auto"/>
        <w:ind w:firstLine="720"/>
        <w:jc w:val="both"/>
        <w:rPr>
          <w:sz w:val="24"/>
          <w:szCs w:val="24"/>
          <w:lang w:val="uk-UA"/>
        </w:rPr>
      </w:pPr>
      <w:r w:rsidRPr="00807701">
        <w:rPr>
          <w:sz w:val="24"/>
          <w:szCs w:val="24"/>
          <w:lang w:val="uk-UA"/>
        </w:rPr>
        <w:t xml:space="preserve">Мал. 3.29 Чутливість виділених збудників у хворих на ХП і супутній ЦД 2 типу. </w:t>
      </w:r>
    </w:p>
    <w:p w:rsidR="00807701" w:rsidRPr="00807701" w:rsidRDefault="00807701" w:rsidP="00807701">
      <w:pPr>
        <w:spacing w:line="360" w:lineRule="auto"/>
        <w:ind w:firstLine="720"/>
        <w:jc w:val="both"/>
        <w:rPr>
          <w:sz w:val="28"/>
          <w:szCs w:val="28"/>
          <w:lang w:val="uk-UA"/>
        </w:rPr>
      </w:pPr>
      <w:r w:rsidRPr="00807701">
        <w:rPr>
          <w:sz w:val="28"/>
          <w:szCs w:val="28"/>
          <w:lang w:val="uk-UA"/>
        </w:rPr>
        <w:t xml:space="preserve">Отже, спостерігається зниження чутливості виділених збудників ХП до найбільш рекомендованих АБП. Так, найвищі рівні резистентності були визначені до ампіцилліну (72,2%), амоксициллін/клавуланату (57,4%), ципрофлоксацину (46,9%), гентаміцину (43,5%), цефотаксіму (41,7%). У хворих на ХП і супутній ЦД 2 типу, чутливість виділених збудників до АБП була нижче ніж у пацієнтів без ЦД 2 типу. Встановлено, що у пацієнтів </w:t>
      </w:r>
      <w:r w:rsidRPr="00807701">
        <w:rPr>
          <w:rFonts w:cstheme="minorHAnsi"/>
          <w:sz w:val="28"/>
          <w:szCs w:val="28"/>
          <w:lang w:val="uk-UA"/>
        </w:rPr>
        <w:t>І</w:t>
      </w:r>
      <w:r w:rsidRPr="00807701">
        <w:rPr>
          <w:sz w:val="28"/>
          <w:szCs w:val="28"/>
          <w:lang w:val="uk-UA"/>
        </w:rPr>
        <w:t xml:space="preserve"> групи найбільшу інгібуючу активність проявили: меропенем (95%), нітроксолін (83%), фурамаг (78%), нітрофурантоїн (76%), фосфоміцин (72%), цефтріаксон (67%) та левофлоксацин (61%); в </w:t>
      </w:r>
      <w:r w:rsidRPr="00807701">
        <w:rPr>
          <w:rFonts w:cstheme="minorHAnsi"/>
          <w:sz w:val="28"/>
          <w:szCs w:val="28"/>
          <w:lang w:val="uk-UA"/>
        </w:rPr>
        <w:t>ІІ</w:t>
      </w:r>
      <w:r w:rsidRPr="00807701">
        <w:rPr>
          <w:sz w:val="28"/>
          <w:szCs w:val="28"/>
          <w:lang w:val="uk-UA"/>
        </w:rPr>
        <w:t xml:space="preserve"> групі – найвищі рівні чутливості були визначені до меропенему (95%), нітроксоліну (77%), фосфоміцину (72%), ко-трімоксазолу (67%), цефтріаксону (56%) та левофлоксацину (56%).  </w:t>
      </w:r>
    </w:p>
    <w:p w:rsidR="00807701" w:rsidRPr="00807701" w:rsidRDefault="00807701" w:rsidP="00807701">
      <w:pPr>
        <w:spacing w:line="360" w:lineRule="auto"/>
        <w:ind w:firstLine="720"/>
        <w:jc w:val="both"/>
        <w:rPr>
          <w:sz w:val="28"/>
          <w:szCs w:val="28"/>
          <w:lang w:val="uk-UA"/>
        </w:rPr>
      </w:pPr>
      <w:r w:rsidRPr="00807701">
        <w:rPr>
          <w:b/>
          <w:sz w:val="28"/>
          <w:szCs w:val="28"/>
          <w:lang w:val="uk-UA"/>
        </w:rPr>
        <w:t xml:space="preserve">3.3.2 Чутливість виділених збудників ХП до АБП </w:t>
      </w:r>
      <w:r w:rsidRPr="00807701">
        <w:rPr>
          <w:b/>
          <w:sz w:val="28"/>
          <w:szCs w:val="28"/>
          <w:lang w:val="en-US"/>
        </w:rPr>
        <w:t>in</w:t>
      </w:r>
      <w:r w:rsidRPr="00807701">
        <w:rPr>
          <w:b/>
          <w:sz w:val="28"/>
          <w:szCs w:val="28"/>
          <w:lang w:val="uk-UA"/>
        </w:rPr>
        <w:t xml:space="preserve"> </w:t>
      </w:r>
      <w:r w:rsidRPr="00807701">
        <w:rPr>
          <w:b/>
          <w:sz w:val="28"/>
          <w:szCs w:val="28"/>
          <w:lang w:val="en-US"/>
        </w:rPr>
        <w:t>vitro</w:t>
      </w:r>
      <w:r w:rsidRPr="00807701">
        <w:rPr>
          <w:b/>
          <w:sz w:val="28"/>
          <w:szCs w:val="28"/>
          <w:lang w:val="uk-UA"/>
        </w:rPr>
        <w:t xml:space="preserve"> залежно від наявності плазмід-індукованих механізмів резистентності.</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При аналізі чутливості виділених бактерій з виявленими плазмід-індукованими механізмами резистентності встановлено, що найбільшу інгібуючу активність проявляють: меропенем (97%), нітроксолін (77%), фосфоміцин (75%), ко-трімоксазол (64%), амікацин (67%) та цефіпім (61%). </w:t>
      </w:r>
      <w:r w:rsidRPr="00807701">
        <w:rPr>
          <w:sz w:val="28"/>
          <w:szCs w:val="28"/>
          <w:lang w:val="uk-UA"/>
        </w:rPr>
        <w:lastRenderedPageBreak/>
        <w:t xml:space="preserve">Рівні резистентності були наступними: ампіциллін (90%), амоксіциллін/клавуланат – 58%, ципрофлоксацин (53%), левофлоксацин (50%), гентаміцин (42%). 26,9% штамів з плазмідними генами були резистентні до 3-ї генерації цефалоспоринів (малюнок 3.30).  </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drawing>
          <wp:inline distT="0" distB="0" distL="0" distR="0" wp14:anchorId="70D71178" wp14:editId="05C62401">
            <wp:extent cx="5486400" cy="2788276"/>
            <wp:effectExtent l="0" t="0" r="19050" b="1270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07701" w:rsidRPr="00807701" w:rsidRDefault="00807701" w:rsidP="00807701">
      <w:pPr>
        <w:spacing w:line="360" w:lineRule="auto"/>
        <w:ind w:firstLine="720"/>
        <w:jc w:val="both"/>
        <w:rPr>
          <w:sz w:val="24"/>
          <w:szCs w:val="24"/>
          <w:lang w:val="uk-UA"/>
        </w:rPr>
      </w:pPr>
      <w:r w:rsidRPr="00807701">
        <w:rPr>
          <w:sz w:val="24"/>
          <w:szCs w:val="24"/>
          <w:lang w:val="uk-UA"/>
        </w:rPr>
        <w:t>Мал. 3.30 Чутливість збудників з плазмідними генами резистентності</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При аналізі взаємозв’язків між резистентністю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та наявністю/відсутністю плазмідних генів стійкості встановлено достовірно вищі рівні резистентності до ампіцилліну (р=0,07), фурамагу (р=0,03), левофлоксацину (р=0,3), </w:t>
      </w:r>
      <w:r w:rsidRPr="00807701">
        <w:rPr>
          <w:rFonts w:cstheme="minorHAnsi"/>
          <w:sz w:val="28"/>
          <w:szCs w:val="28"/>
          <w:lang w:val="uk-UA"/>
        </w:rPr>
        <w:t xml:space="preserve">3-ї генерації цефалоспоринів </w:t>
      </w:r>
      <w:r w:rsidRPr="00807701">
        <w:rPr>
          <w:sz w:val="28"/>
          <w:szCs w:val="28"/>
          <w:lang w:val="uk-UA"/>
        </w:rPr>
        <w:t>(р</w:t>
      </w:r>
      <w:r w:rsidRPr="00807701">
        <w:rPr>
          <w:rFonts w:cstheme="minorHAnsi"/>
          <w:sz w:val="28"/>
          <w:szCs w:val="28"/>
          <w:lang w:val="uk-UA"/>
        </w:rPr>
        <w:t>≤</w:t>
      </w:r>
      <w:r w:rsidRPr="00807701">
        <w:rPr>
          <w:sz w:val="28"/>
          <w:szCs w:val="28"/>
          <w:lang w:val="uk-UA"/>
        </w:rPr>
        <w:t xml:space="preserve">0,05) серед бактерій з виділеними плазмідними генами стійкості. Рівні резистентності уропатогенів без виявлених плазмідних генів стійкості були дещо вищі до аміноглікозидів (41% </w:t>
      </w:r>
      <w:r w:rsidRPr="00807701">
        <w:rPr>
          <w:sz w:val="28"/>
          <w:szCs w:val="28"/>
          <w:lang w:val="en-US"/>
        </w:rPr>
        <w:t>vs</w:t>
      </w:r>
      <w:r w:rsidRPr="00807701">
        <w:rPr>
          <w:sz w:val="28"/>
          <w:szCs w:val="28"/>
          <w:lang w:val="uk-UA"/>
        </w:rPr>
        <w:t xml:space="preserve">. 37,5%), ко-трімоксазолу (44% </w:t>
      </w:r>
      <w:r w:rsidRPr="00807701">
        <w:rPr>
          <w:sz w:val="28"/>
          <w:szCs w:val="28"/>
          <w:lang w:val="en-US"/>
        </w:rPr>
        <w:t>vs</w:t>
      </w:r>
      <w:r w:rsidRPr="00807701">
        <w:rPr>
          <w:sz w:val="28"/>
          <w:szCs w:val="28"/>
          <w:lang w:val="uk-UA"/>
        </w:rPr>
        <w:t xml:space="preserve">. 36%), фосфоміцину (29% </w:t>
      </w:r>
      <w:r w:rsidRPr="00807701">
        <w:rPr>
          <w:sz w:val="28"/>
          <w:szCs w:val="28"/>
          <w:lang w:val="en-US"/>
        </w:rPr>
        <w:t>vs</w:t>
      </w:r>
      <w:r w:rsidRPr="00807701">
        <w:rPr>
          <w:sz w:val="28"/>
          <w:szCs w:val="28"/>
          <w:lang w:val="uk-UA"/>
        </w:rPr>
        <w:t xml:space="preserve">. 25%), цефіпіму (44% </w:t>
      </w:r>
      <w:r w:rsidRPr="00807701">
        <w:rPr>
          <w:sz w:val="28"/>
          <w:szCs w:val="28"/>
          <w:lang w:val="en-US"/>
        </w:rPr>
        <w:t>vs</w:t>
      </w:r>
      <w:r w:rsidRPr="00807701">
        <w:rPr>
          <w:sz w:val="28"/>
          <w:szCs w:val="28"/>
          <w:lang w:val="uk-UA"/>
        </w:rPr>
        <w:t xml:space="preserve">. 39%) та амоксициллін/клавуланату (60% </w:t>
      </w:r>
      <w:r w:rsidRPr="00807701">
        <w:rPr>
          <w:sz w:val="28"/>
          <w:szCs w:val="28"/>
          <w:lang w:val="en-US"/>
        </w:rPr>
        <w:t>vs</w:t>
      </w:r>
      <w:r w:rsidRPr="00807701">
        <w:rPr>
          <w:sz w:val="28"/>
          <w:szCs w:val="28"/>
          <w:lang w:val="uk-UA"/>
        </w:rPr>
        <w:t xml:space="preserve">. 58%), однак достовірно не відрізнялись поміж груп (малюнок 3.40).  </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lastRenderedPageBreak/>
        <w:drawing>
          <wp:inline distT="0" distB="0" distL="0" distR="0" wp14:anchorId="1D5FF423" wp14:editId="052597EB">
            <wp:extent cx="5486400" cy="2794715"/>
            <wp:effectExtent l="0" t="0" r="19050" b="24765"/>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07701" w:rsidRPr="00807701" w:rsidRDefault="00807701" w:rsidP="00807701">
      <w:pPr>
        <w:spacing w:line="360" w:lineRule="auto"/>
        <w:ind w:firstLine="720"/>
        <w:jc w:val="both"/>
        <w:rPr>
          <w:sz w:val="28"/>
          <w:szCs w:val="28"/>
          <w:lang w:val="uk-UA"/>
        </w:rPr>
      </w:pPr>
      <w:r w:rsidRPr="00807701">
        <w:rPr>
          <w:sz w:val="24"/>
          <w:szCs w:val="24"/>
          <w:lang w:val="uk-UA"/>
        </w:rPr>
        <w:t xml:space="preserve">Мал. 3.40 Резистентність </w:t>
      </w:r>
      <w:r w:rsidRPr="00807701">
        <w:rPr>
          <w:sz w:val="24"/>
          <w:szCs w:val="24"/>
          <w:lang w:val="en-US"/>
        </w:rPr>
        <w:t>in</w:t>
      </w:r>
      <w:r w:rsidRPr="00807701">
        <w:rPr>
          <w:sz w:val="24"/>
          <w:szCs w:val="24"/>
          <w:lang w:val="uk-UA"/>
        </w:rPr>
        <w:t xml:space="preserve"> </w:t>
      </w:r>
      <w:r w:rsidRPr="00807701">
        <w:rPr>
          <w:sz w:val="24"/>
          <w:szCs w:val="24"/>
          <w:lang w:val="en-US"/>
        </w:rPr>
        <w:t>vitro</w:t>
      </w:r>
      <w:r w:rsidRPr="00807701">
        <w:rPr>
          <w:sz w:val="24"/>
          <w:szCs w:val="24"/>
          <w:lang w:val="uk-UA"/>
        </w:rPr>
        <w:t xml:space="preserve"> виділених збудників в залежності від наявності плазмід-індукованих механізмів резистентності.</w:t>
      </w:r>
      <w:r w:rsidRPr="00807701">
        <w:rPr>
          <w:sz w:val="28"/>
          <w:szCs w:val="28"/>
          <w:lang w:val="uk-UA"/>
        </w:rPr>
        <w:t xml:space="preserve">  </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При аналізі чутливості/резистентності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до АБП штамів з виявленими плазмід-індукованими механізмами резистентності залежно від типів виявлених генів встановлено, що найбільшу інгібуючу активність проти штамів з виявленими </w:t>
      </w:r>
      <w:r w:rsidRPr="00807701">
        <w:rPr>
          <w:rFonts w:cstheme="minorHAnsi"/>
          <w:sz w:val="28"/>
          <w:szCs w:val="28"/>
          <w:lang w:val="uk-UA"/>
        </w:rPr>
        <w:t>β</w:t>
      </w:r>
      <w:r w:rsidRPr="00807701">
        <w:rPr>
          <w:sz w:val="28"/>
          <w:szCs w:val="28"/>
          <w:lang w:val="uk-UA"/>
        </w:rPr>
        <w:t xml:space="preserve">ЛРС проявляють меропенем (95%), нітроксолін (80%), фосфоміцин (75%), нітрофурантоїн (70%), амікацин (70%). Тоді як, рівні чутливості до АБП серед штамів з плазмідними генами резистентності до фторхінолонів були наступними: меропенем (99%), нітроксолін (74%), цефотаксім (71%), фосфоміцин (75%), цефіпім (66%). Найбільші рівні резистентності серед </w:t>
      </w:r>
      <w:r w:rsidRPr="00807701">
        <w:rPr>
          <w:rFonts w:cstheme="minorHAnsi"/>
          <w:sz w:val="28"/>
          <w:szCs w:val="28"/>
          <w:lang w:val="uk-UA"/>
        </w:rPr>
        <w:t>β</w:t>
      </w:r>
      <w:r w:rsidRPr="00807701">
        <w:rPr>
          <w:sz w:val="28"/>
          <w:szCs w:val="28"/>
          <w:lang w:val="uk-UA"/>
        </w:rPr>
        <w:t xml:space="preserve">ЛРС-продукуючих організмів були винайдені до ампіцилліну (96%), амоксіциллін/клавуланату (77%), 3-ї генерації цефалоспоринів (74%). Щодо штамів з виявленими плазмідними генами стійкості до фторхінолонів, рівні резистентності були наступними: ампіциллін (86%), ципрофлоксацин (75%), левофлоксацин (60%), аміноглікозиди (41%), малюнок 3.41   </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lastRenderedPageBreak/>
        <w:drawing>
          <wp:inline distT="0" distB="0" distL="0" distR="0" wp14:anchorId="0E41C480" wp14:editId="0C1C29D6">
            <wp:extent cx="5486400" cy="3200400"/>
            <wp:effectExtent l="0" t="0" r="19050" b="1905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807701" w:rsidRPr="00807701" w:rsidRDefault="00807701" w:rsidP="00807701">
      <w:pPr>
        <w:spacing w:line="360" w:lineRule="auto"/>
        <w:ind w:firstLine="720"/>
        <w:jc w:val="both"/>
        <w:rPr>
          <w:sz w:val="24"/>
          <w:szCs w:val="24"/>
          <w:lang w:val="uk-UA"/>
        </w:rPr>
      </w:pPr>
      <w:r w:rsidRPr="00807701">
        <w:rPr>
          <w:sz w:val="24"/>
          <w:szCs w:val="24"/>
          <w:lang w:val="uk-UA"/>
        </w:rPr>
        <w:t xml:space="preserve">Мал. 3.41 Чутливість уропатогенів з плазмід-індукованими механізмами резистентності залежно від типів виявлених генів.   </w:t>
      </w:r>
    </w:p>
    <w:p w:rsidR="00807701" w:rsidRPr="00807701" w:rsidRDefault="00807701" w:rsidP="00807701">
      <w:pPr>
        <w:spacing w:after="0" w:line="360" w:lineRule="auto"/>
        <w:ind w:firstLine="709"/>
        <w:jc w:val="both"/>
        <w:rPr>
          <w:color w:val="000000" w:themeColor="text1"/>
          <w:sz w:val="28"/>
          <w:szCs w:val="28"/>
          <w:lang w:val="uk-UA"/>
        </w:rPr>
      </w:pPr>
      <w:r w:rsidRPr="00807701">
        <w:rPr>
          <w:color w:val="000000" w:themeColor="text1"/>
          <w:sz w:val="28"/>
          <w:szCs w:val="28"/>
          <w:lang w:val="uk-UA"/>
        </w:rPr>
        <w:t xml:space="preserve">Була проаналізована чутливість виділених збудників ХП до АБП в залежності від типів виявлених </w:t>
      </w:r>
      <w:r w:rsidRPr="00807701">
        <w:rPr>
          <w:rFonts w:cstheme="minorHAnsi"/>
          <w:color w:val="000000" w:themeColor="text1"/>
          <w:sz w:val="28"/>
          <w:szCs w:val="28"/>
          <w:lang w:val="uk-UA"/>
        </w:rPr>
        <w:t>β</w:t>
      </w:r>
      <w:r w:rsidRPr="00807701">
        <w:rPr>
          <w:color w:val="000000" w:themeColor="text1"/>
          <w:sz w:val="28"/>
          <w:szCs w:val="28"/>
          <w:lang w:val="uk-UA"/>
        </w:rPr>
        <w:t xml:space="preserve">ЛРС: </w:t>
      </w:r>
      <w:r w:rsidRPr="00807701">
        <w:rPr>
          <w:color w:val="000000" w:themeColor="text1"/>
          <w:sz w:val="28"/>
          <w:szCs w:val="28"/>
          <w:lang w:val="en-US"/>
        </w:rPr>
        <w:t>blaCTX</w:t>
      </w:r>
      <w:r w:rsidRPr="00807701">
        <w:rPr>
          <w:color w:val="000000" w:themeColor="text1"/>
          <w:sz w:val="28"/>
          <w:szCs w:val="28"/>
          <w:lang w:val="uk-UA"/>
        </w:rPr>
        <w:t>-</w:t>
      </w:r>
      <w:r w:rsidRPr="00807701">
        <w:rPr>
          <w:color w:val="000000" w:themeColor="text1"/>
          <w:sz w:val="28"/>
          <w:szCs w:val="28"/>
          <w:lang w:val="en-US"/>
        </w:rPr>
        <w:t>M</w:t>
      </w:r>
      <w:r w:rsidRPr="00807701">
        <w:rPr>
          <w:color w:val="000000" w:themeColor="text1"/>
          <w:sz w:val="28"/>
          <w:szCs w:val="28"/>
          <w:lang w:val="uk-UA"/>
        </w:rPr>
        <w:t xml:space="preserve">, </w:t>
      </w:r>
      <w:r w:rsidRPr="00807701">
        <w:rPr>
          <w:color w:val="000000" w:themeColor="text1"/>
          <w:sz w:val="28"/>
          <w:szCs w:val="28"/>
          <w:lang w:val="en-US"/>
        </w:rPr>
        <w:t>blaTEM</w:t>
      </w:r>
      <w:r w:rsidRPr="00807701">
        <w:rPr>
          <w:color w:val="000000" w:themeColor="text1"/>
          <w:sz w:val="28"/>
          <w:szCs w:val="28"/>
          <w:lang w:val="uk-UA"/>
        </w:rPr>
        <w:t xml:space="preserve">, </w:t>
      </w:r>
      <w:r w:rsidRPr="00807701">
        <w:rPr>
          <w:color w:val="000000" w:themeColor="text1"/>
          <w:sz w:val="28"/>
          <w:szCs w:val="28"/>
          <w:lang w:val="en-US"/>
        </w:rPr>
        <w:t>blaSHV</w:t>
      </w:r>
      <w:r w:rsidRPr="00807701">
        <w:rPr>
          <w:color w:val="000000" w:themeColor="text1"/>
          <w:sz w:val="28"/>
          <w:szCs w:val="28"/>
          <w:lang w:val="uk-UA"/>
        </w:rPr>
        <w:t xml:space="preserve">. Встановлено, що найбільшу інгібуючу активність проти бактерій з геном </w:t>
      </w:r>
      <w:r w:rsidRPr="00807701">
        <w:rPr>
          <w:color w:val="000000" w:themeColor="text1"/>
          <w:sz w:val="28"/>
          <w:szCs w:val="28"/>
          <w:lang w:val="en-US"/>
        </w:rPr>
        <w:t>blaCTX</w:t>
      </w:r>
      <w:r w:rsidRPr="00807701">
        <w:rPr>
          <w:color w:val="000000" w:themeColor="text1"/>
          <w:sz w:val="28"/>
          <w:szCs w:val="28"/>
          <w:lang w:val="uk-UA"/>
        </w:rPr>
        <w:t>-</w:t>
      </w:r>
      <w:r w:rsidRPr="00807701">
        <w:rPr>
          <w:color w:val="000000" w:themeColor="text1"/>
          <w:sz w:val="28"/>
          <w:szCs w:val="28"/>
          <w:lang w:val="en-US"/>
        </w:rPr>
        <w:t>M</w:t>
      </w:r>
      <w:r w:rsidRPr="00807701">
        <w:rPr>
          <w:color w:val="000000" w:themeColor="text1"/>
          <w:sz w:val="28"/>
          <w:szCs w:val="28"/>
          <w:lang w:val="uk-UA"/>
        </w:rPr>
        <w:t xml:space="preserve"> проявляють меропенем (100%), фосфоміцин (100%), нітроксолін (70%) та ко-трімоксазол (60%). Найвищі рівні резистентності були отримано до ампіцилліну (80%), амоксициллін/клавуланату (80%), фторхінолонам (70%), цефалоспоринам (60%) та аміноглікозидам (60%). Щодо рівнів резистентності бактерій з геном </w:t>
      </w:r>
      <w:r w:rsidRPr="00807701">
        <w:rPr>
          <w:color w:val="000000" w:themeColor="text1"/>
          <w:sz w:val="28"/>
          <w:szCs w:val="28"/>
          <w:lang w:val="en-US"/>
        </w:rPr>
        <w:t>blaTEM</w:t>
      </w:r>
      <w:r w:rsidRPr="00807701">
        <w:rPr>
          <w:color w:val="000000" w:themeColor="text1"/>
          <w:sz w:val="28"/>
          <w:szCs w:val="28"/>
          <w:lang w:val="uk-UA"/>
        </w:rPr>
        <w:t xml:space="preserve"> встановлено найвищі рівні до ампіцилліну (100%), амоксициллін/клавуланату (50%) та цефотаксіму (50%). Найбільшу інгібуючу активність проявили: амікацин (100%), фосфоміцин (100%), нітроксолін (100%), меропенем (100%), цефіпім (83%) та гентаміцин (83%). Бактерії з виділеним геном </w:t>
      </w:r>
      <w:r w:rsidRPr="00807701">
        <w:rPr>
          <w:color w:val="000000" w:themeColor="text1"/>
          <w:sz w:val="28"/>
          <w:szCs w:val="28"/>
          <w:lang w:val="en-US"/>
        </w:rPr>
        <w:t>blaSHV</w:t>
      </w:r>
      <w:r w:rsidRPr="00807701">
        <w:rPr>
          <w:color w:val="000000" w:themeColor="text1"/>
          <w:sz w:val="28"/>
          <w:szCs w:val="28"/>
          <w:lang w:val="uk-UA"/>
        </w:rPr>
        <w:t xml:space="preserve"> мали наступні рівні резистентності: ампіциллін (100%), амоксициллін/клавуланат (86%), фурамаг (71%), цефотаксім (57%), фторхінолони (57%). Рівні чутливості становили: меропенем (86%), амікацин (86%), нітроксолін (71%), цефтріаксон (71%), фосфоміцин (57%), малюнок 3.42.</w:t>
      </w:r>
    </w:p>
    <w:p w:rsidR="00807701" w:rsidRPr="00807701" w:rsidRDefault="00807701" w:rsidP="00807701">
      <w:pPr>
        <w:spacing w:after="0" w:line="360" w:lineRule="auto"/>
        <w:ind w:firstLine="709"/>
        <w:jc w:val="both"/>
        <w:rPr>
          <w:color w:val="000000" w:themeColor="text1"/>
          <w:sz w:val="28"/>
          <w:szCs w:val="28"/>
          <w:lang w:val="uk-UA"/>
        </w:rPr>
      </w:pPr>
      <w:r w:rsidRPr="00807701">
        <w:rPr>
          <w:noProof/>
          <w:color w:val="000000" w:themeColor="text1"/>
          <w:sz w:val="28"/>
          <w:szCs w:val="28"/>
          <w:lang w:eastAsia="ru-RU"/>
        </w:rPr>
        <w:lastRenderedPageBreak/>
        <w:drawing>
          <wp:inline distT="0" distB="0" distL="0" distR="0" wp14:anchorId="2F7DA739" wp14:editId="0284FD31">
            <wp:extent cx="5486400" cy="3032975"/>
            <wp:effectExtent l="0" t="0" r="19050" b="1524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07701" w:rsidRPr="00807701" w:rsidRDefault="00807701" w:rsidP="00807701">
      <w:pPr>
        <w:spacing w:line="360" w:lineRule="auto"/>
        <w:ind w:firstLine="709"/>
        <w:jc w:val="both"/>
        <w:rPr>
          <w:color w:val="000000" w:themeColor="text1"/>
          <w:sz w:val="28"/>
          <w:szCs w:val="28"/>
          <w:lang w:val="uk-UA"/>
        </w:rPr>
      </w:pPr>
      <w:r w:rsidRPr="00807701">
        <w:rPr>
          <w:color w:val="000000" w:themeColor="text1"/>
          <w:sz w:val="24"/>
          <w:szCs w:val="24"/>
          <w:lang w:val="uk-UA"/>
        </w:rPr>
        <w:t xml:space="preserve">Мал. 3.42 Чутливість виділених збудників ХП залежно від типу виявлених плазмідних </w:t>
      </w:r>
      <w:r w:rsidRPr="00807701">
        <w:rPr>
          <w:rFonts w:cstheme="minorHAnsi"/>
          <w:color w:val="000000" w:themeColor="text1"/>
          <w:sz w:val="24"/>
          <w:szCs w:val="24"/>
          <w:lang w:val="uk-UA"/>
        </w:rPr>
        <w:t>β</w:t>
      </w:r>
      <w:r w:rsidRPr="00807701">
        <w:rPr>
          <w:color w:val="000000" w:themeColor="text1"/>
          <w:sz w:val="24"/>
          <w:szCs w:val="24"/>
          <w:lang w:val="uk-UA"/>
        </w:rPr>
        <w:t>ЛРС.</w:t>
      </w:r>
      <w:r w:rsidRPr="00807701">
        <w:rPr>
          <w:color w:val="000000" w:themeColor="text1"/>
          <w:sz w:val="28"/>
          <w:szCs w:val="28"/>
          <w:lang w:val="uk-UA"/>
        </w:rPr>
        <w:t xml:space="preserve"> </w:t>
      </w:r>
    </w:p>
    <w:p w:rsidR="00807701" w:rsidRPr="00807701" w:rsidRDefault="00807701" w:rsidP="00807701">
      <w:pPr>
        <w:spacing w:after="0" w:line="360" w:lineRule="auto"/>
        <w:ind w:firstLine="709"/>
        <w:jc w:val="both"/>
        <w:rPr>
          <w:color w:val="000000" w:themeColor="text1"/>
          <w:sz w:val="28"/>
          <w:szCs w:val="28"/>
          <w:lang w:val="uk-UA"/>
        </w:rPr>
      </w:pPr>
      <w:r w:rsidRPr="00807701">
        <w:rPr>
          <w:color w:val="000000" w:themeColor="text1"/>
          <w:sz w:val="28"/>
          <w:szCs w:val="28"/>
          <w:lang w:val="uk-UA"/>
        </w:rPr>
        <w:t xml:space="preserve">Була проаналізована чутливість виділених збудників ХП до АБП в залежності від типів виділених генів резистентності до фторхінолонів: </w:t>
      </w:r>
      <w:r w:rsidRPr="00807701">
        <w:rPr>
          <w:rFonts w:cstheme="minorHAnsi"/>
          <w:sz w:val="28"/>
          <w:szCs w:val="28"/>
          <w:lang w:val="uk-UA"/>
        </w:rPr>
        <w:t>QnrА</w:t>
      </w:r>
      <w:r w:rsidRPr="00807701">
        <w:rPr>
          <w:color w:val="000000" w:themeColor="text1"/>
          <w:sz w:val="28"/>
          <w:szCs w:val="28"/>
          <w:lang w:val="uk-UA"/>
        </w:rPr>
        <w:t xml:space="preserve">, </w:t>
      </w:r>
      <w:r w:rsidRPr="00807701">
        <w:rPr>
          <w:rFonts w:cstheme="minorHAnsi"/>
          <w:sz w:val="28"/>
          <w:szCs w:val="28"/>
          <w:lang w:val="uk-UA"/>
        </w:rPr>
        <w:t>QepA</w:t>
      </w:r>
      <w:r w:rsidRPr="00807701">
        <w:rPr>
          <w:color w:val="000000" w:themeColor="text1"/>
          <w:sz w:val="28"/>
          <w:szCs w:val="28"/>
          <w:lang w:val="uk-UA"/>
        </w:rPr>
        <w:t xml:space="preserve"> та </w:t>
      </w:r>
      <w:r w:rsidRPr="00807701">
        <w:rPr>
          <w:rFonts w:cstheme="minorHAnsi"/>
          <w:sz w:val="28"/>
          <w:szCs w:val="28"/>
          <w:lang w:val="uk-UA"/>
        </w:rPr>
        <w:t xml:space="preserve">AAC(6 ')-Ib-cr. Найвищі рівні резистентності серед бактерій з геном QnrА були виявлені до ампіцилліну (100%), амоксициллін/клавуланату (100%), фосфоміцину (100%), нітрофурантоїну (100%), нітроксоліну (100%), цефалоспоринам (80%), фторхінолонам (80%), аміноглікозидам (80%). Тільки меропенем проявив 100% інгібуючу активність проти бактерій з геном QnrА. Щодо рівнів резистентності серед бактерій з геном QepA, встановлено найвищі рівні до ампіцилліну (100%), амоксициллін/клавуланату (60%) та амікацину (60%). Найбільшу інгібуючу активність проявили меропенем (100%), нітроксолін (100%), фуромаг (100%), нітрофурантоїн (100%), ко-трімоксазол (100%) та фосфоміцин (80%). Рівні резистентності серед бактерії з геном AAC(6 ')-Ib-cr були наступними: ампіциллін (100%), ципрофлоксацин (100%), фуромаг (100%), цефтріаксон (67%), левофлоксацин (67%). Рівні чутливості становили: меропенем (100%), фосфоміцин (67%), ко-трімоксазол (67%), аміноглікозиди (67%), малюнок 3.42. </w:t>
      </w:r>
      <w:r w:rsidRPr="00807701">
        <w:rPr>
          <w:color w:val="000000" w:themeColor="text1"/>
          <w:sz w:val="28"/>
          <w:szCs w:val="28"/>
          <w:lang w:val="uk-UA"/>
        </w:rPr>
        <w:t xml:space="preserve"> </w:t>
      </w:r>
    </w:p>
    <w:p w:rsidR="00807701" w:rsidRPr="00807701" w:rsidRDefault="00807701" w:rsidP="00807701">
      <w:pPr>
        <w:spacing w:after="0" w:line="360" w:lineRule="auto"/>
        <w:ind w:firstLine="709"/>
        <w:jc w:val="both"/>
        <w:rPr>
          <w:color w:val="000000" w:themeColor="text1"/>
          <w:sz w:val="28"/>
          <w:szCs w:val="28"/>
          <w:lang w:val="uk-UA"/>
        </w:rPr>
      </w:pPr>
      <w:r w:rsidRPr="00807701">
        <w:rPr>
          <w:noProof/>
          <w:color w:val="000000" w:themeColor="text1"/>
          <w:sz w:val="28"/>
          <w:szCs w:val="28"/>
          <w:lang w:eastAsia="ru-RU"/>
        </w:rPr>
        <w:lastRenderedPageBreak/>
        <w:drawing>
          <wp:inline distT="0" distB="0" distL="0" distR="0" wp14:anchorId="42F1FF37" wp14:editId="58D8C696">
            <wp:extent cx="5486400" cy="3200400"/>
            <wp:effectExtent l="0" t="0" r="19050" b="1905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807701" w:rsidRPr="00807701" w:rsidRDefault="00807701" w:rsidP="00807701">
      <w:pPr>
        <w:spacing w:line="360" w:lineRule="auto"/>
        <w:ind w:firstLine="709"/>
        <w:jc w:val="both"/>
        <w:rPr>
          <w:color w:val="000000" w:themeColor="text1"/>
          <w:sz w:val="24"/>
          <w:szCs w:val="24"/>
          <w:lang w:val="uk-UA"/>
        </w:rPr>
      </w:pPr>
      <w:r w:rsidRPr="00807701">
        <w:rPr>
          <w:color w:val="000000" w:themeColor="text1"/>
          <w:sz w:val="24"/>
          <w:szCs w:val="24"/>
          <w:lang w:val="uk-UA"/>
        </w:rPr>
        <w:t xml:space="preserve">Мал. 3.42 Чутливість виділених збудників ХП залежно від типу виявлених плазмідних генів резистентності до фторхінолонів.  </w:t>
      </w:r>
    </w:p>
    <w:p w:rsidR="00807701" w:rsidRPr="00807701" w:rsidRDefault="00807701" w:rsidP="00807701">
      <w:pPr>
        <w:spacing w:after="0" w:line="360" w:lineRule="auto"/>
        <w:ind w:firstLine="709"/>
        <w:jc w:val="both"/>
        <w:rPr>
          <w:color w:val="000000" w:themeColor="text1"/>
          <w:sz w:val="28"/>
          <w:szCs w:val="28"/>
          <w:lang w:val="uk-UA"/>
        </w:rPr>
      </w:pPr>
      <w:r w:rsidRPr="00807701">
        <w:rPr>
          <w:color w:val="000000" w:themeColor="text1"/>
          <w:sz w:val="28"/>
          <w:szCs w:val="28"/>
          <w:lang w:val="uk-UA"/>
        </w:rPr>
        <w:t xml:space="preserve">При аналізі чутливості виділених збудників ХП, що мають комбінації плазмідних генів стійкості встановлено найвищі рівні резистентності серед бактерій з комбінацією генів </w:t>
      </w:r>
      <w:r w:rsidRPr="00807701">
        <w:rPr>
          <w:color w:val="000000" w:themeColor="text1"/>
          <w:sz w:val="28"/>
          <w:szCs w:val="28"/>
          <w:lang w:val="en-US"/>
        </w:rPr>
        <w:t>blaCTX</w:t>
      </w:r>
      <w:r w:rsidRPr="00807701">
        <w:rPr>
          <w:color w:val="000000" w:themeColor="text1"/>
          <w:sz w:val="28"/>
          <w:szCs w:val="28"/>
          <w:lang w:val="uk-UA"/>
        </w:rPr>
        <w:t>-</w:t>
      </w:r>
      <w:r w:rsidRPr="00807701">
        <w:rPr>
          <w:color w:val="000000" w:themeColor="text1"/>
          <w:sz w:val="28"/>
          <w:szCs w:val="28"/>
          <w:lang w:val="en-US"/>
        </w:rPr>
        <w:t>M</w:t>
      </w:r>
      <w:r w:rsidRPr="00807701">
        <w:rPr>
          <w:color w:val="000000" w:themeColor="text1"/>
          <w:sz w:val="28"/>
          <w:szCs w:val="28"/>
          <w:lang w:val="uk-UA"/>
        </w:rPr>
        <w:t xml:space="preserve"> і </w:t>
      </w:r>
      <w:r w:rsidRPr="00807701">
        <w:rPr>
          <w:color w:val="000000" w:themeColor="text1"/>
          <w:sz w:val="28"/>
          <w:szCs w:val="28"/>
          <w:lang w:val="en-US"/>
        </w:rPr>
        <w:t>blaTEM</w:t>
      </w:r>
      <w:r w:rsidRPr="00807701">
        <w:rPr>
          <w:color w:val="000000" w:themeColor="text1"/>
          <w:sz w:val="28"/>
          <w:szCs w:val="28"/>
          <w:lang w:val="uk-UA"/>
        </w:rPr>
        <w:t xml:space="preserve"> до ампіцилліну (67%), амоксициллін/клавуланату (67%) та фурамагу (70%). Найбільшу інгібуючу активність проявили меропенем (100%), нітроксолін (100%), фторхінолони (70%), цефалоспорини (67%). Рівні резистентності бактерій з комбінацією </w:t>
      </w:r>
      <w:r w:rsidRPr="00807701">
        <w:rPr>
          <w:rFonts w:cstheme="minorHAnsi"/>
          <w:color w:val="000000" w:themeColor="text1"/>
          <w:sz w:val="28"/>
          <w:szCs w:val="28"/>
          <w:lang w:val="uk-UA"/>
        </w:rPr>
        <w:t>β</w:t>
      </w:r>
      <w:r w:rsidRPr="00807701">
        <w:rPr>
          <w:color w:val="000000" w:themeColor="text1"/>
          <w:sz w:val="28"/>
          <w:szCs w:val="28"/>
          <w:lang w:val="uk-UA"/>
        </w:rPr>
        <w:t>ЛРС і генів резистентності до фторхінолонів були наступними: ампіциллін (100%), цефалоспорини (50%), фторхфнолони (49%), аміноглікозиди (50%). Рівні чутливості становили: меропенем (100%), нітроксолін (100%), фуромаг (100%), нітрофурантоїн (100%), фосфоміцин (100%), малюнок 3.43.</w:t>
      </w:r>
    </w:p>
    <w:p w:rsidR="00807701" w:rsidRPr="00807701" w:rsidRDefault="00807701" w:rsidP="00807701">
      <w:pPr>
        <w:spacing w:after="0" w:line="360" w:lineRule="auto"/>
        <w:ind w:firstLine="709"/>
        <w:jc w:val="both"/>
        <w:rPr>
          <w:color w:val="000000" w:themeColor="text1"/>
          <w:sz w:val="28"/>
          <w:szCs w:val="28"/>
          <w:lang w:val="uk-UA"/>
        </w:rPr>
      </w:pPr>
      <w:r w:rsidRPr="00807701">
        <w:rPr>
          <w:noProof/>
          <w:color w:val="000000" w:themeColor="text1"/>
          <w:sz w:val="28"/>
          <w:szCs w:val="28"/>
          <w:lang w:eastAsia="ru-RU"/>
        </w:rPr>
        <w:lastRenderedPageBreak/>
        <w:drawing>
          <wp:inline distT="0" distB="0" distL="0" distR="0" wp14:anchorId="0F473EAA" wp14:editId="3B3BAEE3">
            <wp:extent cx="5486400" cy="2981460"/>
            <wp:effectExtent l="0" t="0" r="19050" b="9525"/>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07701" w:rsidRPr="00807701" w:rsidRDefault="00807701" w:rsidP="00807701">
      <w:pPr>
        <w:spacing w:line="360" w:lineRule="auto"/>
        <w:ind w:firstLine="709"/>
        <w:jc w:val="both"/>
        <w:rPr>
          <w:color w:val="000000" w:themeColor="text1"/>
          <w:sz w:val="24"/>
          <w:szCs w:val="24"/>
          <w:lang w:val="uk-UA"/>
        </w:rPr>
      </w:pPr>
      <w:r w:rsidRPr="00807701">
        <w:rPr>
          <w:color w:val="000000" w:themeColor="text1"/>
          <w:sz w:val="24"/>
          <w:szCs w:val="24"/>
          <w:lang w:val="uk-UA"/>
        </w:rPr>
        <w:t>Мал. 3.43 Чутливість виділених збудників ХП залежно від типів виявлених комбінацій плазмідних генів резистентності.</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При аналізі взаємозв’язків між чутливістю/резистентністю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та наявністю плазмід-індукованих механізмів резистентності у хворих на ХП з і без супутнього ЦД 2 типу, встановлено достовірно вищі рівні чутливості до цефтріаксону (65% </w:t>
      </w:r>
      <w:r w:rsidRPr="00807701">
        <w:rPr>
          <w:sz w:val="28"/>
          <w:szCs w:val="28"/>
          <w:lang w:val="en-US"/>
        </w:rPr>
        <w:t>vs</w:t>
      </w:r>
      <w:r w:rsidRPr="00807701">
        <w:rPr>
          <w:sz w:val="28"/>
          <w:szCs w:val="28"/>
          <w:lang w:val="uk-UA"/>
        </w:rPr>
        <w:t xml:space="preserve">. 40%, р=0,01), цефіпіму (69% </w:t>
      </w:r>
      <w:r w:rsidRPr="00807701">
        <w:rPr>
          <w:sz w:val="28"/>
          <w:szCs w:val="28"/>
          <w:lang w:val="en-US"/>
        </w:rPr>
        <w:t>vs</w:t>
      </w:r>
      <w:r w:rsidRPr="00807701">
        <w:rPr>
          <w:sz w:val="28"/>
          <w:szCs w:val="28"/>
          <w:lang w:val="uk-UA"/>
        </w:rPr>
        <w:t xml:space="preserve">. 40%, р=0,005), ципрофлоксацину (58% </w:t>
      </w:r>
      <w:r w:rsidRPr="00807701">
        <w:rPr>
          <w:sz w:val="28"/>
          <w:szCs w:val="28"/>
          <w:lang w:val="en-US"/>
        </w:rPr>
        <w:t>vs</w:t>
      </w:r>
      <w:r w:rsidRPr="00807701">
        <w:rPr>
          <w:sz w:val="28"/>
          <w:szCs w:val="28"/>
          <w:lang w:val="uk-UA"/>
        </w:rPr>
        <w:t>. 20%, р</w:t>
      </w:r>
      <w:r w:rsidRPr="00807701">
        <w:rPr>
          <w:rFonts w:cstheme="minorHAnsi"/>
          <w:sz w:val="28"/>
          <w:szCs w:val="28"/>
          <w:lang w:val="uk-UA"/>
        </w:rPr>
        <w:t>≤</w:t>
      </w:r>
      <w:r w:rsidRPr="00807701">
        <w:rPr>
          <w:sz w:val="28"/>
          <w:szCs w:val="28"/>
          <w:lang w:val="uk-UA"/>
        </w:rPr>
        <w:t xml:space="preserve">0,05), левофлоксацину (58% </w:t>
      </w:r>
      <w:r w:rsidRPr="00807701">
        <w:rPr>
          <w:sz w:val="28"/>
          <w:szCs w:val="28"/>
          <w:lang w:val="en-US"/>
        </w:rPr>
        <w:t>vs</w:t>
      </w:r>
      <w:r w:rsidRPr="00807701">
        <w:rPr>
          <w:sz w:val="28"/>
          <w:szCs w:val="28"/>
          <w:lang w:val="uk-UA"/>
        </w:rPr>
        <w:t xml:space="preserve">. 30%, р=0,002), та нітрофурантоїну (73% </w:t>
      </w:r>
      <w:r w:rsidRPr="00807701">
        <w:rPr>
          <w:sz w:val="28"/>
          <w:szCs w:val="28"/>
          <w:lang w:val="en-US"/>
        </w:rPr>
        <w:t>vs</w:t>
      </w:r>
      <w:r w:rsidRPr="00807701">
        <w:rPr>
          <w:sz w:val="28"/>
          <w:szCs w:val="28"/>
          <w:lang w:val="uk-UA"/>
        </w:rPr>
        <w:t>. 40%, р=0,001) у хворих, що страждають ХП без ЦД 2 типу. Рівні чутливості до інших АБП достовірно не відрізнялись поміж груп (малюнок 3.44).</w:t>
      </w:r>
    </w:p>
    <w:p w:rsidR="00807701" w:rsidRPr="00807701" w:rsidRDefault="00807701" w:rsidP="00807701">
      <w:pPr>
        <w:spacing w:after="0" w:line="360" w:lineRule="auto"/>
        <w:ind w:firstLine="720"/>
        <w:jc w:val="both"/>
        <w:rPr>
          <w:sz w:val="28"/>
          <w:szCs w:val="28"/>
          <w:lang w:val="uk-UA"/>
        </w:rPr>
      </w:pPr>
      <w:r w:rsidRPr="00807701">
        <w:rPr>
          <w:noProof/>
          <w:sz w:val="28"/>
          <w:szCs w:val="28"/>
          <w:lang w:eastAsia="ru-RU"/>
        </w:rPr>
        <w:drawing>
          <wp:inline distT="0" distB="0" distL="0" distR="0" wp14:anchorId="7BB11DF7" wp14:editId="54D79553">
            <wp:extent cx="5486400" cy="2743200"/>
            <wp:effectExtent l="0" t="0" r="19050" b="19050"/>
            <wp:docPr id="48"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07701" w:rsidRPr="00807701" w:rsidRDefault="00807701" w:rsidP="00807701">
      <w:pPr>
        <w:spacing w:line="360" w:lineRule="auto"/>
        <w:ind w:firstLine="720"/>
        <w:jc w:val="both"/>
        <w:rPr>
          <w:sz w:val="24"/>
          <w:szCs w:val="24"/>
          <w:lang w:val="uk-UA"/>
        </w:rPr>
      </w:pPr>
      <w:r w:rsidRPr="00807701">
        <w:rPr>
          <w:sz w:val="24"/>
          <w:szCs w:val="24"/>
          <w:lang w:val="uk-UA"/>
        </w:rPr>
        <w:lastRenderedPageBreak/>
        <w:t>Мал. 3.44 Чутливість збудників з плазмідними генами резистентності у хворих на ХП і супутній ЦД 2 типу.</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Отже, бактерії з плазмід-індукованими механізмами резистентності мають достовірно нижчі рівні чутливості до </w:t>
      </w:r>
      <w:r w:rsidRPr="00807701">
        <w:rPr>
          <w:rFonts w:cstheme="minorHAnsi"/>
          <w:sz w:val="28"/>
          <w:szCs w:val="28"/>
          <w:lang w:val="uk-UA"/>
        </w:rPr>
        <w:t>β</w:t>
      </w:r>
      <w:r w:rsidRPr="00807701">
        <w:rPr>
          <w:sz w:val="28"/>
          <w:szCs w:val="28"/>
          <w:lang w:val="uk-UA"/>
        </w:rPr>
        <w:t xml:space="preserve">-лактамів, 3-ї генерації цефалоспоринів та фторхінолонів, ніж мікроорганізми, що не мають генів стійкості. Найбільшу інгібуючу активність проти уропатогенів з виявленими плазмідними механізмами резистентності проявляють: меропенем (97%), нітроксолін (77%), фосфоміцин (75%), ко-трімоксазол (64%), амікацин (67%) та цефіпім (61%). </w:t>
      </w:r>
    </w:p>
    <w:p w:rsidR="00807701" w:rsidRPr="00807701" w:rsidRDefault="00807701" w:rsidP="00807701">
      <w:pPr>
        <w:spacing w:after="0" w:line="360" w:lineRule="auto"/>
        <w:ind w:firstLine="709"/>
        <w:jc w:val="both"/>
        <w:rPr>
          <w:color w:val="000000" w:themeColor="text1"/>
          <w:sz w:val="28"/>
          <w:szCs w:val="28"/>
          <w:lang w:val="uk-UA"/>
        </w:rPr>
      </w:pPr>
      <w:r w:rsidRPr="00807701">
        <w:rPr>
          <w:sz w:val="28"/>
          <w:szCs w:val="28"/>
          <w:lang w:val="uk-UA"/>
        </w:rPr>
        <w:t xml:space="preserve">Проти бактерій з </w:t>
      </w:r>
      <w:r w:rsidRPr="00807701">
        <w:rPr>
          <w:rFonts w:cstheme="minorHAnsi"/>
          <w:sz w:val="28"/>
          <w:szCs w:val="28"/>
          <w:lang w:val="uk-UA"/>
        </w:rPr>
        <w:t>β</w:t>
      </w:r>
      <w:r w:rsidRPr="00807701">
        <w:rPr>
          <w:sz w:val="28"/>
          <w:szCs w:val="28"/>
          <w:lang w:val="uk-UA"/>
        </w:rPr>
        <w:t xml:space="preserve">ЛРС типу </w:t>
      </w:r>
      <w:r w:rsidRPr="00807701">
        <w:rPr>
          <w:color w:val="000000" w:themeColor="text1"/>
          <w:sz w:val="28"/>
          <w:szCs w:val="28"/>
          <w:lang w:val="en-US"/>
        </w:rPr>
        <w:t>blaCTX</w:t>
      </w:r>
      <w:r w:rsidRPr="00807701">
        <w:rPr>
          <w:color w:val="000000" w:themeColor="text1"/>
          <w:sz w:val="28"/>
          <w:szCs w:val="28"/>
          <w:lang w:val="uk-UA"/>
        </w:rPr>
        <w:t>-</w:t>
      </w:r>
      <w:r w:rsidRPr="00807701">
        <w:rPr>
          <w:color w:val="000000" w:themeColor="text1"/>
          <w:sz w:val="28"/>
          <w:szCs w:val="28"/>
          <w:lang w:val="en-US"/>
        </w:rPr>
        <w:t>M</w:t>
      </w:r>
      <w:r w:rsidRPr="00807701">
        <w:rPr>
          <w:color w:val="000000" w:themeColor="text1"/>
          <w:sz w:val="28"/>
          <w:szCs w:val="28"/>
          <w:lang w:val="uk-UA"/>
        </w:rPr>
        <w:t xml:space="preserve"> найбільшу інгібуючу активність проявляють меропенем (100%), фосфоміцин (100%), нітроксолін (70%) та ко-трімоксазол (60%). </w:t>
      </w:r>
      <w:r w:rsidRPr="00807701">
        <w:rPr>
          <w:sz w:val="28"/>
          <w:szCs w:val="28"/>
          <w:lang w:val="uk-UA"/>
        </w:rPr>
        <w:t>Проти</w:t>
      </w:r>
      <w:r w:rsidRPr="00807701">
        <w:rPr>
          <w:color w:val="000000" w:themeColor="text1"/>
          <w:sz w:val="28"/>
          <w:szCs w:val="28"/>
          <w:lang w:val="uk-UA"/>
        </w:rPr>
        <w:t xml:space="preserve"> бактерій з </w:t>
      </w:r>
      <w:r w:rsidRPr="00807701">
        <w:rPr>
          <w:rFonts w:cstheme="minorHAnsi"/>
          <w:sz w:val="28"/>
          <w:szCs w:val="28"/>
          <w:lang w:val="uk-UA"/>
        </w:rPr>
        <w:t>β</w:t>
      </w:r>
      <w:r w:rsidRPr="00807701">
        <w:rPr>
          <w:sz w:val="28"/>
          <w:szCs w:val="28"/>
          <w:lang w:val="uk-UA"/>
        </w:rPr>
        <w:t xml:space="preserve">ЛРС типу </w:t>
      </w:r>
      <w:r w:rsidRPr="00807701">
        <w:rPr>
          <w:color w:val="000000" w:themeColor="text1"/>
          <w:sz w:val="28"/>
          <w:szCs w:val="28"/>
          <w:lang w:val="en-US"/>
        </w:rPr>
        <w:t>bla</w:t>
      </w:r>
      <w:r w:rsidRPr="00807701">
        <w:rPr>
          <w:color w:val="000000" w:themeColor="text1"/>
          <w:sz w:val="28"/>
          <w:szCs w:val="28"/>
          <w:lang w:val="uk-UA"/>
        </w:rPr>
        <w:t xml:space="preserve">ТЕМ найбільшу інгібуючу активність проявили: амікацин (100%), фосфоміцин (100%), нітроксолін (100%), меропенем (100%), цефіпім (83%) та гентаміцин (83%). </w:t>
      </w:r>
      <w:r w:rsidRPr="00807701">
        <w:rPr>
          <w:sz w:val="28"/>
          <w:szCs w:val="28"/>
          <w:lang w:val="uk-UA"/>
        </w:rPr>
        <w:t>Проти</w:t>
      </w:r>
      <w:r w:rsidRPr="00807701">
        <w:rPr>
          <w:color w:val="000000" w:themeColor="text1"/>
          <w:sz w:val="28"/>
          <w:szCs w:val="28"/>
          <w:lang w:val="uk-UA"/>
        </w:rPr>
        <w:t xml:space="preserve"> бактерій з </w:t>
      </w:r>
      <w:r w:rsidRPr="00807701">
        <w:rPr>
          <w:rFonts w:cstheme="minorHAnsi"/>
          <w:sz w:val="28"/>
          <w:szCs w:val="28"/>
          <w:lang w:val="uk-UA"/>
        </w:rPr>
        <w:t>β</w:t>
      </w:r>
      <w:r w:rsidRPr="00807701">
        <w:rPr>
          <w:sz w:val="28"/>
          <w:szCs w:val="28"/>
          <w:lang w:val="uk-UA"/>
        </w:rPr>
        <w:t xml:space="preserve">ЛРС типу </w:t>
      </w:r>
      <w:r w:rsidRPr="00807701">
        <w:rPr>
          <w:color w:val="000000" w:themeColor="text1"/>
          <w:sz w:val="28"/>
          <w:szCs w:val="28"/>
          <w:lang w:val="en-US"/>
        </w:rPr>
        <w:t>blaSHV</w:t>
      </w:r>
      <w:r w:rsidRPr="00807701">
        <w:rPr>
          <w:color w:val="000000" w:themeColor="text1"/>
          <w:sz w:val="28"/>
          <w:szCs w:val="28"/>
          <w:lang w:val="uk-UA"/>
        </w:rPr>
        <w:t xml:space="preserve"> найбільшу інгібуючу активність проявили меропенем (86%), амікацин (86%), нітроксолін (71%), цефтріаксон (71%), фосфоміцин (57%).</w:t>
      </w:r>
    </w:p>
    <w:p w:rsidR="00807701" w:rsidRPr="00807701" w:rsidRDefault="00807701" w:rsidP="00807701">
      <w:pPr>
        <w:spacing w:after="0" w:line="360" w:lineRule="auto"/>
        <w:ind w:firstLine="709"/>
        <w:jc w:val="both"/>
        <w:rPr>
          <w:sz w:val="28"/>
          <w:szCs w:val="28"/>
          <w:lang w:val="uk-UA"/>
        </w:rPr>
      </w:pPr>
      <w:r w:rsidRPr="00807701">
        <w:rPr>
          <w:rFonts w:cstheme="minorHAnsi"/>
          <w:sz w:val="28"/>
          <w:szCs w:val="28"/>
          <w:lang w:val="uk-UA"/>
        </w:rPr>
        <w:t>Проти бактерій з геном QnrА тільки меропенем проявив 100% інгібуючу активність. Проти бактерій з геном QepA, найбільшу інгібуючу активність проявили меропенем (100%), нітроксолін (100%), фуромаг (100%), нітрофурантоїн (100%), ко-трімоксазол (100%) та фосфоміцин (80%). Проти бактерій з геном AAC(6 ')-Ib-cr найбільшу інгібуючу активність проявили меропенем (100%), фосфоміцин (67%), ко-трімоксазол (67%), аміноглікозиди (67%).</w:t>
      </w:r>
    </w:p>
    <w:p w:rsidR="00807701" w:rsidRPr="00807701" w:rsidRDefault="00807701" w:rsidP="00807701">
      <w:pPr>
        <w:spacing w:line="360" w:lineRule="auto"/>
        <w:ind w:firstLine="709"/>
        <w:jc w:val="both"/>
        <w:rPr>
          <w:sz w:val="28"/>
          <w:szCs w:val="28"/>
          <w:lang w:val="uk-UA"/>
        </w:rPr>
      </w:pPr>
      <w:r w:rsidRPr="00807701">
        <w:rPr>
          <w:sz w:val="28"/>
          <w:szCs w:val="28"/>
          <w:lang w:val="uk-UA"/>
        </w:rPr>
        <w:t>У хворих, що страждають ХП і ЦД 2 типу, виявлено достовірно вищі рівні резистентності до амінопеніциллінів, 3-ї генерації цефалоспоринів, та фторхінолонів, особливо у пацієнтів з виявленими механізмами стійкості, що робить неможливим застосування цих препаратів у якості емпіричної терапії подолання цієї категорії хворих.</w:t>
      </w:r>
    </w:p>
    <w:p w:rsidR="00807701" w:rsidRPr="00807701" w:rsidRDefault="00807701" w:rsidP="00807701">
      <w:pPr>
        <w:spacing w:after="0" w:line="360" w:lineRule="auto"/>
        <w:ind w:firstLine="709"/>
        <w:jc w:val="both"/>
        <w:rPr>
          <w:rFonts w:cstheme="minorHAnsi"/>
          <w:sz w:val="28"/>
          <w:szCs w:val="28"/>
          <w:lang w:val="uk-UA"/>
        </w:rPr>
      </w:pPr>
      <w:r w:rsidRPr="00807701">
        <w:rPr>
          <w:sz w:val="28"/>
          <w:szCs w:val="28"/>
          <w:lang w:val="uk-UA"/>
        </w:rPr>
        <w:lastRenderedPageBreak/>
        <w:t xml:space="preserve">Встановлення взаємозв’язків між резистентністю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та наявністю плазмід-індукованих механізмів резистентності дозволить визначити найбільш ефективні АБП у хворих на ХП з виявленими плазмідними генами стійкості. В нашому дослідженні, рівні резистентності штамів з плазмідними генами стійкості складали: ампіциллін (90%), амоксіциллін/клавуланат – 58%, ципрофлоксацин (53%), левофлоксацин (50%), гентаміцин (42%), амікацин (33%), 26,9% штамів були резистентні до 3-ї генерації цефалоспоринів. Найбільшу інгібуючу активність проти бактерій з плазмідними механізмами резистентності проявили: меропенем (97%), нітроксолін (77%), фосфоміцин (75%), ко-трімоксазол (64%), амікацин (67%) та цефіпім (61%). Отримані нами результати узгоджуються з даними </w:t>
      </w:r>
      <w:r w:rsidRPr="00807701">
        <w:rPr>
          <w:rFonts w:cstheme="minorHAnsi"/>
          <w:sz w:val="28"/>
          <w:szCs w:val="28"/>
          <w:lang w:val="uk-UA"/>
        </w:rPr>
        <w:t xml:space="preserve">ретроспективного аналізу, проведеного </w:t>
      </w:r>
      <w:r w:rsidRPr="00807701">
        <w:rPr>
          <w:rFonts w:eastAsia="Times New Roman" w:cstheme="minorHAnsi"/>
          <w:color w:val="000000" w:themeColor="text1"/>
          <w:sz w:val="28"/>
          <w:szCs w:val="28"/>
          <w:lang w:val="en-US" w:eastAsia="ru-RU"/>
        </w:rPr>
        <w:t>Miranda</w:t>
      </w:r>
      <w:r w:rsidRPr="00807701">
        <w:rPr>
          <w:rFonts w:eastAsia="Times New Roman" w:cstheme="minorHAnsi"/>
          <w:color w:val="000000" w:themeColor="text1"/>
          <w:sz w:val="28"/>
          <w:szCs w:val="28"/>
          <w:lang w:val="uk-UA" w:eastAsia="ru-RU"/>
        </w:rPr>
        <w:t xml:space="preserve"> </w:t>
      </w:r>
      <w:r w:rsidRPr="00807701">
        <w:rPr>
          <w:rFonts w:eastAsia="Times New Roman" w:cstheme="minorHAnsi"/>
          <w:color w:val="000000" w:themeColor="text1"/>
          <w:sz w:val="28"/>
          <w:szCs w:val="28"/>
          <w:lang w:val="en-US" w:eastAsia="ru-RU"/>
        </w:rPr>
        <w:t>E</w:t>
      </w:r>
      <w:r w:rsidRPr="00807701">
        <w:rPr>
          <w:rFonts w:eastAsia="Times New Roman" w:cstheme="minorHAnsi"/>
          <w:color w:val="000000" w:themeColor="text1"/>
          <w:sz w:val="28"/>
          <w:szCs w:val="28"/>
          <w:lang w:val="uk-UA" w:eastAsia="ru-RU"/>
        </w:rPr>
        <w:t>. та соавт., де рівні резистентності</w:t>
      </w:r>
      <w:r w:rsidRPr="00807701">
        <w:rPr>
          <w:sz w:val="28"/>
          <w:szCs w:val="28"/>
          <w:lang w:val="uk-UA"/>
        </w:rPr>
        <w:t xml:space="preserve"> </w:t>
      </w:r>
      <w:r w:rsidRPr="00807701">
        <w:rPr>
          <w:rFonts w:cstheme="minorHAnsi"/>
          <w:sz w:val="28"/>
          <w:szCs w:val="28"/>
          <w:lang w:val="uk-UA"/>
        </w:rPr>
        <w:t>бактерій з плазмідними механізмами резистентності були наступними: цефотаксім (100%), цефтазідім (100%), ампіциллін (69,5%), ципрофлоксацин (55,5%), цефіпім (32%), ко-трімоксазол (25%), налідиксовая кислота (23,4%), нітрофурантоїн (16,4%), амікацин (12,5%). Всі штами (100%) були чутливі до карбапенемів [</w:t>
      </w:r>
      <w:r w:rsidRPr="00807701">
        <w:rPr>
          <w:rFonts w:eastAsia="Times New Roman" w:cstheme="minorHAnsi"/>
          <w:color w:val="000000" w:themeColor="text1"/>
          <w:sz w:val="28"/>
          <w:szCs w:val="28"/>
          <w:lang w:val="uk-UA" w:eastAsia="ru-RU"/>
        </w:rPr>
        <w:t>80</w:t>
      </w:r>
      <w:r w:rsidRPr="00807701">
        <w:rPr>
          <w:rFonts w:cstheme="minorHAnsi"/>
          <w:sz w:val="28"/>
          <w:szCs w:val="28"/>
          <w:lang w:val="uk-UA"/>
        </w:rPr>
        <w:t xml:space="preserve">]. </w:t>
      </w:r>
    </w:p>
    <w:p w:rsidR="00807701" w:rsidRPr="00807701" w:rsidRDefault="00807701" w:rsidP="00807701">
      <w:pPr>
        <w:spacing w:after="0" w:line="360" w:lineRule="auto"/>
        <w:ind w:firstLine="709"/>
        <w:jc w:val="both"/>
        <w:rPr>
          <w:rFonts w:cstheme="minorHAnsi"/>
          <w:color w:val="000000"/>
          <w:sz w:val="28"/>
          <w:szCs w:val="28"/>
          <w:lang w:val="uk-UA"/>
        </w:rPr>
      </w:pPr>
      <w:r w:rsidRPr="00807701">
        <w:rPr>
          <w:rFonts w:cstheme="minorHAnsi"/>
          <w:sz w:val="28"/>
          <w:szCs w:val="28"/>
          <w:lang w:val="uk-UA"/>
        </w:rPr>
        <w:t xml:space="preserve">Бактерії з виділеними βЛРС типу </w:t>
      </w:r>
      <w:r w:rsidRPr="00807701">
        <w:rPr>
          <w:rFonts w:cstheme="minorHAnsi"/>
          <w:sz w:val="28"/>
          <w:szCs w:val="28"/>
          <w:lang w:val="en-US"/>
        </w:rPr>
        <w:t>blaCTX</w:t>
      </w:r>
      <w:r w:rsidRPr="00807701">
        <w:rPr>
          <w:rFonts w:cstheme="minorHAnsi"/>
          <w:sz w:val="28"/>
          <w:szCs w:val="28"/>
          <w:lang w:val="uk-UA"/>
        </w:rPr>
        <w:t>-</w:t>
      </w:r>
      <w:r w:rsidRPr="00807701">
        <w:rPr>
          <w:rFonts w:cstheme="minorHAnsi"/>
          <w:sz w:val="28"/>
          <w:szCs w:val="28"/>
          <w:lang w:val="en-US"/>
        </w:rPr>
        <w:t>M</w:t>
      </w:r>
      <w:r w:rsidRPr="00807701">
        <w:rPr>
          <w:rFonts w:cstheme="minorHAnsi"/>
          <w:sz w:val="28"/>
          <w:szCs w:val="28"/>
          <w:lang w:val="uk-UA"/>
        </w:rPr>
        <w:t xml:space="preserve"> мали найвищі рівні резистентності до </w:t>
      </w:r>
      <w:r w:rsidRPr="00807701">
        <w:rPr>
          <w:color w:val="000000" w:themeColor="text1"/>
          <w:sz w:val="28"/>
          <w:szCs w:val="28"/>
          <w:lang w:val="uk-UA"/>
        </w:rPr>
        <w:t>ампіцилліну (80%), амоксициллін/клавуланату (80%), фторхінолонам (70%), цефалоспоринам (60%) та аміноглікозидам (60%), тоді як найбільшу інгібуючу активність проявили меропенем (100%), фосфоміцин (100%), нітроксолін (70%) та ко-трімоксазол (60%). Отримані нами результати узгоджуються з даними</w:t>
      </w:r>
      <w:r w:rsidRPr="00807701">
        <w:rPr>
          <w:lang w:val="uk-UA"/>
        </w:rPr>
        <w:t xml:space="preserve"> </w:t>
      </w:r>
      <w:r w:rsidRPr="00807701">
        <w:rPr>
          <w:rFonts w:ascii="Times New Roman" w:hAnsi="Times New Roman" w:cs="Times New Roman"/>
          <w:sz w:val="28"/>
          <w:szCs w:val="28"/>
          <w:shd w:val="clear" w:color="auto" w:fill="FFFFFF"/>
        </w:rPr>
        <w:t>Kresken</w:t>
      </w:r>
      <w:r w:rsidRPr="00807701">
        <w:rPr>
          <w:rFonts w:ascii="Times New Roman" w:hAnsi="Times New Roman" w:cs="Times New Roman"/>
          <w:sz w:val="28"/>
          <w:szCs w:val="28"/>
          <w:shd w:val="clear" w:color="auto" w:fill="FFFFFF"/>
          <w:lang w:val="uk-UA"/>
        </w:rPr>
        <w:t xml:space="preserve"> </w:t>
      </w:r>
      <w:r w:rsidRPr="00807701">
        <w:rPr>
          <w:rFonts w:ascii="Times New Roman" w:hAnsi="Times New Roman" w:cs="Times New Roman"/>
          <w:sz w:val="28"/>
          <w:szCs w:val="28"/>
          <w:shd w:val="clear" w:color="auto" w:fill="FFFFFF"/>
        </w:rPr>
        <w:t>M</w:t>
      </w:r>
      <w:r w:rsidRPr="00807701">
        <w:rPr>
          <w:rFonts w:ascii="Times New Roman" w:hAnsi="Times New Roman" w:cs="Times New Roman"/>
          <w:color w:val="000000"/>
          <w:sz w:val="28"/>
          <w:szCs w:val="28"/>
          <w:shd w:val="clear" w:color="auto" w:fill="FFFFFF"/>
          <w:lang w:val="uk-UA"/>
        </w:rPr>
        <w:t xml:space="preserve"> та співавт. о високих рівнях резистентності штамів з плазмідними генами </w:t>
      </w:r>
      <w:r w:rsidRPr="00807701">
        <w:rPr>
          <w:rFonts w:cstheme="minorHAnsi"/>
          <w:sz w:val="28"/>
          <w:szCs w:val="28"/>
          <w:lang w:val="en-US"/>
        </w:rPr>
        <w:t>blaCTX</w:t>
      </w:r>
      <w:r w:rsidRPr="00807701">
        <w:rPr>
          <w:rFonts w:cstheme="minorHAnsi"/>
          <w:sz w:val="28"/>
          <w:szCs w:val="28"/>
          <w:lang w:val="uk-UA"/>
        </w:rPr>
        <w:t>-</w:t>
      </w:r>
      <w:r w:rsidRPr="00807701">
        <w:rPr>
          <w:rFonts w:cstheme="minorHAnsi"/>
          <w:sz w:val="28"/>
          <w:szCs w:val="28"/>
          <w:lang w:val="en-US"/>
        </w:rPr>
        <w:t>M</w:t>
      </w:r>
      <w:r w:rsidRPr="00807701">
        <w:rPr>
          <w:rFonts w:cstheme="minorHAnsi"/>
          <w:sz w:val="28"/>
          <w:szCs w:val="28"/>
          <w:lang w:val="uk-UA"/>
        </w:rPr>
        <w:t xml:space="preserve"> до </w:t>
      </w:r>
      <w:r w:rsidRPr="00807701">
        <w:rPr>
          <w:color w:val="000000" w:themeColor="text1"/>
          <w:sz w:val="28"/>
          <w:szCs w:val="28"/>
          <w:lang w:val="uk-UA"/>
        </w:rPr>
        <w:t xml:space="preserve">ампіцилліну (42,9%), амоксициллін/клавуланату (32,7%), тріметопрім/сульфометоксазолу (30,9%), ципрофлоксацину (19,8%). Фосфоміцин і карбапенеми мали 100% активність проти бактерій з </w:t>
      </w:r>
      <w:r w:rsidRPr="00807701">
        <w:rPr>
          <w:rFonts w:ascii="Times New Roman" w:hAnsi="Times New Roman" w:cs="Times New Roman"/>
          <w:color w:val="000000"/>
          <w:sz w:val="28"/>
          <w:szCs w:val="28"/>
          <w:shd w:val="clear" w:color="auto" w:fill="FFFFFF"/>
          <w:lang w:val="uk-UA"/>
        </w:rPr>
        <w:t xml:space="preserve">плазмідними генами </w:t>
      </w:r>
      <w:r w:rsidRPr="00807701">
        <w:rPr>
          <w:rFonts w:cstheme="minorHAnsi"/>
          <w:sz w:val="28"/>
          <w:szCs w:val="28"/>
          <w:lang w:val="en-US"/>
        </w:rPr>
        <w:t>blaCTX</w:t>
      </w:r>
      <w:r w:rsidRPr="00807701">
        <w:rPr>
          <w:rFonts w:cstheme="minorHAnsi"/>
          <w:sz w:val="28"/>
          <w:szCs w:val="28"/>
          <w:lang w:val="uk-UA"/>
        </w:rPr>
        <w:t>-</w:t>
      </w:r>
      <w:r w:rsidRPr="00807701">
        <w:rPr>
          <w:rFonts w:cstheme="minorHAnsi"/>
          <w:sz w:val="28"/>
          <w:szCs w:val="28"/>
          <w:lang w:val="en-US"/>
        </w:rPr>
        <w:t>M</w:t>
      </w:r>
      <w:r w:rsidRPr="00807701">
        <w:rPr>
          <w:rFonts w:cstheme="minorHAnsi"/>
          <w:sz w:val="28"/>
          <w:szCs w:val="28"/>
          <w:lang w:val="uk-UA"/>
        </w:rPr>
        <w:t>, що також було продемонстровано в нашому дослідженні</w:t>
      </w:r>
      <w:r w:rsidRPr="00807701">
        <w:rPr>
          <w:rFonts w:ascii="Times New Roman" w:hAnsi="Times New Roman" w:cs="Times New Roman"/>
          <w:color w:val="000000"/>
          <w:sz w:val="28"/>
          <w:szCs w:val="28"/>
          <w:shd w:val="clear" w:color="auto" w:fill="FFFFFF"/>
          <w:lang w:val="uk-UA"/>
        </w:rPr>
        <w:t xml:space="preserve"> </w:t>
      </w:r>
      <w:r w:rsidRPr="00807701">
        <w:rPr>
          <w:rFonts w:cstheme="minorHAnsi"/>
          <w:color w:val="000000"/>
          <w:sz w:val="28"/>
          <w:szCs w:val="28"/>
          <w:lang w:val="uk-UA"/>
        </w:rPr>
        <w:t>[68</w:t>
      </w:r>
      <w:r w:rsidRPr="00807701">
        <w:rPr>
          <w:rFonts w:cstheme="minorHAnsi"/>
          <w:color w:val="000000"/>
          <w:sz w:val="28"/>
          <w:szCs w:val="28"/>
        </w:rPr>
        <w:t>].</w:t>
      </w:r>
    </w:p>
    <w:p w:rsidR="00807701" w:rsidRPr="00807701" w:rsidRDefault="00807701" w:rsidP="00807701">
      <w:pPr>
        <w:spacing w:after="0" w:line="360" w:lineRule="auto"/>
        <w:ind w:firstLine="709"/>
        <w:jc w:val="both"/>
        <w:rPr>
          <w:rFonts w:cstheme="minorHAnsi"/>
          <w:color w:val="000000"/>
          <w:sz w:val="28"/>
          <w:szCs w:val="28"/>
          <w:lang w:val="uk-UA"/>
        </w:rPr>
      </w:pPr>
      <w:r w:rsidRPr="00807701">
        <w:rPr>
          <w:rFonts w:cstheme="minorHAnsi"/>
          <w:color w:val="000000"/>
          <w:sz w:val="28"/>
          <w:szCs w:val="28"/>
          <w:lang w:val="uk-UA"/>
        </w:rPr>
        <w:t xml:space="preserve">Бактерії з виділеними βЛРС типу </w:t>
      </w:r>
      <w:r w:rsidRPr="00807701">
        <w:rPr>
          <w:rFonts w:cstheme="minorHAnsi"/>
          <w:color w:val="000000"/>
          <w:sz w:val="28"/>
          <w:szCs w:val="28"/>
          <w:lang w:val="en-US"/>
        </w:rPr>
        <w:t>blaTEM</w:t>
      </w:r>
      <w:r w:rsidRPr="00807701">
        <w:rPr>
          <w:rFonts w:cstheme="minorHAnsi"/>
          <w:color w:val="000000"/>
          <w:sz w:val="28"/>
          <w:szCs w:val="28"/>
          <w:lang w:val="uk-UA"/>
        </w:rPr>
        <w:t xml:space="preserve"> </w:t>
      </w:r>
      <w:r w:rsidRPr="00807701">
        <w:rPr>
          <w:color w:val="000000" w:themeColor="text1"/>
          <w:sz w:val="28"/>
          <w:szCs w:val="28"/>
          <w:lang w:val="uk-UA"/>
        </w:rPr>
        <w:t xml:space="preserve">встановлено найвищі рівні резистентності до ампіцилліну (100%), амоксициллін/клавуланату (50%) та </w:t>
      </w:r>
      <w:r w:rsidRPr="00807701">
        <w:rPr>
          <w:color w:val="000000" w:themeColor="text1"/>
          <w:sz w:val="28"/>
          <w:szCs w:val="28"/>
          <w:lang w:val="uk-UA"/>
        </w:rPr>
        <w:lastRenderedPageBreak/>
        <w:t xml:space="preserve">цефотаксіму (50%). Найбільшу інгібуючу активність проявили: амікацин (100%), фосфоміцин (100%), нітроксолін (100%), меропенем (100%), цефіпім (83%) та гентаміцин (83%). Отримані нами результати узгоджуються з даними </w:t>
      </w:r>
      <w:r w:rsidRPr="00807701">
        <w:rPr>
          <w:rFonts w:cstheme="minorHAnsi"/>
          <w:sz w:val="28"/>
          <w:szCs w:val="28"/>
          <w:shd w:val="clear" w:color="auto" w:fill="FFFFFF"/>
        </w:rPr>
        <w:t>Eftekhar</w:t>
      </w:r>
      <w:r w:rsidRPr="00807701">
        <w:rPr>
          <w:rFonts w:cstheme="minorHAnsi"/>
          <w:sz w:val="28"/>
          <w:szCs w:val="28"/>
          <w:shd w:val="clear" w:color="auto" w:fill="FFFFFF"/>
          <w:lang w:val="uk-UA"/>
        </w:rPr>
        <w:t xml:space="preserve"> </w:t>
      </w:r>
      <w:r w:rsidRPr="00807701">
        <w:rPr>
          <w:rFonts w:cstheme="minorHAnsi"/>
          <w:sz w:val="28"/>
          <w:szCs w:val="28"/>
          <w:shd w:val="clear" w:color="auto" w:fill="FFFFFF"/>
        </w:rPr>
        <w:t>F</w:t>
      </w:r>
      <w:r w:rsidRPr="00807701">
        <w:rPr>
          <w:rFonts w:cstheme="minorHAnsi"/>
          <w:sz w:val="28"/>
          <w:szCs w:val="28"/>
          <w:shd w:val="clear" w:color="auto" w:fill="FFFFFF"/>
          <w:lang w:val="uk-UA"/>
        </w:rPr>
        <w:t xml:space="preserve"> та співавт., що продемонстрували високі рівні резистентності штамів з плазмідними генами </w:t>
      </w:r>
      <w:r w:rsidRPr="00807701">
        <w:rPr>
          <w:rFonts w:cstheme="minorHAnsi"/>
          <w:color w:val="000000"/>
          <w:sz w:val="28"/>
          <w:szCs w:val="28"/>
          <w:lang w:val="en-US"/>
        </w:rPr>
        <w:t>blaTEM</w:t>
      </w:r>
      <w:r w:rsidRPr="00807701">
        <w:rPr>
          <w:rFonts w:cstheme="minorHAnsi"/>
          <w:color w:val="000000"/>
          <w:sz w:val="28"/>
          <w:szCs w:val="28"/>
          <w:lang w:val="uk-UA"/>
        </w:rPr>
        <w:t xml:space="preserve"> до амоксицилліну (96%), нітрофурантоїну (78%), амікацину (49%), цефтріаксону (41%). Меропенем та фосфоміцин проявили 100% інгібуючу активність </w:t>
      </w:r>
      <w:r w:rsidRPr="00807701">
        <w:rPr>
          <w:rFonts w:cstheme="minorHAnsi"/>
          <w:color w:val="000000"/>
          <w:sz w:val="28"/>
          <w:szCs w:val="28"/>
          <w:lang w:val="en-US"/>
        </w:rPr>
        <w:t>in</w:t>
      </w:r>
      <w:r w:rsidRPr="00807701">
        <w:rPr>
          <w:rFonts w:cstheme="minorHAnsi"/>
          <w:color w:val="000000"/>
          <w:sz w:val="28"/>
          <w:szCs w:val="28"/>
          <w:lang w:val="uk-UA"/>
        </w:rPr>
        <w:t xml:space="preserve"> </w:t>
      </w:r>
      <w:r w:rsidRPr="00807701">
        <w:rPr>
          <w:rFonts w:cstheme="minorHAnsi"/>
          <w:color w:val="000000"/>
          <w:sz w:val="28"/>
          <w:szCs w:val="28"/>
          <w:lang w:val="en-US"/>
        </w:rPr>
        <w:t>vitro</w:t>
      </w:r>
      <w:r w:rsidRPr="00807701">
        <w:rPr>
          <w:rFonts w:cstheme="minorHAnsi"/>
          <w:color w:val="000000"/>
          <w:sz w:val="28"/>
          <w:szCs w:val="28"/>
          <w:lang w:val="uk-UA"/>
        </w:rPr>
        <w:t xml:space="preserve">. </w:t>
      </w:r>
      <w:r w:rsidRPr="00807701">
        <w:rPr>
          <w:rFonts w:cstheme="minorHAnsi"/>
          <w:sz w:val="28"/>
          <w:szCs w:val="28"/>
          <w:shd w:val="clear" w:color="auto" w:fill="FFFFFF"/>
          <w:lang w:val="uk-UA"/>
        </w:rPr>
        <w:t xml:space="preserve"> [</w:t>
      </w:r>
      <w:r w:rsidRPr="00807701">
        <w:rPr>
          <w:rFonts w:cstheme="minorHAnsi"/>
          <w:color w:val="000000"/>
          <w:sz w:val="28"/>
          <w:szCs w:val="28"/>
          <w:lang w:val="uk-UA"/>
        </w:rPr>
        <w:t>35].</w:t>
      </w:r>
    </w:p>
    <w:p w:rsidR="00807701" w:rsidRPr="00807701" w:rsidRDefault="00807701" w:rsidP="00807701">
      <w:pPr>
        <w:spacing w:after="0" w:line="360" w:lineRule="auto"/>
        <w:ind w:firstLine="709"/>
        <w:jc w:val="both"/>
        <w:rPr>
          <w:rFonts w:cstheme="minorHAnsi"/>
          <w:color w:val="000000"/>
          <w:sz w:val="28"/>
          <w:szCs w:val="28"/>
          <w:lang w:val="uk-UA"/>
        </w:rPr>
      </w:pPr>
      <w:r w:rsidRPr="00807701">
        <w:rPr>
          <w:rFonts w:cstheme="minorHAnsi"/>
          <w:color w:val="000000"/>
          <w:sz w:val="28"/>
          <w:szCs w:val="28"/>
          <w:lang w:val="uk-UA"/>
        </w:rPr>
        <w:t xml:space="preserve">Бактерії з виділеними βЛРС типу </w:t>
      </w:r>
      <w:r w:rsidRPr="00807701">
        <w:rPr>
          <w:rFonts w:cstheme="minorHAnsi"/>
          <w:color w:val="000000"/>
          <w:sz w:val="28"/>
          <w:szCs w:val="28"/>
          <w:lang w:val="en-US"/>
        </w:rPr>
        <w:t>blaSHV</w:t>
      </w:r>
      <w:r w:rsidRPr="00807701">
        <w:rPr>
          <w:rFonts w:cstheme="minorHAnsi"/>
          <w:color w:val="000000"/>
          <w:sz w:val="28"/>
          <w:szCs w:val="28"/>
          <w:lang w:val="uk-UA"/>
        </w:rPr>
        <w:t xml:space="preserve"> мали найвищі рівні резистентності до </w:t>
      </w:r>
      <w:r w:rsidRPr="00807701">
        <w:rPr>
          <w:color w:val="000000" w:themeColor="text1"/>
          <w:sz w:val="28"/>
          <w:szCs w:val="28"/>
          <w:lang w:val="uk-UA"/>
        </w:rPr>
        <w:t xml:space="preserve">ампіцилліну (100%), амоксициллін/клавуланату (86%), фурамагу (71%), цефотаксіму (57%), фторхінолонам (57%). Рівні чутливості становили: меропенем (86%), амікацин (86%), нітроксолін (71%), цефтріаксон (71%), фосфоміцин (57%). Отримані нами результати узгоджуються з даними </w:t>
      </w:r>
      <w:r w:rsidRPr="00807701">
        <w:rPr>
          <w:rFonts w:ascii="Times New Roman" w:hAnsi="Times New Roman" w:cs="Times New Roman"/>
          <w:sz w:val="28"/>
          <w:szCs w:val="28"/>
          <w:shd w:val="clear" w:color="auto" w:fill="FFFFFF"/>
        </w:rPr>
        <w:t>Hammami</w:t>
      </w:r>
      <w:r w:rsidRPr="00807701">
        <w:rPr>
          <w:rFonts w:ascii="Times New Roman" w:hAnsi="Times New Roman" w:cs="Times New Roman"/>
          <w:sz w:val="28"/>
          <w:szCs w:val="28"/>
          <w:shd w:val="clear" w:color="auto" w:fill="FFFFFF"/>
          <w:lang w:val="uk-UA"/>
        </w:rPr>
        <w:t xml:space="preserve"> </w:t>
      </w:r>
      <w:r w:rsidRPr="00807701">
        <w:rPr>
          <w:rFonts w:ascii="Times New Roman" w:hAnsi="Times New Roman" w:cs="Times New Roman"/>
          <w:sz w:val="28"/>
          <w:szCs w:val="28"/>
          <w:shd w:val="clear" w:color="auto" w:fill="FFFFFF"/>
        </w:rPr>
        <w:t>S</w:t>
      </w:r>
      <w:r w:rsidRPr="00807701">
        <w:rPr>
          <w:rFonts w:ascii="Times New Roman" w:hAnsi="Times New Roman" w:cs="Times New Roman"/>
          <w:sz w:val="28"/>
          <w:szCs w:val="28"/>
          <w:shd w:val="clear" w:color="auto" w:fill="FFFFFF"/>
          <w:lang w:val="uk-UA"/>
        </w:rPr>
        <w:t xml:space="preserve"> та співавт., що демонструють високі рівні резистентності штамів з плазмідними генами </w:t>
      </w:r>
      <w:r w:rsidRPr="00807701">
        <w:rPr>
          <w:rFonts w:cstheme="minorHAnsi"/>
          <w:color w:val="000000"/>
          <w:sz w:val="28"/>
          <w:szCs w:val="28"/>
          <w:lang w:val="en-US"/>
        </w:rPr>
        <w:t>blaSHV</w:t>
      </w:r>
      <w:r w:rsidRPr="00807701">
        <w:rPr>
          <w:rFonts w:cstheme="minorHAnsi"/>
          <w:color w:val="000000"/>
          <w:sz w:val="28"/>
          <w:szCs w:val="28"/>
          <w:lang w:val="uk-UA"/>
        </w:rPr>
        <w:t xml:space="preserve"> до амоксицилліну, 2-ї генерації цефалоспоринів та ципрофлоксацину. Найбільш ефективними виявлені карбапенеми, амікацин та фосфоміцин [51].</w:t>
      </w:r>
    </w:p>
    <w:p w:rsidR="00807701" w:rsidRPr="00807701" w:rsidRDefault="00807701" w:rsidP="00807701">
      <w:pPr>
        <w:spacing w:after="0" w:line="360" w:lineRule="auto"/>
        <w:ind w:firstLine="709"/>
        <w:jc w:val="both"/>
        <w:rPr>
          <w:rFonts w:cstheme="minorHAnsi"/>
          <w:sz w:val="28"/>
          <w:szCs w:val="28"/>
          <w:shd w:val="clear" w:color="auto" w:fill="FFFFFF"/>
          <w:lang w:val="uk-UA"/>
        </w:rPr>
      </w:pPr>
      <w:r w:rsidRPr="00807701">
        <w:rPr>
          <w:rFonts w:cstheme="minorHAnsi"/>
          <w:sz w:val="28"/>
          <w:szCs w:val="28"/>
          <w:lang w:val="uk-UA"/>
        </w:rPr>
        <w:t xml:space="preserve">Бактерії з виділеними плазмідними генами резистентності до фторхінолонів (QnrА, AAC(6 ')-Ib-cr, QepA) встановлено найвищі рівні резистентності до </w:t>
      </w:r>
      <w:r w:rsidRPr="00807701">
        <w:rPr>
          <w:sz w:val="28"/>
          <w:szCs w:val="28"/>
          <w:lang w:val="uk-UA"/>
        </w:rPr>
        <w:t xml:space="preserve">ампіцилліну (86%), ципрофлоксацину (75%), левофлоксацину (60%), аміноглікозидам (41%). Однак, рівні чутливості/резистентності до препаратів відрізнялись в залежності від типів виділених генів. Так, бактерії з геном </w:t>
      </w:r>
      <w:r w:rsidRPr="00807701">
        <w:rPr>
          <w:rFonts w:cstheme="minorHAnsi"/>
          <w:sz w:val="28"/>
          <w:szCs w:val="28"/>
          <w:lang w:val="uk-UA"/>
        </w:rPr>
        <w:t xml:space="preserve">QnrА мали найвищі рівні резистентності до ампіцилліну (100%), амоксициллін/клавуланату (100%), фосфоміцину (100%), нітрофурантоїну (100%), нітроксоліну (100%), цефалоспоринам (80%), фторхінолонам (80%), аміноглікозидам (80%). Тільки меропенем проявив 100% інгібуючу активність проти бактерій з геном QnrА. Бактерії з геном QepA мали найвищі рівні резистентності до ампіцилліну (100%), амоксициллін/клавуланату (60%) та амікацину (60%). Найбільшу інгібуючу активність проявили меропенем (100%), нітроксолін (100%), </w:t>
      </w:r>
      <w:r w:rsidRPr="00807701">
        <w:rPr>
          <w:rFonts w:cstheme="minorHAnsi"/>
          <w:sz w:val="28"/>
          <w:szCs w:val="28"/>
          <w:lang w:val="uk-UA"/>
        </w:rPr>
        <w:lastRenderedPageBreak/>
        <w:t xml:space="preserve">фуромаг (100%), нітрофурантоїн (100%), ко-трімоксазол (100%) та фосфоміцин (80%). Бактерії з геном AAC(6 ')-Ib-cr мали найвищі рівні резистентності до ампіцилліну (100%), ципрофлоксацину (100%), фуромагу (100%), цефтріаксону (67%), левофлоксацину (67%). Рівні чутливості становили: меропенем (100%), фосфоміцин (67%), ко-трімоксазол (67%), аміноглікозиди (67%). Отримані нами результати узгоджуються з даними </w:t>
      </w:r>
      <w:r w:rsidRPr="00807701">
        <w:rPr>
          <w:rFonts w:cstheme="minorHAnsi"/>
          <w:sz w:val="28"/>
          <w:szCs w:val="28"/>
          <w:shd w:val="clear" w:color="auto" w:fill="FFFFFF"/>
        </w:rPr>
        <w:t>Jlili</w:t>
      </w:r>
      <w:r w:rsidRPr="00807701">
        <w:rPr>
          <w:rFonts w:cstheme="minorHAnsi"/>
          <w:sz w:val="28"/>
          <w:szCs w:val="28"/>
          <w:shd w:val="clear" w:color="auto" w:fill="FFFFFF"/>
          <w:lang w:val="uk-UA"/>
        </w:rPr>
        <w:t xml:space="preserve"> </w:t>
      </w:r>
      <w:r w:rsidRPr="00807701">
        <w:rPr>
          <w:rFonts w:cstheme="minorHAnsi"/>
          <w:sz w:val="28"/>
          <w:szCs w:val="28"/>
          <w:shd w:val="clear" w:color="auto" w:fill="FFFFFF"/>
        </w:rPr>
        <w:t>Nel</w:t>
      </w:r>
      <w:r w:rsidRPr="00807701">
        <w:rPr>
          <w:rFonts w:cstheme="minorHAnsi"/>
          <w:sz w:val="28"/>
          <w:szCs w:val="28"/>
          <w:shd w:val="clear" w:color="auto" w:fill="FFFFFF"/>
          <w:lang w:val="uk-UA"/>
        </w:rPr>
        <w:t>-</w:t>
      </w:r>
      <w:r w:rsidRPr="00807701">
        <w:rPr>
          <w:rFonts w:cstheme="minorHAnsi"/>
          <w:sz w:val="28"/>
          <w:szCs w:val="28"/>
          <w:shd w:val="clear" w:color="auto" w:fill="FFFFFF"/>
        </w:rPr>
        <w:t>H</w:t>
      </w:r>
      <w:r w:rsidRPr="00807701">
        <w:rPr>
          <w:rFonts w:cstheme="minorHAnsi"/>
          <w:sz w:val="28"/>
          <w:szCs w:val="28"/>
          <w:shd w:val="clear" w:color="auto" w:fill="FFFFFF"/>
          <w:lang w:val="uk-UA"/>
        </w:rPr>
        <w:t xml:space="preserve"> та співавт., </w:t>
      </w:r>
      <w:r w:rsidRPr="00807701">
        <w:rPr>
          <w:rFonts w:cstheme="minorHAnsi"/>
          <w:sz w:val="28"/>
          <w:szCs w:val="28"/>
          <w:shd w:val="clear" w:color="auto" w:fill="FFFFFF"/>
        </w:rPr>
        <w:t>Pasom</w:t>
      </w:r>
      <w:r w:rsidRPr="00807701">
        <w:rPr>
          <w:rFonts w:cstheme="minorHAnsi"/>
          <w:sz w:val="28"/>
          <w:szCs w:val="28"/>
          <w:shd w:val="clear" w:color="auto" w:fill="FFFFFF"/>
          <w:lang w:val="uk-UA"/>
        </w:rPr>
        <w:t xml:space="preserve"> </w:t>
      </w:r>
      <w:r w:rsidRPr="00807701">
        <w:rPr>
          <w:rFonts w:cstheme="minorHAnsi"/>
          <w:sz w:val="28"/>
          <w:szCs w:val="28"/>
          <w:shd w:val="clear" w:color="auto" w:fill="FFFFFF"/>
        </w:rPr>
        <w:t>W</w:t>
      </w:r>
      <w:r w:rsidRPr="00807701">
        <w:rPr>
          <w:rFonts w:cstheme="minorHAnsi"/>
          <w:sz w:val="28"/>
          <w:szCs w:val="28"/>
          <w:shd w:val="clear" w:color="auto" w:fill="FFFFFF"/>
          <w:lang w:val="uk-UA"/>
        </w:rPr>
        <w:t xml:space="preserve"> та співавт., </w:t>
      </w:r>
      <w:r w:rsidRPr="00807701">
        <w:rPr>
          <w:rFonts w:cstheme="minorHAnsi"/>
          <w:sz w:val="28"/>
          <w:szCs w:val="28"/>
          <w:shd w:val="clear" w:color="auto" w:fill="FFFFFF"/>
        </w:rPr>
        <w:t>Longhi</w:t>
      </w:r>
      <w:r w:rsidRPr="00807701">
        <w:rPr>
          <w:rFonts w:cstheme="minorHAnsi"/>
          <w:sz w:val="28"/>
          <w:szCs w:val="28"/>
          <w:shd w:val="clear" w:color="auto" w:fill="FFFFFF"/>
          <w:lang w:val="uk-UA"/>
        </w:rPr>
        <w:t xml:space="preserve"> </w:t>
      </w:r>
      <w:r w:rsidRPr="00807701">
        <w:rPr>
          <w:rFonts w:cstheme="minorHAnsi"/>
          <w:sz w:val="28"/>
          <w:szCs w:val="28"/>
          <w:shd w:val="clear" w:color="auto" w:fill="FFFFFF"/>
        </w:rPr>
        <w:t>C</w:t>
      </w:r>
      <w:r w:rsidRPr="00807701">
        <w:rPr>
          <w:rFonts w:cstheme="minorHAnsi"/>
          <w:sz w:val="28"/>
          <w:szCs w:val="28"/>
          <w:shd w:val="clear" w:color="auto" w:fill="FFFFFF"/>
          <w:lang w:val="uk-UA"/>
        </w:rPr>
        <w:t xml:space="preserve"> та співавт., о високих рівнях резистентності не тільки до фторхінолонів, а і до β-лактамів та аміноглікозидів </w:t>
      </w:r>
      <w:r w:rsidRPr="00807701">
        <w:rPr>
          <w:rFonts w:cstheme="minorHAnsi"/>
          <w:color w:val="000000"/>
          <w:sz w:val="28"/>
          <w:szCs w:val="28"/>
          <w:lang w:val="uk-UA"/>
        </w:rPr>
        <w:t>[61, 88, 74].</w:t>
      </w:r>
      <w:r w:rsidRPr="00807701">
        <w:rPr>
          <w:rFonts w:ascii="Arial" w:hAnsi="Arial" w:cs="Arial"/>
          <w:color w:val="000000"/>
          <w:lang w:val="uk-UA"/>
        </w:rPr>
        <w:t xml:space="preserve"> </w:t>
      </w:r>
    </w:p>
    <w:p w:rsidR="00807701" w:rsidRPr="00807701" w:rsidRDefault="00807701" w:rsidP="00807701">
      <w:pPr>
        <w:spacing w:line="360" w:lineRule="auto"/>
        <w:ind w:firstLine="709"/>
        <w:jc w:val="both"/>
        <w:rPr>
          <w:rFonts w:cstheme="minorHAnsi"/>
          <w:color w:val="FF0000"/>
          <w:sz w:val="28"/>
          <w:szCs w:val="28"/>
          <w:lang w:val="uk-UA"/>
        </w:rPr>
      </w:pPr>
      <w:r w:rsidRPr="00807701">
        <w:rPr>
          <w:rFonts w:cstheme="minorHAnsi"/>
          <w:sz w:val="28"/>
          <w:szCs w:val="28"/>
          <w:lang w:val="uk-UA"/>
        </w:rPr>
        <w:t xml:space="preserve">У хворих на ХП і супутній ЦД 2 типу, рівні резистентності штамів з виявленими плазмідними генами резистентності були достовірно вище ніж у пацієнтів без діабету. Так, </w:t>
      </w:r>
      <w:r w:rsidRPr="00807701">
        <w:rPr>
          <w:sz w:val="28"/>
          <w:szCs w:val="28"/>
          <w:lang w:val="uk-UA"/>
        </w:rPr>
        <w:t xml:space="preserve">встановлено достовірно вищі рівні чутливості до цефтріаксону (65% </w:t>
      </w:r>
      <w:r w:rsidRPr="00807701">
        <w:rPr>
          <w:sz w:val="28"/>
          <w:szCs w:val="28"/>
          <w:lang w:val="en-US"/>
        </w:rPr>
        <w:t>vs</w:t>
      </w:r>
      <w:r w:rsidRPr="00807701">
        <w:rPr>
          <w:sz w:val="28"/>
          <w:szCs w:val="28"/>
          <w:lang w:val="uk-UA"/>
        </w:rPr>
        <w:t xml:space="preserve">. 40%, р=0,01), цефіпіму (69% </w:t>
      </w:r>
      <w:r w:rsidRPr="00807701">
        <w:rPr>
          <w:sz w:val="28"/>
          <w:szCs w:val="28"/>
          <w:lang w:val="en-US"/>
        </w:rPr>
        <w:t>vs</w:t>
      </w:r>
      <w:r w:rsidRPr="00807701">
        <w:rPr>
          <w:sz w:val="28"/>
          <w:szCs w:val="28"/>
          <w:lang w:val="uk-UA"/>
        </w:rPr>
        <w:t xml:space="preserve">. 40%, р=0,005), ципрофлоксацину (58% </w:t>
      </w:r>
      <w:r w:rsidRPr="00807701">
        <w:rPr>
          <w:sz w:val="28"/>
          <w:szCs w:val="28"/>
          <w:lang w:val="en-US"/>
        </w:rPr>
        <w:t>vs</w:t>
      </w:r>
      <w:r w:rsidRPr="00807701">
        <w:rPr>
          <w:sz w:val="28"/>
          <w:szCs w:val="28"/>
          <w:lang w:val="uk-UA"/>
        </w:rPr>
        <w:t>. 20%, р</w:t>
      </w:r>
      <w:r w:rsidRPr="00807701">
        <w:rPr>
          <w:rFonts w:cstheme="minorHAnsi"/>
          <w:sz w:val="28"/>
          <w:szCs w:val="28"/>
          <w:lang w:val="uk-UA"/>
        </w:rPr>
        <w:t>≤</w:t>
      </w:r>
      <w:r w:rsidRPr="00807701">
        <w:rPr>
          <w:sz w:val="28"/>
          <w:szCs w:val="28"/>
          <w:lang w:val="uk-UA"/>
        </w:rPr>
        <w:t xml:space="preserve">0,05), левофлоксацину (58% </w:t>
      </w:r>
      <w:r w:rsidRPr="00807701">
        <w:rPr>
          <w:sz w:val="28"/>
          <w:szCs w:val="28"/>
          <w:lang w:val="en-US"/>
        </w:rPr>
        <w:t>vs</w:t>
      </w:r>
      <w:r w:rsidRPr="00807701">
        <w:rPr>
          <w:sz w:val="28"/>
          <w:szCs w:val="28"/>
          <w:lang w:val="uk-UA"/>
        </w:rPr>
        <w:t xml:space="preserve">. 30%, р=0,002), та нітрофурантоїну (73% </w:t>
      </w:r>
      <w:r w:rsidRPr="00807701">
        <w:rPr>
          <w:sz w:val="28"/>
          <w:szCs w:val="28"/>
          <w:lang w:val="en-US"/>
        </w:rPr>
        <w:t>vs</w:t>
      </w:r>
      <w:r w:rsidRPr="00807701">
        <w:rPr>
          <w:sz w:val="28"/>
          <w:szCs w:val="28"/>
          <w:lang w:val="uk-UA"/>
        </w:rPr>
        <w:t xml:space="preserve">. 40%, р=0,001) у хворих, що страждають ХП без ЦД 2 типу. Рівні чутливості до інших АБП достовірно не відрізнялись поміж груп. </w:t>
      </w:r>
      <w:r w:rsidRPr="00807701">
        <w:rPr>
          <w:rFonts w:eastAsia="Times New Roman" w:cstheme="minorHAnsi"/>
          <w:color w:val="000000" w:themeColor="text1"/>
          <w:sz w:val="28"/>
          <w:szCs w:val="28"/>
          <w:lang w:val="en-US" w:eastAsia="ru-RU"/>
        </w:rPr>
        <w:t>Aswani</w:t>
      </w:r>
      <w:r w:rsidRPr="00807701">
        <w:rPr>
          <w:rFonts w:eastAsia="Times New Roman" w:cstheme="minorHAnsi"/>
          <w:color w:val="000000" w:themeColor="text1"/>
          <w:sz w:val="28"/>
          <w:szCs w:val="28"/>
          <w:lang w:val="uk-UA" w:eastAsia="ru-RU"/>
        </w:rPr>
        <w:t xml:space="preserve"> </w:t>
      </w:r>
      <w:r w:rsidRPr="00807701">
        <w:rPr>
          <w:rFonts w:eastAsia="Times New Roman" w:cstheme="minorHAnsi"/>
          <w:color w:val="000000" w:themeColor="text1"/>
          <w:sz w:val="28"/>
          <w:szCs w:val="28"/>
          <w:lang w:val="en-US" w:eastAsia="ru-RU"/>
        </w:rPr>
        <w:t>SM</w:t>
      </w:r>
      <w:r w:rsidRPr="00807701">
        <w:rPr>
          <w:rFonts w:cstheme="minorHAnsi"/>
          <w:sz w:val="28"/>
          <w:szCs w:val="28"/>
          <w:lang w:val="uk-UA"/>
        </w:rPr>
        <w:t xml:space="preserve"> і співавт. також демонструють високі рівні резистентності у хворих на ХП і ЦД 2 типу з виявленими плазмідними механізмами резистентності до: ампіцилліну (84%), фторхінолонів (75%), ко-трімоксазолу (61%), 3-ї генерації цефалоспоринів (50%). Найбільшу інгібуючу активність проявили: меропенем (93%), цефоперазон/сульбактам (85%), амікацин (80,7%) [</w:t>
      </w:r>
      <w:r w:rsidRPr="00807701">
        <w:rPr>
          <w:rFonts w:eastAsia="Times New Roman" w:cstheme="minorHAnsi"/>
          <w:color w:val="000000" w:themeColor="text1"/>
          <w:sz w:val="28"/>
          <w:szCs w:val="28"/>
          <w:lang w:val="uk-UA" w:eastAsia="ru-RU"/>
        </w:rPr>
        <w:t>16]</w:t>
      </w:r>
      <w:r w:rsidRPr="00807701">
        <w:rPr>
          <w:rFonts w:ascii="Times New Roman" w:eastAsia="Times New Roman" w:hAnsi="Times New Roman" w:cs="Times New Roman"/>
          <w:color w:val="000000"/>
          <w:sz w:val="28"/>
          <w:szCs w:val="28"/>
          <w:lang w:val="uk-UA" w:eastAsia="ru-RU"/>
        </w:rPr>
        <w:t xml:space="preserve">. В нашому дослідженні, найвищі рівні чутливості серед бактерій з плазмідними механізмами резистентності, у хворих на ХП і ЦД 2 типу, визначені до меропенему (100%), фосфоміцину (90%), нітроксоліну (80%), ко-трімоксазолу (60%), тому ці препарати можна рекомендувати у якості емпіричної терапії ХП у цієї категорії хворих.  </w:t>
      </w:r>
    </w:p>
    <w:p w:rsidR="00807701" w:rsidRPr="00807701" w:rsidRDefault="00807701" w:rsidP="00807701">
      <w:pPr>
        <w:spacing w:after="0" w:line="360" w:lineRule="auto"/>
        <w:ind w:firstLine="720"/>
        <w:jc w:val="both"/>
        <w:rPr>
          <w:sz w:val="28"/>
          <w:szCs w:val="28"/>
          <w:lang w:val="uk-UA"/>
        </w:rPr>
      </w:pPr>
      <w:r w:rsidRPr="00807701">
        <w:rPr>
          <w:sz w:val="28"/>
          <w:szCs w:val="28"/>
          <w:lang w:val="uk-UA"/>
        </w:rPr>
        <w:t xml:space="preserve">Висновки. </w:t>
      </w:r>
    </w:p>
    <w:p w:rsidR="00807701" w:rsidRPr="00807701" w:rsidRDefault="00807701" w:rsidP="00807701">
      <w:pPr>
        <w:numPr>
          <w:ilvl w:val="0"/>
          <w:numId w:val="7"/>
        </w:numPr>
        <w:spacing w:after="0" w:line="360" w:lineRule="auto"/>
        <w:ind w:left="0" w:firstLine="709"/>
        <w:contextualSpacing/>
        <w:jc w:val="both"/>
        <w:rPr>
          <w:sz w:val="24"/>
          <w:szCs w:val="24"/>
          <w:lang w:val="uk-UA"/>
        </w:rPr>
      </w:pPr>
      <w:r w:rsidRPr="00807701">
        <w:rPr>
          <w:sz w:val="28"/>
          <w:szCs w:val="28"/>
          <w:lang w:val="uk-UA"/>
        </w:rPr>
        <w:t xml:space="preserve">Резистентність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до </w:t>
      </w:r>
      <w:r w:rsidRPr="00807701">
        <w:rPr>
          <w:rFonts w:cstheme="minorHAnsi"/>
          <w:sz w:val="28"/>
          <w:szCs w:val="28"/>
          <w:lang w:val="uk-UA"/>
        </w:rPr>
        <w:t>амінопеніциллінів</w:t>
      </w:r>
      <w:r w:rsidRPr="00807701">
        <w:rPr>
          <w:sz w:val="28"/>
          <w:szCs w:val="28"/>
          <w:lang w:val="uk-UA"/>
        </w:rPr>
        <w:t xml:space="preserve">, цефалоспоринів та фторхінолонів достовірно пов’язана з наявністю в уропатогенних штамах </w:t>
      </w:r>
      <w:r w:rsidRPr="00807701">
        <w:rPr>
          <w:sz w:val="28"/>
          <w:szCs w:val="28"/>
          <w:lang w:val="uk-UA"/>
        </w:rPr>
        <w:lastRenderedPageBreak/>
        <w:t xml:space="preserve">плазмідних </w:t>
      </w:r>
      <w:r w:rsidRPr="00807701">
        <w:rPr>
          <w:rFonts w:cstheme="minorHAnsi"/>
          <w:sz w:val="28"/>
          <w:szCs w:val="28"/>
          <w:lang w:val="uk-UA"/>
        </w:rPr>
        <w:t>β</w:t>
      </w:r>
      <w:r w:rsidRPr="00807701">
        <w:rPr>
          <w:sz w:val="28"/>
          <w:szCs w:val="28"/>
          <w:lang w:val="uk-UA"/>
        </w:rPr>
        <w:t xml:space="preserve">ЛРС типу </w:t>
      </w:r>
      <w:r w:rsidRPr="00807701">
        <w:rPr>
          <w:sz w:val="28"/>
          <w:szCs w:val="28"/>
          <w:lang w:val="en-US"/>
        </w:rPr>
        <w:t>blaCTX</w:t>
      </w:r>
      <w:r w:rsidRPr="00807701">
        <w:rPr>
          <w:sz w:val="28"/>
          <w:szCs w:val="28"/>
          <w:lang w:val="uk-UA"/>
        </w:rPr>
        <w:t>-</w:t>
      </w:r>
      <w:r w:rsidRPr="00807701">
        <w:rPr>
          <w:sz w:val="28"/>
          <w:szCs w:val="28"/>
          <w:lang w:val="en-US"/>
        </w:rPr>
        <w:t>M</w:t>
      </w:r>
      <w:r w:rsidRPr="00807701">
        <w:rPr>
          <w:sz w:val="28"/>
          <w:szCs w:val="28"/>
          <w:lang w:val="uk-UA"/>
        </w:rPr>
        <w:t xml:space="preserve">, </w:t>
      </w:r>
      <w:r w:rsidRPr="00807701">
        <w:rPr>
          <w:sz w:val="28"/>
          <w:szCs w:val="28"/>
          <w:lang w:val="en-US"/>
        </w:rPr>
        <w:t>blaTEM</w:t>
      </w:r>
      <w:r w:rsidRPr="00807701">
        <w:rPr>
          <w:sz w:val="28"/>
          <w:szCs w:val="28"/>
          <w:lang w:val="uk-UA"/>
        </w:rPr>
        <w:t xml:space="preserve">, </w:t>
      </w:r>
      <w:r w:rsidRPr="00807701">
        <w:rPr>
          <w:sz w:val="28"/>
          <w:szCs w:val="28"/>
          <w:lang w:val="en-US"/>
        </w:rPr>
        <w:t>blaSHV</w:t>
      </w:r>
      <w:r w:rsidRPr="00807701">
        <w:rPr>
          <w:sz w:val="28"/>
          <w:szCs w:val="28"/>
          <w:lang w:val="uk-UA"/>
        </w:rPr>
        <w:t xml:space="preserve">. Резистентність до аміноглікозидів була достовірно пов’язана з виявленням </w:t>
      </w:r>
      <w:r w:rsidRPr="00807701">
        <w:rPr>
          <w:sz w:val="28"/>
          <w:szCs w:val="28"/>
          <w:lang w:val="en-US"/>
        </w:rPr>
        <w:t>blaCTX</w:t>
      </w:r>
      <w:r w:rsidRPr="00807701">
        <w:rPr>
          <w:sz w:val="28"/>
          <w:szCs w:val="28"/>
          <w:lang w:val="uk-UA"/>
        </w:rPr>
        <w:t>-</w:t>
      </w:r>
      <w:r w:rsidRPr="00807701">
        <w:rPr>
          <w:sz w:val="28"/>
          <w:szCs w:val="28"/>
          <w:lang w:val="en-US"/>
        </w:rPr>
        <w:t>M</w:t>
      </w:r>
      <w:r w:rsidRPr="00807701">
        <w:rPr>
          <w:sz w:val="28"/>
          <w:szCs w:val="28"/>
          <w:lang w:val="uk-UA"/>
        </w:rPr>
        <w:t xml:space="preserve">. Найбільшу інгібуючу активність проти </w:t>
      </w:r>
      <w:r w:rsidRPr="00807701">
        <w:rPr>
          <w:rFonts w:cstheme="minorHAnsi"/>
          <w:sz w:val="28"/>
          <w:szCs w:val="28"/>
          <w:lang w:val="uk-UA"/>
        </w:rPr>
        <w:t>β</w:t>
      </w:r>
      <w:r w:rsidRPr="00807701">
        <w:rPr>
          <w:sz w:val="28"/>
          <w:szCs w:val="28"/>
          <w:lang w:val="uk-UA"/>
        </w:rPr>
        <w:t xml:space="preserve">ЛРС-продукуючих мікроорганізмів проявили меропенем, фосфоміцин, нітроксолін. Також високу чутливість проти штамів з геном </w:t>
      </w:r>
      <w:r w:rsidRPr="00807701">
        <w:rPr>
          <w:sz w:val="28"/>
          <w:szCs w:val="28"/>
          <w:lang w:val="en-US"/>
        </w:rPr>
        <w:t>blaCTX</w:t>
      </w:r>
      <w:r w:rsidRPr="00807701">
        <w:rPr>
          <w:sz w:val="28"/>
          <w:szCs w:val="28"/>
          <w:lang w:val="uk-UA"/>
        </w:rPr>
        <w:t>-</w:t>
      </w:r>
      <w:r w:rsidRPr="00807701">
        <w:rPr>
          <w:sz w:val="28"/>
          <w:szCs w:val="28"/>
          <w:lang w:val="en-US"/>
        </w:rPr>
        <w:t>M</w:t>
      </w:r>
      <w:r w:rsidRPr="00807701">
        <w:rPr>
          <w:sz w:val="28"/>
          <w:szCs w:val="28"/>
          <w:lang w:val="uk-UA"/>
        </w:rPr>
        <w:t xml:space="preserve"> проявили ко-трімоксазол; проти штамів з геном </w:t>
      </w:r>
      <w:r w:rsidRPr="00807701">
        <w:rPr>
          <w:sz w:val="28"/>
          <w:szCs w:val="28"/>
          <w:lang w:val="en-US"/>
        </w:rPr>
        <w:t>blaTEM</w:t>
      </w:r>
      <w:r w:rsidRPr="00807701">
        <w:rPr>
          <w:sz w:val="28"/>
          <w:szCs w:val="28"/>
          <w:lang w:val="uk-UA"/>
        </w:rPr>
        <w:t xml:space="preserve"> – амікацин, цефіпім та гентаміцин; проти штамів з геном </w:t>
      </w:r>
      <w:r w:rsidRPr="00807701">
        <w:rPr>
          <w:sz w:val="28"/>
          <w:szCs w:val="28"/>
          <w:lang w:val="en-US"/>
        </w:rPr>
        <w:t>blaSHV</w:t>
      </w:r>
      <w:r w:rsidRPr="00807701">
        <w:rPr>
          <w:sz w:val="28"/>
          <w:szCs w:val="28"/>
          <w:lang w:val="uk-UA"/>
        </w:rPr>
        <w:t xml:space="preserve"> – амікацин та цефтріаксон.</w:t>
      </w:r>
    </w:p>
    <w:p w:rsidR="00807701" w:rsidRPr="00807701" w:rsidRDefault="00807701" w:rsidP="00807701">
      <w:pPr>
        <w:numPr>
          <w:ilvl w:val="0"/>
          <w:numId w:val="7"/>
        </w:numPr>
        <w:spacing w:after="0" w:line="360" w:lineRule="auto"/>
        <w:ind w:left="0" w:firstLine="709"/>
        <w:contextualSpacing/>
        <w:jc w:val="both"/>
        <w:rPr>
          <w:sz w:val="24"/>
          <w:szCs w:val="24"/>
          <w:lang w:val="uk-UA"/>
        </w:rPr>
      </w:pPr>
      <w:r w:rsidRPr="00807701">
        <w:rPr>
          <w:sz w:val="28"/>
          <w:szCs w:val="28"/>
          <w:lang w:val="uk-UA"/>
        </w:rPr>
        <w:t xml:space="preserve">Резистентність </w:t>
      </w:r>
      <w:r w:rsidRPr="00807701">
        <w:rPr>
          <w:sz w:val="28"/>
          <w:szCs w:val="28"/>
          <w:lang w:val="en-US"/>
        </w:rPr>
        <w:t>in</w:t>
      </w:r>
      <w:r w:rsidRPr="00807701">
        <w:rPr>
          <w:sz w:val="28"/>
          <w:szCs w:val="28"/>
          <w:lang w:val="uk-UA"/>
        </w:rPr>
        <w:t xml:space="preserve"> </w:t>
      </w:r>
      <w:r w:rsidRPr="00807701">
        <w:rPr>
          <w:sz w:val="28"/>
          <w:szCs w:val="28"/>
          <w:lang w:val="en-US"/>
        </w:rPr>
        <w:t>vitro</w:t>
      </w:r>
      <w:r w:rsidRPr="00807701">
        <w:rPr>
          <w:sz w:val="28"/>
          <w:szCs w:val="28"/>
          <w:lang w:val="uk-UA"/>
        </w:rPr>
        <w:t xml:space="preserve"> до </w:t>
      </w:r>
      <w:r w:rsidRPr="00807701">
        <w:rPr>
          <w:rFonts w:cstheme="minorHAnsi"/>
          <w:sz w:val="28"/>
          <w:szCs w:val="28"/>
          <w:lang w:val="uk-UA"/>
        </w:rPr>
        <w:t>амінопеніциллінів,</w:t>
      </w:r>
      <w:r w:rsidRPr="00807701">
        <w:rPr>
          <w:sz w:val="28"/>
          <w:szCs w:val="28"/>
          <w:lang w:val="uk-UA"/>
        </w:rPr>
        <w:t xml:space="preserve"> фторхінолонів та аміноглікозидів достовірно взаємопов’язана з наявністю в штамах плазмід-індукованих механізмів резистентності до фторхінолонів. Резистентність до цефалоспоринів була достовірно пов’язана з геном </w:t>
      </w:r>
      <w:r w:rsidRPr="00807701">
        <w:rPr>
          <w:rFonts w:cstheme="minorHAnsi"/>
          <w:sz w:val="28"/>
          <w:szCs w:val="28"/>
          <w:lang w:val="uk-UA"/>
        </w:rPr>
        <w:t xml:space="preserve">QnrА, а резистентність до цефтріаксону – з геном AAC(6 ')-Ib-cr. Найбільшу інгібуючу активність проти штамів з генами стійкості до фторхінолонів проявили меропенем, фосфоміцин, ко-трімоксазол. Також високу чутливість проти штамів з геном QepA проявили нітроксолін, фуромаг, нітрофурантоїн; проти штамів з геном AAC(6 ')-Ib-cr – аміноглікозиди.   </w:t>
      </w:r>
      <w:r w:rsidRPr="00807701">
        <w:rPr>
          <w:sz w:val="28"/>
          <w:szCs w:val="28"/>
          <w:lang w:val="uk-UA"/>
        </w:rPr>
        <w:t xml:space="preserve">   </w:t>
      </w:r>
    </w:p>
    <w:p w:rsidR="00807701" w:rsidRPr="00807701" w:rsidRDefault="00807701" w:rsidP="00807701">
      <w:pPr>
        <w:numPr>
          <w:ilvl w:val="0"/>
          <w:numId w:val="7"/>
        </w:numPr>
        <w:spacing w:after="0" w:line="360" w:lineRule="auto"/>
        <w:ind w:left="0" w:firstLine="709"/>
        <w:contextualSpacing/>
        <w:jc w:val="both"/>
        <w:rPr>
          <w:sz w:val="24"/>
          <w:szCs w:val="24"/>
          <w:lang w:val="uk-UA"/>
        </w:rPr>
      </w:pPr>
      <w:r w:rsidRPr="00807701">
        <w:rPr>
          <w:sz w:val="28"/>
          <w:szCs w:val="28"/>
          <w:lang w:val="uk-UA"/>
        </w:rPr>
        <w:t>У хворих, що страждають ХП і ЦД 2 типу, виявлено достовірно вищі рівні резистентності до амінопеніциллінів, 3-ї генерації цефалоспоринів, та фторхінолонів, особливо у пацієнтів з виявленими механізмами стійкості, що робить неможливим застосування цих препаратів у якості емпіричної терапії подолання.</w:t>
      </w:r>
    </w:p>
    <w:p w:rsidR="00807701" w:rsidRPr="00807701" w:rsidRDefault="00807701" w:rsidP="00807701">
      <w:pPr>
        <w:spacing w:after="0" w:line="360" w:lineRule="auto"/>
        <w:ind w:firstLine="720"/>
        <w:jc w:val="both"/>
        <w:rPr>
          <w:color w:val="FF0000"/>
          <w:sz w:val="28"/>
          <w:szCs w:val="28"/>
          <w:lang w:val="uk-UA"/>
        </w:rPr>
      </w:pPr>
    </w:p>
    <w:p w:rsidR="00807701" w:rsidRPr="00807701" w:rsidRDefault="00807701" w:rsidP="00807701">
      <w:pPr>
        <w:spacing w:after="0" w:line="360" w:lineRule="auto"/>
        <w:ind w:firstLine="720"/>
        <w:jc w:val="both"/>
        <w:rPr>
          <w:color w:val="FF0000"/>
          <w:sz w:val="28"/>
          <w:szCs w:val="28"/>
          <w:lang w:val="uk-UA"/>
        </w:rPr>
      </w:pPr>
    </w:p>
    <w:p w:rsidR="009144E7" w:rsidRDefault="009144E7"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Pr="00807701" w:rsidRDefault="00807701" w:rsidP="00807701">
      <w:pPr>
        <w:spacing w:line="360" w:lineRule="auto"/>
        <w:jc w:val="both"/>
        <w:rPr>
          <w:b/>
          <w:sz w:val="28"/>
          <w:szCs w:val="28"/>
          <w:lang w:val="uk-UA"/>
        </w:rPr>
      </w:pPr>
      <w:r w:rsidRPr="00807701">
        <w:rPr>
          <w:b/>
          <w:sz w:val="28"/>
          <w:szCs w:val="28"/>
          <w:lang w:val="uk-UA"/>
        </w:rPr>
        <w:lastRenderedPageBreak/>
        <w:t>3.4 ВПЛИВ ПЛАЗМІД-ІНДУКОВАНИХ МЕХАНІЗМІВ РЕЗИСТЕНТНОСТІ НА КЛІНІЧНУ І БАКТЕРІОЛОГІЧНУ ЕФЕКТИВНІСТЬ АНТИБІОТИКО-ТЕРАПІЇ ХВОРИХ НА ХРОНІЧНИЙ ПІЄЛОНЕФРИТ І СУПУТНІЙ ЦУКРОВИЙ ДІАБЕТ 2 ТИПУ</w:t>
      </w:r>
    </w:p>
    <w:p w:rsidR="00807701" w:rsidRPr="00807701" w:rsidRDefault="00807701" w:rsidP="00807701">
      <w:pPr>
        <w:spacing w:line="360" w:lineRule="auto"/>
        <w:ind w:firstLine="709"/>
        <w:jc w:val="both"/>
        <w:rPr>
          <w:rFonts w:ascii="Times New Roman" w:eastAsia="Times New Roman" w:hAnsi="Times New Roman" w:cs="Times New Roman"/>
          <w:sz w:val="28"/>
          <w:szCs w:val="28"/>
          <w:lang w:val="uk-UA" w:eastAsia="ru-RU"/>
        </w:rPr>
      </w:pPr>
      <w:r w:rsidRPr="00807701">
        <w:rPr>
          <w:sz w:val="28"/>
          <w:szCs w:val="28"/>
          <w:lang w:val="uk-UA"/>
        </w:rPr>
        <w:t xml:space="preserve">Вплив плазмід-індукованих механізмів резистентності на клінічну і бактеріологічну ефективність АБТ вивчено недостатньо. Так, дослідження </w:t>
      </w:r>
      <w:r w:rsidRPr="00807701">
        <w:rPr>
          <w:rFonts w:eastAsia="MyriadPro-Bold" w:cstheme="minorHAnsi"/>
          <w:bCs/>
          <w:sz w:val="28"/>
          <w:szCs w:val="28"/>
        </w:rPr>
        <w:t>Beyond</w:t>
      </w:r>
      <w:r w:rsidRPr="00807701">
        <w:rPr>
          <w:rFonts w:eastAsia="MyriadPro-Bold" w:cstheme="minorHAnsi"/>
          <w:bCs/>
          <w:sz w:val="28"/>
          <w:szCs w:val="28"/>
          <w:lang w:val="uk-UA"/>
        </w:rPr>
        <w:t xml:space="preserve"> </w:t>
      </w:r>
      <w:r w:rsidRPr="00807701">
        <w:rPr>
          <w:rFonts w:eastAsia="MyriadPro-Bold" w:cstheme="minorHAnsi"/>
          <w:bCs/>
          <w:sz w:val="28"/>
          <w:szCs w:val="28"/>
        </w:rPr>
        <w:t>Susceptible</w:t>
      </w:r>
      <w:r w:rsidRPr="00807701">
        <w:rPr>
          <w:rFonts w:eastAsia="MyriadPro-Bold" w:cstheme="minorHAnsi"/>
          <w:bCs/>
          <w:sz w:val="28"/>
          <w:szCs w:val="28"/>
          <w:lang w:val="uk-UA"/>
        </w:rPr>
        <w:t xml:space="preserve"> </w:t>
      </w:r>
      <w:r w:rsidRPr="00807701">
        <w:rPr>
          <w:rFonts w:eastAsia="MyriadPro-Bold" w:cstheme="minorHAnsi"/>
          <w:bCs/>
          <w:sz w:val="28"/>
          <w:szCs w:val="28"/>
        </w:rPr>
        <w:t>and</w:t>
      </w:r>
      <w:r w:rsidRPr="00807701">
        <w:rPr>
          <w:rFonts w:eastAsia="MyriadPro-Bold" w:cstheme="minorHAnsi"/>
          <w:bCs/>
          <w:sz w:val="28"/>
          <w:szCs w:val="28"/>
          <w:lang w:val="uk-UA"/>
        </w:rPr>
        <w:t xml:space="preserve"> </w:t>
      </w:r>
      <w:r w:rsidRPr="00807701">
        <w:rPr>
          <w:rFonts w:eastAsia="MyriadPro-Bold" w:cstheme="minorHAnsi"/>
          <w:bCs/>
          <w:sz w:val="28"/>
          <w:szCs w:val="28"/>
        </w:rPr>
        <w:t>Resistant</w:t>
      </w:r>
      <w:r w:rsidRPr="00807701">
        <w:rPr>
          <w:rFonts w:eastAsia="MyriadPro-Bold" w:cstheme="minorHAnsi"/>
          <w:bCs/>
          <w:sz w:val="28"/>
          <w:szCs w:val="28"/>
          <w:lang w:val="uk-UA"/>
        </w:rPr>
        <w:t xml:space="preserve">, </w:t>
      </w:r>
      <w:r w:rsidRPr="00807701">
        <w:rPr>
          <w:rFonts w:eastAsia="MyriadPro-Bold" w:cstheme="minorHAnsi"/>
          <w:bCs/>
          <w:sz w:val="28"/>
          <w:szCs w:val="28"/>
        </w:rPr>
        <w:t>Part</w:t>
      </w:r>
      <w:r w:rsidRPr="00807701">
        <w:rPr>
          <w:rFonts w:eastAsia="MyriadPro-Bold" w:cstheme="minorHAnsi"/>
          <w:bCs/>
          <w:sz w:val="28"/>
          <w:szCs w:val="28"/>
          <w:lang w:val="uk-UA"/>
        </w:rPr>
        <w:t xml:space="preserve"> </w:t>
      </w:r>
      <w:r w:rsidRPr="00807701">
        <w:rPr>
          <w:rFonts w:eastAsia="MyriadPro-Bold" w:cstheme="minorHAnsi"/>
          <w:bCs/>
          <w:sz w:val="28"/>
          <w:szCs w:val="28"/>
        </w:rPr>
        <w:t>II</w:t>
      </w:r>
      <w:r w:rsidRPr="00807701">
        <w:rPr>
          <w:rFonts w:eastAsia="MyriadPro-Bold" w:cstheme="minorHAnsi"/>
          <w:bCs/>
          <w:sz w:val="28"/>
          <w:szCs w:val="28"/>
          <w:lang w:val="uk-UA"/>
        </w:rPr>
        <w:t xml:space="preserve"> демонструє</w:t>
      </w:r>
      <w:r w:rsidRPr="00807701">
        <w:rPr>
          <w:sz w:val="28"/>
          <w:szCs w:val="28"/>
          <w:lang w:val="uk-UA"/>
        </w:rPr>
        <w:t xml:space="preserve"> зниження клінічної та бактеріологічної ефективності АБТ у разі лікування ІСС, спричиненої бактеріями з плазмідними механізмами резистентності, цефалоспоринами та піпераціллин/тазобактамом, проте ефективність карбапенемів була високою</w:t>
      </w:r>
      <w:r w:rsidRPr="00807701">
        <w:rPr>
          <w:rFonts w:cstheme="minorHAnsi"/>
          <w:color w:val="000000" w:themeColor="text1"/>
          <w:sz w:val="28"/>
          <w:szCs w:val="28"/>
          <w:lang w:val="uk-UA"/>
        </w:rPr>
        <w:t xml:space="preserve"> [30]. Проте, </w:t>
      </w:r>
      <w:r w:rsidRPr="00807701">
        <w:rPr>
          <w:rFonts w:cstheme="minorHAnsi"/>
          <w:color w:val="000000" w:themeColor="text1"/>
          <w:sz w:val="28"/>
          <w:szCs w:val="28"/>
          <w:lang w:val="en-US"/>
        </w:rPr>
        <w:t>Jansaker</w:t>
      </w:r>
      <w:r w:rsidRPr="00807701">
        <w:rPr>
          <w:rFonts w:cstheme="minorHAnsi"/>
          <w:color w:val="000000" w:themeColor="text1"/>
          <w:sz w:val="28"/>
          <w:szCs w:val="28"/>
          <w:lang w:val="uk-UA"/>
        </w:rPr>
        <w:t xml:space="preserve"> </w:t>
      </w:r>
      <w:r w:rsidRPr="00807701">
        <w:rPr>
          <w:rFonts w:cstheme="minorHAnsi"/>
          <w:color w:val="000000" w:themeColor="text1"/>
          <w:sz w:val="28"/>
          <w:szCs w:val="28"/>
          <w:lang w:val="en-US"/>
        </w:rPr>
        <w:t>F</w:t>
      </w:r>
      <w:r w:rsidRPr="00807701">
        <w:rPr>
          <w:rFonts w:cstheme="minorHAnsi"/>
          <w:color w:val="000000" w:themeColor="text1"/>
          <w:sz w:val="28"/>
          <w:szCs w:val="28"/>
          <w:lang w:val="uk-UA"/>
        </w:rPr>
        <w:t xml:space="preserve"> та співавт. демонструють сприятливий клінічний та бактеріологічний ефекти при лікуванні ІСС, викликаної бактеріями </w:t>
      </w:r>
      <w:r w:rsidRPr="00807701">
        <w:rPr>
          <w:sz w:val="28"/>
          <w:szCs w:val="28"/>
          <w:lang w:val="uk-UA"/>
        </w:rPr>
        <w:t xml:space="preserve">з плазмідними механізмами резистентності, </w:t>
      </w:r>
      <w:r w:rsidRPr="00807701">
        <w:rPr>
          <w:rFonts w:cstheme="minorHAnsi"/>
          <w:sz w:val="28"/>
          <w:szCs w:val="28"/>
          <w:lang w:val="uk-UA"/>
        </w:rPr>
        <w:t>β</w:t>
      </w:r>
      <w:r w:rsidRPr="00807701">
        <w:rPr>
          <w:sz w:val="28"/>
          <w:szCs w:val="28"/>
          <w:lang w:val="uk-UA"/>
        </w:rPr>
        <w:t xml:space="preserve">-лактамним АБП з розширеним спектром активності – півмеціллінамом, однак ефективність фторхінолонів та аміноглікозидів досліджено не було </w:t>
      </w:r>
      <w:r w:rsidRPr="00807701">
        <w:rPr>
          <w:rFonts w:cstheme="minorHAnsi"/>
          <w:sz w:val="28"/>
          <w:szCs w:val="28"/>
          <w:lang w:val="uk-UA"/>
        </w:rPr>
        <w:t>[</w:t>
      </w:r>
      <w:r w:rsidRPr="00807701">
        <w:rPr>
          <w:rFonts w:ascii="Times New Roman" w:eastAsia="Times New Roman" w:hAnsi="Times New Roman" w:cs="Times New Roman"/>
          <w:bCs/>
          <w:sz w:val="28"/>
          <w:szCs w:val="28"/>
          <w:lang w:val="uk-UA" w:eastAsia="ru-RU"/>
        </w:rPr>
        <w:t>60</w:t>
      </w:r>
      <w:r w:rsidRPr="00807701">
        <w:rPr>
          <w:rFonts w:ascii="Times New Roman" w:eastAsia="Times New Roman" w:hAnsi="Times New Roman" w:cs="Times New Roman"/>
          <w:sz w:val="28"/>
          <w:szCs w:val="28"/>
          <w:lang w:val="uk-UA" w:eastAsia="ru-RU"/>
        </w:rPr>
        <w:t>].</w:t>
      </w:r>
    </w:p>
    <w:p w:rsidR="00807701" w:rsidRPr="00807701" w:rsidRDefault="00807701" w:rsidP="00807701">
      <w:pPr>
        <w:spacing w:line="360" w:lineRule="auto"/>
        <w:ind w:firstLine="709"/>
        <w:jc w:val="both"/>
        <w:rPr>
          <w:sz w:val="28"/>
          <w:szCs w:val="28"/>
          <w:lang w:val="uk-UA"/>
        </w:rPr>
      </w:pPr>
      <w:r w:rsidRPr="00807701">
        <w:rPr>
          <w:rFonts w:ascii="Times New Roman" w:eastAsia="Times New Roman" w:hAnsi="Times New Roman" w:cs="Times New Roman"/>
          <w:sz w:val="28"/>
          <w:szCs w:val="28"/>
          <w:lang w:val="uk-UA" w:eastAsia="ru-RU"/>
        </w:rPr>
        <w:t>Отже, завданням нашого дослідження було вивчити клінічну і бактеріологічну ефективність АБТ у хворих на ХП і супутній ЦД 2 типу залежно від наявності плазмід-індукованих механізмів резистентності.</w:t>
      </w:r>
      <w:r w:rsidRPr="00807701">
        <w:rPr>
          <w:sz w:val="28"/>
          <w:szCs w:val="28"/>
          <w:lang w:val="uk-UA"/>
        </w:rPr>
        <w:t xml:space="preserve"> </w:t>
      </w:r>
      <w:r w:rsidRPr="00807701">
        <w:rPr>
          <w:rFonts w:cstheme="minorHAnsi"/>
          <w:color w:val="000000" w:themeColor="text1"/>
          <w:sz w:val="28"/>
          <w:szCs w:val="28"/>
          <w:lang w:val="uk-UA"/>
        </w:rPr>
        <w:t xml:space="preserve">  </w:t>
      </w:r>
    </w:p>
    <w:p w:rsidR="00807701" w:rsidRPr="00807701" w:rsidRDefault="00807701" w:rsidP="00807701">
      <w:pPr>
        <w:spacing w:line="360" w:lineRule="auto"/>
        <w:ind w:firstLine="709"/>
        <w:jc w:val="both"/>
        <w:rPr>
          <w:b/>
          <w:sz w:val="28"/>
          <w:szCs w:val="28"/>
          <w:lang w:val="uk-UA"/>
        </w:rPr>
      </w:pPr>
      <w:r w:rsidRPr="00807701">
        <w:rPr>
          <w:b/>
          <w:sz w:val="28"/>
          <w:szCs w:val="28"/>
          <w:lang w:val="uk-UA"/>
        </w:rPr>
        <w:t>3.4.1 Оцінка клінічної ефективності АБТ у хворих на ХП і ЦД 2 типу.</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Для оцінки клінічної ефективності АБТ в залежності від виду емпіричного АБП пацієнти були розподілені на 4 групи: група А – хворі, що отримували фторхінолони, група В – цефалоспорини, група С – комбінацію фторхінолонів і цефалоспоринів. Клінічна ефективність АБТ оцінювалась на 3-тю, 5-ту, 7-му добу лікування та при виписці. На 3-тю добу лікування було виявлено достовірне зниження температури тіла у всіх групах обстежених хворих. Больовий синдром зберігався до 5-ї доби у більшої половини хворих </w:t>
      </w:r>
      <w:r w:rsidRPr="00807701">
        <w:rPr>
          <w:sz w:val="28"/>
          <w:szCs w:val="28"/>
          <w:lang w:val="uk-UA"/>
        </w:rPr>
        <w:lastRenderedPageBreak/>
        <w:t xml:space="preserve">груп В, С, синдром інтоксикації – до 7-го дня. Дизурію найкраще купіровали в групі А та С (малюнок 3.45). Отже, найкращий клінічний ефект проявили  фторхінолони та комбінація фторхінолонів з цефалоспоринами.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7D9EC968" wp14:editId="4FA18FBE">
            <wp:extent cx="5486400" cy="3200400"/>
            <wp:effectExtent l="0" t="57150" r="0" b="114300"/>
            <wp:docPr id="49" name="Схема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3.45</w:t>
      </w:r>
      <w:r w:rsidRPr="00807701">
        <w:rPr>
          <w:sz w:val="28"/>
          <w:szCs w:val="28"/>
          <w:lang w:val="uk-UA"/>
        </w:rPr>
        <w:t xml:space="preserve"> </w:t>
      </w:r>
      <w:r w:rsidRPr="00807701">
        <w:rPr>
          <w:sz w:val="24"/>
          <w:szCs w:val="24"/>
          <w:lang w:val="uk-UA"/>
        </w:rPr>
        <w:t>Регрес клінічних симптомів у хворих на ХП і ЦД 2 типу в залежності від виду емпіричного АБП.</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вивченні динаміки лабораторних показників крові відмічено найбільше зниження показників лейкоцитозу та ШОЕ (25% та 18% відповідно) після лікування в групі С. В групі А встановлено деяке підвищення лейкоцитозу та ШОЕ (18% відповідно) після лікування, що було передумовою для подовження АБТ (малюнок 3.46). Тобто, найкращий клінічний ефект був виявлений в групі С.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472D5949" wp14:editId="31C723B5">
            <wp:extent cx="5486400" cy="1906073"/>
            <wp:effectExtent l="57150" t="0" r="95250" b="0"/>
            <wp:docPr id="50" name="Схема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3.46 Динаміка лабораторних показників крові до та після лікування.</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lastRenderedPageBreak/>
        <w:t xml:space="preserve">При вивчені динаміки лабораторних показників сечі встановлено кращий регрес гематурії в групах А, В, та лейцоцитурії – в групах А і С. Показники альбумінурії знизились в групі А; протеїнурії – в групах А, В та С (малюнок 3.47).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1B73B836" wp14:editId="416EB5C0">
            <wp:extent cx="5486400" cy="2865549"/>
            <wp:effectExtent l="0" t="57150" r="0" b="106680"/>
            <wp:docPr id="51" name="Схема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3.47 Регрес лабораторних показників сечі у хворих на ХП і ЦД 2 типу в залежності від виду емпіричного АБТ.</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При аналізі впливу проведеної АБТ на функціональну здатність нирок, встановлено достовірне зниження креатиніну та сечовини крові та підвищення ШКФ в групах А, В, С, що може свідчити о відсутності впливу самих АБП на функціональну здатність нирок, а покращення показників пояснюється купіруванням загострення ХП і відповідно поліпшенням функціональної здатності нирок (малюнок 3.48).</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30B7982C" wp14:editId="0E55A5EE">
            <wp:extent cx="5486400" cy="3200400"/>
            <wp:effectExtent l="0" t="57150" r="0" b="114300"/>
            <wp:docPr id="52" name="Схема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rsidR="00807701" w:rsidRPr="00807701" w:rsidRDefault="00807701" w:rsidP="00807701">
      <w:pPr>
        <w:spacing w:line="360" w:lineRule="auto"/>
        <w:ind w:firstLine="709"/>
        <w:jc w:val="both"/>
        <w:rPr>
          <w:sz w:val="28"/>
          <w:szCs w:val="28"/>
          <w:lang w:val="uk-UA"/>
        </w:rPr>
      </w:pPr>
      <w:r w:rsidRPr="00807701">
        <w:rPr>
          <w:sz w:val="24"/>
          <w:szCs w:val="24"/>
          <w:lang w:val="uk-UA"/>
        </w:rPr>
        <w:t>Мал. 3.48 Вплив проведеної АБТ на функціональну здатність нирок.</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вивченні тривалості АБТ у хворих на ХП в залежності від виду емпіричного АБТ встановлено найбільшу тривалість лікування в групі </w:t>
      </w:r>
      <w:r w:rsidRPr="00807701">
        <w:rPr>
          <w:sz w:val="28"/>
          <w:szCs w:val="28"/>
          <w:lang w:val="en-US"/>
        </w:rPr>
        <w:t>D</w:t>
      </w:r>
      <w:r w:rsidRPr="00807701">
        <w:rPr>
          <w:sz w:val="28"/>
          <w:szCs w:val="28"/>
          <w:lang w:val="uk-UA"/>
        </w:rPr>
        <w:t xml:space="preserve"> (10,5</w:t>
      </w:r>
      <w:r w:rsidRPr="00807701">
        <w:rPr>
          <w:rFonts w:cstheme="minorHAnsi"/>
          <w:sz w:val="28"/>
          <w:szCs w:val="28"/>
          <w:lang w:val="uk-UA"/>
        </w:rPr>
        <w:t>±</w:t>
      </w:r>
      <w:r w:rsidRPr="00807701">
        <w:rPr>
          <w:sz w:val="28"/>
          <w:szCs w:val="28"/>
          <w:lang w:val="uk-UA"/>
        </w:rPr>
        <w:t>3,6), найменшу (7,9</w:t>
      </w:r>
      <w:r w:rsidRPr="00807701">
        <w:rPr>
          <w:rFonts w:cstheme="minorHAnsi"/>
          <w:sz w:val="28"/>
          <w:szCs w:val="28"/>
          <w:lang w:val="uk-UA"/>
        </w:rPr>
        <w:t>±</w:t>
      </w:r>
      <w:r w:rsidRPr="00807701">
        <w:rPr>
          <w:sz w:val="28"/>
          <w:szCs w:val="28"/>
          <w:lang w:val="uk-UA"/>
        </w:rPr>
        <w:t xml:space="preserve">1,2) – в групі С (малюнок 3.49).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5ECC19C5" wp14:editId="57058A35">
            <wp:extent cx="5486400" cy="2530699"/>
            <wp:effectExtent l="0" t="0" r="19050" b="22225"/>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 xml:space="preserve">Мал. 3.49 Тривалість АБТ у хворих на ХП і ЦД 2 типу в залежності від виду емпіричного АБП.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аналізі клінічної ефективності АБТ хворих на ХП з і без супутнього ЦД 2 типу, встановлено достовірне зниження температури тіла в обох групах обстежених хворих на 3-ю добу лікування. Проте, у хворих на </w:t>
      </w:r>
      <w:r w:rsidRPr="00807701">
        <w:rPr>
          <w:sz w:val="28"/>
          <w:szCs w:val="28"/>
          <w:lang w:val="uk-UA"/>
        </w:rPr>
        <w:lastRenderedPageBreak/>
        <w:t xml:space="preserve">ХП і ЦД 2 типу, регрес клінічних симптомів в динаміці АБТ проходив менш сприятливо ніж у пацієнтів без діабету (малюнок 3.50), що свідчить о необхідності раціонального призначення АБТ у цієї категорії хворих.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6773000E" wp14:editId="41D606EE">
            <wp:extent cx="5486400" cy="3200400"/>
            <wp:effectExtent l="0" t="19050" r="0" b="76200"/>
            <wp:docPr id="54"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3.50 Регрес клінічних симптомів в динаміці АБТ у хворих на ХП з і без супутнього ЦД 2 типу.</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 При вивченні динаміки лабораторних показників встановлено, що у пацієнтів на ХП і супутній ЦД 2 типу після лікування, лейкоцитоз та підвищення ШОЕ спостерігалось у 15% та 80% хворих відповідно. Щодо динаміки лабораторних показників сечі, у пацієнтів із ХП без діабету спостерігається більш сприятливий регрес гематурії та протеїнурії ніж у хворих на ХП і ЦД 2 типу, що також підтверджує необхідність раціонального призначення АБТ у цієї категорії пацієнтів (малюнок 3.51).</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6A9D9CB5" wp14:editId="3B91AE6F">
            <wp:extent cx="5486400" cy="3200400"/>
            <wp:effectExtent l="0" t="19050" r="0" b="7620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3.51 Регрес лабораторних показників в динаміці АБТ у хворих на ХП з і без супутнього ЦД 2 типу.</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Після лікування встановлено достовірне зниження показників креатиніну, сечовини та збільшення ШКФ в обох групах обстежених хворих, що свідчить о поліпшенні функції нирок після купірування загострення ХП як у пацієнтів із супутнім ЦД 2 типу, так і без останнього. Дані лабораторних обстежень до та після лікування представлено у таблиці 3.11.</w:t>
      </w:r>
    </w:p>
    <w:p w:rsidR="00807701" w:rsidRPr="00807701" w:rsidRDefault="00807701" w:rsidP="00807701">
      <w:pPr>
        <w:spacing w:after="0" w:line="360" w:lineRule="auto"/>
        <w:ind w:firstLine="709"/>
        <w:jc w:val="right"/>
        <w:rPr>
          <w:sz w:val="28"/>
          <w:szCs w:val="28"/>
          <w:lang w:val="uk-UA"/>
        </w:rPr>
      </w:pPr>
      <w:r w:rsidRPr="00807701">
        <w:rPr>
          <w:sz w:val="28"/>
          <w:szCs w:val="28"/>
          <w:lang w:val="uk-UA"/>
        </w:rPr>
        <w:t>Таблиця 3.11</w:t>
      </w:r>
    </w:p>
    <w:p w:rsidR="00807701" w:rsidRPr="00807701" w:rsidRDefault="00807701" w:rsidP="00807701">
      <w:pPr>
        <w:spacing w:after="0" w:line="360" w:lineRule="auto"/>
        <w:ind w:firstLine="709"/>
        <w:jc w:val="center"/>
        <w:rPr>
          <w:b/>
          <w:sz w:val="28"/>
          <w:szCs w:val="28"/>
          <w:lang w:val="uk-UA"/>
        </w:rPr>
      </w:pPr>
      <w:r w:rsidRPr="00807701">
        <w:rPr>
          <w:b/>
          <w:sz w:val="28"/>
          <w:szCs w:val="28"/>
          <w:lang w:val="uk-UA"/>
        </w:rPr>
        <w:t>Дані лабораторних обстежень до та після лікування хворих на ХП з і без ЦД 2 типу</w:t>
      </w:r>
    </w:p>
    <w:tbl>
      <w:tblPr>
        <w:tblStyle w:val="ae"/>
        <w:tblW w:w="0" w:type="auto"/>
        <w:tblLook w:val="04A0" w:firstRow="1" w:lastRow="0" w:firstColumn="1" w:lastColumn="0" w:noHBand="0" w:noVBand="1"/>
      </w:tblPr>
      <w:tblGrid>
        <w:gridCol w:w="1914"/>
        <w:gridCol w:w="1914"/>
        <w:gridCol w:w="1914"/>
        <w:gridCol w:w="1914"/>
        <w:gridCol w:w="1915"/>
      </w:tblGrid>
      <w:tr w:rsidR="00807701" w:rsidRPr="00807701" w:rsidTr="00513759">
        <w:tc>
          <w:tcPr>
            <w:tcW w:w="1914" w:type="dxa"/>
          </w:tcPr>
          <w:p w:rsidR="00807701" w:rsidRPr="00807701" w:rsidRDefault="00807701" w:rsidP="00807701">
            <w:pPr>
              <w:spacing w:line="360" w:lineRule="auto"/>
              <w:jc w:val="both"/>
              <w:rPr>
                <w:rFonts w:cstheme="minorHAnsi"/>
                <w:color w:val="FF0000"/>
                <w:sz w:val="24"/>
                <w:szCs w:val="24"/>
                <w:lang w:val="uk-UA"/>
              </w:rPr>
            </w:pPr>
          </w:p>
        </w:tc>
        <w:tc>
          <w:tcPr>
            <w:tcW w:w="1914" w:type="dxa"/>
          </w:tcPr>
          <w:p w:rsidR="00807701" w:rsidRPr="00807701" w:rsidRDefault="00807701" w:rsidP="00807701">
            <w:pPr>
              <w:spacing w:line="360" w:lineRule="auto"/>
              <w:jc w:val="center"/>
              <w:rPr>
                <w:lang w:val="uk-UA"/>
              </w:rPr>
            </w:pPr>
            <w:r w:rsidRPr="00807701">
              <w:rPr>
                <w:rFonts w:cstheme="minorHAnsi"/>
                <w:lang w:val="uk-UA"/>
              </w:rPr>
              <w:t>І</w:t>
            </w:r>
            <w:r w:rsidRPr="00807701">
              <w:rPr>
                <w:lang w:val="uk-UA"/>
              </w:rPr>
              <w:t xml:space="preserve"> група</w:t>
            </w:r>
          </w:p>
          <w:p w:rsidR="00807701" w:rsidRPr="00807701" w:rsidRDefault="00807701" w:rsidP="00807701">
            <w:pPr>
              <w:spacing w:line="360" w:lineRule="auto"/>
              <w:jc w:val="center"/>
              <w:rPr>
                <w:rFonts w:cstheme="minorHAnsi"/>
                <w:color w:val="FF0000"/>
                <w:sz w:val="24"/>
                <w:szCs w:val="24"/>
                <w:lang w:val="uk-UA"/>
              </w:rPr>
            </w:pPr>
            <w:r w:rsidRPr="00807701">
              <w:rPr>
                <w:lang w:val="uk-UA"/>
              </w:rPr>
              <w:t>(до лікування)</w:t>
            </w:r>
          </w:p>
        </w:tc>
        <w:tc>
          <w:tcPr>
            <w:tcW w:w="1914" w:type="dxa"/>
          </w:tcPr>
          <w:p w:rsidR="00807701" w:rsidRPr="00807701" w:rsidRDefault="00807701" w:rsidP="00807701">
            <w:pPr>
              <w:spacing w:line="360" w:lineRule="auto"/>
              <w:jc w:val="center"/>
              <w:rPr>
                <w:rFonts w:cstheme="minorHAnsi"/>
                <w:lang w:val="uk-UA"/>
              </w:rPr>
            </w:pPr>
            <w:r w:rsidRPr="00807701">
              <w:rPr>
                <w:rFonts w:cstheme="minorHAnsi"/>
                <w:lang w:val="uk-UA"/>
              </w:rPr>
              <w:t>І група</w:t>
            </w:r>
          </w:p>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(після лікування)</w:t>
            </w:r>
          </w:p>
        </w:tc>
        <w:tc>
          <w:tcPr>
            <w:tcW w:w="1914" w:type="dxa"/>
          </w:tcPr>
          <w:p w:rsidR="00807701" w:rsidRPr="00807701" w:rsidRDefault="00807701" w:rsidP="00807701">
            <w:pPr>
              <w:spacing w:line="360" w:lineRule="auto"/>
              <w:jc w:val="center"/>
              <w:rPr>
                <w:lang w:val="uk-UA"/>
              </w:rPr>
            </w:pPr>
            <w:r w:rsidRPr="00807701">
              <w:rPr>
                <w:rFonts w:cstheme="minorHAnsi"/>
                <w:lang w:val="uk-UA"/>
              </w:rPr>
              <w:t>І</w:t>
            </w:r>
            <w:r w:rsidRPr="00807701">
              <w:rPr>
                <w:rFonts w:asciiTheme="minorBidi" w:hAnsiTheme="minorBidi"/>
                <w:lang w:val="uk-UA"/>
              </w:rPr>
              <w:t>І</w:t>
            </w:r>
            <w:r w:rsidRPr="00807701">
              <w:rPr>
                <w:lang w:val="uk-UA"/>
              </w:rPr>
              <w:t xml:space="preserve"> група</w:t>
            </w:r>
          </w:p>
          <w:p w:rsidR="00807701" w:rsidRPr="00807701" w:rsidRDefault="00807701" w:rsidP="00807701">
            <w:pPr>
              <w:spacing w:line="360" w:lineRule="auto"/>
              <w:jc w:val="center"/>
              <w:rPr>
                <w:rFonts w:cstheme="minorHAnsi"/>
                <w:color w:val="FF0000"/>
                <w:sz w:val="24"/>
                <w:szCs w:val="24"/>
                <w:lang w:val="uk-UA"/>
              </w:rPr>
            </w:pPr>
            <w:r w:rsidRPr="00807701">
              <w:rPr>
                <w:lang w:val="uk-UA"/>
              </w:rPr>
              <w:t>(до лікування)</w:t>
            </w:r>
          </w:p>
        </w:tc>
        <w:tc>
          <w:tcPr>
            <w:tcW w:w="1915" w:type="dxa"/>
          </w:tcPr>
          <w:p w:rsidR="00807701" w:rsidRPr="00807701" w:rsidRDefault="00807701" w:rsidP="00807701">
            <w:pPr>
              <w:spacing w:line="360" w:lineRule="auto"/>
              <w:jc w:val="center"/>
              <w:rPr>
                <w:rFonts w:cstheme="minorHAnsi"/>
                <w:lang w:val="uk-UA"/>
              </w:rPr>
            </w:pPr>
            <w:r w:rsidRPr="00807701">
              <w:rPr>
                <w:rFonts w:cstheme="minorHAnsi"/>
                <w:lang w:val="uk-UA"/>
              </w:rPr>
              <w:t>ІІ група</w:t>
            </w:r>
          </w:p>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(після лікування)</w:t>
            </w:r>
          </w:p>
        </w:tc>
      </w:tr>
      <w:tr w:rsidR="00807701" w:rsidRPr="00807701" w:rsidTr="00513759">
        <w:tc>
          <w:tcPr>
            <w:tcW w:w="1914" w:type="dxa"/>
          </w:tcPr>
          <w:p w:rsidR="00807701" w:rsidRPr="00807701" w:rsidRDefault="00807701" w:rsidP="00807701">
            <w:pPr>
              <w:spacing w:line="360" w:lineRule="auto"/>
              <w:rPr>
                <w:rFonts w:cstheme="minorHAnsi"/>
                <w:color w:val="FF0000"/>
                <w:sz w:val="24"/>
                <w:szCs w:val="24"/>
                <w:lang w:val="uk-UA"/>
              </w:rPr>
            </w:pPr>
            <w:r w:rsidRPr="00807701">
              <w:rPr>
                <w:b/>
                <w:sz w:val="20"/>
                <w:szCs w:val="20"/>
                <w:lang w:val="uk-UA"/>
              </w:rPr>
              <w:t>ШКФ, мл/хв/</w:t>
            </w:r>
            <w:r w:rsidRPr="00807701">
              <w:rPr>
                <w:rFonts w:cstheme="minorHAnsi"/>
                <w:b/>
                <w:sz w:val="20"/>
                <w:szCs w:val="20"/>
                <w:lang w:val="uk-UA"/>
              </w:rPr>
              <w:t>1,73м</w:t>
            </w:r>
            <w:r w:rsidRPr="00807701">
              <w:rPr>
                <w:rFonts w:cstheme="minorHAnsi"/>
                <w:b/>
                <w:sz w:val="20"/>
                <w:szCs w:val="20"/>
                <w:vertAlign w:val="superscript"/>
                <w:lang w:val="uk-UA"/>
              </w:rPr>
              <w:t>2</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69,4±4,4*</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70,5±3,9*</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42,3±4,8</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44,4±4,2</w:t>
            </w:r>
          </w:p>
        </w:tc>
      </w:tr>
      <w:tr w:rsidR="00807701" w:rsidRPr="00807701" w:rsidTr="00513759">
        <w:tc>
          <w:tcPr>
            <w:tcW w:w="1914" w:type="dxa"/>
          </w:tcPr>
          <w:p w:rsidR="00807701" w:rsidRPr="00807701" w:rsidRDefault="00807701" w:rsidP="00807701">
            <w:pPr>
              <w:spacing w:line="360" w:lineRule="auto"/>
              <w:rPr>
                <w:rFonts w:cstheme="minorHAnsi"/>
                <w:color w:val="FF0000"/>
                <w:sz w:val="24"/>
                <w:szCs w:val="24"/>
                <w:lang w:val="uk-UA"/>
              </w:rPr>
            </w:pPr>
            <w:r w:rsidRPr="00807701">
              <w:rPr>
                <w:b/>
                <w:sz w:val="20"/>
                <w:szCs w:val="20"/>
                <w:lang w:val="uk-UA"/>
              </w:rPr>
              <w:t>Креатинін крові, мкмоль/л</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131,4±13,9*#</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121,5±11,3*</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187,3±22,8#</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165,5±17,6#</w:t>
            </w:r>
          </w:p>
        </w:tc>
      </w:tr>
      <w:tr w:rsidR="00807701" w:rsidRPr="00807701" w:rsidTr="00513759">
        <w:tc>
          <w:tcPr>
            <w:tcW w:w="1914" w:type="dxa"/>
          </w:tcPr>
          <w:p w:rsidR="00807701" w:rsidRPr="00807701" w:rsidRDefault="00807701" w:rsidP="00807701">
            <w:pPr>
              <w:spacing w:line="360" w:lineRule="auto"/>
              <w:rPr>
                <w:rFonts w:cstheme="minorHAnsi"/>
                <w:color w:val="FF0000"/>
                <w:sz w:val="24"/>
                <w:szCs w:val="24"/>
                <w:lang w:val="uk-UA"/>
              </w:rPr>
            </w:pPr>
            <w:r w:rsidRPr="00807701">
              <w:rPr>
                <w:b/>
                <w:sz w:val="20"/>
                <w:szCs w:val="20"/>
                <w:lang w:val="uk-UA"/>
              </w:rPr>
              <w:t>Сечовина крові, ммоль/л</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7,8±0,54*</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7,86±0,5*</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12,6±1,2</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11,6±1,1</w:t>
            </w:r>
          </w:p>
        </w:tc>
      </w:tr>
      <w:tr w:rsidR="00807701" w:rsidRPr="00807701" w:rsidTr="00513759">
        <w:tc>
          <w:tcPr>
            <w:tcW w:w="1914" w:type="dxa"/>
          </w:tcPr>
          <w:p w:rsidR="00807701" w:rsidRPr="00807701" w:rsidRDefault="00807701" w:rsidP="00807701">
            <w:pPr>
              <w:spacing w:line="360" w:lineRule="auto"/>
              <w:rPr>
                <w:rFonts w:cstheme="minorHAnsi"/>
                <w:color w:val="FF0000"/>
                <w:sz w:val="24"/>
                <w:szCs w:val="24"/>
                <w:lang w:val="uk-UA"/>
              </w:rPr>
            </w:pPr>
            <w:r w:rsidRPr="00807701">
              <w:rPr>
                <w:rFonts w:cstheme="minorHAnsi"/>
                <w:b/>
                <w:sz w:val="20"/>
                <w:szCs w:val="20"/>
                <w:lang w:val="uk-UA"/>
              </w:rPr>
              <w:t>Загальний білок крові (г/л)</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73,1±1,1</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73,9±0,8</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72±2,2</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74,3±1,5</w:t>
            </w:r>
          </w:p>
        </w:tc>
      </w:tr>
      <w:tr w:rsidR="00807701" w:rsidRPr="00807701" w:rsidTr="00513759">
        <w:tc>
          <w:tcPr>
            <w:tcW w:w="1914" w:type="dxa"/>
          </w:tcPr>
          <w:p w:rsidR="00807701" w:rsidRPr="00807701" w:rsidRDefault="00807701" w:rsidP="00807701">
            <w:pPr>
              <w:spacing w:line="360" w:lineRule="auto"/>
              <w:rPr>
                <w:rFonts w:cstheme="minorHAnsi"/>
                <w:color w:val="FF0000"/>
                <w:sz w:val="24"/>
                <w:szCs w:val="24"/>
                <w:lang w:val="uk-UA"/>
              </w:rPr>
            </w:pPr>
            <w:r w:rsidRPr="00807701">
              <w:rPr>
                <w:rFonts w:cstheme="minorHAnsi"/>
                <w:b/>
                <w:sz w:val="20"/>
                <w:szCs w:val="20"/>
                <w:lang w:val="uk-UA"/>
              </w:rPr>
              <w:t>Альбумінурія (г/л)</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0,07±0,01</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0,03±0,01</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0,04±0,01</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0,04±0,02</w:t>
            </w:r>
          </w:p>
        </w:tc>
      </w:tr>
      <w:tr w:rsidR="00807701" w:rsidRPr="00807701" w:rsidTr="00513759">
        <w:tc>
          <w:tcPr>
            <w:tcW w:w="1914" w:type="dxa"/>
          </w:tcPr>
          <w:p w:rsidR="00807701" w:rsidRPr="00807701" w:rsidRDefault="00807701" w:rsidP="00807701">
            <w:pPr>
              <w:spacing w:line="360" w:lineRule="auto"/>
              <w:rPr>
                <w:rFonts w:cstheme="minorHAnsi"/>
                <w:b/>
                <w:sz w:val="20"/>
                <w:szCs w:val="20"/>
                <w:lang w:val="uk-UA"/>
              </w:rPr>
            </w:pPr>
            <w:r w:rsidRPr="00807701">
              <w:rPr>
                <w:rFonts w:cstheme="minorHAnsi"/>
                <w:b/>
                <w:sz w:val="20"/>
                <w:szCs w:val="20"/>
                <w:lang w:val="uk-UA"/>
              </w:rPr>
              <w:lastRenderedPageBreak/>
              <w:t>Протеїнурія</w:t>
            </w:r>
          </w:p>
          <w:p w:rsidR="00807701" w:rsidRPr="00807701" w:rsidRDefault="00807701" w:rsidP="00807701">
            <w:pPr>
              <w:spacing w:line="360" w:lineRule="auto"/>
              <w:rPr>
                <w:rFonts w:cstheme="minorHAnsi"/>
                <w:color w:val="FF0000"/>
                <w:sz w:val="24"/>
                <w:szCs w:val="24"/>
                <w:lang w:val="uk-UA"/>
              </w:rPr>
            </w:pPr>
            <w:r w:rsidRPr="00807701">
              <w:rPr>
                <w:rFonts w:cstheme="minorHAnsi"/>
                <w:b/>
                <w:sz w:val="20"/>
                <w:szCs w:val="20"/>
                <w:lang w:val="uk-UA"/>
              </w:rPr>
              <w:t>(г/л)</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0,98±0,3</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0,6±0,2#</w:t>
            </w:r>
          </w:p>
        </w:tc>
        <w:tc>
          <w:tcPr>
            <w:tcW w:w="1914"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0,94±0,3</w:t>
            </w:r>
          </w:p>
        </w:tc>
        <w:tc>
          <w:tcPr>
            <w:tcW w:w="1915" w:type="dxa"/>
            <w:vAlign w:val="center"/>
          </w:tcPr>
          <w:p w:rsidR="00807701" w:rsidRPr="00807701" w:rsidRDefault="00807701" w:rsidP="00807701">
            <w:pPr>
              <w:spacing w:line="360" w:lineRule="auto"/>
              <w:jc w:val="center"/>
              <w:rPr>
                <w:rFonts w:cstheme="minorHAnsi"/>
                <w:color w:val="FF0000"/>
                <w:sz w:val="24"/>
                <w:szCs w:val="24"/>
                <w:lang w:val="uk-UA"/>
              </w:rPr>
            </w:pPr>
            <w:r w:rsidRPr="00807701">
              <w:rPr>
                <w:rFonts w:cstheme="minorHAnsi"/>
                <w:lang w:val="uk-UA"/>
              </w:rPr>
              <w:t>0,8±0,3</w:t>
            </w:r>
          </w:p>
        </w:tc>
      </w:tr>
    </w:tbl>
    <w:p w:rsidR="00807701" w:rsidRPr="00807701" w:rsidRDefault="00807701" w:rsidP="00807701">
      <w:pPr>
        <w:spacing w:line="360" w:lineRule="auto"/>
        <w:jc w:val="both"/>
        <w:rPr>
          <w:rFonts w:cstheme="minorHAnsi"/>
          <w:sz w:val="24"/>
          <w:szCs w:val="24"/>
          <w:lang w:val="uk-UA"/>
        </w:rPr>
      </w:pPr>
      <w:r w:rsidRPr="00807701">
        <w:rPr>
          <w:rFonts w:cstheme="minorHAnsi"/>
          <w:sz w:val="24"/>
          <w:szCs w:val="24"/>
          <w:lang w:val="uk-UA"/>
        </w:rPr>
        <w:t xml:space="preserve">Примітка: * р≤0,05 при порівнянні І та ІІ груп; # р≤0,05 при порівнянні до та після лікування. </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sz w:val="28"/>
          <w:szCs w:val="28"/>
          <w:lang w:val="uk-UA"/>
        </w:rPr>
        <w:t>Тривалість АБТ у хворих ХП і ЦД 2 типу була достовірно вище 10,6±3,2 (р≤0,05) ніж у пацієнтів без діабету (8,8±2,3), що свідчить про складність лікування ХП на тлі ЦД 2 типу та необхідність розробки диференційованого призначення АБТ у цієї категорії хворих (малюнок 3.52).</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noProof/>
          <w:sz w:val="28"/>
          <w:szCs w:val="28"/>
          <w:lang w:eastAsia="ru-RU"/>
        </w:rPr>
        <w:drawing>
          <wp:inline distT="0" distB="0" distL="0" distR="0" wp14:anchorId="332D581B" wp14:editId="6D99D913">
            <wp:extent cx="5486400" cy="2550017"/>
            <wp:effectExtent l="0" t="0" r="19050" b="22225"/>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807701" w:rsidRPr="00807701" w:rsidRDefault="00807701" w:rsidP="00807701">
      <w:pPr>
        <w:spacing w:line="360" w:lineRule="auto"/>
        <w:ind w:firstLine="709"/>
        <w:jc w:val="both"/>
        <w:rPr>
          <w:rFonts w:cstheme="minorHAnsi"/>
          <w:sz w:val="24"/>
          <w:szCs w:val="24"/>
          <w:lang w:val="uk-UA"/>
        </w:rPr>
      </w:pPr>
      <w:r w:rsidRPr="00807701">
        <w:rPr>
          <w:rFonts w:cstheme="minorHAnsi"/>
          <w:sz w:val="24"/>
          <w:szCs w:val="24"/>
          <w:lang w:val="uk-UA"/>
        </w:rPr>
        <w:t>Мал. 3.52 Середня тривалість АБТ у хворих на ХП з і без супутнього ЦД 2 типу.</w:t>
      </w:r>
    </w:p>
    <w:p w:rsidR="00807701" w:rsidRPr="00807701" w:rsidRDefault="00807701" w:rsidP="00807701">
      <w:pPr>
        <w:spacing w:line="360" w:lineRule="auto"/>
        <w:ind w:firstLine="709"/>
        <w:jc w:val="both"/>
        <w:rPr>
          <w:rFonts w:cstheme="minorHAnsi"/>
          <w:sz w:val="28"/>
          <w:szCs w:val="28"/>
          <w:lang w:val="uk-UA"/>
        </w:rPr>
      </w:pPr>
      <w:r w:rsidRPr="00807701">
        <w:rPr>
          <w:rFonts w:cstheme="minorHAnsi"/>
          <w:sz w:val="28"/>
          <w:szCs w:val="28"/>
          <w:lang w:val="uk-UA"/>
        </w:rPr>
        <w:t xml:space="preserve">Отже, спостерігається зниження клінічної ефективності АБТ у хворих на ХП як із супутнім ЦД 2 типу, так і без останнього, що проявляється повільним регресом клінічних симптомів і лабораторних показників в динаміці АБТ і подовженням строків госпіталізації. Найкращий клінічний результат було визначено в групі А, що отримували фторхінолони і в групі С – що лікувалися комбінацією фторхінолонів і цефалоспоринів. Призначення аміноглікозидів не рекомендується у зв’язку з підвищенням протеїнурії і негативним впливом на функціональну здатність нирок.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аналізі впливу плазмід-індукованих механізмів резистентності на клінічну ефективність АБТ, встановлено достовірне зниження температури тіла на 3-тю добу лікування як у хворих з виявленими генами стійкості, так і без останніх. Проте, більш сприятливий регрес клінічних симптомів </w:t>
      </w:r>
      <w:r w:rsidRPr="00807701">
        <w:rPr>
          <w:sz w:val="28"/>
          <w:szCs w:val="28"/>
          <w:lang w:val="uk-UA"/>
        </w:rPr>
        <w:lastRenderedPageBreak/>
        <w:t xml:space="preserve">спостерігається в групі пацієнтів, що не мають плазмідних генів резистентності (малюнок 3.53).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63566E98" wp14:editId="05DD9B68">
            <wp:extent cx="5486400" cy="3200400"/>
            <wp:effectExtent l="0" t="57150" r="0" b="114300"/>
            <wp:docPr id="57" name="Схема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3.53 Регрес клінічних симптомів у хворих на ХП в залежності від наявності плазмід-індукованих механізмів резистентності.</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При вивченні динаміки лабораторних показників в ході АБТ встановлено достовірне зниження лейкоцитозу на 17%, ШОЕ – на 9% у хворих без генів резистентності. Щодо пацієнтів з виявленими генами стійкості – спостерігається зниження лейкоцитозу на 28%, ШОЕ – на 7%. Регрес гематурії та лейкоцитурії у хворих з виявленими генами резистентності проходив повільніше ніж у пацієнтів без генів, проте навіть при виписці не досягав фізіологічних значень в жодній з груп (малюнок 3.54).</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63D47658" wp14:editId="68CCFA76">
            <wp:extent cx="5486400" cy="3200400"/>
            <wp:effectExtent l="0" t="57150" r="0" b="114300"/>
            <wp:docPr id="58" name="Схема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3.54 Регрес лабораторних показників у хворих на ХП і ЦД 2 типу в залежності від наявності плазмід-індукованих механізмів резистентності.</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Була проаналізована клінічна ефективність АБТ у хворих на ХП з виявленими плазмідними механізмами резистентності залежно від типів виявлених генів. Встановлено, що на 3-тю добу лікування температури тіла достовірно знизилась у всіх групах обстежених хворих. В динаміці АБТ інтоксикаційний синдром зберігався до 5 дня в обох групах, і навіть при виписці мав місце у 42% хворих з виявленими </w:t>
      </w:r>
      <w:r w:rsidRPr="00807701">
        <w:rPr>
          <w:rFonts w:cstheme="minorHAnsi"/>
          <w:sz w:val="28"/>
          <w:szCs w:val="28"/>
          <w:lang w:val="uk-UA"/>
        </w:rPr>
        <w:t>β</w:t>
      </w:r>
      <w:r w:rsidRPr="00807701">
        <w:rPr>
          <w:sz w:val="28"/>
          <w:szCs w:val="28"/>
          <w:lang w:val="uk-UA"/>
        </w:rPr>
        <w:t xml:space="preserve">ЛРС і 46% - з генами резистентності до фторхінолонів. Регрес больового синдрому та дизурії в динаміці АБТ краще проходив в групі хворих з виявленими </w:t>
      </w:r>
      <w:r w:rsidRPr="00807701">
        <w:rPr>
          <w:rFonts w:cstheme="minorHAnsi"/>
          <w:sz w:val="28"/>
          <w:szCs w:val="28"/>
          <w:lang w:val="uk-UA"/>
        </w:rPr>
        <w:t>β</w:t>
      </w:r>
      <w:r w:rsidRPr="00807701">
        <w:rPr>
          <w:sz w:val="28"/>
          <w:szCs w:val="28"/>
          <w:lang w:val="uk-UA"/>
        </w:rPr>
        <w:t xml:space="preserve">ЛРС. Так, на 5-ту добу, біль у косто-вертебральному куті спостерігалась у 82% хворих з генами резистентності до фторхінолонів і у 58% (р=0,07) пацієнтів з виявленими </w:t>
      </w:r>
      <w:r w:rsidRPr="00807701">
        <w:rPr>
          <w:rFonts w:cstheme="minorHAnsi"/>
          <w:sz w:val="28"/>
          <w:szCs w:val="28"/>
          <w:lang w:val="uk-UA"/>
        </w:rPr>
        <w:t>β</w:t>
      </w:r>
      <w:r w:rsidRPr="00807701">
        <w:rPr>
          <w:sz w:val="28"/>
          <w:szCs w:val="28"/>
          <w:lang w:val="uk-UA"/>
        </w:rPr>
        <w:t xml:space="preserve">ЛРС. При виписці больовий синдром мав місце у 4% хворих з </w:t>
      </w:r>
      <w:r w:rsidRPr="00807701">
        <w:rPr>
          <w:rFonts w:cstheme="minorHAnsi"/>
          <w:sz w:val="28"/>
          <w:szCs w:val="28"/>
          <w:lang w:val="uk-UA"/>
        </w:rPr>
        <w:t>β</w:t>
      </w:r>
      <w:r w:rsidRPr="00807701">
        <w:rPr>
          <w:sz w:val="28"/>
          <w:szCs w:val="28"/>
          <w:lang w:val="uk-UA"/>
        </w:rPr>
        <w:t xml:space="preserve">ЛРС і 9% - з генами стійкості до фторхінолонів. Дизурія, на 5-ту добу АБТ мала місце у 25% пацієнтів з виявленими </w:t>
      </w:r>
      <w:r w:rsidRPr="00807701">
        <w:rPr>
          <w:rFonts w:cstheme="minorHAnsi"/>
          <w:sz w:val="28"/>
          <w:szCs w:val="28"/>
          <w:lang w:val="uk-UA"/>
        </w:rPr>
        <w:t>β</w:t>
      </w:r>
      <w:r w:rsidRPr="00807701">
        <w:rPr>
          <w:sz w:val="28"/>
          <w:szCs w:val="28"/>
          <w:lang w:val="uk-UA"/>
        </w:rPr>
        <w:t xml:space="preserve">ЛРС, на 7-му добу – у 4%, тоді як у пацієнтів з генами резистентності до фторхінолонів дизурічні явища на 5-ту та 7-му добу лікування мали місце у 36% та 18% хворих відповідно. При виписці скарг на дизурію не було виявлено в жодній з груп (малюнок 3.55).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5CB35293" wp14:editId="6673A758">
            <wp:extent cx="5486400" cy="3200400"/>
            <wp:effectExtent l="0" t="57150" r="0" b="114300"/>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 xml:space="preserve">Мал. 3.55 Регрес клінічних симптомів у хворих на ХП і ЦД 2 типу з виявленими плазмідними механізмами резистентності залежно від типу виявлених генів.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аналізі регресу лабораторних показників у хворих на ХП і ЦД 2 типу в залежності від типів виявлених плазмідних генів резистентності встановлено кращу динаміку показників лейкоцитозу, лейкоцитурії та гематурії у пацієнтів з генами резистентності до фторхінолонів. Так, на 3-тю добу лікування, лейкоцитоз зберігався у 8% хворих з генами резистентності до фторхінолонів і 29% - з виявленими </w:t>
      </w:r>
      <w:r w:rsidRPr="00807701">
        <w:rPr>
          <w:rFonts w:cstheme="minorHAnsi"/>
          <w:sz w:val="28"/>
          <w:szCs w:val="28"/>
          <w:lang w:val="uk-UA"/>
        </w:rPr>
        <w:t>β</w:t>
      </w:r>
      <w:r w:rsidRPr="00807701">
        <w:rPr>
          <w:sz w:val="28"/>
          <w:szCs w:val="28"/>
          <w:lang w:val="uk-UA"/>
        </w:rPr>
        <w:t xml:space="preserve">ЛРС. При виписці, показники лейкоцитозу були підвищені у 8% та 9% хворих з виявленими </w:t>
      </w:r>
      <w:r w:rsidRPr="00807701">
        <w:rPr>
          <w:rFonts w:cstheme="minorHAnsi"/>
          <w:sz w:val="28"/>
          <w:szCs w:val="28"/>
          <w:lang w:val="uk-UA"/>
        </w:rPr>
        <w:t>β</w:t>
      </w:r>
      <w:r w:rsidRPr="00807701">
        <w:rPr>
          <w:sz w:val="28"/>
          <w:szCs w:val="28"/>
          <w:lang w:val="uk-UA"/>
        </w:rPr>
        <w:t xml:space="preserve">ЛРС та генами резистентності до фторхінолонів відповідно. При надходженні, підвищення ШОЕ спостерігалося у 79% хворих з виявленими </w:t>
      </w:r>
      <w:r w:rsidRPr="00807701">
        <w:rPr>
          <w:rFonts w:cstheme="minorHAnsi"/>
          <w:sz w:val="28"/>
          <w:szCs w:val="28"/>
          <w:lang w:val="uk-UA"/>
        </w:rPr>
        <w:t>β</w:t>
      </w:r>
      <w:r w:rsidRPr="00807701">
        <w:rPr>
          <w:sz w:val="28"/>
          <w:szCs w:val="28"/>
          <w:lang w:val="uk-UA"/>
        </w:rPr>
        <w:t xml:space="preserve">ЛРС і 91% пацієнтів з генами резистентності до фторхінолонів. В динаміці АБТ, регрес цього лабораторного маркера проходив без достовірних відмінностей поміж груп і при виписці спостерігався у 71% та 100% хворих з виявленими </w:t>
      </w:r>
      <w:r w:rsidRPr="00807701">
        <w:rPr>
          <w:rFonts w:cstheme="minorHAnsi"/>
          <w:sz w:val="28"/>
          <w:szCs w:val="28"/>
          <w:lang w:val="uk-UA"/>
        </w:rPr>
        <w:t>β</w:t>
      </w:r>
      <w:r w:rsidRPr="00807701">
        <w:rPr>
          <w:sz w:val="28"/>
          <w:szCs w:val="28"/>
          <w:lang w:val="uk-UA"/>
        </w:rPr>
        <w:t xml:space="preserve">ЛРС та генами резистентності до фторхінолонів відповідно. Показники лейкоцитурії при надходженні були підвищені у 71% хворих з виявленими </w:t>
      </w:r>
      <w:r w:rsidRPr="00807701">
        <w:rPr>
          <w:rFonts w:cstheme="minorHAnsi"/>
          <w:sz w:val="28"/>
          <w:szCs w:val="28"/>
          <w:lang w:val="uk-UA"/>
        </w:rPr>
        <w:t>β</w:t>
      </w:r>
      <w:r w:rsidRPr="00807701">
        <w:rPr>
          <w:sz w:val="28"/>
          <w:szCs w:val="28"/>
          <w:lang w:val="uk-UA"/>
        </w:rPr>
        <w:t xml:space="preserve">ЛРС та 64% пацієнтів з генами резистентності до фторхінолонів. Достовірне зниження лейкоцитурії було виявлено на 7-му добу лікування в обох групах: </w:t>
      </w:r>
      <w:r w:rsidRPr="00807701">
        <w:rPr>
          <w:sz w:val="28"/>
          <w:szCs w:val="28"/>
          <w:lang w:val="uk-UA"/>
        </w:rPr>
        <w:lastRenderedPageBreak/>
        <w:t xml:space="preserve">до 58% - в групі з виявленими </w:t>
      </w:r>
      <w:r w:rsidRPr="00807701">
        <w:rPr>
          <w:rFonts w:cstheme="minorHAnsi"/>
          <w:sz w:val="28"/>
          <w:szCs w:val="28"/>
          <w:lang w:val="uk-UA"/>
        </w:rPr>
        <w:t>β</w:t>
      </w:r>
      <w:r w:rsidRPr="00807701">
        <w:rPr>
          <w:sz w:val="28"/>
          <w:szCs w:val="28"/>
          <w:lang w:val="uk-UA"/>
        </w:rPr>
        <w:t xml:space="preserve">ЛРС та до 54% - у пацієнтів з генами резистентності до фторхінолонів. При виписці, показники лейкоцитурії були підвищені у 45,8% та 36,4% хворих з виявленими </w:t>
      </w:r>
      <w:r w:rsidRPr="00807701">
        <w:rPr>
          <w:rFonts w:cstheme="minorHAnsi"/>
          <w:sz w:val="28"/>
          <w:szCs w:val="28"/>
          <w:lang w:val="uk-UA"/>
        </w:rPr>
        <w:t>β</w:t>
      </w:r>
      <w:r w:rsidRPr="00807701">
        <w:rPr>
          <w:sz w:val="28"/>
          <w:szCs w:val="28"/>
          <w:lang w:val="uk-UA"/>
        </w:rPr>
        <w:t xml:space="preserve">ЛРС та генами резистентності до фторхінолонів відповідно. Гематурія при надходженні була виявлена у 17% хворих з виявленими </w:t>
      </w:r>
      <w:r w:rsidRPr="00807701">
        <w:rPr>
          <w:rFonts w:cstheme="minorHAnsi"/>
          <w:sz w:val="28"/>
          <w:szCs w:val="28"/>
          <w:lang w:val="uk-UA"/>
        </w:rPr>
        <w:t>β</w:t>
      </w:r>
      <w:r w:rsidRPr="00807701">
        <w:rPr>
          <w:sz w:val="28"/>
          <w:szCs w:val="28"/>
          <w:lang w:val="uk-UA"/>
        </w:rPr>
        <w:t xml:space="preserve">ЛРС та 45% пацієнтів з генами резистентності до фторхінолонів. На 3-тю добу лікування показники гематурії знизились у хворих з генами резистентності до фторхінолонів до 9%, тоді як у пацієнтів з виявленими </w:t>
      </w:r>
      <w:r w:rsidRPr="00807701">
        <w:rPr>
          <w:rFonts w:cstheme="minorHAnsi"/>
          <w:sz w:val="28"/>
          <w:szCs w:val="28"/>
          <w:lang w:val="uk-UA"/>
        </w:rPr>
        <w:t>β</w:t>
      </w:r>
      <w:r w:rsidRPr="00807701">
        <w:rPr>
          <w:sz w:val="28"/>
          <w:szCs w:val="28"/>
          <w:lang w:val="uk-UA"/>
        </w:rPr>
        <w:t xml:space="preserve">ЛРС підвищилися до 29%. У подальшому, регрес гематурії проходив без достовірних відмінностей поміж груп та при виписці спостерігався у 12,5% та 18% хворих з виявленими </w:t>
      </w:r>
      <w:r w:rsidRPr="00807701">
        <w:rPr>
          <w:rFonts w:cstheme="minorHAnsi"/>
          <w:sz w:val="28"/>
          <w:szCs w:val="28"/>
          <w:lang w:val="uk-UA"/>
        </w:rPr>
        <w:t>β</w:t>
      </w:r>
      <w:r w:rsidRPr="00807701">
        <w:rPr>
          <w:sz w:val="28"/>
          <w:szCs w:val="28"/>
          <w:lang w:val="uk-UA"/>
        </w:rPr>
        <w:t>ЛРС та генами резистентності до фторхінолонів відповідно (малюнок 3.56).</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4CC02EFF" wp14:editId="03D7D82A">
            <wp:extent cx="5486400" cy="3200400"/>
            <wp:effectExtent l="0" t="57150" r="0" b="114300"/>
            <wp:docPr id="60" name="Схема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9" r:lo="rId100" r:qs="rId101" r:cs="rId102"/>
              </a:graphicData>
            </a:graphic>
          </wp:inline>
        </w:drawing>
      </w:r>
    </w:p>
    <w:p w:rsidR="00807701" w:rsidRPr="00807701" w:rsidRDefault="00807701" w:rsidP="00807701">
      <w:pPr>
        <w:spacing w:line="360" w:lineRule="auto"/>
        <w:ind w:firstLine="709"/>
        <w:jc w:val="both"/>
        <w:rPr>
          <w:sz w:val="28"/>
          <w:szCs w:val="28"/>
          <w:lang w:val="uk-UA"/>
        </w:rPr>
      </w:pPr>
      <w:r w:rsidRPr="00807701">
        <w:rPr>
          <w:sz w:val="24"/>
          <w:szCs w:val="24"/>
          <w:lang w:val="uk-UA"/>
        </w:rPr>
        <w:t>Мал. 3.56 Регрес лабораторних показників у хворих на ХП і ЦД 2 типу з виявленими плазмідними механізмами резистентності залежно від типу виявлених генів.</w:t>
      </w:r>
      <w:r w:rsidRPr="00807701">
        <w:rPr>
          <w:sz w:val="28"/>
          <w:szCs w:val="28"/>
          <w:lang w:val="uk-UA"/>
        </w:rPr>
        <w:t xml:space="preserve">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аналізі клінічної ефективності АБТ у хворих з виявленими плазмідними генами резистентності залежно від виду АБП, у пацієнтів з виявленими </w:t>
      </w:r>
      <w:r w:rsidRPr="00807701">
        <w:rPr>
          <w:rFonts w:cstheme="minorHAnsi"/>
          <w:sz w:val="28"/>
          <w:szCs w:val="28"/>
          <w:lang w:val="uk-UA"/>
        </w:rPr>
        <w:t>β</w:t>
      </w:r>
      <w:r w:rsidRPr="00807701">
        <w:rPr>
          <w:sz w:val="28"/>
          <w:szCs w:val="28"/>
          <w:lang w:val="uk-UA"/>
        </w:rPr>
        <w:t xml:space="preserve">-лактамазами розширеного спектру дії, найкращий клінічний ефект на 3-тю добу лікування продемонстрували аміноглікозиди (регрес клінічних симптомів у 50% пацієнтів) та </w:t>
      </w:r>
      <w:r w:rsidRPr="00807701">
        <w:rPr>
          <w:rFonts w:cstheme="minorHAnsi"/>
          <w:sz w:val="28"/>
          <w:szCs w:val="28"/>
          <w:lang w:val="uk-UA"/>
        </w:rPr>
        <w:t>β</w:t>
      </w:r>
      <w:r w:rsidRPr="00807701">
        <w:rPr>
          <w:sz w:val="28"/>
          <w:szCs w:val="28"/>
          <w:lang w:val="uk-UA"/>
        </w:rPr>
        <w:t xml:space="preserve">-лактами (регрес клінічних </w:t>
      </w:r>
      <w:r w:rsidRPr="00807701">
        <w:rPr>
          <w:sz w:val="28"/>
          <w:szCs w:val="28"/>
          <w:lang w:val="uk-UA"/>
        </w:rPr>
        <w:lastRenderedPageBreak/>
        <w:t xml:space="preserve">симптомів у 25% пацієнтів). На 5-ту добу, клінічні прояви захворювання зберігалися в групі А у 59% пацієнтів, групі В – у 45%, групі С – у 55%. На 7-му добу АБТ, клінічні прояви захворювання зустрічалися в групі А у 38% пацієнтів, групі В – у 10%, групі С – у 35% хворих. При виписці, сприятливий клінічний результат у хворих з виявленими плазмідними </w:t>
      </w:r>
      <w:r w:rsidRPr="00807701">
        <w:rPr>
          <w:rFonts w:cstheme="minorHAnsi"/>
          <w:sz w:val="28"/>
          <w:szCs w:val="28"/>
          <w:lang w:val="uk-UA"/>
        </w:rPr>
        <w:t>β</w:t>
      </w:r>
      <w:r w:rsidRPr="00807701">
        <w:rPr>
          <w:sz w:val="28"/>
          <w:szCs w:val="28"/>
          <w:lang w:val="uk-UA"/>
        </w:rPr>
        <w:t>ЛРС мав місце в групах А, В, С, у 87%, 95%, та 85% пацієнтів відповідно, що було передумовою для подовження лікування амбулаторно (малюнок 3.57).</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У хворих на ХП і ЦД 2 типу з виявленими плазмід-індукованими механізмами резистентності до фторхінолонів, найкращий клінічний ефект на 3-тю добу лікування продемонстрували фторхінолони (регрес клінічних симптомів у 17% пацієнтів) та комбінація фторхінолонів та </w:t>
      </w:r>
      <w:r w:rsidRPr="00807701">
        <w:rPr>
          <w:rFonts w:cstheme="minorHAnsi"/>
          <w:sz w:val="28"/>
          <w:szCs w:val="28"/>
          <w:lang w:val="uk-UA"/>
        </w:rPr>
        <w:t>β</w:t>
      </w:r>
      <w:r w:rsidRPr="00807701">
        <w:rPr>
          <w:sz w:val="28"/>
          <w:szCs w:val="28"/>
          <w:lang w:val="uk-UA"/>
        </w:rPr>
        <w:t xml:space="preserve">-лактамів (регрес клінічних симптомів у 8% пацієнтів). На 5-ту добу, клінічні прояви захворювання зберігалися в групі А у 50% пацієнтів, групі В – у 55%, групі С – у 44%. На 7-му добу АБТ, клінічні прояви захворювання зустрічалися в групі А у 50% пацієнтів, групі В – у 35%, групі С – у 28% хворих. При виписці, сприятливий клінічний результат у хворих з виявленими плазмідними </w:t>
      </w:r>
      <w:r w:rsidRPr="00807701">
        <w:rPr>
          <w:rFonts w:cstheme="minorHAnsi"/>
          <w:sz w:val="28"/>
          <w:szCs w:val="28"/>
          <w:lang w:val="uk-UA"/>
        </w:rPr>
        <w:t>генами резистентності до фторхінолонів</w:t>
      </w:r>
      <w:r w:rsidRPr="00807701">
        <w:rPr>
          <w:sz w:val="28"/>
          <w:szCs w:val="28"/>
          <w:lang w:val="uk-UA"/>
        </w:rPr>
        <w:t xml:space="preserve"> мав місце в групах А, В, С у 83%, 85%, 86% пацієнтів відповідно (малюнок 3.58).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0111F9E0" wp14:editId="29ABAE9D">
            <wp:extent cx="5486400" cy="3200400"/>
            <wp:effectExtent l="0" t="57150" r="0" b="114300"/>
            <wp:docPr id="61" name="Схема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lastRenderedPageBreak/>
        <w:t>Мал. 3.58 Регрес клінічних симптомів у хворих з виявленими плазмід-індукованими механізмами резистентності в залежності від виду емпіричної АБТ.</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вивченні регресу лабораторних показників у хворих з виявленими генами стійкості залежно від виду емпіричного АБП продемонстровано на малюнку 6.13. У пацієнтів з виявленими </w:t>
      </w:r>
      <w:r w:rsidRPr="00807701">
        <w:rPr>
          <w:rFonts w:cstheme="minorHAnsi"/>
          <w:sz w:val="28"/>
          <w:szCs w:val="28"/>
          <w:lang w:val="uk-UA"/>
        </w:rPr>
        <w:t>β</w:t>
      </w:r>
      <w:r w:rsidRPr="00807701">
        <w:rPr>
          <w:sz w:val="28"/>
          <w:szCs w:val="28"/>
          <w:lang w:val="uk-UA"/>
        </w:rPr>
        <w:t xml:space="preserve">ЛРС, в динаміці АБТ, регрес лабораторних маркерів мав місце в групі В у 20% хворих, в групі С – у 30% пацієнтів. Тоді як у хворих з виявленими плазмідними генами резистентності до фторхінолонів, найкращий клінічний результат в динаміці АБТ продемонструвала комбінація фторхінолонів та </w:t>
      </w:r>
      <w:r w:rsidRPr="00807701">
        <w:rPr>
          <w:rFonts w:cstheme="minorHAnsi"/>
          <w:sz w:val="28"/>
          <w:szCs w:val="28"/>
          <w:lang w:val="uk-UA"/>
        </w:rPr>
        <w:t>β</w:t>
      </w:r>
      <w:r w:rsidRPr="00807701">
        <w:rPr>
          <w:sz w:val="28"/>
          <w:szCs w:val="28"/>
          <w:lang w:val="uk-UA"/>
        </w:rPr>
        <w:t xml:space="preserve">-лактамів (регрес лабораторних маркерів був виявлен у 42% пацієнтів), малюнок 3.59. </w:t>
      </w:r>
    </w:p>
    <w:p w:rsidR="00807701" w:rsidRPr="00807701" w:rsidRDefault="00807701" w:rsidP="00807701">
      <w:pPr>
        <w:spacing w:after="0" w:line="360" w:lineRule="auto"/>
        <w:ind w:firstLine="709"/>
        <w:jc w:val="both"/>
        <w:rPr>
          <w:sz w:val="28"/>
          <w:szCs w:val="28"/>
          <w:lang w:val="en-US"/>
        </w:rPr>
      </w:pPr>
      <w:r w:rsidRPr="00807701">
        <w:rPr>
          <w:noProof/>
          <w:sz w:val="28"/>
          <w:szCs w:val="28"/>
          <w:lang w:eastAsia="ru-RU"/>
        </w:rPr>
        <w:drawing>
          <wp:inline distT="0" distB="0" distL="0" distR="0" wp14:anchorId="12897C7B" wp14:editId="3F7933EE">
            <wp:extent cx="5486400" cy="3200400"/>
            <wp:effectExtent l="0" t="57150" r="0" b="114300"/>
            <wp:docPr id="62" name="Схема 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9" r:lo="rId110" r:qs="rId111" r:cs="rId112"/>
              </a:graphicData>
            </a:graphic>
          </wp:inline>
        </w:drawing>
      </w:r>
    </w:p>
    <w:p w:rsidR="00807701" w:rsidRPr="00807701" w:rsidRDefault="00807701" w:rsidP="00807701">
      <w:pPr>
        <w:spacing w:line="360" w:lineRule="auto"/>
        <w:ind w:firstLine="709"/>
        <w:jc w:val="both"/>
        <w:rPr>
          <w:sz w:val="28"/>
          <w:szCs w:val="28"/>
          <w:lang w:val="uk-UA"/>
        </w:rPr>
      </w:pPr>
      <w:r w:rsidRPr="00807701">
        <w:rPr>
          <w:sz w:val="24"/>
          <w:szCs w:val="24"/>
          <w:lang w:val="uk-UA"/>
        </w:rPr>
        <w:t>Мал. 3.59</w:t>
      </w:r>
      <w:r w:rsidRPr="00807701">
        <w:rPr>
          <w:sz w:val="28"/>
          <w:szCs w:val="28"/>
          <w:lang w:val="uk-UA"/>
        </w:rPr>
        <w:t xml:space="preserve"> </w:t>
      </w:r>
      <w:r w:rsidRPr="00807701">
        <w:rPr>
          <w:sz w:val="24"/>
          <w:szCs w:val="24"/>
          <w:lang w:val="uk-UA"/>
        </w:rPr>
        <w:t>Регрес лабораторних показників у хворих з виявленими плазмід-індукованими механізмами резистентності в залежності від виду емпіричної АБТ.</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У пацієнтів з виявленими плазмідними генами стійкості, тривалість АБТ була достовірно вище (р</w:t>
      </w:r>
      <w:r w:rsidRPr="00807701">
        <w:rPr>
          <w:rFonts w:cstheme="minorHAnsi"/>
          <w:sz w:val="28"/>
          <w:szCs w:val="28"/>
          <w:lang w:val="uk-UA"/>
        </w:rPr>
        <w:t>≤</w:t>
      </w:r>
      <w:r w:rsidRPr="00807701">
        <w:rPr>
          <w:sz w:val="28"/>
          <w:szCs w:val="28"/>
          <w:lang w:val="uk-UA"/>
        </w:rPr>
        <w:t>0,05) ніж у пацієнтів без генів резистентності, що демонструє необхідність раціонального підбору АБТ у хворих з наявністю факторів ризику та/або інфекцією, спричиненою бактеріями з плазмідними механізмами резистентності (малюнок 3.60).</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63D64495" wp14:editId="2E11ECC2">
            <wp:extent cx="5486400" cy="3200400"/>
            <wp:effectExtent l="0" t="0" r="19050" b="1905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3.60 Тривалість АБТ у хворих на ХП і ЦД 2 типу залежно від наявності плазмід-індукованих механізмів резистентності.</w:t>
      </w:r>
      <w:r w:rsidRPr="00807701">
        <w:rPr>
          <w:sz w:val="28"/>
          <w:szCs w:val="28"/>
          <w:lang w:val="uk-UA"/>
        </w:rPr>
        <w:t xml:space="preserve">  </w:t>
      </w:r>
    </w:p>
    <w:p w:rsidR="00807701" w:rsidRPr="00807701" w:rsidRDefault="00807701" w:rsidP="00807701">
      <w:pPr>
        <w:spacing w:line="360" w:lineRule="auto"/>
        <w:ind w:firstLine="709"/>
        <w:jc w:val="both"/>
        <w:rPr>
          <w:sz w:val="28"/>
          <w:szCs w:val="28"/>
          <w:lang w:val="uk-UA"/>
        </w:rPr>
      </w:pPr>
      <w:r w:rsidRPr="00807701">
        <w:rPr>
          <w:sz w:val="28"/>
          <w:szCs w:val="28"/>
          <w:lang w:val="uk-UA"/>
        </w:rPr>
        <w:t xml:space="preserve">Отже, у хворих на ХП і супутній ЦД 2 типу з виявленими плазмід-індукованими механізмами резистентності спостерігається зниження клінічної ефективності АБТ, що проявляється повільним регресом клінічних симптомів і лабораторних показників та подовженням строків госпіталізації. Найкращий клінічний ефект у хворих з виявленими плазмідними </w:t>
      </w:r>
      <w:r w:rsidRPr="00807701">
        <w:rPr>
          <w:rFonts w:cstheme="minorHAnsi"/>
          <w:sz w:val="28"/>
          <w:szCs w:val="28"/>
          <w:lang w:val="uk-UA"/>
        </w:rPr>
        <w:t>β</w:t>
      </w:r>
      <w:r w:rsidRPr="00807701">
        <w:rPr>
          <w:sz w:val="28"/>
          <w:szCs w:val="28"/>
          <w:lang w:val="uk-UA"/>
        </w:rPr>
        <w:t xml:space="preserve">ЛРС продемонстрували аміноглікозиди, </w:t>
      </w:r>
      <w:r w:rsidRPr="00807701">
        <w:rPr>
          <w:rFonts w:cstheme="minorHAnsi"/>
          <w:sz w:val="28"/>
          <w:szCs w:val="28"/>
          <w:lang w:val="uk-UA"/>
        </w:rPr>
        <w:t>β</w:t>
      </w:r>
      <w:r w:rsidRPr="00807701">
        <w:rPr>
          <w:sz w:val="28"/>
          <w:szCs w:val="28"/>
          <w:lang w:val="uk-UA"/>
        </w:rPr>
        <w:t xml:space="preserve">-лактами та фторхінолони, тоді як у пацієнтів з виявленими генами стійкості до фторхінолонів – найефективнішою визнана комбінація цефалоспоринів/фторхінолонів. Таким чином, ці препарати можна рекомендувати в якості емпіричної АБТ у хворих з наявністю факторів ризику інфекції, спричиненої бактеріями з плазмідними механізмами резистентності.   </w:t>
      </w:r>
    </w:p>
    <w:p w:rsidR="00807701" w:rsidRPr="00807701" w:rsidRDefault="00807701" w:rsidP="00807701">
      <w:pPr>
        <w:spacing w:line="360" w:lineRule="auto"/>
        <w:ind w:firstLine="709"/>
        <w:jc w:val="both"/>
        <w:rPr>
          <w:b/>
          <w:sz w:val="28"/>
          <w:szCs w:val="28"/>
          <w:lang w:val="uk-UA"/>
        </w:rPr>
      </w:pPr>
      <w:r w:rsidRPr="00807701">
        <w:rPr>
          <w:b/>
          <w:sz w:val="28"/>
          <w:szCs w:val="28"/>
          <w:lang w:val="uk-UA"/>
        </w:rPr>
        <w:t>3.4.2 Оцінка бактеріологічної ефективності АБТ у хворих на ХП і ЦД 2 типу.</w:t>
      </w:r>
    </w:p>
    <w:p w:rsidR="00807701" w:rsidRPr="00807701" w:rsidRDefault="00807701" w:rsidP="00807701">
      <w:pPr>
        <w:spacing w:after="0" w:line="360" w:lineRule="auto"/>
        <w:ind w:firstLine="709"/>
        <w:jc w:val="both"/>
        <w:rPr>
          <w:rFonts w:cstheme="minorHAnsi"/>
          <w:sz w:val="28"/>
          <w:szCs w:val="28"/>
          <w:lang w:val="uk-UA"/>
        </w:rPr>
      </w:pPr>
      <w:r w:rsidRPr="00807701">
        <w:rPr>
          <w:sz w:val="28"/>
          <w:szCs w:val="28"/>
          <w:lang w:val="uk-UA"/>
        </w:rPr>
        <w:t>Бактеріологічна ефективність АБТ оцінювалася в ідентифікації збудника до і після лікування. До лікування, з</w:t>
      </w:r>
      <w:r w:rsidRPr="00807701">
        <w:rPr>
          <w:rFonts w:cstheme="minorHAnsi"/>
          <w:sz w:val="28"/>
          <w:szCs w:val="28"/>
          <w:lang w:val="uk-UA"/>
        </w:rPr>
        <w:t xml:space="preserve">а результатами бактеріологічного дослідження сечі, було виділено 92 патогенних збудників: </w:t>
      </w:r>
      <w:r w:rsidRPr="00807701">
        <w:rPr>
          <w:rFonts w:cstheme="minorHAnsi"/>
          <w:sz w:val="28"/>
          <w:szCs w:val="28"/>
          <w:lang w:val="uk-UA"/>
        </w:rPr>
        <w:lastRenderedPageBreak/>
        <w:t>60 штамів (65,2%) Грам-негативної флори, 28 (30,4%) – Грам-позитивні бактерії та 4 (4,3%) бактерій грибкової флори. Після лікування, повна ерадикація збудника мала місце у 80 (76,2%) пацієнтів (малюнок 3.61), тоді як у 25 (23,8%) пацієнтів виявилося 21 штам Грам-негативної флори та 7 штамів – Грам-позитивної флори.</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b/>
          <w:noProof/>
          <w:sz w:val="28"/>
          <w:szCs w:val="28"/>
          <w:lang w:eastAsia="ru-RU"/>
        </w:rPr>
        <w:drawing>
          <wp:inline distT="0" distB="0" distL="0" distR="0" wp14:anchorId="13E6BDFE" wp14:editId="161365DC">
            <wp:extent cx="5486400" cy="2646609"/>
            <wp:effectExtent l="0" t="0" r="19050" b="20955"/>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807701" w:rsidRPr="00807701" w:rsidRDefault="00807701" w:rsidP="00807701">
      <w:pPr>
        <w:spacing w:line="360" w:lineRule="auto"/>
        <w:ind w:firstLine="709"/>
        <w:jc w:val="both"/>
        <w:rPr>
          <w:rFonts w:cstheme="minorHAnsi"/>
          <w:sz w:val="24"/>
          <w:szCs w:val="24"/>
          <w:lang w:val="uk-UA"/>
        </w:rPr>
      </w:pPr>
      <w:r w:rsidRPr="00807701">
        <w:rPr>
          <w:rFonts w:cstheme="minorHAnsi"/>
          <w:sz w:val="24"/>
          <w:szCs w:val="24"/>
          <w:lang w:val="uk-UA"/>
        </w:rPr>
        <w:t xml:space="preserve">Мал. 3.61 Бактеріологічна ефективність АБТ у хворих (%) на ХП.  </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sz w:val="28"/>
          <w:szCs w:val="28"/>
          <w:lang w:val="uk-UA"/>
        </w:rPr>
        <w:t xml:space="preserve">   У хворих на ХП і супутній ЦД 2 типу спостерігається зниження бактеріологічної ефективності АБТ і повна ерадикація збудника після лікування мала місце тільки у 21 (65,6%) хворого. Тоді як у пацієнтів без діабету – бактеріологічна ефективність АБТ була достовірно вище і повна ерадикація збудника була виявлена у 59 (80,8%) пацієнтів (малюнок 3.62).</w:t>
      </w:r>
    </w:p>
    <w:p w:rsidR="00807701" w:rsidRPr="00807701" w:rsidRDefault="00807701" w:rsidP="00807701">
      <w:pPr>
        <w:spacing w:after="0" w:line="360" w:lineRule="auto"/>
        <w:ind w:firstLine="709"/>
        <w:jc w:val="both"/>
        <w:rPr>
          <w:rFonts w:cstheme="minorHAnsi"/>
          <w:sz w:val="28"/>
          <w:szCs w:val="28"/>
          <w:lang w:val="uk-UA"/>
        </w:rPr>
      </w:pPr>
      <w:r w:rsidRPr="00807701">
        <w:rPr>
          <w:noProof/>
          <w:sz w:val="28"/>
          <w:szCs w:val="28"/>
          <w:lang w:eastAsia="ru-RU"/>
        </w:rPr>
        <w:drawing>
          <wp:inline distT="0" distB="0" distL="0" distR="0" wp14:anchorId="0D23FCF8" wp14:editId="38AC6393">
            <wp:extent cx="5486400" cy="2434107"/>
            <wp:effectExtent l="0" t="0" r="19050" b="23495"/>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807701" w:rsidRPr="00807701" w:rsidRDefault="00807701" w:rsidP="00807701">
      <w:pPr>
        <w:spacing w:line="360" w:lineRule="auto"/>
        <w:ind w:firstLine="709"/>
        <w:jc w:val="both"/>
        <w:rPr>
          <w:rFonts w:cstheme="minorHAnsi"/>
          <w:sz w:val="24"/>
          <w:szCs w:val="24"/>
          <w:lang w:val="uk-UA"/>
        </w:rPr>
      </w:pPr>
      <w:r w:rsidRPr="00807701">
        <w:rPr>
          <w:rFonts w:cstheme="minorHAnsi"/>
          <w:sz w:val="24"/>
          <w:szCs w:val="24"/>
          <w:lang w:val="uk-UA"/>
        </w:rPr>
        <w:lastRenderedPageBreak/>
        <w:t>Мал. 3.62 Бактеріологічна ефективність АБТ у хворих (%) на ХП з і без супутнього ЦД 2 типу.</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sz w:val="28"/>
          <w:szCs w:val="28"/>
          <w:lang w:val="uk-UA"/>
        </w:rPr>
        <w:t xml:space="preserve">При аналізі бактеріологічної ефективності АБТ в залежності від виду отриманого емпіричного АБП, встановлено, що найкращу інгібуючу активність проти уропатогенів </w:t>
      </w:r>
      <w:r w:rsidRPr="00807701">
        <w:rPr>
          <w:rFonts w:cstheme="minorHAnsi"/>
          <w:sz w:val="28"/>
          <w:szCs w:val="28"/>
          <w:lang w:val="en-US"/>
        </w:rPr>
        <w:t>in</w:t>
      </w:r>
      <w:r w:rsidRPr="00807701">
        <w:rPr>
          <w:rFonts w:cstheme="minorHAnsi"/>
          <w:sz w:val="28"/>
          <w:szCs w:val="28"/>
          <w:lang w:val="uk-UA"/>
        </w:rPr>
        <w:t xml:space="preserve"> </w:t>
      </w:r>
      <w:r w:rsidRPr="00807701">
        <w:rPr>
          <w:rFonts w:cstheme="minorHAnsi"/>
          <w:sz w:val="28"/>
          <w:szCs w:val="28"/>
          <w:lang w:val="en-US"/>
        </w:rPr>
        <w:t>vivo</w:t>
      </w:r>
      <w:r w:rsidRPr="00807701">
        <w:rPr>
          <w:rFonts w:cstheme="minorHAnsi"/>
          <w:sz w:val="28"/>
          <w:szCs w:val="28"/>
          <w:lang w:val="uk-UA"/>
        </w:rPr>
        <w:t xml:space="preserve"> проявили фторхінолони та цефалоспорини. Повна ерадикація збудника після лікування в групі хворих, що получали аміноглікозиди, мала місце тільки у 20% осіб (малюнок 3.63).</w:t>
      </w:r>
    </w:p>
    <w:p w:rsidR="00807701" w:rsidRPr="00807701" w:rsidRDefault="00807701" w:rsidP="00807701">
      <w:pPr>
        <w:spacing w:after="0" w:line="360" w:lineRule="auto"/>
        <w:ind w:firstLine="709"/>
        <w:jc w:val="both"/>
        <w:rPr>
          <w:rFonts w:cstheme="minorHAnsi"/>
          <w:sz w:val="28"/>
          <w:szCs w:val="28"/>
          <w:lang w:val="uk-UA"/>
        </w:rPr>
      </w:pPr>
      <w:r w:rsidRPr="00807701">
        <w:rPr>
          <w:rFonts w:cstheme="minorHAnsi"/>
          <w:noProof/>
          <w:sz w:val="28"/>
          <w:szCs w:val="28"/>
          <w:lang w:eastAsia="ru-RU"/>
        </w:rPr>
        <w:drawing>
          <wp:inline distT="0" distB="0" distL="0" distR="0" wp14:anchorId="5C8CEF5F" wp14:editId="25C800BB">
            <wp:extent cx="5486400" cy="2955702"/>
            <wp:effectExtent l="0" t="0" r="19050" b="1651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807701" w:rsidRPr="00807701" w:rsidRDefault="00807701" w:rsidP="00807701">
      <w:pPr>
        <w:spacing w:line="360" w:lineRule="auto"/>
        <w:ind w:firstLine="709"/>
        <w:jc w:val="both"/>
        <w:rPr>
          <w:rFonts w:cstheme="minorHAnsi"/>
          <w:sz w:val="24"/>
          <w:szCs w:val="24"/>
          <w:lang w:val="uk-UA"/>
        </w:rPr>
      </w:pPr>
      <w:r w:rsidRPr="00807701">
        <w:rPr>
          <w:rFonts w:cstheme="minorHAnsi"/>
          <w:sz w:val="24"/>
          <w:szCs w:val="24"/>
          <w:lang w:val="uk-UA"/>
        </w:rPr>
        <w:t>Мал. 3.63 Бактеріологічна ефективність АБТ у хворих (%) на ХП і ЦД 2 типу в залежності від виду емпіричного АБТ.</w:t>
      </w:r>
    </w:p>
    <w:p w:rsidR="00807701" w:rsidRPr="00807701" w:rsidRDefault="00807701" w:rsidP="00807701">
      <w:pPr>
        <w:spacing w:line="360" w:lineRule="auto"/>
        <w:ind w:firstLine="709"/>
        <w:jc w:val="both"/>
        <w:rPr>
          <w:rFonts w:cstheme="minorHAnsi"/>
          <w:sz w:val="28"/>
          <w:szCs w:val="28"/>
          <w:lang w:val="uk-UA"/>
        </w:rPr>
      </w:pPr>
      <w:r w:rsidRPr="00807701">
        <w:rPr>
          <w:rFonts w:cstheme="minorHAnsi"/>
          <w:sz w:val="28"/>
          <w:szCs w:val="28"/>
          <w:lang w:val="uk-UA"/>
        </w:rPr>
        <w:t xml:space="preserve">Отже, спостерігається зниження бактеріологічної ефективності емпіричної АБТ у хворих на ХП, особливо на тлі ЦД 2 типу, що проявляється відсутністю ерадикації збудника ХП в динаміці АБТ. Зниження ефективності лікування призводить до необхідності подовження строків АБТ і, в деяких випадках, заміни АБП. Найкращий бактеріологічний ефекти </w:t>
      </w:r>
      <w:r w:rsidRPr="00807701">
        <w:rPr>
          <w:rFonts w:cstheme="minorHAnsi"/>
          <w:sz w:val="28"/>
          <w:szCs w:val="28"/>
          <w:lang w:val="en-US"/>
        </w:rPr>
        <w:t>in</w:t>
      </w:r>
      <w:r w:rsidRPr="00807701">
        <w:rPr>
          <w:rFonts w:cstheme="minorHAnsi"/>
          <w:sz w:val="28"/>
          <w:szCs w:val="28"/>
          <w:lang w:val="uk-UA"/>
        </w:rPr>
        <w:t xml:space="preserve"> </w:t>
      </w:r>
      <w:r w:rsidRPr="00807701">
        <w:rPr>
          <w:rFonts w:cstheme="minorHAnsi"/>
          <w:sz w:val="28"/>
          <w:szCs w:val="28"/>
          <w:lang w:val="en-US"/>
        </w:rPr>
        <w:t>vivo</w:t>
      </w:r>
      <w:r w:rsidRPr="00807701">
        <w:rPr>
          <w:rFonts w:cstheme="minorHAnsi"/>
          <w:sz w:val="28"/>
          <w:szCs w:val="28"/>
          <w:lang w:val="uk-UA"/>
        </w:rPr>
        <w:t xml:space="preserve"> проявили фторхінолони та цефалоспорини, тому ці препарати можна рекомендувати у якості емпіричної АБТ хворих на ХП з і без супутнього ЦД 2 типу.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При аналізі впливу плазмід-індукованих механізмів резистентності на бактеріологічну ефективність АБТ хворих на ХП встановлено, що у пацієнтів з виявленими генами резистентності, повна ерадикація збудника після </w:t>
      </w:r>
      <w:r w:rsidRPr="00807701">
        <w:rPr>
          <w:sz w:val="28"/>
          <w:szCs w:val="28"/>
          <w:lang w:val="uk-UA"/>
        </w:rPr>
        <w:lastRenderedPageBreak/>
        <w:t>лікування мала місце у 16 (51,6%) хворого, тоді як у пацієнтів без генів стійкості – бактеріологічна ефективність була достовірно вище і повна ерадикація збудника була виявлена у 54 (72,9%), малюнок 3.64.</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589AA022" wp14:editId="3EFE223A">
            <wp:extent cx="5486400" cy="2807594"/>
            <wp:effectExtent l="0" t="0" r="19050" b="12065"/>
            <wp:docPr id="6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Мал. 3.64 Бактеріологічна ефективність АБТ у хворих на ХП і ЦД 2 типу в залежності від наявності плазмід-індукованих механізмів резистентності.</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У пацієнтів з виявленими плазмідними генами резистентності спостерігається зниження бактеріологічної ефективності АБТ як у хворих із супутнім ЦД 2 типу, так і без останнього. Повна ерадикація збудника у хворих з виявленими генами резистентності становила 61% для хворих без діабету і тільки 25% - для пацієнтів на ХП і супутній ЦД 2 типу. Тоді як у пацієнтів без генів резистентності, повна ерадикація збудника була достовірно вище і мала місце у 90% хворих на ХП без діабету і у 79% - із ХП і ЦД 2 типу (малюнок 3.65). </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lastRenderedPageBreak/>
        <w:drawing>
          <wp:inline distT="0" distB="0" distL="0" distR="0" wp14:anchorId="4826E8AB" wp14:editId="17B8B659">
            <wp:extent cx="5486400" cy="2891307"/>
            <wp:effectExtent l="0" t="0" r="19050" b="23495"/>
            <wp:docPr id="68" name="Диаграмма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 xml:space="preserve">Мал. 3.65 Бактеріологічна ефективність АБТ хворих (%) на ХП з і без супутнього ЦД 2 типу в залежності від наявності плазмід-індукованих механізмів резистентності.  </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При аналізі бактеріологічної ефективності АБТ у хворих з виявленими плазмідними генами резистентності залежно від виду АБП, встановлено найбільший інгібуючий ефект в групі С та В. У пацієнти, що отримували аміноглікозиди, спостерігається відсутність бактеріологічної ефективності, що було підставою для подовження АБТ та/або заміни АБП (малюнок 3.66).</w:t>
      </w:r>
    </w:p>
    <w:p w:rsidR="00807701" w:rsidRPr="00807701" w:rsidRDefault="00807701" w:rsidP="00807701">
      <w:pPr>
        <w:spacing w:after="0" w:line="360" w:lineRule="auto"/>
        <w:ind w:firstLine="709"/>
        <w:jc w:val="both"/>
        <w:rPr>
          <w:sz w:val="28"/>
          <w:szCs w:val="28"/>
          <w:lang w:val="uk-UA"/>
        </w:rPr>
      </w:pPr>
      <w:r w:rsidRPr="00807701">
        <w:rPr>
          <w:noProof/>
          <w:sz w:val="28"/>
          <w:szCs w:val="28"/>
          <w:lang w:eastAsia="ru-RU"/>
        </w:rPr>
        <w:drawing>
          <wp:inline distT="0" distB="0" distL="0" distR="0" wp14:anchorId="1A923C58" wp14:editId="7721AB3F">
            <wp:extent cx="5486400" cy="2859110"/>
            <wp:effectExtent l="0" t="0" r="19050" b="17780"/>
            <wp:docPr id="69" name="Диаграмма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807701" w:rsidRPr="00807701" w:rsidRDefault="00807701" w:rsidP="00807701">
      <w:pPr>
        <w:spacing w:line="360" w:lineRule="auto"/>
        <w:ind w:firstLine="709"/>
        <w:jc w:val="both"/>
        <w:rPr>
          <w:sz w:val="24"/>
          <w:szCs w:val="24"/>
          <w:lang w:val="uk-UA"/>
        </w:rPr>
      </w:pPr>
      <w:r w:rsidRPr="00807701">
        <w:rPr>
          <w:sz w:val="24"/>
          <w:szCs w:val="24"/>
          <w:lang w:val="uk-UA"/>
        </w:rPr>
        <w:t xml:space="preserve">Мал. 3.66 Бактеріологічна ефективність АБТ у хворих з виявленими плазмід-індукованими механізмами резистентності залежно від виду емпіричного АБП. </w:t>
      </w:r>
    </w:p>
    <w:p w:rsidR="00807701" w:rsidRPr="00807701" w:rsidRDefault="00807701" w:rsidP="00807701">
      <w:pPr>
        <w:spacing w:line="360" w:lineRule="auto"/>
        <w:ind w:firstLine="709"/>
        <w:jc w:val="both"/>
        <w:rPr>
          <w:sz w:val="28"/>
          <w:szCs w:val="28"/>
          <w:lang w:val="uk-UA"/>
        </w:rPr>
      </w:pPr>
      <w:r w:rsidRPr="00807701">
        <w:rPr>
          <w:sz w:val="28"/>
          <w:szCs w:val="28"/>
          <w:lang w:val="uk-UA"/>
        </w:rPr>
        <w:lastRenderedPageBreak/>
        <w:t>Отже</w:t>
      </w:r>
      <w:r w:rsidRPr="00807701">
        <w:rPr>
          <w:sz w:val="24"/>
          <w:szCs w:val="24"/>
          <w:lang w:val="uk-UA"/>
        </w:rPr>
        <w:t xml:space="preserve">, </w:t>
      </w:r>
      <w:r w:rsidRPr="00807701">
        <w:rPr>
          <w:sz w:val="28"/>
          <w:szCs w:val="28"/>
          <w:lang w:val="uk-UA"/>
        </w:rPr>
        <w:t>спостерігається зниження бактеріологічної ефективності АБТ у хворих з виявленими плазмід-індукованими механізмами резистентності. Це явище було характерно як для пацієнтів із ХП і супутнім ЦД 2 типу, так і без останнього. Найвищу бактеріологічну ефективність у пацієнтів з виявленими плазмідними генами стійкості проявили цефалоспорини та комбінація фторхінолонів та цефалоспоринів, тому ці препарати можна рекомендувати у якості емпіричної АБТ у хворих з наявністю факторів ризику та/або інфекцією, спричиненою бактеріями з плазмідними механізмами резистентності.</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 xml:space="preserve">В нашому дослідженні спостерігається зниження клінічної та бактеріологічної ефективності АБТ у хворих з виявленими плазмід-індукованими механізмами резистентності, що проявляється повільним регресом клінічних симптомів і лабораторних показників у таких хворих та відсутністю повної ерадикації збудника після лікування, що є передумовою для подовження лікування та, в деяких випадках, заміни АБП. Отримані нами дані узгоджуються з результатами </w:t>
      </w:r>
      <w:r w:rsidRPr="00807701">
        <w:rPr>
          <w:rFonts w:cstheme="minorHAnsi"/>
          <w:color w:val="000000" w:themeColor="text1"/>
          <w:sz w:val="28"/>
          <w:szCs w:val="28"/>
          <w:lang w:val="en-US"/>
        </w:rPr>
        <w:t>Curello</w:t>
      </w:r>
      <w:r w:rsidRPr="00807701">
        <w:rPr>
          <w:rFonts w:cstheme="minorHAnsi"/>
          <w:color w:val="000000" w:themeColor="text1"/>
          <w:sz w:val="28"/>
          <w:szCs w:val="28"/>
          <w:lang w:val="uk-UA"/>
        </w:rPr>
        <w:t xml:space="preserve"> </w:t>
      </w:r>
      <w:r w:rsidRPr="00807701">
        <w:rPr>
          <w:rFonts w:cstheme="minorHAnsi"/>
          <w:color w:val="000000" w:themeColor="text1"/>
          <w:sz w:val="28"/>
          <w:szCs w:val="28"/>
          <w:lang w:val="en-US"/>
        </w:rPr>
        <w:t>J</w:t>
      </w:r>
      <w:r w:rsidRPr="00807701">
        <w:rPr>
          <w:rFonts w:cstheme="minorHAnsi"/>
          <w:color w:val="000000" w:themeColor="text1"/>
          <w:sz w:val="28"/>
          <w:szCs w:val="28"/>
          <w:lang w:val="uk-UA"/>
        </w:rPr>
        <w:t>. та спів</w:t>
      </w:r>
      <w:r w:rsidRPr="00807701">
        <w:rPr>
          <w:sz w:val="28"/>
          <w:szCs w:val="28"/>
          <w:lang w:val="uk-UA"/>
        </w:rPr>
        <w:t xml:space="preserve">авт., що демонструють несприятливий клінічний результат емпіричної терапії ІСС, спричиненої бактеріями з плазмідними механізмами резистентності </w:t>
      </w:r>
      <w:r w:rsidRPr="00807701">
        <w:rPr>
          <w:rFonts w:cstheme="minorHAnsi"/>
          <w:color w:val="000000" w:themeColor="text1"/>
          <w:sz w:val="28"/>
          <w:szCs w:val="28"/>
          <w:lang w:val="uk-UA"/>
        </w:rPr>
        <w:t>[30].</w:t>
      </w:r>
      <w:r w:rsidRPr="00807701">
        <w:rPr>
          <w:sz w:val="28"/>
          <w:szCs w:val="28"/>
          <w:lang w:val="uk-UA"/>
        </w:rPr>
        <w:t xml:space="preserve">  Встановлено, що у пацієнтів з виявленими плазмідними механізмами резистентності до </w:t>
      </w:r>
      <w:r w:rsidRPr="00807701">
        <w:rPr>
          <w:rFonts w:cstheme="minorHAnsi"/>
          <w:sz w:val="28"/>
          <w:szCs w:val="28"/>
          <w:lang w:val="uk-UA"/>
        </w:rPr>
        <w:t>β</w:t>
      </w:r>
      <w:r w:rsidRPr="00807701">
        <w:rPr>
          <w:sz w:val="28"/>
          <w:szCs w:val="28"/>
          <w:lang w:val="uk-UA"/>
        </w:rPr>
        <w:t xml:space="preserve">-лактамів, найбільшу інгібуючу активність </w:t>
      </w:r>
      <w:r w:rsidRPr="00807701">
        <w:rPr>
          <w:sz w:val="28"/>
          <w:szCs w:val="28"/>
          <w:lang w:val="en-US"/>
        </w:rPr>
        <w:t>in</w:t>
      </w:r>
      <w:r w:rsidRPr="00807701">
        <w:rPr>
          <w:sz w:val="28"/>
          <w:szCs w:val="28"/>
          <w:lang w:val="uk-UA"/>
        </w:rPr>
        <w:t xml:space="preserve"> </w:t>
      </w:r>
      <w:r w:rsidRPr="00807701">
        <w:rPr>
          <w:sz w:val="28"/>
          <w:szCs w:val="28"/>
          <w:lang w:val="en-US"/>
        </w:rPr>
        <w:t>vivo</w:t>
      </w:r>
      <w:r w:rsidRPr="00807701">
        <w:rPr>
          <w:sz w:val="28"/>
          <w:szCs w:val="28"/>
          <w:lang w:val="uk-UA"/>
        </w:rPr>
        <w:t xml:space="preserve"> проявляють фторхінолони, </w:t>
      </w:r>
      <w:r w:rsidRPr="00807701">
        <w:rPr>
          <w:rFonts w:cstheme="minorHAnsi"/>
          <w:sz w:val="28"/>
          <w:szCs w:val="28"/>
          <w:lang w:val="uk-UA"/>
        </w:rPr>
        <w:t>β</w:t>
      </w:r>
      <w:r w:rsidRPr="00807701">
        <w:rPr>
          <w:sz w:val="28"/>
          <w:szCs w:val="28"/>
          <w:lang w:val="uk-UA"/>
        </w:rPr>
        <w:t xml:space="preserve">-лактами та аміноглікозиди, однак останні негативно впливають на базальну мембрану клубочків та функціональну здатність нирок. Отримані результати підтверджуються даними </w:t>
      </w:r>
      <w:r w:rsidRPr="00807701">
        <w:rPr>
          <w:rFonts w:eastAsia="Times New Roman" w:cstheme="minorHAnsi"/>
          <w:color w:val="000000" w:themeColor="text1"/>
          <w:sz w:val="28"/>
          <w:szCs w:val="28"/>
          <w:lang w:val="en-US" w:eastAsia="ru-RU"/>
        </w:rPr>
        <w:t>Frakking</w:t>
      </w:r>
      <w:r w:rsidRPr="00807701">
        <w:rPr>
          <w:rFonts w:eastAsia="Times New Roman" w:cstheme="minorHAnsi"/>
          <w:color w:val="000000" w:themeColor="text1"/>
          <w:sz w:val="28"/>
          <w:szCs w:val="28"/>
          <w:lang w:val="uk-UA" w:eastAsia="ru-RU"/>
        </w:rPr>
        <w:t xml:space="preserve"> </w:t>
      </w:r>
      <w:r w:rsidRPr="00807701">
        <w:rPr>
          <w:rFonts w:eastAsia="Times New Roman" w:cstheme="minorHAnsi"/>
          <w:color w:val="000000" w:themeColor="text1"/>
          <w:sz w:val="28"/>
          <w:szCs w:val="28"/>
          <w:lang w:val="en-US" w:eastAsia="ru-RU"/>
        </w:rPr>
        <w:t>FN</w:t>
      </w:r>
      <w:r w:rsidRPr="00807701">
        <w:rPr>
          <w:rFonts w:eastAsia="Times New Roman" w:cstheme="minorHAnsi"/>
          <w:color w:val="000000" w:themeColor="text1"/>
          <w:sz w:val="28"/>
          <w:szCs w:val="28"/>
          <w:lang w:val="uk-UA" w:eastAsia="ru-RU"/>
        </w:rPr>
        <w:t>.</w:t>
      </w:r>
      <w:r w:rsidRPr="00807701">
        <w:rPr>
          <w:rFonts w:cstheme="minorHAnsi"/>
          <w:sz w:val="28"/>
          <w:szCs w:val="28"/>
          <w:lang w:val="uk-UA"/>
        </w:rPr>
        <w:t xml:space="preserve"> і співавт., даними </w:t>
      </w:r>
      <w:r w:rsidRPr="00807701">
        <w:rPr>
          <w:rFonts w:cstheme="minorHAnsi"/>
          <w:sz w:val="28"/>
          <w:szCs w:val="28"/>
        </w:rPr>
        <w:t>Arne</w:t>
      </w:r>
      <w:r w:rsidRPr="00807701">
        <w:rPr>
          <w:rFonts w:cstheme="minorHAnsi"/>
          <w:sz w:val="28"/>
          <w:szCs w:val="28"/>
          <w:lang w:val="uk-UA"/>
        </w:rPr>
        <w:t xml:space="preserve"> </w:t>
      </w:r>
      <w:r w:rsidRPr="00807701">
        <w:rPr>
          <w:rFonts w:cstheme="minorHAnsi"/>
          <w:sz w:val="28"/>
          <w:szCs w:val="28"/>
        </w:rPr>
        <w:t>S</w:t>
      </w:r>
      <w:r w:rsidRPr="00807701">
        <w:rPr>
          <w:rFonts w:cstheme="minorHAnsi"/>
          <w:sz w:val="28"/>
          <w:szCs w:val="28"/>
          <w:lang w:val="uk-UA"/>
        </w:rPr>
        <w:t>ø</w:t>
      </w:r>
      <w:r w:rsidRPr="00807701">
        <w:rPr>
          <w:rFonts w:cstheme="minorHAnsi"/>
          <w:sz w:val="28"/>
          <w:szCs w:val="28"/>
        </w:rPr>
        <w:t>raas</w:t>
      </w:r>
      <w:r w:rsidRPr="00807701">
        <w:rPr>
          <w:rFonts w:cstheme="minorHAnsi"/>
          <w:sz w:val="28"/>
          <w:szCs w:val="28"/>
          <w:lang w:val="uk-UA"/>
        </w:rPr>
        <w:t xml:space="preserve"> та співвавт. [</w:t>
      </w:r>
      <w:r w:rsidRPr="00807701">
        <w:rPr>
          <w:rFonts w:eastAsia="Times New Roman" w:cstheme="minorHAnsi"/>
          <w:color w:val="000000" w:themeColor="text1"/>
          <w:sz w:val="28"/>
          <w:szCs w:val="28"/>
          <w:lang w:val="uk-UA" w:eastAsia="ru-RU"/>
        </w:rPr>
        <w:t>114, 42, ].</w:t>
      </w:r>
      <w:r w:rsidRPr="00807701">
        <w:rPr>
          <w:sz w:val="28"/>
          <w:szCs w:val="28"/>
          <w:lang w:val="uk-UA"/>
        </w:rPr>
        <w:t xml:space="preserve"> Щодо пацієнтів з виявленими плазмідними механізмами резистентності до фторхінолонів, найбільшу інгібуючу активність </w:t>
      </w:r>
      <w:r w:rsidRPr="00807701">
        <w:rPr>
          <w:sz w:val="28"/>
          <w:szCs w:val="28"/>
          <w:lang w:val="en-US"/>
        </w:rPr>
        <w:t>in</w:t>
      </w:r>
      <w:r w:rsidRPr="00807701">
        <w:rPr>
          <w:sz w:val="28"/>
          <w:szCs w:val="28"/>
          <w:lang w:val="uk-UA"/>
        </w:rPr>
        <w:t xml:space="preserve"> </w:t>
      </w:r>
      <w:r w:rsidRPr="00807701">
        <w:rPr>
          <w:sz w:val="28"/>
          <w:szCs w:val="28"/>
          <w:lang w:val="en-US"/>
        </w:rPr>
        <w:t>vivo</w:t>
      </w:r>
      <w:r w:rsidRPr="00807701">
        <w:rPr>
          <w:sz w:val="28"/>
          <w:szCs w:val="28"/>
          <w:lang w:val="uk-UA"/>
        </w:rPr>
        <w:t xml:space="preserve"> продемонструвала комбінація фторхінолони/цефалоспорини. Отримані результати підтверджуються даними </w:t>
      </w:r>
      <w:r w:rsidRPr="00807701">
        <w:rPr>
          <w:rFonts w:eastAsia="Times New Roman" w:cstheme="minorHAnsi"/>
          <w:sz w:val="28"/>
          <w:szCs w:val="28"/>
          <w:lang w:val="en-US" w:eastAsia="ru-RU"/>
        </w:rPr>
        <w:t>Longhi</w:t>
      </w:r>
      <w:r w:rsidRPr="00807701">
        <w:rPr>
          <w:rFonts w:eastAsia="Times New Roman" w:cstheme="minorHAnsi"/>
          <w:sz w:val="28"/>
          <w:szCs w:val="28"/>
          <w:lang w:val="uk-UA" w:eastAsia="ru-RU"/>
        </w:rPr>
        <w:t xml:space="preserve"> </w:t>
      </w:r>
      <w:r w:rsidRPr="00807701">
        <w:rPr>
          <w:rFonts w:eastAsia="Times New Roman" w:cstheme="minorHAnsi"/>
          <w:sz w:val="28"/>
          <w:szCs w:val="28"/>
          <w:lang w:val="en-US" w:eastAsia="ru-RU"/>
        </w:rPr>
        <w:t>C</w:t>
      </w:r>
      <w:r w:rsidRPr="00807701">
        <w:rPr>
          <w:rFonts w:eastAsia="Times New Roman" w:cstheme="minorHAnsi"/>
          <w:sz w:val="28"/>
          <w:szCs w:val="28"/>
          <w:lang w:val="uk-UA" w:eastAsia="ru-RU"/>
        </w:rPr>
        <w:t>. та соавт. про</w:t>
      </w:r>
      <w:r w:rsidRPr="00807701">
        <w:rPr>
          <w:sz w:val="28"/>
          <w:szCs w:val="28"/>
          <w:lang w:val="uk-UA"/>
        </w:rPr>
        <w:t xml:space="preserve"> високу ефективність </w:t>
      </w:r>
      <w:r w:rsidRPr="00807701">
        <w:rPr>
          <w:rFonts w:cstheme="minorHAnsi"/>
          <w:sz w:val="28"/>
          <w:szCs w:val="28"/>
          <w:lang w:val="uk-UA"/>
        </w:rPr>
        <w:t>β</w:t>
      </w:r>
      <w:r w:rsidRPr="00807701">
        <w:rPr>
          <w:sz w:val="28"/>
          <w:szCs w:val="28"/>
          <w:lang w:val="uk-UA"/>
        </w:rPr>
        <w:t xml:space="preserve">-лактамів у лікуванні ІСС, спричиненої бактеріями з плазмідними механізмами резистентності до фторхінолонів </w:t>
      </w:r>
      <w:r w:rsidRPr="00807701">
        <w:rPr>
          <w:rFonts w:cstheme="minorHAnsi"/>
          <w:sz w:val="28"/>
          <w:szCs w:val="28"/>
          <w:lang w:val="uk-UA"/>
        </w:rPr>
        <w:t>[</w:t>
      </w:r>
      <w:r w:rsidRPr="00807701">
        <w:rPr>
          <w:rFonts w:eastAsia="Times New Roman" w:cstheme="minorHAnsi"/>
          <w:sz w:val="28"/>
          <w:szCs w:val="28"/>
          <w:lang w:val="uk-UA" w:eastAsia="ru-RU"/>
        </w:rPr>
        <w:t>74]</w:t>
      </w:r>
      <w:r w:rsidRPr="00807701">
        <w:rPr>
          <w:sz w:val="28"/>
          <w:szCs w:val="28"/>
          <w:lang w:val="uk-UA"/>
        </w:rPr>
        <w:t xml:space="preserve">. Проте даних </w:t>
      </w:r>
      <w:r w:rsidRPr="00807701">
        <w:rPr>
          <w:sz w:val="28"/>
          <w:szCs w:val="28"/>
          <w:lang w:val="uk-UA"/>
        </w:rPr>
        <w:lastRenderedPageBreak/>
        <w:t xml:space="preserve">щодо високої ефективності комбінованого застосування </w:t>
      </w:r>
      <w:r w:rsidRPr="00807701">
        <w:rPr>
          <w:rFonts w:cstheme="minorHAnsi"/>
          <w:sz w:val="28"/>
          <w:szCs w:val="28"/>
          <w:lang w:val="uk-UA"/>
        </w:rPr>
        <w:t>β</w:t>
      </w:r>
      <w:r w:rsidRPr="00807701">
        <w:rPr>
          <w:sz w:val="28"/>
          <w:szCs w:val="28"/>
          <w:lang w:val="uk-UA"/>
        </w:rPr>
        <w:t>-лактамів/фторхінолонів проти бактерій з плазмідними механізмами резистентності до фторхінолонів, в світовій літературі нема. Щодо тривалості АБТ, у хворих з виявленими плазмід-індукованими механізмами резистентності, середня тривалість АБТ була достовірно вище (10,5 проти 8,4; р</w:t>
      </w:r>
      <w:r w:rsidRPr="00807701">
        <w:rPr>
          <w:rFonts w:cstheme="minorHAnsi"/>
          <w:sz w:val="28"/>
          <w:szCs w:val="28"/>
          <w:lang w:val="uk-UA"/>
        </w:rPr>
        <w:t>≤</w:t>
      </w:r>
      <w:r w:rsidRPr="00807701">
        <w:rPr>
          <w:sz w:val="28"/>
          <w:szCs w:val="28"/>
          <w:lang w:val="uk-UA"/>
        </w:rPr>
        <w:t xml:space="preserve">0,05). Одержані результати узгоджуються з даними дослідження </w:t>
      </w:r>
      <w:r w:rsidRPr="00807701">
        <w:rPr>
          <w:rFonts w:eastAsia="MyriadPro-Bold" w:cstheme="minorHAnsi"/>
          <w:bCs/>
          <w:sz w:val="28"/>
          <w:szCs w:val="28"/>
        </w:rPr>
        <w:t>Beyond</w:t>
      </w:r>
      <w:r w:rsidRPr="00807701">
        <w:rPr>
          <w:rFonts w:eastAsia="MyriadPro-Bold" w:cstheme="minorHAnsi"/>
          <w:bCs/>
          <w:sz w:val="28"/>
          <w:szCs w:val="28"/>
          <w:lang w:val="uk-UA"/>
        </w:rPr>
        <w:t xml:space="preserve"> </w:t>
      </w:r>
      <w:r w:rsidRPr="00807701">
        <w:rPr>
          <w:rFonts w:eastAsia="MyriadPro-Bold" w:cstheme="minorHAnsi"/>
          <w:bCs/>
          <w:sz w:val="28"/>
          <w:szCs w:val="28"/>
        </w:rPr>
        <w:t>Susceptible</w:t>
      </w:r>
      <w:r w:rsidRPr="00807701">
        <w:rPr>
          <w:rFonts w:eastAsia="MyriadPro-Bold" w:cstheme="minorHAnsi"/>
          <w:bCs/>
          <w:sz w:val="28"/>
          <w:szCs w:val="28"/>
          <w:lang w:val="uk-UA"/>
        </w:rPr>
        <w:t xml:space="preserve"> </w:t>
      </w:r>
      <w:r w:rsidRPr="00807701">
        <w:rPr>
          <w:rFonts w:eastAsia="MyriadPro-Bold" w:cstheme="minorHAnsi"/>
          <w:bCs/>
          <w:sz w:val="28"/>
          <w:szCs w:val="28"/>
        </w:rPr>
        <w:t>and</w:t>
      </w:r>
      <w:r w:rsidRPr="00807701">
        <w:rPr>
          <w:rFonts w:eastAsia="MyriadPro-Bold" w:cstheme="minorHAnsi"/>
          <w:bCs/>
          <w:sz w:val="28"/>
          <w:szCs w:val="28"/>
          <w:lang w:val="uk-UA"/>
        </w:rPr>
        <w:t xml:space="preserve"> </w:t>
      </w:r>
      <w:r w:rsidRPr="00807701">
        <w:rPr>
          <w:rFonts w:eastAsia="MyriadPro-Bold" w:cstheme="minorHAnsi"/>
          <w:bCs/>
          <w:sz w:val="28"/>
          <w:szCs w:val="28"/>
        </w:rPr>
        <w:t>Resistant</w:t>
      </w:r>
      <w:r w:rsidRPr="00807701">
        <w:rPr>
          <w:rFonts w:eastAsia="MyriadPro-Bold" w:cstheme="minorHAnsi"/>
          <w:bCs/>
          <w:sz w:val="28"/>
          <w:szCs w:val="28"/>
          <w:lang w:val="uk-UA"/>
        </w:rPr>
        <w:t xml:space="preserve">, </w:t>
      </w:r>
      <w:r w:rsidRPr="00807701">
        <w:rPr>
          <w:rFonts w:eastAsia="MyriadPro-Bold" w:cstheme="minorHAnsi"/>
          <w:bCs/>
          <w:sz w:val="28"/>
          <w:szCs w:val="28"/>
        </w:rPr>
        <w:t>Part</w:t>
      </w:r>
      <w:r w:rsidRPr="00807701">
        <w:rPr>
          <w:rFonts w:eastAsia="MyriadPro-Bold" w:cstheme="minorHAnsi"/>
          <w:bCs/>
          <w:sz w:val="28"/>
          <w:szCs w:val="28"/>
          <w:lang w:val="uk-UA"/>
        </w:rPr>
        <w:t xml:space="preserve"> </w:t>
      </w:r>
      <w:r w:rsidRPr="00807701">
        <w:rPr>
          <w:rFonts w:eastAsia="MyriadPro-Bold" w:cstheme="minorHAnsi"/>
          <w:bCs/>
          <w:sz w:val="28"/>
          <w:szCs w:val="28"/>
        </w:rPr>
        <w:t>II</w:t>
      </w:r>
      <w:r w:rsidRPr="00807701">
        <w:rPr>
          <w:rFonts w:eastAsia="MyriadPro-Bold" w:cstheme="minorHAnsi"/>
          <w:bCs/>
          <w:sz w:val="28"/>
          <w:szCs w:val="28"/>
          <w:lang w:val="uk-UA"/>
        </w:rPr>
        <w:t xml:space="preserve">, що демонструє достовірно вищу тривалість лікування у хворих з виявленими плазмідними механізмами стійкості (10,8 </w:t>
      </w:r>
      <w:r w:rsidRPr="00807701">
        <w:rPr>
          <w:rFonts w:eastAsia="MyriadPro-Bold" w:cstheme="minorHAnsi"/>
          <w:bCs/>
          <w:sz w:val="28"/>
          <w:szCs w:val="28"/>
          <w:lang w:val="en-US"/>
        </w:rPr>
        <w:t>versus</w:t>
      </w:r>
      <w:r w:rsidRPr="00807701">
        <w:rPr>
          <w:rFonts w:eastAsia="MyriadPro-Bold" w:cstheme="minorHAnsi"/>
          <w:bCs/>
          <w:sz w:val="28"/>
          <w:szCs w:val="28"/>
          <w:lang w:val="uk-UA"/>
        </w:rPr>
        <w:t xml:space="preserve"> 7,1; </w:t>
      </w:r>
      <w:r w:rsidRPr="00807701">
        <w:rPr>
          <w:rFonts w:eastAsia="MyriadPro-Bold" w:cstheme="minorHAnsi"/>
          <w:bCs/>
          <w:sz w:val="28"/>
          <w:szCs w:val="28"/>
          <w:lang w:val="en-US"/>
        </w:rPr>
        <w:t>p</w:t>
      </w:r>
      <w:r w:rsidRPr="00807701">
        <w:rPr>
          <w:rFonts w:cstheme="minorHAnsi"/>
          <w:sz w:val="28"/>
          <w:szCs w:val="28"/>
          <w:lang w:val="uk-UA"/>
        </w:rPr>
        <w:t>≤0,01</w:t>
      </w:r>
      <w:r w:rsidRPr="00807701">
        <w:rPr>
          <w:rFonts w:eastAsia="MyriadPro-Bold" w:cstheme="minorHAnsi"/>
          <w:bCs/>
          <w:sz w:val="28"/>
          <w:szCs w:val="28"/>
          <w:lang w:val="uk-UA"/>
        </w:rPr>
        <w:t xml:space="preserve">)  </w:t>
      </w:r>
      <w:r w:rsidRPr="00807701">
        <w:rPr>
          <w:sz w:val="28"/>
          <w:szCs w:val="28"/>
          <w:lang w:val="uk-UA"/>
        </w:rPr>
        <w:t xml:space="preserve"> </w:t>
      </w:r>
    </w:p>
    <w:p w:rsidR="00807701" w:rsidRPr="00807701" w:rsidRDefault="00807701" w:rsidP="00807701">
      <w:pPr>
        <w:spacing w:line="360" w:lineRule="auto"/>
        <w:ind w:firstLine="709"/>
        <w:jc w:val="both"/>
        <w:rPr>
          <w:sz w:val="28"/>
          <w:szCs w:val="28"/>
          <w:lang w:val="uk-UA"/>
        </w:rPr>
      </w:pPr>
      <w:r w:rsidRPr="00807701">
        <w:rPr>
          <w:sz w:val="28"/>
          <w:szCs w:val="28"/>
          <w:lang w:val="uk-UA"/>
        </w:rPr>
        <w:t>У пацієнтів на ХП і супутній ЦД 2 типу спостерігається зниження клінічної і бактеріологічної ефективності АБТ у порівнянні із пацієнтами без діабету, що проявляється подовженням строків АБТ (10,6 проти 8,8; р</w:t>
      </w:r>
      <w:r w:rsidRPr="00807701">
        <w:rPr>
          <w:rFonts w:cstheme="minorHAnsi"/>
          <w:sz w:val="28"/>
          <w:szCs w:val="28"/>
          <w:lang w:val="uk-UA"/>
        </w:rPr>
        <w:t>≤</w:t>
      </w:r>
      <w:r w:rsidRPr="00807701">
        <w:rPr>
          <w:sz w:val="28"/>
          <w:szCs w:val="28"/>
          <w:lang w:val="uk-UA"/>
        </w:rPr>
        <w:t xml:space="preserve">0,05), більш повільним регресом клінічних симптомів і лабораторних маркерів, а також відсутністю бактеріологічної ефективності терапії у 34% хворих (у хворих на ХП без ЦД 2 типу, відсутність ерадикації збудника після лікування була констатована у 19% пацієнтів). Отримані нами результати узгоджуються з даними </w:t>
      </w:r>
      <w:r w:rsidRPr="00807701">
        <w:rPr>
          <w:rFonts w:cstheme="minorHAnsi"/>
          <w:sz w:val="28"/>
          <w:szCs w:val="28"/>
          <w:lang w:val="en-US"/>
        </w:rPr>
        <w:t>Shengsheng</w:t>
      </w:r>
      <w:r w:rsidRPr="00807701">
        <w:rPr>
          <w:rFonts w:cstheme="minorHAnsi"/>
          <w:sz w:val="28"/>
          <w:szCs w:val="28"/>
          <w:lang w:val="uk-UA"/>
        </w:rPr>
        <w:t xml:space="preserve"> </w:t>
      </w:r>
      <w:r w:rsidRPr="00807701">
        <w:rPr>
          <w:rFonts w:cstheme="minorHAnsi"/>
          <w:sz w:val="28"/>
          <w:szCs w:val="28"/>
          <w:lang w:val="en-US"/>
        </w:rPr>
        <w:t>Yu</w:t>
      </w:r>
      <w:r w:rsidRPr="00807701">
        <w:rPr>
          <w:rFonts w:cstheme="minorHAnsi"/>
          <w:color w:val="000000" w:themeColor="text1"/>
          <w:sz w:val="28"/>
          <w:szCs w:val="28"/>
          <w:lang w:val="uk-UA"/>
        </w:rPr>
        <w:t xml:space="preserve"> та співавт., даними </w:t>
      </w:r>
      <w:r w:rsidRPr="00807701">
        <w:rPr>
          <w:rFonts w:cstheme="minorHAnsi"/>
          <w:sz w:val="28"/>
          <w:szCs w:val="28"/>
          <w:lang w:val="en-US"/>
        </w:rPr>
        <w:t>Aswani</w:t>
      </w:r>
      <w:r w:rsidRPr="00807701">
        <w:rPr>
          <w:rFonts w:cstheme="minorHAnsi"/>
          <w:sz w:val="28"/>
          <w:szCs w:val="28"/>
          <w:lang w:val="uk-UA"/>
        </w:rPr>
        <w:t xml:space="preserve"> </w:t>
      </w:r>
      <w:r w:rsidRPr="00807701">
        <w:rPr>
          <w:rFonts w:cstheme="minorHAnsi"/>
          <w:sz w:val="28"/>
          <w:szCs w:val="28"/>
          <w:lang w:val="en-US"/>
        </w:rPr>
        <w:t>Srinivas</w:t>
      </w:r>
      <w:r w:rsidRPr="00807701">
        <w:rPr>
          <w:rFonts w:cstheme="minorHAnsi"/>
          <w:sz w:val="28"/>
          <w:szCs w:val="28"/>
          <w:lang w:val="uk-UA"/>
        </w:rPr>
        <w:t xml:space="preserve"> </w:t>
      </w:r>
      <w:r w:rsidRPr="00807701">
        <w:rPr>
          <w:rFonts w:cstheme="minorHAnsi"/>
          <w:sz w:val="28"/>
          <w:szCs w:val="28"/>
          <w:lang w:val="en-US"/>
        </w:rPr>
        <w:t>M</w:t>
      </w:r>
      <w:r w:rsidRPr="00807701">
        <w:rPr>
          <w:rFonts w:cstheme="minorHAnsi"/>
          <w:sz w:val="28"/>
          <w:szCs w:val="28"/>
          <w:lang w:val="uk-UA"/>
        </w:rPr>
        <w:t>.</w:t>
      </w:r>
      <w:r w:rsidRPr="00807701">
        <w:rPr>
          <w:rFonts w:cstheme="minorHAnsi"/>
          <w:color w:val="000000" w:themeColor="text1"/>
          <w:sz w:val="28"/>
          <w:szCs w:val="28"/>
          <w:lang w:val="uk-UA"/>
        </w:rPr>
        <w:t xml:space="preserve"> та співавт., що підтверджують складність лікування ІСС на тлі ЦД 2 типу, відсутність сприятливої клінічної відповіді на АБТ та необхідність подовження строків АБТ у таких пацієнтів у порівнянні з особами без діабету [</w:t>
      </w:r>
      <w:r w:rsidRPr="00807701">
        <w:rPr>
          <w:rFonts w:cstheme="minorHAnsi"/>
          <w:sz w:val="28"/>
          <w:szCs w:val="28"/>
          <w:lang w:val="uk-UA"/>
        </w:rPr>
        <w:t>109, 16</w:t>
      </w:r>
      <w:r w:rsidRPr="00807701">
        <w:rPr>
          <w:rFonts w:cstheme="minorHAnsi"/>
          <w:color w:val="000000" w:themeColor="text1"/>
          <w:sz w:val="28"/>
          <w:szCs w:val="28"/>
          <w:lang w:val="uk-UA"/>
        </w:rPr>
        <w:t>]</w:t>
      </w:r>
      <w:r w:rsidRPr="00807701">
        <w:rPr>
          <w:rFonts w:cstheme="minorHAnsi"/>
          <w:sz w:val="28"/>
          <w:szCs w:val="28"/>
          <w:lang w:val="uk-UA"/>
        </w:rPr>
        <w:t>.</w:t>
      </w:r>
      <w:r w:rsidRPr="00807701">
        <w:rPr>
          <w:rFonts w:cstheme="minorHAnsi"/>
          <w:color w:val="000000" w:themeColor="text1"/>
          <w:sz w:val="28"/>
          <w:szCs w:val="28"/>
          <w:lang w:val="uk-UA"/>
        </w:rPr>
        <w:t xml:space="preserve"> Найкращу ефективність </w:t>
      </w:r>
      <w:r w:rsidRPr="00807701">
        <w:rPr>
          <w:rFonts w:cstheme="minorHAnsi"/>
          <w:color w:val="000000" w:themeColor="text1"/>
          <w:sz w:val="28"/>
          <w:szCs w:val="28"/>
          <w:lang w:val="en-US"/>
        </w:rPr>
        <w:t>in</w:t>
      </w:r>
      <w:r w:rsidRPr="00807701">
        <w:rPr>
          <w:rFonts w:cstheme="minorHAnsi"/>
          <w:color w:val="000000" w:themeColor="text1"/>
          <w:sz w:val="28"/>
          <w:szCs w:val="28"/>
          <w:lang w:val="uk-UA"/>
        </w:rPr>
        <w:t xml:space="preserve"> </w:t>
      </w:r>
      <w:r w:rsidRPr="00807701">
        <w:rPr>
          <w:rFonts w:cstheme="minorHAnsi"/>
          <w:color w:val="000000" w:themeColor="text1"/>
          <w:sz w:val="28"/>
          <w:szCs w:val="28"/>
          <w:lang w:val="en-US"/>
        </w:rPr>
        <w:t>vivo</w:t>
      </w:r>
      <w:r w:rsidRPr="00807701">
        <w:rPr>
          <w:rFonts w:cstheme="minorHAnsi"/>
          <w:color w:val="000000" w:themeColor="text1"/>
          <w:sz w:val="28"/>
          <w:szCs w:val="28"/>
          <w:lang w:val="uk-UA"/>
        </w:rPr>
        <w:t xml:space="preserve"> у хворих на ХП і ЦД 2 типу продемонстрували фторхінолони та цефалоспорини, і, хоча ефективність фторхінолонів </w:t>
      </w:r>
      <w:r w:rsidRPr="00807701">
        <w:rPr>
          <w:sz w:val="28"/>
          <w:szCs w:val="28"/>
          <w:lang w:val="uk-UA"/>
        </w:rPr>
        <w:t xml:space="preserve">була вище ніж цефалоспоринів, необхідна розробка алгоритму раціонального призначення АБТ у цієї категорії пацієнтів, що у подальшому дозволить зменшити кількість ускладнень, </w:t>
      </w:r>
      <w:r w:rsidRPr="00807701">
        <w:rPr>
          <w:rFonts w:cstheme="minorHAnsi"/>
          <w:color w:val="000000" w:themeColor="text1"/>
          <w:sz w:val="28"/>
          <w:szCs w:val="28"/>
          <w:lang w:val="uk-UA"/>
        </w:rPr>
        <w:t>витрати на лікування та строки госпіталізації</w:t>
      </w:r>
      <w:r w:rsidRPr="00807701">
        <w:rPr>
          <w:sz w:val="28"/>
          <w:szCs w:val="28"/>
          <w:lang w:val="uk-UA"/>
        </w:rPr>
        <w:t>.</w:t>
      </w:r>
    </w:p>
    <w:p w:rsidR="00807701" w:rsidRPr="00807701" w:rsidRDefault="00807701" w:rsidP="00807701">
      <w:pPr>
        <w:spacing w:after="0" w:line="360" w:lineRule="auto"/>
        <w:ind w:firstLine="709"/>
        <w:jc w:val="both"/>
        <w:rPr>
          <w:sz w:val="28"/>
          <w:szCs w:val="28"/>
          <w:lang w:val="uk-UA"/>
        </w:rPr>
      </w:pPr>
      <w:r w:rsidRPr="00807701">
        <w:rPr>
          <w:sz w:val="28"/>
          <w:szCs w:val="28"/>
          <w:lang w:val="uk-UA"/>
        </w:rPr>
        <w:t>Висновки:</w:t>
      </w:r>
    </w:p>
    <w:p w:rsidR="00807701" w:rsidRPr="00807701" w:rsidRDefault="00807701" w:rsidP="00807701">
      <w:pPr>
        <w:numPr>
          <w:ilvl w:val="0"/>
          <w:numId w:val="8"/>
        </w:numPr>
        <w:spacing w:after="0" w:line="360" w:lineRule="auto"/>
        <w:contextualSpacing/>
        <w:jc w:val="both"/>
        <w:rPr>
          <w:sz w:val="28"/>
          <w:szCs w:val="28"/>
          <w:lang w:val="uk-UA"/>
        </w:rPr>
      </w:pPr>
      <w:r w:rsidRPr="00807701">
        <w:rPr>
          <w:sz w:val="28"/>
          <w:szCs w:val="28"/>
          <w:lang w:val="uk-UA"/>
        </w:rPr>
        <w:t xml:space="preserve">У хворих з виявленими плазмід-індукованими механізмами резистентності спостерігається зниження як клінічної, так і </w:t>
      </w:r>
      <w:r w:rsidRPr="00807701">
        <w:rPr>
          <w:sz w:val="28"/>
          <w:szCs w:val="28"/>
          <w:lang w:val="uk-UA"/>
        </w:rPr>
        <w:lastRenderedPageBreak/>
        <w:t>бактеріологічної ефективності АБТ, що проявляється більш повільним регресом клінічних симптомів і лабораторних показників у таких пацієнтів, подовженням строків госпіталізації та відсутністю бактеріологічної ерадикації збудника у 34% хворих після лікування.</w:t>
      </w:r>
    </w:p>
    <w:p w:rsidR="00807701" w:rsidRPr="00807701" w:rsidRDefault="00807701" w:rsidP="00807701">
      <w:pPr>
        <w:numPr>
          <w:ilvl w:val="0"/>
          <w:numId w:val="8"/>
        </w:numPr>
        <w:spacing w:after="0" w:line="360" w:lineRule="auto"/>
        <w:contextualSpacing/>
        <w:jc w:val="both"/>
        <w:rPr>
          <w:sz w:val="28"/>
          <w:szCs w:val="28"/>
          <w:lang w:val="uk-UA"/>
        </w:rPr>
      </w:pPr>
      <w:r w:rsidRPr="00807701">
        <w:rPr>
          <w:sz w:val="28"/>
          <w:szCs w:val="28"/>
          <w:lang w:val="uk-UA"/>
        </w:rPr>
        <w:t xml:space="preserve">У пацієнтів з виявленими плазмідними </w:t>
      </w:r>
      <w:r w:rsidRPr="00807701">
        <w:rPr>
          <w:rFonts w:cstheme="minorHAnsi"/>
          <w:sz w:val="28"/>
          <w:szCs w:val="28"/>
          <w:lang w:val="uk-UA"/>
        </w:rPr>
        <w:t>β</w:t>
      </w:r>
      <w:r w:rsidRPr="00807701">
        <w:rPr>
          <w:sz w:val="28"/>
          <w:szCs w:val="28"/>
          <w:lang w:val="uk-UA"/>
        </w:rPr>
        <w:t xml:space="preserve">ЛРС, найкращий клінічний результат продемонстрували аміноглікозиди, фторхінолони та </w:t>
      </w:r>
      <w:r w:rsidRPr="00807701">
        <w:rPr>
          <w:rFonts w:cstheme="minorHAnsi"/>
          <w:sz w:val="28"/>
          <w:szCs w:val="28"/>
          <w:lang w:val="uk-UA"/>
        </w:rPr>
        <w:t>β</w:t>
      </w:r>
      <w:r w:rsidRPr="00807701">
        <w:rPr>
          <w:sz w:val="28"/>
          <w:szCs w:val="28"/>
          <w:lang w:val="uk-UA"/>
        </w:rPr>
        <w:t xml:space="preserve">-лактами, тоді як у пацієнтів з генами резистентності до фторхінолонів, найефективнішою виявилася комбінація </w:t>
      </w:r>
      <w:r w:rsidRPr="00807701">
        <w:rPr>
          <w:rFonts w:cstheme="minorHAnsi"/>
          <w:sz w:val="28"/>
          <w:szCs w:val="28"/>
          <w:lang w:val="uk-UA"/>
        </w:rPr>
        <w:t>β</w:t>
      </w:r>
      <w:r w:rsidRPr="00807701">
        <w:rPr>
          <w:sz w:val="28"/>
          <w:szCs w:val="28"/>
          <w:lang w:val="uk-UA"/>
        </w:rPr>
        <w:t xml:space="preserve">-лактами/фторхінолони.  </w:t>
      </w:r>
    </w:p>
    <w:p w:rsidR="00807701" w:rsidRPr="00807701" w:rsidRDefault="00807701" w:rsidP="00807701">
      <w:pPr>
        <w:spacing w:after="0" w:line="360" w:lineRule="auto"/>
        <w:ind w:firstLine="709"/>
        <w:jc w:val="both"/>
        <w:rPr>
          <w:sz w:val="28"/>
          <w:szCs w:val="28"/>
          <w:lang w:val="uk-UA"/>
        </w:rPr>
      </w:pPr>
    </w:p>
    <w:p w:rsidR="00807701" w:rsidRPr="00807701" w:rsidRDefault="00807701" w:rsidP="00807701">
      <w:pPr>
        <w:spacing w:line="360" w:lineRule="auto"/>
        <w:ind w:firstLine="709"/>
        <w:jc w:val="both"/>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6B4867" w:rsidRPr="006B4867" w:rsidRDefault="006B4867" w:rsidP="006B4867">
      <w:pPr>
        <w:spacing w:line="360" w:lineRule="auto"/>
        <w:jc w:val="both"/>
        <w:rPr>
          <w:sz w:val="28"/>
          <w:szCs w:val="28"/>
          <w:lang w:val="uk-UA"/>
        </w:rPr>
      </w:pPr>
      <w:r w:rsidRPr="006B4867">
        <w:rPr>
          <w:b/>
          <w:sz w:val="28"/>
          <w:szCs w:val="28"/>
          <w:lang w:val="uk-UA"/>
        </w:rPr>
        <w:lastRenderedPageBreak/>
        <w:t>3.5 ВЗАЄМОЗВ</w:t>
      </w:r>
      <w:r w:rsidRPr="006B4867">
        <w:rPr>
          <w:rFonts w:cstheme="minorHAnsi"/>
          <w:b/>
          <w:sz w:val="28"/>
          <w:szCs w:val="28"/>
          <w:lang w:val="uk-UA"/>
        </w:rPr>
        <w:t>'</w:t>
      </w:r>
      <w:r w:rsidRPr="006B4867">
        <w:rPr>
          <w:b/>
          <w:sz w:val="28"/>
          <w:szCs w:val="28"/>
          <w:lang w:val="uk-UA"/>
        </w:rPr>
        <w:t>ЯЗОК ПЛАЗМІД-ІНДУКОВАНИХ МЕХАНІЗМІВ РЕЗИСТЕНТНОСТІ З ІМУНОЛОГІЧНИМИ МАРКЕРАМИ СИСТЕМНОГО ЗАПАЛЕННЯ У ХВОРИХ НА ХРОНІЧНИЙ ПІЄЛОНЕФРИТ І СУПУТНІЙ ЦУКРОВИЙ ДІАБЕТ 2 ТИПУ</w:t>
      </w:r>
      <w:r w:rsidRPr="006B4867">
        <w:rPr>
          <w:sz w:val="28"/>
          <w:szCs w:val="28"/>
          <w:lang w:val="uk-UA"/>
        </w:rPr>
        <w:t xml:space="preserve">  </w:t>
      </w:r>
    </w:p>
    <w:p w:rsidR="006B4867" w:rsidRPr="006B4867" w:rsidRDefault="006B4867" w:rsidP="006B4867">
      <w:pPr>
        <w:spacing w:after="0" w:line="360" w:lineRule="auto"/>
        <w:ind w:firstLine="709"/>
        <w:jc w:val="both"/>
        <w:rPr>
          <w:rFonts w:eastAsia="Times New Roman" w:cstheme="minorHAnsi"/>
          <w:color w:val="000000" w:themeColor="text1"/>
          <w:sz w:val="28"/>
          <w:szCs w:val="28"/>
          <w:lang w:val="uk-UA" w:eastAsia="ru-RU"/>
        </w:rPr>
      </w:pPr>
      <w:r w:rsidRPr="006B4867">
        <w:rPr>
          <w:sz w:val="28"/>
          <w:szCs w:val="28"/>
          <w:lang w:val="uk-UA"/>
        </w:rPr>
        <w:t xml:space="preserve">Взаємозв’язок плазмід-індукованих механізмів резистентності з імунологічними маркерами системного запалення у хворих на ХП і ЦД 2 типу залишається маловивченим. </w:t>
      </w:r>
      <w:r w:rsidRPr="006B4867">
        <w:rPr>
          <w:sz w:val="28"/>
          <w:szCs w:val="28"/>
          <w:lang w:val="en-US"/>
        </w:rPr>
        <w:t>Sundvall</w:t>
      </w:r>
      <w:r w:rsidRPr="006B4867">
        <w:rPr>
          <w:sz w:val="28"/>
          <w:szCs w:val="28"/>
          <w:lang w:val="uk-UA"/>
        </w:rPr>
        <w:t xml:space="preserve"> </w:t>
      </w:r>
      <w:r w:rsidRPr="006B4867">
        <w:rPr>
          <w:sz w:val="28"/>
          <w:szCs w:val="28"/>
          <w:lang w:val="en-US"/>
        </w:rPr>
        <w:t>PD</w:t>
      </w:r>
      <w:r w:rsidRPr="006B4867">
        <w:rPr>
          <w:sz w:val="28"/>
          <w:szCs w:val="28"/>
          <w:lang w:val="uk-UA"/>
        </w:rPr>
        <w:t xml:space="preserve">. </w:t>
      </w:r>
      <w:r w:rsidRPr="006B4867">
        <w:rPr>
          <w:sz w:val="28"/>
          <w:szCs w:val="28"/>
          <w:lang w:val="en-US"/>
        </w:rPr>
        <w:t>et</w:t>
      </w:r>
      <w:r w:rsidRPr="006B4867">
        <w:rPr>
          <w:sz w:val="28"/>
          <w:szCs w:val="28"/>
          <w:lang w:val="uk-UA"/>
        </w:rPr>
        <w:t xml:space="preserve"> </w:t>
      </w:r>
      <w:r w:rsidRPr="006B4867">
        <w:rPr>
          <w:sz w:val="28"/>
          <w:szCs w:val="28"/>
          <w:lang w:val="en-US"/>
        </w:rPr>
        <w:t>al</w:t>
      </w:r>
      <w:r w:rsidRPr="006B4867">
        <w:rPr>
          <w:sz w:val="28"/>
          <w:szCs w:val="28"/>
          <w:lang w:val="uk-UA"/>
        </w:rPr>
        <w:t xml:space="preserve">. продемонстрували підвищення рівня ІЛ-6 у хворих похилого віку з наявністю клінічно значимої бактеріурії з або відсутністю клінічних симптомів пієлонефриту </w:t>
      </w:r>
      <w:r w:rsidRPr="006B4867">
        <w:rPr>
          <w:rFonts w:cstheme="minorHAnsi"/>
          <w:sz w:val="28"/>
          <w:szCs w:val="28"/>
          <w:lang w:val="uk-UA"/>
        </w:rPr>
        <w:t>[</w:t>
      </w:r>
      <w:r w:rsidRPr="006B4867">
        <w:rPr>
          <w:rFonts w:ascii="Times New Roman" w:eastAsia="Times New Roman" w:hAnsi="Times New Roman" w:cs="Times New Roman"/>
          <w:color w:val="000000" w:themeColor="text1"/>
          <w:sz w:val="28"/>
          <w:szCs w:val="28"/>
          <w:lang w:val="uk-UA" w:eastAsia="ru-RU"/>
        </w:rPr>
        <w:t>117</w:t>
      </w:r>
      <w:r w:rsidRPr="006B4867">
        <w:rPr>
          <w:rFonts w:cstheme="minorHAnsi"/>
          <w:sz w:val="28"/>
          <w:szCs w:val="28"/>
          <w:lang w:val="uk-UA"/>
        </w:rPr>
        <w:t>]</w:t>
      </w:r>
      <w:r w:rsidRPr="006B4867">
        <w:rPr>
          <w:sz w:val="28"/>
          <w:szCs w:val="28"/>
          <w:lang w:val="uk-UA"/>
        </w:rPr>
        <w:t xml:space="preserve">. </w:t>
      </w:r>
      <w:r w:rsidRPr="006B4867">
        <w:rPr>
          <w:rFonts w:cstheme="minorHAnsi"/>
          <w:color w:val="000000" w:themeColor="text1"/>
          <w:sz w:val="28"/>
          <w:szCs w:val="28"/>
          <w:lang w:val="en-US"/>
        </w:rPr>
        <w:t>Narciso</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et</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al</w:t>
      </w:r>
      <w:r w:rsidRPr="006B4867">
        <w:rPr>
          <w:rFonts w:cstheme="minorHAnsi"/>
          <w:color w:val="000000" w:themeColor="text1"/>
          <w:sz w:val="28"/>
          <w:szCs w:val="28"/>
          <w:lang w:val="uk-UA"/>
        </w:rPr>
        <w:t>. встановили достовірний взаємозв’язок між наявністю плазмід-індукованих β-лактамаз і ІЛ-6, у хворих з ІСС [</w:t>
      </w:r>
      <w:r w:rsidRPr="006B4867">
        <w:rPr>
          <w:rFonts w:ascii="Times New Roman" w:eastAsia="Times New Roman" w:hAnsi="Times New Roman" w:cs="Times New Roman"/>
          <w:color w:val="000000" w:themeColor="text1"/>
          <w:sz w:val="28"/>
          <w:szCs w:val="28"/>
          <w:lang w:val="uk-UA" w:eastAsia="ru-RU"/>
        </w:rPr>
        <w:t>83</w:t>
      </w:r>
      <w:r w:rsidRPr="006B4867">
        <w:rPr>
          <w:rFonts w:cstheme="minorHAnsi"/>
          <w:color w:val="000000" w:themeColor="text1"/>
          <w:sz w:val="28"/>
          <w:szCs w:val="28"/>
          <w:lang w:val="uk-UA"/>
        </w:rPr>
        <w:t xml:space="preserve">]. Проте, дослідження проведене </w:t>
      </w:r>
      <w:r w:rsidRPr="006B4867">
        <w:rPr>
          <w:rFonts w:eastAsia="Times New Roman" w:cstheme="minorHAnsi"/>
          <w:color w:val="000000" w:themeColor="text1"/>
          <w:sz w:val="28"/>
          <w:szCs w:val="28"/>
          <w:lang w:val="en-US" w:eastAsia="ru-RU"/>
        </w:rPr>
        <w:t>Tratselas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w:t>
      </w:r>
      <w:r w:rsidRPr="006B4867">
        <w:rPr>
          <w:rFonts w:cstheme="minorHAnsi"/>
          <w:color w:val="000000" w:themeColor="text1"/>
          <w:sz w:val="28"/>
          <w:szCs w:val="28"/>
          <w:lang w:val="en-US"/>
        </w:rPr>
        <w:t>et</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al</w:t>
      </w:r>
      <w:r w:rsidRPr="006B4867">
        <w:rPr>
          <w:rFonts w:cstheme="minorHAnsi"/>
          <w:color w:val="000000" w:themeColor="text1"/>
          <w:sz w:val="28"/>
          <w:szCs w:val="28"/>
          <w:lang w:val="uk-UA"/>
        </w:rPr>
        <w:t>.</w:t>
      </w:r>
      <w:r w:rsidRPr="006B4867">
        <w:rPr>
          <w:rFonts w:eastAsia="Times New Roman" w:cstheme="minorHAnsi"/>
          <w:color w:val="000000" w:themeColor="text1"/>
          <w:sz w:val="28"/>
          <w:szCs w:val="28"/>
          <w:lang w:val="uk-UA" w:eastAsia="ru-RU"/>
        </w:rPr>
        <w:t xml:space="preserve"> демонструє відсутність достовірних зв’язків між концентрацією ІЛ-6 та плазмід-індукованими βЛРС у пацієнтів з ПН [</w:t>
      </w:r>
      <w:r w:rsidRPr="006B4867">
        <w:rPr>
          <w:rFonts w:ascii="Times New Roman" w:eastAsia="Times New Roman" w:hAnsi="Times New Roman" w:cs="Times New Roman"/>
          <w:color w:val="000000" w:themeColor="text1"/>
          <w:sz w:val="28"/>
          <w:szCs w:val="28"/>
          <w:lang w:val="uk-UA" w:eastAsia="ru-RU"/>
        </w:rPr>
        <w:t>120</w:t>
      </w:r>
      <w:r w:rsidRPr="006B4867">
        <w:rPr>
          <w:rFonts w:eastAsia="Times New Roman" w:cstheme="minorHAnsi"/>
          <w:color w:val="000000" w:themeColor="text1"/>
          <w:sz w:val="28"/>
          <w:szCs w:val="28"/>
          <w:lang w:val="uk-UA" w:eastAsia="ru-RU"/>
        </w:rPr>
        <w:t xml:space="preserve">]. </w:t>
      </w:r>
    </w:p>
    <w:p w:rsidR="006B4867" w:rsidRPr="006B4867" w:rsidRDefault="006B4867" w:rsidP="006B4867">
      <w:pPr>
        <w:spacing w:line="360" w:lineRule="auto"/>
        <w:ind w:firstLine="709"/>
        <w:jc w:val="both"/>
        <w:rPr>
          <w:rFonts w:eastAsia="Times New Roman" w:cstheme="minorHAnsi"/>
          <w:color w:val="000000" w:themeColor="text1"/>
          <w:sz w:val="28"/>
          <w:szCs w:val="28"/>
          <w:lang w:val="uk-UA" w:eastAsia="ru-RU"/>
        </w:rPr>
      </w:pPr>
      <w:r w:rsidRPr="006B4867">
        <w:rPr>
          <w:rFonts w:eastAsia="Times New Roman" w:cstheme="minorHAnsi"/>
          <w:color w:val="000000" w:themeColor="text1"/>
          <w:sz w:val="28"/>
          <w:szCs w:val="28"/>
          <w:lang w:val="uk-UA" w:eastAsia="ru-RU"/>
        </w:rPr>
        <w:t xml:space="preserve">Отже, завданням нашого дослідження було встановити взаємозв’язки між наявністю плазмід-індукованих механізмів резистентності та імунологічними маркерами системного запалення у хворих, що страждають ХП і ЦД 2 типу. </w:t>
      </w:r>
    </w:p>
    <w:p w:rsidR="006B4867" w:rsidRPr="006B4867" w:rsidRDefault="006B4867" w:rsidP="006B4867">
      <w:pPr>
        <w:spacing w:after="0" w:line="360" w:lineRule="auto"/>
        <w:ind w:firstLine="709"/>
        <w:jc w:val="both"/>
        <w:rPr>
          <w:b/>
          <w:sz w:val="28"/>
          <w:szCs w:val="28"/>
          <w:lang w:val="uk-UA"/>
        </w:rPr>
      </w:pPr>
      <w:r w:rsidRPr="006B4867">
        <w:rPr>
          <w:b/>
          <w:sz w:val="28"/>
          <w:szCs w:val="28"/>
          <w:lang w:val="uk-UA"/>
        </w:rPr>
        <w:t xml:space="preserve">3.5.1 Виявлення імунологічних маркерів системного запалення у хворих на хронічний пієлонефрит і супутній ЦД 2 типу.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При дослідженні імунологічних маркерів системного запалення у хворих на ХП, встановлено підвищені рівні </w:t>
      </w:r>
      <w:r w:rsidRPr="006B4867">
        <w:rPr>
          <w:sz w:val="28"/>
          <w:szCs w:val="28"/>
          <w:lang w:val="en-US"/>
        </w:rPr>
        <w:t>IL</w:t>
      </w:r>
      <w:r w:rsidRPr="006B4867">
        <w:rPr>
          <w:sz w:val="28"/>
          <w:szCs w:val="28"/>
          <w:lang w:val="uk-UA"/>
        </w:rPr>
        <w:t>-6 (</w:t>
      </w:r>
      <w:r w:rsidRPr="006B4867">
        <w:rPr>
          <w:rFonts w:cstheme="minorHAnsi"/>
          <w:sz w:val="28"/>
          <w:szCs w:val="28"/>
          <w:lang w:val="uk-UA"/>
        </w:rPr>
        <w:t>&gt;</w:t>
      </w:r>
      <w:r w:rsidRPr="006B4867">
        <w:rPr>
          <w:sz w:val="28"/>
          <w:szCs w:val="28"/>
          <w:lang w:val="uk-UA"/>
        </w:rPr>
        <w:t>4,1 пг/мл) у 38 пацієнтів, середній рівень склав – 9,24</w:t>
      </w:r>
      <w:r w:rsidRPr="006B4867">
        <w:rPr>
          <w:rFonts w:cstheme="minorHAnsi"/>
          <w:sz w:val="28"/>
          <w:szCs w:val="28"/>
          <w:lang w:val="uk-UA"/>
        </w:rPr>
        <w:t>±</w:t>
      </w:r>
      <w:r w:rsidRPr="006B4867">
        <w:rPr>
          <w:sz w:val="28"/>
          <w:szCs w:val="28"/>
          <w:lang w:val="uk-UA"/>
        </w:rPr>
        <w:t>0,85 пг/мл; середній рівень СРБ становив 19,92</w:t>
      </w:r>
      <w:r w:rsidRPr="006B4867">
        <w:rPr>
          <w:rFonts w:cstheme="minorHAnsi"/>
          <w:sz w:val="28"/>
          <w:szCs w:val="28"/>
          <w:lang w:val="uk-UA"/>
        </w:rPr>
        <w:t>±</w:t>
      </w:r>
      <w:r w:rsidRPr="006B4867">
        <w:rPr>
          <w:sz w:val="28"/>
          <w:szCs w:val="28"/>
          <w:lang w:val="uk-UA"/>
        </w:rPr>
        <w:t xml:space="preserve">4,3 мг/л; </w:t>
      </w:r>
      <w:r w:rsidRPr="006B4867">
        <w:rPr>
          <w:sz w:val="28"/>
          <w:szCs w:val="28"/>
          <w:lang w:val="en-US"/>
        </w:rPr>
        <w:t>IgA</w:t>
      </w:r>
      <w:r w:rsidRPr="006B4867">
        <w:rPr>
          <w:sz w:val="28"/>
          <w:szCs w:val="28"/>
          <w:lang w:val="uk-UA"/>
        </w:rPr>
        <w:t xml:space="preserve"> – 3,3</w:t>
      </w:r>
      <w:r w:rsidRPr="006B4867">
        <w:rPr>
          <w:rFonts w:cstheme="minorHAnsi"/>
          <w:sz w:val="28"/>
          <w:szCs w:val="28"/>
          <w:lang w:val="uk-UA"/>
        </w:rPr>
        <w:t>±</w:t>
      </w:r>
      <w:r w:rsidRPr="006B4867">
        <w:rPr>
          <w:sz w:val="28"/>
          <w:szCs w:val="28"/>
          <w:lang w:val="uk-UA"/>
        </w:rPr>
        <w:t xml:space="preserve">0,1 мг/мл; </w:t>
      </w:r>
      <w:r w:rsidRPr="006B4867">
        <w:rPr>
          <w:sz w:val="28"/>
          <w:szCs w:val="28"/>
          <w:lang w:val="en-US"/>
        </w:rPr>
        <w:t>IgG</w:t>
      </w:r>
      <w:r w:rsidRPr="006B4867">
        <w:rPr>
          <w:sz w:val="28"/>
          <w:szCs w:val="28"/>
          <w:lang w:val="uk-UA"/>
        </w:rPr>
        <w:t xml:space="preserve"> – 15,62</w:t>
      </w:r>
      <w:r w:rsidRPr="006B4867">
        <w:rPr>
          <w:rFonts w:cstheme="minorHAnsi"/>
          <w:sz w:val="28"/>
          <w:szCs w:val="28"/>
          <w:lang w:val="uk-UA"/>
        </w:rPr>
        <w:t>±</w:t>
      </w:r>
      <w:r w:rsidRPr="006B4867">
        <w:rPr>
          <w:sz w:val="28"/>
          <w:szCs w:val="28"/>
          <w:lang w:val="uk-UA"/>
        </w:rPr>
        <w:t xml:space="preserve">0,3 мг/мл; </w:t>
      </w:r>
      <w:r w:rsidRPr="006B4867">
        <w:rPr>
          <w:sz w:val="28"/>
          <w:szCs w:val="28"/>
          <w:lang w:val="en-US"/>
        </w:rPr>
        <w:t>IgM</w:t>
      </w:r>
      <w:r w:rsidRPr="006B4867">
        <w:rPr>
          <w:sz w:val="28"/>
          <w:szCs w:val="28"/>
          <w:lang w:val="uk-UA"/>
        </w:rPr>
        <w:t xml:space="preserve"> – 1,9</w:t>
      </w:r>
      <w:r w:rsidRPr="006B4867">
        <w:rPr>
          <w:rFonts w:cstheme="minorHAnsi"/>
          <w:sz w:val="28"/>
          <w:szCs w:val="28"/>
          <w:lang w:val="uk-UA"/>
        </w:rPr>
        <w:t>±</w:t>
      </w:r>
      <w:r w:rsidRPr="006B4867">
        <w:rPr>
          <w:sz w:val="28"/>
          <w:szCs w:val="28"/>
          <w:lang w:val="uk-UA"/>
        </w:rPr>
        <w:t>0,07 мг/мл (малюнок 3.67).</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lastRenderedPageBreak/>
        <w:drawing>
          <wp:inline distT="0" distB="0" distL="0" distR="0" wp14:anchorId="631602AD" wp14:editId="5E7194C4">
            <wp:extent cx="5486400" cy="3200400"/>
            <wp:effectExtent l="0" t="19050" r="0" b="76200"/>
            <wp:docPr id="70" name="Схема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1" r:lo="rId122" r:qs="rId123" r:cs="rId124"/>
              </a:graphicData>
            </a:graphic>
          </wp:inline>
        </w:drawing>
      </w:r>
      <w:r w:rsidRPr="006B4867">
        <w:rPr>
          <w:sz w:val="28"/>
          <w:szCs w:val="28"/>
          <w:lang w:val="uk-UA"/>
        </w:rPr>
        <w:t xml:space="preserve"> </w:t>
      </w:r>
    </w:p>
    <w:p w:rsidR="006B4867" w:rsidRPr="006B4867" w:rsidRDefault="006B4867" w:rsidP="006B4867">
      <w:pPr>
        <w:spacing w:line="360" w:lineRule="auto"/>
        <w:ind w:firstLine="709"/>
        <w:jc w:val="both"/>
        <w:rPr>
          <w:sz w:val="24"/>
          <w:szCs w:val="24"/>
          <w:lang w:val="uk-UA"/>
        </w:rPr>
      </w:pPr>
      <w:r w:rsidRPr="006B4867">
        <w:rPr>
          <w:sz w:val="24"/>
          <w:szCs w:val="24"/>
          <w:lang w:val="uk-UA"/>
        </w:rPr>
        <w:t>Мал. 3.67 Виявлені імунологічні маркери у хворих на ХП і ЦД 2 типу.</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При аналізі рівнів імунологічних маркерів у хворих в залежності від ступеня активності ХП, встановлено, що у хворих з </w:t>
      </w:r>
      <w:r w:rsidRPr="006B4867">
        <w:rPr>
          <w:rFonts w:cstheme="minorHAnsi"/>
          <w:sz w:val="28"/>
          <w:szCs w:val="28"/>
          <w:lang w:val="uk-UA"/>
        </w:rPr>
        <w:t>ІІІ</w:t>
      </w:r>
      <w:r w:rsidRPr="006B4867">
        <w:rPr>
          <w:sz w:val="28"/>
          <w:szCs w:val="28"/>
          <w:lang w:val="uk-UA"/>
        </w:rPr>
        <w:t xml:space="preserve"> ст. активності ХП виявлені достовірно більші показники </w:t>
      </w:r>
      <w:r w:rsidRPr="006B4867">
        <w:rPr>
          <w:sz w:val="28"/>
          <w:szCs w:val="28"/>
          <w:lang w:val="en-US"/>
        </w:rPr>
        <w:t>IL</w:t>
      </w:r>
      <w:r w:rsidRPr="006B4867">
        <w:rPr>
          <w:sz w:val="28"/>
          <w:szCs w:val="28"/>
          <w:lang w:val="uk-UA"/>
        </w:rPr>
        <w:t>-6 (р</w:t>
      </w:r>
      <w:r w:rsidRPr="006B4867">
        <w:rPr>
          <w:rFonts w:cstheme="minorHAnsi"/>
          <w:sz w:val="28"/>
          <w:szCs w:val="28"/>
          <w:lang w:val="uk-UA"/>
        </w:rPr>
        <w:t>≤</w:t>
      </w:r>
      <w:r w:rsidRPr="006B4867">
        <w:rPr>
          <w:sz w:val="28"/>
          <w:szCs w:val="28"/>
          <w:lang w:val="uk-UA"/>
        </w:rPr>
        <w:t>0,05), СРБ (р</w:t>
      </w:r>
      <w:r w:rsidRPr="006B4867">
        <w:rPr>
          <w:rFonts w:cstheme="minorHAnsi"/>
          <w:sz w:val="28"/>
          <w:szCs w:val="28"/>
          <w:lang w:val="uk-UA"/>
        </w:rPr>
        <w:t>≤</w:t>
      </w:r>
      <w:r w:rsidRPr="006B4867">
        <w:rPr>
          <w:sz w:val="28"/>
          <w:szCs w:val="28"/>
          <w:lang w:val="uk-UA"/>
        </w:rPr>
        <w:t xml:space="preserve">0,05), та </w:t>
      </w:r>
      <w:r w:rsidRPr="006B4867">
        <w:rPr>
          <w:sz w:val="28"/>
          <w:szCs w:val="28"/>
          <w:lang w:val="en-US"/>
        </w:rPr>
        <w:t>IgM</w:t>
      </w:r>
      <w:r w:rsidRPr="006B4867">
        <w:rPr>
          <w:sz w:val="28"/>
          <w:szCs w:val="28"/>
          <w:lang w:val="uk-UA"/>
        </w:rPr>
        <w:t xml:space="preserve"> (р</w:t>
      </w:r>
      <w:r w:rsidRPr="006B4867">
        <w:rPr>
          <w:rFonts w:cstheme="minorHAnsi"/>
          <w:sz w:val="28"/>
          <w:szCs w:val="28"/>
          <w:lang w:val="uk-UA"/>
        </w:rPr>
        <w:t>≤</w:t>
      </w:r>
      <w:r w:rsidRPr="006B4867">
        <w:rPr>
          <w:sz w:val="28"/>
          <w:szCs w:val="28"/>
          <w:lang w:val="uk-UA"/>
        </w:rPr>
        <w:t>0,05) (таблиця 3.12).</w:t>
      </w:r>
    </w:p>
    <w:p w:rsidR="006B4867" w:rsidRPr="006B4867" w:rsidRDefault="006B4867" w:rsidP="006B4867">
      <w:pPr>
        <w:spacing w:after="0" w:line="360" w:lineRule="auto"/>
        <w:ind w:firstLine="709"/>
        <w:jc w:val="right"/>
        <w:rPr>
          <w:sz w:val="28"/>
          <w:szCs w:val="28"/>
          <w:lang w:val="uk-UA"/>
        </w:rPr>
      </w:pPr>
      <w:r w:rsidRPr="006B4867">
        <w:rPr>
          <w:sz w:val="28"/>
          <w:szCs w:val="28"/>
          <w:lang w:val="uk-UA"/>
        </w:rPr>
        <w:t>Таблиця 3.12</w:t>
      </w:r>
    </w:p>
    <w:p w:rsidR="006B4867" w:rsidRPr="006B4867" w:rsidRDefault="006B4867" w:rsidP="006B4867">
      <w:pPr>
        <w:spacing w:after="0" w:line="360" w:lineRule="auto"/>
        <w:ind w:firstLine="709"/>
        <w:jc w:val="center"/>
        <w:rPr>
          <w:b/>
          <w:sz w:val="28"/>
          <w:szCs w:val="28"/>
          <w:lang w:val="uk-UA"/>
        </w:rPr>
      </w:pPr>
      <w:r w:rsidRPr="006B4867">
        <w:rPr>
          <w:b/>
          <w:sz w:val="28"/>
          <w:szCs w:val="28"/>
          <w:lang w:val="uk-UA"/>
        </w:rPr>
        <w:t>Маркери імунологічного запалення у хворих в залежності від ступеня активності ХП</w:t>
      </w:r>
    </w:p>
    <w:tbl>
      <w:tblPr>
        <w:tblStyle w:val="ae"/>
        <w:tblW w:w="0" w:type="auto"/>
        <w:tblLook w:val="04A0" w:firstRow="1" w:lastRow="0" w:firstColumn="1" w:lastColumn="0" w:noHBand="0" w:noVBand="1"/>
      </w:tblPr>
      <w:tblGrid>
        <w:gridCol w:w="1579"/>
        <w:gridCol w:w="1593"/>
        <w:gridCol w:w="1590"/>
        <w:gridCol w:w="1590"/>
        <w:gridCol w:w="1590"/>
        <w:gridCol w:w="1629"/>
      </w:tblGrid>
      <w:tr w:rsidR="006B4867" w:rsidRPr="006B4867" w:rsidTr="00513759">
        <w:tc>
          <w:tcPr>
            <w:tcW w:w="1595" w:type="dxa"/>
          </w:tcPr>
          <w:p w:rsidR="006B4867" w:rsidRPr="006B4867" w:rsidRDefault="006B4867" w:rsidP="006B4867">
            <w:pPr>
              <w:spacing w:line="360" w:lineRule="auto"/>
              <w:jc w:val="both"/>
              <w:rPr>
                <w:sz w:val="28"/>
                <w:szCs w:val="28"/>
                <w:lang w:val="uk-UA"/>
              </w:rPr>
            </w:pP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IL</w:t>
            </w:r>
            <w:r w:rsidRPr="006B4867">
              <w:rPr>
                <w:b/>
                <w:sz w:val="28"/>
                <w:szCs w:val="28"/>
                <w:lang w:val="uk-UA"/>
              </w:rPr>
              <w:t>-6</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IgA</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IgG</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IgM</w:t>
            </w:r>
          </w:p>
        </w:tc>
        <w:tc>
          <w:tcPr>
            <w:tcW w:w="1596" w:type="dxa"/>
          </w:tcPr>
          <w:p w:rsidR="006B4867" w:rsidRPr="006B4867" w:rsidRDefault="006B4867" w:rsidP="006B4867">
            <w:pPr>
              <w:spacing w:line="360" w:lineRule="auto"/>
              <w:jc w:val="center"/>
              <w:rPr>
                <w:b/>
                <w:sz w:val="28"/>
                <w:szCs w:val="28"/>
                <w:lang w:val="uk-UA"/>
              </w:rPr>
            </w:pPr>
            <w:r w:rsidRPr="006B4867">
              <w:rPr>
                <w:b/>
                <w:sz w:val="28"/>
                <w:szCs w:val="28"/>
                <w:lang w:val="uk-UA"/>
              </w:rPr>
              <w:t>СРБ</w:t>
            </w:r>
          </w:p>
        </w:tc>
      </w:tr>
      <w:tr w:rsidR="006B4867" w:rsidRPr="006B4867" w:rsidTr="00513759">
        <w:tc>
          <w:tcPr>
            <w:tcW w:w="1595" w:type="dxa"/>
          </w:tcPr>
          <w:p w:rsidR="006B4867" w:rsidRPr="006B4867" w:rsidRDefault="006B4867" w:rsidP="006B4867">
            <w:pPr>
              <w:spacing w:line="360" w:lineRule="auto"/>
              <w:jc w:val="center"/>
              <w:rPr>
                <w:sz w:val="28"/>
                <w:szCs w:val="28"/>
                <w:lang w:val="uk-UA"/>
              </w:rPr>
            </w:pPr>
            <w:r w:rsidRPr="006B4867">
              <w:rPr>
                <w:sz w:val="28"/>
                <w:szCs w:val="28"/>
                <w:lang w:val="uk-UA"/>
              </w:rPr>
              <w:t xml:space="preserve">Хворі з </w:t>
            </w:r>
            <w:r w:rsidRPr="006B4867">
              <w:rPr>
                <w:rFonts w:cstheme="minorHAnsi"/>
                <w:sz w:val="28"/>
                <w:szCs w:val="28"/>
                <w:lang w:val="uk-UA"/>
              </w:rPr>
              <w:t>І</w:t>
            </w:r>
            <w:r w:rsidRPr="006B4867">
              <w:rPr>
                <w:sz w:val="28"/>
                <w:szCs w:val="28"/>
                <w:lang w:val="uk-UA"/>
              </w:rPr>
              <w:t xml:space="preserve"> ст. акт-ті</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w:t>
            </w:r>
            <w:r w:rsidRPr="006B4867">
              <w:rPr>
                <w:rFonts w:cstheme="minorHAnsi"/>
                <w:sz w:val="28"/>
                <w:szCs w:val="28"/>
                <w:lang w:val="uk-UA"/>
              </w:rPr>
              <w:t>±</w:t>
            </w:r>
            <w:r w:rsidRPr="006B4867">
              <w:rPr>
                <w:sz w:val="28"/>
                <w:szCs w:val="28"/>
                <w:lang w:val="uk-UA"/>
              </w:rPr>
              <w:t>5,8</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2,8</w:t>
            </w:r>
            <w:r w:rsidRPr="006B4867">
              <w:rPr>
                <w:rFonts w:cstheme="minorHAnsi"/>
                <w:sz w:val="28"/>
                <w:szCs w:val="28"/>
                <w:lang w:val="uk-UA"/>
              </w:rPr>
              <w:t>±</w:t>
            </w:r>
            <w:r w:rsidRPr="006B4867">
              <w:rPr>
                <w:sz w:val="28"/>
                <w:szCs w:val="28"/>
                <w:lang w:val="uk-UA"/>
              </w:rPr>
              <w:t>0,2</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14,78</w:t>
            </w:r>
            <w:r w:rsidRPr="006B4867">
              <w:rPr>
                <w:rFonts w:cstheme="minorHAnsi"/>
                <w:sz w:val="28"/>
                <w:szCs w:val="28"/>
                <w:lang w:val="uk-UA"/>
              </w:rPr>
              <w:t>±</w:t>
            </w:r>
            <w:r w:rsidRPr="006B4867">
              <w:rPr>
                <w:sz w:val="28"/>
                <w:szCs w:val="28"/>
                <w:lang w:val="uk-UA"/>
              </w:rPr>
              <w:t>0,7</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1,6</w:t>
            </w:r>
            <w:r w:rsidRPr="006B4867">
              <w:rPr>
                <w:rFonts w:cstheme="minorHAnsi"/>
                <w:sz w:val="28"/>
                <w:szCs w:val="28"/>
                <w:lang w:val="uk-UA"/>
              </w:rPr>
              <w:t>±</w:t>
            </w:r>
            <w:r w:rsidRPr="006B4867">
              <w:rPr>
                <w:sz w:val="28"/>
                <w:szCs w:val="28"/>
                <w:lang w:val="uk-UA"/>
              </w:rPr>
              <w:t>0,1</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8,8</w:t>
            </w:r>
            <w:r w:rsidRPr="006B4867">
              <w:rPr>
                <w:rFonts w:cstheme="minorHAnsi"/>
                <w:sz w:val="28"/>
                <w:szCs w:val="28"/>
                <w:lang w:val="uk-UA"/>
              </w:rPr>
              <w:t>±</w:t>
            </w:r>
            <w:r w:rsidRPr="006B4867">
              <w:rPr>
                <w:sz w:val="28"/>
                <w:szCs w:val="28"/>
                <w:lang w:val="uk-UA"/>
              </w:rPr>
              <w:t>5,8</w:t>
            </w:r>
          </w:p>
        </w:tc>
      </w:tr>
      <w:tr w:rsidR="006B4867" w:rsidRPr="006B4867" w:rsidTr="00513759">
        <w:tc>
          <w:tcPr>
            <w:tcW w:w="1595" w:type="dxa"/>
          </w:tcPr>
          <w:p w:rsidR="006B4867" w:rsidRPr="006B4867" w:rsidRDefault="006B4867" w:rsidP="006B4867">
            <w:pPr>
              <w:spacing w:line="360" w:lineRule="auto"/>
              <w:jc w:val="center"/>
              <w:rPr>
                <w:sz w:val="28"/>
                <w:szCs w:val="28"/>
                <w:lang w:val="uk-UA"/>
              </w:rPr>
            </w:pPr>
            <w:r w:rsidRPr="006B4867">
              <w:rPr>
                <w:sz w:val="28"/>
                <w:szCs w:val="28"/>
                <w:lang w:val="uk-UA"/>
              </w:rPr>
              <w:t xml:space="preserve">Хворі з </w:t>
            </w:r>
            <w:r w:rsidRPr="006B4867">
              <w:rPr>
                <w:rFonts w:cstheme="minorHAnsi"/>
                <w:sz w:val="28"/>
                <w:szCs w:val="28"/>
                <w:lang w:val="uk-UA"/>
              </w:rPr>
              <w:t>ІІ</w:t>
            </w:r>
            <w:r w:rsidRPr="006B4867">
              <w:rPr>
                <w:sz w:val="28"/>
                <w:szCs w:val="28"/>
                <w:lang w:val="uk-UA"/>
              </w:rPr>
              <w:t xml:space="preserve"> ст. акт-ті</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8,1</w:t>
            </w:r>
            <w:r w:rsidRPr="006B4867">
              <w:rPr>
                <w:rFonts w:cstheme="minorHAnsi"/>
                <w:sz w:val="28"/>
                <w:szCs w:val="28"/>
                <w:lang w:val="uk-UA"/>
              </w:rPr>
              <w:t>±</w:t>
            </w:r>
            <w:r w:rsidRPr="006B4867">
              <w:rPr>
                <w:sz w:val="28"/>
                <w:szCs w:val="28"/>
                <w:lang w:val="uk-UA"/>
              </w:rPr>
              <w:t>1,3</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3,5</w:t>
            </w:r>
            <w:r w:rsidRPr="006B4867">
              <w:rPr>
                <w:rFonts w:cstheme="minorHAnsi"/>
                <w:sz w:val="28"/>
                <w:szCs w:val="28"/>
                <w:lang w:val="uk-UA"/>
              </w:rPr>
              <w:t>±</w:t>
            </w:r>
            <w:r w:rsidRPr="006B4867">
              <w:rPr>
                <w:sz w:val="28"/>
                <w:szCs w:val="28"/>
                <w:lang w:val="uk-UA"/>
              </w:rPr>
              <w:t>0,2</w:t>
            </w:r>
            <w:r w:rsidRPr="006B4867">
              <w:rPr>
                <w:rFonts w:ascii="Calibri" w:hAnsi="Calibri" w:cs="Calibri"/>
                <w:sz w:val="28"/>
                <w:szCs w:val="28"/>
                <w:lang w:val="uk-UA"/>
              </w:rPr>
              <w:t>**</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15,97</w:t>
            </w:r>
            <w:r w:rsidRPr="006B4867">
              <w:rPr>
                <w:rFonts w:cstheme="minorHAnsi"/>
                <w:sz w:val="28"/>
                <w:szCs w:val="28"/>
                <w:lang w:val="uk-UA"/>
              </w:rPr>
              <w:t>±</w:t>
            </w:r>
            <w:r w:rsidRPr="006B4867">
              <w:rPr>
                <w:sz w:val="28"/>
                <w:szCs w:val="28"/>
                <w:lang w:val="uk-UA"/>
              </w:rPr>
              <w:t>0,5</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1,9</w:t>
            </w:r>
            <w:r w:rsidRPr="006B4867">
              <w:rPr>
                <w:rFonts w:cstheme="minorHAnsi"/>
                <w:sz w:val="28"/>
                <w:szCs w:val="28"/>
                <w:lang w:val="uk-UA"/>
              </w:rPr>
              <w:t>±</w:t>
            </w:r>
            <w:r w:rsidRPr="006B4867">
              <w:rPr>
                <w:sz w:val="28"/>
                <w:szCs w:val="28"/>
                <w:lang w:val="uk-UA"/>
              </w:rPr>
              <w:t>0,1</w:t>
            </w:r>
            <w:r w:rsidRPr="006B4867">
              <w:rPr>
                <w:rFonts w:ascii="Calibri" w:hAnsi="Calibri" w:cs="Calibri"/>
                <w:sz w:val="28"/>
                <w:szCs w:val="28"/>
                <w:lang w:val="uk-UA"/>
              </w:rPr>
              <w:t>**</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23,75</w:t>
            </w:r>
            <w:r w:rsidRPr="006B4867">
              <w:rPr>
                <w:rFonts w:cstheme="minorHAnsi"/>
                <w:sz w:val="28"/>
                <w:szCs w:val="28"/>
                <w:lang w:val="uk-UA"/>
              </w:rPr>
              <w:t>±</w:t>
            </w:r>
            <w:r w:rsidRPr="006B4867">
              <w:rPr>
                <w:sz w:val="28"/>
                <w:szCs w:val="28"/>
                <w:lang w:val="uk-UA"/>
              </w:rPr>
              <w:t>7,4</w:t>
            </w:r>
            <w:r w:rsidRPr="006B4867">
              <w:rPr>
                <w:rFonts w:ascii="Calibri" w:hAnsi="Calibri" w:cs="Calibri"/>
                <w:sz w:val="28"/>
                <w:szCs w:val="28"/>
                <w:lang w:val="uk-UA"/>
              </w:rPr>
              <w:t>**</w:t>
            </w:r>
          </w:p>
        </w:tc>
      </w:tr>
      <w:tr w:rsidR="006B4867" w:rsidRPr="006B4867" w:rsidTr="00513759">
        <w:tc>
          <w:tcPr>
            <w:tcW w:w="1595" w:type="dxa"/>
          </w:tcPr>
          <w:p w:rsidR="006B4867" w:rsidRPr="006B4867" w:rsidRDefault="006B4867" w:rsidP="006B4867">
            <w:pPr>
              <w:spacing w:line="360" w:lineRule="auto"/>
              <w:jc w:val="center"/>
              <w:rPr>
                <w:sz w:val="28"/>
                <w:szCs w:val="28"/>
                <w:lang w:val="uk-UA"/>
              </w:rPr>
            </w:pPr>
            <w:r w:rsidRPr="006B4867">
              <w:rPr>
                <w:sz w:val="28"/>
                <w:szCs w:val="28"/>
                <w:lang w:val="uk-UA"/>
              </w:rPr>
              <w:t xml:space="preserve">Хворі з </w:t>
            </w:r>
            <w:r w:rsidRPr="006B4867">
              <w:rPr>
                <w:rFonts w:cstheme="minorHAnsi"/>
                <w:sz w:val="28"/>
                <w:szCs w:val="28"/>
                <w:lang w:val="uk-UA"/>
              </w:rPr>
              <w:t>ІІІ</w:t>
            </w:r>
            <w:r w:rsidRPr="006B4867">
              <w:rPr>
                <w:sz w:val="28"/>
                <w:szCs w:val="28"/>
                <w:lang w:val="uk-UA"/>
              </w:rPr>
              <w:t xml:space="preserve"> ст. акт-ті</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10,65</w:t>
            </w:r>
            <w:r w:rsidRPr="006B4867">
              <w:rPr>
                <w:rFonts w:cstheme="minorHAnsi"/>
                <w:sz w:val="28"/>
                <w:szCs w:val="28"/>
                <w:lang w:val="uk-UA"/>
              </w:rPr>
              <w:t>±</w:t>
            </w:r>
            <w:r w:rsidRPr="006B4867">
              <w:rPr>
                <w:sz w:val="28"/>
                <w:szCs w:val="28"/>
                <w:lang w:val="uk-UA"/>
              </w:rPr>
              <w:t>1,3</w:t>
            </w:r>
            <w:r w:rsidRPr="006B4867">
              <w:rPr>
                <w:rFonts w:ascii="Calibri" w:hAnsi="Calibri" w:cs="Calibri"/>
                <w:sz w:val="28"/>
                <w:szCs w:val="28"/>
                <w:lang w:val="uk-UA"/>
              </w:rPr>
              <w:t>*</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3,5</w:t>
            </w:r>
            <w:r w:rsidRPr="006B4867">
              <w:rPr>
                <w:rFonts w:cstheme="minorHAnsi"/>
                <w:sz w:val="28"/>
                <w:szCs w:val="28"/>
                <w:lang w:val="uk-UA"/>
              </w:rPr>
              <w:t>±</w:t>
            </w:r>
            <w:r w:rsidRPr="006B4867">
              <w:rPr>
                <w:sz w:val="28"/>
                <w:szCs w:val="28"/>
                <w:lang w:val="uk-UA"/>
              </w:rPr>
              <w:t>0,1</w:t>
            </w:r>
            <w:r w:rsidRPr="006B4867">
              <w:rPr>
                <w:rFonts w:ascii="Calibri" w:hAnsi="Calibri" w:cs="Calibri"/>
                <w:sz w:val="28"/>
                <w:szCs w:val="28"/>
                <w:lang w:val="uk-UA"/>
              </w:rPr>
              <w:t>*</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15,94</w:t>
            </w:r>
            <w:r w:rsidRPr="006B4867">
              <w:rPr>
                <w:rFonts w:cstheme="minorHAnsi"/>
                <w:sz w:val="28"/>
                <w:szCs w:val="28"/>
                <w:lang w:val="uk-UA"/>
              </w:rPr>
              <w:t>±</w:t>
            </w:r>
            <w:r w:rsidRPr="006B4867">
              <w:rPr>
                <w:sz w:val="28"/>
                <w:szCs w:val="28"/>
                <w:lang w:val="uk-UA"/>
              </w:rPr>
              <w:t>0,3</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2,1</w:t>
            </w:r>
            <w:r w:rsidRPr="006B4867">
              <w:rPr>
                <w:rFonts w:cstheme="minorHAnsi"/>
                <w:sz w:val="28"/>
                <w:szCs w:val="28"/>
                <w:lang w:val="uk-UA"/>
              </w:rPr>
              <w:t>±</w:t>
            </w:r>
            <w:r w:rsidRPr="006B4867">
              <w:rPr>
                <w:sz w:val="28"/>
                <w:szCs w:val="28"/>
                <w:lang w:val="uk-UA"/>
              </w:rPr>
              <w:t>0,1</w:t>
            </w:r>
            <w:r w:rsidRPr="006B4867">
              <w:rPr>
                <w:rFonts w:ascii="Calibri" w:hAnsi="Calibri" w:cs="Calibri"/>
                <w:sz w:val="28"/>
                <w:szCs w:val="28"/>
                <w:lang w:val="uk-UA"/>
              </w:rPr>
              <w:t>*</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27</w:t>
            </w:r>
            <w:r w:rsidRPr="006B4867">
              <w:rPr>
                <w:rFonts w:cstheme="minorHAnsi"/>
                <w:sz w:val="28"/>
                <w:szCs w:val="28"/>
                <w:lang w:val="uk-UA"/>
              </w:rPr>
              <w:t>±</w:t>
            </w:r>
            <w:r w:rsidRPr="006B4867">
              <w:rPr>
                <w:sz w:val="28"/>
                <w:szCs w:val="28"/>
                <w:lang w:val="uk-UA"/>
              </w:rPr>
              <w:t>6,1</w:t>
            </w:r>
            <w:r w:rsidRPr="006B4867">
              <w:rPr>
                <w:rFonts w:ascii="Calibri" w:hAnsi="Calibri" w:cs="Calibri"/>
                <w:sz w:val="28"/>
                <w:szCs w:val="28"/>
                <w:lang w:val="uk-UA"/>
              </w:rPr>
              <w:t>*</w:t>
            </w:r>
          </w:p>
        </w:tc>
      </w:tr>
    </w:tbl>
    <w:p w:rsidR="006B4867" w:rsidRPr="006B4867" w:rsidRDefault="006B4867" w:rsidP="006B4867">
      <w:pPr>
        <w:spacing w:line="360" w:lineRule="auto"/>
        <w:ind w:firstLine="709"/>
        <w:jc w:val="both"/>
        <w:rPr>
          <w:rFonts w:cstheme="minorHAnsi"/>
          <w:sz w:val="24"/>
          <w:szCs w:val="24"/>
          <w:lang w:val="uk-UA"/>
        </w:rPr>
      </w:pPr>
      <w:r w:rsidRPr="006B4867">
        <w:rPr>
          <w:rFonts w:cstheme="minorHAnsi"/>
          <w:sz w:val="24"/>
          <w:szCs w:val="24"/>
          <w:lang w:val="uk-UA"/>
        </w:rPr>
        <w:t xml:space="preserve">Примітка: * р≤0,05 при порівнянні ІІІ ст. та І ст. активності ХП; ** р≤0,05 при порівнянні ІІ ст. та І ст. активності ХП.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lastRenderedPageBreak/>
        <w:t xml:space="preserve">Виявлено достовірний кореляційний зв’язок між рівнем СРБ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=0,67, р</w:t>
      </w:r>
      <w:r w:rsidRPr="006B4867">
        <w:rPr>
          <w:rFonts w:cstheme="minorHAnsi"/>
          <w:sz w:val="28"/>
          <w:szCs w:val="28"/>
          <w:lang w:val="uk-UA"/>
        </w:rPr>
        <w:t>≤</w:t>
      </w:r>
      <w:r w:rsidRPr="006B4867">
        <w:rPr>
          <w:sz w:val="28"/>
          <w:szCs w:val="28"/>
          <w:lang w:val="uk-UA"/>
        </w:rPr>
        <w:t>0,05) у хворих на ХП (малюнок 3.68).</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3BD39615" wp14:editId="3F317B12">
            <wp:extent cx="5657215" cy="4247515"/>
            <wp:effectExtent l="0" t="0" r="635" b="63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657215" cy="4247515"/>
                    </a:xfrm>
                    <a:prstGeom prst="rect">
                      <a:avLst/>
                    </a:prstGeom>
                    <a:noFill/>
                  </pic:spPr>
                </pic:pic>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Мал. 3.68 Взаємозв</w:t>
      </w:r>
      <w:r w:rsidRPr="006B4867">
        <w:rPr>
          <w:rFonts w:cstheme="minorHAnsi"/>
          <w:sz w:val="24"/>
          <w:szCs w:val="24"/>
          <w:lang w:val="uk-UA"/>
        </w:rPr>
        <w:t>'</w:t>
      </w:r>
      <w:r w:rsidRPr="006B4867">
        <w:rPr>
          <w:sz w:val="24"/>
          <w:szCs w:val="24"/>
          <w:lang w:val="uk-UA"/>
        </w:rPr>
        <w:t xml:space="preserve">язок СРБ та </w:t>
      </w:r>
      <w:r w:rsidRPr="006B4867">
        <w:rPr>
          <w:sz w:val="24"/>
          <w:szCs w:val="24"/>
          <w:lang w:val="en-US"/>
        </w:rPr>
        <w:t>IgM</w:t>
      </w:r>
      <w:r w:rsidRPr="006B4867">
        <w:rPr>
          <w:sz w:val="24"/>
          <w:szCs w:val="24"/>
          <w:lang w:val="uk-UA"/>
        </w:rPr>
        <w:t xml:space="preserve"> у хворих на ХП і ЦД 2 типу.</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У хворих на ХП з різними стадіями ХХН встановлено достовірно вищі рівні ІЛ-6 та </w:t>
      </w:r>
      <w:r w:rsidRPr="006B4867">
        <w:rPr>
          <w:sz w:val="28"/>
          <w:szCs w:val="28"/>
          <w:lang w:val="en-US"/>
        </w:rPr>
        <w:t>IgM</w:t>
      </w:r>
      <w:r w:rsidRPr="006B4867">
        <w:rPr>
          <w:sz w:val="28"/>
          <w:szCs w:val="28"/>
          <w:lang w:val="uk-UA"/>
        </w:rPr>
        <w:t xml:space="preserve"> у пацієнтів з начальною та вираженою ХНН (р</w:t>
      </w:r>
      <w:r w:rsidRPr="006B4867">
        <w:rPr>
          <w:rFonts w:cstheme="minorHAnsi"/>
          <w:sz w:val="28"/>
          <w:szCs w:val="28"/>
          <w:lang w:val="uk-UA"/>
        </w:rPr>
        <w:t>=</w:t>
      </w:r>
      <w:r w:rsidRPr="006B4867">
        <w:rPr>
          <w:sz w:val="28"/>
          <w:szCs w:val="28"/>
          <w:lang w:val="uk-UA"/>
        </w:rPr>
        <w:t xml:space="preserve">0,07 для ХХН </w:t>
      </w:r>
      <w:r w:rsidRPr="006B4867">
        <w:rPr>
          <w:rFonts w:cstheme="minorHAnsi"/>
          <w:sz w:val="28"/>
          <w:szCs w:val="28"/>
          <w:lang w:val="uk-UA"/>
        </w:rPr>
        <w:t>ІІІ</w:t>
      </w:r>
      <w:r w:rsidRPr="006B4867">
        <w:rPr>
          <w:sz w:val="28"/>
          <w:szCs w:val="28"/>
          <w:lang w:val="uk-UA"/>
        </w:rPr>
        <w:t xml:space="preserve"> ст., та р</w:t>
      </w:r>
      <w:r w:rsidRPr="006B4867">
        <w:rPr>
          <w:rFonts w:cstheme="minorHAnsi"/>
          <w:sz w:val="28"/>
          <w:szCs w:val="28"/>
          <w:lang w:val="uk-UA"/>
        </w:rPr>
        <w:t>≤</w:t>
      </w:r>
      <w:r w:rsidRPr="006B4867">
        <w:rPr>
          <w:sz w:val="28"/>
          <w:szCs w:val="28"/>
          <w:lang w:val="uk-UA"/>
        </w:rPr>
        <w:t xml:space="preserve">0,05 для ХХН </w:t>
      </w:r>
      <w:r w:rsidRPr="006B4867">
        <w:rPr>
          <w:rFonts w:cstheme="minorHAnsi"/>
          <w:sz w:val="28"/>
          <w:szCs w:val="28"/>
          <w:lang w:val="uk-UA"/>
        </w:rPr>
        <w:t>ІV</w:t>
      </w:r>
      <w:r w:rsidRPr="006B4867">
        <w:rPr>
          <w:sz w:val="28"/>
          <w:szCs w:val="28"/>
          <w:lang w:val="uk-UA"/>
        </w:rPr>
        <w:t xml:space="preserve"> ст.). Проте, у осіб з ХХН </w:t>
      </w:r>
      <w:r w:rsidRPr="006B4867">
        <w:rPr>
          <w:rFonts w:cstheme="minorHAnsi"/>
          <w:sz w:val="28"/>
          <w:szCs w:val="28"/>
          <w:lang w:val="uk-UA"/>
        </w:rPr>
        <w:t>І</w:t>
      </w:r>
      <w:r w:rsidRPr="006B4867">
        <w:rPr>
          <w:sz w:val="28"/>
          <w:szCs w:val="28"/>
          <w:lang w:val="uk-UA"/>
        </w:rPr>
        <w:t xml:space="preserve"> ст. встановлено достовірно більші значення СРБ (р</w:t>
      </w:r>
      <w:r w:rsidRPr="006B4867">
        <w:rPr>
          <w:rFonts w:cstheme="minorHAnsi"/>
          <w:sz w:val="28"/>
          <w:szCs w:val="28"/>
          <w:lang w:val="uk-UA"/>
        </w:rPr>
        <w:t>≤</w:t>
      </w:r>
      <w:r w:rsidRPr="006B4867">
        <w:rPr>
          <w:sz w:val="28"/>
          <w:szCs w:val="28"/>
          <w:lang w:val="uk-UA"/>
        </w:rPr>
        <w:t>0,05), таблиця 7.2.</w:t>
      </w:r>
    </w:p>
    <w:p w:rsidR="006B4867" w:rsidRPr="006B4867" w:rsidRDefault="006B4867" w:rsidP="006B4867">
      <w:pPr>
        <w:spacing w:after="0" w:line="360" w:lineRule="auto"/>
        <w:ind w:firstLine="709"/>
        <w:jc w:val="right"/>
        <w:rPr>
          <w:sz w:val="28"/>
          <w:szCs w:val="28"/>
          <w:lang w:val="uk-UA"/>
        </w:rPr>
      </w:pPr>
      <w:r w:rsidRPr="006B4867">
        <w:rPr>
          <w:sz w:val="28"/>
          <w:szCs w:val="28"/>
          <w:lang w:val="uk-UA"/>
        </w:rPr>
        <w:t>Таблиця 3.13</w:t>
      </w:r>
    </w:p>
    <w:p w:rsidR="006B4867" w:rsidRPr="006B4867" w:rsidRDefault="006B4867" w:rsidP="006B4867">
      <w:pPr>
        <w:spacing w:after="0" w:line="360" w:lineRule="auto"/>
        <w:ind w:firstLine="709"/>
        <w:jc w:val="center"/>
        <w:rPr>
          <w:sz w:val="28"/>
          <w:szCs w:val="28"/>
          <w:lang w:val="uk-UA"/>
        </w:rPr>
      </w:pPr>
      <w:r w:rsidRPr="006B4867">
        <w:rPr>
          <w:b/>
          <w:sz w:val="28"/>
          <w:szCs w:val="28"/>
          <w:lang w:val="uk-UA"/>
        </w:rPr>
        <w:t xml:space="preserve">Маркери імунологічного запалення у хворих на ХП і ЦД 2 типу в залежності від стадії ХХН </w:t>
      </w:r>
    </w:p>
    <w:tbl>
      <w:tblPr>
        <w:tblStyle w:val="ae"/>
        <w:tblW w:w="0" w:type="auto"/>
        <w:tblLook w:val="04A0" w:firstRow="1" w:lastRow="0" w:firstColumn="1" w:lastColumn="0" w:noHBand="0" w:noVBand="1"/>
      </w:tblPr>
      <w:tblGrid>
        <w:gridCol w:w="1588"/>
        <w:gridCol w:w="1594"/>
        <w:gridCol w:w="1593"/>
        <w:gridCol w:w="1593"/>
        <w:gridCol w:w="1593"/>
        <w:gridCol w:w="1610"/>
      </w:tblGrid>
      <w:tr w:rsidR="006B4867" w:rsidRPr="006B4867" w:rsidTr="00513759">
        <w:tc>
          <w:tcPr>
            <w:tcW w:w="1595" w:type="dxa"/>
          </w:tcPr>
          <w:p w:rsidR="006B4867" w:rsidRPr="006B4867" w:rsidRDefault="006B4867" w:rsidP="006B4867">
            <w:pPr>
              <w:spacing w:line="360" w:lineRule="auto"/>
              <w:jc w:val="both"/>
              <w:rPr>
                <w:sz w:val="28"/>
                <w:szCs w:val="28"/>
                <w:lang w:val="uk-UA"/>
              </w:rPr>
            </w:pP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IL</w:t>
            </w:r>
            <w:r w:rsidRPr="006B4867">
              <w:rPr>
                <w:b/>
                <w:sz w:val="28"/>
                <w:szCs w:val="28"/>
                <w:lang w:val="uk-UA"/>
              </w:rPr>
              <w:t>6</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IgA</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IgG</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IgM</w:t>
            </w:r>
          </w:p>
        </w:tc>
        <w:tc>
          <w:tcPr>
            <w:tcW w:w="1596" w:type="dxa"/>
          </w:tcPr>
          <w:p w:rsidR="006B4867" w:rsidRPr="006B4867" w:rsidRDefault="006B4867" w:rsidP="006B4867">
            <w:pPr>
              <w:spacing w:line="360" w:lineRule="auto"/>
              <w:jc w:val="center"/>
              <w:rPr>
                <w:b/>
                <w:sz w:val="28"/>
                <w:szCs w:val="28"/>
                <w:lang w:val="uk-UA"/>
              </w:rPr>
            </w:pPr>
            <w:r w:rsidRPr="006B4867">
              <w:rPr>
                <w:b/>
                <w:sz w:val="28"/>
                <w:szCs w:val="28"/>
                <w:lang w:val="uk-UA"/>
              </w:rPr>
              <w:t>СРБ</w:t>
            </w:r>
          </w:p>
        </w:tc>
      </w:tr>
      <w:tr w:rsidR="006B4867" w:rsidRPr="006B4867" w:rsidTr="00513759">
        <w:tc>
          <w:tcPr>
            <w:tcW w:w="1595" w:type="dxa"/>
          </w:tcPr>
          <w:p w:rsidR="006B4867" w:rsidRPr="006B4867" w:rsidRDefault="006B4867" w:rsidP="006B4867">
            <w:pPr>
              <w:spacing w:line="360" w:lineRule="auto"/>
              <w:jc w:val="center"/>
              <w:rPr>
                <w:sz w:val="28"/>
                <w:szCs w:val="28"/>
                <w:lang w:val="uk-UA"/>
              </w:rPr>
            </w:pPr>
            <w:r w:rsidRPr="006B4867">
              <w:rPr>
                <w:sz w:val="28"/>
                <w:szCs w:val="28"/>
                <w:lang w:val="uk-UA"/>
              </w:rPr>
              <w:t xml:space="preserve">ХХН </w:t>
            </w:r>
            <w:r w:rsidRPr="006B4867">
              <w:rPr>
                <w:rFonts w:cstheme="minorHAnsi"/>
                <w:sz w:val="28"/>
                <w:szCs w:val="28"/>
                <w:lang w:val="uk-UA"/>
              </w:rPr>
              <w:t>І</w:t>
            </w:r>
            <w:r w:rsidRPr="006B4867">
              <w:rPr>
                <w:sz w:val="28"/>
                <w:szCs w:val="28"/>
                <w:lang w:val="uk-UA"/>
              </w:rPr>
              <w:t xml:space="preserve"> ст.</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8,2</w:t>
            </w:r>
            <w:r w:rsidRPr="006B4867">
              <w:rPr>
                <w:rFonts w:cstheme="minorHAnsi"/>
                <w:sz w:val="28"/>
                <w:szCs w:val="28"/>
                <w:lang w:val="uk-UA"/>
              </w:rPr>
              <w:t>±</w:t>
            </w:r>
            <w:r w:rsidRPr="006B4867">
              <w:rPr>
                <w:sz w:val="28"/>
                <w:szCs w:val="28"/>
                <w:lang w:val="uk-UA"/>
              </w:rPr>
              <w:t>2,4</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3,04</w:t>
            </w:r>
            <w:r w:rsidRPr="006B4867">
              <w:rPr>
                <w:rFonts w:cstheme="minorHAnsi"/>
                <w:sz w:val="28"/>
                <w:szCs w:val="28"/>
                <w:lang w:val="uk-UA"/>
              </w:rPr>
              <w:t>±</w:t>
            </w:r>
            <w:r w:rsidRPr="006B4867">
              <w:rPr>
                <w:sz w:val="28"/>
                <w:szCs w:val="28"/>
                <w:lang w:val="uk-UA"/>
              </w:rPr>
              <w:t>0,1</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15,43</w:t>
            </w:r>
            <w:r w:rsidRPr="006B4867">
              <w:rPr>
                <w:rFonts w:cstheme="minorHAnsi"/>
                <w:sz w:val="28"/>
                <w:szCs w:val="28"/>
                <w:lang w:val="uk-UA"/>
              </w:rPr>
              <w:t>±</w:t>
            </w:r>
            <w:r w:rsidRPr="006B4867">
              <w:rPr>
                <w:sz w:val="28"/>
                <w:szCs w:val="28"/>
                <w:lang w:val="uk-UA"/>
              </w:rPr>
              <w:t>0,7</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1,7</w:t>
            </w:r>
            <w:r w:rsidRPr="006B4867">
              <w:rPr>
                <w:rFonts w:cstheme="minorHAnsi"/>
                <w:sz w:val="28"/>
                <w:szCs w:val="28"/>
                <w:lang w:val="uk-UA"/>
              </w:rPr>
              <w:t>±</w:t>
            </w:r>
            <w:r w:rsidRPr="006B4867">
              <w:rPr>
                <w:sz w:val="28"/>
                <w:szCs w:val="28"/>
                <w:lang w:val="uk-UA"/>
              </w:rPr>
              <w:t>0,2</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32,25</w:t>
            </w:r>
            <w:r w:rsidRPr="006B4867">
              <w:rPr>
                <w:rFonts w:cstheme="minorHAnsi"/>
                <w:sz w:val="28"/>
                <w:szCs w:val="28"/>
                <w:lang w:val="uk-UA"/>
              </w:rPr>
              <w:t>±</w:t>
            </w:r>
            <w:r w:rsidRPr="006B4867">
              <w:rPr>
                <w:sz w:val="28"/>
                <w:szCs w:val="28"/>
                <w:lang w:val="uk-UA"/>
              </w:rPr>
              <w:t>10,2</w:t>
            </w:r>
            <w:r w:rsidRPr="006B4867">
              <w:rPr>
                <w:rFonts w:cstheme="minorHAnsi"/>
                <w:sz w:val="24"/>
                <w:szCs w:val="24"/>
                <w:lang w:val="uk-UA"/>
              </w:rPr>
              <w:t>#</w:t>
            </w:r>
          </w:p>
        </w:tc>
      </w:tr>
      <w:tr w:rsidR="006B4867" w:rsidRPr="006B4867" w:rsidTr="00513759">
        <w:tc>
          <w:tcPr>
            <w:tcW w:w="1595" w:type="dxa"/>
          </w:tcPr>
          <w:p w:rsidR="006B4867" w:rsidRPr="006B4867" w:rsidRDefault="006B4867" w:rsidP="006B4867">
            <w:pPr>
              <w:rPr>
                <w:lang w:val="uk-UA"/>
              </w:rPr>
            </w:pPr>
            <w:r w:rsidRPr="006B4867">
              <w:rPr>
                <w:sz w:val="28"/>
                <w:szCs w:val="28"/>
                <w:lang w:val="uk-UA"/>
              </w:rPr>
              <w:t xml:space="preserve">ХХН </w:t>
            </w:r>
            <w:r w:rsidRPr="006B4867">
              <w:rPr>
                <w:rFonts w:cstheme="minorHAnsi"/>
                <w:sz w:val="28"/>
                <w:szCs w:val="28"/>
                <w:lang w:val="uk-UA"/>
              </w:rPr>
              <w:t>ІІ</w:t>
            </w:r>
            <w:r w:rsidRPr="006B4867">
              <w:rPr>
                <w:sz w:val="28"/>
                <w:szCs w:val="28"/>
                <w:lang w:val="uk-UA"/>
              </w:rPr>
              <w:t xml:space="preserve"> ст.</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7,89</w:t>
            </w:r>
            <w:r w:rsidRPr="006B4867">
              <w:rPr>
                <w:rFonts w:cstheme="minorHAnsi"/>
                <w:sz w:val="28"/>
                <w:szCs w:val="28"/>
                <w:lang w:val="uk-UA"/>
              </w:rPr>
              <w:t>±</w:t>
            </w:r>
            <w:r w:rsidRPr="006B4867">
              <w:rPr>
                <w:sz w:val="28"/>
                <w:szCs w:val="28"/>
                <w:lang w:val="uk-UA"/>
              </w:rPr>
              <w:t>1,8</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3,2</w:t>
            </w:r>
            <w:r w:rsidRPr="006B4867">
              <w:rPr>
                <w:rFonts w:cstheme="minorHAnsi"/>
                <w:sz w:val="28"/>
                <w:szCs w:val="28"/>
                <w:lang w:val="uk-UA"/>
              </w:rPr>
              <w:t>±</w:t>
            </w:r>
            <w:r w:rsidRPr="006B4867">
              <w:rPr>
                <w:sz w:val="28"/>
                <w:szCs w:val="28"/>
                <w:lang w:val="uk-UA"/>
              </w:rPr>
              <w:t>0,3</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15,44</w:t>
            </w:r>
            <w:r w:rsidRPr="006B4867">
              <w:rPr>
                <w:rFonts w:cstheme="minorHAnsi"/>
                <w:sz w:val="28"/>
                <w:szCs w:val="28"/>
                <w:lang w:val="uk-UA"/>
              </w:rPr>
              <w:t>±</w:t>
            </w:r>
            <w:r w:rsidRPr="006B4867">
              <w:rPr>
                <w:sz w:val="28"/>
                <w:szCs w:val="28"/>
                <w:lang w:val="uk-UA"/>
              </w:rPr>
              <w:t>0,9</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1,7</w:t>
            </w:r>
            <w:r w:rsidRPr="006B4867">
              <w:rPr>
                <w:rFonts w:cstheme="minorHAnsi"/>
                <w:sz w:val="28"/>
                <w:szCs w:val="28"/>
                <w:lang w:val="uk-UA"/>
              </w:rPr>
              <w:t>±</w:t>
            </w:r>
            <w:r w:rsidRPr="006B4867">
              <w:rPr>
                <w:sz w:val="28"/>
                <w:szCs w:val="28"/>
                <w:lang w:val="uk-UA"/>
              </w:rPr>
              <w:t>0,2</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15,52</w:t>
            </w:r>
            <w:r w:rsidRPr="006B4867">
              <w:rPr>
                <w:rFonts w:cstheme="minorHAnsi"/>
                <w:sz w:val="28"/>
                <w:szCs w:val="28"/>
                <w:lang w:val="uk-UA"/>
              </w:rPr>
              <w:t>±</w:t>
            </w:r>
            <w:r w:rsidRPr="006B4867">
              <w:rPr>
                <w:sz w:val="28"/>
                <w:szCs w:val="28"/>
                <w:lang w:val="uk-UA"/>
              </w:rPr>
              <w:t>7,6</w:t>
            </w:r>
          </w:p>
        </w:tc>
      </w:tr>
      <w:tr w:rsidR="006B4867" w:rsidRPr="006B4867" w:rsidTr="00513759">
        <w:tc>
          <w:tcPr>
            <w:tcW w:w="1595" w:type="dxa"/>
          </w:tcPr>
          <w:p w:rsidR="006B4867" w:rsidRPr="006B4867" w:rsidRDefault="006B4867" w:rsidP="006B4867">
            <w:r w:rsidRPr="006B4867">
              <w:rPr>
                <w:sz w:val="28"/>
                <w:szCs w:val="28"/>
                <w:lang w:val="uk-UA"/>
              </w:rPr>
              <w:t xml:space="preserve">ХХН </w:t>
            </w:r>
            <w:r w:rsidRPr="006B4867">
              <w:rPr>
                <w:rFonts w:cstheme="minorHAnsi"/>
                <w:sz w:val="28"/>
                <w:szCs w:val="28"/>
                <w:lang w:val="uk-UA"/>
              </w:rPr>
              <w:t>ІІІ</w:t>
            </w:r>
            <w:r w:rsidRPr="006B4867">
              <w:rPr>
                <w:sz w:val="28"/>
                <w:szCs w:val="28"/>
                <w:lang w:val="uk-UA"/>
              </w:rPr>
              <w:t xml:space="preserve"> ст.</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8,9</w:t>
            </w:r>
            <w:r w:rsidRPr="006B4867">
              <w:rPr>
                <w:rFonts w:cstheme="minorHAnsi"/>
                <w:sz w:val="28"/>
                <w:szCs w:val="28"/>
                <w:lang w:val="uk-UA"/>
              </w:rPr>
              <w:t>±</w:t>
            </w:r>
            <w:r w:rsidRPr="006B4867">
              <w:rPr>
                <w:sz w:val="28"/>
                <w:szCs w:val="28"/>
                <w:lang w:val="uk-UA"/>
              </w:rPr>
              <w:t>1,5</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3,5</w:t>
            </w:r>
            <w:r w:rsidRPr="006B4867">
              <w:rPr>
                <w:rFonts w:cstheme="minorHAnsi"/>
                <w:sz w:val="28"/>
                <w:szCs w:val="28"/>
                <w:lang w:val="uk-UA"/>
              </w:rPr>
              <w:t>±</w:t>
            </w:r>
            <w:r w:rsidRPr="006B4867">
              <w:rPr>
                <w:sz w:val="28"/>
                <w:szCs w:val="28"/>
                <w:lang w:val="uk-UA"/>
              </w:rPr>
              <w:t>0,2</w:t>
            </w:r>
            <w:r w:rsidRPr="006B4867">
              <w:rPr>
                <w:rFonts w:ascii="Calibri" w:hAnsi="Calibri" w:cs="Calibri"/>
                <w:sz w:val="28"/>
                <w:szCs w:val="28"/>
                <w:lang w:val="uk-UA"/>
              </w:rPr>
              <w:t>**</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15,71</w:t>
            </w:r>
            <w:r w:rsidRPr="006B4867">
              <w:rPr>
                <w:rFonts w:cstheme="minorHAnsi"/>
                <w:sz w:val="28"/>
                <w:szCs w:val="28"/>
                <w:lang w:val="uk-UA"/>
              </w:rPr>
              <w:t>±</w:t>
            </w:r>
            <w:r w:rsidRPr="006B4867">
              <w:rPr>
                <w:sz w:val="28"/>
                <w:szCs w:val="28"/>
                <w:lang w:val="uk-UA"/>
              </w:rPr>
              <w:t>0,6</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2,1</w:t>
            </w:r>
            <w:r w:rsidRPr="006B4867">
              <w:rPr>
                <w:rFonts w:cstheme="minorHAnsi"/>
                <w:sz w:val="28"/>
                <w:szCs w:val="28"/>
                <w:lang w:val="uk-UA"/>
              </w:rPr>
              <w:t>±</w:t>
            </w:r>
            <w:r w:rsidRPr="006B4867">
              <w:rPr>
                <w:sz w:val="28"/>
                <w:szCs w:val="28"/>
                <w:lang w:val="uk-UA"/>
              </w:rPr>
              <w:t>0,1</w:t>
            </w:r>
            <w:r w:rsidRPr="006B4867">
              <w:rPr>
                <w:rFonts w:ascii="Calibri" w:hAnsi="Calibri" w:cs="Calibri"/>
                <w:sz w:val="28"/>
                <w:szCs w:val="28"/>
                <w:lang w:val="uk-UA"/>
              </w:rPr>
              <w:t>**</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13,76</w:t>
            </w:r>
            <w:r w:rsidRPr="006B4867">
              <w:rPr>
                <w:rFonts w:cstheme="minorHAnsi"/>
                <w:sz w:val="28"/>
                <w:szCs w:val="28"/>
                <w:lang w:val="uk-UA"/>
              </w:rPr>
              <w:t>±</w:t>
            </w:r>
            <w:r w:rsidRPr="006B4867">
              <w:rPr>
                <w:sz w:val="28"/>
                <w:szCs w:val="28"/>
                <w:lang w:val="uk-UA"/>
              </w:rPr>
              <w:t>4,04</w:t>
            </w:r>
          </w:p>
        </w:tc>
      </w:tr>
      <w:tr w:rsidR="006B4867" w:rsidRPr="006B4867" w:rsidTr="00513759">
        <w:tc>
          <w:tcPr>
            <w:tcW w:w="1595" w:type="dxa"/>
          </w:tcPr>
          <w:p w:rsidR="006B4867" w:rsidRPr="006B4867" w:rsidRDefault="006B4867" w:rsidP="006B4867">
            <w:r w:rsidRPr="006B4867">
              <w:rPr>
                <w:sz w:val="28"/>
                <w:szCs w:val="28"/>
                <w:lang w:val="uk-UA"/>
              </w:rPr>
              <w:t xml:space="preserve">ХХН </w:t>
            </w:r>
            <w:r w:rsidRPr="006B4867">
              <w:rPr>
                <w:rFonts w:cstheme="minorHAnsi"/>
                <w:sz w:val="28"/>
                <w:szCs w:val="28"/>
                <w:lang w:val="uk-UA"/>
              </w:rPr>
              <w:t>ІV</w:t>
            </w:r>
            <w:r w:rsidRPr="006B4867">
              <w:rPr>
                <w:sz w:val="28"/>
                <w:szCs w:val="28"/>
                <w:lang w:val="uk-UA"/>
              </w:rPr>
              <w:t xml:space="preserve"> ст.</w:t>
            </w:r>
          </w:p>
        </w:tc>
        <w:tc>
          <w:tcPr>
            <w:tcW w:w="1595" w:type="dxa"/>
            <w:vAlign w:val="center"/>
          </w:tcPr>
          <w:p w:rsidR="006B4867" w:rsidRPr="006B4867" w:rsidRDefault="006B4867" w:rsidP="006B4867">
            <w:pPr>
              <w:jc w:val="center"/>
            </w:pPr>
            <w:r w:rsidRPr="006B4867">
              <w:rPr>
                <w:sz w:val="28"/>
                <w:szCs w:val="28"/>
                <w:lang w:val="uk-UA"/>
              </w:rPr>
              <w:t>11,12</w:t>
            </w:r>
            <w:r w:rsidRPr="006B4867">
              <w:rPr>
                <w:rFonts w:cstheme="minorHAnsi"/>
                <w:sz w:val="28"/>
                <w:szCs w:val="28"/>
                <w:lang w:val="uk-UA"/>
              </w:rPr>
              <w:t>±</w:t>
            </w:r>
            <w:r w:rsidRPr="006B4867">
              <w:rPr>
                <w:sz w:val="28"/>
                <w:szCs w:val="28"/>
                <w:lang w:val="uk-UA"/>
              </w:rPr>
              <w:t>1,4</w:t>
            </w:r>
            <w:r w:rsidRPr="006B4867">
              <w:rPr>
                <w:rFonts w:ascii="Calibri" w:hAnsi="Calibri" w:cs="Calibri"/>
                <w:sz w:val="28"/>
                <w:szCs w:val="28"/>
                <w:lang w:val="uk-UA"/>
              </w:rPr>
              <w:t>*</w:t>
            </w:r>
          </w:p>
        </w:tc>
        <w:tc>
          <w:tcPr>
            <w:tcW w:w="1595" w:type="dxa"/>
            <w:vAlign w:val="center"/>
          </w:tcPr>
          <w:p w:rsidR="006B4867" w:rsidRPr="006B4867" w:rsidRDefault="006B4867" w:rsidP="006B4867">
            <w:pPr>
              <w:jc w:val="center"/>
            </w:pPr>
            <w:r w:rsidRPr="006B4867">
              <w:rPr>
                <w:sz w:val="28"/>
                <w:szCs w:val="28"/>
                <w:lang w:val="uk-UA"/>
              </w:rPr>
              <w:t>3,3</w:t>
            </w:r>
            <w:r w:rsidRPr="006B4867">
              <w:rPr>
                <w:rFonts w:cstheme="minorHAnsi"/>
                <w:sz w:val="28"/>
                <w:szCs w:val="28"/>
                <w:lang w:val="uk-UA"/>
              </w:rPr>
              <w:t>±</w:t>
            </w:r>
            <w:r w:rsidRPr="006B4867">
              <w:rPr>
                <w:sz w:val="28"/>
                <w:szCs w:val="28"/>
                <w:lang w:val="uk-UA"/>
              </w:rPr>
              <w:t>0,1</w:t>
            </w:r>
          </w:p>
        </w:tc>
        <w:tc>
          <w:tcPr>
            <w:tcW w:w="1595" w:type="dxa"/>
            <w:vAlign w:val="center"/>
          </w:tcPr>
          <w:p w:rsidR="006B4867" w:rsidRPr="006B4867" w:rsidRDefault="006B4867" w:rsidP="006B4867">
            <w:pPr>
              <w:jc w:val="center"/>
            </w:pPr>
            <w:r w:rsidRPr="006B4867">
              <w:rPr>
                <w:sz w:val="28"/>
                <w:szCs w:val="28"/>
                <w:lang w:val="uk-UA"/>
              </w:rPr>
              <w:t>15,74</w:t>
            </w:r>
            <w:r w:rsidRPr="006B4867">
              <w:rPr>
                <w:rFonts w:cstheme="minorHAnsi"/>
                <w:sz w:val="28"/>
                <w:szCs w:val="28"/>
                <w:lang w:val="uk-UA"/>
              </w:rPr>
              <w:t>±</w:t>
            </w:r>
            <w:r w:rsidRPr="006B4867">
              <w:rPr>
                <w:sz w:val="28"/>
                <w:szCs w:val="28"/>
                <w:lang w:val="uk-UA"/>
              </w:rPr>
              <w:t>0,4</w:t>
            </w:r>
          </w:p>
        </w:tc>
        <w:tc>
          <w:tcPr>
            <w:tcW w:w="1595" w:type="dxa"/>
            <w:vAlign w:val="center"/>
          </w:tcPr>
          <w:p w:rsidR="006B4867" w:rsidRPr="006B4867" w:rsidRDefault="006B4867" w:rsidP="006B4867">
            <w:pPr>
              <w:jc w:val="center"/>
            </w:pPr>
            <w:r w:rsidRPr="006B4867">
              <w:rPr>
                <w:sz w:val="28"/>
                <w:szCs w:val="28"/>
                <w:lang w:val="uk-UA"/>
              </w:rPr>
              <w:t>2,0</w:t>
            </w:r>
            <w:r w:rsidRPr="006B4867">
              <w:rPr>
                <w:rFonts w:cstheme="minorHAnsi"/>
                <w:sz w:val="28"/>
                <w:szCs w:val="28"/>
                <w:lang w:val="uk-UA"/>
              </w:rPr>
              <w:t>±0,1</w:t>
            </w:r>
            <w:r w:rsidRPr="006B4867">
              <w:rPr>
                <w:rFonts w:ascii="Calibri" w:hAnsi="Calibri" w:cs="Calibri"/>
                <w:sz w:val="28"/>
                <w:szCs w:val="28"/>
                <w:lang w:val="uk-UA"/>
              </w:rPr>
              <w:t>*</w:t>
            </w:r>
          </w:p>
        </w:tc>
        <w:tc>
          <w:tcPr>
            <w:tcW w:w="1596" w:type="dxa"/>
            <w:vAlign w:val="center"/>
          </w:tcPr>
          <w:p w:rsidR="006B4867" w:rsidRPr="006B4867" w:rsidRDefault="006B4867" w:rsidP="006B4867">
            <w:pPr>
              <w:jc w:val="center"/>
            </w:pPr>
            <w:r w:rsidRPr="006B4867">
              <w:rPr>
                <w:sz w:val="28"/>
                <w:szCs w:val="28"/>
                <w:lang w:val="uk-UA"/>
              </w:rPr>
              <w:t>24,78</w:t>
            </w:r>
            <w:r w:rsidRPr="006B4867">
              <w:rPr>
                <w:rFonts w:cstheme="minorHAnsi"/>
                <w:sz w:val="28"/>
                <w:szCs w:val="28"/>
                <w:lang w:val="uk-UA"/>
              </w:rPr>
              <w:t>±</w:t>
            </w:r>
            <w:r w:rsidRPr="006B4867">
              <w:rPr>
                <w:sz w:val="28"/>
                <w:szCs w:val="28"/>
                <w:lang w:val="uk-UA"/>
              </w:rPr>
              <w:t>7,7</w:t>
            </w:r>
          </w:p>
        </w:tc>
      </w:tr>
    </w:tbl>
    <w:p w:rsidR="006B4867" w:rsidRPr="006B4867" w:rsidRDefault="006B4867" w:rsidP="006B4867">
      <w:pPr>
        <w:spacing w:line="360" w:lineRule="auto"/>
        <w:jc w:val="both"/>
        <w:rPr>
          <w:rFonts w:cstheme="minorHAnsi"/>
          <w:sz w:val="24"/>
          <w:szCs w:val="24"/>
          <w:lang w:val="uk-UA"/>
        </w:rPr>
      </w:pPr>
      <w:r w:rsidRPr="006B4867">
        <w:rPr>
          <w:rFonts w:cstheme="minorHAnsi"/>
          <w:sz w:val="24"/>
          <w:szCs w:val="24"/>
          <w:lang w:val="uk-UA"/>
        </w:rPr>
        <w:lastRenderedPageBreak/>
        <w:t>Примітка: * р≤0,05 при порівнянні ІV ст. та І ст. ХХН; ** р≤0,05 при порівнянні ІІІ та І ст. ХХН; # р≤0,05 при порівнянні І ст. та ІІІ ст. ХХН.</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При подальшому аналізі кореляційних зв’язків встановлено прямий кореляційний зв’язок між рівнем ІЛ-6 та креатиніном крові (</w:t>
      </w:r>
      <w:r w:rsidRPr="006B4867">
        <w:rPr>
          <w:sz w:val="28"/>
          <w:szCs w:val="28"/>
          <w:lang w:val="en-US"/>
        </w:rPr>
        <w:t>r</w:t>
      </w:r>
      <w:r w:rsidRPr="006B4867">
        <w:rPr>
          <w:sz w:val="28"/>
          <w:szCs w:val="28"/>
          <w:lang w:val="uk-UA"/>
        </w:rPr>
        <w:t>=0,2) протеїнурією (</w:t>
      </w:r>
      <w:r w:rsidRPr="006B4867">
        <w:rPr>
          <w:sz w:val="28"/>
          <w:szCs w:val="28"/>
          <w:lang w:val="en-US"/>
        </w:rPr>
        <w:t>r</w:t>
      </w:r>
      <w:r w:rsidRPr="006B4867">
        <w:rPr>
          <w:sz w:val="28"/>
          <w:szCs w:val="28"/>
          <w:lang w:val="uk-UA"/>
        </w:rPr>
        <w:t>=0,1), лейкоцитурією (</w:t>
      </w:r>
      <w:r w:rsidRPr="006B4867">
        <w:rPr>
          <w:sz w:val="28"/>
          <w:szCs w:val="28"/>
          <w:lang w:val="en-US"/>
        </w:rPr>
        <w:t>r</w:t>
      </w:r>
      <w:r w:rsidRPr="006B4867">
        <w:rPr>
          <w:sz w:val="28"/>
          <w:szCs w:val="28"/>
          <w:lang w:val="uk-UA"/>
        </w:rPr>
        <w:t xml:space="preserve">=0,2) і негативний кореляційний зв'язок між рівнем </w:t>
      </w:r>
      <w:r w:rsidRPr="006B4867">
        <w:rPr>
          <w:sz w:val="28"/>
          <w:szCs w:val="28"/>
          <w:lang w:val="en-US"/>
        </w:rPr>
        <w:t>IL</w:t>
      </w:r>
      <w:r w:rsidRPr="006B4867">
        <w:rPr>
          <w:sz w:val="28"/>
          <w:szCs w:val="28"/>
          <w:lang w:val="uk-UA"/>
        </w:rPr>
        <w:t>-6 та ШКФ (</w:t>
      </w:r>
      <w:r w:rsidRPr="006B4867">
        <w:rPr>
          <w:sz w:val="28"/>
          <w:szCs w:val="28"/>
          <w:lang w:val="en-US"/>
        </w:rPr>
        <w:t>r</w:t>
      </w:r>
      <w:r w:rsidRPr="006B4867">
        <w:rPr>
          <w:sz w:val="28"/>
          <w:szCs w:val="28"/>
          <w:lang w:val="uk-UA"/>
        </w:rPr>
        <w:t>=-0,2) і САТ (</w:t>
      </w:r>
      <w:r w:rsidRPr="006B4867">
        <w:rPr>
          <w:sz w:val="28"/>
          <w:szCs w:val="28"/>
          <w:lang w:val="en-US"/>
        </w:rPr>
        <w:t>r</w:t>
      </w:r>
      <w:r w:rsidRPr="006B4867">
        <w:rPr>
          <w:sz w:val="28"/>
          <w:szCs w:val="28"/>
          <w:lang w:val="uk-UA"/>
        </w:rPr>
        <w:t>=-0,2), проте ці коефіцієнти не досягали достовірності (р</w:t>
      </w:r>
      <w:r w:rsidRPr="006B4867">
        <w:rPr>
          <w:rFonts w:cstheme="minorHAnsi"/>
          <w:sz w:val="28"/>
          <w:szCs w:val="28"/>
          <w:lang w:val="uk-UA"/>
        </w:rPr>
        <w:t>≥</w:t>
      </w:r>
      <w:r w:rsidRPr="006B4867">
        <w:rPr>
          <w:sz w:val="28"/>
          <w:szCs w:val="28"/>
          <w:lang w:val="uk-UA"/>
        </w:rPr>
        <w:t xml:space="preserve">0,05).  </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Отже, у хворих на ХП і супутній ЦД 2 типу спостерігається підвищення імунологічних маркерів системного запалення, особливо це достовірно для пацієнтів з </w:t>
      </w:r>
      <w:r w:rsidRPr="006B4867">
        <w:rPr>
          <w:rFonts w:cstheme="minorHAnsi"/>
          <w:sz w:val="28"/>
          <w:szCs w:val="28"/>
          <w:lang w:val="uk-UA"/>
        </w:rPr>
        <w:t>ІІІ</w:t>
      </w:r>
      <w:r w:rsidRPr="006B4867">
        <w:rPr>
          <w:sz w:val="28"/>
          <w:szCs w:val="28"/>
          <w:lang w:val="uk-UA"/>
        </w:rPr>
        <w:t xml:space="preserve"> ступенем активності захворювання. Встановлено достовірні кореляційні зв’язки між рівнем СРБ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=0,67, р</w:t>
      </w:r>
      <w:r w:rsidRPr="006B4867">
        <w:rPr>
          <w:rFonts w:cstheme="minorHAnsi"/>
          <w:sz w:val="28"/>
          <w:szCs w:val="28"/>
          <w:lang w:val="uk-UA"/>
        </w:rPr>
        <w:t>≤</w:t>
      </w:r>
      <w:r w:rsidRPr="006B4867">
        <w:rPr>
          <w:sz w:val="28"/>
          <w:szCs w:val="28"/>
          <w:lang w:val="uk-UA"/>
        </w:rPr>
        <w:t xml:space="preserve">0,05). У хворих з ХХН </w:t>
      </w:r>
      <w:r w:rsidRPr="006B4867">
        <w:rPr>
          <w:rFonts w:cstheme="minorHAnsi"/>
          <w:sz w:val="28"/>
          <w:szCs w:val="28"/>
          <w:lang w:val="uk-UA"/>
        </w:rPr>
        <w:t>ІІІ</w:t>
      </w:r>
      <w:r w:rsidRPr="006B4867">
        <w:rPr>
          <w:sz w:val="28"/>
          <w:szCs w:val="28"/>
          <w:lang w:val="uk-UA"/>
        </w:rPr>
        <w:t xml:space="preserve"> ст. та ХХН</w:t>
      </w:r>
      <w:r w:rsidRPr="006B4867">
        <w:rPr>
          <w:rFonts w:cstheme="minorHAnsi"/>
          <w:sz w:val="28"/>
          <w:szCs w:val="28"/>
          <w:lang w:val="uk-UA"/>
        </w:rPr>
        <w:t xml:space="preserve"> ІV</w:t>
      </w:r>
      <w:r w:rsidRPr="006B4867">
        <w:rPr>
          <w:sz w:val="28"/>
          <w:szCs w:val="28"/>
          <w:lang w:val="uk-UA"/>
        </w:rPr>
        <w:t xml:space="preserve"> ст. виявлено достовірно вищі рівні ІЛ-6 та </w:t>
      </w:r>
      <w:r w:rsidRPr="006B4867">
        <w:rPr>
          <w:sz w:val="28"/>
          <w:szCs w:val="28"/>
          <w:lang w:val="en-US"/>
        </w:rPr>
        <w:t>IgM</w:t>
      </w:r>
      <w:r w:rsidRPr="006B4867">
        <w:rPr>
          <w:sz w:val="28"/>
          <w:szCs w:val="28"/>
          <w:lang w:val="uk-UA"/>
        </w:rPr>
        <w:t xml:space="preserve"> у пацієнтів з начальною та вираженою ХНН (р=0,07 для ХХН </w:t>
      </w:r>
      <w:r w:rsidRPr="006B4867">
        <w:rPr>
          <w:rFonts w:cstheme="minorHAnsi"/>
          <w:sz w:val="28"/>
          <w:szCs w:val="28"/>
          <w:lang w:val="uk-UA"/>
        </w:rPr>
        <w:t>ІІІ</w:t>
      </w:r>
      <w:r w:rsidRPr="006B4867">
        <w:rPr>
          <w:sz w:val="28"/>
          <w:szCs w:val="28"/>
          <w:lang w:val="uk-UA"/>
        </w:rPr>
        <w:t xml:space="preserve"> ст., та р</w:t>
      </w:r>
      <w:r w:rsidRPr="006B4867">
        <w:rPr>
          <w:rFonts w:cstheme="minorHAnsi"/>
          <w:sz w:val="28"/>
          <w:szCs w:val="28"/>
          <w:lang w:val="uk-UA"/>
        </w:rPr>
        <w:t>≤</w:t>
      </w:r>
      <w:r w:rsidRPr="006B4867">
        <w:rPr>
          <w:sz w:val="28"/>
          <w:szCs w:val="28"/>
          <w:lang w:val="uk-UA"/>
        </w:rPr>
        <w:t xml:space="preserve">0,05 для ХХН </w:t>
      </w:r>
      <w:r w:rsidRPr="006B4867">
        <w:rPr>
          <w:rFonts w:cstheme="minorHAnsi"/>
          <w:sz w:val="28"/>
          <w:szCs w:val="28"/>
          <w:lang w:val="uk-UA"/>
        </w:rPr>
        <w:t>ІV</w:t>
      </w:r>
      <w:r w:rsidRPr="006B4867">
        <w:rPr>
          <w:sz w:val="28"/>
          <w:szCs w:val="28"/>
          <w:lang w:val="uk-UA"/>
        </w:rPr>
        <w:t xml:space="preserve"> ст.).  </w:t>
      </w:r>
    </w:p>
    <w:p w:rsidR="006B4867" w:rsidRPr="006B4867" w:rsidRDefault="006B4867" w:rsidP="006B4867">
      <w:pPr>
        <w:spacing w:line="360" w:lineRule="auto"/>
        <w:ind w:firstLine="709"/>
        <w:jc w:val="both"/>
        <w:rPr>
          <w:b/>
          <w:sz w:val="28"/>
          <w:szCs w:val="28"/>
          <w:lang w:val="uk-UA"/>
        </w:rPr>
      </w:pPr>
      <w:r w:rsidRPr="006B4867">
        <w:rPr>
          <w:b/>
          <w:sz w:val="28"/>
          <w:szCs w:val="28"/>
          <w:lang w:val="uk-UA"/>
        </w:rPr>
        <w:t>3.5.2</w:t>
      </w:r>
      <w:r w:rsidRPr="006B4867">
        <w:rPr>
          <w:sz w:val="28"/>
          <w:szCs w:val="28"/>
          <w:lang w:val="uk-UA"/>
        </w:rPr>
        <w:t xml:space="preserve"> </w:t>
      </w:r>
      <w:r w:rsidRPr="006B4867">
        <w:rPr>
          <w:b/>
          <w:sz w:val="28"/>
          <w:szCs w:val="28"/>
          <w:lang w:val="uk-UA"/>
        </w:rPr>
        <w:t>Виявлення імунологічних маркерів системного запалення у хворих на хронічний пієлонефрит і супутній ЦД 2 типу в залежності від наявності плазмід-індукованих механізмів резистентності.</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При дослідженні імунологічних маркерів системного запалення у хворих на ХП і ЦД 2 типу в залежності від наявності плазмід-індукованих механізмів резистентності, встановлено вищі показники ІЛ-6 (р</w:t>
      </w:r>
      <w:r w:rsidRPr="006B4867">
        <w:rPr>
          <w:rFonts w:cstheme="minorHAnsi"/>
          <w:sz w:val="28"/>
          <w:szCs w:val="28"/>
          <w:lang w:val="uk-UA"/>
        </w:rPr>
        <w:t>=</w:t>
      </w:r>
      <w:r w:rsidRPr="006B4867">
        <w:rPr>
          <w:sz w:val="28"/>
          <w:szCs w:val="28"/>
          <w:lang w:val="uk-UA"/>
        </w:rPr>
        <w:t xml:space="preserve">0,2), СРБ (р=0,5) та </w:t>
      </w:r>
      <w:r w:rsidRPr="006B4867">
        <w:rPr>
          <w:sz w:val="28"/>
          <w:szCs w:val="28"/>
          <w:lang w:val="en-US"/>
        </w:rPr>
        <w:t>IgM</w:t>
      </w:r>
      <w:r w:rsidRPr="006B4867">
        <w:rPr>
          <w:sz w:val="28"/>
          <w:szCs w:val="28"/>
          <w:lang w:val="uk-UA"/>
        </w:rPr>
        <w:t xml:space="preserve"> (р=0,8) у пацієнтів з виявленими генами стійкості (група А), таблиця 7.3.</w:t>
      </w:r>
    </w:p>
    <w:p w:rsidR="006B4867" w:rsidRPr="006B4867" w:rsidRDefault="006B4867" w:rsidP="006B4867">
      <w:pPr>
        <w:spacing w:after="0" w:line="360" w:lineRule="auto"/>
        <w:ind w:firstLine="709"/>
        <w:jc w:val="right"/>
        <w:rPr>
          <w:sz w:val="28"/>
          <w:szCs w:val="28"/>
          <w:lang w:val="uk-UA"/>
        </w:rPr>
      </w:pPr>
      <w:r w:rsidRPr="006B4867">
        <w:rPr>
          <w:sz w:val="28"/>
          <w:szCs w:val="28"/>
          <w:lang w:val="uk-UA"/>
        </w:rPr>
        <w:t>Таблиця 3.14</w:t>
      </w:r>
    </w:p>
    <w:p w:rsidR="006B4867" w:rsidRPr="006B4867" w:rsidRDefault="006B4867" w:rsidP="006B4867">
      <w:pPr>
        <w:spacing w:after="0" w:line="360" w:lineRule="auto"/>
        <w:ind w:firstLine="709"/>
        <w:jc w:val="center"/>
        <w:rPr>
          <w:b/>
          <w:sz w:val="28"/>
          <w:szCs w:val="28"/>
          <w:lang w:val="uk-UA"/>
        </w:rPr>
      </w:pPr>
      <w:r w:rsidRPr="006B4867">
        <w:rPr>
          <w:b/>
          <w:sz w:val="28"/>
          <w:szCs w:val="28"/>
          <w:lang w:val="uk-UA"/>
        </w:rPr>
        <w:t>Маркери системного запалення у хворих на ХП і ЦД 2 типу в залежності від наявності плазмід-індукованих механізмів резистентності</w:t>
      </w:r>
    </w:p>
    <w:tbl>
      <w:tblPr>
        <w:tblStyle w:val="ae"/>
        <w:tblW w:w="0" w:type="auto"/>
        <w:tblLook w:val="04A0" w:firstRow="1" w:lastRow="0" w:firstColumn="1" w:lastColumn="0" w:noHBand="0" w:noVBand="1"/>
      </w:tblPr>
      <w:tblGrid>
        <w:gridCol w:w="1595"/>
        <w:gridCol w:w="1595"/>
        <w:gridCol w:w="1595"/>
        <w:gridCol w:w="1595"/>
        <w:gridCol w:w="1595"/>
        <w:gridCol w:w="1596"/>
      </w:tblGrid>
      <w:tr w:rsidR="006B4867" w:rsidRPr="006B4867" w:rsidTr="00513759">
        <w:tc>
          <w:tcPr>
            <w:tcW w:w="1595" w:type="dxa"/>
          </w:tcPr>
          <w:p w:rsidR="006B4867" w:rsidRPr="006B4867" w:rsidRDefault="006B4867" w:rsidP="006B4867">
            <w:pPr>
              <w:spacing w:line="360" w:lineRule="auto"/>
              <w:jc w:val="both"/>
              <w:rPr>
                <w:sz w:val="28"/>
                <w:szCs w:val="28"/>
                <w:lang w:val="uk-UA"/>
              </w:rPr>
            </w:pP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IL</w:t>
            </w:r>
            <w:r w:rsidRPr="006B4867">
              <w:rPr>
                <w:b/>
                <w:sz w:val="28"/>
                <w:szCs w:val="28"/>
                <w:lang w:val="uk-UA"/>
              </w:rPr>
              <w:t>-6</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IgA</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IgG</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IgM</w:t>
            </w:r>
          </w:p>
        </w:tc>
        <w:tc>
          <w:tcPr>
            <w:tcW w:w="1596" w:type="dxa"/>
          </w:tcPr>
          <w:p w:rsidR="006B4867" w:rsidRPr="006B4867" w:rsidRDefault="006B4867" w:rsidP="006B4867">
            <w:pPr>
              <w:spacing w:line="360" w:lineRule="auto"/>
              <w:jc w:val="center"/>
              <w:rPr>
                <w:b/>
                <w:sz w:val="28"/>
                <w:szCs w:val="28"/>
                <w:lang w:val="uk-UA"/>
              </w:rPr>
            </w:pPr>
            <w:r w:rsidRPr="006B4867">
              <w:rPr>
                <w:b/>
                <w:sz w:val="28"/>
                <w:szCs w:val="28"/>
                <w:lang w:val="uk-UA"/>
              </w:rPr>
              <w:t>СРБ</w:t>
            </w:r>
          </w:p>
        </w:tc>
      </w:tr>
      <w:tr w:rsidR="006B4867" w:rsidRPr="006B4867" w:rsidTr="00513759">
        <w:tc>
          <w:tcPr>
            <w:tcW w:w="1595" w:type="dxa"/>
          </w:tcPr>
          <w:p w:rsidR="006B4867" w:rsidRPr="006B4867" w:rsidRDefault="006B4867" w:rsidP="006B4867">
            <w:pPr>
              <w:spacing w:line="360" w:lineRule="auto"/>
              <w:jc w:val="both"/>
              <w:rPr>
                <w:b/>
                <w:sz w:val="28"/>
                <w:szCs w:val="28"/>
                <w:lang w:val="uk-UA"/>
              </w:rPr>
            </w:pPr>
            <w:r w:rsidRPr="006B4867">
              <w:rPr>
                <w:b/>
                <w:sz w:val="28"/>
                <w:szCs w:val="28"/>
                <w:lang w:val="uk-UA"/>
              </w:rPr>
              <w:t>Група А</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10,65</w:t>
            </w:r>
            <w:r w:rsidRPr="006B4867">
              <w:rPr>
                <w:rFonts w:cstheme="minorHAnsi"/>
                <w:sz w:val="28"/>
                <w:szCs w:val="28"/>
                <w:lang w:val="uk-UA"/>
              </w:rPr>
              <w:t>±</w:t>
            </w:r>
            <w:r w:rsidRPr="006B4867">
              <w:rPr>
                <w:sz w:val="28"/>
                <w:szCs w:val="28"/>
                <w:lang w:val="uk-UA"/>
              </w:rPr>
              <w:t>1,7</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3,3</w:t>
            </w:r>
            <w:r w:rsidRPr="006B4867">
              <w:rPr>
                <w:rFonts w:cstheme="minorHAnsi"/>
                <w:sz w:val="28"/>
                <w:szCs w:val="28"/>
                <w:lang w:val="uk-UA"/>
              </w:rPr>
              <w:t>±</w:t>
            </w:r>
            <w:r w:rsidRPr="006B4867">
              <w:rPr>
                <w:sz w:val="28"/>
                <w:szCs w:val="28"/>
                <w:lang w:val="uk-UA"/>
              </w:rPr>
              <w:t>0,2</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15,9</w:t>
            </w:r>
            <w:r w:rsidRPr="006B4867">
              <w:rPr>
                <w:rFonts w:cstheme="minorHAnsi"/>
                <w:sz w:val="28"/>
                <w:szCs w:val="28"/>
                <w:lang w:val="uk-UA"/>
              </w:rPr>
              <w:t>±</w:t>
            </w:r>
            <w:r w:rsidRPr="006B4867">
              <w:rPr>
                <w:sz w:val="28"/>
                <w:szCs w:val="28"/>
                <w:lang w:val="uk-UA"/>
              </w:rPr>
              <w:t>0,6</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1,9</w:t>
            </w:r>
            <w:r w:rsidRPr="006B4867">
              <w:rPr>
                <w:rFonts w:cstheme="minorHAnsi"/>
                <w:sz w:val="28"/>
                <w:szCs w:val="28"/>
                <w:lang w:val="uk-UA"/>
              </w:rPr>
              <w:t>±</w:t>
            </w:r>
            <w:r w:rsidRPr="006B4867">
              <w:rPr>
                <w:sz w:val="28"/>
                <w:szCs w:val="28"/>
                <w:lang w:val="uk-UA"/>
              </w:rPr>
              <w:t>0,2</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25,56</w:t>
            </w:r>
            <w:r w:rsidRPr="006B4867">
              <w:rPr>
                <w:rFonts w:cstheme="minorHAnsi"/>
                <w:sz w:val="28"/>
                <w:szCs w:val="28"/>
                <w:lang w:val="uk-UA"/>
              </w:rPr>
              <w:t>±</w:t>
            </w:r>
            <w:r w:rsidRPr="006B4867">
              <w:rPr>
                <w:sz w:val="28"/>
                <w:szCs w:val="28"/>
                <w:lang w:val="uk-UA"/>
              </w:rPr>
              <w:t>7,5</w:t>
            </w:r>
          </w:p>
        </w:tc>
      </w:tr>
      <w:tr w:rsidR="006B4867" w:rsidRPr="006B4867" w:rsidTr="00513759">
        <w:tc>
          <w:tcPr>
            <w:tcW w:w="1595" w:type="dxa"/>
          </w:tcPr>
          <w:p w:rsidR="006B4867" w:rsidRPr="006B4867" w:rsidRDefault="006B4867" w:rsidP="006B4867">
            <w:pPr>
              <w:spacing w:line="360" w:lineRule="auto"/>
              <w:jc w:val="both"/>
              <w:rPr>
                <w:b/>
                <w:sz w:val="28"/>
                <w:szCs w:val="28"/>
                <w:lang w:val="uk-UA"/>
              </w:rPr>
            </w:pPr>
            <w:r w:rsidRPr="006B4867">
              <w:rPr>
                <w:b/>
                <w:sz w:val="28"/>
                <w:szCs w:val="28"/>
                <w:lang w:val="uk-UA"/>
              </w:rPr>
              <w:t>Група В</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8,52</w:t>
            </w:r>
            <w:r w:rsidRPr="006B4867">
              <w:rPr>
                <w:rFonts w:cstheme="minorHAnsi"/>
                <w:sz w:val="28"/>
                <w:szCs w:val="28"/>
                <w:lang w:val="uk-UA"/>
              </w:rPr>
              <w:t>±</w:t>
            </w:r>
            <w:r w:rsidRPr="006B4867">
              <w:rPr>
                <w:sz w:val="28"/>
                <w:szCs w:val="28"/>
                <w:lang w:val="uk-UA"/>
              </w:rPr>
              <w:t>0,9</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3,3</w:t>
            </w:r>
            <w:r w:rsidRPr="006B4867">
              <w:rPr>
                <w:rFonts w:cstheme="minorHAnsi"/>
                <w:sz w:val="28"/>
                <w:szCs w:val="28"/>
                <w:lang w:val="uk-UA"/>
              </w:rPr>
              <w:t>±</w:t>
            </w:r>
            <w:r w:rsidRPr="006B4867">
              <w:rPr>
                <w:sz w:val="28"/>
                <w:szCs w:val="28"/>
                <w:lang w:val="uk-UA"/>
              </w:rPr>
              <w:t>0,1</w:t>
            </w:r>
          </w:p>
        </w:tc>
        <w:tc>
          <w:tcPr>
            <w:tcW w:w="1595" w:type="dxa"/>
            <w:vAlign w:val="center"/>
          </w:tcPr>
          <w:p w:rsidR="006B4867" w:rsidRPr="006B4867" w:rsidRDefault="006B4867" w:rsidP="006B4867">
            <w:pPr>
              <w:spacing w:line="360" w:lineRule="auto"/>
              <w:jc w:val="center"/>
              <w:rPr>
                <w:sz w:val="28"/>
                <w:szCs w:val="28"/>
                <w:lang w:val="uk-UA"/>
              </w:rPr>
            </w:pPr>
            <w:r w:rsidRPr="006B4867">
              <w:rPr>
                <w:rFonts w:cstheme="minorHAnsi"/>
                <w:sz w:val="28"/>
                <w:szCs w:val="28"/>
                <w:lang w:val="uk-UA"/>
              </w:rPr>
              <w:t>15,5±0,3</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1,8</w:t>
            </w:r>
            <w:r w:rsidRPr="006B4867">
              <w:rPr>
                <w:rFonts w:cstheme="minorHAnsi"/>
                <w:sz w:val="28"/>
                <w:szCs w:val="28"/>
                <w:lang w:val="uk-UA"/>
              </w:rPr>
              <w:t>±</w:t>
            </w:r>
            <w:r w:rsidRPr="006B4867">
              <w:rPr>
                <w:sz w:val="28"/>
                <w:szCs w:val="28"/>
                <w:lang w:val="uk-UA"/>
              </w:rPr>
              <w:t>0,1</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19,92</w:t>
            </w:r>
            <w:r w:rsidRPr="006B4867">
              <w:rPr>
                <w:rFonts w:cstheme="minorHAnsi"/>
                <w:sz w:val="28"/>
                <w:szCs w:val="28"/>
                <w:lang w:val="uk-UA"/>
              </w:rPr>
              <w:t>±</w:t>
            </w:r>
            <w:r w:rsidRPr="006B4867">
              <w:rPr>
                <w:sz w:val="28"/>
                <w:szCs w:val="28"/>
                <w:lang w:val="uk-UA"/>
              </w:rPr>
              <w:t>4,5</w:t>
            </w:r>
          </w:p>
        </w:tc>
      </w:tr>
    </w:tbl>
    <w:p w:rsidR="006B4867" w:rsidRPr="006B4867" w:rsidRDefault="006B4867" w:rsidP="006B4867">
      <w:pPr>
        <w:spacing w:after="0" w:line="360" w:lineRule="auto"/>
        <w:jc w:val="both"/>
        <w:rPr>
          <w:sz w:val="28"/>
          <w:szCs w:val="28"/>
          <w:lang w:val="uk-UA"/>
        </w:rPr>
      </w:pPr>
      <w:r w:rsidRPr="006B4867">
        <w:rPr>
          <w:sz w:val="28"/>
          <w:szCs w:val="28"/>
          <w:lang w:val="uk-UA"/>
        </w:rPr>
        <w:t xml:space="preserve">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lastRenderedPageBreak/>
        <w:t>У пацієнтів з плазмідними механізмами резистентності встановлено достовірний прямий кореляційний зв’язок між рівнем ІЛ-6 та рівнем СРБ (</w:t>
      </w:r>
      <w:r w:rsidRPr="006B4867">
        <w:rPr>
          <w:sz w:val="28"/>
          <w:szCs w:val="28"/>
          <w:lang w:val="en-US"/>
        </w:rPr>
        <w:t>r</w:t>
      </w:r>
      <w:r w:rsidRPr="006B4867">
        <w:rPr>
          <w:sz w:val="28"/>
          <w:szCs w:val="28"/>
          <w:lang w:val="uk-UA"/>
        </w:rPr>
        <w:t>=0,53; р</w:t>
      </w:r>
      <w:r w:rsidRPr="006B4867">
        <w:rPr>
          <w:rFonts w:cstheme="minorHAnsi"/>
          <w:sz w:val="28"/>
          <w:szCs w:val="28"/>
          <w:lang w:val="uk-UA"/>
        </w:rPr>
        <w:t>≤</w:t>
      </w:r>
      <w:r w:rsidRPr="006B4867">
        <w:rPr>
          <w:sz w:val="28"/>
          <w:szCs w:val="28"/>
          <w:lang w:val="uk-UA"/>
        </w:rPr>
        <w:t xml:space="preserve">0,05); рівнем ІЛ-6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 xml:space="preserve">=0,71; </w:t>
      </w:r>
      <w:r w:rsidRPr="006B4867">
        <w:rPr>
          <w:sz w:val="28"/>
          <w:szCs w:val="28"/>
          <w:lang w:val="en-US"/>
        </w:rPr>
        <w:t>p</w:t>
      </w:r>
      <w:r w:rsidRPr="006B4867">
        <w:rPr>
          <w:rFonts w:cstheme="minorHAnsi"/>
          <w:sz w:val="28"/>
          <w:szCs w:val="28"/>
          <w:lang w:val="uk-UA"/>
        </w:rPr>
        <w:t>≤</w:t>
      </w:r>
      <w:r w:rsidRPr="006B4867">
        <w:rPr>
          <w:sz w:val="28"/>
          <w:szCs w:val="28"/>
          <w:lang w:val="uk-UA"/>
        </w:rPr>
        <w:t xml:space="preserve">0,05), та рівнем СРБ і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=0,65; р</w:t>
      </w:r>
      <w:r w:rsidRPr="006B4867">
        <w:rPr>
          <w:rFonts w:cstheme="minorHAnsi"/>
          <w:sz w:val="28"/>
          <w:szCs w:val="28"/>
          <w:lang w:val="uk-UA"/>
        </w:rPr>
        <w:t>≤</w:t>
      </w:r>
      <w:r w:rsidRPr="006B4867">
        <w:rPr>
          <w:sz w:val="28"/>
          <w:szCs w:val="28"/>
          <w:lang w:val="uk-UA"/>
        </w:rPr>
        <w:t>0,05), малюнок 3.69, 3.70.</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7CA62DAD" wp14:editId="0E333F4F">
            <wp:extent cx="4887595" cy="3354705"/>
            <wp:effectExtent l="0" t="0" r="825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4887595" cy="3354705"/>
                    </a:xfrm>
                    <a:prstGeom prst="rect">
                      <a:avLst/>
                    </a:prstGeom>
                    <a:noFill/>
                    <a:ln>
                      <a:noFill/>
                    </a:ln>
                  </pic:spPr>
                </pic:pic>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Мал. 3.69 Взаємозв</w:t>
      </w:r>
      <w:r w:rsidRPr="006B4867">
        <w:rPr>
          <w:rFonts w:cstheme="minorHAnsi"/>
          <w:sz w:val="24"/>
          <w:szCs w:val="24"/>
          <w:lang w:val="uk-UA"/>
        </w:rPr>
        <w:t>'</w:t>
      </w:r>
      <w:r w:rsidRPr="006B4867">
        <w:rPr>
          <w:sz w:val="24"/>
          <w:szCs w:val="24"/>
          <w:lang w:val="uk-UA"/>
        </w:rPr>
        <w:t xml:space="preserve">язок ІЛ-6 і СРБ у хворих на ХП і ЦД 2 типу з виявленими плазмідними генами резистентності. </w:t>
      </w:r>
    </w:p>
    <w:p w:rsidR="006B4867" w:rsidRPr="006B4867" w:rsidRDefault="006B4867" w:rsidP="006B4867">
      <w:pPr>
        <w:spacing w:line="360" w:lineRule="auto"/>
        <w:ind w:firstLine="709"/>
        <w:jc w:val="both"/>
        <w:rPr>
          <w:sz w:val="28"/>
          <w:szCs w:val="28"/>
          <w:lang w:val="uk-UA"/>
        </w:rPr>
      </w:pPr>
      <w:r w:rsidRPr="006B4867">
        <w:rPr>
          <w:noProof/>
          <w:sz w:val="28"/>
          <w:szCs w:val="28"/>
          <w:lang w:eastAsia="ru-RU"/>
        </w:rPr>
        <w:drawing>
          <wp:inline distT="0" distB="0" distL="0" distR="0" wp14:anchorId="4A10F97F" wp14:editId="0840534F">
            <wp:extent cx="4475480" cy="3354705"/>
            <wp:effectExtent l="0" t="0" r="127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4475480" cy="3354705"/>
                    </a:xfrm>
                    <a:prstGeom prst="rect">
                      <a:avLst/>
                    </a:prstGeom>
                    <a:noFill/>
                    <a:ln>
                      <a:noFill/>
                    </a:ln>
                  </pic:spPr>
                </pic:pic>
              </a:graphicData>
            </a:graphic>
          </wp:inline>
        </w:drawing>
      </w:r>
    </w:p>
    <w:p w:rsidR="006B4867" w:rsidRPr="006B4867" w:rsidRDefault="006B4867" w:rsidP="006B4867">
      <w:pPr>
        <w:spacing w:line="360" w:lineRule="auto"/>
        <w:ind w:firstLine="709"/>
        <w:jc w:val="both"/>
        <w:rPr>
          <w:sz w:val="28"/>
          <w:szCs w:val="28"/>
          <w:lang w:val="uk-UA"/>
        </w:rPr>
      </w:pPr>
      <w:r w:rsidRPr="006B4867">
        <w:rPr>
          <w:sz w:val="24"/>
          <w:szCs w:val="24"/>
          <w:lang w:val="uk-UA"/>
        </w:rPr>
        <w:lastRenderedPageBreak/>
        <w:t>Мал. 3.70 Взаємозв</w:t>
      </w:r>
      <w:r w:rsidRPr="006B4867">
        <w:rPr>
          <w:rFonts w:cstheme="minorHAnsi"/>
          <w:sz w:val="24"/>
          <w:szCs w:val="24"/>
          <w:lang w:val="uk-UA"/>
        </w:rPr>
        <w:t>'</w:t>
      </w:r>
      <w:r w:rsidRPr="006B4867">
        <w:rPr>
          <w:sz w:val="24"/>
          <w:szCs w:val="24"/>
          <w:lang w:val="uk-UA"/>
        </w:rPr>
        <w:t xml:space="preserve">язок ІЛ-6 і </w:t>
      </w:r>
      <w:r w:rsidRPr="006B4867">
        <w:rPr>
          <w:sz w:val="24"/>
          <w:szCs w:val="24"/>
          <w:lang w:val="en-US"/>
        </w:rPr>
        <w:t>IgM</w:t>
      </w:r>
      <w:r w:rsidRPr="006B4867">
        <w:rPr>
          <w:sz w:val="24"/>
          <w:szCs w:val="24"/>
          <w:lang w:val="uk-UA"/>
        </w:rPr>
        <w:t xml:space="preserve"> у хворих на ХП і ЦД 2 типу з виявленими плазмідними генами резистентності.</w:t>
      </w:r>
      <w:r w:rsidRPr="006B4867">
        <w:rPr>
          <w:sz w:val="28"/>
          <w:szCs w:val="28"/>
          <w:lang w:val="uk-UA"/>
        </w:rPr>
        <w:t xml:space="preserve">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У хворих на ХП і ЦД 2 типу, встановлено достовірно вищі показники </w:t>
      </w:r>
      <w:r w:rsidRPr="006B4867">
        <w:rPr>
          <w:sz w:val="28"/>
          <w:szCs w:val="28"/>
          <w:lang w:val="en-US"/>
        </w:rPr>
        <w:t>IL</w:t>
      </w:r>
      <w:r w:rsidRPr="006B4867">
        <w:rPr>
          <w:sz w:val="28"/>
          <w:szCs w:val="28"/>
          <w:lang w:val="uk-UA"/>
        </w:rPr>
        <w:t>-6 (р</w:t>
      </w:r>
      <w:r w:rsidRPr="006B4867">
        <w:rPr>
          <w:rFonts w:cstheme="minorHAnsi"/>
          <w:sz w:val="28"/>
          <w:szCs w:val="28"/>
          <w:lang w:val="uk-UA"/>
        </w:rPr>
        <w:t>=</w:t>
      </w:r>
      <w:r w:rsidRPr="006B4867">
        <w:rPr>
          <w:sz w:val="28"/>
          <w:szCs w:val="28"/>
          <w:lang w:val="uk-UA"/>
        </w:rPr>
        <w:t xml:space="preserve">0,03), СРБ (р=0,7), проте у пацієнтів без діабету були виявлені вищі рівні </w:t>
      </w:r>
      <w:r w:rsidRPr="006B4867">
        <w:rPr>
          <w:sz w:val="28"/>
          <w:szCs w:val="28"/>
          <w:lang w:val="en-US"/>
        </w:rPr>
        <w:t>IgM</w:t>
      </w:r>
      <w:r w:rsidRPr="006B4867">
        <w:rPr>
          <w:sz w:val="28"/>
          <w:szCs w:val="28"/>
          <w:lang w:val="uk-UA"/>
        </w:rPr>
        <w:t xml:space="preserve"> (р=0,7), таблиця 3.15. </w:t>
      </w:r>
    </w:p>
    <w:p w:rsidR="006B4867" w:rsidRPr="006B4867" w:rsidRDefault="006B4867" w:rsidP="006B4867">
      <w:pPr>
        <w:spacing w:after="0" w:line="360" w:lineRule="auto"/>
        <w:ind w:firstLine="709"/>
        <w:jc w:val="right"/>
        <w:rPr>
          <w:sz w:val="28"/>
          <w:szCs w:val="28"/>
          <w:lang w:val="uk-UA"/>
        </w:rPr>
      </w:pPr>
      <w:r w:rsidRPr="006B4867">
        <w:rPr>
          <w:sz w:val="28"/>
          <w:szCs w:val="28"/>
          <w:lang w:val="uk-UA"/>
        </w:rPr>
        <w:t>Таблиця 3.15</w:t>
      </w:r>
    </w:p>
    <w:p w:rsidR="006B4867" w:rsidRPr="006B4867" w:rsidRDefault="006B4867" w:rsidP="006B4867">
      <w:pPr>
        <w:spacing w:after="0" w:line="360" w:lineRule="auto"/>
        <w:ind w:firstLine="709"/>
        <w:jc w:val="center"/>
        <w:rPr>
          <w:b/>
          <w:sz w:val="28"/>
          <w:szCs w:val="28"/>
          <w:lang w:val="uk-UA"/>
        </w:rPr>
      </w:pPr>
      <w:r w:rsidRPr="006B4867">
        <w:rPr>
          <w:b/>
          <w:sz w:val="28"/>
          <w:szCs w:val="28"/>
          <w:lang w:val="uk-UA"/>
        </w:rPr>
        <w:t>Маркери системного запалення у хворих на ХП з і без супутнього ЦД 2 типу</w:t>
      </w:r>
    </w:p>
    <w:tbl>
      <w:tblPr>
        <w:tblStyle w:val="ae"/>
        <w:tblW w:w="0" w:type="auto"/>
        <w:tblLook w:val="04A0" w:firstRow="1" w:lastRow="0" w:firstColumn="1" w:lastColumn="0" w:noHBand="0" w:noVBand="1"/>
      </w:tblPr>
      <w:tblGrid>
        <w:gridCol w:w="1595"/>
        <w:gridCol w:w="1595"/>
        <w:gridCol w:w="1595"/>
        <w:gridCol w:w="1595"/>
        <w:gridCol w:w="1595"/>
        <w:gridCol w:w="1596"/>
      </w:tblGrid>
      <w:tr w:rsidR="006B4867" w:rsidRPr="006B4867" w:rsidTr="00513759">
        <w:tc>
          <w:tcPr>
            <w:tcW w:w="1595" w:type="dxa"/>
          </w:tcPr>
          <w:p w:rsidR="006B4867" w:rsidRPr="006B4867" w:rsidRDefault="006B4867" w:rsidP="006B4867">
            <w:pPr>
              <w:spacing w:line="360" w:lineRule="auto"/>
              <w:jc w:val="both"/>
              <w:rPr>
                <w:sz w:val="28"/>
                <w:szCs w:val="28"/>
                <w:lang w:val="uk-UA"/>
              </w:rPr>
            </w:pP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IL</w:t>
            </w:r>
            <w:r w:rsidRPr="006B4867">
              <w:rPr>
                <w:b/>
                <w:sz w:val="28"/>
                <w:szCs w:val="28"/>
                <w:lang w:val="uk-UA"/>
              </w:rPr>
              <w:t>-6</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IgA</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IgG</w:t>
            </w:r>
          </w:p>
        </w:tc>
        <w:tc>
          <w:tcPr>
            <w:tcW w:w="1595" w:type="dxa"/>
          </w:tcPr>
          <w:p w:rsidR="006B4867" w:rsidRPr="006B4867" w:rsidRDefault="006B4867" w:rsidP="006B4867">
            <w:pPr>
              <w:spacing w:line="360" w:lineRule="auto"/>
              <w:jc w:val="center"/>
              <w:rPr>
                <w:b/>
                <w:sz w:val="28"/>
                <w:szCs w:val="28"/>
                <w:lang w:val="uk-UA"/>
              </w:rPr>
            </w:pPr>
            <w:r w:rsidRPr="006B4867">
              <w:rPr>
                <w:b/>
                <w:sz w:val="28"/>
                <w:szCs w:val="28"/>
                <w:lang w:val="en-US"/>
              </w:rPr>
              <w:t>IgM</w:t>
            </w:r>
          </w:p>
        </w:tc>
        <w:tc>
          <w:tcPr>
            <w:tcW w:w="1596" w:type="dxa"/>
          </w:tcPr>
          <w:p w:rsidR="006B4867" w:rsidRPr="006B4867" w:rsidRDefault="006B4867" w:rsidP="006B4867">
            <w:pPr>
              <w:spacing w:line="360" w:lineRule="auto"/>
              <w:jc w:val="center"/>
              <w:rPr>
                <w:b/>
                <w:sz w:val="28"/>
                <w:szCs w:val="28"/>
                <w:lang w:val="uk-UA"/>
              </w:rPr>
            </w:pPr>
            <w:r w:rsidRPr="006B4867">
              <w:rPr>
                <w:b/>
                <w:sz w:val="28"/>
                <w:szCs w:val="28"/>
                <w:lang w:val="uk-UA"/>
              </w:rPr>
              <w:t>СРБ</w:t>
            </w:r>
          </w:p>
        </w:tc>
      </w:tr>
      <w:tr w:rsidR="006B4867" w:rsidRPr="006B4867" w:rsidTr="00513759">
        <w:tc>
          <w:tcPr>
            <w:tcW w:w="1595" w:type="dxa"/>
          </w:tcPr>
          <w:p w:rsidR="006B4867" w:rsidRPr="006B4867" w:rsidRDefault="006B4867" w:rsidP="006B4867">
            <w:pPr>
              <w:spacing w:line="360" w:lineRule="auto"/>
              <w:jc w:val="both"/>
              <w:rPr>
                <w:b/>
                <w:sz w:val="28"/>
                <w:szCs w:val="28"/>
                <w:lang w:val="uk-UA"/>
              </w:rPr>
            </w:pPr>
            <w:r w:rsidRPr="006B4867">
              <w:rPr>
                <w:rFonts w:cstheme="minorHAnsi"/>
                <w:b/>
                <w:sz w:val="28"/>
                <w:szCs w:val="28"/>
                <w:lang w:val="uk-UA"/>
              </w:rPr>
              <w:t>І</w:t>
            </w:r>
            <w:r w:rsidRPr="006B4867">
              <w:rPr>
                <w:b/>
                <w:sz w:val="28"/>
                <w:szCs w:val="28"/>
                <w:lang w:val="uk-UA"/>
              </w:rPr>
              <w:t xml:space="preserve"> група </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12,2</w:t>
            </w:r>
            <w:r w:rsidRPr="006B4867">
              <w:rPr>
                <w:rFonts w:cstheme="minorHAnsi"/>
                <w:sz w:val="28"/>
                <w:szCs w:val="28"/>
                <w:lang w:val="uk-UA"/>
              </w:rPr>
              <w:t>±</w:t>
            </w:r>
            <w:r w:rsidRPr="006B4867">
              <w:rPr>
                <w:sz w:val="28"/>
                <w:szCs w:val="28"/>
                <w:lang w:val="uk-UA"/>
              </w:rPr>
              <w:t>1,1</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3,4</w:t>
            </w:r>
            <w:r w:rsidRPr="006B4867">
              <w:rPr>
                <w:rFonts w:cstheme="minorHAnsi"/>
                <w:sz w:val="28"/>
                <w:szCs w:val="28"/>
                <w:lang w:val="uk-UA"/>
              </w:rPr>
              <w:t>±</w:t>
            </w:r>
            <w:r w:rsidRPr="006B4867">
              <w:rPr>
                <w:sz w:val="28"/>
                <w:szCs w:val="28"/>
                <w:lang w:val="uk-UA"/>
              </w:rPr>
              <w:t>0,1</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15,69</w:t>
            </w:r>
            <w:r w:rsidRPr="006B4867">
              <w:rPr>
                <w:rFonts w:cstheme="minorHAnsi"/>
                <w:sz w:val="28"/>
                <w:szCs w:val="28"/>
                <w:lang w:val="uk-UA"/>
              </w:rPr>
              <w:t>±</w:t>
            </w:r>
            <w:r w:rsidRPr="006B4867">
              <w:rPr>
                <w:sz w:val="28"/>
                <w:szCs w:val="28"/>
                <w:lang w:val="uk-UA"/>
              </w:rPr>
              <w:t>0,5</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2,0</w:t>
            </w:r>
            <w:r w:rsidRPr="006B4867">
              <w:rPr>
                <w:rFonts w:cstheme="minorHAnsi"/>
                <w:sz w:val="28"/>
                <w:szCs w:val="28"/>
                <w:lang w:val="uk-UA"/>
              </w:rPr>
              <w:t>±</w:t>
            </w:r>
            <w:r w:rsidRPr="006B4867">
              <w:rPr>
                <w:sz w:val="28"/>
                <w:szCs w:val="28"/>
                <w:lang w:val="uk-UA"/>
              </w:rPr>
              <w:t>0,1</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23,8</w:t>
            </w:r>
            <w:r w:rsidRPr="006B4867">
              <w:rPr>
                <w:rFonts w:cstheme="minorHAnsi"/>
                <w:sz w:val="28"/>
                <w:szCs w:val="28"/>
                <w:lang w:val="uk-UA"/>
              </w:rPr>
              <w:t>±</w:t>
            </w:r>
            <w:r w:rsidRPr="006B4867">
              <w:rPr>
                <w:sz w:val="28"/>
                <w:szCs w:val="28"/>
                <w:lang w:val="uk-UA"/>
              </w:rPr>
              <w:t xml:space="preserve">6,2 </w:t>
            </w:r>
          </w:p>
        </w:tc>
      </w:tr>
      <w:tr w:rsidR="006B4867" w:rsidRPr="006B4867" w:rsidTr="00513759">
        <w:tc>
          <w:tcPr>
            <w:tcW w:w="1595" w:type="dxa"/>
          </w:tcPr>
          <w:p w:rsidR="006B4867" w:rsidRPr="006B4867" w:rsidRDefault="006B4867" w:rsidP="006B4867">
            <w:pPr>
              <w:spacing w:line="360" w:lineRule="auto"/>
              <w:jc w:val="both"/>
              <w:rPr>
                <w:b/>
                <w:sz w:val="28"/>
                <w:szCs w:val="28"/>
                <w:lang w:val="uk-UA"/>
              </w:rPr>
            </w:pPr>
            <w:r w:rsidRPr="006B4867">
              <w:rPr>
                <w:rFonts w:cstheme="minorHAnsi"/>
                <w:b/>
                <w:sz w:val="28"/>
                <w:szCs w:val="28"/>
                <w:lang w:val="uk-UA"/>
              </w:rPr>
              <w:t>І</w:t>
            </w:r>
            <w:r w:rsidRPr="006B4867">
              <w:rPr>
                <w:rFonts w:asciiTheme="minorBidi" w:hAnsiTheme="minorBidi"/>
                <w:b/>
                <w:sz w:val="28"/>
                <w:szCs w:val="28"/>
                <w:lang w:val="uk-UA"/>
              </w:rPr>
              <w:t>І</w:t>
            </w:r>
            <w:r w:rsidRPr="006B4867">
              <w:rPr>
                <w:b/>
                <w:sz w:val="28"/>
                <w:szCs w:val="28"/>
                <w:lang w:val="uk-UA"/>
              </w:rPr>
              <w:t xml:space="preserve"> група </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6,9</w:t>
            </w:r>
            <w:r w:rsidRPr="006B4867">
              <w:rPr>
                <w:rFonts w:cstheme="minorHAnsi"/>
                <w:sz w:val="28"/>
                <w:szCs w:val="28"/>
                <w:lang w:val="uk-UA"/>
              </w:rPr>
              <w:t>±</w:t>
            </w:r>
            <w:r w:rsidRPr="006B4867">
              <w:rPr>
                <w:sz w:val="28"/>
                <w:szCs w:val="28"/>
                <w:lang w:val="uk-UA"/>
              </w:rPr>
              <w:t>1,4</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3,3</w:t>
            </w:r>
            <w:r w:rsidRPr="006B4867">
              <w:rPr>
                <w:rFonts w:cstheme="minorHAnsi"/>
                <w:sz w:val="28"/>
                <w:szCs w:val="28"/>
                <w:lang w:val="uk-UA"/>
              </w:rPr>
              <w:t>±</w:t>
            </w:r>
            <w:r w:rsidRPr="006B4867">
              <w:rPr>
                <w:sz w:val="28"/>
                <w:szCs w:val="28"/>
                <w:lang w:val="uk-UA"/>
              </w:rPr>
              <w:t>0,1</w:t>
            </w:r>
          </w:p>
        </w:tc>
        <w:tc>
          <w:tcPr>
            <w:tcW w:w="1595" w:type="dxa"/>
            <w:vAlign w:val="center"/>
          </w:tcPr>
          <w:p w:rsidR="006B4867" w:rsidRPr="006B4867" w:rsidRDefault="006B4867" w:rsidP="006B4867">
            <w:pPr>
              <w:spacing w:line="360" w:lineRule="auto"/>
              <w:jc w:val="center"/>
              <w:rPr>
                <w:sz w:val="28"/>
                <w:szCs w:val="28"/>
                <w:lang w:val="uk-UA"/>
              </w:rPr>
            </w:pPr>
            <w:r w:rsidRPr="006B4867">
              <w:rPr>
                <w:rFonts w:cstheme="minorHAnsi"/>
                <w:sz w:val="28"/>
                <w:szCs w:val="28"/>
                <w:lang w:val="uk-UA"/>
              </w:rPr>
              <w:t>15,72±0,5</w:t>
            </w:r>
          </w:p>
        </w:tc>
        <w:tc>
          <w:tcPr>
            <w:tcW w:w="1595"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1,8</w:t>
            </w:r>
            <w:r w:rsidRPr="006B4867">
              <w:rPr>
                <w:rFonts w:cstheme="minorHAnsi"/>
                <w:sz w:val="28"/>
                <w:szCs w:val="28"/>
                <w:lang w:val="uk-UA"/>
              </w:rPr>
              <w:t>±</w:t>
            </w:r>
            <w:r w:rsidRPr="006B4867">
              <w:rPr>
                <w:sz w:val="28"/>
                <w:szCs w:val="28"/>
                <w:lang w:val="uk-UA"/>
              </w:rPr>
              <w:t>0,1</w:t>
            </w:r>
          </w:p>
        </w:tc>
        <w:tc>
          <w:tcPr>
            <w:tcW w:w="1596" w:type="dxa"/>
            <w:vAlign w:val="center"/>
          </w:tcPr>
          <w:p w:rsidR="006B4867" w:rsidRPr="006B4867" w:rsidRDefault="006B4867" w:rsidP="006B4867">
            <w:pPr>
              <w:spacing w:line="360" w:lineRule="auto"/>
              <w:jc w:val="center"/>
              <w:rPr>
                <w:sz w:val="28"/>
                <w:szCs w:val="28"/>
                <w:lang w:val="uk-UA"/>
              </w:rPr>
            </w:pPr>
            <w:r w:rsidRPr="006B4867">
              <w:rPr>
                <w:sz w:val="28"/>
                <w:szCs w:val="28"/>
                <w:lang w:val="uk-UA"/>
              </w:rPr>
              <w:t>20,6</w:t>
            </w:r>
            <w:r w:rsidRPr="006B4867">
              <w:rPr>
                <w:rFonts w:cstheme="minorHAnsi"/>
                <w:sz w:val="28"/>
                <w:szCs w:val="28"/>
                <w:lang w:val="uk-UA"/>
              </w:rPr>
              <w:t>±</w:t>
            </w:r>
            <w:r w:rsidRPr="006B4867">
              <w:rPr>
                <w:sz w:val="28"/>
                <w:szCs w:val="28"/>
                <w:lang w:val="uk-UA"/>
              </w:rPr>
              <w:t>5,01</w:t>
            </w:r>
          </w:p>
        </w:tc>
      </w:tr>
    </w:tbl>
    <w:p w:rsidR="006B4867" w:rsidRPr="006B4867" w:rsidRDefault="006B4867" w:rsidP="006B4867">
      <w:pPr>
        <w:spacing w:before="240" w:line="360" w:lineRule="auto"/>
        <w:ind w:firstLine="709"/>
        <w:jc w:val="both"/>
        <w:rPr>
          <w:sz w:val="28"/>
          <w:szCs w:val="28"/>
          <w:lang w:val="uk-UA"/>
        </w:rPr>
      </w:pPr>
      <w:r w:rsidRPr="006B4867">
        <w:rPr>
          <w:sz w:val="28"/>
          <w:szCs w:val="28"/>
          <w:lang w:val="uk-UA"/>
        </w:rPr>
        <w:t xml:space="preserve">Встановлено достовірні кореляційні взаємозв’язки в </w:t>
      </w:r>
      <w:r w:rsidRPr="006B4867">
        <w:rPr>
          <w:rFonts w:cstheme="minorHAnsi"/>
          <w:sz w:val="28"/>
          <w:szCs w:val="28"/>
          <w:lang w:val="uk-UA"/>
        </w:rPr>
        <w:t>І</w:t>
      </w:r>
      <w:r w:rsidRPr="006B4867">
        <w:rPr>
          <w:sz w:val="28"/>
          <w:szCs w:val="28"/>
          <w:lang w:val="uk-UA"/>
        </w:rPr>
        <w:t xml:space="preserve"> групі між рівнем  </w:t>
      </w:r>
      <w:r w:rsidRPr="006B4867">
        <w:rPr>
          <w:sz w:val="28"/>
          <w:szCs w:val="28"/>
          <w:lang w:val="en-US"/>
        </w:rPr>
        <w:t>IL</w:t>
      </w:r>
      <w:r w:rsidRPr="006B4867">
        <w:rPr>
          <w:sz w:val="28"/>
          <w:szCs w:val="28"/>
          <w:lang w:val="uk-UA"/>
        </w:rPr>
        <w:t xml:space="preserve">-6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=0,53, р</w:t>
      </w:r>
      <w:r w:rsidRPr="006B4867">
        <w:rPr>
          <w:rFonts w:cstheme="minorHAnsi"/>
          <w:sz w:val="28"/>
          <w:szCs w:val="28"/>
          <w:lang w:val="uk-UA"/>
        </w:rPr>
        <w:t>≤</w:t>
      </w:r>
      <w:r w:rsidRPr="006B4867">
        <w:rPr>
          <w:sz w:val="28"/>
          <w:szCs w:val="28"/>
          <w:lang w:val="uk-UA"/>
        </w:rPr>
        <w:t xml:space="preserve">0,05) і рівнем СРБ і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=0,72, р</w:t>
      </w:r>
      <w:r w:rsidRPr="006B4867">
        <w:rPr>
          <w:rFonts w:cstheme="minorHAnsi"/>
          <w:sz w:val="28"/>
          <w:szCs w:val="28"/>
          <w:lang w:val="uk-UA"/>
        </w:rPr>
        <w:t>≤</w:t>
      </w:r>
      <w:r w:rsidRPr="006B4867">
        <w:rPr>
          <w:sz w:val="28"/>
          <w:szCs w:val="28"/>
          <w:lang w:val="uk-UA"/>
        </w:rPr>
        <w:t xml:space="preserve">0,05). </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Отже, у пацієнтів з виявленими плазмідними механізмами резистентності спостерігаються вищі показники ІЛ-6 (10,65 </w:t>
      </w:r>
      <w:r w:rsidRPr="006B4867">
        <w:rPr>
          <w:sz w:val="28"/>
          <w:szCs w:val="28"/>
          <w:lang w:val="en-US"/>
        </w:rPr>
        <w:t>vs</w:t>
      </w:r>
      <w:r w:rsidRPr="006B4867">
        <w:rPr>
          <w:sz w:val="28"/>
          <w:szCs w:val="28"/>
          <w:lang w:val="uk-UA"/>
        </w:rPr>
        <w:t>. 8,62, р</w:t>
      </w:r>
      <w:r w:rsidRPr="006B4867">
        <w:rPr>
          <w:rFonts w:cstheme="minorHAnsi"/>
          <w:sz w:val="28"/>
          <w:szCs w:val="28"/>
          <w:lang w:val="uk-UA"/>
        </w:rPr>
        <w:t>≥</w:t>
      </w:r>
      <w:r w:rsidRPr="006B4867">
        <w:rPr>
          <w:sz w:val="28"/>
          <w:szCs w:val="28"/>
          <w:lang w:val="uk-UA"/>
        </w:rPr>
        <w:t xml:space="preserve">0,05), СРБ (25,56 </w:t>
      </w:r>
      <w:r w:rsidRPr="006B4867">
        <w:rPr>
          <w:sz w:val="28"/>
          <w:szCs w:val="28"/>
          <w:lang w:val="en-US"/>
        </w:rPr>
        <w:t>vs</w:t>
      </w:r>
      <w:r w:rsidRPr="006B4867">
        <w:rPr>
          <w:sz w:val="28"/>
          <w:szCs w:val="28"/>
          <w:lang w:val="uk-UA"/>
        </w:rPr>
        <w:t>. 19,92 р</w:t>
      </w:r>
      <w:r w:rsidRPr="006B4867">
        <w:rPr>
          <w:rFonts w:cstheme="minorHAnsi"/>
          <w:sz w:val="28"/>
          <w:szCs w:val="28"/>
          <w:lang w:val="uk-UA"/>
        </w:rPr>
        <w:t>≥</w:t>
      </w:r>
      <w:r w:rsidRPr="006B4867">
        <w:rPr>
          <w:sz w:val="28"/>
          <w:szCs w:val="28"/>
          <w:lang w:val="uk-UA"/>
        </w:rPr>
        <w:t xml:space="preserve">0,05) та </w:t>
      </w:r>
      <w:r w:rsidRPr="006B4867">
        <w:rPr>
          <w:sz w:val="28"/>
          <w:szCs w:val="28"/>
          <w:lang w:val="en-US"/>
        </w:rPr>
        <w:t>IgM</w:t>
      </w:r>
      <w:r w:rsidRPr="006B4867">
        <w:rPr>
          <w:sz w:val="28"/>
          <w:szCs w:val="28"/>
          <w:lang w:val="uk-UA"/>
        </w:rPr>
        <w:t xml:space="preserve"> (1,9 </w:t>
      </w:r>
      <w:r w:rsidRPr="006B4867">
        <w:rPr>
          <w:sz w:val="28"/>
          <w:szCs w:val="28"/>
          <w:lang w:val="en-US"/>
        </w:rPr>
        <w:t>vs</w:t>
      </w:r>
      <w:r w:rsidRPr="006B4867">
        <w:rPr>
          <w:sz w:val="28"/>
          <w:szCs w:val="28"/>
          <w:lang w:val="uk-UA"/>
        </w:rPr>
        <w:t>. 1,8 р</w:t>
      </w:r>
      <w:r w:rsidRPr="006B4867">
        <w:rPr>
          <w:rFonts w:cstheme="minorHAnsi"/>
          <w:sz w:val="28"/>
          <w:szCs w:val="28"/>
          <w:lang w:val="uk-UA"/>
        </w:rPr>
        <w:t>≥</w:t>
      </w:r>
      <w:r w:rsidRPr="006B4867">
        <w:rPr>
          <w:sz w:val="28"/>
          <w:szCs w:val="28"/>
          <w:lang w:val="uk-UA"/>
        </w:rPr>
        <w:t xml:space="preserve">0,05). Крім того, </w:t>
      </w:r>
      <w:r w:rsidRPr="006B4867">
        <w:rPr>
          <w:sz w:val="28"/>
          <w:lang w:val="uk-UA"/>
        </w:rPr>
        <w:t>існує лінійний зв’язок на рівні значимості р</w:t>
      </w:r>
      <w:r w:rsidRPr="006B4867">
        <w:rPr>
          <w:rFonts w:cstheme="minorHAnsi"/>
          <w:sz w:val="28"/>
          <w:szCs w:val="28"/>
          <w:lang w:val="uk-UA"/>
        </w:rPr>
        <w:t>≤</w:t>
      </w:r>
      <w:r w:rsidRPr="006B4867">
        <w:rPr>
          <w:sz w:val="28"/>
          <w:szCs w:val="28"/>
          <w:lang w:val="uk-UA"/>
        </w:rPr>
        <w:t>0,05</w:t>
      </w:r>
      <w:r w:rsidRPr="006B4867">
        <w:rPr>
          <w:sz w:val="28"/>
          <w:lang w:val="uk-UA"/>
        </w:rPr>
        <w:t xml:space="preserve"> </w:t>
      </w:r>
      <w:r w:rsidRPr="006B4867">
        <w:rPr>
          <w:sz w:val="28"/>
          <w:szCs w:val="28"/>
          <w:lang w:val="uk-UA"/>
        </w:rPr>
        <w:t>між показниками системного запалення у хворих з наявністю плазмід-індукованих механізмів резистентності. У пацієнтів, що страждають ХП і ЦД 2 типу, виявлено достовірно вищий рівень маркерів системного запалення (</w:t>
      </w:r>
      <w:r w:rsidRPr="006B4867">
        <w:rPr>
          <w:sz w:val="28"/>
          <w:szCs w:val="28"/>
          <w:lang w:val="en-US"/>
        </w:rPr>
        <w:t>IL</w:t>
      </w:r>
      <w:r w:rsidRPr="006B4867">
        <w:rPr>
          <w:sz w:val="28"/>
          <w:szCs w:val="28"/>
          <w:lang w:val="uk-UA"/>
        </w:rPr>
        <w:t xml:space="preserve">-6, </w:t>
      </w:r>
      <w:r w:rsidRPr="006B4867">
        <w:rPr>
          <w:sz w:val="28"/>
          <w:szCs w:val="28"/>
          <w:lang w:val="en-US"/>
        </w:rPr>
        <w:t>IgG</w:t>
      </w:r>
      <w:r w:rsidRPr="006B4867">
        <w:rPr>
          <w:sz w:val="28"/>
          <w:szCs w:val="28"/>
          <w:lang w:val="uk-UA"/>
        </w:rPr>
        <w:t xml:space="preserve"> та СРБ), ніж у хворих без супутнього ЦД 2 типу, що може свідчити про значну активацію гуморальної ланки неспецифічного імунітету у цієї категорії хворих.</w:t>
      </w:r>
    </w:p>
    <w:p w:rsidR="006B4867" w:rsidRPr="006B4867" w:rsidRDefault="006B4867" w:rsidP="006B4867">
      <w:pPr>
        <w:spacing w:after="0" w:line="360" w:lineRule="auto"/>
        <w:ind w:firstLine="709"/>
        <w:jc w:val="both"/>
        <w:rPr>
          <w:sz w:val="28"/>
          <w:lang w:val="uk-UA"/>
        </w:rPr>
      </w:pPr>
      <w:r w:rsidRPr="006B4867">
        <w:rPr>
          <w:sz w:val="28"/>
          <w:lang w:val="uk-UA"/>
        </w:rPr>
        <w:t xml:space="preserve">Вивчення імунологічних маркерів системного запалення у хворих на ХП в залежності від наявності плазмід-індукованих механізмів резистентності дозволяє визначити рівень активації імунітету при колонізації сечової системи бактеріями з плазмідними генами стійкості та визначити можливі взаємозв’язки між показниками системного запалення у хворих з </w:t>
      </w:r>
      <w:r w:rsidRPr="006B4867">
        <w:rPr>
          <w:sz w:val="28"/>
          <w:lang w:val="uk-UA"/>
        </w:rPr>
        <w:lastRenderedPageBreak/>
        <w:t xml:space="preserve">виявленими плазмід-індукованими механізмами резистентності. В нашому дослідженні було продемонстровано вищі рівні прозапального цитокіну ІЛ-6, імуноглобуліну М та С-реактивного протеїну у хворих з виявленими генами стійкості, </w:t>
      </w:r>
      <w:r w:rsidRPr="006B4867">
        <w:rPr>
          <w:sz w:val="28"/>
          <w:szCs w:val="28"/>
          <w:lang w:val="uk-UA"/>
        </w:rPr>
        <w:t xml:space="preserve">однак достовірних відмінностей між групами не визначено. Отримані нами результати узгоджуються з даними  </w:t>
      </w:r>
      <w:r w:rsidRPr="006B4867">
        <w:rPr>
          <w:rFonts w:eastAsia="Times New Roman" w:cstheme="minorHAnsi"/>
          <w:color w:val="000000" w:themeColor="text1"/>
          <w:sz w:val="28"/>
          <w:szCs w:val="28"/>
          <w:lang w:val="en-US" w:eastAsia="ru-RU"/>
        </w:rPr>
        <w:t>Tratselas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w:t>
      </w:r>
      <w:r w:rsidRPr="006B4867">
        <w:rPr>
          <w:rFonts w:cstheme="minorHAnsi"/>
          <w:color w:val="000000" w:themeColor="text1"/>
          <w:sz w:val="28"/>
          <w:szCs w:val="28"/>
          <w:lang w:val="en-US"/>
        </w:rPr>
        <w:t>et</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al</w:t>
      </w:r>
      <w:r w:rsidRPr="006B4867">
        <w:rPr>
          <w:rFonts w:cstheme="minorHAnsi"/>
          <w:color w:val="000000" w:themeColor="text1"/>
          <w:sz w:val="28"/>
          <w:szCs w:val="28"/>
          <w:lang w:val="uk-UA"/>
        </w:rPr>
        <w:t>.</w:t>
      </w:r>
      <w:r w:rsidRPr="006B4867">
        <w:rPr>
          <w:rFonts w:eastAsia="Times New Roman" w:cstheme="minorHAnsi"/>
          <w:color w:val="000000" w:themeColor="text1"/>
          <w:sz w:val="28"/>
          <w:szCs w:val="28"/>
          <w:lang w:val="uk-UA" w:eastAsia="ru-RU"/>
        </w:rPr>
        <w:t xml:space="preserve"> про відсутність достовірних зв’язків між концентрацією ІЛ-6 та плазмід-індукованими βЛРС у пацієнтів з ПН [</w:t>
      </w:r>
      <w:r w:rsidRPr="006B4867">
        <w:rPr>
          <w:rFonts w:ascii="Times New Roman" w:eastAsia="Times New Roman" w:hAnsi="Times New Roman" w:cs="Times New Roman"/>
          <w:color w:val="000000" w:themeColor="text1"/>
          <w:sz w:val="28"/>
          <w:szCs w:val="28"/>
          <w:lang w:val="uk-UA" w:eastAsia="ru-RU"/>
        </w:rPr>
        <w:t>120</w:t>
      </w:r>
      <w:r w:rsidRPr="006B4867">
        <w:rPr>
          <w:rFonts w:eastAsia="Times New Roman" w:cstheme="minorHAnsi"/>
          <w:color w:val="000000" w:themeColor="text1"/>
          <w:sz w:val="28"/>
          <w:szCs w:val="28"/>
          <w:lang w:val="uk-UA" w:eastAsia="ru-RU"/>
        </w:rPr>
        <w:t>].</w:t>
      </w:r>
      <w:r w:rsidRPr="006B4867">
        <w:rPr>
          <w:sz w:val="28"/>
          <w:szCs w:val="28"/>
          <w:lang w:val="uk-UA"/>
        </w:rPr>
        <w:t xml:space="preserve"> Проте, було</w:t>
      </w:r>
      <w:r w:rsidRPr="006B4867">
        <w:rPr>
          <w:sz w:val="28"/>
          <w:lang w:val="uk-UA"/>
        </w:rPr>
        <w:t xml:space="preserve"> встановлено лінійні зв’язки на рівні значимості р</w:t>
      </w:r>
      <w:r w:rsidRPr="006B4867">
        <w:rPr>
          <w:rFonts w:cstheme="minorHAnsi"/>
          <w:sz w:val="28"/>
          <w:szCs w:val="28"/>
          <w:lang w:val="uk-UA"/>
        </w:rPr>
        <w:t>≤</w:t>
      </w:r>
      <w:r w:rsidRPr="006B4867">
        <w:rPr>
          <w:sz w:val="28"/>
          <w:szCs w:val="28"/>
          <w:lang w:val="uk-UA"/>
        </w:rPr>
        <w:t>0,05</w:t>
      </w:r>
      <w:r w:rsidRPr="006B4867">
        <w:rPr>
          <w:sz w:val="28"/>
          <w:lang w:val="uk-UA"/>
        </w:rPr>
        <w:t xml:space="preserve"> </w:t>
      </w:r>
      <w:r w:rsidRPr="006B4867">
        <w:rPr>
          <w:sz w:val="28"/>
          <w:szCs w:val="28"/>
          <w:lang w:val="uk-UA"/>
        </w:rPr>
        <w:t>між показниками системного запалення (</w:t>
      </w:r>
      <w:r w:rsidRPr="006B4867">
        <w:rPr>
          <w:sz w:val="28"/>
          <w:szCs w:val="28"/>
          <w:lang w:val="en-US"/>
        </w:rPr>
        <w:t>IL</w:t>
      </w:r>
      <w:r w:rsidRPr="006B4867">
        <w:rPr>
          <w:sz w:val="28"/>
          <w:szCs w:val="28"/>
          <w:lang w:val="uk-UA"/>
        </w:rPr>
        <w:t xml:space="preserve">-6 та СРБ, </w:t>
      </w:r>
      <w:r w:rsidRPr="006B4867">
        <w:rPr>
          <w:sz w:val="28"/>
          <w:szCs w:val="28"/>
          <w:lang w:val="en-US"/>
        </w:rPr>
        <w:t>r</w:t>
      </w:r>
      <w:r w:rsidRPr="006B4867">
        <w:rPr>
          <w:sz w:val="28"/>
          <w:szCs w:val="28"/>
          <w:lang w:val="uk-UA"/>
        </w:rPr>
        <w:t xml:space="preserve">=0,53; </w:t>
      </w:r>
      <w:r w:rsidRPr="006B4867">
        <w:rPr>
          <w:sz w:val="28"/>
          <w:szCs w:val="28"/>
          <w:lang w:val="en-US"/>
        </w:rPr>
        <w:t>IL</w:t>
      </w:r>
      <w:r w:rsidRPr="006B4867">
        <w:rPr>
          <w:sz w:val="28"/>
          <w:szCs w:val="28"/>
          <w:lang w:val="uk-UA"/>
        </w:rPr>
        <w:t xml:space="preserve">-6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 xml:space="preserve">=0,71; СРБ і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=0,65) у хворих з виявленими плазмід-індукованими механізмами резистентності.</w:t>
      </w:r>
      <w:r w:rsidRPr="006B4867">
        <w:rPr>
          <w:sz w:val="28"/>
          <w:lang w:val="uk-UA"/>
        </w:rPr>
        <w:t xml:space="preserve"> </w:t>
      </w:r>
    </w:p>
    <w:p w:rsidR="006B4867" w:rsidRPr="006B4867" w:rsidRDefault="006B4867" w:rsidP="006B4867">
      <w:pPr>
        <w:spacing w:line="360" w:lineRule="auto"/>
        <w:ind w:firstLine="709"/>
        <w:jc w:val="both"/>
        <w:rPr>
          <w:rFonts w:cstheme="minorHAnsi"/>
          <w:color w:val="000000" w:themeColor="text1"/>
          <w:sz w:val="28"/>
          <w:szCs w:val="28"/>
          <w:lang w:val="uk-UA"/>
        </w:rPr>
      </w:pPr>
      <w:r w:rsidRPr="006B4867">
        <w:rPr>
          <w:sz w:val="28"/>
          <w:lang w:val="uk-UA"/>
        </w:rPr>
        <w:t xml:space="preserve">У пацієнтів, що страждають ХП на тлі ЦД 2 типу спостерігається достовірне підвищення маркерів системного запалення, а саме </w:t>
      </w:r>
      <w:r w:rsidRPr="006B4867">
        <w:rPr>
          <w:sz w:val="28"/>
          <w:szCs w:val="28"/>
          <w:lang w:val="en-US"/>
        </w:rPr>
        <w:t>IL</w:t>
      </w:r>
      <w:r w:rsidRPr="006B4867">
        <w:rPr>
          <w:sz w:val="28"/>
          <w:szCs w:val="28"/>
          <w:lang w:val="uk-UA"/>
        </w:rPr>
        <w:t xml:space="preserve">-6, </w:t>
      </w:r>
      <w:r w:rsidRPr="006B4867">
        <w:rPr>
          <w:sz w:val="28"/>
          <w:szCs w:val="28"/>
          <w:lang w:val="en-US"/>
        </w:rPr>
        <w:t>IgG</w:t>
      </w:r>
      <w:r w:rsidRPr="006B4867">
        <w:rPr>
          <w:sz w:val="28"/>
          <w:szCs w:val="28"/>
          <w:lang w:val="uk-UA"/>
        </w:rPr>
        <w:t xml:space="preserve"> та СРБ, що може свідчити про значну активацію гуморальної ланки неспецифічного імунітету у цієї категорії хворих. Отримані нами результати підтверджуються даними </w:t>
      </w:r>
      <w:r w:rsidRPr="006B4867">
        <w:rPr>
          <w:sz w:val="28"/>
          <w:lang w:val="uk-UA"/>
        </w:rPr>
        <w:t xml:space="preserve">Ю.С. Бусигіной і співавт. про наявність достовірно вищих рівнів імуноглобулінів та ІЛ-6 у хворих на ХП і ЦД 2 типу </w:t>
      </w:r>
      <w:r w:rsidRPr="006B4867">
        <w:rPr>
          <w:rFonts w:cstheme="minorHAnsi"/>
          <w:sz w:val="28"/>
          <w:lang w:val="uk-UA"/>
        </w:rPr>
        <w:t>[1].</w:t>
      </w:r>
      <w:r w:rsidRPr="006B4867">
        <w:rPr>
          <w:sz w:val="28"/>
          <w:lang w:val="uk-UA"/>
        </w:rPr>
        <w:t xml:space="preserve"> В іншому дослідженні, яке провели </w:t>
      </w:r>
      <w:r w:rsidRPr="006B4867">
        <w:rPr>
          <w:rFonts w:eastAsia="Times New Roman" w:cstheme="minorHAnsi"/>
          <w:color w:val="000000" w:themeColor="text1"/>
          <w:sz w:val="28"/>
          <w:szCs w:val="28"/>
          <w:lang w:val="en-US" w:eastAsia="ru-RU"/>
        </w:rPr>
        <w:t>Imig JD</w:t>
      </w:r>
      <w:r w:rsidRPr="006B4867">
        <w:rPr>
          <w:rFonts w:eastAsia="Times New Roman" w:cstheme="minorHAnsi"/>
          <w:color w:val="000000" w:themeColor="text1"/>
          <w:sz w:val="28"/>
          <w:szCs w:val="28"/>
          <w:lang w:val="uk-UA" w:eastAsia="ru-RU"/>
        </w:rPr>
        <w:t>.</w:t>
      </w:r>
      <w:r w:rsidRPr="006B4867">
        <w:rPr>
          <w:sz w:val="28"/>
          <w:lang w:val="uk-UA"/>
        </w:rPr>
        <w:t xml:space="preserve"> та співавтори, також виявлено підвищений рівень прозапальних цитокінів, що асоціюється з наявністю хронічного ураження нирок у хворих на цукровий діабет 2-го типу</w:t>
      </w:r>
      <w:r w:rsidRPr="006B4867">
        <w:rPr>
          <w:sz w:val="28"/>
          <w:szCs w:val="28"/>
          <w:lang w:val="uk-UA"/>
        </w:rPr>
        <w:t xml:space="preserve"> </w:t>
      </w:r>
      <w:r w:rsidRPr="006B4867">
        <w:rPr>
          <w:rFonts w:cstheme="minorHAnsi"/>
          <w:sz w:val="28"/>
          <w:szCs w:val="28"/>
          <w:lang w:val="uk-UA"/>
        </w:rPr>
        <w:t>[</w:t>
      </w:r>
      <w:r w:rsidRPr="006B4867">
        <w:rPr>
          <w:rFonts w:eastAsia="Times New Roman" w:cstheme="minorHAnsi"/>
          <w:color w:val="000000" w:themeColor="text1"/>
          <w:sz w:val="28"/>
          <w:szCs w:val="28"/>
          <w:lang w:val="uk-UA" w:eastAsia="ru-RU"/>
        </w:rPr>
        <w:t>57].</w:t>
      </w:r>
    </w:p>
    <w:p w:rsidR="006B4867" w:rsidRPr="006B4867" w:rsidRDefault="006B4867" w:rsidP="006B4867">
      <w:pPr>
        <w:shd w:val="clear" w:color="auto" w:fill="FFFFFF"/>
        <w:spacing w:before="90" w:after="90" w:line="360" w:lineRule="auto"/>
        <w:jc w:val="both"/>
        <w:outlineLvl w:val="0"/>
        <w:rPr>
          <w:rFonts w:eastAsia="Times New Roman" w:cstheme="minorHAnsi"/>
          <w:bCs/>
          <w:color w:val="000000"/>
          <w:kern w:val="36"/>
          <w:sz w:val="28"/>
          <w:szCs w:val="28"/>
          <w:lang w:val="uk-UA" w:eastAsia="ru-RU"/>
        </w:rPr>
      </w:pPr>
      <w:r w:rsidRPr="006B4867">
        <w:rPr>
          <w:rFonts w:eastAsia="Times New Roman" w:cstheme="minorHAnsi"/>
          <w:bCs/>
          <w:color w:val="000000"/>
          <w:kern w:val="36"/>
          <w:sz w:val="28"/>
          <w:szCs w:val="28"/>
          <w:lang w:val="uk-UA" w:eastAsia="ru-RU"/>
        </w:rPr>
        <w:t xml:space="preserve">Висновки. </w:t>
      </w:r>
    </w:p>
    <w:p w:rsidR="006B4867" w:rsidRPr="006B4867" w:rsidRDefault="006B4867" w:rsidP="006B4867">
      <w:pPr>
        <w:numPr>
          <w:ilvl w:val="0"/>
          <w:numId w:val="9"/>
        </w:numPr>
        <w:shd w:val="clear" w:color="auto" w:fill="FFFFFF"/>
        <w:spacing w:before="90" w:after="90" w:line="360" w:lineRule="auto"/>
        <w:contextualSpacing/>
        <w:jc w:val="both"/>
        <w:outlineLvl w:val="0"/>
        <w:rPr>
          <w:rFonts w:eastAsia="Times New Roman" w:cstheme="minorHAnsi"/>
          <w:bCs/>
          <w:color w:val="000000"/>
          <w:kern w:val="36"/>
          <w:sz w:val="28"/>
          <w:szCs w:val="28"/>
          <w:lang w:val="uk-UA" w:eastAsia="ru-RU"/>
        </w:rPr>
      </w:pPr>
      <w:r w:rsidRPr="006B4867">
        <w:rPr>
          <w:rFonts w:eastAsia="Times New Roman" w:cstheme="minorHAnsi"/>
          <w:bCs/>
          <w:color w:val="000000"/>
          <w:kern w:val="36"/>
          <w:sz w:val="28"/>
          <w:szCs w:val="28"/>
          <w:lang w:val="uk-UA" w:eastAsia="ru-RU"/>
        </w:rPr>
        <w:t xml:space="preserve">У хворих на ХП з виявленими плазмід-індукованими механізмами резистентності існує достовірний кореляційний зв’язок між рівнями </w:t>
      </w:r>
      <w:r w:rsidRPr="006B4867">
        <w:rPr>
          <w:sz w:val="28"/>
          <w:szCs w:val="28"/>
          <w:lang w:val="en-US"/>
        </w:rPr>
        <w:t>IL</w:t>
      </w:r>
      <w:r w:rsidRPr="006B4867">
        <w:rPr>
          <w:sz w:val="28"/>
          <w:szCs w:val="28"/>
          <w:lang w:val="uk-UA"/>
        </w:rPr>
        <w:t xml:space="preserve">-6 та СРБ, </w:t>
      </w:r>
      <w:r w:rsidRPr="006B4867">
        <w:rPr>
          <w:sz w:val="28"/>
          <w:szCs w:val="28"/>
          <w:lang w:val="en-US"/>
        </w:rPr>
        <w:t>r</w:t>
      </w:r>
      <w:r w:rsidRPr="006B4867">
        <w:rPr>
          <w:sz w:val="28"/>
          <w:szCs w:val="28"/>
          <w:lang w:val="uk-UA"/>
        </w:rPr>
        <w:t xml:space="preserve">=0,53; </w:t>
      </w:r>
      <w:r w:rsidRPr="006B4867">
        <w:rPr>
          <w:sz w:val="28"/>
          <w:szCs w:val="28"/>
          <w:lang w:val="en-US"/>
        </w:rPr>
        <w:t>IL</w:t>
      </w:r>
      <w:r w:rsidRPr="006B4867">
        <w:rPr>
          <w:sz w:val="28"/>
          <w:szCs w:val="28"/>
          <w:lang w:val="uk-UA"/>
        </w:rPr>
        <w:t xml:space="preserve">-6 та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 xml:space="preserve">=0,71; СРБ і </w:t>
      </w:r>
      <w:r w:rsidRPr="006B4867">
        <w:rPr>
          <w:sz w:val="28"/>
          <w:szCs w:val="28"/>
          <w:lang w:val="en-US"/>
        </w:rPr>
        <w:t>IgM</w:t>
      </w:r>
      <w:r w:rsidRPr="006B4867">
        <w:rPr>
          <w:sz w:val="28"/>
          <w:szCs w:val="28"/>
          <w:lang w:val="uk-UA"/>
        </w:rPr>
        <w:t xml:space="preserve">, </w:t>
      </w:r>
      <w:r w:rsidRPr="006B4867">
        <w:rPr>
          <w:sz w:val="28"/>
          <w:szCs w:val="28"/>
          <w:lang w:val="en-US"/>
        </w:rPr>
        <w:t>r</w:t>
      </w:r>
      <w:r w:rsidRPr="006B4867">
        <w:rPr>
          <w:sz w:val="28"/>
          <w:szCs w:val="28"/>
          <w:lang w:val="uk-UA"/>
        </w:rPr>
        <w:t>=0,65.</w:t>
      </w:r>
    </w:p>
    <w:p w:rsidR="006B4867" w:rsidRPr="006B4867" w:rsidRDefault="006B4867" w:rsidP="006B4867">
      <w:pPr>
        <w:numPr>
          <w:ilvl w:val="0"/>
          <w:numId w:val="9"/>
        </w:numPr>
        <w:shd w:val="clear" w:color="auto" w:fill="FFFFFF"/>
        <w:spacing w:before="90" w:after="90" w:line="360" w:lineRule="auto"/>
        <w:contextualSpacing/>
        <w:jc w:val="both"/>
        <w:outlineLvl w:val="0"/>
        <w:rPr>
          <w:rFonts w:eastAsia="Times New Roman" w:cstheme="minorHAnsi"/>
          <w:bCs/>
          <w:color w:val="000000"/>
          <w:kern w:val="36"/>
          <w:sz w:val="28"/>
          <w:szCs w:val="28"/>
          <w:lang w:val="uk-UA" w:eastAsia="ru-RU"/>
        </w:rPr>
      </w:pPr>
      <w:r w:rsidRPr="006B4867">
        <w:rPr>
          <w:rFonts w:eastAsia="Times New Roman" w:cstheme="minorHAnsi"/>
          <w:bCs/>
          <w:color w:val="000000"/>
          <w:kern w:val="36"/>
          <w:sz w:val="28"/>
          <w:szCs w:val="28"/>
          <w:lang w:val="uk-UA" w:eastAsia="ru-RU"/>
        </w:rPr>
        <w:t xml:space="preserve">У хворих на ХП і супутнім ЦД 2 типу, </w:t>
      </w:r>
      <w:r w:rsidRPr="006B4867">
        <w:rPr>
          <w:sz w:val="28"/>
          <w:lang w:val="uk-UA"/>
        </w:rPr>
        <w:t xml:space="preserve">спостерігається достовірне підвищення маркерів системного запалення </w:t>
      </w:r>
      <w:r w:rsidRPr="006B4867">
        <w:rPr>
          <w:sz w:val="28"/>
          <w:szCs w:val="28"/>
          <w:lang w:val="en-US"/>
        </w:rPr>
        <w:t>IL</w:t>
      </w:r>
      <w:r w:rsidRPr="006B4867">
        <w:rPr>
          <w:sz w:val="28"/>
          <w:szCs w:val="28"/>
          <w:lang w:val="uk-UA"/>
        </w:rPr>
        <w:t xml:space="preserve">-6, </w:t>
      </w:r>
      <w:r w:rsidRPr="006B4867">
        <w:rPr>
          <w:sz w:val="28"/>
          <w:szCs w:val="28"/>
          <w:lang w:val="en-US"/>
        </w:rPr>
        <w:t>IgG</w:t>
      </w:r>
      <w:r w:rsidRPr="006B4867">
        <w:rPr>
          <w:sz w:val="28"/>
          <w:szCs w:val="28"/>
          <w:lang w:val="uk-UA"/>
        </w:rPr>
        <w:t xml:space="preserve"> та СРБ ніж у пацієнтів без діабету.</w:t>
      </w:r>
    </w:p>
    <w:p w:rsidR="006B4867" w:rsidRPr="006B4867" w:rsidRDefault="006B4867" w:rsidP="006B4867">
      <w:pPr>
        <w:autoSpaceDE w:val="0"/>
        <w:autoSpaceDN w:val="0"/>
        <w:adjustRightInd w:val="0"/>
        <w:spacing w:after="0" w:line="240" w:lineRule="auto"/>
        <w:rPr>
          <w:rFonts w:ascii="Times New Roman" w:hAnsi="Times New Roman" w:cs="Times New Roman"/>
          <w:sz w:val="24"/>
          <w:szCs w:val="24"/>
          <w:lang w:val="uk-UA"/>
        </w:rPr>
      </w:pPr>
    </w:p>
    <w:p w:rsidR="006B4867" w:rsidRPr="006B4867" w:rsidRDefault="006B4867" w:rsidP="006B4867">
      <w:pPr>
        <w:autoSpaceDE w:val="0"/>
        <w:autoSpaceDN w:val="0"/>
        <w:adjustRightInd w:val="0"/>
        <w:spacing w:after="0" w:line="240" w:lineRule="auto"/>
        <w:rPr>
          <w:rFonts w:ascii="Times New Roman" w:hAnsi="Times New Roman" w:cs="Times New Roman"/>
          <w:color w:val="000000"/>
          <w:sz w:val="24"/>
          <w:szCs w:val="24"/>
          <w:lang w:val="uk-UA"/>
        </w:rPr>
      </w:pPr>
    </w:p>
    <w:p w:rsidR="006B4867" w:rsidRPr="006B4867" w:rsidRDefault="006B4867" w:rsidP="006B4867">
      <w:pPr>
        <w:autoSpaceDE w:val="0"/>
        <w:autoSpaceDN w:val="0"/>
        <w:adjustRightInd w:val="0"/>
        <w:spacing w:after="0" w:line="240" w:lineRule="auto"/>
        <w:rPr>
          <w:rFonts w:ascii="Times New Roman" w:hAnsi="Times New Roman" w:cs="Times New Roman"/>
          <w:color w:val="000000"/>
          <w:sz w:val="24"/>
          <w:szCs w:val="24"/>
          <w:lang w:val="uk-UA"/>
        </w:rPr>
      </w:pPr>
      <w:r w:rsidRPr="006B4867">
        <w:rPr>
          <w:rFonts w:ascii="Times New Roman" w:hAnsi="Times New Roman" w:cs="Times New Roman"/>
          <w:color w:val="000000"/>
          <w:sz w:val="24"/>
          <w:szCs w:val="24"/>
          <w:lang w:val="uk-UA"/>
        </w:rPr>
        <w:t xml:space="preserve"> </w:t>
      </w:r>
    </w:p>
    <w:p w:rsidR="006B4867" w:rsidRPr="006B4867" w:rsidRDefault="006B4867" w:rsidP="006B4867">
      <w:pPr>
        <w:spacing w:line="360" w:lineRule="auto"/>
        <w:ind w:firstLine="709"/>
        <w:jc w:val="both"/>
        <w:rPr>
          <w:sz w:val="28"/>
          <w:szCs w:val="28"/>
          <w:lang w:val="uk-UA"/>
        </w:rPr>
      </w:pPr>
    </w:p>
    <w:p w:rsidR="006B4867" w:rsidRPr="006B4867" w:rsidRDefault="006B4867" w:rsidP="006B4867">
      <w:pPr>
        <w:spacing w:line="360" w:lineRule="auto"/>
        <w:jc w:val="both"/>
        <w:rPr>
          <w:sz w:val="28"/>
          <w:szCs w:val="28"/>
          <w:lang w:val="uk-UA"/>
        </w:rPr>
      </w:pPr>
      <w:r w:rsidRPr="006B4867">
        <w:rPr>
          <w:b/>
          <w:sz w:val="28"/>
          <w:szCs w:val="28"/>
          <w:lang w:val="uk-UA"/>
        </w:rPr>
        <w:lastRenderedPageBreak/>
        <w:t>3.6 МЕТОДИ ДИФЕРЕНЦІЙОВАНОГО ПРИЗНАЧЕННЯ АНТИБІОТИКО-ТЕРАПІЇ ЗАЛЕЖНО ВІД НАЯВНОСТІ ПЛАЗМІД-ІНДУКОВАНИХ МЕХАНІЗМІВ РЕЗИСТЕНТНОСТІ У ХВОРИХ ХРОНІЧНИМ ПІЄЛОНЕФРИТОМ І СУПУТНІМ ЦУКРОВИМ ДІАБЕТОМ 2 ТИПУ.</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Раціональне призначення АБТ є головним завданням при лікуванні ХП. Проте, методи диференційованого призначення антибіотиків хворим на ХП з виявленими плазмід-індукованими механізмами резистентності, повністю не розроблені. Так, згідно рекомендацій </w:t>
      </w:r>
      <w:r w:rsidRPr="006B4867">
        <w:rPr>
          <w:sz w:val="28"/>
          <w:szCs w:val="28"/>
          <w:lang w:val="en-US"/>
        </w:rPr>
        <w:t>EAU</w:t>
      </w:r>
      <w:r w:rsidRPr="006B4867">
        <w:rPr>
          <w:sz w:val="28"/>
          <w:szCs w:val="28"/>
          <w:lang w:val="uk-UA"/>
        </w:rPr>
        <w:t xml:space="preserve"> 2015, емпіричними АБП при лікуванні ХП є парентерально фторхінолон (при наявності резистентності </w:t>
      </w:r>
      <w:r w:rsidRPr="006B4867">
        <w:rPr>
          <w:rFonts w:cstheme="minorHAnsi"/>
          <w:sz w:val="28"/>
          <w:szCs w:val="28"/>
          <w:lang w:val="uk-UA"/>
        </w:rPr>
        <w:t>&lt;</w:t>
      </w:r>
      <w:r w:rsidRPr="006B4867">
        <w:rPr>
          <w:sz w:val="28"/>
          <w:szCs w:val="28"/>
          <w:lang w:val="uk-UA"/>
        </w:rPr>
        <w:t xml:space="preserve"> 10%), 3-я генерація цефалоспоринів (при наявності резистентності </w:t>
      </w:r>
      <w:r w:rsidRPr="006B4867">
        <w:rPr>
          <w:rFonts w:cstheme="minorHAnsi"/>
          <w:sz w:val="28"/>
          <w:szCs w:val="28"/>
          <w:lang w:val="uk-UA"/>
        </w:rPr>
        <w:t>&lt;</w:t>
      </w:r>
      <w:r w:rsidRPr="006B4867">
        <w:rPr>
          <w:sz w:val="28"/>
          <w:szCs w:val="28"/>
          <w:lang w:val="uk-UA"/>
        </w:rPr>
        <w:t xml:space="preserve"> 10%), аміноглікозид/карбапенем у разі резистентності до фторхінолонів та цефалоспоринів </w:t>
      </w:r>
      <w:r w:rsidRPr="006B4867">
        <w:rPr>
          <w:rFonts w:cstheme="minorHAnsi"/>
          <w:sz w:val="28"/>
          <w:szCs w:val="28"/>
          <w:lang w:val="uk-UA"/>
        </w:rPr>
        <w:t>&gt;</w:t>
      </w:r>
      <w:r w:rsidRPr="006B4867">
        <w:rPr>
          <w:sz w:val="28"/>
          <w:szCs w:val="28"/>
          <w:lang w:val="uk-UA"/>
        </w:rPr>
        <w:t xml:space="preserve"> 10% </w:t>
      </w:r>
      <w:r w:rsidRPr="006B4867">
        <w:rPr>
          <w:rFonts w:ascii="Times New Roman" w:hAnsi="Times New Roman" w:cs="Times New Roman"/>
          <w:sz w:val="28"/>
          <w:szCs w:val="28"/>
          <w:lang w:val="uk-UA"/>
        </w:rPr>
        <w:t>[</w:t>
      </w:r>
      <w:r w:rsidRPr="006B4867">
        <w:rPr>
          <w:sz w:val="28"/>
          <w:szCs w:val="28"/>
          <w:lang w:val="uk-UA"/>
        </w:rPr>
        <w:t>77</w:t>
      </w:r>
      <w:r w:rsidRPr="006B4867">
        <w:rPr>
          <w:rFonts w:ascii="Times New Roman" w:hAnsi="Times New Roman" w:cs="Times New Roman"/>
          <w:sz w:val="28"/>
          <w:szCs w:val="28"/>
          <w:lang w:val="uk-UA"/>
        </w:rPr>
        <w:t>].</w:t>
      </w:r>
      <w:r w:rsidRPr="006B4867">
        <w:rPr>
          <w:sz w:val="28"/>
          <w:szCs w:val="28"/>
          <w:lang w:val="uk-UA"/>
        </w:rPr>
        <w:t xml:space="preserve"> </w:t>
      </w:r>
      <w:r w:rsidRPr="006B4867">
        <w:rPr>
          <w:rFonts w:cstheme="minorHAnsi"/>
          <w:color w:val="000000" w:themeColor="text1"/>
          <w:sz w:val="28"/>
          <w:szCs w:val="28"/>
          <w:lang w:val="en-US"/>
        </w:rPr>
        <w:t>Curello</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J</w:t>
      </w:r>
      <w:r w:rsidRPr="006B4867">
        <w:rPr>
          <w:rFonts w:cstheme="minorHAnsi"/>
          <w:color w:val="000000" w:themeColor="text1"/>
          <w:sz w:val="28"/>
          <w:szCs w:val="28"/>
          <w:lang w:val="uk-UA"/>
        </w:rPr>
        <w:t>. та спів</w:t>
      </w:r>
      <w:r w:rsidRPr="006B4867">
        <w:rPr>
          <w:sz w:val="28"/>
          <w:szCs w:val="28"/>
          <w:lang w:val="uk-UA"/>
        </w:rPr>
        <w:t xml:space="preserve">авт. в дослідженні </w:t>
      </w:r>
      <w:r w:rsidRPr="006B4867">
        <w:rPr>
          <w:rFonts w:eastAsia="MyriadPro-Bold" w:cstheme="minorHAnsi"/>
          <w:bCs/>
          <w:sz w:val="28"/>
          <w:szCs w:val="28"/>
        </w:rPr>
        <w:t>Beyond</w:t>
      </w:r>
      <w:r w:rsidRPr="006B4867">
        <w:rPr>
          <w:rFonts w:eastAsia="MyriadPro-Bold" w:cstheme="minorHAnsi"/>
          <w:bCs/>
          <w:sz w:val="28"/>
          <w:szCs w:val="28"/>
          <w:lang w:val="uk-UA"/>
        </w:rPr>
        <w:t xml:space="preserve"> </w:t>
      </w:r>
      <w:r w:rsidRPr="006B4867">
        <w:rPr>
          <w:rFonts w:eastAsia="MyriadPro-Bold" w:cstheme="minorHAnsi"/>
          <w:bCs/>
          <w:sz w:val="28"/>
          <w:szCs w:val="28"/>
        </w:rPr>
        <w:t>Susceptible</w:t>
      </w:r>
      <w:r w:rsidRPr="006B4867">
        <w:rPr>
          <w:rFonts w:eastAsia="MyriadPro-Bold" w:cstheme="minorHAnsi"/>
          <w:bCs/>
          <w:sz w:val="28"/>
          <w:szCs w:val="28"/>
          <w:lang w:val="uk-UA"/>
        </w:rPr>
        <w:t xml:space="preserve"> </w:t>
      </w:r>
      <w:r w:rsidRPr="006B4867">
        <w:rPr>
          <w:rFonts w:eastAsia="MyriadPro-Bold" w:cstheme="minorHAnsi"/>
          <w:bCs/>
          <w:sz w:val="28"/>
          <w:szCs w:val="28"/>
        </w:rPr>
        <w:t>and</w:t>
      </w:r>
      <w:r w:rsidRPr="006B4867">
        <w:rPr>
          <w:rFonts w:eastAsia="MyriadPro-Bold" w:cstheme="minorHAnsi"/>
          <w:bCs/>
          <w:sz w:val="28"/>
          <w:szCs w:val="28"/>
          <w:lang w:val="uk-UA"/>
        </w:rPr>
        <w:t xml:space="preserve"> </w:t>
      </w:r>
      <w:r w:rsidRPr="006B4867">
        <w:rPr>
          <w:rFonts w:eastAsia="MyriadPro-Bold" w:cstheme="minorHAnsi"/>
          <w:bCs/>
          <w:sz w:val="28"/>
          <w:szCs w:val="28"/>
        </w:rPr>
        <w:t>Resistant</w:t>
      </w:r>
      <w:r w:rsidRPr="006B4867">
        <w:rPr>
          <w:rFonts w:eastAsia="MyriadPro-Bold" w:cstheme="minorHAnsi"/>
          <w:bCs/>
          <w:sz w:val="28"/>
          <w:szCs w:val="28"/>
          <w:lang w:val="uk-UA"/>
        </w:rPr>
        <w:t xml:space="preserve">, </w:t>
      </w:r>
      <w:r w:rsidRPr="006B4867">
        <w:rPr>
          <w:rFonts w:eastAsia="MyriadPro-Bold" w:cstheme="minorHAnsi"/>
          <w:bCs/>
          <w:sz w:val="28"/>
          <w:szCs w:val="28"/>
        </w:rPr>
        <w:t>Part</w:t>
      </w:r>
      <w:r w:rsidRPr="006B4867">
        <w:rPr>
          <w:rFonts w:eastAsia="MyriadPro-Bold" w:cstheme="minorHAnsi"/>
          <w:bCs/>
          <w:sz w:val="28"/>
          <w:szCs w:val="28"/>
          <w:lang w:val="uk-UA"/>
        </w:rPr>
        <w:t xml:space="preserve"> </w:t>
      </w:r>
      <w:r w:rsidRPr="006B4867">
        <w:rPr>
          <w:rFonts w:eastAsia="MyriadPro-Bold" w:cstheme="minorHAnsi"/>
          <w:bCs/>
          <w:sz w:val="28"/>
          <w:szCs w:val="28"/>
        </w:rPr>
        <w:t>II</w:t>
      </w:r>
      <w:r w:rsidRPr="006B4867">
        <w:rPr>
          <w:rFonts w:eastAsia="MyriadPro-Bold" w:cstheme="minorHAnsi"/>
          <w:bCs/>
          <w:sz w:val="28"/>
          <w:szCs w:val="28"/>
          <w:lang w:val="uk-UA"/>
        </w:rPr>
        <w:t xml:space="preserve"> демонструють</w:t>
      </w:r>
      <w:r w:rsidRPr="006B4867">
        <w:rPr>
          <w:sz w:val="28"/>
          <w:szCs w:val="28"/>
          <w:lang w:val="uk-UA"/>
        </w:rPr>
        <w:t xml:space="preserve"> несприятливий клінічний результат у разі лікування ІСС, спричиненої бактеріями з плазмідними механізмами резистентності, цефалоспоринами та піпераціллин/тазобактамом, проте ефективність карбапенемів була високою</w:t>
      </w:r>
      <w:r w:rsidRPr="006B4867">
        <w:rPr>
          <w:rFonts w:cstheme="minorHAnsi"/>
          <w:color w:val="000000" w:themeColor="text1"/>
          <w:sz w:val="28"/>
          <w:szCs w:val="28"/>
          <w:lang w:val="uk-UA"/>
        </w:rPr>
        <w:t xml:space="preserve"> [30].</w:t>
      </w:r>
      <w:r w:rsidRPr="006B4867">
        <w:rPr>
          <w:sz w:val="28"/>
          <w:szCs w:val="28"/>
          <w:lang w:val="uk-UA"/>
        </w:rPr>
        <w:t xml:space="preserve"> Тому, розробка алгоритму </w:t>
      </w:r>
      <w:r w:rsidRPr="006B4867">
        <w:rPr>
          <w:rFonts w:cstheme="minorHAnsi"/>
          <w:color w:val="000000" w:themeColor="text1"/>
          <w:sz w:val="28"/>
          <w:szCs w:val="28"/>
          <w:lang w:val="uk-UA"/>
        </w:rPr>
        <w:t xml:space="preserve">диференційного призначення АБТ хворим з наявністю факторів ризику та/або виявленими плазмідними механізмами резистентності є необхідним з метою підвищення ефективності емпіричної АБТ та зниження розвитку ускладнень. Крім того, підвищення ефективності лікування та раціональне застосування антибіотиків дозволить зменшити кількість рецидивів захворювання та нових випадків ХХН V ст., обумовлених ХП, зменшити витрати на лікування та строки госпіталізації, і, зрештою, запобігти поширенню індукованої плазмідами антибіотико-резистентності серед бактеріальних штамів.  </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Отже, завданням нашого дослідження було оптимізувати методи диференційованого призначення антибіотико-терапії залежно від наявності </w:t>
      </w:r>
      <w:r w:rsidRPr="006B4867">
        <w:rPr>
          <w:sz w:val="28"/>
          <w:szCs w:val="28"/>
          <w:lang w:val="uk-UA"/>
        </w:rPr>
        <w:lastRenderedPageBreak/>
        <w:t>плазмід-індукованих механізмів резистентності у хворих на ХП з і без супутнього ЦД 2 типу.</w:t>
      </w:r>
    </w:p>
    <w:p w:rsidR="006B4867" w:rsidRPr="006B4867" w:rsidRDefault="006B4867" w:rsidP="006B4867">
      <w:pPr>
        <w:spacing w:line="360" w:lineRule="auto"/>
        <w:ind w:firstLine="709"/>
        <w:jc w:val="both"/>
        <w:rPr>
          <w:b/>
          <w:sz w:val="28"/>
          <w:szCs w:val="28"/>
          <w:lang w:val="uk-UA"/>
        </w:rPr>
      </w:pPr>
      <w:r w:rsidRPr="006B4867">
        <w:rPr>
          <w:b/>
          <w:sz w:val="28"/>
          <w:szCs w:val="28"/>
          <w:lang w:val="uk-UA"/>
        </w:rPr>
        <w:t xml:space="preserve">3.6.1 Виявлення плазмід-індукованих механізмів резистентності у хворих на ХП і ЦД 2 типу в залежності від виду емпіричної антибіотико-терапії.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Для аналізу виявлення плазмід-індукованих механізмів резистентності у хворих на ХП в залежності від виду одержаної емпіричної АБТ, пацієнти були розподілені на 3 групи: група А – хворі, що отримували фторхінолони, група В – цефалоспорини, група С – комбінацію фторхінолонів і цефалоспоринів. Виявлення плазмідних генів стійкості в групах, що приймали фторхінолони, цефалоспорини та комбінацію вищезазначених препаратів становило 41,7%, 43,9% та 40% відповідно (малюнок 3.71). </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5722EE28" wp14:editId="72176359">
            <wp:extent cx="5486400" cy="2775397"/>
            <wp:effectExtent l="0" t="0" r="19050" b="25400"/>
            <wp:docPr id="74" name="Диаграмма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 xml:space="preserve">Мал. 3.71 Виявлення плазмідних генів резистентності залежно від виду емпіричного АБП.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По типам виявлених генів, в групі А виявлення як плазмід-індукованих </w:t>
      </w:r>
      <w:r w:rsidRPr="006B4867">
        <w:rPr>
          <w:rFonts w:cstheme="minorHAnsi"/>
          <w:sz w:val="28"/>
          <w:szCs w:val="28"/>
          <w:lang w:val="uk-UA"/>
        </w:rPr>
        <w:t>β</w:t>
      </w:r>
      <w:r w:rsidRPr="006B4867">
        <w:rPr>
          <w:sz w:val="28"/>
          <w:szCs w:val="28"/>
          <w:lang w:val="uk-UA"/>
        </w:rPr>
        <w:t xml:space="preserve">ЛРС, так і генів стійкості до фторхінолонів, не відрізнялось і складало 20,8%; в групі В – переважали </w:t>
      </w:r>
      <w:r w:rsidRPr="006B4867">
        <w:rPr>
          <w:rFonts w:cstheme="minorHAnsi"/>
          <w:sz w:val="28"/>
          <w:szCs w:val="28"/>
          <w:lang w:val="uk-UA"/>
        </w:rPr>
        <w:t>β</w:t>
      </w:r>
      <w:r w:rsidRPr="006B4867">
        <w:rPr>
          <w:sz w:val="28"/>
          <w:szCs w:val="28"/>
          <w:lang w:val="uk-UA"/>
        </w:rPr>
        <w:t xml:space="preserve">-лактамази розширеного спектру дії з частотою виявлення 29,3%; в групі С також переважали </w:t>
      </w:r>
      <w:r w:rsidRPr="006B4867">
        <w:rPr>
          <w:rFonts w:cstheme="minorHAnsi"/>
          <w:sz w:val="28"/>
          <w:szCs w:val="28"/>
          <w:lang w:val="uk-UA"/>
        </w:rPr>
        <w:t>β</w:t>
      </w:r>
      <w:r w:rsidRPr="006B4867">
        <w:rPr>
          <w:sz w:val="28"/>
          <w:szCs w:val="28"/>
          <w:lang w:val="uk-UA"/>
        </w:rPr>
        <w:t>ЛРС з частотою виявлення 32,5% відповідно (таблиця 3.16).</w:t>
      </w:r>
    </w:p>
    <w:p w:rsidR="006B4867" w:rsidRPr="006B4867" w:rsidRDefault="006B4867" w:rsidP="006B4867">
      <w:pPr>
        <w:spacing w:after="0" w:line="360" w:lineRule="auto"/>
        <w:ind w:firstLine="709"/>
        <w:jc w:val="right"/>
        <w:rPr>
          <w:sz w:val="28"/>
          <w:szCs w:val="28"/>
          <w:lang w:val="uk-UA"/>
        </w:rPr>
      </w:pPr>
      <w:r w:rsidRPr="006B4867">
        <w:rPr>
          <w:sz w:val="28"/>
          <w:szCs w:val="28"/>
          <w:lang w:val="uk-UA"/>
        </w:rPr>
        <w:lastRenderedPageBreak/>
        <w:t>Таблиця 3.16</w:t>
      </w:r>
    </w:p>
    <w:tbl>
      <w:tblPr>
        <w:tblStyle w:val="ae"/>
        <w:tblW w:w="0" w:type="auto"/>
        <w:tblLook w:val="04A0" w:firstRow="1" w:lastRow="0" w:firstColumn="1" w:lastColumn="0" w:noHBand="0" w:noVBand="1"/>
      </w:tblPr>
      <w:tblGrid>
        <w:gridCol w:w="1914"/>
        <w:gridCol w:w="2516"/>
        <w:gridCol w:w="2517"/>
        <w:gridCol w:w="2517"/>
      </w:tblGrid>
      <w:tr w:rsidR="006B4867" w:rsidRPr="006B4867" w:rsidTr="00513759">
        <w:tc>
          <w:tcPr>
            <w:tcW w:w="1914" w:type="dxa"/>
            <w:vMerge w:val="restart"/>
            <w:vAlign w:val="center"/>
          </w:tcPr>
          <w:p w:rsidR="006B4867" w:rsidRPr="006B4867" w:rsidRDefault="006B4867" w:rsidP="006B4867">
            <w:pPr>
              <w:spacing w:line="360" w:lineRule="auto"/>
              <w:jc w:val="center"/>
              <w:rPr>
                <w:rFonts w:cstheme="minorHAnsi"/>
                <w:b/>
                <w:color w:val="000000" w:themeColor="text1"/>
                <w:sz w:val="28"/>
                <w:szCs w:val="28"/>
                <w:lang w:val="uk-UA"/>
              </w:rPr>
            </w:pPr>
            <w:r w:rsidRPr="006B4867">
              <w:rPr>
                <w:rFonts w:cstheme="minorHAnsi"/>
                <w:b/>
                <w:color w:val="000000" w:themeColor="text1"/>
                <w:sz w:val="28"/>
                <w:szCs w:val="28"/>
                <w:lang w:val="uk-UA"/>
              </w:rPr>
              <w:t>Гени</w:t>
            </w:r>
          </w:p>
        </w:tc>
        <w:tc>
          <w:tcPr>
            <w:tcW w:w="7550" w:type="dxa"/>
            <w:gridSpan w:val="3"/>
          </w:tcPr>
          <w:p w:rsidR="006B4867" w:rsidRPr="006B4867" w:rsidRDefault="006B4867" w:rsidP="006B4867">
            <w:pPr>
              <w:spacing w:line="360" w:lineRule="auto"/>
              <w:jc w:val="center"/>
              <w:rPr>
                <w:rFonts w:cstheme="minorHAnsi"/>
                <w:b/>
                <w:color w:val="000000" w:themeColor="text1"/>
                <w:sz w:val="28"/>
                <w:szCs w:val="28"/>
                <w:lang w:val="uk-UA"/>
              </w:rPr>
            </w:pPr>
            <w:r w:rsidRPr="006B4867">
              <w:rPr>
                <w:rFonts w:cstheme="minorHAnsi"/>
                <w:b/>
                <w:color w:val="000000" w:themeColor="text1"/>
                <w:sz w:val="28"/>
                <w:szCs w:val="28"/>
                <w:lang w:val="uk-UA"/>
              </w:rPr>
              <w:t xml:space="preserve">Групи </w:t>
            </w:r>
          </w:p>
        </w:tc>
      </w:tr>
      <w:tr w:rsidR="006B4867" w:rsidRPr="006B4867" w:rsidTr="00513759">
        <w:tc>
          <w:tcPr>
            <w:tcW w:w="1914" w:type="dxa"/>
            <w:vMerge/>
          </w:tcPr>
          <w:p w:rsidR="006B4867" w:rsidRPr="006B4867" w:rsidRDefault="006B4867" w:rsidP="006B4867">
            <w:pPr>
              <w:spacing w:line="360" w:lineRule="auto"/>
              <w:jc w:val="both"/>
              <w:rPr>
                <w:sz w:val="28"/>
                <w:szCs w:val="28"/>
                <w:lang w:val="uk-UA"/>
              </w:rPr>
            </w:pPr>
          </w:p>
        </w:tc>
        <w:tc>
          <w:tcPr>
            <w:tcW w:w="2516" w:type="dxa"/>
            <w:vAlign w:val="center"/>
          </w:tcPr>
          <w:p w:rsidR="006B4867" w:rsidRPr="006B4867" w:rsidRDefault="006B4867" w:rsidP="006B4867">
            <w:pPr>
              <w:spacing w:line="360" w:lineRule="auto"/>
              <w:jc w:val="center"/>
              <w:rPr>
                <w:rFonts w:cstheme="minorHAnsi"/>
                <w:b/>
                <w:i/>
                <w:color w:val="000000" w:themeColor="text1"/>
                <w:sz w:val="28"/>
                <w:szCs w:val="28"/>
                <w:lang w:val="uk-UA"/>
              </w:rPr>
            </w:pPr>
            <w:r w:rsidRPr="006B4867">
              <w:rPr>
                <w:rFonts w:cstheme="minorHAnsi"/>
                <w:b/>
                <w:i/>
                <w:color w:val="000000" w:themeColor="text1"/>
                <w:sz w:val="28"/>
                <w:szCs w:val="28"/>
                <w:lang w:val="uk-UA"/>
              </w:rPr>
              <w:t>Група А</w:t>
            </w:r>
          </w:p>
        </w:tc>
        <w:tc>
          <w:tcPr>
            <w:tcW w:w="2517" w:type="dxa"/>
            <w:vAlign w:val="center"/>
          </w:tcPr>
          <w:p w:rsidR="006B4867" w:rsidRPr="006B4867" w:rsidRDefault="006B4867" w:rsidP="006B4867">
            <w:pPr>
              <w:spacing w:line="360" w:lineRule="auto"/>
              <w:jc w:val="center"/>
              <w:rPr>
                <w:rFonts w:cstheme="minorHAnsi"/>
                <w:b/>
                <w:i/>
                <w:color w:val="000000" w:themeColor="text1"/>
                <w:sz w:val="28"/>
                <w:szCs w:val="28"/>
                <w:lang w:val="uk-UA"/>
              </w:rPr>
            </w:pPr>
            <w:r w:rsidRPr="006B4867">
              <w:rPr>
                <w:rFonts w:cstheme="minorHAnsi"/>
                <w:b/>
                <w:i/>
                <w:color w:val="000000" w:themeColor="text1"/>
                <w:sz w:val="28"/>
                <w:szCs w:val="28"/>
                <w:lang w:val="uk-UA"/>
              </w:rPr>
              <w:t>Група В</w:t>
            </w:r>
          </w:p>
        </w:tc>
        <w:tc>
          <w:tcPr>
            <w:tcW w:w="2517" w:type="dxa"/>
            <w:vAlign w:val="center"/>
          </w:tcPr>
          <w:p w:rsidR="006B4867" w:rsidRPr="006B4867" w:rsidRDefault="006B4867" w:rsidP="006B4867">
            <w:pPr>
              <w:spacing w:line="360" w:lineRule="auto"/>
              <w:jc w:val="center"/>
              <w:rPr>
                <w:rFonts w:cstheme="minorHAnsi"/>
                <w:b/>
                <w:i/>
                <w:color w:val="000000" w:themeColor="text1"/>
                <w:sz w:val="28"/>
                <w:szCs w:val="28"/>
                <w:lang w:val="uk-UA"/>
              </w:rPr>
            </w:pPr>
            <w:r w:rsidRPr="006B4867">
              <w:rPr>
                <w:rFonts w:cstheme="minorHAnsi"/>
                <w:b/>
                <w:i/>
                <w:color w:val="000000" w:themeColor="text1"/>
                <w:sz w:val="28"/>
                <w:szCs w:val="28"/>
                <w:lang w:val="uk-UA"/>
              </w:rPr>
              <w:t>Група С</w:t>
            </w:r>
          </w:p>
        </w:tc>
      </w:tr>
      <w:tr w:rsidR="006B4867" w:rsidRPr="006B4867" w:rsidTr="00513759">
        <w:tc>
          <w:tcPr>
            <w:tcW w:w="1914" w:type="dxa"/>
          </w:tcPr>
          <w:p w:rsidR="006B4867" w:rsidRPr="006B4867" w:rsidRDefault="006B4867" w:rsidP="006B4867">
            <w:pPr>
              <w:spacing w:line="360" w:lineRule="auto"/>
              <w:jc w:val="both"/>
              <w:rPr>
                <w:sz w:val="28"/>
                <w:szCs w:val="28"/>
                <w:lang w:val="uk-UA"/>
              </w:rPr>
            </w:pPr>
            <w:r w:rsidRPr="006B4867">
              <w:rPr>
                <w:rFonts w:cstheme="minorHAnsi"/>
                <w:color w:val="000000" w:themeColor="text1"/>
                <w:sz w:val="28"/>
                <w:szCs w:val="28"/>
                <w:lang w:val="en-US"/>
              </w:rPr>
              <w:t>blaCTX</w:t>
            </w:r>
            <w:r w:rsidRPr="006B4867">
              <w:rPr>
                <w:rFonts w:cstheme="minorHAnsi"/>
                <w:color w:val="000000" w:themeColor="text1"/>
                <w:sz w:val="28"/>
                <w:szCs w:val="28"/>
                <w:lang w:val="uk-UA"/>
              </w:rPr>
              <w:t>-</w:t>
            </w:r>
            <w:r w:rsidRPr="006B4867">
              <w:rPr>
                <w:rFonts w:cstheme="minorHAnsi"/>
                <w:color w:val="000000" w:themeColor="text1"/>
                <w:sz w:val="28"/>
                <w:szCs w:val="28"/>
                <w:lang w:val="en-US"/>
              </w:rPr>
              <w:t>M</w:t>
            </w:r>
          </w:p>
        </w:tc>
        <w:tc>
          <w:tcPr>
            <w:tcW w:w="2516"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2 (8,3%)</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3 (7,3%)</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6 (15%)</w:t>
            </w:r>
          </w:p>
        </w:tc>
      </w:tr>
      <w:tr w:rsidR="006B4867" w:rsidRPr="006B4867" w:rsidTr="00513759">
        <w:tc>
          <w:tcPr>
            <w:tcW w:w="1914" w:type="dxa"/>
            <w:tcBorders>
              <w:bottom w:val="single" w:sz="4" w:space="0" w:color="auto"/>
            </w:tcBorders>
          </w:tcPr>
          <w:p w:rsidR="006B4867" w:rsidRPr="006B4867" w:rsidRDefault="006B4867" w:rsidP="006B4867">
            <w:pPr>
              <w:spacing w:line="360" w:lineRule="auto"/>
              <w:jc w:val="both"/>
              <w:rPr>
                <w:sz w:val="28"/>
                <w:szCs w:val="28"/>
                <w:lang w:val="uk-UA"/>
              </w:rPr>
            </w:pPr>
            <w:r w:rsidRPr="006B4867">
              <w:rPr>
                <w:rFonts w:cstheme="minorHAnsi"/>
                <w:color w:val="000000" w:themeColor="text1"/>
                <w:sz w:val="28"/>
                <w:szCs w:val="28"/>
                <w:lang w:val="en-US"/>
              </w:rPr>
              <w:t>blaTEM</w:t>
            </w:r>
          </w:p>
        </w:tc>
        <w:tc>
          <w:tcPr>
            <w:tcW w:w="2516" w:type="dxa"/>
            <w:tcBorders>
              <w:bottom w:val="sing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3 (12,5%)</w:t>
            </w:r>
          </w:p>
        </w:tc>
        <w:tc>
          <w:tcPr>
            <w:tcW w:w="2517" w:type="dxa"/>
            <w:tcBorders>
              <w:bottom w:val="sing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4 (9,8%)</w:t>
            </w:r>
          </w:p>
        </w:tc>
        <w:tc>
          <w:tcPr>
            <w:tcW w:w="2517" w:type="dxa"/>
            <w:tcBorders>
              <w:bottom w:val="sing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4 (10%)</w:t>
            </w:r>
          </w:p>
        </w:tc>
      </w:tr>
      <w:tr w:rsidR="006B4867" w:rsidRPr="006B4867" w:rsidTr="00513759">
        <w:tc>
          <w:tcPr>
            <w:tcW w:w="1914" w:type="dxa"/>
            <w:tcBorders>
              <w:bottom w:val="double" w:sz="4" w:space="0" w:color="auto"/>
            </w:tcBorders>
          </w:tcPr>
          <w:p w:rsidR="006B4867" w:rsidRPr="006B4867" w:rsidRDefault="006B4867" w:rsidP="006B4867">
            <w:pPr>
              <w:spacing w:line="360" w:lineRule="auto"/>
              <w:jc w:val="both"/>
              <w:rPr>
                <w:sz w:val="28"/>
                <w:szCs w:val="28"/>
                <w:lang w:val="uk-UA"/>
              </w:rPr>
            </w:pPr>
            <w:r w:rsidRPr="006B4867">
              <w:rPr>
                <w:rFonts w:cstheme="minorHAnsi"/>
                <w:color w:val="000000" w:themeColor="text1"/>
                <w:sz w:val="28"/>
                <w:szCs w:val="28"/>
                <w:lang w:val="en-US"/>
              </w:rPr>
              <w:t>blaSHV</w:t>
            </w:r>
          </w:p>
        </w:tc>
        <w:tc>
          <w:tcPr>
            <w:tcW w:w="2516" w:type="dxa"/>
            <w:tcBorders>
              <w:bottom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0 (0,0%)</w:t>
            </w:r>
          </w:p>
        </w:tc>
        <w:tc>
          <w:tcPr>
            <w:tcW w:w="2517" w:type="dxa"/>
            <w:tcBorders>
              <w:bottom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5 (12,2%)</w:t>
            </w:r>
          </w:p>
        </w:tc>
        <w:tc>
          <w:tcPr>
            <w:tcW w:w="2517" w:type="dxa"/>
            <w:tcBorders>
              <w:bottom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3 (7,5%)</w:t>
            </w:r>
          </w:p>
        </w:tc>
      </w:tr>
      <w:tr w:rsidR="006B4867" w:rsidRPr="006B4867" w:rsidTr="00513759">
        <w:tc>
          <w:tcPr>
            <w:tcW w:w="1914" w:type="dxa"/>
            <w:tcBorders>
              <w:top w:val="double" w:sz="4" w:space="0" w:color="auto"/>
            </w:tcBorders>
          </w:tcPr>
          <w:p w:rsidR="006B4867" w:rsidRPr="006B4867" w:rsidRDefault="006B4867" w:rsidP="006B4867">
            <w:pPr>
              <w:spacing w:line="360" w:lineRule="auto"/>
              <w:jc w:val="both"/>
              <w:rPr>
                <w:sz w:val="28"/>
                <w:szCs w:val="28"/>
                <w:lang w:val="uk-UA"/>
              </w:rPr>
            </w:pPr>
            <w:r w:rsidRPr="006B4867">
              <w:rPr>
                <w:rFonts w:cstheme="minorHAnsi"/>
                <w:sz w:val="28"/>
                <w:szCs w:val="28"/>
                <w:lang w:val="uk-UA"/>
              </w:rPr>
              <w:t>QnrА</w:t>
            </w:r>
          </w:p>
        </w:tc>
        <w:tc>
          <w:tcPr>
            <w:tcW w:w="2516" w:type="dxa"/>
            <w:tcBorders>
              <w:top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0 (0,0%)</w:t>
            </w:r>
          </w:p>
        </w:tc>
        <w:tc>
          <w:tcPr>
            <w:tcW w:w="2517" w:type="dxa"/>
            <w:tcBorders>
              <w:top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3 (7,3%)</w:t>
            </w:r>
          </w:p>
        </w:tc>
        <w:tc>
          <w:tcPr>
            <w:tcW w:w="2517" w:type="dxa"/>
            <w:tcBorders>
              <w:top w:val="double" w:sz="4" w:space="0" w:color="auto"/>
            </w:tcBorders>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1 (2,5%)</w:t>
            </w:r>
          </w:p>
        </w:tc>
      </w:tr>
      <w:tr w:rsidR="006B4867" w:rsidRPr="006B4867" w:rsidTr="00513759">
        <w:tc>
          <w:tcPr>
            <w:tcW w:w="1914" w:type="dxa"/>
          </w:tcPr>
          <w:p w:rsidR="006B4867" w:rsidRPr="006B4867" w:rsidRDefault="006B4867" w:rsidP="006B4867">
            <w:pPr>
              <w:spacing w:line="360" w:lineRule="auto"/>
              <w:jc w:val="both"/>
              <w:rPr>
                <w:sz w:val="28"/>
                <w:szCs w:val="28"/>
                <w:lang w:val="uk-UA"/>
              </w:rPr>
            </w:pPr>
            <w:r w:rsidRPr="006B4867">
              <w:rPr>
                <w:rFonts w:cstheme="minorHAnsi"/>
                <w:sz w:val="28"/>
                <w:szCs w:val="28"/>
                <w:lang w:val="uk-UA"/>
              </w:rPr>
              <w:t>QepA</w:t>
            </w:r>
          </w:p>
        </w:tc>
        <w:tc>
          <w:tcPr>
            <w:tcW w:w="2516"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5 (20,8%)</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1 (2,4%)</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1 (2,5%)</w:t>
            </w:r>
          </w:p>
        </w:tc>
      </w:tr>
      <w:tr w:rsidR="006B4867" w:rsidRPr="006B4867" w:rsidTr="00513759">
        <w:tc>
          <w:tcPr>
            <w:tcW w:w="1914" w:type="dxa"/>
          </w:tcPr>
          <w:p w:rsidR="006B4867" w:rsidRPr="006B4867" w:rsidRDefault="006B4867" w:rsidP="006B4867">
            <w:pPr>
              <w:spacing w:line="360" w:lineRule="auto"/>
              <w:jc w:val="both"/>
              <w:rPr>
                <w:sz w:val="28"/>
                <w:szCs w:val="28"/>
                <w:lang w:val="uk-UA"/>
              </w:rPr>
            </w:pPr>
            <w:r w:rsidRPr="006B4867">
              <w:rPr>
                <w:rFonts w:cstheme="minorHAnsi"/>
                <w:sz w:val="28"/>
                <w:szCs w:val="28"/>
                <w:lang w:val="uk-UA"/>
              </w:rPr>
              <w:t>AAC(6 ')-Ib-cr</w:t>
            </w:r>
          </w:p>
        </w:tc>
        <w:tc>
          <w:tcPr>
            <w:tcW w:w="2516"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0 (0,0%)</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2 (4,9%)</w:t>
            </w:r>
          </w:p>
        </w:tc>
        <w:tc>
          <w:tcPr>
            <w:tcW w:w="2517" w:type="dxa"/>
            <w:vAlign w:val="center"/>
          </w:tcPr>
          <w:p w:rsidR="006B4867" w:rsidRPr="006B4867" w:rsidRDefault="006B4867" w:rsidP="006B4867">
            <w:pPr>
              <w:spacing w:line="360" w:lineRule="auto"/>
              <w:jc w:val="center"/>
              <w:rPr>
                <w:rFonts w:cstheme="minorHAnsi"/>
                <w:color w:val="000000" w:themeColor="text1"/>
                <w:sz w:val="24"/>
                <w:szCs w:val="24"/>
                <w:lang w:val="uk-UA"/>
              </w:rPr>
            </w:pPr>
            <w:r w:rsidRPr="006B4867">
              <w:rPr>
                <w:rFonts w:cstheme="minorHAnsi"/>
                <w:color w:val="000000" w:themeColor="text1"/>
                <w:sz w:val="24"/>
                <w:szCs w:val="24"/>
                <w:lang w:val="uk-UA"/>
              </w:rPr>
              <w:t>1 (2,5%)</w:t>
            </w:r>
          </w:p>
        </w:tc>
      </w:tr>
    </w:tbl>
    <w:p w:rsidR="006B4867" w:rsidRPr="006B4867" w:rsidRDefault="006B4867" w:rsidP="006B4867">
      <w:pPr>
        <w:spacing w:before="240" w:after="0" w:line="360" w:lineRule="auto"/>
        <w:ind w:firstLine="709"/>
        <w:jc w:val="both"/>
        <w:rPr>
          <w:sz w:val="28"/>
          <w:szCs w:val="28"/>
          <w:lang w:val="uk-UA"/>
        </w:rPr>
      </w:pPr>
      <w:r w:rsidRPr="006B4867">
        <w:rPr>
          <w:sz w:val="28"/>
          <w:szCs w:val="28"/>
          <w:lang w:val="uk-UA"/>
        </w:rPr>
        <w:t xml:space="preserve">У хворих на ХП і супутнім ЦД 2 типу, виявлення плазмід-індукованих механізмів резистентності було найвищім в групі А (80% </w:t>
      </w:r>
      <w:r w:rsidRPr="006B4867">
        <w:rPr>
          <w:sz w:val="28"/>
          <w:szCs w:val="28"/>
          <w:lang w:val="en-US"/>
        </w:rPr>
        <w:t>vs</w:t>
      </w:r>
      <w:r w:rsidRPr="006B4867">
        <w:rPr>
          <w:sz w:val="28"/>
          <w:szCs w:val="28"/>
        </w:rPr>
        <w:t xml:space="preserve">. 14,3%, </w:t>
      </w:r>
      <w:r w:rsidRPr="006B4867">
        <w:rPr>
          <w:sz w:val="28"/>
          <w:szCs w:val="28"/>
          <w:lang w:val="en-US"/>
        </w:rPr>
        <w:t>p</w:t>
      </w:r>
      <w:r w:rsidRPr="006B4867">
        <w:rPr>
          <w:rFonts w:cstheme="minorHAnsi"/>
          <w:sz w:val="28"/>
          <w:szCs w:val="28"/>
        </w:rPr>
        <w:t>≤</w:t>
      </w:r>
      <w:r w:rsidRPr="006B4867">
        <w:rPr>
          <w:sz w:val="28"/>
          <w:szCs w:val="28"/>
        </w:rPr>
        <w:t>0,05</w:t>
      </w:r>
      <w:r w:rsidRPr="006B4867">
        <w:rPr>
          <w:sz w:val="28"/>
          <w:szCs w:val="28"/>
          <w:lang w:val="uk-UA"/>
        </w:rPr>
        <w:t xml:space="preserve">). У пацієнтів із ХП без діабету, питома вага генів резистентності була найвища в групі В (48%), малюнок 3.72. </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3E08DFB2" wp14:editId="757A7B57">
            <wp:extent cx="5486400" cy="2562896"/>
            <wp:effectExtent l="0" t="0" r="19050" b="27940"/>
            <wp:docPr id="75" name="Диаграмма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Мал. 3.72 Виявлення плазмід-індукованих механізмів резистентності у хворих на ХП з і без супутнього ЦД 2 типу залежно від виду емпіричного АБП.</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Отже, виявлення плазмід-індукованих механізмів резистентності у хворих, що приймають фторхінолони, складає 42%, цефалоспорини – 44%, комбінацію фторхінолонів і цефалоспоринів – 40%. У хворих на ХП і супутнім ЦД 2 типу, виявлення плазмід-індукованих механізмів резистентності було найвищім в групі А (80%), у пацієнтів без діабету – в </w:t>
      </w:r>
      <w:r w:rsidRPr="006B4867">
        <w:rPr>
          <w:sz w:val="28"/>
          <w:szCs w:val="28"/>
          <w:lang w:val="uk-UA"/>
        </w:rPr>
        <w:lastRenderedPageBreak/>
        <w:t xml:space="preserve">групі В (48%), що робить неможливим застосуванням цих препаратів в якості емпіричної АБТ у цієї категорії хворих.  </w:t>
      </w:r>
    </w:p>
    <w:p w:rsidR="006B4867" w:rsidRPr="006B4867" w:rsidRDefault="006B4867" w:rsidP="006B4867">
      <w:pPr>
        <w:spacing w:before="240" w:line="360" w:lineRule="auto"/>
        <w:ind w:firstLine="709"/>
        <w:jc w:val="both"/>
        <w:rPr>
          <w:b/>
          <w:sz w:val="28"/>
          <w:szCs w:val="28"/>
          <w:lang w:val="uk-UA"/>
        </w:rPr>
      </w:pPr>
      <w:r w:rsidRPr="006B4867">
        <w:rPr>
          <w:b/>
          <w:sz w:val="28"/>
          <w:szCs w:val="28"/>
          <w:lang w:val="uk-UA"/>
        </w:rPr>
        <w:t>3.6.2 Вплив проведеної емпіричної АБТ на виявлення плазмід-індукованих механізмів резистентності.</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При аналізі впливу емпіричної АБТ на виявляємість плазмід-індукованих механізмів резистентності встановлено, що виявляємість плазмідних генів стійкості в групах А, В, С становила 17%, 20% та 12% відповідно (малюнок 3.73). Отже, можна припустити, що існує певний вплив самих АБП на колонізацію сечової системи бактеріями з плазмідними генами стійкості.</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1C23903A" wp14:editId="1B60B3CD">
            <wp:extent cx="5486400" cy="2665927"/>
            <wp:effectExtent l="0" t="0" r="19050" b="20320"/>
            <wp:docPr id="76" name="Диаграмма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 xml:space="preserve">Мал. 3.73 Виявлення плазмідних генів резистентності по групах до та після лікування.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Після лікування, у хворих на ХП і супутній ЦД 2 типу була встановлена достовірно вища виявляємість плазмід-індукованих механізмів резистентності ніж у пацієнтів без діабету (31,3% проти 12,3%, р</w:t>
      </w:r>
      <w:r w:rsidRPr="006B4867">
        <w:rPr>
          <w:rFonts w:cstheme="minorHAnsi"/>
          <w:sz w:val="28"/>
          <w:szCs w:val="28"/>
          <w:lang w:val="uk-UA"/>
        </w:rPr>
        <w:t>≤</w:t>
      </w:r>
      <w:r w:rsidRPr="006B4867">
        <w:rPr>
          <w:sz w:val="28"/>
          <w:szCs w:val="28"/>
          <w:lang w:val="uk-UA"/>
        </w:rPr>
        <w:t xml:space="preserve">0,05). При подальшому аналізі, у пацієнтів із ХП і ЦД 2 типу, найбільшу питому вагу генів резистентності було визначено в групі, що приймали фторхінолони, тоді як у пацієнтів без супутнього діабету, - в групі хворих, що приймали цефалоспорини (малюнок 3.74).   </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lastRenderedPageBreak/>
        <w:drawing>
          <wp:inline distT="0" distB="0" distL="0" distR="0" wp14:anchorId="18239F4F" wp14:editId="29A34D8D">
            <wp:extent cx="5486400" cy="2530698"/>
            <wp:effectExtent l="0" t="0" r="19050" b="22225"/>
            <wp:docPr id="77" name="Диаграмма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6B4867" w:rsidRPr="006B4867" w:rsidRDefault="006B4867" w:rsidP="006B4867">
      <w:pPr>
        <w:spacing w:line="360" w:lineRule="auto"/>
        <w:ind w:firstLine="709"/>
        <w:jc w:val="both"/>
        <w:rPr>
          <w:sz w:val="24"/>
          <w:szCs w:val="24"/>
          <w:lang w:val="uk-UA"/>
        </w:rPr>
      </w:pPr>
      <w:r w:rsidRPr="006B4867">
        <w:rPr>
          <w:sz w:val="24"/>
          <w:szCs w:val="24"/>
          <w:lang w:val="uk-UA"/>
        </w:rPr>
        <w:t>Мал. 3.74 Виявлення плазмід-індукованих механізмів резистентності після АБТ у хворих на ХП з і без супутнього ЦД 2 типу.</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При аналізі типів виявлених після лікування плазмід-індукованих механізмів резистентності, встановлено, що в групі А переважали гени стійкості до фторхінолонів, в групах В та С – </w:t>
      </w:r>
      <w:r w:rsidRPr="006B4867">
        <w:rPr>
          <w:rFonts w:cstheme="minorHAnsi"/>
          <w:sz w:val="28"/>
          <w:szCs w:val="28"/>
          <w:lang w:val="uk-UA"/>
        </w:rPr>
        <w:t>β</w:t>
      </w:r>
      <w:r w:rsidRPr="006B4867">
        <w:rPr>
          <w:sz w:val="28"/>
          <w:szCs w:val="28"/>
          <w:lang w:val="uk-UA"/>
        </w:rPr>
        <w:t>-лактамази розширеного спектру дії, малюнок 3.75.</w:t>
      </w:r>
    </w:p>
    <w:p w:rsidR="006B4867" w:rsidRPr="006B4867" w:rsidRDefault="006B4867" w:rsidP="006B4867">
      <w:pPr>
        <w:spacing w:after="0" w:line="360" w:lineRule="auto"/>
        <w:ind w:firstLine="709"/>
        <w:jc w:val="both"/>
        <w:rPr>
          <w:sz w:val="28"/>
          <w:szCs w:val="28"/>
          <w:lang w:val="uk-UA"/>
        </w:rPr>
      </w:pPr>
      <w:r w:rsidRPr="006B4867">
        <w:rPr>
          <w:noProof/>
          <w:sz w:val="28"/>
          <w:szCs w:val="28"/>
          <w:lang w:eastAsia="ru-RU"/>
        </w:rPr>
        <w:drawing>
          <wp:inline distT="0" distB="0" distL="0" distR="0" wp14:anchorId="67F7A047" wp14:editId="21CCC234">
            <wp:extent cx="5486400" cy="2421228"/>
            <wp:effectExtent l="0" t="0" r="19050" b="17780"/>
            <wp:docPr id="78" name="Диаграмма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6B4867" w:rsidRPr="006B4867" w:rsidRDefault="006B4867" w:rsidP="006B4867">
      <w:pPr>
        <w:spacing w:after="0" w:line="360" w:lineRule="auto"/>
        <w:ind w:firstLine="709"/>
        <w:jc w:val="both"/>
        <w:rPr>
          <w:sz w:val="24"/>
          <w:szCs w:val="24"/>
          <w:lang w:val="uk-UA"/>
        </w:rPr>
      </w:pPr>
      <w:r w:rsidRPr="006B4867">
        <w:rPr>
          <w:sz w:val="24"/>
          <w:szCs w:val="24"/>
          <w:lang w:val="uk-UA"/>
        </w:rPr>
        <w:t>Мал. 3.75 Типи виявлених плазмід-індукованих механізмів резистентності в залежності від виду проведеної АБТ.</w:t>
      </w:r>
    </w:p>
    <w:p w:rsidR="006B4867" w:rsidRPr="006B4867" w:rsidRDefault="006B4867" w:rsidP="006B4867">
      <w:pPr>
        <w:spacing w:line="360" w:lineRule="auto"/>
        <w:ind w:firstLine="709"/>
        <w:jc w:val="both"/>
        <w:rPr>
          <w:sz w:val="24"/>
          <w:szCs w:val="24"/>
          <w:lang w:val="uk-UA"/>
        </w:rPr>
      </w:pPr>
      <w:r w:rsidRPr="006B4867">
        <w:rPr>
          <w:sz w:val="24"/>
          <w:szCs w:val="24"/>
          <w:lang w:val="uk-UA"/>
        </w:rPr>
        <w:t xml:space="preserve">Примітка: </w:t>
      </w:r>
      <w:r w:rsidRPr="006B4867">
        <w:rPr>
          <w:rFonts w:ascii="Calibri" w:hAnsi="Calibri" w:cs="Calibri"/>
          <w:sz w:val="24"/>
          <w:szCs w:val="24"/>
          <w:lang w:val="uk-UA"/>
        </w:rPr>
        <w:t>*</w:t>
      </w:r>
      <w:r w:rsidRPr="006B4867">
        <w:rPr>
          <w:sz w:val="24"/>
          <w:szCs w:val="24"/>
          <w:lang w:val="uk-UA"/>
        </w:rPr>
        <w:t xml:space="preserve"> р</w:t>
      </w:r>
      <w:r w:rsidRPr="006B4867">
        <w:rPr>
          <w:rFonts w:cstheme="minorHAnsi"/>
          <w:sz w:val="24"/>
          <w:szCs w:val="24"/>
          <w:lang w:val="uk-UA"/>
        </w:rPr>
        <w:t>≤</w:t>
      </w:r>
      <w:r w:rsidRPr="006B4867">
        <w:rPr>
          <w:sz w:val="24"/>
          <w:szCs w:val="24"/>
          <w:lang w:val="uk-UA"/>
        </w:rPr>
        <w:t xml:space="preserve">0,05 при порівнянні виявлення </w:t>
      </w:r>
      <w:r w:rsidRPr="006B4867">
        <w:rPr>
          <w:rFonts w:cstheme="minorHAnsi"/>
          <w:sz w:val="24"/>
          <w:szCs w:val="24"/>
          <w:lang w:val="uk-UA"/>
        </w:rPr>
        <w:t>β</w:t>
      </w:r>
      <w:r w:rsidRPr="006B4867">
        <w:rPr>
          <w:sz w:val="24"/>
          <w:szCs w:val="24"/>
          <w:lang w:val="uk-UA"/>
        </w:rPr>
        <w:t xml:space="preserve">ЛРС в групі </w:t>
      </w:r>
      <w:r w:rsidRPr="006B4867">
        <w:rPr>
          <w:sz w:val="24"/>
          <w:szCs w:val="24"/>
          <w:lang w:val="en-US"/>
        </w:rPr>
        <w:t>D</w:t>
      </w:r>
      <w:r w:rsidRPr="006B4867">
        <w:rPr>
          <w:sz w:val="24"/>
          <w:szCs w:val="24"/>
          <w:lang w:val="uk-UA"/>
        </w:rPr>
        <w:t xml:space="preserve"> та групі А; </w:t>
      </w:r>
      <w:r w:rsidRPr="006B4867">
        <w:rPr>
          <w:rFonts w:ascii="Calibri" w:hAnsi="Calibri" w:cs="Calibri"/>
          <w:sz w:val="24"/>
          <w:szCs w:val="24"/>
          <w:lang w:val="uk-UA"/>
        </w:rPr>
        <w:t>**</w:t>
      </w:r>
      <w:r w:rsidRPr="006B4867">
        <w:rPr>
          <w:sz w:val="24"/>
          <w:szCs w:val="24"/>
          <w:lang w:val="uk-UA"/>
        </w:rPr>
        <w:t xml:space="preserve"> р</w:t>
      </w:r>
      <w:r w:rsidRPr="006B4867">
        <w:rPr>
          <w:rFonts w:cstheme="minorHAnsi"/>
          <w:sz w:val="24"/>
          <w:szCs w:val="24"/>
          <w:lang w:val="uk-UA"/>
        </w:rPr>
        <w:t>≤</w:t>
      </w:r>
      <w:r w:rsidRPr="006B4867">
        <w:rPr>
          <w:sz w:val="24"/>
          <w:szCs w:val="24"/>
          <w:lang w:val="uk-UA"/>
        </w:rPr>
        <w:t xml:space="preserve">0,05 при порівнянні виявлення </w:t>
      </w:r>
      <w:r w:rsidRPr="006B4867">
        <w:rPr>
          <w:rFonts w:cstheme="minorHAnsi"/>
          <w:sz w:val="24"/>
          <w:szCs w:val="24"/>
          <w:lang w:val="uk-UA"/>
        </w:rPr>
        <w:t>β</w:t>
      </w:r>
      <w:r w:rsidRPr="006B4867">
        <w:rPr>
          <w:sz w:val="24"/>
          <w:szCs w:val="24"/>
          <w:lang w:val="uk-UA"/>
        </w:rPr>
        <w:t xml:space="preserve">ЛРС в групі </w:t>
      </w:r>
      <w:r w:rsidRPr="006B4867">
        <w:rPr>
          <w:sz w:val="24"/>
          <w:szCs w:val="24"/>
          <w:lang w:val="en-US"/>
        </w:rPr>
        <w:t>D</w:t>
      </w:r>
      <w:r w:rsidRPr="006B4867">
        <w:rPr>
          <w:sz w:val="24"/>
          <w:szCs w:val="24"/>
          <w:lang w:val="uk-UA"/>
        </w:rPr>
        <w:t xml:space="preserve"> та групі В; </w:t>
      </w:r>
      <w:r w:rsidRPr="006B4867">
        <w:rPr>
          <w:rFonts w:cstheme="minorHAnsi"/>
          <w:sz w:val="24"/>
          <w:szCs w:val="24"/>
          <w:lang w:val="uk-UA"/>
        </w:rPr>
        <w:t>#</w:t>
      </w:r>
      <w:r w:rsidRPr="006B4867">
        <w:rPr>
          <w:sz w:val="24"/>
          <w:szCs w:val="24"/>
          <w:lang w:val="uk-UA"/>
        </w:rPr>
        <w:t xml:space="preserve"> р</w:t>
      </w:r>
      <w:r w:rsidRPr="006B4867">
        <w:rPr>
          <w:rFonts w:cstheme="minorHAnsi"/>
          <w:sz w:val="24"/>
          <w:szCs w:val="24"/>
          <w:lang w:val="uk-UA"/>
        </w:rPr>
        <w:t>≤</w:t>
      </w:r>
      <w:r w:rsidRPr="006B4867">
        <w:rPr>
          <w:sz w:val="24"/>
          <w:szCs w:val="24"/>
          <w:lang w:val="uk-UA"/>
        </w:rPr>
        <w:t xml:space="preserve">0,05 при порівнянні виявлення </w:t>
      </w:r>
      <w:r w:rsidRPr="006B4867">
        <w:rPr>
          <w:rFonts w:cstheme="minorHAnsi"/>
          <w:sz w:val="24"/>
          <w:szCs w:val="24"/>
          <w:lang w:val="uk-UA"/>
        </w:rPr>
        <w:t>β</w:t>
      </w:r>
      <w:r w:rsidRPr="006B4867">
        <w:rPr>
          <w:sz w:val="24"/>
          <w:szCs w:val="24"/>
          <w:lang w:val="uk-UA"/>
        </w:rPr>
        <w:t xml:space="preserve">ЛРС в групі </w:t>
      </w:r>
      <w:r w:rsidRPr="006B4867">
        <w:rPr>
          <w:sz w:val="24"/>
          <w:szCs w:val="24"/>
          <w:lang w:val="en-US"/>
        </w:rPr>
        <w:t>D</w:t>
      </w:r>
      <w:r w:rsidRPr="006B4867">
        <w:rPr>
          <w:sz w:val="24"/>
          <w:szCs w:val="24"/>
          <w:lang w:val="uk-UA"/>
        </w:rPr>
        <w:t xml:space="preserve"> та групі С.</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Отже, існує певний вплив АБП на колонізацію сечової системи бактеріями з плазмідними генами стійкості. Так, при прийомі фторхінолонів, </w:t>
      </w:r>
      <w:r w:rsidRPr="006B4867">
        <w:rPr>
          <w:sz w:val="28"/>
          <w:szCs w:val="28"/>
          <w:lang w:val="uk-UA"/>
        </w:rPr>
        <w:lastRenderedPageBreak/>
        <w:t xml:space="preserve">виявляємість плазмід-індукованих механізмів резистентності складає 17%, цефалоспоринів – 20%, проте при комбінації вищезазначених препаратів, частота виявлення становить 12%. У хворих на ХП і ЦД 2 типу, виявляємість плазмідних генів резистентності достовірно вище після лікування, що вказує на необхідність раціонального застосування АБТ у цієї категорії хворих.  </w:t>
      </w:r>
    </w:p>
    <w:p w:rsidR="006B4867" w:rsidRPr="006B4867" w:rsidRDefault="006B4867" w:rsidP="006B4867">
      <w:pPr>
        <w:spacing w:line="360" w:lineRule="auto"/>
        <w:ind w:firstLine="709"/>
        <w:jc w:val="both"/>
        <w:rPr>
          <w:b/>
          <w:sz w:val="28"/>
          <w:szCs w:val="28"/>
          <w:lang w:val="uk-UA"/>
        </w:rPr>
      </w:pPr>
      <w:r w:rsidRPr="006B4867">
        <w:rPr>
          <w:b/>
          <w:sz w:val="28"/>
          <w:szCs w:val="28"/>
          <w:lang w:val="uk-UA"/>
        </w:rPr>
        <w:t>3.6.3 Методи диференційованого призначення антибіотико-терапії хворим на ХП і ЦД 2 типу залежно від наявності плазмід-індукованих механізмів резистентності.</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Пацієнтам, що страждають ХП і ЦД 2 типу та мають фактори ризику колонізації сечової системи бактеріями з плазмідними механізмами резистентності, доцільно використовувати в якості емпіричної АБТ, фторхінолони, цефалоспорини, та у разі необхідності – їх комбінувати. Проте, у пацієнтів на ХП і супутній ЦД 2 типу, доцільніше призначати цефалоспорини, тоді як пацієнтам без діабету – більшу ефективність проявляють фторхінолони. Група аміноглікозидів не рекомендується в якості емпіричної АБТ хронічного пієлонефриту, у зв’язку з високою вірогідністю контамінації сечового тракту бактеріями з плазмідними механізмами резистентності. У разі відсутності клінічної ефективності АБТ на третю добу лікування, подовжити парентеральне введення препарату до 5-ти днів. У разі необхідності – заміна АБП  відбувається з урахуванням результатів бактеріологічного дослідження сечі. За відсутності ерадикації збудника, АБТ подовжити до 2-х тижнів з послідуючим повторним посівом сечі. </w:t>
      </w:r>
    </w:p>
    <w:p w:rsidR="006B4867" w:rsidRPr="006B4867" w:rsidRDefault="006B4867" w:rsidP="006B4867">
      <w:pPr>
        <w:spacing w:after="0" w:line="360" w:lineRule="auto"/>
        <w:ind w:firstLine="709"/>
        <w:jc w:val="both"/>
        <w:rPr>
          <w:sz w:val="28"/>
          <w:szCs w:val="28"/>
          <w:lang w:val="uk-UA"/>
        </w:rPr>
      </w:pPr>
      <w:r w:rsidRPr="006B4867">
        <w:rPr>
          <w:sz w:val="28"/>
          <w:szCs w:val="28"/>
          <w:lang w:val="uk-UA"/>
        </w:rPr>
        <w:t xml:space="preserve">Крім того, згідно проведеного нами аналізу взаємозв’язків чутливості/резистентності </w:t>
      </w:r>
      <w:r w:rsidRPr="006B4867">
        <w:rPr>
          <w:sz w:val="28"/>
          <w:szCs w:val="28"/>
          <w:lang w:val="en-US"/>
        </w:rPr>
        <w:t>in</w:t>
      </w:r>
      <w:r w:rsidRPr="006B4867">
        <w:rPr>
          <w:sz w:val="28"/>
          <w:szCs w:val="28"/>
          <w:lang w:val="uk-UA"/>
        </w:rPr>
        <w:t xml:space="preserve"> </w:t>
      </w:r>
      <w:r w:rsidRPr="006B4867">
        <w:rPr>
          <w:sz w:val="28"/>
          <w:szCs w:val="28"/>
          <w:lang w:val="en-US"/>
        </w:rPr>
        <w:t>vitro</w:t>
      </w:r>
      <w:r w:rsidRPr="006B4867">
        <w:rPr>
          <w:sz w:val="28"/>
          <w:szCs w:val="28"/>
          <w:lang w:val="uk-UA"/>
        </w:rPr>
        <w:t xml:space="preserve"> уропатогенів з та без наявності плазмід-індукованих механізмів резистентності, встановлено, що найбільшу інгібуючу активність проти бактерій з плазмідними генами стійкості проявляють: меропенем, нітроксолін, фосфоміцин, ко-трімоксазол, амікацин цефіпім та левофлоксацин. Проте, у хворих на ХП і супутній ЦД 2 типу, найбільш чутливими препаратами були карбапенеми, цефалоспорини, </w:t>
      </w:r>
      <w:r w:rsidRPr="006B4867">
        <w:rPr>
          <w:sz w:val="28"/>
          <w:szCs w:val="28"/>
          <w:lang w:val="uk-UA"/>
        </w:rPr>
        <w:lastRenderedPageBreak/>
        <w:t>нітроксолін, фосфоміцин, ко-трімоксазол. Тоді як у пацієнтів на ХП без діабету, препаратами з найбільшим інгібуючим ефектом були: карбапенеми, 3 та 4 генерація цефалоспоринів, фторхінолони, нітроксолін, нітрофурантоїн.</w:t>
      </w:r>
    </w:p>
    <w:p w:rsidR="006B4867" w:rsidRPr="006B4867" w:rsidRDefault="006B4867" w:rsidP="006B4867">
      <w:pPr>
        <w:spacing w:line="360" w:lineRule="auto"/>
        <w:ind w:firstLine="709"/>
        <w:jc w:val="both"/>
        <w:rPr>
          <w:sz w:val="28"/>
          <w:szCs w:val="28"/>
          <w:lang w:val="uk-UA"/>
        </w:rPr>
      </w:pPr>
      <w:r w:rsidRPr="006B4867">
        <w:rPr>
          <w:sz w:val="28"/>
          <w:szCs w:val="28"/>
          <w:lang w:val="uk-UA"/>
        </w:rPr>
        <w:t xml:space="preserve">Отже, враховуючи результати клінічної та бактеріологічної ефективності АБТ, дані чутливості/резистентності </w:t>
      </w:r>
      <w:r w:rsidRPr="006B4867">
        <w:rPr>
          <w:sz w:val="28"/>
          <w:szCs w:val="28"/>
          <w:lang w:val="en-US"/>
        </w:rPr>
        <w:t>in</w:t>
      </w:r>
      <w:r w:rsidRPr="006B4867">
        <w:rPr>
          <w:sz w:val="28"/>
          <w:szCs w:val="28"/>
          <w:lang w:val="uk-UA"/>
        </w:rPr>
        <w:t xml:space="preserve"> </w:t>
      </w:r>
      <w:r w:rsidRPr="006B4867">
        <w:rPr>
          <w:sz w:val="28"/>
          <w:szCs w:val="28"/>
          <w:lang w:val="en-US"/>
        </w:rPr>
        <w:t>vitro</w:t>
      </w:r>
      <w:r w:rsidRPr="006B4867">
        <w:rPr>
          <w:sz w:val="28"/>
          <w:szCs w:val="28"/>
          <w:lang w:val="uk-UA"/>
        </w:rPr>
        <w:t xml:space="preserve"> та впливу АБП на колонізацію сечової системи бактеріями з плазмідними генами стійкості, був розроблений алгоритм диференційованого призначення антибіотико-терапії хворим на ХП і супутнім ЦД 2 типу залежно від наявності плазмід-індукованих механізмів резистентності (малюнок 3.76).</w:t>
      </w:r>
    </w:p>
    <w:p w:rsidR="006B4867" w:rsidRPr="006B4867" w:rsidRDefault="006B4867" w:rsidP="006B4867">
      <w:pPr>
        <w:spacing w:line="360" w:lineRule="auto"/>
        <w:jc w:val="both"/>
        <w:rPr>
          <w:sz w:val="28"/>
          <w:szCs w:val="28"/>
          <w:lang w:val="uk-UA"/>
        </w:rPr>
      </w:pPr>
      <w:r w:rsidRPr="006B4867">
        <w:rPr>
          <w:noProof/>
          <w:sz w:val="28"/>
          <w:szCs w:val="28"/>
          <w:lang w:eastAsia="ru-RU"/>
        </w:rPr>
        <w:lastRenderedPageBreak/>
        <mc:AlternateContent>
          <mc:Choice Requires="wps">
            <w:drawing>
              <wp:anchor distT="0" distB="0" distL="114300" distR="114300" simplePos="0" relativeHeight="251660288" behindDoc="0" locked="0" layoutInCell="1" allowOverlap="1" wp14:anchorId="024D9700" wp14:editId="75A6918B">
                <wp:simplePos x="0" y="0"/>
                <wp:positionH relativeFrom="column">
                  <wp:posOffset>3006090</wp:posOffset>
                </wp:positionH>
                <wp:positionV relativeFrom="paragraph">
                  <wp:posOffset>3813810</wp:posOffset>
                </wp:positionV>
                <wp:extent cx="1647825" cy="371475"/>
                <wp:effectExtent l="0" t="0" r="28575" b="28575"/>
                <wp:wrapNone/>
                <wp:docPr id="12" name="Поле 12"/>
                <wp:cNvGraphicFramePr/>
                <a:graphic xmlns:a="http://schemas.openxmlformats.org/drawingml/2006/main">
                  <a:graphicData uri="http://schemas.microsoft.com/office/word/2010/wordprocessingShape">
                    <wps:wsp>
                      <wps:cNvSpPr txBox="1"/>
                      <wps:spPr>
                        <a:xfrm>
                          <a:off x="0" y="0"/>
                          <a:ext cx="1647825" cy="371475"/>
                        </a:xfrm>
                        <a:prstGeom prst="rect">
                          <a:avLst/>
                        </a:prstGeom>
                        <a:solidFill>
                          <a:sysClr val="window" lastClr="FFFFFF"/>
                        </a:solidFill>
                        <a:ln w="6350">
                          <a:solidFill>
                            <a:prstClr val="black"/>
                          </a:solidFill>
                        </a:ln>
                        <a:effectLst/>
                      </wps:spPr>
                      <wps:txbx>
                        <w:txbxContent>
                          <w:p w:rsidR="006B4867" w:rsidRPr="002844E0" w:rsidRDefault="006B4867" w:rsidP="006B4867">
                            <w:pPr>
                              <w:jc w:val="center"/>
                              <w:rPr>
                                <w:b/>
                                <w:sz w:val="28"/>
                                <w:szCs w:val="28"/>
                                <w:lang w:val="uk-UA"/>
                              </w:rPr>
                            </w:pPr>
                            <w:r w:rsidRPr="002844E0">
                              <w:rPr>
                                <w:b/>
                                <w:sz w:val="28"/>
                                <w:szCs w:val="28"/>
                                <w:lang w:val="uk-UA"/>
                              </w:rPr>
                              <w:t>Через 72 години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2" o:spid="_x0000_s1026" type="#_x0000_t202" style="position:absolute;left:0;text-align:left;margin-left:236.7pt;margin-top:300.3pt;width:129.7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" fillcolor="window" strokeweight=".5pt">
                <v:textbox>
                  <w:txbxContent>
                    <w:p w:rsidR="006B4867" w:rsidRPr="002844E0" w:rsidRDefault="006B4867" w:rsidP="006B4867">
                      <w:pPr>
                        <w:jc w:val="center"/>
                        <w:rPr>
                          <w:b/>
                          <w:sz w:val="28"/>
                          <w:szCs w:val="28"/>
                          <w:lang w:val="uk-UA"/>
                        </w:rPr>
                      </w:pPr>
                      <w:r w:rsidRPr="002844E0">
                        <w:rPr>
                          <w:b/>
                          <w:sz w:val="28"/>
                          <w:szCs w:val="28"/>
                          <w:lang w:val="uk-UA"/>
                        </w:rPr>
                        <w:t>Через 72 години</w:t>
                      </w:r>
                    </w:p>
                  </w:txbxContent>
                </v:textbox>
              </v:shape>
            </w:pict>
          </mc:Fallback>
        </mc:AlternateContent>
      </w:r>
      <w:r w:rsidRPr="006B4867">
        <w:rPr>
          <w:noProof/>
          <w:sz w:val="28"/>
          <w:szCs w:val="28"/>
          <w:lang w:eastAsia="ru-RU"/>
        </w:rPr>
        <mc:AlternateContent>
          <mc:Choice Requires="wps">
            <w:drawing>
              <wp:anchor distT="0" distB="0" distL="114300" distR="114300" simplePos="0" relativeHeight="251659264" behindDoc="0" locked="0" layoutInCell="1" allowOverlap="1" wp14:anchorId="122A8AB2" wp14:editId="05178930">
                <wp:simplePos x="0" y="0"/>
                <wp:positionH relativeFrom="column">
                  <wp:posOffset>2709527</wp:posOffset>
                </wp:positionH>
                <wp:positionV relativeFrom="paragraph">
                  <wp:posOffset>2135505</wp:posOffset>
                </wp:positionV>
                <wp:extent cx="1905000" cy="342900"/>
                <wp:effectExtent l="0" t="0" r="19050" b="19050"/>
                <wp:wrapNone/>
                <wp:docPr id="9" name="Поле 9"/>
                <wp:cNvGraphicFramePr/>
                <a:graphic xmlns:a="http://schemas.openxmlformats.org/drawingml/2006/main">
                  <a:graphicData uri="http://schemas.microsoft.com/office/word/2010/wordprocessingShape">
                    <wps:wsp>
                      <wps:cNvSpPr txBox="1"/>
                      <wps:spPr>
                        <a:xfrm>
                          <a:off x="0" y="0"/>
                          <a:ext cx="1905000" cy="342900"/>
                        </a:xfrm>
                        <a:prstGeom prst="rect">
                          <a:avLst/>
                        </a:prstGeom>
                        <a:solidFill>
                          <a:sysClr val="window" lastClr="FFFFFF"/>
                        </a:solidFill>
                        <a:ln w="6350">
                          <a:solidFill>
                            <a:prstClr val="black"/>
                          </a:solidFill>
                        </a:ln>
                        <a:effectLst/>
                      </wps:spPr>
                      <wps:txbx>
                        <w:txbxContent>
                          <w:p w:rsidR="006B4867" w:rsidRPr="008947C8" w:rsidRDefault="006B4867" w:rsidP="006B4867">
                            <w:pPr>
                              <w:jc w:val="center"/>
                              <w:rPr>
                                <w:b/>
                                <w:sz w:val="28"/>
                                <w:szCs w:val="28"/>
                                <w:lang w:val="uk-UA"/>
                              </w:rPr>
                            </w:pPr>
                            <w:r w:rsidRPr="008947C8">
                              <w:rPr>
                                <w:b/>
                                <w:sz w:val="28"/>
                                <w:szCs w:val="28"/>
                                <w:lang w:val="uk-UA"/>
                              </w:rPr>
                              <w:t>Емпір</w:t>
                            </w:r>
                            <w:r>
                              <w:rPr>
                                <w:b/>
                                <w:sz w:val="28"/>
                                <w:szCs w:val="28"/>
                                <w:lang w:val="uk-UA"/>
                              </w:rPr>
                              <w:t>и</w:t>
                            </w:r>
                            <w:r w:rsidRPr="008947C8">
                              <w:rPr>
                                <w:b/>
                                <w:sz w:val="28"/>
                                <w:szCs w:val="28"/>
                                <w:lang w:val="uk-UA"/>
                              </w:rPr>
                              <w:t>чна терапія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 o:spid="_x0000_s1027" type="#_x0000_t202" style="position:absolute;left:0;text-align:left;margin-left:213.35pt;margin-top:168.15pt;width:150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" fillcolor="window" strokeweight=".5pt">
                <v:textbox>
                  <w:txbxContent>
                    <w:p w:rsidR="006B4867" w:rsidRPr="008947C8" w:rsidRDefault="006B4867" w:rsidP="006B4867">
                      <w:pPr>
                        <w:jc w:val="center"/>
                        <w:rPr>
                          <w:b/>
                          <w:sz w:val="28"/>
                          <w:szCs w:val="28"/>
                          <w:lang w:val="uk-UA"/>
                        </w:rPr>
                      </w:pPr>
                      <w:r w:rsidRPr="008947C8">
                        <w:rPr>
                          <w:b/>
                          <w:sz w:val="28"/>
                          <w:szCs w:val="28"/>
                          <w:lang w:val="uk-UA"/>
                        </w:rPr>
                        <w:t>Емпір</w:t>
                      </w:r>
                      <w:r>
                        <w:rPr>
                          <w:b/>
                          <w:sz w:val="28"/>
                          <w:szCs w:val="28"/>
                          <w:lang w:val="uk-UA"/>
                        </w:rPr>
                        <w:t>и</w:t>
                      </w:r>
                      <w:r w:rsidRPr="008947C8">
                        <w:rPr>
                          <w:b/>
                          <w:sz w:val="28"/>
                          <w:szCs w:val="28"/>
                          <w:lang w:val="uk-UA"/>
                        </w:rPr>
                        <w:t>чна терапія</w:t>
                      </w:r>
                    </w:p>
                  </w:txbxContent>
                </v:textbox>
              </v:shape>
            </w:pict>
          </mc:Fallback>
        </mc:AlternateContent>
      </w:r>
      <w:r w:rsidRPr="006B4867">
        <w:rPr>
          <w:noProof/>
          <w:sz w:val="28"/>
          <w:szCs w:val="28"/>
          <w:lang w:eastAsia="ru-RU"/>
        </w:rPr>
        <w:drawing>
          <wp:inline distT="0" distB="0" distL="0" distR="0" wp14:anchorId="72F6A497" wp14:editId="7B1530DC">
            <wp:extent cx="6523355" cy="6462395"/>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6523355" cy="6462395"/>
                    </a:xfrm>
                    <a:prstGeom prst="rect">
                      <a:avLst/>
                    </a:prstGeom>
                    <a:noFill/>
                  </pic:spPr>
                </pic:pic>
              </a:graphicData>
            </a:graphic>
          </wp:inline>
        </w:drawing>
      </w:r>
    </w:p>
    <w:p w:rsidR="006B4867" w:rsidRPr="006B4867" w:rsidRDefault="006B4867" w:rsidP="006B4867">
      <w:pPr>
        <w:spacing w:line="360" w:lineRule="auto"/>
        <w:ind w:firstLine="709"/>
        <w:jc w:val="both"/>
        <w:rPr>
          <w:sz w:val="24"/>
          <w:szCs w:val="24"/>
          <w:lang w:val="uk-UA"/>
        </w:rPr>
      </w:pPr>
      <w:r w:rsidRPr="006B4867">
        <w:rPr>
          <w:sz w:val="28"/>
          <w:szCs w:val="28"/>
          <w:lang w:val="uk-UA"/>
        </w:rPr>
        <w:t xml:space="preserve">  </w:t>
      </w:r>
      <w:r w:rsidRPr="006B4867">
        <w:rPr>
          <w:sz w:val="24"/>
          <w:szCs w:val="24"/>
          <w:lang w:val="uk-UA"/>
        </w:rPr>
        <w:t>Мал. 3.76 Алгоритм диференційованого призначення антибіотико-терапії хворим на ХП і супутнім ЦД 2 типу залежно від наявності плазмід-індукованих механізмів резистентності.</w:t>
      </w:r>
      <w:r w:rsidRPr="006B4867">
        <w:rPr>
          <w:sz w:val="28"/>
          <w:szCs w:val="28"/>
          <w:lang w:val="uk-UA"/>
        </w:rPr>
        <w:t xml:space="preserve">  </w:t>
      </w:r>
    </w:p>
    <w:p w:rsidR="006B4867" w:rsidRPr="006B4867" w:rsidRDefault="006B4867" w:rsidP="006B4867">
      <w:pPr>
        <w:spacing w:line="360" w:lineRule="auto"/>
        <w:ind w:firstLine="709"/>
        <w:jc w:val="both"/>
        <w:rPr>
          <w:rFonts w:eastAsia="Times New Roman" w:cstheme="minorHAnsi"/>
          <w:color w:val="000000" w:themeColor="text1"/>
          <w:sz w:val="28"/>
          <w:szCs w:val="28"/>
          <w:lang w:val="uk-UA" w:eastAsia="ru-RU"/>
        </w:rPr>
      </w:pPr>
      <w:r w:rsidRPr="006B4867">
        <w:rPr>
          <w:rFonts w:ascii="Times New Roman" w:hAnsi="Times New Roman" w:cs="Times New Roman"/>
          <w:sz w:val="28"/>
          <w:szCs w:val="28"/>
          <w:lang w:val="uk-UA"/>
        </w:rPr>
        <w:t xml:space="preserve">Розробка методів </w:t>
      </w:r>
      <w:r w:rsidRPr="006B4867">
        <w:rPr>
          <w:sz w:val="28"/>
          <w:szCs w:val="28"/>
          <w:lang w:val="uk-UA"/>
        </w:rPr>
        <w:t xml:space="preserve">диференційованого призначення АБТ залежно від наявності плазмід-індукованих механізмів резистентності дозволить підвищити ефективність лікування ХП на тлі ЦД 2 типу та запобігти розвитку ускладнень. Крім того, </w:t>
      </w:r>
      <w:r w:rsidRPr="006B4867">
        <w:rPr>
          <w:rFonts w:cstheme="minorHAnsi"/>
          <w:color w:val="000000" w:themeColor="text1"/>
          <w:sz w:val="28"/>
          <w:szCs w:val="28"/>
          <w:lang w:val="uk-UA"/>
        </w:rPr>
        <w:t xml:space="preserve">підвищення ефективності лікування та раціональне застосування антибіотиків дозволить зменшити кількість </w:t>
      </w:r>
      <w:r w:rsidRPr="006B4867">
        <w:rPr>
          <w:rFonts w:cstheme="minorHAnsi"/>
          <w:color w:val="000000" w:themeColor="text1"/>
          <w:sz w:val="28"/>
          <w:szCs w:val="28"/>
          <w:lang w:val="uk-UA"/>
        </w:rPr>
        <w:lastRenderedPageBreak/>
        <w:t xml:space="preserve">рецидивів захворювання та нових випадків ХХН V ст., обумовлених ХП, зменшити витрати на лікування та строки госпіталізації, і, зрештою, запобігти поширенню індукованої плазмідами антибіотико-резистентності серед бактеріальних штамів. В нашому дослідженні було визначено найбільш ефективні АБП проти бактерій з плазмідними генами стійкості та розроблено алгоритм диференційованого призначення АБТ у хворих на ХП залежно від наявності плазмід-індукованих механізмів резистентності. Встановлено, що </w:t>
      </w:r>
      <w:r w:rsidRPr="006B4867">
        <w:rPr>
          <w:sz w:val="28"/>
          <w:szCs w:val="28"/>
          <w:lang w:val="uk-UA"/>
        </w:rPr>
        <w:t>у пацієнтів на ХП і супутній ЦД 2 типу, доцільніше призначати цефалоспорини, тоді як у пацієнтів без діабету – більшу ефективність проявляють фторхінолони. Група аміноглікозидів не рекомендується в якості емпіричної АБТ хронічного пієлонефриту, у зв’язку з високою вірогідністю контамінації сечового тракту бактеріями з плазмідними механізмами резистентності.</w:t>
      </w:r>
      <w:r w:rsidRPr="006B4867">
        <w:rPr>
          <w:rFonts w:cstheme="minorHAnsi"/>
          <w:color w:val="000000" w:themeColor="text1"/>
          <w:sz w:val="28"/>
          <w:szCs w:val="28"/>
          <w:lang w:val="uk-UA"/>
        </w:rPr>
        <w:t xml:space="preserve"> Отримані нами результати узгоджуються з даними </w:t>
      </w:r>
      <w:r w:rsidRPr="006B4867">
        <w:rPr>
          <w:rFonts w:cstheme="minorHAnsi"/>
          <w:sz w:val="28"/>
          <w:szCs w:val="28"/>
        </w:rPr>
        <w:t>Arne</w:t>
      </w:r>
      <w:r w:rsidRPr="006B4867">
        <w:rPr>
          <w:rFonts w:cstheme="minorHAnsi"/>
          <w:sz w:val="28"/>
          <w:szCs w:val="28"/>
          <w:lang w:val="uk-UA"/>
        </w:rPr>
        <w:t xml:space="preserve"> </w:t>
      </w:r>
      <w:r w:rsidRPr="006B4867">
        <w:rPr>
          <w:rFonts w:cstheme="minorHAnsi"/>
          <w:sz w:val="28"/>
          <w:szCs w:val="28"/>
        </w:rPr>
        <w:t>S</w:t>
      </w:r>
      <w:r w:rsidRPr="006B4867">
        <w:rPr>
          <w:rFonts w:cstheme="minorHAnsi"/>
          <w:sz w:val="28"/>
          <w:szCs w:val="28"/>
          <w:lang w:val="uk-UA"/>
        </w:rPr>
        <w:t>ø</w:t>
      </w:r>
      <w:r w:rsidRPr="006B4867">
        <w:rPr>
          <w:rFonts w:cstheme="minorHAnsi"/>
          <w:sz w:val="28"/>
          <w:szCs w:val="28"/>
        </w:rPr>
        <w:t>raas</w:t>
      </w:r>
      <w:r w:rsidRPr="006B4867">
        <w:rPr>
          <w:rFonts w:cstheme="minorHAnsi"/>
          <w:sz w:val="28"/>
          <w:szCs w:val="28"/>
          <w:lang w:val="uk-UA"/>
        </w:rPr>
        <w:t xml:space="preserve"> та співавт., що демонструють сприятливий клінічний ісход при лікуванні фторхінолонами та цефалоспоринами, та негативний результат – при лікуванні меціллінамом, ІСС, викликаної бактеріями з плазмідними механізмами резистентності   [</w:t>
      </w:r>
      <w:r w:rsidRPr="006B4867">
        <w:rPr>
          <w:rFonts w:eastAsia="Times New Roman" w:cstheme="minorHAnsi"/>
          <w:color w:val="000000" w:themeColor="text1"/>
          <w:sz w:val="28"/>
          <w:szCs w:val="28"/>
          <w:lang w:val="uk-UA" w:eastAsia="ru-RU"/>
        </w:rPr>
        <w:t xml:space="preserve">114]. Інше дослідження, проведене </w:t>
      </w:r>
      <w:r w:rsidRPr="006B4867">
        <w:rPr>
          <w:rFonts w:cstheme="minorHAnsi"/>
          <w:sz w:val="28"/>
          <w:szCs w:val="28"/>
        </w:rPr>
        <w:t>Florine</w:t>
      </w:r>
      <w:r w:rsidRPr="006B4867">
        <w:rPr>
          <w:rFonts w:cstheme="minorHAnsi"/>
          <w:sz w:val="28"/>
          <w:szCs w:val="28"/>
          <w:lang w:val="uk-UA"/>
        </w:rPr>
        <w:t xml:space="preserve"> </w:t>
      </w:r>
      <w:r w:rsidRPr="006B4867">
        <w:rPr>
          <w:rFonts w:cstheme="minorHAnsi"/>
          <w:sz w:val="28"/>
          <w:szCs w:val="28"/>
        </w:rPr>
        <w:t>N</w:t>
      </w:r>
      <w:r w:rsidRPr="006B4867">
        <w:rPr>
          <w:rFonts w:cstheme="minorHAnsi"/>
          <w:sz w:val="28"/>
          <w:szCs w:val="28"/>
          <w:lang w:val="uk-UA"/>
        </w:rPr>
        <w:t xml:space="preserve">. </w:t>
      </w:r>
      <w:r w:rsidRPr="006B4867">
        <w:rPr>
          <w:rFonts w:cstheme="minorHAnsi"/>
          <w:sz w:val="28"/>
          <w:szCs w:val="28"/>
        </w:rPr>
        <w:t>J</w:t>
      </w:r>
      <w:r w:rsidRPr="006B4867">
        <w:rPr>
          <w:rFonts w:cstheme="minorHAnsi"/>
          <w:sz w:val="28"/>
          <w:szCs w:val="28"/>
          <w:lang w:val="uk-UA"/>
        </w:rPr>
        <w:t>. і співавт. демонструє високу ефективність β-лактамів/інгібіторів β-лактамаз та цефалоспоринів в якості емпіричної АБТ хворих з виявленими механізмами резистентності [</w:t>
      </w:r>
      <w:r w:rsidRPr="006B4867">
        <w:rPr>
          <w:rFonts w:eastAsia="Times New Roman" w:cstheme="minorHAnsi"/>
          <w:color w:val="000000" w:themeColor="text1"/>
          <w:sz w:val="28"/>
          <w:szCs w:val="28"/>
          <w:lang w:val="uk-UA" w:eastAsia="ru-RU"/>
        </w:rPr>
        <w:t>43].</w:t>
      </w:r>
    </w:p>
    <w:p w:rsidR="006B4867" w:rsidRPr="006B4867" w:rsidRDefault="006B4867" w:rsidP="006B4867">
      <w:pPr>
        <w:spacing w:after="0" w:line="360" w:lineRule="auto"/>
        <w:ind w:firstLine="709"/>
        <w:jc w:val="both"/>
        <w:rPr>
          <w:rFonts w:eastAsia="Times New Roman" w:cstheme="minorHAnsi"/>
          <w:color w:val="000000" w:themeColor="text1"/>
          <w:sz w:val="28"/>
          <w:szCs w:val="28"/>
          <w:lang w:val="uk-UA" w:eastAsia="ru-RU"/>
        </w:rPr>
      </w:pPr>
      <w:r w:rsidRPr="006B4867">
        <w:rPr>
          <w:rFonts w:eastAsia="Times New Roman" w:cstheme="minorHAnsi"/>
          <w:color w:val="000000" w:themeColor="text1"/>
          <w:sz w:val="28"/>
          <w:szCs w:val="28"/>
          <w:lang w:val="uk-UA" w:eastAsia="ru-RU"/>
        </w:rPr>
        <w:t>Висновки.</w:t>
      </w:r>
    </w:p>
    <w:p w:rsidR="006B4867" w:rsidRPr="006B4867" w:rsidRDefault="006B4867" w:rsidP="006B4867">
      <w:pPr>
        <w:numPr>
          <w:ilvl w:val="0"/>
          <w:numId w:val="10"/>
        </w:numPr>
        <w:spacing w:after="0" w:line="360" w:lineRule="auto"/>
        <w:contextualSpacing/>
        <w:jc w:val="both"/>
        <w:rPr>
          <w:rFonts w:eastAsia="Times New Roman" w:cstheme="minorHAnsi"/>
          <w:color w:val="000000" w:themeColor="text1"/>
          <w:sz w:val="28"/>
          <w:szCs w:val="28"/>
          <w:lang w:val="uk-UA" w:eastAsia="ru-RU"/>
        </w:rPr>
      </w:pPr>
      <w:r w:rsidRPr="006B4867">
        <w:rPr>
          <w:sz w:val="28"/>
          <w:szCs w:val="28"/>
          <w:lang w:val="uk-UA"/>
        </w:rPr>
        <w:t>Виявлений вплив емпіричної АБТ на колонізацію сечової системи бактеріями з плазмідними механізмами стійкості: при прийомі фторхінолонів, виявляємість плазмід-індукованих механізмів резистентності складає 17%, цефалоспоринів – 20%, проте при комбінації вищезазначених препаратів, частота виявлення становить 12%.</w:t>
      </w:r>
    </w:p>
    <w:p w:rsidR="006B4867" w:rsidRPr="006B4867" w:rsidRDefault="006B4867" w:rsidP="006B4867">
      <w:pPr>
        <w:numPr>
          <w:ilvl w:val="0"/>
          <w:numId w:val="10"/>
        </w:numPr>
        <w:spacing w:after="0" w:line="360" w:lineRule="auto"/>
        <w:contextualSpacing/>
        <w:jc w:val="both"/>
        <w:rPr>
          <w:rFonts w:eastAsia="Times New Roman" w:cstheme="minorHAnsi"/>
          <w:color w:val="000000" w:themeColor="text1"/>
          <w:sz w:val="28"/>
          <w:szCs w:val="28"/>
          <w:lang w:val="uk-UA" w:eastAsia="ru-RU"/>
        </w:rPr>
      </w:pPr>
      <w:r w:rsidRPr="006B4867">
        <w:rPr>
          <w:sz w:val="28"/>
          <w:szCs w:val="28"/>
          <w:lang w:val="uk-UA"/>
        </w:rPr>
        <w:lastRenderedPageBreak/>
        <w:t>Був розроблений алгоритм диференційованого призначення антибіотико-терапії хворим на ХП і супутнім ЦД 2 типу залежно від наявності плазмід-індукованих механізмів резистентності.</w:t>
      </w:r>
    </w:p>
    <w:p w:rsidR="006B4867" w:rsidRPr="006B4867" w:rsidRDefault="006B4867" w:rsidP="006B4867">
      <w:pPr>
        <w:spacing w:line="360" w:lineRule="auto"/>
        <w:ind w:firstLine="709"/>
        <w:jc w:val="both"/>
        <w:rPr>
          <w:rFonts w:cstheme="minorHAnsi"/>
          <w:sz w:val="28"/>
          <w:szCs w:val="28"/>
          <w:lang w:val="uk-UA"/>
        </w:rPr>
      </w:pPr>
    </w:p>
    <w:p w:rsidR="00807701" w:rsidRDefault="00807701"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6B4867">
      <w:pPr>
        <w:spacing w:line="360" w:lineRule="auto"/>
        <w:jc w:val="center"/>
        <w:rPr>
          <w:b/>
          <w:sz w:val="28"/>
          <w:szCs w:val="28"/>
          <w:lang w:val="uk-UA"/>
        </w:rPr>
      </w:pPr>
      <w:r>
        <w:rPr>
          <w:b/>
          <w:sz w:val="28"/>
          <w:szCs w:val="28"/>
          <w:lang w:val="uk-UA"/>
        </w:rPr>
        <w:lastRenderedPageBreak/>
        <w:t>АНАЛІЗ ТА УЗАГАЛЬНЕННЯ РЕЗУЛЬТАТІВ ДОСЛІДЖЕННЯ</w:t>
      </w:r>
    </w:p>
    <w:p w:rsidR="006B4867" w:rsidRPr="00007941" w:rsidRDefault="006B4867" w:rsidP="006B4867">
      <w:pPr>
        <w:spacing w:after="0" w:line="360" w:lineRule="auto"/>
        <w:ind w:firstLine="709"/>
        <w:jc w:val="both"/>
        <w:rPr>
          <w:rFonts w:cstheme="minorHAnsi"/>
          <w:spacing w:val="1"/>
          <w:sz w:val="28"/>
          <w:szCs w:val="28"/>
          <w:lang w:val="uk-UA"/>
        </w:rPr>
      </w:pPr>
      <w:r>
        <w:rPr>
          <w:sz w:val="28"/>
          <w:szCs w:val="28"/>
          <w:lang w:val="uk-UA"/>
        </w:rPr>
        <w:t>Інфекції сечової системи</w:t>
      </w:r>
      <w:r w:rsidRPr="005E1A55">
        <w:rPr>
          <w:sz w:val="28"/>
          <w:szCs w:val="28"/>
          <w:lang w:val="uk-UA"/>
        </w:rPr>
        <w:t xml:space="preserve"> </w:t>
      </w:r>
      <w:r>
        <w:rPr>
          <w:sz w:val="28"/>
          <w:szCs w:val="28"/>
          <w:lang w:val="uk-UA"/>
        </w:rPr>
        <w:t xml:space="preserve">(ІСС) </w:t>
      </w:r>
      <w:r w:rsidRPr="005E1A55">
        <w:rPr>
          <w:sz w:val="28"/>
          <w:szCs w:val="28"/>
          <w:lang w:val="uk-UA"/>
        </w:rPr>
        <w:t xml:space="preserve">є </w:t>
      </w:r>
      <w:r>
        <w:rPr>
          <w:sz w:val="28"/>
          <w:szCs w:val="28"/>
          <w:lang w:val="uk-UA"/>
        </w:rPr>
        <w:t xml:space="preserve">найбільш поширеною групою інфекційних захворювань у всьому світі </w:t>
      </w:r>
      <w:r>
        <w:rPr>
          <w:rFonts w:cstheme="minorHAnsi"/>
          <w:sz w:val="28"/>
          <w:szCs w:val="28"/>
          <w:lang w:val="uk-UA"/>
        </w:rPr>
        <w:t>[</w:t>
      </w:r>
      <w:r w:rsidRPr="00332028">
        <w:rPr>
          <w:rFonts w:cstheme="minorHAnsi"/>
          <w:color w:val="000000"/>
          <w:sz w:val="28"/>
          <w:szCs w:val="28"/>
          <w:lang w:val="uk-UA"/>
        </w:rPr>
        <w:t>40,</w:t>
      </w:r>
      <w:r>
        <w:rPr>
          <w:rFonts w:cstheme="minorHAnsi"/>
          <w:color w:val="000000"/>
          <w:sz w:val="28"/>
          <w:szCs w:val="28"/>
          <w:lang w:val="uk-UA"/>
        </w:rPr>
        <w:t xml:space="preserve"> 86</w:t>
      </w:r>
      <w:r w:rsidRPr="00332028">
        <w:rPr>
          <w:rFonts w:cstheme="minorHAnsi"/>
          <w:color w:val="000000"/>
          <w:sz w:val="28"/>
          <w:szCs w:val="28"/>
          <w:lang w:val="uk-UA"/>
        </w:rPr>
        <w:t>]</w:t>
      </w:r>
      <w:r>
        <w:rPr>
          <w:rFonts w:cstheme="minorHAnsi"/>
          <w:sz w:val="28"/>
          <w:szCs w:val="28"/>
          <w:lang w:val="uk-UA"/>
        </w:rPr>
        <w:t>.</w:t>
      </w:r>
      <w:r>
        <w:rPr>
          <w:sz w:val="28"/>
          <w:szCs w:val="28"/>
          <w:lang w:val="uk-UA"/>
        </w:rPr>
        <w:t xml:space="preserve"> В Україні щорічно збільшується поширеність ІСС, переважно за рахунок хронічного пієлонефриту (ХП), оскільки на його долю в структурі вказаної групи хвороб припадає більше 90% випадків </w:t>
      </w:r>
      <w:r w:rsidRPr="004B47A2">
        <w:rPr>
          <w:rFonts w:cstheme="minorHAnsi"/>
          <w:spacing w:val="1"/>
          <w:sz w:val="28"/>
          <w:szCs w:val="28"/>
          <w:lang w:val="uk-UA"/>
        </w:rPr>
        <w:t>[</w:t>
      </w:r>
      <w:r>
        <w:rPr>
          <w:spacing w:val="1"/>
          <w:sz w:val="28"/>
          <w:szCs w:val="28"/>
          <w:lang w:val="uk-UA"/>
        </w:rPr>
        <w:t>3</w:t>
      </w:r>
      <w:r>
        <w:rPr>
          <w:rFonts w:cstheme="minorHAnsi"/>
          <w:spacing w:val="1"/>
          <w:sz w:val="28"/>
          <w:szCs w:val="28"/>
          <w:lang w:val="uk-UA"/>
        </w:rPr>
        <w:t xml:space="preserve">]. Більш того, ХП </w:t>
      </w:r>
      <w:r>
        <w:rPr>
          <w:rFonts w:cstheme="minorHAnsi"/>
          <w:color w:val="000000" w:themeColor="text1"/>
          <w:sz w:val="28"/>
          <w:szCs w:val="28"/>
          <w:lang w:val="uk-UA"/>
        </w:rPr>
        <w:t xml:space="preserve">в структурі причин ХХН V ст., за даними офіційного реєстру хворих з ХХН в Україні за 2012 рік, займає провідну позицію [8]. На тлі цукрового діабету, ХП діагностується практично у кожного четвертого хворого, що </w:t>
      </w:r>
      <w:r w:rsidRPr="003714DF">
        <w:rPr>
          <w:rFonts w:cstheme="minorHAnsi"/>
          <w:color w:val="000000" w:themeColor="text1"/>
          <w:sz w:val="28"/>
          <w:szCs w:val="28"/>
          <w:lang w:val="uk-UA"/>
        </w:rPr>
        <w:t>у 2-3 рази частіше, ніж в загальній популяції</w:t>
      </w:r>
      <w:r>
        <w:rPr>
          <w:rFonts w:cstheme="minorHAnsi"/>
          <w:color w:val="000000" w:themeColor="text1"/>
          <w:sz w:val="28"/>
          <w:szCs w:val="28"/>
          <w:lang w:val="uk-UA"/>
        </w:rPr>
        <w:t xml:space="preserve"> </w:t>
      </w:r>
      <w:r w:rsidRPr="003714DF">
        <w:rPr>
          <w:rFonts w:cstheme="minorHAnsi"/>
          <w:color w:val="000000" w:themeColor="text1"/>
          <w:sz w:val="28"/>
          <w:szCs w:val="28"/>
          <w:lang w:val="uk-UA"/>
        </w:rPr>
        <w:t>[</w:t>
      </w:r>
      <w:r>
        <w:rPr>
          <w:rFonts w:ascii="Times New Roman" w:hAnsi="Times New Roman" w:cs="Times New Roman"/>
          <w:color w:val="000000" w:themeColor="text1"/>
          <w:sz w:val="28"/>
          <w:szCs w:val="28"/>
          <w:lang w:val="uk-UA"/>
        </w:rPr>
        <w:t>7, 9</w:t>
      </w:r>
      <w:r w:rsidRPr="003714D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Pr>
          <w:rFonts w:cstheme="minorHAnsi"/>
          <w:spacing w:val="1"/>
          <w:sz w:val="28"/>
          <w:szCs w:val="28"/>
          <w:lang w:val="uk-UA"/>
        </w:rPr>
        <w:t xml:space="preserve">Крім того, </w:t>
      </w:r>
      <w:r>
        <w:rPr>
          <w:rFonts w:cstheme="minorHAnsi"/>
          <w:color w:val="000000" w:themeColor="text1"/>
          <w:sz w:val="28"/>
          <w:szCs w:val="28"/>
          <w:lang w:val="uk-UA"/>
        </w:rPr>
        <w:t>у</w:t>
      </w:r>
      <w:r w:rsidRPr="00007941">
        <w:rPr>
          <w:rFonts w:cstheme="minorHAnsi"/>
          <w:color w:val="000000" w:themeColor="text1"/>
          <w:sz w:val="28"/>
          <w:szCs w:val="28"/>
          <w:lang w:val="uk-UA"/>
        </w:rPr>
        <w:t xml:space="preserve"> пацієнтів із цукровим діабетом, ХП, в більшості випадків, протікає безсимптомно, що може призвести до серйозного пошкодження нирок з розвитком ниркової недостатності. Атипові та резистентні ІСС також частіше зустрічаються у пацієнтів </w:t>
      </w:r>
      <w:r>
        <w:rPr>
          <w:rFonts w:cstheme="minorHAnsi"/>
          <w:color w:val="000000" w:themeColor="text1"/>
          <w:sz w:val="28"/>
          <w:szCs w:val="28"/>
          <w:lang w:val="uk-UA"/>
        </w:rPr>
        <w:t>і</w:t>
      </w:r>
      <w:r w:rsidRPr="00007941">
        <w:rPr>
          <w:rFonts w:cstheme="minorHAnsi"/>
          <w:color w:val="000000" w:themeColor="text1"/>
          <w:sz w:val="28"/>
          <w:szCs w:val="28"/>
          <w:lang w:val="uk-UA"/>
        </w:rPr>
        <w:t>з ЦД [</w:t>
      </w:r>
      <w:r>
        <w:rPr>
          <w:rFonts w:cstheme="minorHAnsi"/>
          <w:color w:val="000000" w:themeColor="text1"/>
          <w:sz w:val="28"/>
          <w:szCs w:val="28"/>
          <w:lang w:val="uk-UA"/>
        </w:rPr>
        <w:t>17, 109</w:t>
      </w:r>
      <w:r w:rsidRPr="00332028">
        <w:rPr>
          <w:rFonts w:cstheme="minorHAnsi"/>
          <w:sz w:val="28"/>
          <w:szCs w:val="28"/>
          <w:lang w:val="uk-UA"/>
        </w:rPr>
        <w:t>]</w:t>
      </w:r>
      <w:r w:rsidRPr="00007941">
        <w:rPr>
          <w:rFonts w:cstheme="minorHAnsi"/>
          <w:sz w:val="28"/>
          <w:szCs w:val="28"/>
          <w:lang w:val="uk-UA"/>
        </w:rPr>
        <w:t>.</w:t>
      </w:r>
      <w:r w:rsidRPr="00007941">
        <w:rPr>
          <w:rFonts w:cstheme="minorHAnsi"/>
          <w:spacing w:val="1"/>
          <w:sz w:val="28"/>
          <w:szCs w:val="28"/>
          <w:lang w:val="uk-UA"/>
        </w:rPr>
        <w:t xml:space="preserve"> </w:t>
      </w:r>
      <w:r w:rsidRPr="0006327E">
        <w:rPr>
          <w:rFonts w:cstheme="minorHAnsi"/>
          <w:color w:val="000000"/>
          <w:sz w:val="28"/>
          <w:szCs w:val="28"/>
          <w:shd w:val="clear" w:color="auto" w:fill="FFFFFF"/>
          <w:lang w:val="uk-UA"/>
        </w:rPr>
        <w:t xml:space="preserve">Тому </w:t>
      </w:r>
      <w:r w:rsidRPr="000F1D03">
        <w:rPr>
          <w:rFonts w:cstheme="minorHAnsi"/>
          <w:color w:val="000000"/>
          <w:sz w:val="28"/>
          <w:szCs w:val="28"/>
          <w:shd w:val="clear" w:color="auto" w:fill="FFFFFF"/>
          <w:lang w:val="uk-UA"/>
        </w:rPr>
        <w:t>якісна</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діагностика</w:t>
      </w:r>
      <w:r w:rsidRPr="0006327E">
        <w:rPr>
          <w:rFonts w:cstheme="minorHAnsi"/>
          <w:color w:val="000000"/>
          <w:sz w:val="28"/>
          <w:szCs w:val="28"/>
          <w:shd w:val="clear" w:color="auto" w:fill="FFFFFF"/>
          <w:lang w:val="uk-UA"/>
        </w:rPr>
        <w:t xml:space="preserve"> та </w:t>
      </w:r>
      <w:r w:rsidRPr="000F1D03">
        <w:rPr>
          <w:rFonts w:cstheme="minorHAnsi"/>
          <w:color w:val="000000"/>
          <w:sz w:val="28"/>
          <w:szCs w:val="28"/>
          <w:shd w:val="clear" w:color="auto" w:fill="FFFFFF"/>
          <w:lang w:val="uk-UA"/>
        </w:rPr>
        <w:t>лікування</w:t>
      </w:r>
      <w:r w:rsidRPr="0006327E">
        <w:rPr>
          <w:rFonts w:cstheme="minorHAnsi"/>
          <w:color w:val="000000"/>
          <w:sz w:val="28"/>
          <w:szCs w:val="28"/>
          <w:shd w:val="clear" w:color="auto" w:fill="FFFFFF"/>
          <w:lang w:val="uk-UA"/>
        </w:rPr>
        <w:t xml:space="preserve"> </w:t>
      </w:r>
      <w:r>
        <w:rPr>
          <w:rFonts w:cstheme="minorHAnsi"/>
          <w:color w:val="000000"/>
          <w:sz w:val="28"/>
          <w:szCs w:val="28"/>
          <w:shd w:val="clear" w:color="auto" w:fill="FFFFFF"/>
          <w:lang w:val="uk-UA"/>
        </w:rPr>
        <w:t>ХП, особливо на тлі ЦД,</w:t>
      </w:r>
      <w:r w:rsidRPr="0006327E">
        <w:rPr>
          <w:rFonts w:cstheme="minorHAnsi"/>
          <w:color w:val="000000"/>
          <w:sz w:val="28"/>
          <w:szCs w:val="28"/>
          <w:shd w:val="clear" w:color="auto" w:fill="FFFFFF"/>
          <w:lang w:val="uk-UA"/>
        </w:rPr>
        <w:t xml:space="preserve"> є </w:t>
      </w:r>
      <w:r w:rsidRPr="000F1D03">
        <w:rPr>
          <w:rFonts w:cstheme="minorHAnsi"/>
          <w:color w:val="000000"/>
          <w:sz w:val="28"/>
          <w:szCs w:val="28"/>
          <w:shd w:val="clear" w:color="auto" w:fill="FFFFFF"/>
          <w:lang w:val="uk-UA"/>
        </w:rPr>
        <w:t>актуальним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завданням</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сучасної</w:t>
      </w:r>
      <w:r w:rsidRPr="0006327E">
        <w:rPr>
          <w:rFonts w:cstheme="minorHAnsi"/>
          <w:color w:val="000000"/>
          <w:sz w:val="28"/>
          <w:szCs w:val="28"/>
          <w:shd w:val="clear" w:color="auto" w:fill="FFFFFF"/>
          <w:lang w:val="uk-UA"/>
        </w:rPr>
        <w:t xml:space="preserve"> </w:t>
      </w:r>
      <w:r w:rsidRPr="000F1D03">
        <w:rPr>
          <w:rFonts w:cstheme="minorHAnsi"/>
          <w:color w:val="000000"/>
          <w:sz w:val="28"/>
          <w:szCs w:val="28"/>
          <w:shd w:val="clear" w:color="auto" w:fill="FFFFFF"/>
          <w:lang w:val="uk-UA"/>
        </w:rPr>
        <w:t>медичної</w:t>
      </w:r>
      <w:r w:rsidRPr="0006327E">
        <w:rPr>
          <w:rFonts w:cstheme="minorHAnsi"/>
          <w:color w:val="000000"/>
          <w:sz w:val="28"/>
          <w:szCs w:val="28"/>
          <w:shd w:val="clear" w:color="auto" w:fill="FFFFFF"/>
          <w:lang w:val="uk-UA"/>
        </w:rPr>
        <w:t xml:space="preserve"> практики.</w:t>
      </w:r>
    </w:p>
    <w:p w:rsidR="006B4867" w:rsidRPr="003A39E1" w:rsidRDefault="006B4867" w:rsidP="006B4867">
      <w:pPr>
        <w:spacing w:after="0" w:line="360" w:lineRule="auto"/>
        <w:ind w:firstLine="709"/>
        <w:jc w:val="both"/>
        <w:rPr>
          <w:rFonts w:cstheme="minorHAnsi"/>
          <w:color w:val="000000" w:themeColor="text1"/>
          <w:sz w:val="28"/>
          <w:szCs w:val="28"/>
          <w:shd w:val="clear" w:color="auto" w:fill="FFFFFF"/>
          <w:lang w:val="uk-UA"/>
        </w:rPr>
      </w:pPr>
      <w:r>
        <w:rPr>
          <w:rFonts w:cstheme="minorHAnsi"/>
          <w:color w:val="000000" w:themeColor="text1"/>
          <w:sz w:val="28"/>
          <w:szCs w:val="28"/>
          <w:shd w:val="clear" w:color="auto" w:fill="FFFFFF"/>
          <w:lang w:val="uk-UA"/>
        </w:rPr>
        <w:t>Ефективність лікування ХП значною мірою лімітується формуванням стійкості до АБП [4</w:t>
      </w:r>
      <w:r w:rsidRPr="009D1F3C">
        <w:rPr>
          <w:rFonts w:cstheme="minorHAnsi"/>
          <w:color w:val="000000" w:themeColor="text1"/>
          <w:sz w:val="28"/>
          <w:szCs w:val="28"/>
          <w:shd w:val="clear" w:color="auto" w:fill="FFFFFF"/>
          <w:lang w:val="uk-UA"/>
        </w:rPr>
        <w:t>].</w:t>
      </w:r>
      <w:r>
        <w:rPr>
          <w:rFonts w:cstheme="minorHAnsi"/>
          <w:color w:val="000000" w:themeColor="text1"/>
          <w:sz w:val="28"/>
          <w:szCs w:val="28"/>
          <w:shd w:val="clear" w:color="auto" w:fill="FFFFFF"/>
          <w:lang w:val="uk-UA"/>
        </w:rPr>
        <w:t xml:space="preserve"> Резистентність до АБП збільшує захворюваність, смертність та витрати на лікування </w:t>
      </w:r>
      <w:r w:rsidRPr="00DD3398">
        <w:rPr>
          <w:rFonts w:cstheme="minorHAnsi"/>
          <w:sz w:val="28"/>
          <w:szCs w:val="28"/>
          <w:lang w:val="uk-UA"/>
        </w:rPr>
        <w:t>[</w:t>
      </w:r>
      <w:r>
        <w:rPr>
          <w:rFonts w:eastAsia="Times New Roman" w:cstheme="minorHAnsi"/>
          <w:sz w:val="28"/>
          <w:szCs w:val="28"/>
          <w:lang w:eastAsia="ru-RU"/>
        </w:rPr>
        <w:t>48</w:t>
      </w:r>
      <w:r w:rsidRPr="00332028">
        <w:rPr>
          <w:rFonts w:cstheme="minorHAnsi"/>
          <w:color w:val="000000" w:themeColor="text1"/>
          <w:sz w:val="28"/>
          <w:szCs w:val="28"/>
        </w:rPr>
        <w:t>]</w:t>
      </w:r>
      <w:r>
        <w:rPr>
          <w:rFonts w:cstheme="minorHAnsi"/>
          <w:color w:val="000000" w:themeColor="text1"/>
          <w:sz w:val="28"/>
          <w:szCs w:val="28"/>
          <w:shd w:val="clear" w:color="auto" w:fill="FFFFFF"/>
          <w:lang w:val="uk-UA"/>
        </w:rPr>
        <w:t xml:space="preserve">. Проте, </w:t>
      </w:r>
      <w:r>
        <w:rPr>
          <w:rFonts w:eastAsia="Times New Roman" w:cstheme="minorHAnsi"/>
          <w:bCs/>
          <w:color w:val="000000" w:themeColor="text1"/>
          <w:sz w:val="28"/>
          <w:szCs w:val="28"/>
          <w:lang w:val="uk-UA" w:eastAsia="ru-RU"/>
        </w:rPr>
        <w:t>н</w:t>
      </w:r>
      <w:r w:rsidRPr="0034696C">
        <w:rPr>
          <w:rFonts w:eastAsia="Times New Roman" w:cstheme="minorHAnsi"/>
          <w:bCs/>
          <w:color w:val="000000" w:themeColor="text1"/>
          <w:sz w:val="28"/>
          <w:szCs w:val="28"/>
          <w:lang w:val="uk-UA" w:eastAsia="ru-RU"/>
        </w:rPr>
        <w:t xml:space="preserve">езважаючи на серйозність проблеми </w:t>
      </w:r>
      <w:r>
        <w:rPr>
          <w:rFonts w:eastAsia="Times New Roman" w:cstheme="minorHAnsi"/>
          <w:bCs/>
          <w:color w:val="000000" w:themeColor="text1"/>
          <w:sz w:val="28"/>
          <w:szCs w:val="28"/>
          <w:lang w:val="uk-UA" w:eastAsia="ru-RU"/>
        </w:rPr>
        <w:t>антибіотико-резистентності, і величезної</w:t>
      </w:r>
      <w:r w:rsidRPr="0034696C">
        <w:rPr>
          <w:rFonts w:eastAsia="Times New Roman" w:cstheme="minorHAnsi"/>
          <w:bCs/>
          <w:color w:val="000000" w:themeColor="text1"/>
          <w:sz w:val="28"/>
          <w:szCs w:val="28"/>
          <w:lang w:val="uk-UA" w:eastAsia="ru-RU"/>
        </w:rPr>
        <w:t xml:space="preserve"> кількості досліджень, проведених в цьому напрямку, маловивченою залишається резистентність, пов'язана з перенесенням генів</w:t>
      </w:r>
      <w:r>
        <w:rPr>
          <w:rFonts w:eastAsia="Times New Roman" w:cstheme="minorHAnsi"/>
          <w:bCs/>
          <w:color w:val="000000" w:themeColor="text1"/>
          <w:sz w:val="28"/>
          <w:szCs w:val="28"/>
          <w:lang w:val="uk-UA" w:eastAsia="ru-RU"/>
        </w:rPr>
        <w:t xml:space="preserve"> </w:t>
      </w:r>
      <w:r w:rsidRPr="0034696C">
        <w:rPr>
          <w:rFonts w:eastAsia="Times New Roman" w:cstheme="minorHAnsi"/>
          <w:bCs/>
          <w:color w:val="000000" w:themeColor="text1"/>
          <w:sz w:val="28"/>
          <w:szCs w:val="28"/>
          <w:lang w:val="uk-UA" w:eastAsia="ru-RU"/>
        </w:rPr>
        <w:t xml:space="preserve"> стійкості </w:t>
      </w:r>
      <w:r>
        <w:rPr>
          <w:rFonts w:eastAsia="Times New Roman" w:cstheme="minorHAnsi"/>
          <w:bCs/>
          <w:color w:val="000000" w:themeColor="text1"/>
          <w:sz w:val="28"/>
          <w:szCs w:val="28"/>
          <w:lang w:val="uk-UA" w:eastAsia="ru-RU"/>
        </w:rPr>
        <w:t>між бактеріями мобільними ДНК - плазмідами</w:t>
      </w:r>
      <w:r w:rsidRPr="0034696C">
        <w:rPr>
          <w:rFonts w:eastAsia="Times New Roman" w:cstheme="minorHAnsi"/>
          <w:bCs/>
          <w:color w:val="000000" w:themeColor="text1"/>
          <w:sz w:val="28"/>
          <w:szCs w:val="28"/>
          <w:lang w:val="uk-UA" w:eastAsia="ru-RU"/>
        </w:rPr>
        <w:t>.</w:t>
      </w:r>
      <w:r>
        <w:rPr>
          <w:rFonts w:eastAsia="Times New Roman" w:cstheme="minorHAnsi"/>
          <w:bCs/>
          <w:color w:val="000000" w:themeColor="text1"/>
          <w:sz w:val="28"/>
          <w:szCs w:val="28"/>
          <w:lang w:val="uk-UA" w:eastAsia="ru-RU"/>
        </w:rPr>
        <w:t xml:space="preserve"> За даними </w:t>
      </w:r>
      <w:r w:rsidRPr="001B7F2F">
        <w:rPr>
          <w:sz w:val="28"/>
          <w:szCs w:val="28"/>
          <w:lang w:val="uk-UA"/>
        </w:rPr>
        <w:t>EARS-Net</w:t>
      </w:r>
      <w:r w:rsidRPr="0034696C">
        <w:rPr>
          <w:rFonts w:cstheme="minorHAnsi"/>
          <w:color w:val="000000" w:themeColor="text1"/>
          <w:sz w:val="28"/>
          <w:szCs w:val="28"/>
          <w:lang w:val="uk-UA"/>
        </w:rPr>
        <w:t xml:space="preserve"> </w:t>
      </w:r>
      <w:r w:rsidRPr="00641A94">
        <w:rPr>
          <w:rFonts w:cstheme="minorHAnsi"/>
          <w:sz w:val="28"/>
          <w:szCs w:val="28"/>
          <w:lang w:val="uk-UA"/>
        </w:rPr>
        <w:t xml:space="preserve">в більшості європейських країн щороку збільшується кількість штамів Escherichia coli, зі зниженою </w:t>
      </w:r>
      <w:r>
        <w:rPr>
          <w:rFonts w:cstheme="minorHAnsi"/>
          <w:sz w:val="28"/>
          <w:szCs w:val="28"/>
          <w:lang w:val="uk-UA"/>
        </w:rPr>
        <w:t>чутливістю до фторхінолонів, 3-ї</w:t>
      </w:r>
      <w:r w:rsidRPr="00641A94">
        <w:rPr>
          <w:rFonts w:cstheme="minorHAnsi"/>
          <w:sz w:val="28"/>
          <w:szCs w:val="28"/>
          <w:lang w:val="uk-UA"/>
        </w:rPr>
        <w:t xml:space="preserve"> генерації це</w:t>
      </w:r>
      <w:r>
        <w:rPr>
          <w:rFonts w:cstheme="minorHAnsi"/>
          <w:sz w:val="28"/>
          <w:szCs w:val="28"/>
          <w:lang w:val="uk-UA"/>
        </w:rPr>
        <w:t xml:space="preserve">фалоспоринів та аміноглікозидів, </w:t>
      </w:r>
      <w:r w:rsidRPr="008E0FD9">
        <w:rPr>
          <w:rFonts w:cstheme="minorHAnsi"/>
          <w:sz w:val="28"/>
          <w:szCs w:val="28"/>
          <w:lang w:val="uk-UA"/>
        </w:rPr>
        <w:t>внаслідок швидкого поширення генів резистентності за допомогою плазмід</w:t>
      </w:r>
      <w:r>
        <w:rPr>
          <w:rFonts w:cstheme="minorHAnsi"/>
          <w:sz w:val="28"/>
          <w:szCs w:val="28"/>
          <w:lang w:val="uk-UA"/>
        </w:rPr>
        <w:t xml:space="preserve"> </w:t>
      </w:r>
      <w:r w:rsidRPr="008E0FD9">
        <w:rPr>
          <w:rFonts w:cstheme="minorHAnsi"/>
          <w:bCs/>
          <w:iCs/>
          <w:sz w:val="28"/>
          <w:szCs w:val="28"/>
          <w:lang w:val="uk-UA"/>
        </w:rPr>
        <w:t>[</w:t>
      </w:r>
      <w:r w:rsidRPr="00332028">
        <w:rPr>
          <w:rFonts w:cstheme="minorHAnsi"/>
          <w:bCs/>
          <w:iCs/>
          <w:sz w:val="28"/>
          <w:szCs w:val="28"/>
          <w:lang w:val="uk-UA"/>
        </w:rPr>
        <w:t>38</w:t>
      </w:r>
      <w:r w:rsidRPr="001B7F2F">
        <w:rPr>
          <w:sz w:val="28"/>
          <w:szCs w:val="28"/>
          <w:lang w:val="uk-UA"/>
        </w:rPr>
        <w:t>].</w:t>
      </w:r>
      <w:r>
        <w:rPr>
          <w:sz w:val="28"/>
          <w:szCs w:val="28"/>
          <w:lang w:val="uk-UA"/>
        </w:rPr>
        <w:t xml:space="preserve"> </w:t>
      </w:r>
      <w:r w:rsidRPr="0034696C">
        <w:rPr>
          <w:rFonts w:cstheme="minorHAnsi"/>
          <w:color w:val="000000" w:themeColor="text1"/>
          <w:sz w:val="28"/>
          <w:szCs w:val="28"/>
          <w:lang w:val="uk-UA"/>
        </w:rPr>
        <w:t xml:space="preserve">Останні являють собою дрібні генетичні елементи у вигляді </w:t>
      </w:r>
      <w:r>
        <w:rPr>
          <w:rFonts w:cstheme="minorHAnsi"/>
          <w:color w:val="000000" w:themeColor="text1"/>
          <w:sz w:val="28"/>
          <w:szCs w:val="28"/>
          <w:lang w:val="uk-UA"/>
        </w:rPr>
        <w:t>зв’язаних</w:t>
      </w:r>
      <w:r w:rsidRPr="0034696C">
        <w:rPr>
          <w:rFonts w:cstheme="minorHAnsi"/>
          <w:color w:val="000000" w:themeColor="text1"/>
          <w:sz w:val="28"/>
          <w:szCs w:val="28"/>
          <w:lang w:val="uk-UA"/>
        </w:rPr>
        <w:t xml:space="preserve"> у кільце ниток ДНК, здатні переносити від одного до декількох генів резистентності не тільки серед бактерій одного виду, але і мікробів різних видів</w:t>
      </w:r>
      <w:r>
        <w:rPr>
          <w:rFonts w:cstheme="minorHAnsi"/>
          <w:color w:val="000000" w:themeColor="text1"/>
          <w:sz w:val="28"/>
          <w:szCs w:val="28"/>
          <w:lang w:val="uk-UA"/>
        </w:rPr>
        <w:t xml:space="preserve"> </w:t>
      </w:r>
      <w:r w:rsidRPr="00332028">
        <w:rPr>
          <w:rFonts w:cstheme="minorHAnsi"/>
          <w:color w:val="000000" w:themeColor="text1"/>
          <w:sz w:val="28"/>
          <w:szCs w:val="28"/>
          <w:lang w:val="uk-UA"/>
        </w:rPr>
        <w:t>[</w:t>
      </w:r>
      <w:r w:rsidRPr="00332028">
        <w:rPr>
          <w:rFonts w:eastAsia="Times New Roman" w:cstheme="minorHAnsi"/>
          <w:color w:val="000000" w:themeColor="text1"/>
          <w:sz w:val="28"/>
          <w:szCs w:val="28"/>
          <w:bdr w:val="none" w:sz="0" w:space="0" w:color="auto" w:frame="1"/>
          <w:lang w:val="uk-UA" w:eastAsia="ru-RU"/>
        </w:rPr>
        <w:t>28</w:t>
      </w:r>
      <w:r w:rsidRPr="003714DF">
        <w:rPr>
          <w:rFonts w:eastAsia="Times New Roman" w:cstheme="minorHAnsi"/>
          <w:color w:val="000000" w:themeColor="text1"/>
          <w:sz w:val="28"/>
          <w:szCs w:val="28"/>
          <w:lang w:val="uk-UA" w:eastAsia="ru-RU"/>
        </w:rPr>
        <w:t>]</w:t>
      </w:r>
      <w:r>
        <w:rPr>
          <w:rFonts w:eastAsia="Times New Roman" w:cstheme="minorHAnsi"/>
          <w:color w:val="000000" w:themeColor="text1"/>
          <w:sz w:val="28"/>
          <w:szCs w:val="28"/>
          <w:lang w:val="uk-UA" w:eastAsia="ru-RU"/>
        </w:rPr>
        <w:t>.</w:t>
      </w:r>
      <w:r>
        <w:rPr>
          <w:rFonts w:cstheme="minorHAnsi"/>
          <w:color w:val="000000" w:themeColor="text1"/>
          <w:sz w:val="28"/>
          <w:szCs w:val="28"/>
          <w:shd w:val="clear" w:color="auto" w:fill="FFFFFF"/>
          <w:lang w:val="uk-UA"/>
        </w:rPr>
        <w:t xml:space="preserve"> </w:t>
      </w:r>
      <w:r w:rsidRPr="000B18AC">
        <w:rPr>
          <w:rFonts w:cstheme="minorHAnsi"/>
          <w:color w:val="000000" w:themeColor="text1"/>
          <w:sz w:val="28"/>
          <w:szCs w:val="28"/>
          <w:lang w:val="uk-UA"/>
        </w:rPr>
        <w:t xml:space="preserve">Тому, дослідження експресії плазмід-індукованих генів </w:t>
      </w:r>
      <w:r w:rsidRPr="000B18AC">
        <w:rPr>
          <w:rFonts w:cstheme="minorHAnsi"/>
          <w:color w:val="000000" w:themeColor="text1"/>
          <w:sz w:val="28"/>
          <w:szCs w:val="28"/>
          <w:lang w:val="uk-UA"/>
        </w:rPr>
        <w:lastRenderedPageBreak/>
        <w:t>резистентності серед уропатогенів є актуальним і перспективним напрямом, який дозволить поглибити розуміння механізмів формування резистентності і підійти з нової позиції до підвищення ефективності антибактеріальної терапії.</w:t>
      </w:r>
    </w:p>
    <w:p w:rsidR="006B4867" w:rsidRDefault="006B4867" w:rsidP="006B4867">
      <w:pPr>
        <w:spacing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t>Отже, метою дослідження було п</w:t>
      </w:r>
      <w:r w:rsidRPr="005E68C7">
        <w:rPr>
          <w:rFonts w:cstheme="minorHAnsi"/>
          <w:color w:val="000000" w:themeColor="text1"/>
          <w:sz w:val="28"/>
          <w:szCs w:val="28"/>
          <w:lang w:val="uk-UA"/>
        </w:rPr>
        <w:t>ідвищити ефективність терапії хворих на хронічний пієлонефрит із супутнім цукровим діабетом 2 типу, на підставі вивчення та розробки ме</w:t>
      </w:r>
      <w:r>
        <w:rPr>
          <w:rFonts w:cstheme="minorHAnsi"/>
          <w:color w:val="000000" w:themeColor="text1"/>
          <w:sz w:val="28"/>
          <w:szCs w:val="28"/>
          <w:lang w:val="uk-UA"/>
        </w:rPr>
        <w:t>тод</w:t>
      </w:r>
      <w:r w:rsidRPr="005E68C7">
        <w:rPr>
          <w:rFonts w:cstheme="minorHAnsi"/>
          <w:color w:val="000000" w:themeColor="text1"/>
          <w:sz w:val="28"/>
          <w:szCs w:val="28"/>
          <w:lang w:val="uk-UA"/>
        </w:rPr>
        <w:t>ів подолання генних механізмів антибіотико-резистентності індукованих плазмідами.</w:t>
      </w:r>
      <w:r>
        <w:rPr>
          <w:rFonts w:cstheme="minorHAnsi"/>
          <w:color w:val="000000" w:themeColor="text1"/>
          <w:sz w:val="28"/>
          <w:szCs w:val="28"/>
          <w:lang w:val="uk-UA"/>
        </w:rPr>
        <w:t xml:space="preserve"> </w:t>
      </w:r>
    </w:p>
    <w:p w:rsidR="006B4867" w:rsidRDefault="006B4867" w:rsidP="006B4867">
      <w:pPr>
        <w:spacing w:after="0"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t>Для реалізації мети були поставлені наступні завдання:</w:t>
      </w:r>
    </w:p>
    <w:p w:rsidR="006B4867" w:rsidRPr="007008D1" w:rsidRDefault="006B4867" w:rsidP="006B486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 xml:space="preserve">Вивчити наявність плазмід-індукованих механізмів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6B4867" w:rsidRPr="007008D1" w:rsidRDefault="006B4867" w:rsidP="006B4867">
      <w:pPr>
        <w:pStyle w:val="ab"/>
        <w:numPr>
          <w:ilvl w:val="0"/>
          <w:numId w:val="1"/>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Визначити основні фактори, що можуть бути пов’язані з наявністю </w:t>
      </w:r>
      <w:r w:rsidRPr="007008D1">
        <w:rPr>
          <w:rFonts w:ascii="Times New Roman" w:hAnsi="Times New Roman"/>
          <w:color w:val="000000" w:themeColor="text1"/>
          <w:sz w:val="28"/>
          <w:szCs w:val="28"/>
          <w:lang w:val="uk-UA"/>
        </w:rPr>
        <w:t xml:space="preserve">плазмід-індукованих механізмів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6B4867" w:rsidRPr="007008D1" w:rsidRDefault="006B4867" w:rsidP="006B486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 xml:space="preserve">Встановити взаємозв'язок резистентності in vitro до </w:t>
      </w:r>
      <w:r>
        <w:rPr>
          <w:rFonts w:ascii="Times New Roman" w:hAnsi="Times New Roman"/>
          <w:color w:val="000000" w:themeColor="text1"/>
          <w:sz w:val="28"/>
          <w:szCs w:val="28"/>
          <w:lang w:val="uk-UA"/>
        </w:rPr>
        <w:t>антибактеріальних препаратів</w:t>
      </w:r>
      <w:r w:rsidRPr="007008D1">
        <w:rPr>
          <w:rFonts w:ascii="Times New Roman" w:hAnsi="Times New Roman"/>
          <w:color w:val="000000" w:themeColor="text1"/>
          <w:sz w:val="28"/>
          <w:szCs w:val="28"/>
          <w:lang w:val="uk-UA"/>
        </w:rPr>
        <w:t xml:space="preserve"> з наявністю індукованих плазмідами генів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6B4867" w:rsidRPr="005E6730" w:rsidRDefault="006B4867" w:rsidP="006B486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hAnsi="Times New Roman"/>
          <w:color w:val="000000" w:themeColor="text1"/>
          <w:sz w:val="28"/>
          <w:szCs w:val="28"/>
          <w:lang w:val="uk-UA"/>
        </w:rPr>
        <w:t>Вивчити вплив плазмід-індукованих</w:t>
      </w:r>
      <w:r>
        <w:rPr>
          <w:rFonts w:ascii="Times New Roman" w:hAnsi="Times New Roman"/>
          <w:color w:val="000000" w:themeColor="text1"/>
          <w:sz w:val="28"/>
          <w:szCs w:val="28"/>
          <w:lang w:val="uk-UA"/>
        </w:rPr>
        <w:t xml:space="preserve"> механізмів резистентності</w:t>
      </w:r>
      <w:r w:rsidRPr="007008D1">
        <w:rPr>
          <w:rFonts w:ascii="Times New Roman" w:hAnsi="Times New Roman"/>
          <w:color w:val="000000" w:themeColor="text1"/>
          <w:sz w:val="28"/>
          <w:szCs w:val="28"/>
          <w:lang w:val="uk-UA"/>
        </w:rPr>
        <w:t xml:space="preserve"> на клінічну </w:t>
      </w:r>
      <w:r>
        <w:rPr>
          <w:rFonts w:ascii="Times New Roman" w:hAnsi="Times New Roman"/>
          <w:color w:val="000000" w:themeColor="text1"/>
          <w:sz w:val="28"/>
          <w:szCs w:val="28"/>
          <w:lang w:val="uk-UA"/>
        </w:rPr>
        <w:t xml:space="preserve">та бактеріологічну </w:t>
      </w:r>
      <w:r w:rsidRPr="007008D1">
        <w:rPr>
          <w:rFonts w:ascii="Times New Roman" w:hAnsi="Times New Roman"/>
          <w:color w:val="000000" w:themeColor="text1"/>
          <w:sz w:val="28"/>
          <w:szCs w:val="28"/>
          <w:lang w:val="uk-UA"/>
        </w:rPr>
        <w:t>ефективність</w:t>
      </w:r>
      <w:r>
        <w:rPr>
          <w:rFonts w:ascii="Times New Roman" w:hAnsi="Times New Roman"/>
          <w:color w:val="000000" w:themeColor="text1"/>
          <w:sz w:val="28"/>
          <w:szCs w:val="28"/>
          <w:lang w:val="uk-UA"/>
        </w:rPr>
        <w:t xml:space="preserve"> антибіотико-терапії</w:t>
      </w:r>
      <w:r w:rsidRPr="007008D1">
        <w:rPr>
          <w:rFonts w:ascii="Times New Roman" w:hAnsi="Times New Roman"/>
          <w:color w:val="000000" w:themeColor="text1"/>
          <w:sz w:val="28"/>
          <w:szCs w:val="28"/>
          <w:lang w:val="uk-UA"/>
        </w:rPr>
        <w:t xml:space="preserve">  хворих 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 </w:t>
      </w:r>
    </w:p>
    <w:p w:rsidR="006B4867" w:rsidRPr="007008D1" w:rsidRDefault="006B4867" w:rsidP="006B4867">
      <w:pPr>
        <w:pStyle w:val="ab"/>
        <w:numPr>
          <w:ilvl w:val="0"/>
          <w:numId w:val="1"/>
        </w:numPr>
        <w:spacing w:after="0" w:line="360" w:lineRule="auto"/>
        <w:jc w:val="both"/>
        <w:rPr>
          <w:rFonts w:ascii="Times New Roman" w:hAnsi="Times New Roman"/>
          <w:color w:val="000000" w:themeColor="text1"/>
          <w:sz w:val="28"/>
          <w:szCs w:val="28"/>
          <w:lang w:val="uk-UA"/>
        </w:rPr>
      </w:pPr>
      <w:r w:rsidRPr="007008D1">
        <w:rPr>
          <w:rFonts w:ascii="Times New Roman" w:eastAsia="Times New Roman" w:hAnsi="Times New Roman"/>
          <w:bCs/>
          <w:color w:val="000000"/>
          <w:kern w:val="36"/>
          <w:sz w:val="28"/>
          <w:szCs w:val="28"/>
          <w:lang w:val="uk-UA" w:eastAsia="ru-RU"/>
        </w:rPr>
        <w:t xml:space="preserve">Визначити взаємозв’язок плазмід-індукованих механізмів антибіотико-резистентності з показниками неспецифічних запальних реакцій </w:t>
      </w:r>
      <w:r>
        <w:rPr>
          <w:rFonts w:ascii="Times New Roman" w:eastAsia="Times New Roman" w:hAnsi="Times New Roman"/>
          <w:bCs/>
          <w:color w:val="000000"/>
          <w:kern w:val="36"/>
          <w:sz w:val="28"/>
          <w:szCs w:val="28"/>
          <w:lang w:val="uk-UA" w:eastAsia="ru-RU"/>
        </w:rPr>
        <w:t>(</w:t>
      </w:r>
      <w:r>
        <w:rPr>
          <w:rFonts w:ascii="Times New Roman" w:eastAsia="Times New Roman" w:hAnsi="Times New Roman"/>
          <w:bCs/>
          <w:color w:val="000000"/>
          <w:kern w:val="36"/>
          <w:sz w:val="28"/>
          <w:szCs w:val="28"/>
          <w:lang w:val="en-US" w:eastAsia="ru-RU"/>
        </w:rPr>
        <w:t>IgA</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IgM</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Ig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uk-UA" w:eastAsia="ru-RU"/>
        </w:rPr>
        <w:t xml:space="preserve">та інтерлейкіну 6) </w:t>
      </w:r>
      <w:r w:rsidRPr="007008D1">
        <w:rPr>
          <w:rFonts w:ascii="Times New Roman" w:eastAsia="Times New Roman" w:hAnsi="Times New Roman"/>
          <w:bCs/>
          <w:color w:val="000000"/>
          <w:kern w:val="36"/>
          <w:sz w:val="28"/>
          <w:szCs w:val="28"/>
          <w:lang w:val="uk-UA" w:eastAsia="ru-RU"/>
        </w:rPr>
        <w:t xml:space="preserve">у хворих </w:t>
      </w:r>
      <w:r w:rsidRPr="007008D1">
        <w:rPr>
          <w:rFonts w:ascii="Times New Roman" w:hAnsi="Times New Roman"/>
          <w:color w:val="000000" w:themeColor="text1"/>
          <w:sz w:val="28"/>
          <w:szCs w:val="28"/>
          <w:lang w:val="uk-UA"/>
        </w:rPr>
        <w:t xml:space="preserve">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6B4867" w:rsidRPr="007008D1" w:rsidRDefault="006B4867" w:rsidP="006B4867">
      <w:pPr>
        <w:pStyle w:val="ab"/>
        <w:numPr>
          <w:ilvl w:val="0"/>
          <w:numId w:val="1"/>
        </w:numPr>
        <w:spacing w:line="360" w:lineRule="auto"/>
        <w:jc w:val="both"/>
        <w:rPr>
          <w:rFonts w:cstheme="minorHAnsi"/>
          <w:color w:val="000000" w:themeColor="text1"/>
          <w:sz w:val="28"/>
          <w:szCs w:val="28"/>
          <w:lang w:val="uk-UA"/>
        </w:rPr>
      </w:pPr>
      <w:r w:rsidRPr="007008D1">
        <w:rPr>
          <w:rFonts w:ascii="Times New Roman" w:hAnsi="Times New Roman"/>
          <w:color w:val="000000" w:themeColor="text1"/>
          <w:sz w:val="28"/>
          <w:szCs w:val="28"/>
          <w:lang w:val="uk-UA"/>
        </w:rPr>
        <w:t xml:space="preserve">Оптимізувати методи диференційованого призначення антибіотико-терапії в залежності від наявності індукованих плазмідами механізмів </w:t>
      </w:r>
      <w:r w:rsidRPr="007008D1">
        <w:rPr>
          <w:rFonts w:ascii="Times New Roman" w:hAnsi="Times New Roman"/>
          <w:color w:val="000000" w:themeColor="text1"/>
          <w:sz w:val="28"/>
          <w:szCs w:val="28"/>
          <w:lang w:val="uk-UA"/>
        </w:rPr>
        <w:lastRenderedPageBreak/>
        <w:t xml:space="preserve">антибіотико-резистентності, у хворих 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p>
    <w:p w:rsidR="006B4867" w:rsidRPr="00C35AA2" w:rsidRDefault="006B4867" w:rsidP="006B4867">
      <w:pPr>
        <w:spacing w:after="0" w:line="360" w:lineRule="auto"/>
        <w:ind w:firstLine="709"/>
        <w:jc w:val="both"/>
        <w:rPr>
          <w:sz w:val="28"/>
          <w:szCs w:val="28"/>
          <w:lang w:val="uk-UA"/>
        </w:rPr>
      </w:pPr>
      <w:r>
        <w:rPr>
          <w:rFonts w:ascii="Times New Roman" w:eastAsia="Times New Roman" w:hAnsi="Times New Roman" w:cs="Times New Roman"/>
          <w:bCs/>
          <w:color w:val="000000" w:themeColor="text1"/>
          <w:kern w:val="36"/>
          <w:sz w:val="28"/>
          <w:szCs w:val="28"/>
          <w:lang w:val="uk-UA" w:eastAsia="ru-RU"/>
        </w:rPr>
        <w:t>Для досягнення мети і реалізації поставлених завдань, було обстежено 105 хворих на хронічний пієлонефрит. В залежності від наявності супутнього ЦД 2 типу, хворі були розподілені на 2 групи: І група (</w:t>
      </w:r>
      <w:r>
        <w:rPr>
          <w:rFonts w:ascii="Times New Roman" w:eastAsia="Times New Roman" w:hAnsi="Times New Roman" w:cs="Times New Roman"/>
          <w:bCs/>
          <w:color w:val="000000" w:themeColor="text1"/>
          <w:kern w:val="36"/>
          <w:sz w:val="28"/>
          <w:szCs w:val="28"/>
          <w:lang w:val="en-US" w:eastAsia="ru-RU"/>
        </w:rPr>
        <w:t>n</w:t>
      </w:r>
      <w:r w:rsidRPr="00CD10EB">
        <w:rPr>
          <w:rFonts w:ascii="Times New Roman" w:eastAsia="Times New Roman" w:hAnsi="Times New Roman" w:cs="Times New Roman"/>
          <w:bCs/>
          <w:color w:val="000000" w:themeColor="text1"/>
          <w:kern w:val="36"/>
          <w:sz w:val="28"/>
          <w:szCs w:val="28"/>
          <w:lang w:val="uk-UA" w:eastAsia="ru-RU"/>
        </w:rPr>
        <w:t>=73</w:t>
      </w:r>
      <w:r>
        <w:rPr>
          <w:rFonts w:ascii="Times New Roman" w:eastAsia="Times New Roman" w:hAnsi="Times New Roman" w:cs="Times New Roman"/>
          <w:bCs/>
          <w:color w:val="000000" w:themeColor="text1"/>
          <w:kern w:val="36"/>
          <w:sz w:val="28"/>
          <w:szCs w:val="28"/>
          <w:lang w:val="uk-UA" w:eastAsia="ru-RU"/>
        </w:rPr>
        <w:t xml:space="preserve">) хворі на ХП </w:t>
      </w:r>
      <w:r>
        <w:rPr>
          <w:sz w:val="28"/>
          <w:lang w:val="uk-UA"/>
        </w:rPr>
        <w:t xml:space="preserve">із супутнім ЦД 2 типу, </w:t>
      </w:r>
      <w:r>
        <w:rPr>
          <w:rFonts w:cstheme="minorHAnsi"/>
          <w:sz w:val="28"/>
          <w:lang w:val="uk-UA"/>
        </w:rPr>
        <w:t>ІІ</w:t>
      </w:r>
      <w:r>
        <w:rPr>
          <w:sz w:val="28"/>
          <w:lang w:val="uk-UA"/>
        </w:rPr>
        <w:t xml:space="preserve"> група (</w:t>
      </w:r>
      <w:r>
        <w:rPr>
          <w:rFonts w:ascii="Times New Roman" w:eastAsia="Times New Roman" w:hAnsi="Times New Roman" w:cs="Times New Roman"/>
          <w:bCs/>
          <w:color w:val="000000" w:themeColor="text1"/>
          <w:kern w:val="36"/>
          <w:sz w:val="28"/>
          <w:szCs w:val="28"/>
          <w:lang w:val="en-US" w:eastAsia="ru-RU"/>
        </w:rPr>
        <w:t>n</w:t>
      </w:r>
      <w:r>
        <w:rPr>
          <w:rFonts w:ascii="Times New Roman" w:eastAsia="Times New Roman" w:hAnsi="Times New Roman" w:cs="Times New Roman"/>
          <w:bCs/>
          <w:color w:val="000000" w:themeColor="text1"/>
          <w:kern w:val="36"/>
          <w:sz w:val="28"/>
          <w:szCs w:val="28"/>
          <w:lang w:val="uk-UA" w:eastAsia="ru-RU"/>
        </w:rPr>
        <w:t>=</w:t>
      </w:r>
      <w:r w:rsidRPr="00CD10EB">
        <w:rPr>
          <w:rFonts w:ascii="Times New Roman" w:eastAsia="Times New Roman" w:hAnsi="Times New Roman" w:cs="Times New Roman"/>
          <w:bCs/>
          <w:color w:val="000000" w:themeColor="text1"/>
          <w:kern w:val="36"/>
          <w:sz w:val="28"/>
          <w:szCs w:val="28"/>
          <w:lang w:val="uk-UA" w:eastAsia="ru-RU"/>
        </w:rPr>
        <w:t>3</w:t>
      </w:r>
      <w:r>
        <w:rPr>
          <w:rFonts w:ascii="Times New Roman" w:eastAsia="Times New Roman" w:hAnsi="Times New Roman" w:cs="Times New Roman"/>
          <w:bCs/>
          <w:color w:val="000000" w:themeColor="text1"/>
          <w:kern w:val="36"/>
          <w:sz w:val="28"/>
          <w:szCs w:val="28"/>
          <w:lang w:val="uk-UA" w:eastAsia="ru-RU"/>
        </w:rPr>
        <w:t>2</w:t>
      </w:r>
      <w:r>
        <w:rPr>
          <w:sz w:val="28"/>
          <w:lang w:val="uk-UA"/>
        </w:rPr>
        <w:t xml:space="preserve">) – пацієнти із ХП без ЦД 2 типу. </w:t>
      </w:r>
      <w:r w:rsidRPr="00AE030D">
        <w:rPr>
          <w:sz w:val="28"/>
          <w:lang w:val="uk-UA"/>
        </w:rPr>
        <w:t>Хворі знаходились на обстеженні та лікуванні у</w:t>
      </w:r>
      <w:r>
        <w:rPr>
          <w:sz w:val="28"/>
          <w:lang w:val="uk-UA"/>
        </w:rPr>
        <w:t xml:space="preserve"> </w:t>
      </w:r>
      <w:r w:rsidRPr="00ED7209">
        <w:rPr>
          <w:sz w:val="28"/>
          <w:szCs w:val="28"/>
          <w:lang w:val="uk-UA"/>
        </w:rPr>
        <w:t>1 терапевтичн</w:t>
      </w:r>
      <w:r>
        <w:rPr>
          <w:sz w:val="28"/>
          <w:szCs w:val="28"/>
          <w:lang w:val="uk-UA"/>
        </w:rPr>
        <w:t>ому</w:t>
      </w:r>
      <w:r w:rsidRPr="00ED7209">
        <w:rPr>
          <w:sz w:val="28"/>
          <w:szCs w:val="28"/>
          <w:lang w:val="uk-UA"/>
        </w:rPr>
        <w:t xml:space="preserve"> відділенн</w:t>
      </w:r>
      <w:r>
        <w:rPr>
          <w:sz w:val="28"/>
          <w:szCs w:val="28"/>
          <w:lang w:val="uk-UA"/>
        </w:rPr>
        <w:t>і</w:t>
      </w:r>
      <w:r w:rsidRPr="00ED7209">
        <w:rPr>
          <w:sz w:val="28"/>
          <w:szCs w:val="28"/>
          <w:lang w:val="uk-UA"/>
        </w:rPr>
        <w:t xml:space="preserve"> </w:t>
      </w:r>
      <w:r>
        <w:rPr>
          <w:sz w:val="28"/>
          <w:szCs w:val="28"/>
          <w:lang w:val="uk-UA"/>
        </w:rPr>
        <w:t xml:space="preserve">з нефрологічними ліжками (20) </w:t>
      </w:r>
      <w:r w:rsidRPr="00ED7209">
        <w:rPr>
          <w:sz w:val="28"/>
          <w:szCs w:val="28"/>
          <w:lang w:val="uk-UA"/>
        </w:rPr>
        <w:t>Харківської міської клінічної лікарні швидкої та невідкладної медичної допомо</w:t>
      </w:r>
      <w:r>
        <w:rPr>
          <w:sz w:val="28"/>
          <w:szCs w:val="28"/>
          <w:lang w:val="uk-UA"/>
        </w:rPr>
        <w:t xml:space="preserve">ги №4 ім. проф. О.І. Мещанінова. </w:t>
      </w:r>
      <w:r w:rsidRPr="00C35AA2">
        <w:rPr>
          <w:color w:val="000000" w:themeColor="text1"/>
          <w:sz w:val="28"/>
          <w:szCs w:val="28"/>
          <w:lang w:val="uk-UA"/>
        </w:rPr>
        <w:t>Серед обстежених було 91 (86,7 %) жінка і 14 (13,3 %) чоловіків, середній вік склав 56,9</w:t>
      </w:r>
      <w:r w:rsidRPr="00C35AA2">
        <w:rPr>
          <w:rFonts w:cstheme="minorHAnsi"/>
          <w:color w:val="000000" w:themeColor="text1"/>
          <w:sz w:val="28"/>
          <w:szCs w:val="28"/>
          <w:lang w:val="uk-UA"/>
        </w:rPr>
        <w:t>±</w:t>
      </w:r>
      <w:r w:rsidRPr="00C35AA2">
        <w:rPr>
          <w:color w:val="000000" w:themeColor="text1"/>
          <w:sz w:val="28"/>
          <w:szCs w:val="28"/>
          <w:lang w:val="uk-UA"/>
        </w:rPr>
        <w:t xml:space="preserve">1,7 років. </w:t>
      </w:r>
      <w:r w:rsidRPr="00C35AA2">
        <w:rPr>
          <w:rFonts w:cstheme="minorHAnsi"/>
          <w:sz w:val="28"/>
          <w:szCs w:val="28"/>
          <w:lang w:val="uk-UA"/>
        </w:rPr>
        <w:t xml:space="preserve">Серед обстежених, у 21 (20%) хворих на ХП було діагностовано І стадію ХХН, у 28 (26,7%) – ІІ стадію, ІІІ стадію ХХН мали 27 (25,7%) пацієнтів, ІV – 29 (27,6%). </w:t>
      </w:r>
      <w:r w:rsidRPr="00C35AA2">
        <w:rPr>
          <w:color w:val="000000" w:themeColor="text1"/>
          <w:sz w:val="28"/>
          <w:szCs w:val="28"/>
          <w:lang w:val="uk-UA"/>
        </w:rPr>
        <w:t xml:space="preserve">Для визначення стадії ХХН ми використовували класифікацію хвороб для нефрологічної практики згідно з наказом МОЗ України № 65/462 від 30.09.03 та рішенням 4-го з'їзду Української асоціації нефрологів (2013) </w:t>
      </w:r>
      <w:r w:rsidRPr="00C35AA2">
        <w:rPr>
          <w:rFonts w:cstheme="minorHAnsi"/>
          <w:color w:val="000000" w:themeColor="text1"/>
          <w:sz w:val="28"/>
          <w:szCs w:val="28"/>
          <w:lang w:val="uk-UA"/>
        </w:rPr>
        <w:t>[</w:t>
      </w:r>
      <w:r>
        <w:rPr>
          <w:sz w:val="28"/>
          <w:szCs w:val="28"/>
          <w:lang w:val="uk-UA"/>
        </w:rPr>
        <w:t>5</w:t>
      </w:r>
      <w:r w:rsidRPr="00C35AA2">
        <w:rPr>
          <w:rFonts w:cstheme="minorHAnsi"/>
          <w:color w:val="000000" w:themeColor="text1"/>
          <w:sz w:val="28"/>
          <w:szCs w:val="28"/>
          <w:lang w:val="uk-UA"/>
        </w:rPr>
        <w:t>]</w:t>
      </w:r>
      <w:r w:rsidRPr="00C35AA2">
        <w:rPr>
          <w:color w:val="000000" w:themeColor="text1"/>
          <w:sz w:val="28"/>
          <w:szCs w:val="28"/>
          <w:lang w:val="uk-UA"/>
        </w:rPr>
        <w:t xml:space="preserve">. </w:t>
      </w:r>
      <w:r w:rsidRPr="00C35AA2">
        <w:rPr>
          <w:rFonts w:cstheme="minorHAnsi"/>
          <w:sz w:val="28"/>
          <w:szCs w:val="28"/>
          <w:lang w:val="uk-UA"/>
        </w:rPr>
        <w:t xml:space="preserve">Ступінь порушення функції нирок оцінювали шляхом розрахунку швидкості клубочкової фільтрації (ШКФ), який здійснювали за формулою </w:t>
      </w:r>
      <w:r w:rsidRPr="00C35AA2">
        <w:rPr>
          <w:rFonts w:cstheme="minorHAnsi"/>
          <w:sz w:val="28"/>
          <w:szCs w:val="28"/>
          <w:lang w:val="en-US"/>
        </w:rPr>
        <w:t>CKD</w:t>
      </w:r>
      <w:r w:rsidRPr="00C35AA2">
        <w:rPr>
          <w:rFonts w:cstheme="minorHAnsi"/>
          <w:sz w:val="28"/>
          <w:szCs w:val="28"/>
          <w:lang w:val="uk-UA"/>
        </w:rPr>
        <w:t>-</w:t>
      </w:r>
      <w:r w:rsidRPr="00C35AA2">
        <w:rPr>
          <w:rFonts w:cstheme="minorHAnsi"/>
          <w:sz w:val="28"/>
          <w:szCs w:val="28"/>
          <w:lang w:val="en-US"/>
        </w:rPr>
        <w:t>EPI</w:t>
      </w:r>
      <w:r w:rsidRPr="00C35AA2">
        <w:rPr>
          <w:rFonts w:cstheme="minorHAnsi"/>
          <w:sz w:val="28"/>
          <w:szCs w:val="28"/>
          <w:lang w:val="uk-UA"/>
        </w:rPr>
        <w:t xml:space="preserve"> (</w:t>
      </w:r>
      <w:r w:rsidRPr="00C35AA2">
        <w:rPr>
          <w:rFonts w:cstheme="minorHAnsi"/>
          <w:sz w:val="28"/>
          <w:szCs w:val="28"/>
          <w:lang w:val="en-US"/>
        </w:rPr>
        <w:t>KDIGO</w:t>
      </w:r>
      <w:r w:rsidRPr="00C35AA2">
        <w:rPr>
          <w:rFonts w:cstheme="minorHAnsi"/>
          <w:sz w:val="28"/>
          <w:szCs w:val="28"/>
          <w:lang w:val="uk-UA"/>
        </w:rPr>
        <w:t xml:space="preserve"> 2012). Методи обстеження включали:</w:t>
      </w:r>
    </w:p>
    <w:p w:rsidR="006B4867" w:rsidRPr="00C35AA2" w:rsidRDefault="006B4867" w:rsidP="006B4867">
      <w:pPr>
        <w:spacing w:after="0" w:line="360" w:lineRule="auto"/>
        <w:ind w:firstLine="709"/>
        <w:jc w:val="both"/>
        <w:rPr>
          <w:rFonts w:cstheme="minorHAnsi"/>
          <w:sz w:val="28"/>
          <w:szCs w:val="28"/>
          <w:lang w:val="uk-UA"/>
        </w:rPr>
      </w:pPr>
      <w:r w:rsidRPr="00C35AA2">
        <w:rPr>
          <w:rFonts w:cstheme="minorHAnsi"/>
          <w:sz w:val="28"/>
          <w:szCs w:val="28"/>
          <w:lang w:val="uk-UA"/>
        </w:rPr>
        <w:t>1. Методи оцінки стану хворого і верифікації діагнозу (сбір анамнезу, загальний огляд, лабораторні і інструментальні методи) проводилися згідно діючих рекомендацій [</w:t>
      </w:r>
      <w:r>
        <w:rPr>
          <w:spacing w:val="1"/>
          <w:sz w:val="28"/>
          <w:szCs w:val="28"/>
          <w:lang w:val="uk-UA"/>
        </w:rPr>
        <w:t>3</w:t>
      </w:r>
      <w:r w:rsidRPr="00C35AA2">
        <w:rPr>
          <w:rFonts w:cstheme="minorHAnsi"/>
          <w:sz w:val="28"/>
          <w:szCs w:val="28"/>
          <w:lang w:val="uk-UA"/>
        </w:rPr>
        <w:t>];</w:t>
      </w:r>
    </w:p>
    <w:p w:rsidR="006B4867" w:rsidRPr="00C35AA2" w:rsidRDefault="006B4867" w:rsidP="006B4867">
      <w:pPr>
        <w:spacing w:after="0" w:line="360" w:lineRule="auto"/>
        <w:ind w:firstLine="709"/>
        <w:jc w:val="both"/>
        <w:rPr>
          <w:rFonts w:cstheme="minorHAnsi"/>
          <w:sz w:val="28"/>
          <w:szCs w:val="28"/>
          <w:lang w:val="uk-UA"/>
        </w:rPr>
      </w:pPr>
      <w:r w:rsidRPr="00C35AA2">
        <w:rPr>
          <w:rFonts w:cstheme="minorHAnsi"/>
          <w:sz w:val="28"/>
          <w:szCs w:val="28"/>
          <w:lang w:val="uk-UA"/>
        </w:rPr>
        <w:t>2. Методи оцінки ефективності антибіотико-терапії вивчалися в динаміці клінічних симптомів і лабораторних показників</w:t>
      </w:r>
      <w:r>
        <w:rPr>
          <w:rFonts w:cstheme="minorHAnsi"/>
          <w:sz w:val="28"/>
          <w:szCs w:val="28"/>
          <w:lang w:val="uk-UA"/>
        </w:rPr>
        <w:t xml:space="preserve"> </w:t>
      </w:r>
      <w:r w:rsidRPr="006E3519">
        <w:rPr>
          <w:rFonts w:cstheme="minorHAnsi"/>
          <w:color w:val="000000" w:themeColor="text1"/>
          <w:sz w:val="28"/>
          <w:szCs w:val="28"/>
          <w:lang w:val="uk-UA"/>
        </w:rPr>
        <w:t>(</w:t>
      </w:r>
      <w:r>
        <w:rPr>
          <w:rFonts w:cstheme="minorHAnsi"/>
          <w:color w:val="000000" w:themeColor="text1"/>
          <w:sz w:val="28"/>
          <w:szCs w:val="28"/>
          <w:lang w:val="uk-UA"/>
        </w:rPr>
        <w:t>клінічного аналізу крові та сечі, біохімічного аналізу крові з визначенням концентрацій креатиніну, сечовини, загального білку</w:t>
      </w:r>
      <w:r w:rsidRPr="006E3519">
        <w:rPr>
          <w:rFonts w:cstheme="minorHAnsi"/>
          <w:color w:val="000000" w:themeColor="text1"/>
          <w:sz w:val="28"/>
          <w:szCs w:val="28"/>
          <w:lang w:val="uk-UA"/>
        </w:rPr>
        <w:t>)</w:t>
      </w:r>
      <w:r w:rsidRPr="00C35AA2">
        <w:rPr>
          <w:rFonts w:cstheme="minorHAnsi"/>
          <w:sz w:val="28"/>
          <w:szCs w:val="28"/>
          <w:lang w:val="uk-UA"/>
        </w:rPr>
        <w:t xml:space="preserve">; </w:t>
      </w:r>
    </w:p>
    <w:p w:rsidR="006B4867" w:rsidRPr="00C35AA2" w:rsidRDefault="006B4867" w:rsidP="006B4867">
      <w:pPr>
        <w:spacing w:after="0" w:line="360" w:lineRule="auto"/>
        <w:ind w:firstLine="709"/>
        <w:jc w:val="both"/>
        <w:rPr>
          <w:rFonts w:cstheme="minorHAnsi"/>
          <w:sz w:val="28"/>
          <w:szCs w:val="28"/>
          <w:lang w:val="uk-UA"/>
        </w:rPr>
      </w:pPr>
      <w:r w:rsidRPr="00C35AA2">
        <w:rPr>
          <w:rFonts w:cstheme="minorHAnsi"/>
          <w:sz w:val="28"/>
          <w:szCs w:val="28"/>
          <w:lang w:val="uk-UA"/>
        </w:rPr>
        <w:t xml:space="preserve">3. Методи оцінки резистентності in vitro - чутливість виділених культур до АБП проводили </w:t>
      </w:r>
      <w:r>
        <w:rPr>
          <w:rFonts w:cstheme="minorHAnsi"/>
          <w:sz w:val="28"/>
          <w:szCs w:val="28"/>
          <w:lang w:val="uk-UA"/>
        </w:rPr>
        <w:t>диско-дифузійним методом</w:t>
      </w:r>
      <w:r w:rsidRPr="00C35AA2">
        <w:rPr>
          <w:rFonts w:cstheme="minorHAnsi"/>
          <w:sz w:val="28"/>
          <w:szCs w:val="28"/>
          <w:lang w:val="uk-UA"/>
        </w:rPr>
        <w:t xml:space="preserve"> Bauer-Kirbi на середовищі Хінтон-Мюллера з використанням комерційних дисків. Облік результатів </w:t>
      </w:r>
      <w:r w:rsidRPr="00C35AA2">
        <w:rPr>
          <w:rFonts w:cstheme="minorHAnsi"/>
          <w:sz w:val="28"/>
          <w:szCs w:val="28"/>
          <w:lang w:val="uk-UA"/>
        </w:rPr>
        <w:lastRenderedPageBreak/>
        <w:t>проводили шляхом вимірювання зон затримки росту мікроорганізмів навколо дисків, включаючи діаметр самого диска</w:t>
      </w:r>
      <w:r>
        <w:rPr>
          <w:rFonts w:cstheme="minorHAnsi"/>
          <w:sz w:val="28"/>
          <w:szCs w:val="28"/>
          <w:lang w:val="uk-UA"/>
        </w:rPr>
        <w:t xml:space="preserve"> [</w:t>
      </w:r>
      <w:r>
        <w:rPr>
          <w:sz w:val="28"/>
          <w:szCs w:val="28"/>
          <w:lang w:val="uk-UA"/>
        </w:rPr>
        <w:t>2</w:t>
      </w:r>
      <w:r>
        <w:rPr>
          <w:rFonts w:cstheme="minorHAnsi"/>
          <w:sz w:val="28"/>
          <w:szCs w:val="28"/>
          <w:lang w:val="uk-UA"/>
        </w:rPr>
        <w:t>]</w:t>
      </w:r>
      <w:r w:rsidRPr="00C35AA2">
        <w:rPr>
          <w:rFonts w:cstheme="minorHAnsi"/>
          <w:sz w:val="28"/>
          <w:szCs w:val="28"/>
          <w:lang w:val="uk-UA"/>
        </w:rPr>
        <w:t>;</w:t>
      </w:r>
    </w:p>
    <w:p w:rsidR="006B4867" w:rsidRDefault="006B4867" w:rsidP="006B4867">
      <w:pPr>
        <w:spacing w:after="0" w:line="360" w:lineRule="auto"/>
        <w:ind w:firstLine="709"/>
        <w:jc w:val="both"/>
        <w:rPr>
          <w:rFonts w:cstheme="minorHAnsi"/>
          <w:sz w:val="28"/>
          <w:szCs w:val="28"/>
          <w:lang w:val="uk-UA"/>
        </w:rPr>
      </w:pPr>
      <w:r w:rsidRPr="00C35AA2">
        <w:rPr>
          <w:rFonts w:cstheme="minorHAnsi"/>
          <w:sz w:val="28"/>
          <w:szCs w:val="28"/>
          <w:lang w:val="uk-UA"/>
        </w:rPr>
        <w:t xml:space="preserve">4. Методи дослідження плазмід-індукованих механізмів резистентності полягали в діагностиці генів ТЕМ, SHV і СТХ-М, що кодують вироблення βЛРС </w:t>
      </w:r>
      <w:r>
        <w:rPr>
          <w:rFonts w:cstheme="minorHAnsi"/>
          <w:sz w:val="28"/>
          <w:szCs w:val="28"/>
          <w:lang w:val="uk-UA"/>
        </w:rPr>
        <w:t>та генів QnrА, AAC(6</w:t>
      </w:r>
      <w:r w:rsidRPr="00F33B37">
        <w:rPr>
          <w:rFonts w:cstheme="minorHAnsi"/>
          <w:sz w:val="28"/>
          <w:szCs w:val="28"/>
          <w:lang w:val="uk-UA"/>
        </w:rPr>
        <w:t>')-Ib-cr</w:t>
      </w:r>
      <w:r>
        <w:rPr>
          <w:rFonts w:cstheme="minorHAnsi"/>
          <w:sz w:val="28"/>
          <w:szCs w:val="28"/>
          <w:lang w:val="uk-UA"/>
        </w:rPr>
        <w:t xml:space="preserve">, </w:t>
      </w:r>
      <w:r w:rsidRPr="00F33B37">
        <w:rPr>
          <w:rFonts w:cstheme="minorHAnsi"/>
          <w:sz w:val="28"/>
          <w:szCs w:val="28"/>
          <w:lang w:val="uk-UA"/>
        </w:rPr>
        <w:t>QepA</w:t>
      </w:r>
      <w:r>
        <w:rPr>
          <w:rFonts w:cstheme="minorHAnsi"/>
          <w:sz w:val="28"/>
          <w:szCs w:val="28"/>
          <w:lang w:val="uk-UA"/>
        </w:rPr>
        <w:t>, що опосередковують стійкість до фторхінолонів,</w:t>
      </w:r>
      <w:r w:rsidRPr="00C35AA2">
        <w:rPr>
          <w:rFonts w:cstheme="minorHAnsi"/>
          <w:sz w:val="28"/>
          <w:szCs w:val="28"/>
          <w:lang w:val="uk-UA"/>
        </w:rPr>
        <w:t xml:space="preserve"> методом полімеразної ланцюжкової реакції (ПЛР). ПЛР проводили за стандартною схемою за допомогою програмованого термоциклера «Терцик-2» фірми ДНК-технологія</w:t>
      </w:r>
      <w:r>
        <w:rPr>
          <w:rFonts w:cstheme="minorHAnsi"/>
          <w:sz w:val="28"/>
          <w:szCs w:val="28"/>
          <w:lang w:val="uk-UA"/>
        </w:rPr>
        <w:t xml:space="preserve"> </w:t>
      </w:r>
      <w:r w:rsidRPr="00C35AA2">
        <w:rPr>
          <w:rFonts w:cstheme="minorHAnsi"/>
          <w:sz w:val="28"/>
          <w:szCs w:val="28"/>
          <w:lang w:val="uk-UA"/>
        </w:rPr>
        <w:t>[</w:t>
      </w:r>
      <w:r>
        <w:rPr>
          <w:rFonts w:ascii="Times New Roman" w:hAnsi="Times New Roman" w:cs="Times New Roman"/>
          <w:sz w:val="28"/>
          <w:szCs w:val="28"/>
        </w:rPr>
        <w:t>15</w:t>
      </w:r>
      <w:r w:rsidRPr="00C35AA2">
        <w:rPr>
          <w:rFonts w:cstheme="minorHAnsi"/>
          <w:sz w:val="28"/>
          <w:szCs w:val="28"/>
          <w:lang w:val="uk-UA"/>
        </w:rPr>
        <w:t>].</w:t>
      </w:r>
    </w:p>
    <w:p w:rsidR="006B4867" w:rsidRDefault="006B4867" w:rsidP="006B4867">
      <w:pPr>
        <w:spacing w:after="0" w:line="360" w:lineRule="auto"/>
        <w:ind w:firstLine="709"/>
        <w:jc w:val="both"/>
        <w:rPr>
          <w:rFonts w:cstheme="minorHAnsi"/>
          <w:sz w:val="28"/>
          <w:szCs w:val="28"/>
          <w:lang w:val="uk-UA"/>
        </w:rPr>
      </w:pPr>
      <w:r>
        <w:rPr>
          <w:rFonts w:cstheme="minorHAnsi"/>
          <w:sz w:val="28"/>
          <w:szCs w:val="28"/>
          <w:lang w:val="uk-UA"/>
        </w:rPr>
        <w:t xml:space="preserve">5. Дослідження імунологічних маркерів системного запалення (ІЛ-6, </w:t>
      </w:r>
      <w:r>
        <w:rPr>
          <w:rFonts w:cstheme="minorHAnsi"/>
          <w:sz w:val="28"/>
          <w:szCs w:val="28"/>
          <w:lang w:val="en-US"/>
        </w:rPr>
        <w:t>IgA</w:t>
      </w:r>
      <w:r w:rsidRPr="00F055C2">
        <w:rPr>
          <w:rFonts w:cstheme="minorHAnsi"/>
          <w:sz w:val="28"/>
          <w:szCs w:val="28"/>
          <w:lang w:val="uk-UA"/>
        </w:rPr>
        <w:t xml:space="preserve">, </w:t>
      </w:r>
      <w:r>
        <w:rPr>
          <w:rFonts w:cstheme="minorHAnsi"/>
          <w:sz w:val="28"/>
          <w:szCs w:val="28"/>
          <w:lang w:val="en-US"/>
        </w:rPr>
        <w:t>IgG</w:t>
      </w:r>
      <w:r w:rsidRPr="00F055C2">
        <w:rPr>
          <w:rFonts w:cstheme="minorHAnsi"/>
          <w:sz w:val="28"/>
          <w:szCs w:val="28"/>
          <w:lang w:val="uk-UA"/>
        </w:rPr>
        <w:t xml:space="preserve">, </w:t>
      </w:r>
      <w:r>
        <w:rPr>
          <w:rFonts w:cstheme="minorHAnsi"/>
          <w:sz w:val="28"/>
          <w:szCs w:val="28"/>
          <w:lang w:val="en-US"/>
        </w:rPr>
        <w:t>IgM</w:t>
      </w:r>
      <w:r>
        <w:rPr>
          <w:rFonts w:cstheme="minorHAnsi"/>
          <w:sz w:val="28"/>
          <w:szCs w:val="28"/>
          <w:lang w:val="uk-UA"/>
        </w:rPr>
        <w:t>)</w:t>
      </w:r>
      <w:r w:rsidRPr="00F055C2">
        <w:rPr>
          <w:rFonts w:cstheme="minorHAnsi"/>
          <w:sz w:val="28"/>
          <w:szCs w:val="28"/>
          <w:lang w:val="uk-UA"/>
        </w:rPr>
        <w:t xml:space="preserve"> </w:t>
      </w:r>
      <w:r>
        <w:rPr>
          <w:rFonts w:cstheme="minorHAnsi"/>
          <w:sz w:val="28"/>
          <w:szCs w:val="28"/>
          <w:lang w:val="uk-UA"/>
        </w:rPr>
        <w:t>проводилося методом імуноферментного аналізу.</w:t>
      </w:r>
    </w:p>
    <w:p w:rsidR="006B4867" w:rsidRDefault="006B4867" w:rsidP="006B4867">
      <w:pPr>
        <w:spacing w:line="360" w:lineRule="auto"/>
        <w:ind w:firstLine="709"/>
        <w:jc w:val="both"/>
        <w:rPr>
          <w:rFonts w:cstheme="minorHAnsi"/>
          <w:sz w:val="28"/>
          <w:szCs w:val="28"/>
          <w:lang w:val="uk-UA"/>
        </w:rPr>
      </w:pPr>
      <w:r>
        <w:rPr>
          <w:rFonts w:cstheme="minorHAnsi"/>
          <w:sz w:val="28"/>
          <w:szCs w:val="28"/>
          <w:lang w:val="uk-UA"/>
        </w:rPr>
        <w:t xml:space="preserve">6. Статистичні методи </w:t>
      </w:r>
      <w:r w:rsidRPr="00A011EA">
        <w:rPr>
          <w:rFonts w:cstheme="minorHAnsi"/>
          <w:sz w:val="28"/>
          <w:szCs w:val="28"/>
          <w:lang w:val="uk-UA"/>
        </w:rPr>
        <w:t>проводили за допомогою пакету статистичних програм Statistica 6.0.</w:t>
      </w:r>
      <w:r>
        <w:rPr>
          <w:rFonts w:cstheme="minorHAnsi"/>
          <w:sz w:val="28"/>
          <w:szCs w:val="28"/>
          <w:lang w:val="uk-UA"/>
        </w:rPr>
        <w:t>, що включали параметричні (</w:t>
      </w:r>
      <w:r w:rsidRPr="005B1F5D">
        <w:rPr>
          <w:rFonts w:cstheme="minorHAnsi"/>
          <w:sz w:val="28"/>
          <w:szCs w:val="28"/>
          <w:lang w:val="uk-UA"/>
        </w:rPr>
        <w:t>блок базових статистик</w:t>
      </w:r>
      <w:r>
        <w:rPr>
          <w:rFonts w:cstheme="minorHAnsi"/>
          <w:sz w:val="28"/>
          <w:szCs w:val="28"/>
          <w:lang w:val="uk-UA"/>
        </w:rPr>
        <w:t>,</w:t>
      </w:r>
      <w:r w:rsidRPr="005B1F5D">
        <w:rPr>
          <w:rFonts w:cstheme="minorHAnsi"/>
          <w:sz w:val="28"/>
          <w:szCs w:val="28"/>
          <w:lang w:val="uk-UA"/>
        </w:rPr>
        <w:t xml:space="preserve"> </w:t>
      </w:r>
      <w:r>
        <w:rPr>
          <w:rFonts w:cstheme="minorHAnsi"/>
          <w:sz w:val="28"/>
          <w:szCs w:val="28"/>
          <w:lang w:val="uk-UA"/>
        </w:rPr>
        <w:t>о</w:t>
      </w:r>
      <w:r w:rsidRPr="005B1F5D">
        <w:rPr>
          <w:rFonts w:cstheme="minorHAnsi"/>
          <w:sz w:val="28"/>
          <w:szCs w:val="28"/>
          <w:lang w:val="uk-UA"/>
        </w:rPr>
        <w:t>цінку значимостей відмінностей середніх проводили за допомогою ANOVA</w:t>
      </w:r>
      <w:r>
        <w:rPr>
          <w:rFonts w:cstheme="minorHAnsi"/>
          <w:sz w:val="28"/>
          <w:szCs w:val="28"/>
          <w:lang w:val="uk-UA"/>
        </w:rPr>
        <w:t>) та непараметричні (</w:t>
      </w:r>
      <w:r w:rsidRPr="005B1F5D">
        <w:rPr>
          <w:rFonts w:cstheme="minorHAnsi"/>
          <w:sz w:val="28"/>
          <w:szCs w:val="28"/>
          <w:lang w:val="uk-UA"/>
        </w:rPr>
        <w:t>Хі квадрат</w:t>
      </w:r>
      <w:r>
        <w:rPr>
          <w:rFonts w:cstheme="minorHAnsi"/>
          <w:sz w:val="28"/>
          <w:szCs w:val="28"/>
          <w:lang w:val="uk-UA"/>
        </w:rPr>
        <w:t>,</w:t>
      </w:r>
      <w:r w:rsidRPr="005B1F5D">
        <w:rPr>
          <w:rFonts w:cstheme="minorHAnsi"/>
          <w:sz w:val="28"/>
          <w:szCs w:val="28"/>
          <w:lang w:val="uk-UA"/>
        </w:rPr>
        <w:t xml:space="preserve"> пр</w:t>
      </w:r>
      <w:r>
        <w:rPr>
          <w:rFonts w:cstheme="minorHAnsi"/>
          <w:sz w:val="28"/>
          <w:szCs w:val="28"/>
          <w:lang w:val="uk-UA"/>
        </w:rPr>
        <w:t>и необхідності з поправкою Йеті, критерій Фішера) методи; при факторному аналізі в</w:t>
      </w:r>
      <w:r w:rsidRPr="005B1F5D">
        <w:rPr>
          <w:rFonts w:cstheme="minorHAnsi"/>
          <w:sz w:val="28"/>
          <w:szCs w:val="28"/>
          <w:lang w:val="uk-UA"/>
        </w:rPr>
        <w:t>икор</w:t>
      </w:r>
      <w:r>
        <w:rPr>
          <w:rFonts w:cstheme="minorHAnsi"/>
          <w:sz w:val="28"/>
          <w:szCs w:val="28"/>
          <w:lang w:val="uk-UA"/>
        </w:rPr>
        <w:t>истовувався тип обертання - варімакс нормалізований.</w:t>
      </w:r>
    </w:p>
    <w:p w:rsidR="006B4867" w:rsidRDefault="006B4867" w:rsidP="006B4867">
      <w:pPr>
        <w:spacing w:line="360" w:lineRule="auto"/>
        <w:ind w:firstLine="709"/>
        <w:jc w:val="both"/>
        <w:rPr>
          <w:sz w:val="28"/>
          <w:szCs w:val="28"/>
          <w:lang w:val="uk-UA"/>
        </w:rPr>
      </w:pPr>
      <w:r>
        <w:rPr>
          <w:rFonts w:cstheme="minorHAnsi"/>
          <w:sz w:val="28"/>
          <w:szCs w:val="28"/>
          <w:lang w:val="uk-UA"/>
        </w:rPr>
        <w:t xml:space="preserve">Лікування хворих </w:t>
      </w:r>
      <w:r>
        <w:rPr>
          <w:sz w:val="28"/>
          <w:lang w:val="uk-UA"/>
        </w:rPr>
        <w:t xml:space="preserve">на ХП проводилось згідно рекомендацій </w:t>
      </w:r>
      <w:r>
        <w:rPr>
          <w:rFonts w:ascii="Times New Roman" w:eastAsia="Times New Roman" w:hAnsi="Times New Roman" w:cs="Times New Roman"/>
          <w:bCs/>
          <w:color w:val="000000" w:themeColor="text1"/>
          <w:kern w:val="36"/>
          <w:sz w:val="28"/>
          <w:szCs w:val="28"/>
          <w:lang w:val="uk-UA" w:eastAsia="ru-RU"/>
        </w:rPr>
        <w:t>адаптованої клінічної настанови з кращої діагностики, лікування та профілактики інфекцій сечової системи</w:t>
      </w:r>
      <w:r>
        <w:rPr>
          <w:sz w:val="28"/>
          <w:lang w:val="uk-UA"/>
        </w:rPr>
        <w:t xml:space="preserve"> Української асоціації нефрологів (2012р)</w:t>
      </w:r>
      <w:r w:rsidRPr="00E803C3">
        <w:rPr>
          <w:rFonts w:cstheme="minorHAnsi"/>
          <w:sz w:val="28"/>
          <w:szCs w:val="28"/>
          <w:lang w:val="uk-UA"/>
        </w:rPr>
        <w:t xml:space="preserve"> </w:t>
      </w:r>
      <w:r w:rsidRPr="00C35AA2">
        <w:rPr>
          <w:rFonts w:cstheme="minorHAnsi"/>
          <w:sz w:val="28"/>
          <w:szCs w:val="28"/>
          <w:lang w:val="uk-UA"/>
        </w:rPr>
        <w:t>[</w:t>
      </w:r>
      <w:r>
        <w:rPr>
          <w:spacing w:val="1"/>
          <w:sz w:val="28"/>
          <w:szCs w:val="28"/>
          <w:lang w:val="uk-UA"/>
        </w:rPr>
        <w:t>3</w:t>
      </w:r>
      <w:r w:rsidRPr="00C35AA2">
        <w:rPr>
          <w:rFonts w:cstheme="minorHAnsi"/>
          <w:sz w:val="28"/>
          <w:szCs w:val="28"/>
          <w:lang w:val="uk-UA"/>
        </w:rPr>
        <w:t>]</w:t>
      </w:r>
      <w:r>
        <w:rPr>
          <w:sz w:val="28"/>
          <w:lang w:val="uk-UA"/>
        </w:rPr>
        <w:t xml:space="preserve">. В залежності від виду емпіричного АБП, хворі були розподілені на 4 групи: група А (40 осіб) – отримали фторхінолон </w:t>
      </w:r>
      <w:r>
        <w:rPr>
          <w:rFonts w:cstheme="minorHAnsi"/>
          <w:sz w:val="28"/>
          <w:lang w:val="uk-UA"/>
        </w:rPr>
        <w:t>II</w:t>
      </w:r>
      <w:r>
        <w:rPr>
          <w:sz w:val="28"/>
          <w:lang w:val="uk-UA"/>
        </w:rPr>
        <w:t xml:space="preserve"> або </w:t>
      </w:r>
      <w:r>
        <w:rPr>
          <w:rFonts w:cstheme="minorHAnsi"/>
          <w:sz w:val="28"/>
          <w:lang w:val="uk-UA"/>
        </w:rPr>
        <w:t>III</w:t>
      </w:r>
      <w:r>
        <w:rPr>
          <w:sz w:val="28"/>
          <w:lang w:val="uk-UA"/>
        </w:rPr>
        <w:t xml:space="preserve"> генерації, група В (42 особа) – цефалоспорин  </w:t>
      </w:r>
      <w:r>
        <w:rPr>
          <w:rFonts w:cstheme="minorHAnsi"/>
          <w:sz w:val="28"/>
          <w:lang w:val="uk-UA"/>
        </w:rPr>
        <w:t>II</w:t>
      </w:r>
      <w:r>
        <w:rPr>
          <w:sz w:val="28"/>
          <w:lang w:val="uk-UA"/>
        </w:rPr>
        <w:t xml:space="preserve">, </w:t>
      </w:r>
      <w:r>
        <w:rPr>
          <w:rFonts w:cstheme="minorHAnsi"/>
          <w:sz w:val="28"/>
          <w:lang w:val="uk-UA"/>
        </w:rPr>
        <w:t xml:space="preserve">III або IV поколінь, група С (23 осіб) – комбінацію фторхінолон/цефалоспорин. </w:t>
      </w:r>
      <w:r>
        <w:rPr>
          <w:sz w:val="28"/>
          <w:lang w:val="uk-UA"/>
        </w:rPr>
        <w:t xml:space="preserve"> </w:t>
      </w:r>
    </w:p>
    <w:p w:rsidR="006B4867" w:rsidRDefault="006B4867" w:rsidP="006B4867">
      <w:pPr>
        <w:spacing w:after="0" w:line="360" w:lineRule="auto"/>
        <w:ind w:firstLine="709"/>
        <w:jc w:val="both"/>
        <w:rPr>
          <w:rFonts w:cstheme="minorHAnsi"/>
          <w:sz w:val="28"/>
          <w:szCs w:val="28"/>
          <w:lang w:val="uk-UA"/>
        </w:rPr>
      </w:pPr>
      <w:r>
        <w:rPr>
          <w:sz w:val="28"/>
          <w:szCs w:val="28"/>
          <w:lang w:val="uk-UA"/>
        </w:rPr>
        <w:t xml:space="preserve">В першу чергу ми вивчили поширеність плазмід-індукованих механізмів резистентності серед хворих на хронічний пієлонефрит і супутній ЦД 2 типу та визначили основні </w:t>
      </w:r>
      <w:r>
        <w:rPr>
          <w:rFonts w:cstheme="minorHAnsi"/>
          <w:sz w:val="28"/>
          <w:szCs w:val="28"/>
          <w:lang w:val="uk-UA"/>
        </w:rPr>
        <w:t xml:space="preserve">види бактерій з наявністю плазмідних генів резистентності (глава 3, розділ 3.1). </w:t>
      </w:r>
    </w:p>
    <w:p w:rsidR="006B4867" w:rsidRDefault="006B4867" w:rsidP="006B4867">
      <w:pPr>
        <w:spacing w:after="0" w:line="360" w:lineRule="auto"/>
        <w:ind w:firstLine="709"/>
        <w:jc w:val="both"/>
        <w:rPr>
          <w:rFonts w:cstheme="minorHAnsi"/>
          <w:color w:val="000000" w:themeColor="text1"/>
          <w:sz w:val="28"/>
          <w:szCs w:val="28"/>
          <w:lang w:val="uk-UA"/>
        </w:rPr>
      </w:pPr>
      <w:r>
        <w:rPr>
          <w:rFonts w:cstheme="minorHAnsi"/>
          <w:sz w:val="28"/>
          <w:szCs w:val="28"/>
          <w:lang w:val="uk-UA"/>
        </w:rPr>
        <w:t xml:space="preserve">Згідно отриманих нами даних, </w:t>
      </w:r>
      <w:r>
        <w:rPr>
          <w:rFonts w:cstheme="minorHAnsi"/>
          <w:color w:val="000000" w:themeColor="text1"/>
          <w:sz w:val="28"/>
          <w:szCs w:val="28"/>
          <w:lang w:val="uk-UA"/>
        </w:rPr>
        <w:t xml:space="preserve">поширеність плазмід-індукованих механізмів резистентності серед хворих на ХП складає 29,5%. </w:t>
      </w:r>
      <w:r>
        <w:rPr>
          <w:rFonts w:cstheme="minorHAnsi"/>
          <w:color w:val="000000" w:themeColor="text1"/>
          <w:sz w:val="28"/>
          <w:szCs w:val="28"/>
          <w:lang w:val="uk-UA"/>
        </w:rPr>
        <w:lastRenderedPageBreak/>
        <w:t>Розповсюдження плазмідних генів резистентності до β-лактамів, пов’язаних з виробленням β</w:t>
      </w:r>
      <w:r>
        <w:rPr>
          <w:rFonts w:eastAsia="Times New Roman" w:cstheme="minorHAnsi"/>
          <w:color w:val="000000"/>
          <w:sz w:val="28"/>
          <w:szCs w:val="28"/>
          <w:lang w:val="uk-UA" w:eastAsia="ru-RU"/>
        </w:rPr>
        <w:t>-лактамаз розширеного спектру дії (</w:t>
      </w:r>
      <w:r>
        <w:rPr>
          <w:rFonts w:cstheme="minorHAnsi"/>
          <w:color w:val="000000" w:themeColor="text1"/>
          <w:sz w:val="28"/>
          <w:szCs w:val="28"/>
          <w:lang w:val="uk-UA"/>
        </w:rPr>
        <w:t>β</w:t>
      </w:r>
      <w:r w:rsidRPr="005F2E25">
        <w:rPr>
          <w:rFonts w:eastAsia="Times New Roman" w:cstheme="minorHAnsi"/>
          <w:color w:val="000000"/>
          <w:sz w:val="28"/>
          <w:szCs w:val="28"/>
          <w:lang w:val="uk-UA" w:eastAsia="ru-RU"/>
        </w:rPr>
        <w:t>ЛР</w:t>
      </w:r>
      <w:r>
        <w:rPr>
          <w:rFonts w:eastAsia="Times New Roman" w:cstheme="minorHAnsi"/>
          <w:color w:val="000000"/>
          <w:sz w:val="28"/>
          <w:szCs w:val="28"/>
          <w:lang w:val="uk-UA" w:eastAsia="ru-RU"/>
        </w:rPr>
        <w:t xml:space="preserve">С) становило 19%, генів резистентності до фторхінолонів – 9%, у 2% хворих виявилася комбінація </w:t>
      </w:r>
      <w:r>
        <w:rPr>
          <w:rFonts w:eastAsia="Times New Roman" w:cstheme="minorHAnsi"/>
          <w:color w:val="000000"/>
          <w:sz w:val="28"/>
          <w:szCs w:val="28"/>
          <w:lang w:eastAsia="ru-RU"/>
        </w:rPr>
        <w:t>β</w:t>
      </w:r>
      <w:r w:rsidRPr="005F2E25">
        <w:rPr>
          <w:rFonts w:eastAsia="Times New Roman" w:cstheme="minorHAnsi"/>
          <w:color w:val="000000"/>
          <w:sz w:val="28"/>
          <w:szCs w:val="28"/>
          <w:lang w:val="uk-UA" w:eastAsia="ru-RU"/>
        </w:rPr>
        <w:t>ЛР</w:t>
      </w:r>
      <w:r>
        <w:rPr>
          <w:rFonts w:eastAsia="Times New Roman" w:cstheme="minorHAnsi"/>
          <w:color w:val="000000"/>
          <w:sz w:val="28"/>
          <w:szCs w:val="28"/>
          <w:lang w:val="uk-UA" w:eastAsia="ru-RU"/>
        </w:rPr>
        <w:t xml:space="preserve">С і генів резистентності до фторхінолонів. </w:t>
      </w:r>
      <w:r>
        <w:rPr>
          <w:rFonts w:cstheme="minorHAnsi"/>
          <w:color w:val="000000" w:themeColor="text1"/>
          <w:sz w:val="28"/>
          <w:szCs w:val="28"/>
          <w:lang w:val="uk-UA"/>
        </w:rPr>
        <w:t xml:space="preserve">У хворих на ХП із супутнім ЦД 2 типу частота виявлення плазмід-індукованих механізмів резистентності дещо вища і становить 31,5% (23/73), тоді як у пацієнтів без діабету – 25% (8/32), проте достовірних відмінностей між групами не виявлено. По виявляємості домінували βЛРС як у пацієнтів із ХП і супутнім ЦД 2 типу, так і без останнього, хоча розповсюдженість плазмідних генів стійкості до фторхінолонів теж була доволі висока (11% (8/73) – для І групи, 6/32 (19%) – для ІІ групи). </w:t>
      </w:r>
    </w:p>
    <w:p w:rsidR="006B4867" w:rsidRPr="00A85E71" w:rsidRDefault="006B4867" w:rsidP="006B4867">
      <w:pPr>
        <w:spacing w:after="0" w:line="360" w:lineRule="auto"/>
        <w:ind w:firstLine="709"/>
        <w:jc w:val="both"/>
        <w:rPr>
          <w:sz w:val="28"/>
          <w:szCs w:val="28"/>
          <w:lang w:val="uk-UA"/>
        </w:rPr>
      </w:pPr>
      <w:r>
        <w:rPr>
          <w:rFonts w:eastAsia="Times New Roman" w:cstheme="minorHAnsi"/>
          <w:color w:val="000000"/>
          <w:sz w:val="28"/>
          <w:szCs w:val="28"/>
          <w:lang w:val="uk-UA" w:eastAsia="ru-RU"/>
        </w:rPr>
        <w:t xml:space="preserve">Отже, спостерігається висока розповсюдженість плазмідних генів стійкості серед хворих на ХП, особливо у пацієнтів із супутнім ЦД 2 типу, що, можливо, є однією із причин зниження ефективності лікування пієлонефриту, оскільки </w:t>
      </w:r>
      <w:r>
        <w:rPr>
          <w:rFonts w:cstheme="minorHAnsi"/>
          <w:color w:val="000000" w:themeColor="text1"/>
          <w:sz w:val="28"/>
          <w:szCs w:val="28"/>
          <w:lang w:val="uk-UA"/>
        </w:rPr>
        <w:t>за даними офіційного реєстру хворих з ХХН в Україні за 2012 рік саме ХП в структурі причин ХХН V ст. займає провідну позицію [8].</w:t>
      </w:r>
      <w:r>
        <w:rPr>
          <w:sz w:val="28"/>
          <w:szCs w:val="28"/>
          <w:lang w:val="uk-UA"/>
        </w:rPr>
        <w:t xml:space="preserve"> У порівнянні з даними дослідження </w:t>
      </w:r>
      <w:r w:rsidRPr="00A85E71">
        <w:rPr>
          <w:rFonts w:cstheme="minorHAnsi"/>
          <w:color w:val="000000" w:themeColor="text1"/>
          <w:sz w:val="28"/>
          <w:szCs w:val="28"/>
          <w:lang w:val="en-US"/>
        </w:rPr>
        <w:t>SENTRY</w:t>
      </w:r>
      <w:r>
        <w:rPr>
          <w:rFonts w:cstheme="minorHAnsi"/>
          <w:color w:val="000000" w:themeColor="text1"/>
          <w:sz w:val="28"/>
          <w:szCs w:val="28"/>
          <w:lang w:val="uk-UA"/>
        </w:rPr>
        <w:t xml:space="preserve"> [</w:t>
      </w:r>
      <w:r w:rsidRPr="00332028">
        <w:rPr>
          <w:color w:val="000000" w:themeColor="text1"/>
          <w:sz w:val="28"/>
          <w:szCs w:val="28"/>
          <w:lang w:val="uk-UA"/>
        </w:rPr>
        <w:t>29</w:t>
      </w:r>
      <w:r>
        <w:rPr>
          <w:rFonts w:cstheme="minorHAnsi"/>
          <w:color w:val="000000" w:themeColor="text1"/>
          <w:sz w:val="28"/>
          <w:szCs w:val="28"/>
          <w:lang w:val="uk-UA"/>
        </w:rPr>
        <w:t xml:space="preserve">], де виявляємість плазмід-індукованих механізмів резистентності становила 6,4%, в нашому дослідженні спостерігається більш висока частота виявлення – 29,5%. Однак, </w:t>
      </w:r>
      <w:r w:rsidRPr="00960B65">
        <w:rPr>
          <w:rFonts w:eastAsia="Times New Roman" w:cstheme="minorHAnsi"/>
          <w:color w:val="000000" w:themeColor="text1"/>
          <w:sz w:val="28"/>
          <w:szCs w:val="28"/>
          <w:lang w:val="en-US" w:eastAsia="ru-RU"/>
        </w:rPr>
        <w:t>Sharma</w:t>
      </w:r>
      <w:r w:rsidRPr="00CF4D38">
        <w:rPr>
          <w:rFonts w:eastAsia="Times New Roman" w:cstheme="minorHAnsi"/>
          <w:color w:val="000000" w:themeColor="text1"/>
          <w:sz w:val="28"/>
          <w:szCs w:val="28"/>
          <w:lang w:val="uk-UA" w:eastAsia="ru-RU"/>
        </w:rPr>
        <w:t xml:space="preserve"> </w:t>
      </w:r>
      <w:r w:rsidRPr="00960B65">
        <w:rPr>
          <w:rFonts w:eastAsia="Times New Roman" w:cstheme="minorHAnsi"/>
          <w:color w:val="000000" w:themeColor="text1"/>
          <w:sz w:val="28"/>
          <w:szCs w:val="28"/>
          <w:lang w:val="en-US" w:eastAsia="ru-RU"/>
        </w:rPr>
        <w:t>M</w:t>
      </w:r>
      <w:r>
        <w:rPr>
          <w:lang w:val="uk-UA"/>
        </w:rPr>
        <w:t xml:space="preserve"> </w:t>
      </w:r>
      <w:r>
        <w:rPr>
          <w:sz w:val="28"/>
          <w:szCs w:val="28"/>
          <w:lang w:val="uk-UA"/>
        </w:rPr>
        <w:t xml:space="preserve">та соавт. звітують о 52% виявляємості </w:t>
      </w:r>
      <w:r>
        <w:rPr>
          <w:rFonts w:cstheme="minorHAnsi"/>
          <w:color w:val="000000" w:themeColor="text1"/>
          <w:sz w:val="28"/>
          <w:szCs w:val="28"/>
          <w:lang w:val="uk-UA"/>
        </w:rPr>
        <w:t xml:space="preserve">плазмід-індукованих механізмів резистентності серед пацієнтів із ХП </w:t>
      </w:r>
      <w:r>
        <w:rPr>
          <w:rFonts w:cstheme="minorHAnsi"/>
          <w:sz w:val="28"/>
          <w:szCs w:val="28"/>
          <w:lang w:val="uk-UA"/>
        </w:rPr>
        <w:t>[</w:t>
      </w:r>
      <w:r w:rsidRPr="00332028">
        <w:rPr>
          <w:rFonts w:eastAsia="Times New Roman" w:cstheme="minorHAnsi"/>
          <w:color w:val="000000" w:themeColor="text1"/>
          <w:sz w:val="28"/>
          <w:szCs w:val="28"/>
          <w:lang w:val="uk-UA" w:eastAsia="ru-RU"/>
        </w:rPr>
        <w:t>108</w:t>
      </w:r>
      <w:r>
        <w:rPr>
          <w:rFonts w:cstheme="minorHAnsi"/>
          <w:sz w:val="28"/>
          <w:szCs w:val="28"/>
          <w:lang w:val="uk-UA"/>
        </w:rPr>
        <w:t>]</w:t>
      </w:r>
      <w:r>
        <w:rPr>
          <w:rFonts w:cstheme="minorHAnsi"/>
          <w:color w:val="000000" w:themeColor="text1"/>
          <w:sz w:val="28"/>
          <w:szCs w:val="28"/>
          <w:lang w:val="uk-UA"/>
        </w:rPr>
        <w:t xml:space="preserve">, що підтверджує варіабельність даних щодо поширеності плазмід-індукованих механізмів резистентності між країнами, можливо внаслідок активності плазмід, та необхідності подальших досліджень у цьому напрямку </w:t>
      </w:r>
      <w:r w:rsidRPr="00CF4D38">
        <w:rPr>
          <w:rFonts w:cstheme="minorHAnsi"/>
          <w:color w:val="000000" w:themeColor="text1"/>
          <w:sz w:val="28"/>
          <w:szCs w:val="28"/>
          <w:lang w:val="uk-UA"/>
        </w:rPr>
        <w:t>з метою запобігання поширенню резистентності</w:t>
      </w:r>
      <w:r>
        <w:rPr>
          <w:rFonts w:cstheme="minorHAnsi"/>
          <w:color w:val="000000" w:themeColor="text1"/>
          <w:sz w:val="28"/>
          <w:szCs w:val="28"/>
          <w:lang w:val="uk-UA"/>
        </w:rPr>
        <w:t xml:space="preserve">.  </w:t>
      </w:r>
    </w:p>
    <w:p w:rsidR="006B4867" w:rsidRDefault="006B4867" w:rsidP="006B4867">
      <w:pPr>
        <w:spacing w:after="0" w:line="360" w:lineRule="auto"/>
        <w:ind w:firstLine="709"/>
        <w:jc w:val="both"/>
        <w:rPr>
          <w:rFonts w:cstheme="minorHAnsi"/>
          <w:color w:val="000000" w:themeColor="text1"/>
          <w:sz w:val="28"/>
          <w:szCs w:val="28"/>
          <w:lang w:val="uk-UA"/>
        </w:rPr>
      </w:pPr>
      <w:r w:rsidRPr="00BF711B">
        <w:rPr>
          <w:rFonts w:eastAsia="Times New Roman" w:cstheme="minorHAnsi"/>
          <w:sz w:val="28"/>
          <w:szCs w:val="28"/>
          <w:lang w:val="en-US" w:eastAsia="ru-RU"/>
        </w:rPr>
        <w:t>Longhi</w:t>
      </w:r>
      <w:r w:rsidRPr="003A3BF3">
        <w:rPr>
          <w:rFonts w:eastAsia="Times New Roman" w:cstheme="minorHAnsi"/>
          <w:sz w:val="28"/>
          <w:szCs w:val="28"/>
          <w:lang w:val="uk-UA" w:eastAsia="ru-RU"/>
        </w:rPr>
        <w:t xml:space="preserve"> </w:t>
      </w:r>
      <w:r w:rsidRPr="00BF711B">
        <w:rPr>
          <w:rFonts w:eastAsia="Times New Roman" w:cstheme="minorHAnsi"/>
          <w:sz w:val="28"/>
          <w:szCs w:val="28"/>
          <w:lang w:val="en-US" w:eastAsia="ru-RU"/>
        </w:rPr>
        <w:t>C</w:t>
      </w:r>
      <w:r w:rsidRPr="00BF711B">
        <w:rPr>
          <w:sz w:val="28"/>
          <w:szCs w:val="28"/>
          <w:lang w:val="uk-UA"/>
        </w:rPr>
        <w:t xml:space="preserve"> </w:t>
      </w:r>
      <w:r>
        <w:rPr>
          <w:sz w:val="28"/>
          <w:szCs w:val="28"/>
          <w:lang w:val="uk-UA"/>
        </w:rPr>
        <w:t xml:space="preserve">та соавт. у своєму дослідженні демонструють такі рівні плазмід-індукованої резистентності до фторхінолонів: 11% для амбулаторних пацієнтів з ІСС та 21% - для госпіталізованих </w:t>
      </w:r>
      <w:r w:rsidRPr="00332028">
        <w:rPr>
          <w:rFonts w:cstheme="minorHAnsi"/>
          <w:sz w:val="28"/>
          <w:szCs w:val="28"/>
          <w:lang w:val="uk-UA"/>
        </w:rPr>
        <w:t>[</w:t>
      </w:r>
      <w:r w:rsidRPr="00332028">
        <w:rPr>
          <w:rFonts w:eastAsia="Times New Roman" w:cstheme="minorHAnsi"/>
          <w:sz w:val="28"/>
          <w:szCs w:val="28"/>
          <w:lang w:val="uk-UA" w:eastAsia="ru-RU"/>
        </w:rPr>
        <w:t>74].</w:t>
      </w:r>
      <w:r>
        <w:rPr>
          <w:rFonts w:eastAsia="Times New Roman" w:cstheme="minorHAnsi"/>
          <w:sz w:val="28"/>
          <w:szCs w:val="28"/>
          <w:lang w:val="uk-UA" w:eastAsia="ru-RU"/>
        </w:rPr>
        <w:t xml:space="preserve"> </w:t>
      </w:r>
      <w:r>
        <w:rPr>
          <w:rFonts w:cstheme="minorHAnsi"/>
          <w:color w:val="000000" w:themeColor="text1"/>
          <w:sz w:val="28"/>
          <w:szCs w:val="28"/>
          <w:lang w:val="uk-UA"/>
        </w:rPr>
        <w:t>Крім того, поширеність генів резистентності щорічно зростає завдяки високій активності мобільних генетичних елементів – плазмід [</w:t>
      </w:r>
      <w:r w:rsidRPr="00332028">
        <w:rPr>
          <w:rFonts w:cstheme="minorHAnsi"/>
          <w:bCs/>
          <w:iCs/>
          <w:sz w:val="28"/>
          <w:szCs w:val="28"/>
          <w:lang w:val="uk-UA"/>
        </w:rPr>
        <w:t>38</w:t>
      </w:r>
      <w:r>
        <w:rPr>
          <w:rFonts w:cstheme="minorHAnsi"/>
          <w:color w:val="000000" w:themeColor="text1"/>
          <w:sz w:val="28"/>
          <w:szCs w:val="28"/>
          <w:lang w:val="uk-UA"/>
        </w:rPr>
        <w:t xml:space="preserve">]. </w:t>
      </w:r>
    </w:p>
    <w:p w:rsidR="006B4867" w:rsidRDefault="006B4867" w:rsidP="006B4867">
      <w:pPr>
        <w:spacing w:after="0"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lastRenderedPageBreak/>
        <w:t xml:space="preserve">Цукровий діабет, по даним різних авторів, є незалежним фактором ризику, що сприяє колонізації сечової системи бактеріями з плазмідними механізмами резистентності. Так, </w:t>
      </w:r>
      <w:r w:rsidRPr="004D03A7">
        <w:rPr>
          <w:rFonts w:ascii="Times New Roman" w:hAnsi="Times New Roman" w:cs="Times New Roman"/>
          <w:color w:val="000000"/>
          <w:sz w:val="28"/>
          <w:szCs w:val="28"/>
          <w:lang w:val="en-US"/>
        </w:rPr>
        <w:t>Freeman</w:t>
      </w:r>
      <w:r w:rsidRPr="00356FCA">
        <w:rPr>
          <w:rFonts w:ascii="Times New Roman" w:hAnsi="Times New Roman" w:cs="Times New Roman"/>
          <w:color w:val="000000"/>
          <w:sz w:val="28"/>
          <w:szCs w:val="28"/>
          <w:lang w:val="uk-UA"/>
        </w:rPr>
        <w:t xml:space="preserve"> </w:t>
      </w:r>
      <w:r w:rsidRPr="004D03A7">
        <w:rPr>
          <w:rFonts w:ascii="Times New Roman" w:hAnsi="Times New Roman" w:cs="Times New Roman"/>
          <w:color w:val="000000"/>
          <w:sz w:val="28"/>
          <w:szCs w:val="28"/>
          <w:lang w:val="en-US"/>
        </w:rPr>
        <w:t>JT</w:t>
      </w:r>
      <w:r>
        <w:rPr>
          <w:rFonts w:ascii="Times New Roman" w:hAnsi="Times New Roman" w:cs="Times New Roman"/>
          <w:color w:val="000000"/>
          <w:sz w:val="28"/>
          <w:szCs w:val="28"/>
          <w:lang w:val="uk-UA"/>
        </w:rPr>
        <w:t xml:space="preserve"> та співавт., продемонстрували</w:t>
      </w:r>
      <w:r>
        <w:rPr>
          <w:sz w:val="28"/>
          <w:szCs w:val="28"/>
          <w:lang w:val="uk-UA"/>
        </w:rPr>
        <w:t xml:space="preserve"> високу питому вагу плазмідних генів резистентності саме серед хворих із ЦД (23,9%)</w:t>
      </w:r>
      <w:r>
        <w:rPr>
          <w:rFonts w:cstheme="minorHAnsi"/>
          <w:color w:val="000000" w:themeColor="text1"/>
          <w:sz w:val="28"/>
          <w:szCs w:val="28"/>
          <w:lang w:val="uk-UA"/>
        </w:rPr>
        <w:t xml:space="preserve"> [</w:t>
      </w:r>
      <w:r>
        <w:rPr>
          <w:rFonts w:ascii="Times New Roman" w:hAnsi="Times New Roman" w:cs="Times New Roman"/>
          <w:color w:val="000000"/>
          <w:sz w:val="28"/>
          <w:szCs w:val="28"/>
          <w:lang w:val="uk-UA"/>
        </w:rPr>
        <w:t>45</w:t>
      </w:r>
      <w:r>
        <w:rPr>
          <w:rFonts w:cstheme="minorHAnsi"/>
          <w:color w:val="000000" w:themeColor="text1"/>
          <w:sz w:val="28"/>
          <w:szCs w:val="28"/>
          <w:lang w:val="uk-UA"/>
        </w:rPr>
        <w:t xml:space="preserve">]. Поширеність плазмідних генів резистентності серед хворих на ХП і ЦД, по даним </w:t>
      </w:r>
      <w:r w:rsidRPr="000E212D">
        <w:rPr>
          <w:rFonts w:cstheme="minorHAnsi"/>
          <w:sz w:val="28"/>
          <w:szCs w:val="28"/>
          <w:bdr w:val="none" w:sz="0" w:space="0" w:color="auto" w:frame="1"/>
          <w:shd w:val="clear" w:color="auto" w:fill="FFFFFF"/>
          <w:lang w:val="en-US"/>
        </w:rPr>
        <w:t>Kang</w:t>
      </w:r>
      <w:r w:rsidRPr="000E212D">
        <w:rPr>
          <w:rFonts w:cstheme="minorHAnsi"/>
          <w:sz w:val="28"/>
          <w:szCs w:val="28"/>
          <w:bdr w:val="none" w:sz="0" w:space="0" w:color="auto" w:frame="1"/>
          <w:shd w:val="clear" w:color="auto" w:fill="FFFFFF"/>
          <w:lang w:val="uk-UA"/>
        </w:rPr>
        <w:t xml:space="preserve"> </w:t>
      </w:r>
      <w:r w:rsidRPr="000E212D">
        <w:rPr>
          <w:rFonts w:cstheme="minorHAnsi"/>
          <w:sz w:val="28"/>
          <w:szCs w:val="28"/>
          <w:bdr w:val="none" w:sz="0" w:space="0" w:color="auto" w:frame="1"/>
          <w:shd w:val="clear" w:color="auto" w:fill="FFFFFF"/>
          <w:lang w:val="en-US"/>
        </w:rPr>
        <w:t>C</w:t>
      </w:r>
      <w:r>
        <w:rPr>
          <w:rFonts w:cstheme="minorHAnsi"/>
          <w:sz w:val="28"/>
          <w:szCs w:val="28"/>
          <w:bdr w:val="none" w:sz="0" w:space="0" w:color="auto" w:frame="1"/>
          <w:shd w:val="clear" w:color="auto" w:fill="FFFFFF"/>
          <w:lang w:val="uk-UA"/>
        </w:rPr>
        <w:t>.</w:t>
      </w:r>
      <w:r w:rsidRPr="000E212D">
        <w:rPr>
          <w:rFonts w:cstheme="minorHAnsi"/>
          <w:sz w:val="28"/>
          <w:szCs w:val="28"/>
          <w:bdr w:val="none" w:sz="0" w:space="0" w:color="auto" w:frame="1"/>
          <w:shd w:val="clear" w:color="auto" w:fill="FFFFFF"/>
          <w:lang w:val="en-US"/>
        </w:rPr>
        <w:t>I</w:t>
      </w:r>
      <w:r>
        <w:rPr>
          <w:rFonts w:cstheme="minorHAnsi"/>
          <w:color w:val="000000" w:themeColor="text1"/>
          <w:sz w:val="28"/>
          <w:szCs w:val="28"/>
          <w:lang w:val="uk-UA"/>
        </w:rPr>
        <w:t xml:space="preserve">. та соавт., становила </w:t>
      </w:r>
      <w:r>
        <w:rPr>
          <w:sz w:val="28"/>
          <w:szCs w:val="28"/>
          <w:lang w:val="uk-UA"/>
        </w:rPr>
        <w:t>25,9%</w:t>
      </w:r>
      <w:r>
        <w:rPr>
          <w:rFonts w:cstheme="minorHAnsi"/>
          <w:color w:val="000000" w:themeColor="text1"/>
          <w:sz w:val="28"/>
          <w:szCs w:val="28"/>
          <w:lang w:val="uk-UA"/>
        </w:rPr>
        <w:t xml:space="preserve"> [</w:t>
      </w:r>
      <w:r>
        <w:rPr>
          <w:rFonts w:cstheme="minorHAnsi"/>
          <w:sz w:val="28"/>
          <w:szCs w:val="28"/>
          <w:bdr w:val="none" w:sz="0" w:space="0" w:color="auto" w:frame="1"/>
          <w:shd w:val="clear" w:color="auto" w:fill="FFFFFF"/>
          <w:lang w:val="uk-UA"/>
        </w:rPr>
        <w:t>65</w:t>
      </w:r>
      <w:r>
        <w:rPr>
          <w:rFonts w:cstheme="minorHAnsi"/>
          <w:color w:val="000000" w:themeColor="text1"/>
          <w:sz w:val="28"/>
          <w:szCs w:val="28"/>
          <w:lang w:val="uk-UA"/>
        </w:rPr>
        <w:t xml:space="preserve">]. Проте, в нашому дослідженні, виявляємість плазмід-індукованих механізмів резистентності серед пацієнтів із ХП та ЦД 2 типу достовірно не відрізнялась від пацієнтів без діабету, і становила 31,5% Тому, висока поширеність плазмід-індукованих механізмів резистентності серед хворих, що страждають ХП і ЦД 2 типу, з одного боку, підтверджує складність лікування ХП на тлі ЦД 2 типу та необхідність раціоналізації емпіричної АБТ у таких хворих, а з іншого – поглиблює </w:t>
      </w:r>
      <w:r w:rsidRPr="000B18AC">
        <w:rPr>
          <w:rFonts w:cstheme="minorHAnsi"/>
          <w:color w:val="000000" w:themeColor="text1"/>
          <w:sz w:val="28"/>
          <w:szCs w:val="28"/>
          <w:lang w:val="uk-UA"/>
        </w:rPr>
        <w:t xml:space="preserve">розуміння механізмів формування резистентності і </w:t>
      </w:r>
      <w:r>
        <w:rPr>
          <w:rFonts w:cstheme="minorHAnsi"/>
          <w:color w:val="000000" w:themeColor="text1"/>
          <w:sz w:val="28"/>
          <w:szCs w:val="28"/>
          <w:lang w:val="uk-UA"/>
        </w:rPr>
        <w:t xml:space="preserve">дозволяє </w:t>
      </w:r>
      <w:r w:rsidRPr="000B18AC">
        <w:rPr>
          <w:rFonts w:cstheme="minorHAnsi"/>
          <w:color w:val="000000" w:themeColor="text1"/>
          <w:sz w:val="28"/>
          <w:szCs w:val="28"/>
          <w:lang w:val="uk-UA"/>
        </w:rPr>
        <w:t>підійти з нової позиції до підвищення ефективності антибактеріальної терапії.</w:t>
      </w:r>
      <w:r>
        <w:rPr>
          <w:rFonts w:cstheme="minorHAnsi"/>
          <w:color w:val="000000" w:themeColor="text1"/>
          <w:sz w:val="28"/>
          <w:szCs w:val="28"/>
          <w:lang w:val="uk-UA"/>
        </w:rPr>
        <w:t xml:space="preserve"> </w:t>
      </w:r>
    </w:p>
    <w:p w:rsidR="006B4867" w:rsidRDefault="006B4867" w:rsidP="006B4867">
      <w:pPr>
        <w:spacing w:after="0" w:line="360" w:lineRule="auto"/>
        <w:ind w:firstLine="709"/>
        <w:jc w:val="both"/>
        <w:rPr>
          <w:rFonts w:eastAsia="Times New Roman" w:cstheme="minorHAnsi"/>
          <w:sz w:val="28"/>
          <w:szCs w:val="28"/>
          <w:lang w:val="uk-UA" w:eastAsia="ru-RU"/>
        </w:rPr>
      </w:pPr>
      <w:r>
        <w:rPr>
          <w:rFonts w:cstheme="minorHAnsi"/>
          <w:color w:val="000000" w:themeColor="text1"/>
          <w:sz w:val="28"/>
          <w:szCs w:val="28"/>
          <w:lang w:val="uk-UA"/>
        </w:rPr>
        <w:t xml:space="preserve">Щодо розповсюдженості плазмід-індукованих механізмів резистентності серед основних збудників ХП, в нашому дослідженні вона складала 38,3%: 26,1% генів, що кодують βЛРС та 12,3% генів – що опосередковують резистентність до фторхінолонів. </w:t>
      </w:r>
      <w:r w:rsidRPr="00C15DC8">
        <w:rPr>
          <w:rFonts w:eastAsia="Times New Roman" w:cstheme="minorHAnsi"/>
          <w:color w:val="000000"/>
          <w:sz w:val="28"/>
          <w:szCs w:val="28"/>
          <w:lang w:val="uk-UA" w:eastAsia="ru-RU"/>
        </w:rPr>
        <w:t xml:space="preserve">Максимум генів β-лактамаз було виділено у P.mirabilis - 4 (50%), </w:t>
      </w:r>
      <w:r>
        <w:rPr>
          <w:rFonts w:eastAsia="Times New Roman" w:cstheme="minorHAnsi"/>
          <w:color w:val="000000"/>
          <w:sz w:val="28"/>
          <w:szCs w:val="28"/>
          <w:lang w:val="uk-UA" w:eastAsia="ru-RU"/>
        </w:rPr>
        <w:t>виявлення βЛРС в штамах E.</w:t>
      </w:r>
      <w:r w:rsidRPr="00C15DC8">
        <w:rPr>
          <w:rFonts w:eastAsia="Times New Roman" w:cstheme="minorHAnsi"/>
          <w:color w:val="000000"/>
          <w:sz w:val="28"/>
          <w:szCs w:val="28"/>
          <w:lang w:val="uk-UA" w:eastAsia="ru-RU"/>
        </w:rPr>
        <w:t>сoli склала 37,7%</w:t>
      </w:r>
      <w:r>
        <w:rPr>
          <w:rFonts w:eastAsia="Times New Roman" w:cstheme="minorHAnsi"/>
          <w:color w:val="000000"/>
          <w:sz w:val="28"/>
          <w:szCs w:val="28"/>
          <w:lang w:val="uk-UA" w:eastAsia="ru-RU"/>
        </w:rPr>
        <w:t>,</w:t>
      </w:r>
      <w:r w:rsidRPr="00C15DC8">
        <w:rPr>
          <w:rFonts w:eastAsia="Times New Roman" w:cstheme="minorHAnsi"/>
          <w:color w:val="000000"/>
          <w:sz w:val="28"/>
          <w:szCs w:val="28"/>
          <w:lang w:val="uk-UA" w:eastAsia="ru-RU"/>
        </w:rPr>
        <w:t xml:space="preserve"> </w:t>
      </w:r>
      <w:r w:rsidRPr="008229C4">
        <w:rPr>
          <w:rFonts w:cstheme="minorHAnsi"/>
          <w:color w:val="000000"/>
          <w:sz w:val="28"/>
          <w:szCs w:val="28"/>
          <w:lang w:val="en-US"/>
        </w:rPr>
        <w:t>K</w:t>
      </w:r>
      <w:r w:rsidRPr="008229C4">
        <w:rPr>
          <w:rFonts w:cstheme="minorHAnsi"/>
          <w:color w:val="000000"/>
          <w:sz w:val="28"/>
          <w:szCs w:val="28"/>
          <w:lang w:val="uk-UA"/>
        </w:rPr>
        <w:t>.</w:t>
      </w:r>
      <w:r w:rsidRPr="008229C4">
        <w:rPr>
          <w:rFonts w:cstheme="minorHAnsi"/>
          <w:color w:val="000000"/>
          <w:sz w:val="28"/>
          <w:szCs w:val="28"/>
          <w:lang w:val="en-US"/>
        </w:rPr>
        <w:t>pneumoniae</w:t>
      </w:r>
      <w:r w:rsidRPr="00C15DC8">
        <w:rPr>
          <w:rFonts w:eastAsia="Times New Roman" w:cstheme="minorHAnsi"/>
          <w:color w:val="000000"/>
          <w:sz w:val="28"/>
          <w:szCs w:val="28"/>
          <w:lang w:val="uk-UA" w:eastAsia="ru-RU"/>
        </w:rPr>
        <w:t xml:space="preserve"> </w:t>
      </w:r>
      <w:r>
        <w:rPr>
          <w:rFonts w:eastAsia="Times New Roman" w:cstheme="minorHAnsi"/>
          <w:color w:val="000000"/>
          <w:sz w:val="28"/>
          <w:szCs w:val="28"/>
          <w:lang w:val="uk-UA" w:eastAsia="ru-RU"/>
        </w:rPr>
        <w:t xml:space="preserve">– 22,2%. Найбільш поширеними визнані типи </w:t>
      </w:r>
      <w:r>
        <w:rPr>
          <w:rFonts w:cstheme="minorHAnsi"/>
          <w:color w:val="000000" w:themeColor="text1"/>
          <w:sz w:val="28"/>
          <w:szCs w:val="28"/>
          <w:lang w:val="en-US"/>
        </w:rPr>
        <w:t>blaTEM</w:t>
      </w:r>
      <w:r>
        <w:rPr>
          <w:rFonts w:cstheme="minorHAnsi"/>
          <w:color w:val="000000" w:themeColor="text1"/>
          <w:sz w:val="28"/>
          <w:szCs w:val="28"/>
          <w:lang w:val="uk-UA"/>
        </w:rPr>
        <w:t xml:space="preserve"> і </w:t>
      </w:r>
      <w:r>
        <w:rPr>
          <w:rFonts w:cstheme="minorHAnsi"/>
          <w:color w:val="000000" w:themeColor="text1"/>
          <w:sz w:val="28"/>
          <w:szCs w:val="28"/>
          <w:lang w:val="en-US"/>
        </w:rPr>
        <w:t>blaCTX</w:t>
      </w:r>
      <w:r w:rsidRPr="008E6B69">
        <w:rPr>
          <w:rFonts w:cstheme="minorHAnsi"/>
          <w:color w:val="000000" w:themeColor="text1"/>
          <w:sz w:val="28"/>
          <w:szCs w:val="28"/>
          <w:lang w:val="uk-UA"/>
        </w:rPr>
        <w:t>-</w:t>
      </w:r>
      <w:r>
        <w:rPr>
          <w:rFonts w:cstheme="minorHAnsi"/>
          <w:color w:val="000000" w:themeColor="text1"/>
          <w:sz w:val="28"/>
          <w:szCs w:val="28"/>
          <w:lang w:val="en-US"/>
        </w:rPr>
        <w:t>M</w:t>
      </w:r>
      <w:r>
        <w:rPr>
          <w:rFonts w:cstheme="minorHAnsi"/>
          <w:color w:val="000000" w:themeColor="text1"/>
          <w:sz w:val="28"/>
          <w:szCs w:val="28"/>
          <w:lang w:val="uk-UA"/>
        </w:rPr>
        <w:t>.</w:t>
      </w:r>
      <w:r w:rsidRPr="003049D7">
        <w:rPr>
          <w:rFonts w:cstheme="minorHAnsi"/>
          <w:sz w:val="28"/>
          <w:szCs w:val="28"/>
          <w:lang w:val="uk-UA"/>
        </w:rPr>
        <w:t xml:space="preserve"> Найбільше генів резистентності </w:t>
      </w:r>
      <w:r>
        <w:rPr>
          <w:rFonts w:cstheme="minorHAnsi"/>
          <w:sz w:val="28"/>
          <w:szCs w:val="28"/>
          <w:lang w:val="uk-UA"/>
        </w:rPr>
        <w:t xml:space="preserve">до фторхінолонів </w:t>
      </w:r>
      <w:r w:rsidRPr="003049D7">
        <w:rPr>
          <w:rFonts w:cstheme="minorHAnsi"/>
          <w:sz w:val="28"/>
          <w:szCs w:val="28"/>
          <w:lang w:val="uk-UA"/>
        </w:rPr>
        <w:t>було виявлено в штам</w:t>
      </w:r>
      <w:r>
        <w:rPr>
          <w:rFonts w:cstheme="minorHAnsi"/>
          <w:sz w:val="28"/>
          <w:szCs w:val="28"/>
          <w:lang w:val="uk-UA"/>
        </w:rPr>
        <w:t xml:space="preserve">ах </w:t>
      </w:r>
      <w:r w:rsidRPr="003049D7">
        <w:rPr>
          <w:rFonts w:cstheme="minorHAnsi"/>
          <w:color w:val="000000"/>
          <w:sz w:val="28"/>
          <w:szCs w:val="28"/>
          <w:lang w:val="en-US"/>
        </w:rPr>
        <w:t>P</w:t>
      </w:r>
      <w:r w:rsidRPr="003049D7">
        <w:rPr>
          <w:rFonts w:cstheme="minorHAnsi"/>
          <w:color w:val="000000"/>
          <w:sz w:val="28"/>
          <w:szCs w:val="28"/>
          <w:lang w:val="uk-UA"/>
        </w:rPr>
        <w:t>.</w:t>
      </w:r>
      <w:r w:rsidRPr="003049D7">
        <w:rPr>
          <w:rFonts w:cstheme="minorHAnsi"/>
          <w:color w:val="000000"/>
          <w:sz w:val="28"/>
          <w:szCs w:val="28"/>
          <w:lang w:val="en-US"/>
        </w:rPr>
        <w:t>aeruginosa</w:t>
      </w:r>
      <w:r>
        <w:rPr>
          <w:rFonts w:cstheme="minorHAnsi"/>
          <w:color w:val="000000"/>
          <w:sz w:val="28"/>
          <w:szCs w:val="28"/>
          <w:lang w:val="uk-UA"/>
        </w:rPr>
        <w:t xml:space="preserve"> (50%),</w:t>
      </w:r>
      <w:r w:rsidRPr="003049D7">
        <w:rPr>
          <w:rFonts w:cstheme="minorHAnsi"/>
          <w:color w:val="000000"/>
          <w:sz w:val="28"/>
          <w:szCs w:val="28"/>
          <w:lang w:val="uk-UA"/>
        </w:rPr>
        <w:t xml:space="preserve"> </w:t>
      </w:r>
      <w:r>
        <w:rPr>
          <w:rFonts w:cstheme="minorHAnsi"/>
          <w:color w:val="000000"/>
          <w:sz w:val="28"/>
          <w:szCs w:val="28"/>
          <w:lang w:val="en-US"/>
        </w:rPr>
        <w:t>E</w:t>
      </w:r>
      <w:r w:rsidRPr="008F54D8">
        <w:rPr>
          <w:rFonts w:cstheme="minorHAnsi"/>
          <w:color w:val="000000"/>
          <w:sz w:val="28"/>
          <w:szCs w:val="28"/>
          <w:lang w:val="uk-UA"/>
        </w:rPr>
        <w:t>.</w:t>
      </w:r>
      <w:r w:rsidRPr="008F54D8">
        <w:rPr>
          <w:rFonts w:cstheme="minorHAnsi"/>
          <w:color w:val="000000"/>
          <w:sz w:val="28"/>
          <w:szCs w:val="28"/>
          <w:lang w:val="en-US"/>
        </w:rPr>
        <w:t>coli</w:t>
      </w:r>
      <w:r>
        <w:rPr>
          <w:rFonts w:cstheme="minorHAnsi"/>
          <w:color w:val="000000"/>
          <w:sz w:val="28"/>
          <w:szCs w:val="28"/>
          <w:lang w:val="uk-UA"/>
        </w:rPr>
        <w:t xml:space="preserve"> (15,1%) та </w:t>
      </w:r>
      <w:r w:rsidRPr="003049D7">
        <w:rPr>
          <w:rFonts w:cstheme="minorHAnsi"/>
          <w:color w:val="000000"/>
          <w:sz w:val="28"/>
          <w:szCs w:val="28"/>
          <w:lang w:val="en-US"/>
        </w:rPr>
        <w:t>P</w:t>
      </w:r>
      <w:r w:rsidRPr="003049D7">
        <w:rPr>
          <w:rFonts w:cstheme="minorHAnsi"/>
          <w:color w:val="000000"/>
          <w:sz w:val="28"/>
          <w:szCs w:val="28"/>
          <w:lang w:val="uk-UA"/>
        </w:rPr>
        <w:t>.</w:t>
      </w:r>
      <w:r w:rsidRPr="003049D7">
        <w:rPr>
          <w:rFonts w:cstheme="minorHAnsi"/>
          <w:color w:val="000000"/>
          <w:sz w:val="28"/>
          <w:szCs w:val="28"/>
          <w:lang w:val="en-US"/>
        </w:rPr>
        <w:t>mirabilis</w:t>
      </w:r>
      <w:r>
        <w:rPr>
          <w:rFonts w:cstheme="minorHAnsi"/>
          <w:color w:val="000000"/>
          <w:sz w:val="28"/>
          <w:szCs w:val="28"/>
          <w:lang w:val="uk-UA"/>
        </w:rPr>
        <w:t xml:space="preserve"> (12,5%). Домінуючими генами були </w:t>
      </w:r>
      <w:r w:rsidRPr="00F33B37">
        <w:rPr>
          <w:rFonts w:cstheme="minorHAnsi"/>
          <w:sz w:val="28"/>
          <w:szCs w:val="28"/>
          <w:lang w:val="uk-UA"/>
        </w:rPr>
        <w:t>efflux pump QepA</w:t>
      </w:r>
      <w:r>
        <w:rPr>
          <w:rFonts w:cstheme="minorHAnsi"/>
          <w:sz w:val="28"/>
          <w:szCs w:val="28"/>
          <w:lang w:val="uk-UA"/>
        </w:rPr>
        <w:t xml:space="preserve"> та </w:t>
      </w:r>
      <w:r>
        <w:rPr>
          <w:sz w:val="28"/>
          <w:szCs w:val="28"/>
          <w:lang w:val="uk-UA"/>
        </w:rPr>
        <w:t xml:space="preserve">протеїн </w:t>
      </w:r>
      <w:r>
        <w:rPr>
          <w:rFonts w:cstheme="minorHAnsi"/>
          <w:sz w:val="28"/>
          <w:szCs w:val="28"/>
          <w:lang w:val="uk-UA"/>
        </w:rPr>
        <w:t>QnrА.</w:t>
      </w:r>
      <w:r>
        <w:rPr>
          <w:rFonts w:cstheme="minorHAnsi"/>
          <w:color w:val="000000"/>
          <w:sz w:val="28"/>
          <w:szCs w:val="28"/>
          <w:lang w:val="uk-UA"/>
        </w:rPr>
        <w:t xml:space="preserve"> В Європейських країнах, згідно даних </w:t>
      </w:r>
      <w:r w:rsidRPr="001B7F2F">
        <w:rPr>
          <w:sz w:val="28"/>
          <w:szCs w:val="28"/>
          <w:lang w:val="uk-UA"/>
        </w:rPr>
        <w:t>річного звіту європейськ</w:t>
      </w:r>
      <w:r>
        <w:rPr>
          <w:sz w:val="28"/>
          <w:szCs w:val="28"/>
          <w:lang w:val="uk-UA"/>
        </w:rPr>
        <w:t>ої</w:t>
      </w:r>
      <w:r w:rsidRPr="001B7F2F">
        <w:rPr>
          <w:sz w:val="28"/>
          <w:szCs w:val="28"/>
          <w:lang w:val="uk-UA"/>
        </w:rPr>
        <w:t xml:space="preserve"> громади з епіднагляду за антимікробно</w:t>
      </w:r>
      <w:r>
        <w:rPr>
          <w:sz w:val="28"/>
          <w:szCs w:val="28"/>
          <w:lang w:val="uk-UA"/>
        </w:rPr>
        <w:t>ю</w:t>
      </w:r>
      <w:r w:rsidRPr="001B7F2F">
        <w:rPr>
          <w:sz w:val="28"/>
          <w:szCs w:val="28"/>
          <w:lang w:val="uk-UA"/>
        </w:rPr>
        <w:t xml:space="preserve"> резистентністю (EARS-Net) за 201</w:t>
      </w:r>
      <w:r>
        <w:rPr>
          <w:sz w:val="28"/>
          <w:szCs w:val="28"/>
          <w:lang w:val="uk-UA"/>
        </w:rPr>
        <w:t>2</w:t>
      </w:r>
      <w:r w:rsidRPr="001B7F2F">
        <w:rPr>
          <w:sz w:val="28"/>
          <w:szCs w:val="28"/>
          <w:lang w:val="uk-UA"/>
        </w:rPr>
        <w:t xml:space="preserve"> рік, поширеність βЛРС серед клінічних штамів E. coli і K.pneumoniae, резистентних до 3-</w:t>
      </w:r>
      <w:r>
        <w:rPr>
          <w:sz w:val="28"/>
          <w:szCs w:val="28"/>
          <w:lang w:val="uk-UA"/>
        </w:rPr>
        <w:t>ї</w:t>
      </w:r>
      <w:r w:rsidRPr="001B7F2F">
        <w:rPr>
          <w:sz w:val="28"/>
          <w:szCs w:val="28"/>
          <w:lang w:val="uk-UA"/>
        </w:rPr>
        <w:t xml:space="preserve"> генерації цефалоспоринів, варіює від 85-100% </w:t>
      </w:r>
      <w:r w:rsidRPr="00332028">
        <w:rPr>
          <w:rFonts w:cstheme="minorHAnsi"/>
          <w:bCs/>
          <w:iCs/>
          <w:sz w:val="28"/>
          <w:szCs w:val="28"/>
          <w:lang w:val="uk-UA"/>
        </w:rPr>
        <w:t>[</w:t>
      </w:r>
      <w:r>
        <w:rPr>
          <w:rFonts w:cstheme="minorHAnsi"/>
          <w:bCs/>
          <w:iCs/>
          <w:sz w:val="28"/>
          <w:szCs w:val="28"/>
          <w:lang w:val="uk-UA"/>
        </w:rPr>
        <w:t>38</w:t>
      </w:r>
      <w:r w:rsidRPr="001B7F2F">
        <w:rPr>
          <w:sz w:val="28"/>
          <w:szCs w:val="28"/>
          <w:lang w:val="uk-UA"/>
        </w:rPr>
        <w:t>].</w:t>
      </w:r>
      <w:r>
        <w:rPr>
          <w:rFonts w:cstheme="minorHAnsi"/>
          <w:sz w:val="28"/>
          <w:szCs w:val="28"/>
          <w:lang w:val="uk-UA"/>
        </w:rPr>
        <w:t xml:space="preserve"> </w:t>
      </w:r>
      <w:r w:rsidRPr="00BF711B">
        <w:rPr>
          <w:rFonts w:eastAsia="Times New Roman" w:cstheme="minorHAnsi"/>
          <w:sz w:val="28"/>
          <w:szCs w:val="28"/>
          <w:lang w:val="uk-UA" w:eastAsia="ru-RU"/>
        </w:rPr>
        <w:t>Поширеність плазм</w:t>
      </w:r>
      <w:r>
        <w:rPr>
          <w:rFonts w:eastAsia="Times New Roman" w:cstheme="minorHAnsi"/>
          <w:sz w:val="28"/>
          <w:szCs w:val="28"/>
          <w:lang w:val="uk-UA" w:eastAsia="ru-RU"/>
        </w:rPr>
        <w:t>і</w:t>
      </w:r>
      <w:r w:rsidRPr="00BF711B">
        <w:rPr>
          <w:rFonts w:eastAsia="Times New Roman" w:cstheme="minorHAnsi"/>
          <w:sz w:val="28"/>
          <w:szCs w:val="28"/>
          <w:lang w:val="uk-UA" w:eastAsia="ru-RU"/>
        </w:rPr>
        <w:t xml:space="preserve">д-індукованих генів резистентності до фторхінолонів серед клінічних штамів Escherichia coli і K.pneumoniae в Таїланді становить </w:t>
      </w:r>
      <w:r w:rsidRPr="00BF711B">
        <w:rPr>
          <w:rFonts w:eastAsia="Times New Roman" w:cstheme="minorHAnsi"/>
          <w:sz w:val="28"/>
          <w:szCs w:val="28"/>
          <w:lang w:val="uk-UA" w:eastAsia="ru-RU"/>
        </w:rPr>
        <w:lastRenderedPageBreak/>
        <w:t>22,3% і 65,3% відповідно. За виявлення</w:t>
      </w:r>
      <w:r>
        <w:rPr>
          <w:rFonts w:eastAsia="Times New Roman" w:cstheme="minorHAnsi"/>
          <w:sz w:val="28"/>
          <w:szCs w:val="28"/>
          <w:lang w:val="uk-UA" w:eastAsia="ru-RU"/>
        </w:rPr>
        <w:t>м</w:t>
      </w:r>
      <w:r w:rsidRPr="00BF711B">
        <w:rPr>
          <w:rFonts w:eastAsia="Times New Roman" w:cstheme="minorHAnsi"/>
          <w:sz w:val="28"/>
          <w:szCs w:val="28"/>
          <w:lang w:val="uk-UA" w:eastAsia="ru-RU"/>
        </w:rPr>
        <w:t xml:space="preserve"> гени розташувалися в наступному порядку: aac (</w:t>
      </w:r>
      <w:r>
        <w:rPr>
          <w:rFonts w:eastAsia="Times New Roman" w:cstheme="minorHAnsi"/>
          <w:sz w:val="28"/>
          <w:szCs w:val="28"/>
          <w:lang w:val="uk-UA" w:eastAsia="ru-RU"/>
        </w:rPr>
        <w:t xml:space="preserve">6 ') - Ib-cr, qnrS, qnrB і qnrA </w:t>
      </w:r>
      <w:r w:rsidRPr="00332028">
        <w:rPr>
          <w:rFonts w:cstheme="minorHAnsi"/>
          <w:sz w:val="28"/>
          <w:szCs w:val="28"/>
          <w:shd w:val="clear" w:color="auto" w:fill="FFFFFF"/>
        </w:rPr>
        <w:t>[</w:t>
      </w:r>
      <w:r>
        <w:rPr>
          <w:rFonts w:eastAsia="Times New Roman" w:cstheme="minorHAnsi"/>
          <w:sz w:val="28"/>
          <w:szCs w:val="28"/>
          <w:lang w:val="uk-UA" w:eastAsia="ru-RU"/>
        </w:rPr>
        <w:t>87</w:t>
      </w:r>
      <w:r w:rsidRPr="00332028">
        <w:rPr>
          <w:rFonts w:eastAsia="Times New Roman" w:cstheme="minorHAnsi"/>
          <w:sz w:val="28"/>
          <w:szCs w:val="28"/>
          <w:lang w:eastAsia="ru-RU"/>
        </w:rPr>
        <w:t>].</w:t>
      </w:r>
    </w:p>
    <w:p w:rsidR="006B4867" w:rsidRDefault="006B4867" w:rsidP="006B4867">
      <w:pPr>
        <w:spacing w:after="0" w:line="360" w:lineRule="auto"/>
        <w:ind w:firstLine="709"/>
        <w:jc w:val="both"/>
        <w:rPr>
          <w:rFonts w:eastAsia="Times New Roman" w:cstheme="minorHAnsi"/>
          <w:sz w:val="28"/>
          <w:szCs w:val="28"/>
          <w:lang w:val="uk-UA" w:eastAsia="ru-RU"/>
        </w:rPr>
      </w:pPr>
      <w:r>
        <w:rPr>
          <w:rFonts w:eastAsia="Times New Roman" w:cstheme="minorHAnsi"/>
          <w:sz w:val="28"/>
          <w:szCs w:val="28"/>
          <w:lang w:val="uk-UA" w:eastAsia="ru-RU"/>
        </w:rPr>
        <w:t xml:space="preserve">Отже, отримані нами результати свідчать о високій поширеності плазмід-індукованих механізмів резистентності серед хворих на ХП, особливо із супутнім ЦД 2 типу, що засвідчує про необхідність включення в план обстеження таких пацієнтів дослідження експресії плазмідних генів стійкості з метою підвищення ефективності емпіричної АБТ. </w:t>
      </w:r>
    </w:p>
    <w:p w:rsidR="006B4867" w:rsidRDefault="006B4867" w:rsidP="006B4867">
      <w:pPr>
        <w:spacing w:after="0" w:line="360" w:lineRule="auto"/>
        <w:ind w:firstLine="709"/>
        <w:jc w:val="both"/>
        <w:rPr>
          <w:sz w:val="28"/>
          <w:szCs w:val="28"/>
          <w:lang w:val="uk-UA"/>
        </w:rPr>
      </w:pPr>
      <w:r>
        <w:rPr>
          <w:rFonts w:eastAsia="Times New Roman" w:cstheme="minorHAnsi"/>
          <w:sz w:val="28"/>
          <w:szCs w:val="28"/>
          <w:lang w:val="uk-UA" w:eastAsia="ru-RU"/>
        </w:rPr>
        <w:t xml:space="preserve">Наступним етапом нашого дослідження було визначення </w:t>
      </w:r>
      <w:r>
        <w:rPr>
          <w:rFonts w:ascii="Times New Roman" w:hAnsi="Times New Roman"/>
          <w:color w:val="000000" w:themeColor="text1"/>
          <w:sz w:val="28"/>
          <w:szCs w:val="28"/>
          <w:lang w:val="uk-UA"/>
        </w:rPr>
        <w:t xml:space="preserve">основних факторів, що можуть бути пов’язані з наявністю </w:t>
      </w:r>
      <w:r w:rsidRPr="007008D1">
        <w:rPr>
          <w:rFonts w:ascii="Times New Roman" w:hAnsi="Times New Roman" w:cs="Times New Roman"/>
          <w:color w:val="000000" w:themeColor="text1"/>
          <w:sz w:val="28"/>
          <w:szCs w:val="28"/>
          <w:lang w:val="uk-UA"/>
        </w:rPr>
        <w:t xml:space="preserve">плазмід-індукованих механізмів антибіотико-резистентності у хворих </w:t>
      </w:r>
      <w:r>
        <w:rPr>
          <w:rFonts w:ascii="Times New Roman" w:hAnsi="Times New Roman"/>
          <w:color w:val="000000" w:themeColor="text1"/>
          <w:sz w:val="28"/>
          <w:szCs w:val="28"/>
          <w:lang w:val="uk-UA"/>
        </w:rPr>
        <w:t>на</w:t>
      </w:r>
      <w:r w:rsidRPr="007008D1">
        <w:rPr>
          <w:rFonts w:ascii="Times New Roman" w:hAnsi="Times New Roman" w:cs="Times New Roman"/>
          <w:color w:val="000000" w:themeColor="text1"/>
          <w:sz w:val="28"/>
          <w:szCs w:val="28"/>
          <w:lang w:val="uk-UA"/>
        </w:rPr>
        <w:t xml:space="preserve"> хронічн</w:t>
      </w:r>
      <w:r>
        <w:rPr>
          <w:rFonts w:ascii="Times New Roman" w:hAnsi="Times New Roman"/>
          <w:color w:val="000000" w:themeColor="text1"/>
          <w:sz w:val="28"/>
          <w:szCs w:val="28"/>
          <w:lang w:val="uk-UA"/>
        </w:rPr>
        <w:t>ий</w:t>
      </w:r>
      <w:r w:rsidRPr="007008D1">
        <w:rPr>
          <w:rFonts w:ascii="Times New Roman" w:hAnsi="Times New Roman" w:cs="Times New Roman"/>
          <w:color w:val="000000" w:themeColor="text1"/>
          <w:sz w:val="28"/>
          <w:szCs w:val="28"/>
          <w:lang w:val="uk-UA"/>
        </w:rPr>
        <w:t xml:space="preserve"> пієлонефрит</w:t>
      </w:r>
      <w:r>
        <w:rPr>
          <w:rFonts w:ascii="Times New Roman" w:hAnsi="Times New Roman"/>
          <w:color w:val="000000" w:themeColor="text1"/>
          <w:sz w:val="28"/>
          <w:szCs w:val="28"/>
          <w:lang w:val="uk-UA"/>
        </w:rPr>
        <w:t xml:space="preserve">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r>
        <w:rPr>
          <w:rFonts w:ascii="Times New Roman" w:hAnsi="Times New Roman" w:cs="Times New Roman"/>
          <w:color w:val="000000" w:themeColor="text1"/>
          <w:sz w:val="28"/>
          <w:szCs w:val="28"/>
          <w:lang w:val="uk-UA"/>
        </w:rPr>
        <w:t xml:space="preserve"> (глава 3, розділ 3.2), щоб відокремити основні категорії хворих, яким доцільно в план обстеження </w:t>
      </w:r>
      <w:r w:rsidRPr="0054333A">
        <w:rPr>
          <w:rFonts w:ascii="Times New Roman" w:hAnsi="Times New Roman" w:cs="Times New Roman"/>
          <w:sz w:val="28"/>
          <w:szCs w:val="28"/>
          <w:lang w:val="uk-UA"/>
        </w:rPr>
        <w:t>включати дослідження експресії плазмід-індукованих механізмів резистентності</w:t>
      </w:r>
      <w:r>
        <w:rPr>
          <w:rFonts w:ascii="Times New Roman" w:hAnsi="Times New Roman" w:cs="Times New Roman"/>
          <w:sz w:val="28"/>
          <w:szCs w:val="28"/>
          <w:lang w:val="uk-UA"/>
        </w:rPr>
        <w:t xml:space="preserve">. Встановлено, що у пацієнтів, які </w:t>
      </w:r>
      <w:r w:rsidRPr="008D7933">
        <w:rPr>
          <w:rFonts w:cstheme="minorHAnsi"/>
          <w:sz w:val="28"/>
          <w:szCs w:val="28"/>
          <w:lang w:val="uk-UA"/>
        </w:rPr>
        <w:t>страждають ХП</w:t>
      </w:r>
      <w:r>
        <w:rPr>
          <w:rFonts w:cstheme="minorHAnsi"/>
          <w:sz w:val="28"/>
          <w:szCs w:val="28"/>
          <w:lang w:val="uk-UA"/>
        </w:rPr>
        <w:t xml:space="preserve"> і ЦД 2 типу</w:t>
      </w:r>
      <w:r w:rsidRPr="008D7933">
        <w:rPr>
          <w:rFonts w:cstheme="minorHAnsi"/>
          <w:sz w:val="28"/>
          <w:szCs w:val="28"/>
          <w:lang w:val="uk-UA"/>
        </w:rPr>
        <w:t xml:space="preserve"> на тлі ХХН ІІІ та ІV стадій; </w:t>
      </w:r>
      <w:r>
        <w:rPr>
          <w:rFonts w:cstheme="minorHAnsi"/>
          <w:sz w:val="28"/>
          <w:szCs w:val="28"/>
          <w:lang w:val="uk-UA"/>
        </w:rPr>
        <w:t>або із</w:t>
      </w:r>
      <w:r w:rsidRPr="008D7933">
        <w:rPr>
          <w:rFonts w:cstheme="minorHAnsi"/>
          <w:sz w:val="28"/>
          <w:szCs w:val="28"/>
          <w:lang w:val="uk-UA"/>
        </w:rPr>
        <w:t xml:space="preserve"> супутніми</w:t>
      </w:r>
      <w:r>
        <w:rPr>
          <w:rFonts w:cstheme="minorHAnsi"/>
          <w:sz w:val="28"/>
          <w:szCs w:val="28"/>
          <w:lang w:val="uk-UA"/>
        </w:rPr>
        <w:t>:</w:t>
      </w:r>
      <w:r w:rsidRPr="008D7933">
        <w:rPr>
          <w:rFonts w:cstheme="minorHAnsi"/>
          <w:sz w:val="28"/>
          <w:szCs w:val="28"/>
          <w:lang w:val="uk-UA"/>
        </w:rPr>
        <w:t xml:space="preserve"> </w:t>
      </w:r>
      <w:r w:rsidRPr="008D7933">
        <w:rPr>
          <w:sz w:val="28"/>
          <w:szCs w:val="28"/>
          <w:lang w:val="uk-UA"/>
        </w:rPr>
        <w:t>обструкцією сечовивідних шляхів;</w:t>
      </w:r>
      <w:r w:rsidRPr="008D7933">
        <w:rPr>
          <w:rFonts w:cstheme="minorHAnsi"/>
          <w:sz w:val="28"/>
          <w:szCs w:val="28"/>
          <w:lang w:val="uk-UA"/>
        </w:rPr>
        <w:t xml:space="preserve"> </w:t>
      </w:r>
      <w:r w:rsidRPr="008D7933">
        <w:rPr>
          <w:sz w:val="28"/>
          <w:szCs w:val="28"/>
          <w:lang w:val="uk-UA"/>
        </w:rPr>
        <w:t>артеріальною гіпертензією</w:t>
      </w:r>
      <w:r>
        <w:rPr>
          <w:sz w:val="28"/>
          <w:szCs w:val="28"/>
          <w:lang w:val="uk-UA"/>
        </w:rPr>
        <w:t>;</w:t>
      </w:r>
      <w:r w:rsidRPr="008D7933">
        <w:rPr>
          <w:sz w:val="28"/>
          <w:szCs w:val="28"/>
          <w:lang w:val="uk-UA"/>
        </w:rPr>
        <w:t xml:space="preserve"> наявністю епізодів перенесеного простатиту або циститу, можливість колонізації </w:t>
      </w:r>
      <w:r>
        <w:rPr>
          <w:sz w:val="28"/>
          <w:szCs w:val="28"/>
          <w:lang w:val="uk-UA"/>
        </w:rPr>
        <w:t xml:space="preserve">сечової системи </w:t>
      </w:r>
      <w:r w:rsidRPr="008D7933">
        <w:rPr>
          <w:sz w:val="28"/>
          <w:szCs w:val="28"/>
          <w:lang w:val="uk-UA"/>
        </w:rPr>
        <w:t>бактеріями з плазмідними генами резистентності достовірно вище.</w:t>
      </w:r>
      <w:r>
        <w:rPr>
          <w:sz w:val="28"/>
          <w:szCs w:val="28"/>
          <w:lang w:val="uk-UA"/>
        </w:rPr>
        <w:t xml:space="preserve"> Крім того, були визначені фактори ризику, що </w:t>
      </w:r>
      <w:r>
        <w:rPr>
          <w:rFonts w:cstheme="minorHAnsi"/>
          <w:color w:val="000000" w:themeColor="text1"/>
          <w:sz w:val="28"/>
          <w:szCs w:val="28"/>
          <w:lang w:val="uk-UA"/>
        </w:rPr>
        <w:t xml:space="preserve">достовірно пов’язані з виявленням плазмід-індукованих </w:t>
      </w:r>
      <w:r w:rsidRPr="00F33B37">
        <w:rPr>
          <w:rFonts w:ascii="Times New Roman" w:hAnsi="Times New Roman" w:cs="Times New Roman"/>
          <w:sz w:val="28"/>
          <w:szCs w:val="28"/>
        </w:rPr>
        <w:t>β</w:t>
      </w:r>
      <w:r w:rsidRPr="00F33B37">
        <w:rPr>
          <w:rFonts w:ascii="Times New Roman" w:hAnsi="Times New Roman" w:cs="Times New Roman"/>
          <w:sz w:val="28"/>
          <w:szCs w:val="28"/>
          <w:lang w:val="uk-UA"/>
        </w:rPr>
        <w:t>ЛРС</w:t>
      </w:r>
      <w:r>
        <w:rPr>
          <w:rFonts w:ascii="Times New Roman" w:hAnsi="Times New Roman" w:cs="Times New Roman"/>
          <w:sz w:val="28"/>
          <w:szCs w:val="28"/>
          <w:lang w:val="uk-UA"/>
        </w:rPr>
        <w:t xml:space="preserve">: </w:t>
      </w:r>
      <w:r>
        <w:rPr>
          <w:rFonts w:cstheme="minorHAnsi"/>
          <w:color w:val="000000" w:themeColor="text1"/>
          <w:sz w:val="28"/>
          <w:szCs w:val="28"/>
          <w:lang w:val="uk-UA"/>
        </w:rPr>
        <w:t>вік 55 років і вище (</w:t>
      </w:r>
      <w:r>
        <w:rPr>
          <w:sz w:val="28"/>
          <w:szCs w:val="28"/>
          <w:lang w:val="uk-UA"/>
        </w:rPr>
        <w:t xml:space="preserve">53%, </w:t>
      </w:r>
      <w:r>
        <w:rPr>
          <w:rFonts w:ascii="Times New Roman" w:hAnsi="Times New Roman" w:cs="Times New Roman"/>
          <w:sz w:val="28"/>
          <w:szCs w:val="28"/>
          <w:lang w:val="uk-UA"/>
        </w:rPr>
        <w:t>р≤0,05</w:t>
      </w:r>
      <w:r>
        <w:rPr>
          <w:rFonts w:cstheme="minorHAnsi"/>
          <w:color w:val="000000" w:themeColor="text1"/>
          <w:sz w:val="28"/>
          <w:szCs w:val="28"/>
          <w:lang w:val="uk-UA"/>
        </w:rPr>
        <w:t>), факт стаціонарного лікування упродовж останнього року (</w:t>
      </w:r>
      <w:r>
        <w:rPr>
          <w:sz w:val="28"/>
          <w:szCs w:val="28"/>
          <w:lang w:val="uk-UA"/>
        </w:rPr>
        <w:t xml:space="preserve">70,8%, </w:t>
      </w:r>
      <w:r>
        <w:rPr>
          <w:rFonts w:ascii="Times New Roman" w:hAnsi="Times New Roman" w:cs="Times New Roman"/>
          <w:sz w:val="28"/>
          <w:szCs w:val="28"/>
          <w:lang w:val="uk-UA"/>
        </w:rPr>
        <w:t>р≤0,05</w:t>
      </w:r>
      <w:r>
        <w:rPr>
          <w:rFonts w:cstheme="minorHAnsi"/>
          <w:color w:val="000000" w:themeColor="text1"/>
          <w:sz w:val="28"/>
          <w:szCs w:val="28"/>
          <w:lang w:val="uk-UA"/>
        </w:rPr>
        <w:t>), прийом β-лактамів та фторхінолонів з різних причин у поточному році (</w:t>
      </w:r>
      <w:r>
        <w:rPr>
          <w:sz w:val="28"/>
          <w:szCs w:val="28"/>
          <w:lang w:val="uk-UA"/>
        </w:rPr>
        <w:t xml:space="preserve">44,7%, </w:t>
      </w:r>
      <w:r>
        <w:rPr>
          <w:rFonts w:ascii="Times New Roman" w:hAnsi="Times New Roman" w:cs="Times New Roman"/>
          <w:sz w:val="28"/>
          <w:szCs w:val="28"/>
          <w:lang w:val="uk-UA"/>
        </w:rPr>
        <w:t>р≤0,05</w:t>
      </w:r>
      <w:r>
        <w:rPr>
          <w:rFonts w:cstheme="minorHAnsi"/>
          <w:color w:val="000000" w:themeColor="text1"/>
          <w:sz w:val="28"/>
          <w:szCs w:val="28"/>
          <w:lang w:val="uk-UA"/>
        </w:rPr>
        <w:t xml:space="preserve">). До факторів </w:t>
      </w:r>
      <w:r>
        <w:rPr>
          <w:rFonts w:ascii="Times New Roman" w:eastAsia="Times New Roman" w:hAnsi="Times New Roman" w:cs="Times New Roman"/>
          <w:color w:val="000000" w:themeColor="text1"/>
          <w:sz w:val="28"/>
          <w:szCs w:val="28"/>
          <w:lang w:val="uk-UA" w:eastAsia="ru-RU"/>
        </w:rPr>
        <w:t xml:space="preserve">ризику, що були пов’язані з виявленням плазмід-індукованих механізмів резистентності до фторхінолонів, ми віднесли: </w:t>
      </w:r>
      <w:r>
        <w:rPr>
          <w:sz w:val="28"/>
          <w:szCs w:val="28"/>
          <w:lang w:val="uk-UA"/>
        </w:rPr>
        <w:t>чоловічу стать, вік старше 55 років, та тривалість ХП до 5 років.</w:t>
      </w:r>
    </w:p>
    <w:p w:rsidR="006B4867" w:rsidRPr="00332028" w:rsidRDefault="006B4867" w:rsidP="006B486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Pr="00CE29B9">
        <w:rPr>
          <w:rFonts w:ascii="Times New Roman" w:hAnsi="Times New Roman" w:cs="Times New Roman"/>
          <w:color w:val="000000" w:themeColor="text1"/>
          <w:sz w:val="28"/>
          <w:szCs w:val="28"/>
          <w:lang w:val="uk-UA"/>
        </w:rPr>
        <w:t>а результатами факторного аналізу</w:t>
      </w:r>
      <w:r>
        <w:rPr>
          <w:rFonts w:ascii="Times New Roman" w:hAnsi="Times New Roman" w:cs="Times New Roman"/>
          <w:color w:val="000000" w:themeColor="text1"/>
          <w:sz w:val="28"/>
          <w:szCs w:val="28"/>
          <w:lang w:val="uk-UA"/>
        </w:rPr>
        <w:t xml:space="preserve"> було встановлено три взаємопов’язаних фактора у хворих на ХП і ЦД 2 типу з виявленими генами стійкості: загально-клінічний, що включає </w:t>
      </w:r>
      <w:r>
        <w:rPr>
          <w:sz w:val="28"/>
          <w:szCs w:val="28"/>
          <w:lang w:val="uk-UA"/>
        </w:rPr>
        <w:t>тривалість ХП, систолічний та діастолічний тиск, протеїнурію;</w:t>
      </w:r>
      <w:r>
        <w:rPr>
          <w:rFonts w:ascii="Times New Roman" w:hAnsi="Times New Roman" w:cs="Times New Roman"/>
          <w:color w:val="000000" w:themeColor="text1"/>
          <w:sz w:val="28"/>
          <w:szCs w:val="28"/>
          <w:lang w:val="uk-UA"/>
        </w:rPr>
        <w:t xml:space="preserve"> імунологічний, до якого відносяться </w:t>
      </w:r>
      <w:r>
        <w:rPr>
          <w:sz w:val="28"/>
          <w:szCs w:val="28"/>
          <w:lang w:val="uk-UA"/>
        </w:rPr>
        <w:t xml:space="preserve">СРБ, </w:t>
      </w:r>
      <w:r>
        <w:rPr>
          <w:sz w:val="28"/>
          <w:szCs w:val="28"/>
          <w:lang w:val="en-US"/>
        </w:rPr>
        <w:t>IgA</w:t>
      </w:r>
      <w:r w:rsidRPr="004F5368">
        <w:rPr>
          <w:sz w:val="28"/>
          <w:szCs w:val="28"/>
          <w:lang w:val="uk-UA"/>
        </w:rPr>
        <w:t xml:space="preserve">, </w:t>
      </w:r>
      <w:r>
        <w:rPr>
          <w:sz w:val="28"/>
          <w:szCs w:val="28"/>
          <w:lang w:val="en-US"/>
        </w:rPr>
        <w:t>IgM</w:t>
      </w:r>
      <w:r w:rsidRPr="004F5368">
        <w:rPr>
          <w:sz w:val="28"/>
          <w:szCs w:val="28"/>
          <w:lang w:val="uk-UA"/>
        </w:rPr>
        <w:t>,</w:t>
      </w:r>
      <w:r w:rsidRPr="001B06CA">
        <w:rPr>
          <w:sz w:val="28"/>
          <w:szCs w:val="28"/>
          <w:lang w:val="uk-UA"/>
        </w:rPr>
        <w:t xml:space="preserve"> </w:t>
      </w:r>
      <w:r>
        <w:rPr>
          <w:sz w:val="28"/>
          <w:szCs w:val="28"/>
          <w:lang w:val="en-US"/>
        </w:rPr>
        <w:t>IgG</w:t>
      </w:r>
      <w:r>
        <w:rPr>
          <w:sz w:val="28"/>
          <w:szCs w:val="28"/>
          <w:lang w:val="uk-UA"/>
        </w:rPr>
        <w:t>;</w:t>
      </w:r>
      <w:r>
        <w:rPr>
          <w:rFonts w:ascii="Times New Roman" w:hAnsi="Times New Roman" w:cs="Times New Roman"/>
          <w:color w:val="000000" w:themeColor="text1"/>
          <w:sz w:val="28"/>
          <w:szCs w:val="28"/>
          <w:lang w:val="uk-UA"/>
        </w:rPr>
        <w:t xml:space="preserve"> та функціональний – містить </w:t>
      </w:r>
      <w:r>
        <w:rPr>
          <w:sz w:val="28"/>
          <w:szCs w:val="28"/>
          <w:lang w:val="uk-UA"/>
        </w:rPr>
        <w:t>креатинін, сечовину, ШКФ.</w:t>
      </w:r>
    </w:p>
    <w:p w:rsidR="006B4867" w:rsidRDefault="006B4867" w:rsidP="006B486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Таким чином, пацієнтам у віці старше 55 років, що страждають ХП більше 10 років, мають АГ, ХХН </w:t>
      </w:r>
      <w:r>
        <w:rPr>
          <w:rFonts w:cstheme="minorHAnsi"/>
          <w:sz w:val="28"/>
          <w:szCs w:val="28"/>
          <w:lang w:val="uk-UA"/>
        </w:rPr>
        <w:t>ІІІ</w:t>
      </w:r>
      <w:r>
        <w:rPr>
          <w:sz w:val="28"/>
          <w:szCs w:val="28"/>
          <w:lang w:val="uk-UA"/>
        </w:rPr>
        <w:t xml:space="preserve"> і </w:t>
      </w:r>
      <w:r>
        <w:rPr>
          <w:rFonts w:cstheme="minorHAnsi"/>
          <w:sz w:val="28"/>
          <w:szCs w:val="28"/>
          <w:lang w:val="uk-UA"/>
        </w:rPr>
        <w:t>ІV</w:t>
      </w:r>
      <w:r>
        <w:rPr>
          <w:sz w:val="28"/>
          <w:szCs w:val="28"/>
          <w:lang w:val="uk-UA"/>
        </w:rPr>
        <w:t xml:space="preserve"> стадій, обструкцію сечовивідних шляхів та/або наявність в анамнезі </w:t>
      </w:r>
      <w:r w:rsidRPr="008D7933">
        <w:rPr>
          <w:sz w:val="28"/>
          <w:szCs w:val="28"/>
          <w:lang w:val="uk-UA"/>
        </w:rPr>
        <w:t>епізодів перенесеного простатиту або циститу</w:t>
      </w:r>
      <w:r>
        <w:rPr>
          <w:sz w:val="28"/>
          <w:szCs w:val="28"/>
          <w:lang w:val="uk-UA"/>
        </w:rPr>
        <w:t xml:space="preserve">, доцільно в план обстеження включати дослідження експресії плазмід-індукованих механізмів резистентності з метою раціонального підбору АБТ. Більш того, у пацієнтів з наявністю </w:t>
      </w:r>
      <w:r>
        <w:rPr>
          <w:rFonts w:cstheme="minorHAnsi"/>
          <w:color w:val="000000" w:themeColor="text1"/>
          <w:sz w:val="28"/>
          <w:szCs w:val="28"/>
          <w:lang w:val="uk-UA"/>
        </w:rPr>
        <w:t xml:space="preserve">факту стаціонарного лікування упродовж останнього року, прийому β-лактамів та фторхінолонів з різних причин у поточному році – достовірно зростає виявлення </w:t>
      </w:r>
      <w:r w:rsidRPr="00F33B37">
        <w:rPr>
          <w:rFonts w:ascii="Times New Roman" w:hAnsi="Times New Roman" w:cs="Times New Roman"/>
          <w:sz w:val="28"/>
          <w:szCs w:val="28"/>
        </w:rPr>
        <w:t>β</w:t>
      </w:r>
      <w:r w:rsidRPr="00F33B37">
        <w:rPr>
          <w:rFonts w:ascii="Times New Roman" w:hAnsi="Times New Roman" w:cs="Times New Roman"/>
          <w:sz w:val="28"/>
          <w:szCs w:val="28"/>
          <w:lang w:val="uk-UA"/>
        </w:rPr>
        <w:t>ЛРС</w:t>
      </w:r>
      <w:r>
        <w:rPr>
          <w:rFonts w:ascii="Times New Roman" w:hAnsi="Times New Roman" w:cs="Times New Roman"/>
          <w:sz w:val="28"/>
          <w:szCs w:val="28"/>
          <w:lang w:val="uk-UA"/>
        </w:rPr>
        <w:t xml:space="preserve">, а у пацієнтів чоловіків, з тривалістю захворювання до 5 років – зростає виявляємість генів стійкості до фторхінолонів. Останнє являє собою важливий диференційний критерій для вибору тактики емпіричної АБТ. </w:t>
      </w:r>
    </w:p>
    <w:p w:rsidR="006B4867" w:rsidRDefault="006B4867" w:rsidP="006B486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sz w:val="28"/>
          <w:szCs w:val="28"/>
          <w:lang w:val="uk-UA"/>
        </w:rPr>
        <w:t xml:space="preserve">Щодо даних світової літератури, </w:t>
      </w:r>
      <w:r w:rsidRPr="004D03A7">
        <w:rPr>
          <w:rFonts w:ascii="Times New Roman" w:hAnsi="Times New Roman" w:cs="Times New Roman"/>
          <w:color w:val="000000"/>
          <w:sz w:val="28"/>
          <w:szCs w:val="28"/>
          <w:lang w:val="en-US"/>
        </w:rPr>
        <w:t>Freeman</w:t>
      </w:r>
      <w:r w:rsidRPr="00356FCA">
        <w:rPr>
          <w:rFonts w:ascii="Times New Roman" w:hAnsi="Times New Roman" w:cs="Times New Roman"/>
          <w:color w:val="000000"/>
          <w:sz w:val="28"/>
          <w:szCs w:val="28"/>
          <w:lang w:val="uk-UA"/>
        </w:rPr>
        <w:t xml:space="preserve"> </w:t>
      </w:r>
      <w:r w:rsidRPr="004D03A7">
        <w:rPr>
          <w:rFonts w:ascii="Times New Roman" w:hAnsi="Times New Roman" w:cs="Times New Roman"/>
          <w:color w:val="000000"/>
          <w:sz w:val="28"/>
          <w:szCs w:val="28"/>
          <w:lang w:val="en-US"/>
        </w:rPr>
        <w:t>JT</w:t>
      </w:r>
      <w:r>
        <w:rPr>
          <w:rFonts w:ascii="Times New Roman" w:hAnsi="Times New Roman" w:cs="Times New Roman"/>
          <w:color w:val="000000"/>
          <w:sz w:val="28"/>
          <w:szCs w:val="28"/>
          <w:lang w:val="uk-UA"/>
        </w:rPr>
        <w:t xml:space="preserve"> та співавт., також демонструють </w:t>
      </w:r>
      <w:r>
        <w:rPr>
          <w:sz w:val="28"/>
          <w:szCs w:val="28"/>
          <w:lang w:val="uk-UA"/>
        </w:rPr>
        <w:t xml:space="preserve">високу питому вагу плазмідних генів резистентності серед хворих із ЦД (23,9%), хронічним захворюванням легень (15,2%), у хворих лейкозом (13%) і у пацієнтів, що мають солідні новоутворення (18,5%), та рецидивуючим перебігом ІСС (43%) </w:t>
      </w:r>
      <w:r>
        <w:rPr>
          <w:rFonts w:cstheme="minorHAnsi"/>
          <w:sz w:val="28"/>
          <w:szCs w:val="28"/>
          <w:lang w:val="uk-UA"/>
        </w:rPr>
        <w:t>[</w:t>
      </w:r>
      <w:r>
        <w:rPr>
          <w:rFonts w:ascii="Times New Roman" w:hAnsi="Times New Roman" w:cs="Times New Roman"/>
          <w:color w:val="000000"/>
          <w:sz w:val="28"/>
          <w:szCs w:val="28"/>
          <w:lang w:val="uk-UA"/>
        </w:rPr>
        <w:t>45</w:t>
      </w:r>
      <w:r>
        <w:rPr>
          <w:rFonts w:cstheme="minorHAnsi"/>
          <w:sz w:val="28"/>
          <w:szCs w:val="28"/>
          <w:lang w:val="uk-UA"/>
        </w:rPr>
        <w:t xml:space="preserve">]. А </w:t>
      </w:r>
      <w:r w:rsidRPr="000E212D">
        <w:rPr>
          <w:rFonts w:cstheme="minorHAnsi"/>
          <w:sz w:val="28"/>
          <w:szCs w:val="28"/>
          <w:bdr w:val="none" w:sz="0" w:space="0" w:color="auto" w:frame="1"/>
          <w:shd w:val="clear" w:color="auto" w:fill="FFFFFF"/>
          <w:lang w:val="en-US"/>
        </w:rPr>
        <w:t>Kang</w:t>
      </w:r>
      <w:r w:rsidRPr="000E212D">
        <w:rPr>
          <w:rFonts w:cstheme="minorHAnsi"/>
          <w:sz w:val="28"/>
          <w:szCs w:val="28"/>
          <w:bdr w:val="none" w:sz="0" w:space="0" w:color="auto" w:frame="1"/>
          <w:shd w:val="clear" w:color="auto" w:fill="FFFFFF"/>
          <w:lang w:val="uk-UA"/>
        </w:rPr>
        <w:t xml:space="preserve"> </w:t>
      </w:r>
      <w:r w:rsidRPr="000E212D">
        <w:rPr>
          <w:rFonts w:cstheme="minorHAnsi"/>
          <w:sz w:val="28"/>
          <w:szCs w:val="28"/>
          <w:bdr w:val="none" w:sz="0" w:space="0" w:color="auto" w:frame="1"/>
          <w:shd w:val="clear" w:color="auto" w:fill="FFFFFF"/>
          <w:lang w:val="en-US"/>
        </w:rPr>
        <w:t>C</w:t>
      </w:r>
      <w:r>
        <w:rPr>
          <w:rFonts w:cstheme="minorHAnsi"/>
          <w:sz w:val="28"/>
          <w:szCs w:val="28"/>
          <w:bdr w:val="none" w:sz="0" w:space="0" w:color="auto" w:frame="1"/>
          <w:shd w:val="clear" w:color="auto" w:fill="FFFFFF"/>
          <w:lang w:val="uk-UA"/>
        </w:rPr>
        <w:t>.</w:t>
      </w:r>
      <w:r w:rsidRPr="000E212D">
        <w:rPr>
          <w:rFonts w:cstheme="minorHAnsi"/>
          <w:sz w:val="28"/>
          <w:szCs w:val="28"/>
          <w:bdr w:val="none" w:sz="0" w:space="0" w:color="auto" w:frame="1"/>
          <w:shd w:val="clear" w:color="auto" w:fill="FFFFFF"/>
          <w:lang w:val="en-US"/>
        </w:rPr>
        <w:t>I</w:t>
      </w:r>
      <w:r>
        <w:rPr>
          <w:rFonts w:cstheme="minorHAnsi"/>
          <w:color w:val="000000" w:themeColor="text1"/>
          <w:sz w:val="28"/>
          <w:szCs w:val="28"/>
          <w:lang w:val="uk-UA"/>
        </w:rPr>
        <w:t xml:space="preserve">. та співавт. </w:t>
      </w:r>
      <w:r>
        <w:rPr>
          <w:rFonts w:cstheme="minorHAnsi"/>
          <w:sz w:val="28"/>
          <w:szCs w:val="28"/>
          <w:lang w:val="uk-UA"/>
        </w:rPr>
        <w:t xml:space="preserve">у своєму дослідженні визначили </w:t>
      </w:r>
      <w:r>
        <w:rPr>
          <w:sz w:val="28"/>
          <w:szCs w:val="28"/>
          <w:lang w:val="uk-UA"/>
        </w:rPr>
        <w:t xml:space="preserve">високу частоту колонізації сечової системи бактеріями з плазмідними генами резистентності у хворих із термінальною нирковою недостатністю (13%), цукровим діабетом (25,9%), захворюванням простати (54%), та солідними новоутвореннями (22,2%) </w:t>
      </w:r>
      <w:r w:rsidRPr="00E900B5">
        <w:rPr>
          <w:rFonts w:cstheme="minorHAnsi"/>
          <w:bCs/>
          <w:color w:val="000000" w:themeColor="text1"/>
          <w:sz w:val="28"/>
          <w:szCs w:val="28"/>
          <w:lang w:val="uk-UA"/>
        </w:rPr>
        <w:t>[</w:t>
      </w:r>
      <w:r>
        <w:rPr>
          <w:rFonts w:cstheme="minorHAnsi"/>
          <w:sz w:val="28"/>
          <w:szCs w:val="28"/>
          <w:bdr w:val="none" w:sz="0" w:space="0" w:color="auto" w:frame="1"/>
          <w:shd w:val="clear" w:color="auto" w:fill="FFFFFF"/>
          <w:lang w:val="uk-UA"/>
        </w:rPr>
        <w:t>65</w:t>
      </w:r>
      <w:r w:rsidRPr="00E900B5">
        <w:rPr>
          <w:rFonts w:cstheme="minorHAnsi"/>
          <w:color w:val="000000" w:themeColor="text1"/>
          <w:sz w:val="28"/>
          <w:szCs w:val="28"/>
          <w:lang w:val="uk-UA"/>
        </w:rPr>
        <w:t>]</w:t>
      </w:r>
      <w:r>
        <w:rPr>
          <w:rFonts w:cstheme="minorHAnsi"/>
          <w:color w:val="000000" w:themeColor="text1"/>
          <w:sz w:val="28"/>
          <w:szCs w:val="28"/>
          <w:lang w:val="uk-UA"/>
        </w:rPr>
        <w:t xml:space="preserve">. До факторів ризику </w:t>
      </w:r>
      <w:r w:rsidRPr="00F33B37">
        <w:rPr>
          <w:rFonts w:ascii="Times New Roman" w:hAnsi="Times New Roman" w:cs="Times New Roman"/>
          <w:sz w:val="28"/>
          <w:szCs w:val="28"/>
          <w:lang w:val="uk-UA"/>
        </w:rPr>
        <w:t>колонізації або інфекції, спричинен</w:t>
      </w:r>
      <w:r>
        <w:rPr>
          <w:rFonts w:ascii="Times New Roman" w:hAnsi="Times New Roman" w:cs="Times New Roman"/>
          <w:sz w:val="28"/>
          <w:szCs w:val="28"/>
          <w:lang w:val="uk-UA"/>
        </w:rPr>
        <w:t>их</w:t>
      </w:r>
      <w:r w:rsidRPr="00F33B37">
        <w:rPr>
          <w:rFonts w:ascii="Times New Roman" w:hAnsi="Times New Roman" w:cs="Times New Roman"/>
          <w:sz w:val="28"/>
          <w:szCs w:val="28"/>
          <w:lang w:val="uk-UA"/>
        </w:rPr>
        <w:t xml:space="preserve"> </w:t>
      </w:r>
      <w:r w:rsidRPr="00F33B37">
        <w:rPr>
          <w:rFonts w:ascii="Times New Roman" w:hAnsi="Times New Roman" w:cs="Times New Roman"/>
          <w:sz w:val="28"/>
          <w:szCs w:val="28"/>
        </w:rPr>
        <w:t>β</w:t>
      </w:r>
      <w:r w:rsidRPr="00F33B37">
        <w:rPr>
          <w:rFonts w:ascii="Times New Roman" w:hAnsi="Times New Roman" w:cs="Times New Roman"/>
          <w:sz w:val="28"/>
          <w:szCs w:val="28"/>
          <w:lang w:val="uk-UA"/>
        </w:rPr>
        <w:t>ЛРС-продукуючими організмами,</w:t>
      </w:r>
      <w:r>
        <w:rPr>
          <w:rFonts w:ascii="Times New Roman" w:hAnsi="Times New Roman" w:cs="Times New Roman"/>
          <w:sz w:val="28"/>
          <w:szCs w:val="28"/>
          <w:lang w:val="uk-UA"/>
        </w:rPr>
        <w:t xml:space="preserve"> згідно даних ряду досліджень</w:t>
      </w:r>
      <w:r w:rsidRPr="00F33B3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відносять</w:t>
      </w:r>
      <w:r w:rsidRPr="00F33B37">
        <w:rPr>
          <w:rFonts w:ascii="Times New Roman" w:hAnsi="Times New Roman" w:cs="Times New Roman"/>
          <w:sz w:val="28"/>
          <w:szCs w:val="28"/>
          <w:lang w:val="uk-UA"/>
        </w:rPr>
        <w:t>: чоловіч</w:t>
      </w:r>
      <w:r>
        <w:rPr>
          <w:rFonts w:ascii="Times New Roman" w:hAnsi="Times New Roman" w:cs="Times New Roman"/>
          <w:sz w:val="28"/>
          <w:szCs w:val="28"/>
          <w:lang w:val="uk-UA"/>
        </w:rPr>
        <w:t>у</w:t>
      </w:r>
      <w:r w:rsidRPr="00F33B37">
        <w:rPr>
          <w:rFonts w:ascii="Times New Roman" w:hAnsi="Times New Roman" w:cs="Times New Roman"/>
          <w:sz w:val="28"/>
          <w:szCs w:val="28"/>
          <w:lang w:val="uk-UA"/>
        </w:rPr>
        <w:t xml:space="preserve"> стать</w:t>
      </w:r>
      <w:r>
        <w:rPr>
          <w:rFonts w:ascii="Times New Roman" w:hAnsi="Times New Roman" w:cs="Times New Roman"/>
          <w:sz w:val="28"/>
          <w:szCs w:val="28"/>
          <w:lang w:val="uk-UA"/>
        </w:rPr>
        <w:t xml:space="preserve"> (65,2%, р≤0,05)</w:t>
      </w:r>
      <w:r w:rsidRPr="00F33B37">
        <w:rPr>
          <w:rFonts w:ascii="Times New Roman" w:hAnsi="Times New Roman" w:cs="Times New Roman"/>
          <w:sz w:val="28"/>
          <w:szCs w:val="28"/>
          <w:lang w:val="uk-UA"/>
        </w:rPr>
        <w:t xml:space="preserve">; вік 65 </w:t>
      </w:r>
      <w:r>
        <w:rPr>
          <w:rFonts w:ascii="Times New Roman" w:hAnsi="Times New Roman" w:cs="Times New Roman"/>
          <w:sz w:val="28"/>
          <w:szCs w:val="28"/>
          <w:lang w:val="uk-UA"/>
        </w:rPr>
        <w:t>років і вище (51,9%, р≤0,05); випадок не давньої</w:t>
      </w:r>
      <w:r w:rsidRPr="00F33B37">
        <w:rPr>
          <w:rFonts w:ascii="Times New Roman" w:hAnsi="Times New Roman" w:cs="Times New Roman"/>
          <w:sz w:val="28"/>
          <w:szCs w:val="28"/>
          <w:lang w:val="uk-UA"/>
        </w:rPr>
        <w:t xml:space="preserve"> госпіталізації</w:t>
      </w:r>
      <w:r>
        <w:rPr>
          <w:rFonts w:ascii="Times New Roman" w:hAnsi="Times New Roman" w:cs="Times New Roman"/>
          <w:sz w:val="28"/>
          <w:szCs w:val="28"/>
          <w:lang w:val="uk-UA"/>
        </w:rPr>
        <w:t xml:space="preserve"> (95%, р≤0,001)</w:t>
      </w:r>
      <w:r w:rsidRPr="00F33B37">
        <w:rPr>
          <w:rFonts w:ascii="Times New Roman" w:hAnsi="Times New Roman" w:cs="Times New Roman"/>
          <w:sz w:val="28"/>
          <w:szCs w:val="28"/>
          <w:lang w:val="uk-UA"/>
        </w:rPr>
        <w:t>; лікування в попередні 3 місяці цефалоспоринами, пеніцилінами та фторхінолонами</w:t>
      </w:r>
      <w:r>
        <w:rPr>
          <w:rFonts w:ascii="Times New Roman" w:hAnsi="Times New Roman" w:cs="Times New Roman"/>
          <w:sz w:val="28"/>
          <w:szCs w:val="28"/>
          <w:lang w:val="uk-UA"/>
        </w:rPr>
        <w:t xml:space="preserve"> (95%, р≤0,001)</w:t>
      </w:r>
      <w:r w:rsidRPr="00F33B37">
        <w:rPr>
          <w:rFonts w:ascii="Times New Roman" w:hAnsi="Times New Roman" w:cs="Times New Roman"/>
          <w:sz w:val="28"/>
          <w:szCs w:val="28"/>
          <w:lang w:val="uk-UA"/>
        </w:rPr>
        <w:t>; захворювання простати</w:t>
      </w:r>
      <w:r>
        <w:rPr>
          <w:rFonts w:ascii="Times New Roman" w:hAnsi="Times New Roman" w:cs="Times New Roman"/>
          <w:sz w:val="28"/>
          <w:szCs w:val="28"/>
          <w:lang w:val="uk-UA"/>
        </w:rPr>
        <w:t xml:space="preserve"> (95%, р≤0,05)</w:t>
      </w:r>
      <w:r w:rsidRPr="00F33B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eastAsia="Times New Roman" w:hAnsi="Times New Roman" w:cs="Times New Roman"/>
          <w:color w:val="000000" w:themeColor="text1"/>
          <w:sz w:val="28"/>
          <w:szCs w:val="28"/>
          <w:lang w:val="uk-UA" w:eastAsia="ru-RU"/>
        </w:rPr>
        <w:t>18, 54, 65, 122</w:t>
      </w:r>
      <w:r w:rsidRPr="00332028">
        <w:rPr>
          <w:rFonts w:ascii="Times New Roman" w:eastAsia="Times New Roman" w:hAnsi="Times New Roman" w:cs="Times New Roman"/>
          <w:color w:val="000000" w:themeColor="text1"/>
          <w:sz w:val="28"/>
          <w:szCs w:val="28"/>
          <w:lang w:val="uk-UA" w:eastAsia="ru-RU"/>
        </w:rPr>
        <w:t>].</w:t>
      </w:r>
    </w:p>
    <w:p w:rsidR="006B4867" w:rsidRDefault="006B4867" w:rsidP="006B4867">
      <w:pPr>
        <w:spacing w:after="0" w:line="360" w:lineRule="auto"/>
        <w:ind w:firstLine="709"/>
        <w:jc w:val="both"/>
        <w:rPr>
          <w:rFonts w:eastAsia="Times New Roman" w:cstheme="minorHAnsi"/>
          <w:color w:val="FF0000"/>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До факторів </w:t>
      </w:r>
      <w:r>
        <w:rPr>
          <w:rFonts w:ascii="Times New Roman" w:hAnsi="Times New Roman" w:cs="Times New Roman"/>
          <w:sz w:val="28"/>
          <w:szCs w:val="28"/>
          <w:lang w:val="uk-UA"/>
        </w:rPr>
        <w:t>ризику колонізації сечової системи уропатогенами з плазмідними механізмами резистентності до фторхінолонів,</w:t>
      </w:r>
      <w:r>
        <w:rPr>
          <w:rFonts w:ascii="Times New Roman" w:eastAsia="Times New Roman" w:hAnsi="Times New Roman" w:cs="Times New Roman"/>
          <w:color w:val="000000" w:themeColor="text1"/>
          <w:sz w:val="28"/>
          <w:szCs w:val="28"/>
          <w:lang w:val="uk-UA" w:eastAsia="ru-RU"/>
        </w:rPr>
        <w:t xml:space="preserve"> згідно з даними </w:t>
      </w:r>
      <w:r w:rsidRPr="006D2C0F">
        <w:rPr>
          <w:rStyle w:val="ad"/>
          <w:rFonts w:cstheme="minorHAnsi"/>
          <w:iCs/>
          <w:color w:val="000000"/>
          <w:sz w:val="28"/>
          <w:szCs w:val="28"/>
          <w:shd w:val="clear" w:color="auto" w:fill="FFFFFF"/>
          <w:lang w:val="en-US"/>
        </w:rPr>
        <w:t>Ver</w:t>
      </w:r>
      <w:r w:rsidRPr="00F53357">
        <w:rPr>
          <w:rStyle w:val="ad"/>
          <w:rFonts w:cstheme="minorHAnsi"/>
          <w:iCs/>
          <w:color w:val="000000"/>
          <w:sz w:val="28"/>
          <w:szCs w:val="28"/>
          <w:shd w:val="clear" w:color="auto" w:fill="FFFFFF"/>
          <w:lang w:val="uk-UA"/>
        </w:rPr>
        <w:t>ó</w:t>
      </w:r>
      <w:r w:rsidRPr="006D2C0F">
        <w:rPr>
          <w:rStyle w:val="ad"/>
          <w:rFonts w:cstheme="minorHAnsi"/>
          <w:iCs/>
          <w:color w:val="000000"/>
          <w:sz w:val="28"/>
          <w:szCs w:val="28"/>
          <w:shd w:val="clear" w:color="auto" w:fill="FFFFFF"/>
          <w:lang w:val="en-US"/>
        </w:rPr>
        <w:t>nica</w:t>
      </w:r>
      <w:r w:rsidRPr="00F53357">
        <w:rPr>
          <w:rStyle w:val="ad"/>
          <w:rFonts w:cstheme="minorHAnsi"/>
          <w:iCs/>
          <w:color w:val="000000"/>
          <w:sz w:val="28"/>
          <w:szCs w:val="28"/>
          <w:shd w:val="clear" w:color="auto" w:fill="FFFFFF"/>
          <w:lang w:val="uk-UA"/>
        </w:rPr>
        <w:t xml:space="preserve"> </w:t>
      </w:r>
      <w:r w:rsidRPr="006D2C0F">
        <w:rPr>
          <w:rStyle w:val="ad"/>
          <w:rFonts w:cstheme="minorHAnsi"/>
          <w:iCs/>
          <w:color w:val="000000"/>
          <w:sz w:val="28"/>
          <w:szCs w:val="28"/>
          <w:shd w:val="clear" w:color="auto" w:fill="FFFFFF"/>
          <w:lang w:val="en-US"/>
        </w:rPr>
        <w:t>Seija</w:t>
      </w:r>
      <w:r>
        <w:rPr>
          <w:rFonts w:eastAsia="Times New Roman" w:cstheme="minorHAnsi"/>
          <w:color w:val="000000"/>
          <w:sz w:val="28"/>
          <w:szCs w:val="28"/>
          <w:lang w:val="uk-UA" w:eastAsia="ru-RU"/>
        </w:rPr>
        <w:t xml:space="preserve"> і співавт. та </w:t>
      </w:r>
      <w:r w:rsidRPr="00301145">
        <w:rPr>
          <w:rFonts w:eastAsia="Times New Roman" w:cstheme="minorHAnsi"/>
          <w:sz w:val="28"/>
          <w:szCs w:val="28"/>
          <w:lang w:val="en-US" w:eastAsia="ru-RU"/>
        </w:rPr>
        <w:t>Smithson</w:t>
      </w:r>
      <w:r w:rsidRPr="00F53357">
        <w:rPr>
          <w:rFonts w:eastAsia="Times New Roman" w:cstheme="minorHAnsi"/>
          <w:sz w:val="28"/>
          <w:szCs w:val="28"/>
          <w:lang w:val="uk-UA" w:eastAsia="ru-RU"/>
        </w:rPr>
        <w:t xml:space="preserve"> </w:t>
      </w:r>
      <w:r w:rsidRPr="00301145">
        <w:rPr>
          <w:rFonts w:eastAsia="Times New Roman" w:cstheme="minorHAnsi"/>
          <w:sz w:val="28"/>
          <w:szCs w:val="28"/>
          <w:lang w:val="en-US" w:eastAsia="ru-RU"/>
        </w:rPr>
        <w:t>A</w:t>
      </w:r>
      <w:r>
        <w:rPr>
          <w:rFonts w:eastAsia="Times New Roman" w:cstheme="minorHAnsi"/>
          <w:sz w:val="28"/>
          <w:szCs w:val="28"/>
          <w:lang w:val="uk-UA" w:eastAsia="ru-RU"/>
        </w:rPr>
        <w:t xml:space="preserve"> і співавт.,</w:t>
      </w:r>
      <w:r>
        <w:rPr>
          <w:rFonts w:ascii="Times New Roman" w:hAnsi="Times New Roman" w:cs="Times New Roman"/>
          <w:sz w:val="28"/>
          <w:szCs w:val="28"/>
          <w:lang w:val="uk-UA"/>
        </w:rPr>
        <w:t xml:space="preserve"> були віднесені: вік старше 60 років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w:t>
      </w:r>
      <w:r w:rsidRPr="003E53E5">
        <w:rPr>
          <w:rFonts w:ascii="Times New Roman" w:hAnsi="Times New Roman" w:cs="Times New Roman"/>
          <w:sz w:val="28"/>
          <w:szCs w:val="28"/>
          <w:lang w:val="uk-UA"/>
        </w:rPr>
        <w:t>52</w:t>
      </w:r>
      <w:r>
        <w:rPr>
          <w:rFonts w:ascii="Times New Roman" w:hAnsi="Times New Roman" w:cs="Times New Roman"/>
          <w:sz w:val="28"/>
          <w:szCs w:val="28"/>
          <w:lang w:val="uk-UA"/>
        </w:rPr>
        <w:t>)</w:t>
      </w:r>
      <w:r w:rsidRPr="003E53E5">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наявність обструкції сечових шляхів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2,09), епізод </w:t>
      </w:r>
      <w:r>
        <w:rPr>
          <w:rFonts w:ascii="Times New Roman" w:hAnsi="Times New Roman" w:cs="Times New Roman"/>
          <w:sz w:val="28"/>
          <w:szCs w:val="28"/>
          <w:lang w:val="uk-UA"/>
        </w:rPr>
        <w:lastRenderedPageBreak/>
        <w:t>рецидиву ІСС у минулому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2,98), та прийом фторхінолонів у попередні 3 місяця (</w:t>
      </w:r>
      <w:r>
        <w:rPr>
          <w:rFonts w:ascii="Times New Roman" w:hAnsi="Times New Roman" w:cs="Times New Roman"/>
          <w:sz w:val="28"/>
          <w:szCs w:val="28"/>
          <w:lang w:val="en-US"/>
        </w:rPr>
        <w:t>OR</w:t>
      </w:r>
      <w:r>
        <w:rPr>
          <w:rFonts w:ascii="Times New Roman" w:hAnsi="Times New Roman" w:cs="Times New Roman"/>
          <w:sz w:val="28"/>
          <w:szCs w:val="28"/>
          <w:lang w:val="uk-UA"/>
        </w:rPr>
        <w:t xml:space="preserve"> 4,27) [111, </w:t>
      </w:r>
      <w:r>
        <w:rPr>
          <w:rStyle w:val="ad"/>
          <w:rFonts w:cstheme="minorHAnsi"/>
          <w:iCs/>
          <w:color w:val="000000"/>
          <w:sz w:val="28"/>
          <w:szCs w:val="28"/>
          <w:shd w:val="clear" w:color="auto" w:fill="FFFFFF"/>
          <w:lang w:val="uk-UA"/>
        </w:rPr>
        <w:t>126</w:t>
      </w:r>
      <w:r w:rsidRPr="00A05B75">
        <w:rPr>
          <w:rFonts w:eastAsia="Times New Roman" w:cstheme="minorHAnsi"/>
          <w:color w:val="000000"/>
          <w:sz w:val="28"/>
          <w:szCs w:val="28"/>
          <w:lang w:val="uk-UA" w:eastAsia="ru-RU"/>
        </w:rPr>
        <w:t>]</w:t>
      </w:r>
      <w:r>
        <w:rPr>
          <w:rFonts w:eastAsia="Times New Roman" w:cstheme="minorHAnsi"/>
          <w:sz w:val="28"/>
          <w:szCs w:val="28"/>
          <w:lang w:val="uk-UA" w:eastAsia="ru-RU"/>
        </w:rPr>
        <w:t xml:space="preserve">. </w:t>
      </w:r>
    </w:p>
    <w:p w:rsidR="006B4867" w:rsidRDefault="006B4867" w:rsidP="006B486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Отже, визначення факторів, пов’язаних з наявністю плазмід-індукованих механізмів резистентності у хворих на ХП </w:t>
      </w:r>
      <w:r w:rsidRPr="007008D1">
        <w:rPr>
          <w:rFonts w:ascii="Times New Roman" w:hAnsi="Times New Roman"/>
          <w:color w:val="000000" w:themeColor="text1"/>
          <w:sz w:val="28"/>
          <w:szCs w:val="28"/>
          <w:lang w:val="uk-UA"/>
        </w:rPr>
        <w:t xml:space="preserve">і </w:t>
      </w:r>
      <w:r>
        <w:rPr>
          <w:rFonts w:ascii="Times New Roman" w:hAnsi="Times New Roman"/>
          <w:color w:val="000000" w:themeColor="text1"/>
          <w:sz w:val="28"/>
          <w:szCs w:val="28"/>
          <w:lang w:val="uk-UA"/>
        </w:rPr>
        <w:t xml:space="preserve">супутній </w:t>
      </w:r>
      <w:r w:rsidRPr="007008D1">
        <w:rPr>
          <w:rFonts w:ascii="Times New Roman" w:hAnsi="Times New Roman"/>
          <w:color w:val="000000" w:themeColor="text1"/>
          <w:sz w:val="28"/>
          <w:szCs w:val="28"/>
          <w:lang w:val="uk-UA"/>
        </w:rPr>
        <w:t>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r>
        <w:rPr>
          <w:rFonts w:ascii="Times New Roman" w:hAnsi="Times New Roman" w:cs="Times New Roman"/>
          <w:color w:val="000000" w:themeColor="text1"/>
          <w:sz w:val="28"/>
          <w:szCs w:val="28"/>
          <w:lang w:val="uk-UA"/>
        </w:rPr>
        <w:t xml:space="preserve">, дозволило відокремити основні категорії хворих, в план обстеження яких доцільно включати дослідження експресії плазмідних генів резистентності. </w:t>
      </w:r>
    </w:p>
    <w:p w:rsidR="006B4867" w:rsidRPr="008720E7" w:rsidRDefault="006B4867" w:rsidP="006B486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Наступним важливим кроком нашої роботи </w:t>
      </w:r>
      <w:r>
        <w:rPr>
          <w:sz w:val="28"/>
          <w:szCs w:val="28"/>
          <w:lang w:val="uk-UA"/>
        </w:rPr>
        <w:t xml:space="preserve">було встановлення взаємозв’язків між чутливістю/резистентністю </w:t>
      </w:r>
      <w:r>
        <w:rPr>
          <w:sz w:val="28"/>
          <w:szCs w:val="28"/>
          <w:lang w:val="en-US"/>
        </w:rPr>
        <w:t>in</w:t>
      </w:r>
      <w:r w:rsidRPr="003A5341">
        <w:rPr>
          <w:sz w:val="28"/>
          <w:szCs w:val="28"/>
          <w:lang w:val="uk-UA"/>
        </w:rPr>
        <w:t xml:space="preserve"> </w:t>
      </w:r>
      <w:r>
        <w:rPr>
          <w:sz w:val="28"/>
          <w:szCs w:val="28"/>
          <w:lang w:val="en-US"/>
        </w:rPr>
        <w:t>vitro</w:t>
      </w:r>
      <w:r>
        <w:rPr>
          <w:sz w:val="28"/>
          <w:szCs w:val="28"/>
          <w:lang w:val="uk-UA"/>
        </w:rPr>
        <w:t xml:space="preserve"> до АБП та наявністю плазмід-індукованих механізмів резистентності серед збудників ХП </w:t>
      </w:r>
      <w:r>
        <w:rPr>
          <w:rFonts w:ascii="Times New Roman" w:hAnsi="Times New Roman" w:cs="Times New Roman"/>
          <w:sz w:val="28"/>
          <w:szCs w:val="28"/>
          <w:lang w:val="uk-UA"/>
        </w:rPr>
        <w:t xml:space="preserve">(глава 3, розділ 3.3), що </w:t>
      </w:r>
      <w:r>
        <w:rPr>
          <w:sz w:val="28"/>
          <w:szCs w:val="28"/>
          <w:lang w:val="uk-UA"/>
        </w:rPr>
        <w:t xml:space="preserve">з одного боку дозволило визначити необхідність дослідження експресії плазмідних генів стійкості у бактерій з резистентністю до АБП </w:t>
      </w:r>
      <w:r>
        <w:rPr>
          <w:sz w:val="28"/>
          <w:szCs w:val="28"/>
          <w:lang w:val="en-US"/>
        </w:rPr>
        <w:t>in</w:t>
      </w:r>
      <w:r w:rsidRPr="003A5341">
        <w:rPr>
          <w:sz w:val="28"/>
          <w:szCs w:val="28"/>
          <w:lang w:val="uk-UA"/>
        </w:rPr>
        <w:t xml:space="preserve"> </w:t>
      </w:r>
      <w:r>
        <w:rPr>
          <w:sz w:val="28"/>
          <w:szCs w:val="28"/>
          <w:lang w:val="en-US"/>
        </w:rPr>
        <w:t>vitro</w:t>
      </w:r>
      <w:r>
        <w:rPr>
          <w:sz w:val="28"/>
          <w:szCs w:val="28"/>
          <w:lang w:val="uk-UA"/>
        </w:rPr>
        <w:t>, а з іншого – встановити найбільш ефективні препарати проти мікроорганізмів з плазмідними генами резистентності.</w:t>
      </w:r>
      <w:r>
        <w:rPr>
          <w:rFonts w:ascii="Times New Roman" w:hAnsi="Times New Roman" w:cs="Times New Roman"/>
          <w:sz w:val="28"/>
          <w:szCs w:val="28"/>
          <w:lang w:val="uk-UA"/>
        </w:rPr>
        <w:t xml:space="preserve"> </w:t>
      </w:r>
      <w:r w:rsidRPr="00AC771A">
        <w:rPr>
          <w:rFonts w:cstheme="minorHAnsi"/>
          <w:sz w:val="28"/>
          <w:szCs w:val="28"/>
          <w:lang w:val="uk-UA"/>
        </w:rPr>
        <w:t xml:space="preserve">Резистентність </w:t>
      </w:r>
      <w:r w:rsidRPr="00AC771A">
        <w:rPr>
          <w:rFonts w:cstheme="minorHAnsi"/>
          <w:sz w:val="28"/>
          <w:szCs w:val="28"/>
          <w:lang w:val="en-US"/>
        </w:rPr>
        <w:t>in</w:t>
      </w:r>
      <w:r w:rsidRPr="00AC771A">
        <w:rPr>
          <w:rFonts w:cstheme="minorHAnsi"/>
          <w:sz w:val="28"/>
          <w:szCs w:val="28"/>
          <w:lang w:val="uk-UA"/>
        </w:rPr>
        <w:t xml:space="preserve"> </w:t>
      </w:r>
      <w:r w:rsidRPr="00AC771A">
        <w:rPr>
          <w:rFonts w:cstheme="minorHAnsi"/>
          <w:sz w:val="28"/>
          <w:szCs w:val="28"/>
          <w:lang w:val="en-US"/>
        </w:rPr>
        <w:t>vitro</w:t>
      </w:r>
      <w:r w:rsidRPr="00AC771A">
        <w:rPr>
          <w:rFonts w:cstheme="minorHAnsi"/>
          <w:sz w:val="28"/>
          <w:szCs w:val="28"/>
          <w:lang w:val="uk-UA"/>
        </w:rPr>
        <w:t xml:space="preserve"> до амінопеніциллінів, цефалоспоринів та фторхінолонів </w:t>
      </w:r>
      <w:r>
        <w:rPr>
          <w:rFonts w:cstheme="minorHAnsi"/>
          <w:sz w:val="28"/>
          <w:szCs w:val="28"/>
          <w:lang w:val="uk-UA"/>
        </w:rPr>
        <w:t xml:space="preserve">була </w:t>
      </w:r>
      <w:r w:rsidRPr="00AC771A">
        <w:rPr>
          <w:rFonts w:cstheme="minorHAnsi"/>
          <w:sz w:val="28"/>
          <w:szCs w:val="28"/>
          <w:lang w:val="uk-UA"/>
        </w:rPr>
        <w:t xml:space="preserve">достовірно пов’язана з наявністю в уропатогенних штамах плазмідних βЛРС типу </w:t>
      </w:r>
      <w:r w:rsidRPr="00AC771A">
        <w:rPr>
          <w:rFonts w:cstheme="minorHAnsi"/>
          <w:sz w:val="28"/>
          <w:szCs w:val="28"/>
          <w:lang w:val="en-US"/>
        </w:rPr>
        <w:t>blaCTX</w:t>
      </w:r>
      <w:r w:rsidRPr="00AC771A">
        <w:rPr>
          <w:rFonts w:cstheme="minorHAnsi"/>
          <w:sz w:val="28"/>
          <w:szCs w:val="28"/>
          <w:lang w:val="uk-UA"/>
        </w:rPr>
        <w:t>-</w:t>
      </w:r>
      <w:r w:rsidRPr="00AC771A">
        <w:rPr>
          <w:rFonts w:cstheme="minorHAnsi"/>
          <w:sz w:val="28"/>
          <w:szCs w:val="28"/>
          <w:lang w:val="en-US"/>
        </w:rPr>
        <w:t>M</w:t>
      </w:r>
      <w:r w:rsidRPr="00AC771A">
        <w:rPr>
          <w:rFonts w:cstheme="minorHAnsi"/>
          <w:sz w:val="28"/>
          <w:szCs w:val="28"/>
          <w:lang w:val="uk-UA"/>
        </w:rPr>
        <w:t xml:space="preserve">, </w:t>
      </w:r>
      <w:r w:rsidRPr="00AC771A">
        <w:rPr>
          <w:rFonts w:cstheme="minorHAnsi"/>
          <w:sz w:val="28"/>
          <w:szCs w:val="28"/>
          <w:lang w:val="en-US"/>
        </w:rPr>
        <w:t>blaTEM</w:t>
      </w:r>
      <w:r w:rsidRPr="00AC771A">
        <w:rPr>
          <w:rFonts w:cstheme="minorHAnsi"/>
          <w:sz w:val="28"/>
          <w:szCs w:val="28"/>
          <w:lang w:val="uk-UA"/>
        </w:rPr>
        <w:t xml:space="preserve">, </w:t>
      </w:r>
      <w:r w:rsidRPr="00AC771A">
        <w:rPr>
          <w:rFonts w:cstheme="minorHAnsi"/>
          <w:sz w:val="28"/>
          <w:szCs w:val="28"/>
          <w:lang w:val="en-US"/>
        </w:rPr>
        <w:t>blaSHV</w:t>
      </w:r>
      <w:r w:rsidRPr="00AC771A">
        <w:rPr>
          <w:rFonts w:cstheme="minorHAnsi"/>
          <w:sz w:val="28"/>
          <w:szCs w:val="28"/>
          <w:lang w:val="uk-UA"/>
        </w:rPr>
        <w:t xml:space="preserve">. Резистентність до аміноглікозидів була достовірно пов’язана з виявленням </w:t>
      </w:r>
      <w:r w:rsidRPr="00AC771A">
        <w:rPr>
          <w:rFonts w:cstheme="minorHAnsi"/>
          <w:sz w:val="28"/>
          <w:szCs w:val="28"/>
          <w:lang w:val="en-US"/>
        </w:rPr>
        <w:t>blaCTX</w:t>
      </w:r>
      <w:r w:rsidRPr="00AC771A">
        <w:rPr>
          <w:rFonts w:cstheme="minorHAnsi"/>
          <w:sz w:val="28"/>
          <w:szCs w:val="28"/>
          <w:lang w:val="uk-UA"/>
        </w:rPr>
        <w:t>-</w:t>
      </w:r>
      <w:r w:rsidRPr="00AC771A">
        <w:rPr>
          <w:rFonts w:cstheme="minorHAnsi"/>
          <w:sz w:val="28"/>
          <w:szCs w:val="28"/>
          <w:lang w:val="en-US"/>
        </w:rPr>
        <w:t>M</w:t>
      </w:r>
      <w:r w:rsidRPr="00AC771A">
        <w:rPr>
          <w:rFonts w:cstheme="minorHAnsi"/>
          <w:sz w:val="28"/>
          <w:szCs w:val="28"/>
          <w:lang w:val="uk-UA"/>
        </w:rPr>
        <w:t xml:space="preserve">. Найбільшу інгібуючу активність проти βЛРС-продукуючих мікроорганізмів проявили меропенем, фосфоміцин, нітроксолін. Також високу </w:t>
      </w:r>
      <w:r>
        <w:rPr>
          <w:rFonts w:cstheme="minorHAnsi"/>
          <w:sz w:val="28"/>
          <w:szCs w:val="28"/>
          <w:lang w:val="uk-UA"/>
        </w:rPr>
        <w:t>активність</w:t>
      </w:r>
      <w:r w:rsidRPr="00AC771A">
        <w:rPr>
          <w:rFonts w:cstheme="minorHAnsi"/>
          <w:sz w:val="28"/>
          <w:szCs w:val="28"/>
          <w:lang w:val="uk-UA"/>
        </w:rPr>
        <w:t xml:space="preserve"> проти штамів з геном </w:t>
      </w:r>
      <w:r w:rsidRPr="00AC771A">
        <w:rPr>
          <w:rFonts w:cstheme="minorHAnsi"/>
          <w:sz w:val="28"/>
          <w:szCs w:val="28"/>
          <w:lang w:val="en-US"/>
        </w:rPr>
        <w:t>blaCTX</w:t>
      </w:r>
      <w:r w:rsidRPr="00AC771A">
        <w:rPr>
          <w:rFonts w:cstheme="minorHAnsi"/>
          <w:sz w:val="28"/>
          <w:szCs w:val="28"/>
          <w:lang w:val="uk-UA"/>
        </w:rPr>
        <w:t>-</w:t>
      </w:r>
      <w:r w:rsidRPr="00AC771A">
        <w:rPr>
          <w:rFonts w:cstheme="minorHAnsi"/>
          <w:sz w:val="28"/>
          <w:szCs w:val="28"/>
          <w:lang w:val="en-US"/>
        </w:rPr>
        <w:t>M</w:t>
      </w:r>
      <w:r w:rsidRPr="00AC771A">
        <w:rPr>
          <w:rFonts w:cstheme="minorHAnsi"/>
          <w:sz w:val="28"/>
          <w:szCs w:val="28"/>
          <w:lang w:val="uk-UA"/>
        </w:rPr>
        <w:t xml:space="preserve"> проявили ко-трімоксазол; проти штамів з геном </w:t>
      </w:r>
      <w:r w:rsidRPr="00AC771A">
        <w:rPr>
          <w:rFonts w:cstheme="minorHAnsi"/>
          <w:sz w:val="28"/>
          <w:szCs w:val="28"/>
          <w:lang w:val="en-US"/>
        </w:rPr>
        <w:t>blaTEM</w:t>
      </w:r>
      <w:r w:rsidRPr="00AC771A">
        <w:rPr>
          <w:rFonts w:cstheme="minorHAnsi"/>
          <w:sz w:val="28"/>
          <w:szCs w:val="28"/>
          <w:lang w:val="uk-UA"/>
        </w:rPr>
        <w:t xml:space="preserve"> – амікацин, цефіпім та гентаміцин; проти штамів з геном </w:t>
      </w:r>
      <w:r w:rsidRPr="00AC771A">
        <w:rPr>
          <w:rFonts w:cstheme="minorHAnsi"/>
          <w:sz w:val="28"/>
          <w:szCs w:val="28"/>
          <w:lang w:val="en-US"/>
        </w:rPr>
        <w:t>blaSHV</w:t>
      </w:r>
      <w:r w:rsidRPr="00AC771A">
        <w:rPr>
          <w:rFonts w:cstheme="minorHAnsi"/>
          <w:sz w:val="28"/>
          <w:szCs w:val="28"/>
          <w:lang w:val="uk-UA"/>
        </w:rPr>
        <w:t xml:space="preserve"> – амікацин та цефтріаксон.</w:t>
      </w:r>
      <w:r>
        <w:rPr>
          <w:rFonts w:cstheme="minorHAnsi"/>
          <w:sz w:val="28"/>
          <w:szCs w:val="28"/>
          <w:lang w:val="uk-UA"/>
        </w:rPr>
        <w:t xml:space="preserve"> </w:t>
      </w:r>
      <w:r w:rsidRPr="00AC771A">
        <w:rPr>
          <w:rFonts w:cstheme="minorHAnsi"/>
          <w:sz w:val="28"/>
          <w:szCs w:val="28"/>
          <w:lang w:val="uk-UA"/>
        </w:rPr>
        <w:t xml:space="preserve">Резистентність </w:t>
      </w:r>
      <w:r w:rsidRPr="00AC771A">
        <w:rPr>
          <w:rFonts w:cstheme="minorHAnsi"/>
          <w:sz w:val="28"/>
          <w:szCs w:val="28"/>
          <w:lang w:val="en-US"/>
        </w:rPr>
        <w:t>in</w:t>
      </w:r>
      <w:r w:rsidRPr="00AC771A">
        <w:rPr>
          <w:rFonts w:cstheme="minorHAnsi"/>
          <w:sz w:val="28"/>
          <w:szCs w:val="28"/>
          <w:lang w:val="uk-UA"/>
        </w:rPr>
        <w:t xml:space="preserve"> </w:t>
      </w:r>
      <w:r w:rsidRPr="00AC771A">
        <w:rPr>
          <w:rFonts w:cstheme="minorHAnsi"/>
          <w:sz w:val="28"/>
          <w:szCs w:val="28"/>
          <w:lang w:val="en-US"/>
        </w:rPr>
        <w:t>vitro</w:t>
      </w:r>
      <w:r w:rsidRPr="00AC771A">
        <w:rPr>
          <w:rFonts w:cstheme="minorHAnsi"/>
          <w:sz w:val="28"/>
          <w:szCs w:val="28"/>
          <w:lang w:val="uk-UA"/>
        </w:rPr>
        <w:t xml:space="preserve"> до амінопеніциллінів, фторхінолонів та аміноглікозидів </w:t>
      </w:r>
      <w:r>
        <w:rPr>
          <w:rFonts w:cstheme="minorHAnsi"/>
          <w:sz w:val="28"/>
          <w:szCs w:val="28"/>
          <w:lang w:val="uk-UA"/>
        </w:rPr>
        <w:t xml:space="preserve">була </w:t>
      </w:r>
      <w:r w:rsidRPr="00AC771A">
        <w:rPr>
          <w:rFonts w:cstheme="minorHAnsi"/>
          <w:sz w:val="28"/>
          <w:szCs w:val="28"/>
          <w:lang w:val="uk-UA"/>
        </w:rPr>
        <w:t xml:space="preserve">достовірно взаємопов’язана з наявністю в штамах плазмід-індукованих механізмів резистентності до фторхінолонів. </w:t>
      </w:r>
      <w:r>
        <w:rPr>
          <w:rFonts w:cstheme="minorHAnsi"/>
          <w:sz w:val="28"/>
          <w:szCs w:val="28"/>
          <w:lang w:val="uk-UA"/>
        </w:rPr>
        <w:t xml:space="preserve">Крім того була виявлена перехресна резистентність до цефалоспоринів, </w:t>
      </w:r>
      <w:r w:rsidRPr="00AC771A">
        <w:rPr>
          <w:rFonts w:cstheme="minorHAnsi"/>
          <w:sz w:val="28"/>
          <w:szCs w:val="28"/>
          <w:lang w:val="uk-UA"/>
        </w:rPr>
        <w:t>достовірно пов’язана з ген</w:t>
      </w:r>
      <w:r>
        <w:rPr>
          <w:rFonts w:cstheme="minorHAnsi"/>
          <w:sz w:val="28"/>
          <w:szCs w:val="28"/>
          <w:lang w:val="uk-UA"/>
        </w:rPr>
        <w:t>ами</w:t>
      </w:r>
      <w:r w:rsidRPr="00AC771A">
        <w:rPr>
          <w:rFonts w:cstheme="minorHAnsi"/>
          <w:sz w:val="28"/>
          <w:szCs w:val="28"/>
          <w:lang w:val="uk-UA"/>
        </w:rPr>
        <w:t xml:space="preserve"> QnrА</w:t>
      </w:r>
      <w:r>
        <w:rPr>
          <w:rFonts w:cstheme="minorHAnsi"/>
          <w:sz w:val="28"/>
          <w:szCs w:val="28"/>
          <w:lang w:val="uk-UA"/>
        </w:rPr>
        <w:t xml:space="preserve"> та</w:t>
      </w:r>
      <w:r w:rsidRPr="00AC771A">
        <w:rPr>
          <w:rFonts w:cstheme="minorHAnsi"/>
          <w:sz w:val="28"/>
          <w:szCs w:val="28"/>
          <w:lang w:val="uk-UA"/>
        </w:rPr>
        <w:t xml:space="preserve"> AAC(6 ')-Ib-cr. Найбільшу інгібуючу активність проти штамів з генами стійкості до фторхінолонів проявили меропенем, фосфоміцин, ко-трімоксазол. Також високу чутливість проти штамів з геном QepA проявили нітроксолін, фуромаг, нітрофурантоїн; проти штамів з геном </w:t>
      </w:r>
      <w:r w:rsidRPr="00AC771A">
        <w:rPr>
          <w:rFonts w:cstheme="minorHAnsi"/>
          <w:sz w:val="28"/>
          <w:szCs w:val="28"/>
          <w:lang w:val="uk-UA"/>
        </w:rPr>
        <w:lastRenderedPageBreak/>
        <w:t>AAC</w:t>
      </w:r>
      <w:r>
        <w:rPr>
          <w:rFonts w:cstheme="minorHAnsi"/>
          <w:sz w:val="28"/>
          <w:szCs w:val="28"/>
          <w:lang w:val="uk-UA"/>
        </w:rPr>
        <w:t>(6</w:t>
      </w:r>
      <w:r w:rsidRPr="00AC771A">
        <w:rPr>
          <w:rFonts w:cstheme="minorHAnsi"/>
          <w:sz w:val="28"/>
          <w:szCs w:val="28"/>
          <w:lang w:val="uk-UA"/>
        </w:rPr>
        <w:t>')-Ib-cr – аміноглікозиди.</w:t>
      </w:r>
      <w:r>
        <w:rPr>
          <w:rFonts w:cstheme="minorHAnsi"/>
          <w:sz w:val="28"/>
          <w:szCs w:val="28"/>
          <w:lang w:val="uk-UA"/>
        </w:rPr>
        <w:t xml:space="preserve"> </w:t>
      </w:r>
      <w:r>
        <w:rPr>
          <w:sz w:val="28"/>
          <w:szCs w:val="28"/>
          <w:lang w:val="uk-UA"/>
        </w:rPr>
        <w:t>Рівні резистентності уропатогенів без виявлених плазмідних генів стійкості були дещо вищі до аміноглікозидів (41%</w:t>
      </w:r>
      <w:r w:rsidRPr="00DE0717">
        <w:rPr>
          <w:sz w:val="28"/>
          <w:szCs w:val="28"/>
          <w:lang w:val="uk-UA"/>
        </w:rPr>
        <w:t xml:space="preserve"> </w:t>
      </w:r>
      <w:r>
        <w:rPr>
          <w:sz w:val="28"/>
          <w:szCs w:val="28"/>
          <w:lang w:val="en-US"/>
        </w:rPr>
        <w:t>vs</w:t>
      </w:r>
      <w:r w:rsidRPr="00DE0717">
        <w:rPr>
          <w:sz w:val="28"/>
          <w:szCs w:val="28"/>
          <w:lang w:val="uk-UA"/>
        </w:rPr>
        <w:t>. 37,5%</w:t>
      </w:r>
      <w:r>
        <w:rPr>
          <w:sz w:val="28"/>
          <w:szCs w:val="28"/>
          <w:lang w:val="uk-UA"/>
        </w:rPr>
        <w:t>), ко-трімоксазолу (</w:t>
      </w:r>
      <w:r w:rsidRPr="00DE0717">
        <w:rPr>
          <w:sz w:val="28"/>
          <w:szCs w:val="28"/>
          <w:lang w:val="uk-UA"/>
        </w:rPr>
        <w:t xml:space="preserve">44% </w:t>
      </w:r>
      <w:r>
        <w:rPr>
          <w:sz w:val="28"/>
          <w:szCs w:val="28"/>
          <w:lang w:val="en-US"/>
        </w:rPr>
        <w:t>vs</w:t>
      </w:r>
      <w:r w:rsidRPr="00DE0717">
        <w:rPr>
          <w:sz w:val="28"/>
          <w:szCs w:val="28"/>
          <w:lang w:val="uk-UA"/>
        </w:rPr>
        <w:t>. 36%</w:t>
      </w:r>
      <w:r>
        <w:rPr>
          <w:sz w:val="28"/>
          <w:szCs w:val="28"/>
          <w:lang w:val="uk-UA"/>
        </w:rPr>
        <w:t>), фосфоміцину (</w:t>
      </w:r>
      <w:r w:rsidRPr="00DE0717">
        <w:rPr>
          <w:sz w:val="28"/>
          <w:szCs w:val="28"/>
          <w:lang w:val="uk-UA"/>
        </w:rPr>
        <w:t xml:space="preserve">29% </w:t>
      </w:r>
      <w:r>
        <w:rPr>
          <w:sz w:val="28"/>
          <w:szCs w:val="28"/>
          <w:lang w:val="en-US"/>
        </w:rPr>
        <w:t>vs</w:t>
      </w:r>
      <w:r w:rsidRPr="00DE0717">
        <w:rPr>
          <w:sz w:val="28"/>
          <w:szCs w:val="28"/>
          <w:lang w:val="uk-UA"/>
        </w:rPr>
        <w:t>. 25%</w:t>
      </w:r>
      <w:r>
        <w:rPr>
          <w:sz w:val="28"/>
          <w:szCs w:val="28"/>
          <w:lang w:val="uk-UA"/>
        </w:rPr>
        <w:t>), цефіпіму</w:t>
      </w:r>
      <w:r w:rsidRPr="007C00EC">
        <w:rPr>
          <w:sz w:val="28"/>
          <w:szCs w:val="28"/>
          <w:lang w:val="uk-UA"/>
        </w:rPr>
        <w:t xml:space="preserve"> (44%</w:t>
      </w:r>
      <w:r>
        <w:rPr>
          <w:sz w:val="28"/>
          <w:szCs w:val="28"/>
          <w:lang w:val="uk-UA"/>
        </w:rPr>
        <w:t xml:space="preserve"> </w:t>
      </w:r>
      <w:r>
        <w:rPr>
          <w:sz w:val="28"/>
          <w:szCs w:val="28"/>
          <w:lang w:val="en-US"/>
        </w:rPr>
        <w:t>vs</w:t>
      </w:r>
      <w:r w:rsidRPr="005B4F14">
        <w:rPr>
          <w:sz w:val="28"/>
          <w:szCs w:val="28"/>
          <w:lang w:val="uk-UA"/>
        </w:rPr>
        <w:t xml:space="preserve">. </w:t>
      </w:r>
      <w:r w:rsidRPr="007C00EC">
        <w:rPr>
          <w:sz w:val="28"/>
          <w:szCs w:val="28"/>
          <w:lang w:val="uk-UA"/>
        </w:rPr>
        <w:t>39%)</w:t>
      </w:r>
      <w:r>
        <w:rPr>
          <w:sz w:val="28"/>
          <w:szCs w:val="28"/>
          <w:lang w:val="uk-UA"/>
        </w:rPr>
        <w:t xml:space="preserve"> та амоксициллін/клавуланату </w:t>
      </w:r>
      <w:r w:rsidRPr="007C00EC">
        <w:rPr>
          <w:sz w:val="28"/>
          <w:szCs w:val="28"/>
          <w:lang w:val="uk-UA"/>
        </w:rPr>
        <w:t>(60%</w:t>
      </w:r>
      <w:r w:rsidRPr="005B4F14">
        <w:rPr>
          <w:sz w:val="28"/>
          <w:szCs w:val="28"/>
          <w:lang w:val="uk-UA"/>
        </w:rPr>
        <w:t xml:space="preserve"> </w:t>
      </w:r>
      <w:r>
        <w:rPr>
          <w:sz w:val="28"/>
          <w:szCs w:val="28"/>
          <w:lang w:val="en-US"/>
        </w:rPr>
        <w:t>vs</w:t>
      </w:r>
      <w:r w:rsidRPr="005B4F14">
        <w:rPr>
          <w:sz w:val="28"/>
          <w:szCs w:val="28"/>
          <w:lang w:val="uk-UA"/>
        </w:rPr>
        <w:t>.</w:t>
      </w:r>
      <w:r w:rsidRPr="007C00EC">
        <w:rPr>
          <w:sz w:val="28"/>
          <w:szCs w:val="28"/>
          <w:lang w:val="uk-UA"/>
        </w:rPr>
        <w:t xml:space="preserve"> 58%)</w:t>
      </w:r>
      <w:r>
        <w:rPr>
          <w:sz w:val="28"/>
          <w:szCs w:val="28"/>
          <w:lang w:val="uk-UA"/>
        </w:rPr>
        <w:t>, однак</w:t>
      </w:r>
      <w:r w:rsidRPr="007C00EC">
        <w:rPr>
          <w:sz w:val="28"/>
          <w:szCs w:val="28"/>
          <w:lang w:val="uk-UA"/>
        </w:rPr>
        <w:t xml:space="preserve"> </w:t>
      </w:r>
      <w:r>
        <w:rPr>
          <w:sz w:val="28"/>
          <w:szCs w:val="28"/>
          <w:lang w:val="uk-UA"/>
        </w:rPr>
        <w:t>достовірно не відрізнялись поміж груп.</w:t>
      </w:r>
    </w:p>
    <w:p w:rsidR="006B4867" w:rsidRDefault="006B4867" w:rsidP="006B4867">
      <w:pPr>
        <w:spacing w:after="0" w:line="360" w:lineRule="auto"/>
        <w:ind w:firstLine="709"/>
        <w:jc w:val="both"/>
        <w:rPr>
          <w:rFonts w:cstheme="minorHAnsi"/>
          <w:color w:val="000000"/>
          <w:sz w:val="28"/>
          <w:szCs w:val="28"/>
          <w:lang w:val="uk-UA"/>
        </w:rPr>
      </w:pPr>
      <w:r>
        <w:rPr>
          <w:sz w:val="28"/>
          <w:szCs w:val="28"/>
          <w:lang w:val="uk-UA"/>
        </w:rPr>
        <w:t xml:space="preserve">Отримані нами результати узгоджуються з даними світової літератури. Так, згідно опублікованого </w:t>
      </w:r>
      <w:r>
        <w:rPr>
          <w:rFonts w:cstheme="minorHAnsi"/>
          <w:sz w:val="28"/>
          <w:szCs w:val="28"/>
          <w:lang w:val="uk-UA"/>
        </w:rPr>
        <w:t xml:space="preserve">ретроспективного аналізу, </w:t>
      </w:r>
      <w:r>
        <w:rPr>
          <w:rFonts w:eastAsia="Times New Roman" w:cstheme="minorHAnsi"/>
          <w:color w:val="000000" w:themeColor="text1"/>
          <w:sz w:val="28"/>
          <w:szCs w:val="28"/>
          <w:lang w:val="uk-UA" w:eastAsia="ru-RU"/>
        </w:rPr>
        <w:t>рівні резистентності</w:t>
      </w:r>
      <w:r>
        <w:rPr>
          <w:sz w:val="28"/>
          <w:szCs w:val="28"/>
          <w:lang w:val="uk-UA"/>
        </w:rPr>
        <w:t xml:space="preserve"> </w:t>
      </w:r>
      <w:r>
        <w:rPr>
          <w:rFonts w:cstheme="minorHAnsi"/>
          <w:sz w:val="28"/>
          <w:szCs w:val="28"/>
          <w:lang w:val="uk-UA"/>
        </w:rPr>
        <w:t>бактерій з плазмідними механізмами резистентності складали: цефотаксім (100%), цефтазідім (100%), ампіциллін (69,5%), ципрофлоксацин (55,5%), цефіпім (32%), ко-трімоксазол (25%), налідиксовая кислота (23,4%), нітрофурантоїн (16,4%), амікацин (12,5%). Всі штами (100%) були чутливі до карбапенемів [</w:t>
      </w:r>
      <w:r>
        <w:rPr>
          <w:rFonts w:eastAsia="Times New Roman" w:cstheme="minorHAnsi"/>
          <w:color w:val="000000" w:themeColor="text1"/>
          <w:sz w:val="28"/>
          <w:szCs w:val="28"/>
          <w:lang w:val="uk-UA" w:eastAsia="ru-RU"/>
        </w:rPr>
        <w:t>80</w:t>
      </w:r>
      <w:r>
        <w:rPr>
          <w:rFonts w:cstheme="minorHAnsi"/>
          <w:sz w:val="28"/>
          <w:szCs w:val="28"/>
          <w:lang w:val="uk-UA"/>
        </w:rPr>
        <w:t>]. Згідно з</w:t>
      </w:r>
      <w:r>
        <w:rPr>
          <w:color w:val="000000" w:themeColor="text1"/>
          <w:sz w:val="28"/>
          <w:szCs w:val="28"/>
          <w:lang w:val="uk-UA"/>
        </w:rPr>
        <w:t xml:space="preserve"> даними</w:t>
      </w:r>
      <w:r w:rsidRPr="0015353F">
        <w:rPr>
          <w:lang w:val="uk-UA"/>
        </w:rPr>
        <w:t xml:space="preserve"> </w:t>
      </w:r>
      <w:r w:rsidRPr="00AC372B">
        <w:rPr>
          <w:rFonts w:ascii="Times New Roman" w:hAnsi="Times New Roman" w:cs="Times New Roman"/>
          <w:sz w:val="28"/>
          <w:szCs w:val="28"/>
          <w:shd w:val="clear" w:color="auto" w:fill="FFFFFF"/>
          <w:lang w:val="en-US"/>
        </w:rPr>
        <w:t>Kresken</w:t>
      </w:r>
      <w:r w:rsidRPr="0015353F">
        <w:rPr>
          <w:rFonts w:ascii="Times New Roman" w:hAnsi="Times New Roman" w:cs="Times New Roman"/>
          <w:sz w:val="28"/>
          <w:szCs w:val="28"/>
          <w:shd w:val="clear" w:color="auto" w:fill="FFFFFF"/>
          <w:lang w:val="uk-UA"/>
        </w:rPr>
        <w:t xml:space="preserve"> </w:t>
      </w:r>
      <w:r w:rsidRPr="00AC372B">
        <w:rPr>
          <w:rFonts w:ascii="Times New Roman" w:hAnsi="Times New Roman" w:cs="Times New Roman"/>
          <w:sz w:val="28"/>
          <w:szCs w:val="28"/>
          <w:shd w:val="clear" w:color="auto" w:fill="FFFFFF"/>
          <w:lang w:val="en-US"/>
        </w:rPr>
        <w:t>M</w:t>
      </w:r>
      <w:r w:rsidRPr="00287195">
        <w:rPr>
          <w:rFonts w:ascii="Times New Roman" w:hAnsi="Times New Roman" w:cs="Times New Roman"/>
          <w:color w:val="000000"/>
          <w:sz w:val="28"/>
          <w:szCs w:val="28"/>
          <w:shd w:val="clear" w:color="auto" w:fill="FFFFFF"/>
          <w:lang w:val="uk-UA"/>
        </w:rPr>
        <w:t xml:space="preserve"> та соавт.</w:t>
      </w:r>
      <w:r>
        <w:rPr>
          <w:rFonts w:ascii="Times New Roman" w:hAnsi="Times New Roman" w:cs="Times New Roman"/>
          <w:color w:val="000000"/>
          <w:sz w:val="28"/>
          <w:szCs w:val="28"/>
          <w:shd w:val="clear" w:color="auto" w:fill="FFFFFF"/>
          <w:lang w:val="uk-UA"/>
        </w:rPr>
        <w:t xml:space="preserve">, рівні резистентності штамів з плазмідними генами </w:t>
      </w:r>
      <w:r>
        <w:rPr>
          <w:rFonts w:cstheme="minorHAnsi"/>
          <w:sz w:val="28"/>
          <w:szCs w:val="28"/>
          <w:lang w:val="en-US"/>
        </w:rPr>
        <w:t>blaCTX</w:t>
      </w:r>
      <w:r w:rsidRPr="00287195">
        <w:rPr>
          <w:rFonts w:cstheme="minorHAnsi"/>
          <w:sz w:val="28"/>
          <w:szCs w:val="28"/>
          <w:lang w:val="uk-UA"/>
        </w:rPr>
        <w:t>-</w:t>
      </w:r>
      <w:r>
        <w:rPr>
          <w:rFonts w:cstheme="minorHAnsi"/>
          <w:sz w:val="28"/>
          <w:szCs w:val="28"/>
          <w:lang w:val="en-US"/>
        </w:rPr>
        <w:t>M</w:t>
      </w:r>
      <w:r>
        <w:rPr>
          <w:rFonts w:cstheme="minorHAnsi"/>
          <w:sz w:val="28"/>
          <w:szCs w:val="28"/>
          <w:lang w:val="uk-UA"/>
        </w:rPr>
        <w:t xml:space="preserve"> були високими до: </w:t>
      </w:r>
      <w:r>
        <w:rPr>
          <w:color w:val="000000" w:themeColor="text1"/>
          <w:sz w:val="28"/>
          <w:szCs w:val="28"/>
          <w:lang w:val="uk-UA"/>
        </w:rPr>
        <w:t xml:space="preserve">ампіцилліну (42,9%), амоксициллін/клавуланату (32,7%), тріметопрім/сульфометоксазолу (30,9%), ципрофлоксацину (19,8%). Тільки фосфоміцин і карбапенеми мали 100% активність проти бактерій з </w:t>
      </w:r>
      <w:r>
        <w:rPr>
          <w:rFonts w:ascii="Times New Roman" w:hAnsi="Times New Roman" w:cs="Times New Roman"/>
          <w:color w:val="000000"/>
          <w:sz w:val="28"/>
          <w:szCs w:val="28"/>
          <w:shd w:val="clear" w:color="auto" w:fill="FFFFFF"/>
          <w:lang w:val="uk-UA"/>
        </w:rPr>
        <w:t xml:space="preserve">плазмідними генами </w:t>
      </w:r>
      <w:r>
        <w:rPr>
          <w:rFonts w:cstheme="minorHAnsi"/>
          <w:sz w:val="28"/>
          <w:szCs w:val="28"/>
          <w:lang w:val="en-US"/>
        </w:rPr>
        <w:t>blaCTX</w:t>
      </w:r>
      <w:r w:rsidRPr="00287195">
        <w:rPr>
          <w:rFonts w:cstheme="minorHAnsi"/>
          <w:sz w:val="28"/>
          <w:szCs w:val="28"/>
          <w:lang w:val="uk-UA"/>
        </w:rPr>
        <w:t>-</w:t>
      </w:r>
      <w:r>
        <w:rPr>
          <w:rFonts w:cstheme="minorHAnsi"/>
          <w:sz w:val="28"/>
          <w:szCs w:val="28"/>
          <w:lang w:val="en-US"/>
        </w:rPr>
        <w:t>M</w:t>
      </w:r>
      <w:r>
        <w:rPr>
          <w:rFonts w:cstheme="minorHAnsi"/>
          <w:sz w:val="28"/>
          <w:szCs w:val="28"/>
          <w:lang w:val="uk-UA"/>
        </w:rPr>
        <w:t>, що також було продемонстровано і в нашому дослідженні</w:t>
      </w:r>
      <w:r>
        <w:rPr>
          <w:rFonts w:ascii="Times New Roman" w:hAnsi="Times New Roman" w:cs="Times New Roman"/>
          <w:color w:val="000000"/>
          <w:sz w:val="28"/>
          <w:szCs w:val="28"/>
          <w:shd w:val="clear" w:color="auto" w:fill="FFFFFF"/>
          <w:lang w:val="uk-UA"/>
        </w:rPr>
        <w:t xml:space="preserve"> </w:t>
      </w:r>
      <w:r w:rsidRPr="0015353F">
        <w:rPr>
          <w:rFonts w:cstheme="minorHAnsi"/>
          <w:color w:val="000000"/>
          <w:sz w:val="28"/>
          <w:szCs w:val="28"/>
          <w:lang w:val="uk-UA"/>
        </w:rPr>
        <w:t>[</w:t>
      </w:r>
      <w:r>
        <w:rPr>
          <w:rFonts w:cstheme="minorHAnsi"/>
          <w:color w:val="000000"/>
          <w:sz w:val="28"/>
          <w:szCs w:val="28"/>
          <w:lang w:val="uk-UA"/>
        </w:rPr>
        <w:t>68</w:t>
      </w:r>
      <w:r w:rsidRPr="007B2505">
        <w:rPr>
          <w:rFonts w:cstheme="minorHAnsi"/>
          <w:color w:val="000000"/>
          <w:sz w:val="28"/>
          <w:szCs w:val="28"/>
          <w:lang w:val="uk-UA"/>
        </w:rPr>
        <w:t>].</w:t>
      </w:r>
      <w:r>
        <w:rPr>
          <w:rFonts w:cstheme="minorHAnsi"/>
          <w:color w:val="000000"/>
          <w:sz w:val="28"/>
          <w:szCs w:val="28"/>
          <w:lang w:val="uk-UA"/>
        </w:rPr>
        <w:t xml:space="preserve"> </w:t>
      </w:r>
      <w:r w:rsidRPr="000A108A">
        <w:rPr>
          <w:rFonts w:cstheme="minorHAnsi"/>
          <w:sz w:val="28"/>
          <w:szCs w:val="28"/>
          <w:shd w:val="clear" w:color="auto" w:fill="FFFFFF"/>
        </w:rPr>
        <w:t>Eftekhar</w:t>
      </w:r>
      <w:r w:rsidRPr="000A108A">
        <w:rPr>
          <w:rFonts w:cstheme="minorHAnsi"/>
          <w:sz w:val="28"/>
          <w:szCs w:val="28"/>
          <w:shd w:val="clear" w:color="auto" w:fill="FFFFFF"/>
          <w:lang w:val="uk-UA"/>
        </w:rPr>
        <w:t xml:space="preserve"> </w:t>
      </w:r>
      <w:r w:rsidRPr="000A108A">
        <w:rPr>
          <w:rFonts w:cstheme="minorHAnsi"/>
          <w:sz w:val="28"/>
          <w:szCs w:val="28"/>
          <w:shd w:val="clear" w:color="auto" w:fill="FFFFFF"/>
        </w:rPr>
        <w:t>F</w:t>
      </w:r>
      <w:r>
        <w:rPr>
          <w:rFonts w:cstheme="minorHAnsi"/>
          <w:sz w:val="28"/>
          <w:szCs w:val="28"/>
          <w:shd w:val="clear" w:color="auto" w:fill="FFFFFF"/>
          <w:lang w:val="uk-UA"/>
        </w:rPr>
        <w:t xml:space="preserve"> та співавт., демонструють високі рівні резистентності штамів з плазмідними генами </w:t>
      </w:r>
      <w:r>
        <w:rPr>
          <w:rFonts w:cstheme="minorHAnsi"/>
          <w:color w:val="000000"/>
          <w:sz w:val="28"/>
          <w:szCs w:val="28"/>
          <w:lang w:val="en-US"/>
        </w:rPr>
        <w:t>blaTEM</w:t>
      </w:r>
      <w:r>
        <w:rPr>
          <w:rFonts w:cstheme="minorHAnsi"/>
          <w:color w:val="000000"/>
          <w:sz w:val="28"/>
          <w:szCs w:val="28"/>
          <w:lang w:val="uk-UA"/>
        </w:rPr>
        <w:t xml:space="preserve"> до амоксицилліну (96%), нітрофурантоїну (78%), амікацину (49%), цефтріаксону (41%). Меропенем та фосфоміцин проявили 100% інгібуючу активність </w:t>
      </w:r>
      <w:r>
        <w:rPr>
          <w:rFonts w:cstheme="minorHAnsi"/>
          <w:color w:val="000000"/>
          <w:sz w:val="28"/>
          <w:szCs w:val="28"/>
          <w:lang w:val="en-US"/>
        </w:rPr>
        <w:t>in</w:t>
      </w:r>
      <w:r w:rsidRPr="000A108A">
        <w:rPr>
          <w:rFonts w:cstheme="minorHAnsi"/>
          <w:color w:val="000000"/>
          <w:sz w:val="28"/>
          <w:szCs w:val="28"/>
          <w:lang w:val="uk-UA"/>
        </w:rPr>
        <w:t xml:space="preserve"> </w:t>
      </w:r>
      <w:r>
        <w:rPr>
          <w:rFonts w:cstheme="minorHAnsi"/>
          <w:color w:val="000000"/>
          <w:sz w:val="28"/>
          <w:szCs w:val="28"/>
          <w:lang w:val="en-US"/>
        </w:rPr>
        <w:t>vitro</w:t>
      </w:r>
      <w:r>
        <w:rPr>
          <w:rFonts w:cstheme="minorHAnsi"/>
          <w:sz w:val="28"/>
          <w:szCs w:val="28"/>
          <w:shd w:val="clear" w:color="auto" w:fill="FFFFFF"/>
          <w:lang w:val="uk-UA"/>
        </w:rPr>
        <w:t xml:space="preserve"> [</w:t>
      </w:r>
      <w:r>
        <w:rPr>
          <w:rFonts w:cstheme="minorHAnsi"/>
          <w:color w:val="000000"/>
          <w:sz w:val="28"/>
          <w:szCs w:val="28"/>
          <w:lang w:val="uk-UA"/>
        </w:rPr>
        <w:t>36</w:t>
      </w:r>
      <w:r w:rsidRPr="00DE6E93">
        <w:rPr>
          <w:rFonts w:cstheme="minorHAnsi"/>
          <w:color w:val="000000"/>
          <w:sz w:val="28"/>
          <w:szCs w:val="28"/>
          <w:lang w:val="uk-UA"/>
        </w:rPr>
        <w:t>].</w:t>
      </w:r>
      <w:r>
        <w:rPr>
          <w:rFonts w:cstheme="minorHAnsi"/>
          <w:color w:val="000000"/>
          <w:sz w:val="28"/>
          <w:szCs w:val="28"/>
          <w:lang w:val="uk-UA"/>
        </w:rPr>
        <w:t xml:space="preserve"> </w:t>
      </w:r>
      <w:r w:rsidRPr="00DE6E93">
        <w:rPr>
          <w:rFonts w:ascii="Times New Roman" w:hAnsi="Times New Roman" w:cs="Times New Roman"/>
          <w:sz w:val="28"/>
          <w:szCs w:val="28"/>
          <w:shd w:val="clear" w:color="auto" w:fill="FFFFFF"/>
          <w:lang w:val="en-US"/>
        </w:rPr>
        <w:t>Hammami</w:t>
      </w:r>
      <w:r w:rsidRPr="00C51CCC">
        <w:rPr>
          <w:rFonts w:ascii="Times New Roman" w:hAnsi="Times New Roman" w:cs="Times New Roman"/>
          <w:sz w:val="28"/>
          <w:szCs w:val="28"/>
          <w:shd w:val="clear" w:color="auto" w:fill="FFFFFF"/>
          <w:lang w:val="uk-UA"/>
        </w:rPr>
        <w:t xml:space="preserve"> </w:t>
      </w:r>
      <w:r w:rsidRPr="00DE6E93">
        <w:rPr>
          <w:rFonts w:ascii="Times New Roman" w:hAnsi="Times New Roman" w:cs="Times New Roman"/>
          <w:sz w:val="28"/>
          <w:szCs w:val="28"/>
          <w:shd w:val="clear" w:color="auto" w:fill="FFFFFF"/>
          <w:lang w:val="en-US"/>
        </w:rPr>
        <w:t>S</w:t>
      </w:r>
      <w:r>
        <w:rPr>
          <w:rFonts w:ascii="Times New Roman" w:hAnsi="Times New Roman" w:cs="Times New Roman"/>
          <w:sz w:val="28"/>
          <w:szCs w:val="28"/>
          <w:shd w:val="clear" w:color="auto" w:fill="FFFFFF"/>
          <w:lang w:val="uk-UA"/>
        </w:rPr>
        <w:t xml:space="preserve"> та співавт. демонструють високі рівні резистентності штамів з плазмідними генами </w:t>
      </w:r>
      <w:r>
        <w:rPr>
          <w:rFonts w:cstheme="minorHAnsi"/>
          <w:color w:val="000000"/>
          <w:sz w:val="28"/>
          <w:szCs w:val="28"/>
          <w:lang w:val="en-US"/>
        </w:rPr>
        <w:t>blaSHV</w:t>
      </w:r>
      <w:r>
        <w:rPr>
          <w:rFonts w:cstheme="minorHAnsi"/>
          <w:color w:val="000000"/>
          <w:sz w:val="28"/>
          <w:szCs w:val="28"/>
          <w:lang w:val="uk-UA"/>
        </w:rPr>
        <w:t xml:space="preserve"> до амоксицилліну, 2-ї генерації цефалоспоринів та ципрофлоксацину. Найбільш ефективними виявлені карбапенеми, амікацин та фосфоміцин </w:t>
      </w:r>
      <w:r w:rsidRPr="00FB603D">
        <w:rPr>
          <w:rFonts w:cstheme="minorHAnsi"/>
          <w:color w:val="000000"/>
          <w:sz w:val="28"/>
          <w:szCs w:val="28"/>
          <w:lang w:val="uk-UA"/>
        </w:rPr>
        <w:t>[</w:t>
      </w:r>
      <w:r>
        <w:rPr>
          <w:rFonts w:cstheme="minorHAnsi"/>
          <w:color w:val="000000"/>
          <w:sz w:val="28"/>
          <w:szCs w:val="28"/>
          <w:lang w:val="uk-UA"/>
        </w:rPr>
        <w:t>51</w:t>
      </w:r>
      <w:r w:rsidRPr="00FB603D">
        <w:rPr>
          <w:rFonts w:cstheme="minorHAnsi"/>
          <w:color w:val="000000"/>
          <w:sz w:val="28"/>
          <w:szCs w:val="28"/>
          <w:lang w:val="uk-UA"/>
        </w:rPr>
        <w:t>].</w:t>
      </w:r>
      <w:r>
        <w:rPr>
          <w:rFonts w:cstheme="minorHAnsi"/>
          <w:color w:val="000000"/>
          <w:sz w:val="28"/>
          <w:szCs w:val="28"/>
          <w:lang w:val="uk-UA"/>
        </w:rPr>
        <w:t xml:space="preserve"> Отже, найбільш ефективними препаратами проти βЛРС-продукуючих штамів є фосфоміцин, карбапенеми та аміноглікозиди.</w:t>
      </w:r>
    </w:p>
    <w:p w:rsidR="006B4867" w:rsidRDefault="006B4867" w:rsidP="006B4867">
      <w:pPr>
        <w:spacing w:after="0" w:line="360" w:lineRule="auto"/>
        <w:ind w:firstLine="709"/>
        <w:jc w:val="both"/>
        <w:rPr>
          <w:rFonts w:cstheme="minorHAnsi"/>
          <w:sz w:val="28"/>
          <w:szCs w:val="28"/>
          <w:lang w:val="uk-UA"/>
        </w:rPr>
      </w:pPr>
      <w:r>
        <w:rPr>
          <w:rFonts w:cstheme="minorHAnsi"/>
          <w:sz w:val="28"/>
          <w:szCs w:val="28"/>
          <w:lang w:val="uk-UA"/>
        </w:rPr>
        <w:t>Бактерії з виявленими плазмідними механізмами резистентності до фторхінолонів (QnrА, AAC</w:t>
      </w:r>
      <w:r w:rsidRPr="00F33B37">
        <w:rPr>
          <w:rFonts w:cstheme="minorHAnsi"/>
          <w:sz w:val="28"/>
          <w:szCs w:val="28"/>
          <w:lang w:val="uk-UA"/>
        </w:rPr>
        <w:t>(6 ')-Ib-cr</w:t>
      </w:r>
      <w:r>
        <w:rPr>
          <w:rFonts w:cstheme="minorHAnsi"/>
          <w:sz w:val="28"/>
          <w:szCs w:val="28"/>
          <w:lang w:val="uk-UA"/>
        </w:rPr>
        <w:t xml:space="preserve">, </w:t>
      </w:r>
      <w:r w:rsidRPr="00F33B37">
        <w:rPr>
          <w:rFonts w:cstheme="minorHAnsi"/>
          <w:sz w:val="28"/>
          <w:szCs w:val="28"/>
          <w:lang w:val="uk-UA"/>
        </w:rPr>
        <w:t>QepA</w:t>
      </w:r>
      <w:r>
        <w:rPr>
          <w:rFonts w:cstheme="minorHAnsi"/>
          <w:sz w:val="28"/>
          <w:szCs w:val="28"/>
          <w:lang w:val="uk-UA"/>
        </w:rPr>
        <w:t xml:space="preserve">), згідно даних </w:t>
      </w:r>
      <w:r w:rsidRPr="000C0D2E">
        <w:rPr>
          <w:rFonts w:cstheme="minorHAnsi"/>
          <w:sz w:val="28"/>
          <w:szCs w:val="28"/>
          <w:shd w:val="clear" w:color="auto" w:fill="FFFFFF"/>
        </w:rPr>
        <w:t>Jlili</w:t>
      </w:r>
      <w:r w:rsidRPr="000C0D2E">
        <w:rPr>
          <w:rFonts w:cstheme="minorHAnsi"/>
          <w:sz w:val="28"/>
          <w:szCs w:val="28"/>
          <w:shd w:val="clear" w:color="auto" w:fill="FFFFFF"/>
          <w:lang w:val="uk-UA"/>
        </w:rPr>
        <w:t xml:space="preserve"> </w:t>
      </w:r>
      <w:r w:rsidRPr="000C0D2E">
        <w:rPr>
          <w:rFonts w:cstheme="minorHAnsi"/>
          <w:sz w:val="28"/>
          <w:szCs w:val="28"/>
          <w:shd w:val="clear" w:color="auto" w:fill="FFFFFF"/>
        </w:rPr>
        <w:t>Nel</w:t>
      </w:r>
      <w:r w:rsidRPr="000C0D2E">
        <w:rPr>
          <w:rFonts w:cstheme="minorHAnsi"/>
          <w:sz w:val="28"/>
          <w:szCs w:val="28"/>
          <w:shd w:val="clear" w:color="auto" w:fill="FFFFFF"/>
          <w:lang w:val="uk-UA"/>
        </w:rPr>
        <w:t>-</w:t>
      </w:r>
      <w:r w:rsidRPr="000C0D2E">
        <w:rPr>
          <w:rFonts w:cstheme="minorHAnsi"/>
          <w:sz w:val="28"/>
          <w:szCs w:val="28"/>
          <w:shd w:val="clear" w:color="auto" w:fill="FFFFFF"/>
        </w:rPr>
        <w:t>H</w:t>
      </w:r>
      <w:r>
        <w:rPr>
          <w:rFonts w:cstheme="minorHAnsi"/>
          <w:sz w:val="28"/>
          <w:szCs w:val="28"/>
          <w:shd w:val="clear" w:color="auto" w:fill="FFFFFF"/>
          <w:lang w:val="uk-UA"/>
        </w:rPr>
        <w:t xml:space="preserve"> та співавт.,</w:t>
      </w:r>
      <w:r w:rsidRPr="000C0D2E">
        <w:rPr>
          <w:rFonts w:cstheme="minorHAnsi"/>
          <w:sz w:val="28"/>
          <w:szCs w:val="28"/>
          <w:shd w:val="clear" w:color="auto" w:fill="FFFFFF"/>
          <w:lang w:val="uk-UA"/>
        </w:rPr>
        <w:t xml:space="preserve"> </w:t>
      </w:r>
      <w:r w:rsidRPr="000C0D2E">
        <w:rPr>
          <w:rFonts w:cstheme="minorHAnsi"/>
          <w:sz w:val="28"/>
          <w:szCs w:val="28"/>
          <w:shd w:val="clear" w:color="auto" w:fill="FFFFFF"/>
        </w:rPr>
        <w:t>Pasom</w:t>
      </w:r>
      <w:r w:rsidRPr="000C0D2E">
        <w:rPr>
          <w:rFonts w:cstheme="minorHAnsi"/>
          <w:sz w:val="28"/>
          <w:szCs w:val="28"/>
          <w:shd w:val="clear" w:color="auto" w:fill="FFFFFF"/>
          <w:lang w:val="uk-UA"/>
        </w:rPr>
        <w:t xml:space="preserve"> </w:t>
      </w:r>
      <w:r w:rsidRPr="000C0D2E">
        <w:rPr>
          <w:rFonts w:cstheme="minorHAnsi"/>
          <w:sz w:val="28"/>
          <w:szCs w:val="28"/>
          <w:shd w:val="clear" w:color="auto" w:fill="FFFFFF"/>
        </w:rPr>
        <w:t>W</w:t>
      </w:r>
      <w:r>
        <w:rPr>
          <w:rFonts w:cstheme="minorHAnsi"/>
          <w:sz w:val="28"/>
          <w:szCs w:val="28"/>
          <w:shd w:val="clear" w:color="auto" w:fill="FFFFFF"/>
          <w:lang w:val="uk-UA"/>
        </w:rPr>
        <w:t xml:space="preserve"> та співавт., </w:t>
      </w:r>
      <w:r w:rsidRPr="000C0D2E">
        <w:rPr>
          <w:rFonts w:cstheme="minorHAnsi"/>
          <w:sz w:val="28"/>
          <w:szCs w:val="28"/>
          <w:shd w:val="clear" w:color="auto" w:fill="FFFFFF"/>
        </w:rPr>
        <w:t>Longhi</w:t>
      </w:r>
      <w:r w:rsidRPr="000C0D2E">
        <w:rPr>
          <w:rFonts w:cstheme="minorHAnsi"/>
          <w:sz w:val="28"/>
          <w:szCs w:val="28"/>
          <w:shd w:val="clear" w:color="auto" w:fill="FFFFFF"/>
          <w:lang w:val="uk-UA"/>
        </w:rPr>
        <w:t xml:space="preserve"> </w:t>
      </w:r>
      <w:r w:rsidRPr="000C0D2E">
        <w:rPr>
          <w:rFonts w:cstheme="minorHAnsi"/>
          <w:sz w:val="28"/>
          <w:szCs w:val="28"/>
          <w:shd w:val="clear" w:color="auto" w:fill="FFFFFF"/>
        </w:rPr>
        <w:t>C</w:t>
      </w:r>
      <w:r>
        <w:rPr>
          <w:rFonts w:cstheme="minorHAnsi"/>
          <w:sz w:val="28"/>
          <w:szCs w:val="28"/>
          <w:shd w:val="clear" w:color="auto" w:fill="FFFFFF"/>
          <w:lang w:val="uk-UA"/>
        </w:rPr>
        <w:t xml:space="preserve"> та співавт., мають високі рівні резистентності не тільки до фторхінолонів, а і до β-лактамів та </w:t>
      </w:r>
      <w:r>
        <w:rPr>
          <w:rFonts w:cstheme="minorHAnsi"/>
          <w:sz w:val="28"/>
          <w:szCs w:val="28"/>
          <w:shd w:val="clear" w:color="auto" w:fill="FFFFFF"/>
          <w:lang w:val="uk-UA"/>
        </w:rPr>
        <w:lastRenderedPageBreak/>
        <w:t xml:space="preserve">аміноглікозидів. </w:t>
      </w:r>
      <w:r>
        <w:rPr>
          <w:rFonts w:cstheme="minorHAnsi"/>
          <w:sz w:val="28"/>
          <w:szCs w:val="28"/>
          <w:lang w:val="uk-UA"/>
        </w:rPr>
        <w:t>Найбільший інгібуючий ефект проявили карбапенеми, фосфоміцин, ко-трімоксазол</w:t>
      </w:r>
      <w:r w:rsidRPr="00FA42BD">
        <w:rPr>
          <w:rFonts w:cstheme="minorHAnsi"/>
          <w:color w:val="000000"/>
          <w:sz w:val="28"/>
          <w:szCs w:val="28"/>
          <w:lang w:val="uk-UA"/>
        </w:rPr>
        <w:t xml:space="preserve"> [</w:t>
      </w:r>
      <w:r>
        <w:rPr>
          <w:rFonts w:cstheme="minorHAnsi"/>
          <w:color w:val="000000"/>
          <w:sz w:val="28"/>
          <w:szCs w:val="28"/>
          <w:lang w:val="uk-UA"/>
        </w:rPr>
        <w:t>61, 75, 89</w:t>
      </w:r>
      <w:r w:rsidRPr="00FB603D">
        <w:rPr>
          <w:rFonts w:cstheme="minorHAnsi"/>
          <w:color w:val="000000"/>
          <w:sz w:val="28"/>
          <w:szCs w:val="28"/>
          <w:lang w:val="uk-UA"/>
        </w:rPr>
        <w:t>].</w:t>
      </w:r>
      <w:r>
        <w:rPr>
          <w:rFonts w:cstheme="minorHAnsi"/>
          <w:sz w:val="28"/>
          <w:szCs w:val="28"/>
          <w:lang w:val="uk-UA"/>
        </w:rPr>
        <w:t xml:space="preserve"> </w:t>
      </w:r>
    </w:p>
    <w:p w:rsidR="006B4867" w:rsidRDefault="006B4867" w:rsidP="006B4867">
      <w:pPr>
        <w:spacing w:after="0" w:line="360" w:lineRule="auto"/>
        <w:ind w:firstLine="709"/>
        <w:jc w:val="both"/>
        <w:rPr>
          <w:sz w:val="28"/>
          <w:szCs w:val="28"/>
          <w:lang w:val="uk-UA"/>
        </w:rPr>
      </w:pPr>
      <w:r>
        <w:rPr>
          <w:rFonts w:cstheme="minorHAnsi"/>
          <w:sz w:val="28"/>
          <w:szCs w:val="28"/>
          <w:lang w:val="uk-UA"/>
        </w:rPr>
        <w:t xml:space="preserve">Отже, </w:t>
      </w:r>
      <w:r>
        <w:rPr>
          <w:sz w:val="28"/>
          <w:szCs w:val="28"/>
          <w:lang w:val="uk-UA"/>
        </w:rPr>
        <w:t xml:space="preserve">встановлені взаємозв’язки між чутливістю/резистентністю </w:t>
      </w:r>
      <w:r>
        <w:rPr>
          <w:sz w:val="28"/>
          <w:szCs w:val="28"/>
          <w:lang w:val="en-US"/>
        </w:rPr>
        <w:t>in</w:t>
      </w:r>
      <w:r w:rsidRPr="001D7234">
        <w:rPr>
          <w:sz w:val="28"/>
          <w:szCs w:val="28"/>
          <w:lang w:val="uk-UA"/>
        </w:rPr>
        <w:t xml:space="preserve"> </w:t>
      </w:r>
      <w:r>
        <w:rPr>
          <w:sz w:val="28"/>
          <w:szCs w:val="28"/>
          <w:lang w:val="en-US"/>
        </w:rPr>
        <w:t>vitro</w:t>
      </w:r>
      <w:r w:rsidRPr="001D7234">
        <w:rPr>
          <w:sz w:val="28"/>
          <w:szCs w:val="28"/>
          <w:lang w:val="uk-UA"/>
        </w:rPr>
        <w:t xml:space="preserve"> </w:t>
      </w:r>
      <w:r>
        <w:rPr>
          <w:sz w:val="28"/>
          <w:szCs w:val="28"/>
          <w:lang w:val="uk-UA"/>
        </w:rPr>
        <w:t xml:space="preserve">та наявністю плазмід-індукованих механізмів резистентності серед уропатогенів підтвердили необхідність дослідження експресії плазмідних генів стійкості у бактерій з резистентністю до АБП </w:t>
      </w:r>
      <w:r>
        <w:rPr>
          <w:sz w:val="28"/>
          <w:szCs w:val="28"/>
          <w:lang w:val="en-US"/>
        </w:rPr>
        <w:t>in</w:t>
      </w:r>
      <w:r w:rsidRPr="003A5341">
        <w:rPr>
          <w:sz w:val="28"/>
          <w:szCs w:val="28"/>
          <w:lang w:val="uk-UA"/>
        </w:rPr>
        <w:t xml:space="preserve"> </w:t>
      </w:r>
      <w:r>
        <w:rPr>
          <w:sz w:val="28"/>
          <w:szCs w:val="28"/>
          <w:lang w:val="en-US"/>
        </w:rPr>
        <w:t>vitro</w:t>
      </w:r>
      <w:r>
        <w:rPr>
          <w:sz w:val="28"/>
          <w:szCs w:val="28"/>
          <w:lang w:val="uk-UA"/>
        </w:rPr>
        <w:t xml:space="preserve">. Крім того, були визначені найбільш ефективні антибіотики </w:t>
      </w:r>
      <w:r>
        <w:rPr>
          <w:sz w:val="28"/>
          <w:szCs w:val="28"/>
          <w:lang w:val="en-US"/>
        </w:rPr>
        <w:t>in</w:t>
      </w:r>
      <w:r w:rsidRPr="00C672AB">
        <w:rPr>
          <w:sz w:val="28"/>
          <w:szCs w:val="28"/>
          <w:lang w:val="uk-UA"/>
        </w:rPr>
        <w:t xml:space="preserve"> </w:t>
      </w:r>
      <w:r>
        <w:rPr>
          <w:sz w:val="28"/>
          <w:szCs w:val="28"/>
          <w:lang w:val="en-US"/>
        </w:rPr>
        <w:t>vitro</w:t>
      </w:r>
      <w:r w:rsidRPr="00C672AB">
        <w:rPr>
          <w:sz w:val="28"/>
          <w:szCs w:val="28"/>
          <w:lang w:val="uk-UA"/>
        </w:rPr>
        <w:t xml:space="preserve"> </w:t>
      </w:r>
      <w:r>
        <w:rPr>
          <w:sz w:val="28"/>
          <w:szCs w:val="28"/>
          <w:lang w:val="uk-UA"/>
        </w:rPr>
        <w:t>проти мікроорганізмів з плазмідними механізмами резистентності в залежності від типів виявлених генів.</w:t>
      </w:r>
    </w:p>
    <w:p w:rsidR="006B4867" w:rsidRPr="004115D9" w:rsidRDefault="006B4867" w:rsidP="006B4867">
      <w:pPr>
        <w:spacing w:after="0" w:line="360" w:lineRule="auto"/>
        <w:ind w:firstLine="709"/>
        <w:jc w:val="both"/>
        <w:rPr>
          <w:sz w:val="28"/>
          <w:szCs w:val="28"/>
          <w:lang w:val="uk-UA"/>
        </w:rPr>
      </w:pPr>
      <w:r>
        <w:rPr>
          <w:sz w:val="28"/>
          <w:szCs w:val="28"/>
          <w:lang w:val="uk-UA"/>
        </w:rPr>
        <w:t xml:space="preserve">Далі, ми проаналізували вплив плазмід-індукованих механізмів резистентності на клінічну та бактеріологічну ефективність АБТ у хворих на ХП і супутній ЦД 2 типу (глава 3, розділ 3.4). У хворих з виявленими плазмід-індукованими механізмами резистентності спостерігається зниження клінічної ефективності АБТ у порівнянні з пацієнтами без генів резистентності, що проявляється більш повільним регресом клінічних симптомів: при виписці у хворих з виявленими </w:t>
      </w:r>
      <w:r>
        <w:rPr>
          <w:rFonts w:cstheme="minorHAnsi"/>
          <w:sz w:val="28"/>
          <w:szCs w:val="28"/>
          <w:lang w:val="uk-UA"/>
        </w:rPr>
        <w:t>β</w:t>
      </w:r>
      <w:r>
        <w:rPr>
          <w:sz w:val="28"/>
          <w:szCs w:val="28"/>
          <w:lang w:val="uk-UA"/>
        </w:rPr>
        <w:t>ЛРС зберігались скарги на астенічний (42%) та больовий синдроми (4%), а у пацієнтів з виявленими генами резистентності до фторхінолонів, больовий та інтоксикаційний синдроми, в день виписки, мали місце у 46% та 9% хворих відповідно. Тоді як пацієнти без генів резистентності в день виписки скарг не пред’являли. Щодо динаміки лабораторних маркерів в ході АБТ встановлено достовірне зниження лейкоцитозу на 17%, ШОЕ – на 9% у хворих без генів резистентності. Тоді як у пацієнтів з виявленими генами стійкості – спостерігається зниження лейкоцитозу на 28%, ШОЕ – на 7%. Регрес гематурії та лейкоцитурії у хворих з виявленими генами резистентності проходив повільніше ніж у пацієнтів без генів, проте навіть при виписці не досягав фізіологічних значень в жодній з груп. Крім того, середня тривалість АБТ у пацієнтів з виявленими плазмідними генами стійкості була достовірно вище (10,5</w:t>
      </w:r>
      <w:r w:rsidRPr="00F256DC">
        <w:rPr>
          <w:sz w:val="28"/>
          <w:szCs w:val="28"/>
          <w:lang w:val="uk-UA"/>
        </w:rPr>
        <w:t xml:space="preserve"> </w:t>
      </w:r>
      <w:r>
        <w:rPr>
          <w:sz w:val="28"/>
          <w:szCs w:val="28"/>
          <w:lang w:val="en-US"/>
        </w:rPr>
        <w:t>vs</w:t>
      </w:r>
      <w:r w:rsidRPr="00F256DC">
        <w:rPr>
          <w:sz w:val="28"/>
          <w:szCs w:val="28"/>
          <w:lang w:val="uk-UA"/>
        </w:rPr>
        <w:t>.</w:t>
      </w:r>
      <w:r>
        <w:rPr>
          <w:sz w:val="28"/>
          <w:szCs w:val="28"/>
          <w:lang w:val="uk-UA"/>
        </w:rPr>
        <w:t xml:space="preserve"> 8,4</w:t>
      </w:r>
      <w:r w:rsidRPr="00F256DC">
        <w:rPr>
          <w:sz w:val="28"/>
          <w:szCs w:val="28"/>
          <w:lang w:val="uk-UA"/>
        </w:rPr>
        <w:t xml:space="preserve">; </w:t>
      </w:r>
      <w:r>
        <w:rPr>
          <w:sz w:val="28"/>
          <w:szCs w:val="28"/>
          <w:lang w:val="uk-UA"/>
        </w:rPr>
        <w:t>р</w:t>
      </w:r>
      <w:r>
        <w:rPr>
          <w:rFonts w:cstheme="minorHAnsi"/>
          <w:sz w:val="28"/>
          <w:szCs w:val="28"/>
          <w:lang w:val="uk-UA"/>
        </w:rPr>
        <w:t>≤</w:t>
      </w:r>
      <w:r>
        <w:rPr>
          <w:sz w:val="28"/>
          <w:szCs w:val="28"/>
          <w:lang w:val="uk-UA"/>
        </w:rPr>
        <w:t xml:space="preserve">0,05) ніж у пацієнтів без генів резистентності.  </w:t>
      </w:r>
    </w:p>
    <w:p w:rsidR="006B4867" w:rsidRDefault="006B4867" w:rsidP="006B4867">
      <w:pPr>
        <w:spacing w:after="0" w:line="360" w:lineRule="auto"/>
        <w:ind w:firstLine="709"/>
        <w:jc w:val="both"/>
        <w:rPr>
          <w:sz w:val="28"/>
          <w:szCs w:val="28"/>
          <w:lang w:val="uk-UA"/>
        </w:rPr>
      </w:pPr>
      <w:r>
        <w:rPr>
          <w:sz w:val="28"/>
          <w:szCs w:val="28"/>
          <w:lang w:val="uk-UA"/>
        </w:rPr>
        <w:lastRenderedPageBreak/>
        <w:t xml:space="preserve">Найкращий клінічний ефект у хворих з виявленими плазмідними </w:t>
      </w:r>
      <w:r>
        <w:rPr>
          <w:rFonts w:cstheme="minorHAnsi"/>
          <w:sz w:val="28"/>
          <w:szCs w:val="28"/>
          <w:lang w:val="uk-UA"/>
        </w:rPr>
        <w:t>β</w:t>
      </w:r>
      <w:r>
        <w:rPr>
          <w:sz w:val="28"/>
          <w:szCs w:val="28"/>
          <w:lang w:val="uk-UA"/>
        </w:rPr>
        <w:t xml:space="preserve">ЛРС продемонстрували </w:t>
      </w:r>
      <w:r>
        <w:rPr>
          <w:rFonts w:cstheme="minorHAnsi"/>
          <w:sz w:val="28"/>
          <w:szCs w:val="28"/>
          <w:lang w:val="uk-UA"/>
        </w:rPr>
        <w:t>цефалоспорини</w:t>
      </w:r>
      <w:r>
        <w:rPr>
          <w:sz w:val="28"/>
          <w:szCs w:val="28"/>
          <w:lang w:val="uk-UA"/>
        </w:rPr>
        <w:t xml:space="preserve"> та фторхінолони, тоді як у пацієнтів з виявленими генами стійкості до фторхінолонів – найефективнішою визначена комбінація цефалоспоринів/фторхінолонів. </w:t>
      </w:r>
    </w:p>
    <w:p w:rsidR="006B4867" w:rsidRDefault="006B4867" w:rsidP="006B4867">
      <w:pPr>
        <w:spacing w:after="0" w:line="360" w:lineRule="auto"/>
        <w:ind w:firstLine="709"/>
        <w:jc w:val="both"/>
        <w:rPr>
          <w:sz w:val="28"/>
          <w:szCs w:val="28"/>
          <w:lang w:val="uk-UA"/>
        </w:rPr>
      </w:pPr>
      <w:r w:rsidRPr="000165D2">
        <w:rPr>
          <w:sz w:val="28"/>
          <w:szCs w:val="28"/>
          <w:lang w:val="uk-UA"/>
        </w:rPr>
        <w:t xml:space="preserve">При </w:t>
      </w:r>
      <w:r>
        <w:rPr>
          <w:sz w:val="28"/>
          <w:szCs w:val="28"/>
          <w:lang w:val="uk-UA"/>
        </w:rPr>
        <w:t xml:space="preserve">аналізі впливу плазмід-індукованих механізмів резистентності на бактеріологічну ефективність АБТ встановлено достовірне її зниження у хворих з виявленими генами резистентності, що проявилось у відсутності ерадикації збудника після АБТ у 48,4% пацієнтів. Однак у хворих без генів резистентності теж спостерігається зниження бактеріологічної ефективності АБТ і повна ерадикація збудника мала місце у 72,9% пацієнтів, тоді як 27% - потребували подовження АБТ. Найвищу бактеріологічну ефективність у пацієнтів з виявленими плазмідними генами стійкості проявили цефалоспорини та комбінація фторхінолонів/цефалоспоринів. </w:t>
      </w:r>
    </w:p>
    <w:p w:rsidR="006B4867" w:rsidRDefault="006B4867" w:rsidP="006B4867">
      <w:pPr>
        <w:spacing w:after="0" w:line="360" w:lineRule="auto"/>
        <w:ind w:firstLine="709"/>
        <w:jc w:val="both"/>
        <w:rPr>
          <w:rFonts w:cstheme="minorHAnsi"/>
          <w:color w:val="000000" w:themeColor="text1"/>
          <w:sz w:val="28"/>
          <w:szCs w:val="28"/>
          <w:lang w:val="uk-UA"/>
        </w:rPr>
      </w:pPr>
      <w:r>
        <w:rPr>
          <w:sz w:val="28"/>
          <w:szCs w:val="28"/>
          <w:lang w:val="uk-UA"/>
        </w:rPr>
        <w:t xml:space="preserve">Отже, наявність плазмід-індукованих механізмів резистентності призвело до зниження як клінічної, так і бактеріологічної ефективності АБТ, та зумовило подовження строків госпіталізації і, в деяких випадках, заміни АБП. </w:t>
      </w:r>
      <w:r w:rsidRPr="00505347">
        <w:rPr>
          <w:rFonts w:cstheme="minorHAnsi"/>
          <w:color w:val="000000" w:themeColor="text1"/>
          <w:sz w:val="28"/>
          <w:szCs w:val="28"/>
          <w:lang w:val="en-US"/>
        </w:rPr>
        <w:t>Curello</w:t>
      </w:r>
      <w:r w:rsidRPr="00505347">
        <w:rPr>
          <w:rFonts w:cstheme="minorHAnsi"/>
          <w:color w:val="000000" w:themeColor="text1"/>
          <w:sz w:val="28"/>
          <w:szCs w:val="28"/>
          <w:lang w:val="uk-UA"/>
        </w:rPr>
        <w:t xml:space="preserve"> </w:t>
      </w:r>
      <w:r w:rsidRPr="00505347">
        <w:rPr>
          <w:rFonts w:cstheme="minorHAnsi"/>
          <w:color w:val="000000" w:themeColor="text1"/>
          <w:sz w:val="28"/>
          <w:szCs w:val="28"/>
          <w:lang w:val="en-US"/>
        </w:rPr>
        <w:t>J</w:t>
      </w:r>
      <w:r w:rsidRPr="00465BB6">
        <w:rPr>
          <w:rFonts w:cstheme="minorHAnsi"/>
          <w:color w:val="000000" w:themeColor="text1"/>
          <w:sz w:val="28"/>
          <w:szCs w:val="28"/>
          <w:lang w:val="uk-UA"/>
        </w:rPr>
        <w:t>.</w:t>
      </w:r>
      <w:r w:rsidRPr="00505347">
        <w:rPr>
          <w:rFonts w:cstheme="minorHAnsi"/>
          <w:color w:val="000000" w:themeColor="text1"/>
          <w:sz w:val="28"/>
          <w:szCs w:val="28"/>
          <w:lang w:val="uk-UA"/>
        </w:rPr>
        <w:t xml:space="preserve"> та с</w:t>
      </w:r>
      <w:r>
        <w:rPr>
          <w:rFonts w:cstheme="minorHAnsi"/>
          <w:color w:val="000000" w:themeColor="text1"/>
          <w:sz w:val="28"/>
          <w:szCs w:val="28"/>
          <w:lang w:val="uk-UA"/>
        </w:rPr>
        <w:t>пів</w:t>
      </w:r>
      <w:r w:rsidRPr="00505347">
        <w:rPr>
          <w:sz w:val="28"/>
          <w:szCs w:val="28"/>
          <w:lang w:val="uk-UA"/>
        </w:rPr>
        <w:t>авт</w:t>
      </w:r>
      <w:r>
        <w:rPr>
          <w:sz w:val="28"/>
          <w:szCs w:val="28"/>
          <w:lang w:val="uk-UA"/>
        </w:rPr>
        <w:t>., теж демонструють несприятливий клінічний результат емпіричної терапії ІСС, спричиненої бактеріями з плазмідними механізмами резистентності та подовженням строків АБТ у таких хворих (</w:t>
      </w:r>
      <w:r>
        <w:rPr>
          <w:rFonts w:eastAsia="MyriadPro-Bold" w:cstheme="minorHAnsi"/>
          <w:bCs/>
          <w:sz w:val="28"/>
          <w:szCs w:val="28"/>
          <w:lang w:val="uk-UA"/>
        </w:rPr>
        <w:t xml:space="preserve">10,8 </w:t>
      </w:r>
      <w:r>
        <w:rPr>
          <w:rFonts w:eastAsia="MyriadPro-Bold" w:cstheme="minorHAnsi"/>
          <w:bCs/>
          <w:sz w:val="28"/>
          <w:szCs w:val="28"/>
          <w:lang w:val="en-US"/>
        </w:rPr>
        <w:t>versus</w:t>
      </w:r>
      <w:r w:rsidRPr="00337FA4">
        <w:rPr>
          <w:rFonts w:eastAsia="MyriadPro-Bold" w:cstheme="minorHAnsi"/>
          <w:bCs/>
          <w:sz w:val="28"/>
          <w:szCs w:val="28"/>
          <w:lang w:val="uk-UA"/>
        </w:rPr>
        <w:t xml:space="preserve"> 7,1; </w:t>
      </w:r>
      <w:r>
        <w:rPr>
          <w:rFonts w:eastAsia="MyriadPro-Bold" w:cstheme="minorHAnsi"/>
          <w:bCs/>
          <w:sz w:val="28"/>
          <w:szCs w:val="28"/>
          <w:lang w:val="en-US"/>
        </w:rPr>
        <w:t>p</w:t>
      </w:r>
      <w:r>
        <w:rPr>
          <w:rFonts w:cstheme="minorHAnsi"/>
          <w:sz w:val="28"/>
          <w:szCs w:val="28"/>
          <w:lang w:val="uk-UA"/>
        </w:rPr>
        <w:t>≤0</w:t>
      </w:r>
      <w:r w:rsidRPr="00337FA4">
        <w:rPr>
          <w:rFonts w:cstheme="minorHAnsi"/>
          <w:sz w:val="28"/>
          <w:szCs w:val="28"/>
          <w:lang w:val="uk-UA"/>
        </w:rPr>
        <w:t>,</w:t>
      </w:r>
      <w:r>
        <w:rPr>
          <w:rFonts w:cstheme="minorHAnsi"/>
          <w:sz w:val="28"/>
          <w:szCs w:val="28"/>
          <w:lang w:val="uk-UA"/>
        </w:rPr>
        <w:t>0</w:t>
      </w:r>
      <w:r w:rsidRPr="00337FA4">
        <w:rPr>
          <w:rFonts w:cstheme="minorHAnsi"/>
          <w:sz w:val="28"/>
          <w:szCs w:val="28"/>
          <w:lang w:val="uk-UA"/>
        </w:rPr>
        <w:t>1</w:t>
      </w:r>
      <w:r>
        <w:rPr>
          <w:sz w:val="28"/>
          <w:szCs w:val="28"/>
          <w:lang w:val="uk-UA"/>
        </w:rPr>
        <w:t xml:space="preserve">) </w:t>
      </w:r>
      <w:r>
        <w:rPr>
          <w:rFonts w:cstheme="minorHAnsi"/>
          <w:color w:val="000000" w:themeColor="text1"/>
          <w:sz w:val="28"/>
          <w:szCs w:val="28"/>
          <w:lang w:val="uk-UA"/>
        </w:rPr>
        <w:t>[30]</w:t>
      </w:r>
      <w:r w:rsidRPr="00286359">
        <w:rPr>
          <w:rFonts w:cstheme="minorHAnsi"/>
          <w:color w:val="000000" w:themeColor="text1"/>
          <w:sz w:val="28"/>
          <w:szCs w:val="28"/>
          <w:lang w:val="uk-UA"/>
        </w:rPr>
        <w:t>.</w:t>
      </w:r>
      <w:r>
        <w:rPr>
          <w:rFonts w:cstheme="minorHAnsi"/>
          <w:color w:val="000000" w:themeColor="text1"/>
          <w:sz w:val="28"/>
          <w:szCs w:val="28"/>
          <w:lang w:val="uk-UA"/>
        </w:rPr>
        <w:t xml:space="preserve"> Проте, цей факт потребує подальших досліджень, тому що відомостей дуже мало. Щодо бактеріологічної ефективності, зниження останньої спостерігалось як у хворих з виявленими генами резистентності, так і без них, що свідчить о необхідності перегляду тактики емпіричної АБТ хворих на ХП. </w:t>
      </w:r>
      <w:r w:rsidRPr="00551839">
        <w:rPr>
          <w:rFonts w:cstheme="minorHAnsi"/>
          <w:color w:val="000000" w:themeColor="text1"/>
          <w:sz w:val="28"/>
          <w:szCs w:val="28"/>
          <w:lang w:val="uk-UA"/>
        </w:rPr>
        <w:t>Відповідно до рекомендацій Європейської асоціації урологів</w:t>
      </w:r>
      <w:r>
        <w:rPr>
          <w:rFonts w:cstheme="minorHAnsi"/>
          <w:color w:val="000000" w:themeColor="text1"/>
          <w:sz w:val="28"/>
          <w:szCs w:val="28"/>
          <w:lang w:val="uk-UA"/>
        </w:rPr>
        <w:t xml:space="preserve"> (</w:t>
      </w:r>
      <w:r>
        <w:rPr>
          <w:rFonts w:cstheme="minorHAnsi"/>
          <w:color w:val="000000" w:themeColor="text1"/>
          <w:sz w:val="28"/>
          <w:szCs w:val="28"/>
          <w:lang w:val="en-US"/>
        </w:rPr>
        <w:t>EAU</w:t>
      </w:r>
      <w:r w:rsidRPr="007572A3">
        <w:rPr>
          <w:rFonts w:cstheme="minorHAnsi"/>
          <w:color w:val="000000" w:themeColor="text1"/>
          <w:sz w:val="28"/>
          <w:szCs w:val="28"/>
          <w:lang w:val="uk-UA"/>
        </w:rPr>
        <w:t xml:space="preserve"> 201</w:t>
      </w:r>
      <w:r>
        <w:rPr>
          <w:rFonts w:cstheme="minorHAnsi"/>
          <w:color w:val="000000" w:themeColor="text1"/>
          <w:sz w:val="28"/>
          <w:szCs w:val="28"/>
          <w:lang w:val="uk-UA"/>
        </w:rPr>
        <w:t>5)</w:t>
      </w:r>
      <w:r w:rsidRPr="00551839">
        <w:rPr>
          <w:rFonts w:cstheme="minorHAnsi"/>
          <w:color w:val="000000" w:themeColor="text1"/>
          <w:sz w:val="28"/>
          <w:szCs w:val="28"/>
          <w:lang w:val="uk-UA"/>
        </w:rPr>
        <w:t>, препаратами емпіричної АБТ неускладнен</w:t>
      </w:r>
      <w:r>
        <w:rPr>
          <w:rFonts w:cstheme="minorHAnsi"/>
          <w:color w:val="000000" w:themeColor="text1"/>
          <w:sz w:val="28"/>
          <w:szCs w:val="28"/>
          <w:lang w:val="uk-UA"/>
        </w:rPr>
        <w:t>ої ІС</w:t>
      </w:r>
      <w:r w:rsidRPr="00551839">
        <w:rPr>
          <w:rFonts w:cstheme="minorHAnsi"/>
          <w:color w:val="000000" w:themeColor="text1"/>
          <w:sz w:val="28"/>
          <w:szCs w:val="28"/>
          <w:lang w:val="uk-UA"/>
        </w:rPr>
        <w:t>С є фторхінолони при рівні резистентності в даному географічному регіоні &lt;10%, альтернативними антибіотиками вважаються трет</w:t>
      </w:r>
      <w:r>
        <w:rPr>
          <w:rFonts w:cstheme="minorHAnsi"/>
          <w:color w:val="000000" w:themeColor="text1"/>
          <w:sz w:val="28"/>
          <w:szCs w:val="28"/>
          <w:lang w:val="uk-UA"/>
        </w:rPr>
        <w:t>я</w:t>
      </w:r>
      <w:r w:rsidRPr="00551839">
        <w:rPr>
          <w:rFonts w:cstheme="minorHAnsi"/>
          <w:color w:val="000000" w:themeColor="text1"/>
          <w:sz w:val="28"/>
          <w:szCs w:val="28"/>
          <w:lang w:val="uk-UA"/>
        </w:rPr>
        <w:t xml:space="preserve"> генерація цефалоспоринів або аміноглікозиди (у разі резистентності до фторхінолонів або цефалоспоринів&gt; 10%)</w:t>
      </w:r>
      <w:r>
        <w:rPr>
          <w:rFonts w:cstheme="minorHAnsi"/>
          <w:color w:val="000000" w:themeColor="text1"/>
          <w:sz w:val="28"/>
          <w:szCs w:val="28"/>
          <w:lang w:val="uk-UA"/>
        </w:rPr>
        <w:t xml:space="preserve">. </w:t>
      </w:r>
      <w:r w:rsidRPr="00551839">
        <w:rPr>
          <w:rFonts w:cstheme="minorHAnsi"/>
          <w:color w:val="000000" w:themeColor="text1"/>
          <w:sz w:val="28"/>
          <w:szCs w:val="28"/>
          <w:lang w:val="uk-UA"/>
        </w:rPr>
        <w:t>У разі ускладненої І</w:t>
      </w:r>
      <w:r>
        <w:rPr>
          <w:rFonts w:cstheme="minorHAnsi"/>
          <w:color w:val="000000" w:themeColor="text1"/>
          <w:sz w:val="28"/>
          <w:szCs w:val="28"/>
          <w:lang w:val="uk-UA"/>
        </w:rPr>
        <w:t>С</w:t>
      </w:r>
      <w:r w:rsidRPr="00551839">
        <w:rPr>
          <w:rFonts w:cstheme="minorHAnsi"/>
          <w:color w:val="000000" w:themeColor="text1"/>
          <w:sz w:val="28"/>
          <w:szCs w:val="28"/>
          <w:lang w:val="uk-UA"/>
        </w:rPr>
        <w:t xml:space="preserve">С, препаратами вибору є фторхінолони, захищені пеніциліни або </w:t>
      </w:r>
      <w:r w:rsidRPr="00551839">
        <w:rPr>
          <w:rFonts w:cstheme="minorHAnsi"/>
          <w:color w:val="000000" w:themeColor="text1"/>
          <w:sz w:val="28"/>
          <w:szCs w:val="28"/>
          <w:lang w:val="uk-UA"/>
        </w:rPr>
        <w:lastRenderedPageBreak/>
        <w:t xml:space="preserve">цефалоспорини 3-го покоління, </w:t>
      </w:r>
      <w:r>
        <w:rPr>
          <w:rFonts w:cstheme="minorHAnsi"/>
          <w:color w:val="000000" w:themeColor="text1"/>
          <w:sz w:val="28"/>
          <w:szCs w:val="28"/>
          <w:lang w:val="uk-UA"/>
        </w:rPr>
        <w:t>та</w:t>
      </w:r>
      <w:r w:rsidRPr="00551839">
        <w:rPr>
          <w:rFonts w:cstheme="minorHAnsi"/>
          <w:color w:val="000000" w:themeColor="text1"/>
          <w:sz w:val="28"/>
          <w:szCs w:val="28"/>
          <w:lang w:val="uk-UA"/>
        </w:rPr>
        <w:t xml:space="preserve"> аміноглікозиди, останні можуть призначатися в комбінації з вищевказаними антибіотиками</w:t>
      </w:r>
      <w:r>
        <w:rPr>
          <w:rFonts w:cstheme="minorHAnsi"/>
          <w:color w:val="000000" w:themeColor="text1"/>
          <w:sz w:val="28"/>
          <w:szCs w:val="28"/>
          <w:lang w:val="uk-UA"/>
        </w:rPr>
        <w:t xml:space="preserve"> </w:t>
      </w:r>
      <w:r w:rsidRPr="00551839">
        <w:rPr>
          <w:rFonts w:ascii="Times New Roman" w:hAnsi="Times New Roman" w:cs="Times New Roman"/>
          <w:sz w:val="28"/>
          <w:szCs w:val="28"/>
          <w:lang w:val="uk-UA"/>
        </w:rPr>
        <w:t>[</w:t>
      </w:r>
      <w:r>
        <w:rPr>
          <w:sz w:val="28"/>
          <w:szCs w:val="28"/>
          <w:lang w:val="uk-UA"/>
        </w:rPr>
        <w:t>77</w:t>
      </w:r>
      <w:r w:rsidRPr="00551839">
        <w:rPr>
          <w:rFonts w:ascii="Times New Roman" w:hAnsi="Times New Roman" w:cs="Times New Roman"/>
          <w:sz w:val="28"/>
          <w:szCs w:val="28"/>
          <w:lang w:val="uk-UA"/>
        </w:rPr>
        <w:t>]</w:t>
      </w:r>
      <w:r>
        <w:rPr>
          <w:rFonts w:ascii="Times New Roman" w:hAnsi="Times New Roman" w:cs="Times New Roman"/>
          <w:sz w:val="28"/>
          <w:szCs w:val="28"/>
          <w:lang w:val="uk-UA"/>
        </w:rPr>
        <w:t>.</w:t>
      </w:r>
      <w:r>
        <w:rPr>
          <w:rFonts w:cstheme="minorHAnsi"/>
          <w:color w:val="000000" w:themeColor="text1"/>
          <w:sz w:val="28"/>
          <w:szCs w:val="28"/>
          <w:lang w:val="uk-UA"/>
        </w:rPr>
        <w:t xml:space="preserve"> В нашому дослідженні, найкращий клінічний і бактеріологічний ефекти продемонстрували цефалоспорини та комбінація фторхінолонів/цефалоспоринів, остання була найбільш ефективна у пацієнтів з виявленими генами резистентності до фторхінолонів, тоді як при лікуванні аміноглікозидами – у 100% хворих з виявленими плазмідними механізмами резистентності спостерігалась відсутність бактеріологічної ефективності, що робить неможливим застосування цих препаратів у пацієнтів з факторами ризику колонізації та/або інфекції, спричиненої бактеріями з наявністю плазмідних генів резистентності.</w:t>
      </w:r>
    </w:p>
    <w:p w:rsidR="006B4867" w:rsidRDefault="006B4867" w:rsidP="006B4867">
      <w:pPr>
        <w:spacing w:after="0"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t xml:space="preserve">Отже, встановлення впливу плазмід-індукованих механізмів резистентності на клінічну та бактеріологічну ефективність ХП і ЦД 2 типу дозволило з одного боку визначити особливості клінічного перебігу ХП в динаміці АБТ в залежності від наявності плазмідних генів резистентності, а з іншого – оцінити ефективність рекомендованої емпіричної АБТ при лікуванні ХП у хворих з виявленими плазмід-індукованими механізмами резистентності. </w:t>
      </w:r>
      <w:r>
        <w:rPr>
          <w:sz w:val="28"/>
          <w:szCs w:val="28"/>
          <w:lang w:val="uk-UA"/>
        </w:rPr>
        <w:t xml:space="preserve"> </w:t>
      </w:r>
      <w:r>
        <w:rPr>
          <w:rFonts w:cstheme="minorHAnsi"/>
          <w:color w:val="000000" w:themeColor="text1"/>
          <w:sz w:val="28"/>
          <w:szCs w:val="28"/>
          <w:lang w:val="uk-UA"/>
        </w:rPr>
        <w:t xml:space="preserve">   </w:t>
      </w:r>
    </w:p>
    <w:p w:rsidR="006B4867" w:rsidRDefault="006B4867" w:rsidP="006B4867">
      <w:pPr>
        <w:spacing w:after="0" w:line="360" w:lineRule="auto"/>
        <w:ind w:firstLine="709"/>
        <w:jc w:val="both"/>
        <w:rPr>
          <w:sz w:val="28"/>
          <w:szCs w:val="28"/>
          <w:lang w:val="uk-UA"/>
        </w:rPr>
      </w:pPr>
      <w:r>
        <w:rPr>
          <w:rFonts w:cstheme="minorHAnsi"/>
          <w:color w:val="000000" w:themeColor="text1"/>
          <w:sz w:val="28"/>
          <w:szCs w:val="28"/>
          <w:lang w:val="uk-UA"/>
        </w:rPr>
        <w:t xml:space="preserve">Ще одним важливим етапом нашого дослідження було визначення впливу плазмід-індукованих механізмів резистентності на </w:t>
      </w:r>
      <w:r w:rsidRPr="007008D1">
        <w:rPr>
          <w:rFonts w:ascii="Times New Roman" w:eastAsia="Times New Roman" w:hAnsi="Times New Roman"/>
          <w:bCs/>
          <w:color w:val="000000"/>
          <w:kern w:val="36"/>
          <w:sz w:val="28"/>
          <w:szCs w:val="28"/>
          <w:lang w:val="uk-UA" w:eastAsia="ru-RU"/>
        </w:rPr>
        <w:t xml:space="preserve">показники неспецифічних запальних реакцій </w:t>
      </w:r>
      <w:r>
        <w:rPr>
          <w:rFonts w:ascii="Times New Roman" w:eastAsia="Times New Roman" w:hAnsi="Times New Roman"/>
          <w:bCs/>
          <w:color w:val="000000"/>
          <w:kern w:val="36"/>
          <w:sz w:val="28"/>
          <w:szCs w:val="28"/>
          <w:lang w:val="uk-UA" w:eastAsia="ru-RU"/>
        </w:rPr>
        <w:t>(</w:t>
      </w:r>
      <w:r>
        <w:rPr>
          <w:rFonts w:ascii="Times New Roman" w:eastAsia="Times New Roman" w:hAnsi="Times New Roman"/>
          <w:bCs/>
          <w:color w:val="000000"/>
          <w:kern w:val="36"/>
          <w:sz w:val="28"/>
          <w:szCs w:val="28"/>
          <w:lang w:val="en-US" w:eastAsia="ru-RU"/>
        </w:rPr>
        <w:t>IgA</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IgM</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Ig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en-US" w:eastAsia="ru-RU"/>
        </w:rPr>
        <w:t>G</w:t>
      </w:r>
      <w:r w:rsidRPr="005E6730">
        <w:rPr>
          <w:rFonts w:ascii="Times New Roman" w:eastAsia="Times New Roman" w:hAnsi="Times New Roman"/>
          <w:bCs/>
          <w:color w:val="000000"/>
          <w:kern w:val="36"/>
          <w:sz w:val="28"/>
          <w:szCs w:val="28"/>
          <w:lang w:val="uk-UA" w:eastAsia="ru-RU"/>
        </w:rPr>
        <w:t xml:space="preserve"> </w:t>
      </w:r>
      <w:r>
        <w:rPr>
          <w:rFonts w:ascii="Times New Roman" w:eastAsia="Times New Roman" w:hAnsi="Times New Roman"/>
          <w:bCs/>
          <w:color w:val="000000"/>
          <w:kern w:val="36"/>
          <w:sz w:val="28"/>
          <w:szCs w:val="28"/>
          <w:lang w:val="uk-UA" w:eastAsia="ru-RU"/>
        </w:rPr>
        <w:t xml:space="preserve">та </w:t>
      </w:r>
      <w:r w:rsidRPr="00A05B75">
        <w:rPr>
          <w:rFonts w:ascii="Times New Roman" w:eastAsia="Times New Roman" w:hAnsi="Times New Roman"/>
          <w:bCs/>
          <w:color w:val="000000" w:themeColor="text1"/>
          <w:kern w:val="36"/>
          <w:sz w:val="28"/>
          <w:szCs w:val="28"/>
          <w:lang w:val="uk-UA" w:eastAsia="ru-RU"/>
        </w:rPr>
        <w:t>інтерлейкіну 6)</w:t>
      </w:r>
      <w:r w:rsidRPr="005F707C">
        <w:rPr>
          <w:rFonts w:ascii="Times New Roman" w:eastAsia="Times New Roman" w:hAnsi="Times New Roman"/>
          <w:bCs/>
          <w:color w:val="FF0000"/>
          <w:kern w:val="36"/>
          <w:sz w:val="28"/>
          <w:szCs w:val="28"/>
          <w:lang w:val="uk-UA" w:eastAsia="ru-RU"/>
        </w:rPr>
        <w:t xml:space="preserve"> </w:t>
      </w:r>
      <w:r>
        <w:rPr>
          <w:rFonts w:ascii="Times New Roman" w:eastAsia="Times New Roman" w:hAnsi="Times New Roman"/>
          <w:bCs/>
          <w:color w:val="000000"/>
          <w:kern w:val="36"/>
          <w:sz w:val="28"/>
          <w:szCs w:val="28"/>
          <w:lang w:val="uk-UA" w:eastAsia="ru-RU"/>
        </w:rPr>
        <w:t xml:space="preserve">та пошук можливих взаємозв’язків між ними </w:t>
      </w:r>
      <w:r w:rsidRPr="007008D1">
        <w:rPr>
          <w:rFonts w:ascii="Times New Roman" w:eastAsia="Times New Roman" w:hAnsi="Times New Roman"/>
          <w:bCs/>
          <w:color w:val="000000"/>
          <w:kern w:val="36"/>
          <w:sz w:val="28"/>
          <w:szCs w:val="28"/>
          <w:lang w:val="uk-UA" w:eastAsia="ru-RU"/>
        </w:rPr>
        <w:t xml:space="preserve">у хворих </w:t>
      </w:r>
      <w:r w:rsidRPr="007008D1">
        <w:rPr>
          <w:rFonts w:ascii="Times New Roman" w:hAnsi="Times New Roman"/>
          <w:color w:val="000000" w:themeColor="text1"/>
          <w:sz w:val="28"/>
          <w:szCs w:val="28"/>
          <w:lang w:val="uk-UA"/>
        </w:rPr>
        <w:t xml:space="preserve">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супутн</w:t>
      </w:r>
      <w:r>
        <w:rPr>
          <w:rFonts w:ascii="Times New Roman" w:hAnsi="Times New Roman"/>
          <w:color w:val="000000" w:themeColor="text1"/>
          <w:sz w:val="28"/>
          <w:szCs w:val="28"/>
          <w:lang w:val="uk-UA"/>
        </w:rPr>
        <w:t>ій</w:t>
      </w:r>
      <w:r w:rsidRPr="007008D1">
        <w:rPr>
          <w:rFonts w:ascii="Times New Roman" w:hAnsi="Times New Roman"/>
          <w:color w:val="000000" w:themeColor="text1"/>
          <w:sz w:val="28"/>
          <w:szCs w:val="28"/>
          <w:lang w:val="uk-UA"/>
        </w:rPr>
        <w:t xml:space="preserve"> 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r>
        <w:rPr>
          <w:rFonts w:ascii="Times New Roman" w:hAnsi="Times New Roman"/>
          <w:color w:val="000000" w:themeColor="text1"/>
          <w:sz w:val="28"/>
          <w:szCs w:val="28"/>
          <w:lang w:val="uk-UA"/>
        </w:rPr>
        <w:t xml:space="preserve"> (глава 3, розділ 3.5)</w:t>
      </w:r>
      <w:r w:rsidRPr="007008D1">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r>
        <w:rPr>
          <w:sz w:val="28"/>
          <w:szCs w:val="28"/>
          <w:lang w:val="uk-UA"/>
        </w:rPr>
        <w:t>У пацієнтів з виявленими плазмідними механізмами резистентності спостерігаються вищі показники ІЛ-</w:t>
      </w:r>
      <w:r w:rsidRPr="00A76C00">
        <w:rPr>
          <w:sz w:val="28"/>
          <w:szCs w:val="28"/>
          <w:lang w:val="uk-UA"/>
        </w:rPr>
        <w:t>6</w:t>
      </w:r>
      <w:r>
        <w:rPr>
          <w:sz w:val="28"/>
          <w:szCs w:val="28"/>
          <w:lang w:val="uk-UA"/>
        </w:rPr>
        <w:t xml:space="preserve"> (10,65 </w:t>
      </w:r>
      <w:r>
        <w:rPr>
          <w:sz w:val="28"/>
          <w:szCs w:val="28"/>
          <w:lang w:val="en-US"/>
        </w:rPr>
        <w:t>vs</w:t>
      </w:r>
      <w:r>
        <w:rPr>
          <w:sz w:val="28"/>
          <w:szCs w:val="28"/>
          <w:lang w:val="uk-UA"/>
        </w:rPr>
        <w:t>. 8,62), СРБ (25</w:t>
      </w:r>
      <w:r w:rsidRPr="00220377">
        <w:rPr>
          <w:sz w:val="28"/>
          <w:szCs w:val="28"/>
          <w:lang w:val="uk-UA"/>
        </w:rPr>
        <w:t xml:space="preserve">,56 </w:t>
      </w:r>
      <w:r>
        <w:rPr>
          <w:sz w:val="28"/>
          <w:szCs w:val="28"/>
          <w:lang w:val="en-US"/>
        </w:rPr>
        <w:t>vs</w:t>
      </w:r>
      <w:r>
        <w:rPr>
          <w:sz w:val="28"/>
          <w:szCs w:val="28"/>
          <w:lang w:val="uk-UA"/>
        </w:rPr>
        <w:t xml:space="preserve">. 19,92) та </w:t>
      </w:r>
      <w:r>
        <w:rPr>
          <w:sz w:val="28"/>
          <w:szCs w:val="28"/>
          <w:lang w:val="en-US"/>
        </w:rPr>
        <w:t>IgM</w:t>
      </w:r>
      <w:r>
        <w:rPr>
          <w:sz w:val="28"/>
          <w:szCs w:val="28"/>
          <w:lang w:val="uk-UA"/>
        </w:rPr>
        <w:t xml:space="preserve"> (</w:t>
      </w:r>
      <w:r w:rsidRPr="00220377">
        <w:rPr>
          <w:sz w:val="28"/>
          <w:szCs w:val="28"/>
          <w:lang w:val="uk-UA"/>
        </w:rPr>
        <w:t xml:space="preserve">1,9 </w:t>
      </w:r>
      <w:r>
        <w:rPr>
          <w:sz w:val="28"/>
          <w:szCs w:val="28"/>
          <w:lang w:val="en-US"/>
        </w:rPr>
        <w:t>vs</w:t>
      </w:r>
      <w:r>
        <w:rPr>
          <w:sz w:val="28"/>
          <w:szCs w:val="28"/>
          <w:lang w:val="uk-UA"/>
        </w:rPr>
        <w:t xml:space="preserve">.1,8) у порівнянні з пацієнтами без генів, проте достовірних відмінностей не виявлено. Однак, </w:t>
      </w:r>
      <w:r>
        <w:rPr>
          <w:sz w:val="28"/>
          <w:lang w:val="uk-UA"/>
        </w:rPr>
        <w:t>був визначений лінійний кореляційний зв’язок на рівні значимості р</w:t>
      </w:r>
      <w:r>
        <w:rPr>
          <w:rFonts w:cstheme="minorHAnsi"/>
          <w:sz w:val="28"/>
          <w:szCs w:val="28"/>
          <w:lang w:val="uk-UA"/>
        </w:rPr>
        <w:t>≤</w:t>
      </w:r>
      <w:r>
        <w:rPr>
          <w:sz w:val="28"/>
          <w:szCs w:val="28"/>
          <w:lang w:val="uk-UA"/>
        </w:rPr>
        <w:t>0,05</w:t>
      </w:r>
      <w:r>
        <w:rPr>
          <w:sz w:val="28"/>
          <w:lang w:val="uk-UA"/>
        </w:rPr>
        <w:t xml:space="preserve"> </w:t>
      </w:r>
      <w:r>
        <w:rPr>
          <w:sz w:val="28"/>
          <w:szCs w:val="28"/>
          <w:lang w:val="uk-UA"/>
        </w:rPr>
        <w:t xml:space="preserve">між показниками системного запалення у хворих з наявністю плазмід-індукованих механізмів резистентності: між рівнем </w:t>
      </w:r>
      <w:r w:rsidRPr="003B4CB3">
        <w:rPr>
          <w:sz w:val="28"/>
          <w:szCs w:val="28"/>
          <w:lang w:val="en-US"/>
        </w:rPr>
        <w:t>IL</w:t>
      </w:r>
      <w:r w:rsidRPr="003B4CB3">
        <w:rPr>
          <w:sz w:val="28"/>
          <w:szCs w:val="28"/>
          <w:lang w:val="uk-UA"/>
        </w:rPr>
        <w:t>-6</w:t>
      </w:r>
      <w:r>
        <w:rPr>
          <w:sz w:val="28"/>
          <w:szCs w:val="28"/>
          <w:lang w:val="uk-UA"/>
        </w:rPr>
        <w:t xml:space="preserve"> та рівнем СРБ (</w:t>
      </w:r>
      <w:r>
        <w:rPr>
          <w:sz w:val="28"/>
          <w:szCs w:val="28"/>
          <w:lang w:val="en-US"/>
        </w:rPr>
        <w:t>r</w:t>
      </w:r>
      <w:r w:rsidRPr="009F2EF4">
        <w:rPr>
          <w:sz w:val="28"/>
          <w:szCs w:val="28"/>
          <w:lang w:val="uk-UA"/>
        </w:rPr>
        <w:t>=0,5</w:t>
      </w:r>
      <w:r>
        <w:rPr>
          <w:sz w:val="28"/>
          <w:szCs w:val="28"/>
          <w:lang w:val="uk-UA"/>
        </w:rPr>
        <w:t>3; р</w:t>
      </w:r>
      <w:r>
        <w:rPr>
          <w:rFonts w:cstheme="minorHAnsi"/>
          <w:sz w:val="28"/>
          <w:szCs w:val="28"/>
          <w:lang w:val="uk-UA"/>
        </w:rPr>
        <w:t>≤</w:t>
      </w:r>
      <w:r>
        <w:rPr>
          <w:sz w:val="28"/>
          <w:szCs w:val="28"/>
          <w:lang w:val="uk-UA"/>
        </w:rPr>
        <w:t xml:space="preserve">0,05); рівнем </w:t>
      </w:r>
      <w:r w:rsidRPr="003B4CB3">
        <w:rPr>
          <w:sz w:val="28"/>
          <w:szCs w:val="28"/>
          <w:lang w:val="en-US"/>
        </w:rPr>
        <w:t>IL</w:t>
      </w:r>
      <w:r w:rsidRPr="003B4CB3">
        <w:rPr>
          <w:sz w:val="28"/>
          <w:szCs w:val="28"/>
          <w:lang w:val="uk-UA"/>
        </w:rPr>
        <w:t>-6</w:t>
      </w:r>
      <w:r>
        <w:rPr>
          <w:sz w:val="28"/>
          <w:szCs w:val="28"/>
          <w:lang w:val="uk-UA"/>
        </w:rPr>
        <w:t xml:space="preserve"> та </w:t>
      </w:r>
      <w:r w:rsidRPr="009F2EF4">
        <w:rPr>
          <w:sz w:val="28"/>
          <w:szCs w:val="28"/>
          <w:lang w:val="en-US"/>
        </w:rPr>
        <w:t>IgM</w:t>
      </w:r>
      <w:r w:rsidRPr="009F2EF4">
        <w:rPr>
          <w:sz w:val="28"/>
          <w:szCs w:val="28"/>
          <w:lang w:val="uk-UA"/>
        </w:rPr>
        <w:t xml:space="preserve"> </w:t>
      </w:r>
      <w:r>
        <w:rPr>
          <w:sz w:val="28"/>
          <w:szCs w:val="28"/>
          <w:lang w:val="uk-UA"/>
        </w:rPr>
        <w:t>(</w:t>
      </w:r>
      <w:r w:rsidRPr="009F2EF4">
        <w:rPr>
          <w:sz w:val="28"/>
          <w:szCs w:val="28"/>
          <w:lang w:val="en-US"/>
        </w:rPr>
        <w:t>r</w:t>
      </w:r>
      <w:r w:rsidRPr="009F2EF4">
        <w:rPr>
          <w:sz w:val="28"/>
          <w:szCs w:val="28"/>
          <w:lang w:val="uk-UA"/>
        </w:rPr>
        <w:t>=0,</w:t>
      </w:r>
      <w:r>
        <w:rPr>
          <w:sz w:val="28"/>
          <w:szCs w:val="28"/>
          <w:lang w:val="uk-UA"/>
        </w:rPr>
        <w:t>71;</w:t>
      </w:r>
      <w:r w:rsidRPr="009F2EF4">
        <w:rPr>
          <w:sz w:val="28"/>
          <w:szCs w:val="28"/>
          <w:lang w:val="uk-UA"/>
        </w:rPr>
        <w:t xml:space="preserve"> </w:t>
      </w:r>
      <w:r w:rsidRPr="009F2EF4">
        <w:rPr>
          <w:sz w:val="28"/>
          <w:szCs w:val="28"/>
          <w:lang w:val="en-US"/>
        </w:rPr>
        <w:t>p</w:t>
      </w:r>
      <w:r>
        <w:rPr>
          <w:rFonts w:cstheme="minorHAnsi"/>
          <w:sz w:val="28"/>
          <w:szCs w:val="28"/>
          <w:lang w:val="uk-UA"/>
        </w:rPr>
        <w:t>≤</w:t>
      </w:r>
      <w:r>
        <w:rPr>
          <w:sz w:val="28"/>
          <w:szCs w:val="28"/>
          <w:lang w:val="uk-UA"/>
        </w:rPr>
        <w:t xml:space="preserve">0,05), та рівнем </w:t>
      </w:r>
      <w:r>
        <w:rPr>
          <w:sz w:val="28"/>
          <w:szCs w:val="28"/>
          <w:lang w:val="uk-UA"/>
        </w:rPr>
        <w:lastRenderedPageBreak/>
        <w:t xml:space="preserve">СРБ і </w:t>
      </w:r>
      <w:r w:rsidRPr="009F2EF4">
        <w:rPr>
          <w:sz w:val="28"/>
          <w:szCs w:val="28"/>
          <w:lang w:val="en-US"/>
        </w:rPr>
        <w:t>IgM</w:t>
      </w:r>
      <w:r>
        <w:rPr>
          <w:sz w:val="28"/>
          <w:szCs w:val="28"/>
          <w:lang w:val="uk-UA"/>
        </w:rPr>
        <w:t xml:space="preserve"> (</w:t>
      </w:r>
      <w:r>
        <w:rPr>
          <w:sz w:val="28"/>
          <w:szCs w:val="28"/>
          <w:lang w:val="en-US"/>
        </w:rPr>
        <w:t>r</w:t>
      </w:r>
      <w:r w:rsidRPr="009F2EF4">
        <w:rPr>
          <w:sz w:val="28"/>
          <w:szCs w:val="28"/>
          <w:lang w:val="uk-UA"/>
        </w:rPr>
        <w:t>=0,</w:t>
      </w:r>
      <w:r>
        <w:rPr>
          <w:sz w:val="28"/>
          <w:szCs w:val="28"/>
          <w:lang w:val="uk-UA"/>
        </w:rPr>
        <w:t>65; р</w:t>
      </w:r>
      <w:r>
        <w:rPr>
          <w:rFonts w:cstheme="minorHAnsi"/>
          <w:sz w:val="28"/>
          <w:szCs w:val="28"/>
          <w:lang w:val="uk-UA"/>
        </w:rPr>
        <w:t>≤</w:t>
      </w:r>
      <w:r>
        <w:rPr>
          <w:sz w:val="28"/>
          <w:szCs w:val="28"/>
          <w:lang w:val="uk-UA"/>
        </w:rPr>
        <w:t xml:space="preserve">0,05). У пацієнтів, що страждають ХП і ЦД 2 типу, виявлено достовірно вищий рівень маркерів системного запалення: </w:t>
      </w:r>
      <w:r w:rsidRPr="00A76C00">
        <w:rPr>
          <w:sz w:val="28"/>
          <w:szCs w:val="28"/>
          <w:lang w:val="en-US"/>
        </w:rPr>
        <w:t>IL</w:t>
      </w:r>
      <w:r>
        <w:rPr>
          <w:sz w:val="28"/>
          <w:szCs w:val="28"/>
          <w:lang w:val="uk-UA"/>
        </w:rPr>
        <w:t>-</w:t>
      </w:r>
      <w:r w:rsidRPr="00A76C00">
        <w:rPr>
          <w:sz w:val="28"/>
          <w:szCs w:val="28"/>
          <w:lang w:val="uk-UA"/>
        </w:rPr>
        <w:t>6</w:t>
      </w:r>
      <w:r>
        <w:rPr>
          <w:sz w:val="28"/>
          <w:szCs w:val="28"/>
          <w:lang w:val="uk-UA"/>
        </w:rPr>
        <w:t xml:space="preserve"> (12,2 </w:t>
      </w:r>
      <w:r>
        <w:rPr>
          <w:sz w:val="28"/>
          <w:szCs w:val="28"/>
          <w:lang w:val="en-US"/>
        </w:rPr>
        <w:t>vs</w:t>
      </w:r>
      <w:r>
        <w:rPr>
          <w:sz w:val="28"/>
          <w:szCs w:val="28"/>
          <w:lang w:val="uk-UA"/>
        </w:rPr>
        <w:t>. 6</w:t>
      </w:r>
      <w:r w:rsidRPr="006F2363">
        <w:rPr>
          <w:sz w:val="28"/>
          <w:szCs w:val="28"/>
          <w:lang w:val="uk-UA"/>
        </w:rPr>
        <w:t xml:space="preserve">,9; </w:t>
      </w:r>
      <w:r>
        <w:rPr>
          <w:sz w:val="28"/>
          <w:szCs w:val="28"/>
          <w:lang w:val="en-US"/>
        </w:rPr>
        <w:t>p</w:t>
      </w:r>
      <w:r w:rsidRPr="006F2363">
        <w:rPr>
          <w:rFonts w:cstheme="minorHAnsi"/>
          <w:sz w:val="28"/>
          <w:szCs w:val="28"/>
          <w:lang w:val="uk-UA"/>
        </w:rPr>
        <w:t>≤</w:t>
      </w:r>
      <w:r>
        <w:rPr>
          <w:sz w:val="28"/>
          <w:szCs w:val="28"/>
          <w:lang w:val="uk-UA"/>
        </w:rPr>
        <w:t>0</w:t>
      </w:r>
      <w:r w:rsidRPr="006F2363">
        <w:rPr>
          <w:sz w:val="28"/>
          <w:szCs w:val="28"/>
          <w:lang w:val="uk-UA"/>
        </w:rPr>
        <w:t>,05</w:t>
      </w:r>
      <w:r>
        <w:rPr>
          <w:sz w:val="28"/>
          <w:szCs w:val="28"/>
          <w:lang w:val="uk-UA"/>
        </w:rPr>
        <w:t>)</w:t>
      </w:r>
      <w:r w:rsidRPr="006F2363">
        <w:rPr>
          <w:sz w:val="28"/>
          <w:szCs w:val="28"/>
          <w:lang w:val="uk-UA"/>
        </w:rPr>
        <w:t xml:space="preserve">, </w:t>
      </w:r>
      <w:r w:rsidRPr="008C144B">
        <w:rPr>
          <w:sz w:val="28"/>
          <w:szCs w:val="28"/>
          <w:lang w:val="en-US"/>
        </w:rPr>
        <w:t>Ig</w:t>
      </w:r>
      <w:r>
        <w:rPr>
          <w:sz w:val="28"/>
          <w:szCs w:val="28"/>
          <w:lang w:val="en-US"/>
        </w:rPr>
        <w:t>M</w:t>
      </w:r>
      <w:r w:rsidRPr="006F2363">
        <w:rPr>
          <w:sz w:val="28"/>
          <w:szCs w:val="28"/>
          <w:lang w:val="uk-UA"/>
        </w:rPr>
        <w:t xml:space="preserve"> (2,0 </w:t>
      </w:r>
      <w:r>
        <w:rPr>
          <w:sz w:val="28"/>
          <w:szCs w:val="28"/>
          <w:lang w:val="en-US"/>
        </w:rPr>
        <w:t>vs</w:t>
      </w:r>
      <w:r>
        <w:rPr>
          <w:sz w:val="28"/>
          <w:szCs w:val="28"/>
          <w:lang w:val="uk-UA"/>
        </w:rPr>
        <w:t>.</w:t>
      </w:r>
      <w:r w:rsidRPr="006F2363">
        <w:rPr>
          <w:sz w:val="28"/>
          <w:szCs w:val="28"/>
          <w:lang w:val="uk-UA"/>
        </w:rPr>
        <w:t xml:space="preserve"> 1,8; </w:t>
      </w:r>
      <w:r>
        <w:rPr>
          <w:sz w:val="28"/>
          <w:szCs w:val="28"/>
          <w:lang w:val="en-US"/>
        </w:rPr>
        <w:t>p</w:t>
      </w:r>
      <w:r w:rsidRPr="006F2363">
        <w:rPr>
          <w:rFonts w:cstheme="minorHAnsi"/>
          <w:sz w:val="28"/>
          <w:szCs w:val="28"/>
          <w:lang w:val="uk-UA"/>
        </w:rPr>
        <w:t>≤</w:t>
      </w:r>
      <w:r>
        <w:rPr>
          <w:sz w:val="28"/>
          <w:szCs w:val="28"/>
          <w:lang w:val="uk-UA"/>
        </w:rPr>
        <w:t>0</w:t>
      </w:r>
      <w:r w:rsidRPr="006F2363">
        <w:rPr>
          <w:sz w:val="28"/>
          <w:szCs w:val="28"/>
          <w:lang w:val="uk-UA"/>
        </w:rPr>
        <w:t>,05)</w:t>
      </w:r>
      <w:r>
        <w:rPr>
          <w:sz w:val="28"/>
          <w:szCs w:val="28"/>
          <w:lang w:val="uk-UA"/>
        </w:rPr>
        <w:t xml:space="preserve"> та СРБ</w:t>
      </w:r>
      <w:r w:rsidRPr="006F2363">
        <w:rPr>
          <w:sz w:val="28"/>
          <w:szCs w:val="28"/>
          <w:lang w:val="uk-UA"/>
        </w:rPr>
        <w:t xml:space="preserve"> (23,8 </w:t>
      </w:r>
      <w:r>
        <w:rPr>
          <w:sz w:val="28"/>
          <w:szCs w:val="28"/>
          <w:lang w:val="en-US"/>
        </w:rPr>
        <w:t>vs</w:t>
      </w:r>
      <w:r>
        <w:rPr>
          <w:sz w:val="28"/>
          <w:szCs w:val="28"/>
          <w:lang w:val="uk-UA"/>
        </w:rPr>
        <w:t>.</w:t>
      </w:r>
      <w:r w:rsidRPr="006F2363">
        <w:rPr>
          <w:sz w:val="28"/>
          <w:szCs w:val="28"/>
          <w:lang w:val="uk-UA"/>
        </w:rPr>
        <w:t xml:space="preserve"> 20,6</w:t>
      </w:r>
      <w:r>
        <w:rPr>
          <w:sz w:val="28"/>
          <w:szCs w:val="28"/>
          <w:lang w:val="uk-UA"/>
        </w:rPr>
        <w:t xml:space="preserve">), ніж у хворих без супутнього ЦД 2 типу, що може свідчити про значну активацію </w:t>
      </w:r>
      <w:r w:rsidRPr="00F56A37">
        <w:rPr>
          <w:sz w:val="28"/>
          <w:szCs w:val="28"/>
          <w:lang w:val="uk-UA"/>
        </w:rPr>
        <w:t xml:space="preserve">гуморальної ланки неспецифічного імунітету </w:t>
      </w:r>
      <w:r>
        <w:rPr>
          <w:sz w:val="28"/>
          <w:szCs w:val="28"/>
          <w:lang w:val="uk-UA"/>
        </w:rPr>
        <w:t>у цієї категорії хворих</w:t>
      </w:r>
      <w:r w:rsidRPr="00F56A37">
        <w:rPr>
          <w:sz w:val="28"/>
          <w:szCs w:val="28"/>
          <w:lang w:val="uk-UA"/>
        </w:rPr>
        <w:t>.</w:t>
      </w:r>
      <w:r>
        <w:rPr>
          <w:sz w:val="28"/>
          <w:szCs w:val="28"/>
          <w:lang w:val="uk-UA"/>
        </w:rPr>
        <w:t xml:space="preserve"> Крім того, був проведений факторний аналіз у хворих з виявленими плазмідними механізмами резистентності, у результаті якого було встановлено три взаємопов’язаних фактори, один з яких імунологічний, що свідчить о наявності взаємозв’язків між показниками системного запалення та їх значенням у хворих на ХП з виявленими генами резистентності. </w:t>
      </w:r>
    </w:p>
    <w:p w:rsidR="006B4867" w:rsidRDefault="006B4867" w:rsidP="006B4867">
      <w:pPr>
        <w:spacing w:after="0" w:line="360" w:lineRule="auto"/>
        <w:ind w:firstLine="709"/>
        <w:jc w:val="both"/>
        <w:rPr>
          <w:rFonts w:cstheme="minorHAnsi"/>
          <w:color w:val="000000" w:themeColor="text1"/>
          <w:sz w:val="28"/>
          <w:szCs w:val="28"/>
          <w:lang w:val="uk-UA"/>
        </w:rPr>
      </w:pPr>
      <w:r>
        <w:rPr>
          <w:rFonts w:cstheme="minorHAnsi"/>
          <w:color w:val="000000" w:themeColor="text1"/>
          <w:sz w:val="28"/>
          <w:szCs w:val="28"/>
          <w:lang w:val="uk-UA"/>
        </w:rPr>
        <w:t>Однак, відомостей про вплив або можливі взаємозв’язки між плазмід-індукованими механізмами резистентності</w:t>
      </w:r>
      <w:r w:rsidRPr="00447588">
        <w:rPr>
          <w:rFonts w:cstheme="minorHAnsi"/>
          <w:color w:val="000000" w:themeColor="text1"/>
          <w:sz w:val="28"/>
          <w:szCs w:val="28"/>
          <w:lang w:val="uk-UA"/>
        </w:rPr>
        <w:t xml:space="preserve"> </w:t>
      </w:r>
      <w:r>
        <w:rPr>
          <w:rFonts w:cstheme="minorHAnsi"/>
          <w:color w:val="000000" w:themeColor="text1"/>
          <w:sz w:val="28"/>
          <w:szCs w:val="28"/>
          <w:lang w:val="uk-UA"/>
        </w:rPr>
        <w:t xml:space="preserve">та показниками системного запалення, зокрема </w:t>
      </w:r>
      <w:r>
        <w:rPr>
          <w:rFonts w:eastAsia="Times New Roman" w:cstheme="minorHAnsi"/>
          <w:color w:val="000000" w:themeColor="text1"/>
          <w:sz w:val="28"/>
          <w:szCs w:val="28"/>
          <w:lang w:val="uk-UA" w:eastAsia="ru-RU"/>
        </w:rPr>
        <w:t>ІЛ-6, дуже мало в світовій літературі. Так,</w:t>
      </w:r>
      <w:r>
        <w:rPr>
          <w:rFonts w:cstheme="minorHAnsi"/>
          <w:color w:val="000000" w:themeColor="text1"/>
          <w:sz w:val="28"/>
          <w:szCs w:val="28"/>
          <w:lang w:val="uk-UA"/>
        </w:rPr>
        <w:t xml:space="preserve"> </w:t>
      </w:r>
      <w:r w:rsidRPr="00D47EFE">
        <w:rPr>
          <w:rFonts w:eastAsia="Times New Roman" w:cstheme="minorHAnsi"/>
          <w:color w:val="000000" w:themeColor="text1"/>
          <w:sz w:val="28"/>
          <w:szCs w:val="28"/>
          <w:lang w:val="en-US" w:eastAsia="ru-RU"/>
        </w:rPr>
        <w:t>Tratselas</w:t>
      </w:r>
      <w:r w:rsidRPr="00D47EFE">
        <w:rPr>
          <w:rFonts w:eastAsia="Times New Roman" w:cstheme="minorHAnsi"/>
          <w:color w:val="000000" w:themeColor="text1"/>
          <w:sz w:val="28"/>
          <w:szCs w:val="28"/>
          <w:lang w:val="uk-UA" w:eastAsia="ru-RU"/>
        </w:rPr>
        <w:t xml:space="preserve"> </w:t>
      </w:r>
      <w:r w:rsidRPr="00D47EFE">
        <w:rPr>
          <w:rFonts w:eastAsia="Times New Roman" w:cstheme="minorHAnsi"/>
          <w:color w:val="000000" w:themeColor="text1"/>
          <w:sz w:val="28"/>
          <w:szCs w:val="28"/>
          <w:lang w:val="en-US" w:eastAsia="ru-RU"/>
        </w:rPr>
        <w:t>A</w:t>
      </w:r>
      <w:r>
        <w:rPr>
          <w:rFonts w:eastAsia="Times New Roman" w:cstheme="minorHAnsi"/>
          <w:color w:val="000000" w:themeColor="text1"/>
          <w:sz w:val="28"/>
          <w:szCs w:val="28"/>
          <w:lang w:val="uk-UA" w:eastAsia="ru-RU"/>
        </w:rPr>
        <w:t xml:space="preserve"> </w:t>
      </w:r>
      <w:r w:rsidRPr="00672144">
        <w:rPr>
          <w:rFonts w:cstheme="minorHAnsi"/>
          <w:color w:val="000000" w:themeColor="text1"/>
          <w:sz w:val="28"/>
          <w:szCs w:val="28"/>
          <w:lang w:val="en-US"/>
        </w:rPr>
        <w:t>et</w:t>
      </w:r>
      <w:r w:rsidRPr="00672144">
        <w:rPr>
          <w:rFonts w:cstheme="minorHAnsi"/>
          <w:color w:val="000000" w:themeColor="text1"/>
          <w:sz w:val="28"/>
          <w:szCs w:val="28"/>
          <w:lang w:val="uk-UA"/>
        </w:rPr>
        <w:t xml:space="preserve"> </w:t>
      </w:r>
      <w:r w:rsidRPr="00672144">
        <w:rPr>
          <w:rFonts w:cstheme="minorHAnsi"/>
          <w:color w:val="000000" w:themeColor="text1"/>
          <w:sz w:val="28"/>
          <w:szCs w:val="28"/>
          <w:lang w:val="en-US"/>
        </w:rPr>
        <w:t>al</w:t>
      </w:r>
      <w:r w:rsidRPr="00672144">
        <w:rPr>
          <w:rFonts w:cstheme="minorHAnsi"/>
          <w:color w:val="000000" w:themeColor="text1"/>
          <w:sz w:val="28"/>
          <w:szCs w:val="28"/>
          <w:lang w:val="uk-UA"/>
        </w:rPr>
        <w:t>.</w:t>
      </w:r>
      <w:r>
        <w:rPr>
          <w:rFonts w:eastAsia="Times New Roman" w:cstheme="minorHAnsi"/>
          <w:color w:val="000000" w:themeColor="text1"/>
          <w:sz w:val="28"/>
          <w:szCs w:val="28"/>
          <w:lang w:val="uk-UA" w:eastAsia="ru-RU"/>
        </w:rPr>
        <w:t xml:space="preserve"> демонструють відсутність достовірних зв’язків між концентрацією ІЛ-6 та наявністю плазмід-індукованих βЛРС у </w:t>
      </w:r>
      <w:r w:rsidRPr="00447588">
        <w:rPr>
          <w:rFonts w:eastAsia="Times New Roman" w:cstheme="minorHAnsi"/>
          <w:color w:val="000000" w:themeColor="text1"/>
          <w:sz w:val="28"/>
          <w:szCs w:val="28"/>
          <w:lang w:val="uk-UA" w:eastAsia="ru-RU"/>
        </w:rPr>
        <w:t>мишей заражених пієлонефритом</w:t>
      </w:r>
      <w:r>
        <w:rPr>
          <w:rFonts w:eastAsia="Times New Roman" w:cstheme="minorHAnsi"/>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120</w:t>
      </w:r>
      <w:r>
        <w:rPr>
          <w:rFonts w:eastAsia="Times New Roman" w:cstheme="minorHAnsi"/>
          <w:color w:val="000000" w:themeColor="text1"/>
          <w:sz w:val="28"/>
          <w:szCs w:val="28"/>
          <w:lang w:val="uk-UA" w:eastAsia="ru-RU"/>
        </w:rPr>
        <w:t xml:space="preserve">]. Проте, </w:t>
      </w:r>
      <w:r>
        <w:rPr>
          <w:sz w:val="28"/>
          <w:szCs w:val="28"/>
          <w:lang w:val="en-US"/>
        </w:rPr>
        <w:t>Sundvall</w:t>
      </w:r>
      <w:r w:rsidRPr="00E05993">
        <w:rPr>
          <w:sz w:val="28"/>
          <w:szCs w:val="28"/>
          <w:lang w:val="uk-UA"/>
        </w:rPr>
        <w:t xml:space="preserve"> </w:t>
      </w:r>
      <w:r>
        <w:rPr>
          <w:sz w:val="28"/>
          <w:szCs w:val="28"/>
          <w:lang w:val="en-US"/>
        </w:rPr>
        <w:t>PD</w:t>
      </w:r>
      <w:r w:rsidRPr="00E05993">
        <w:rPr>
          <w:sz w:val="28"/>
          <w:szCs w:val="28"/>
          <w:lang w:val="uk-UA"/>
        </w:rPr>
        <w:t xml:space="preserve">. </w:t>
      </w:r>
      <w:r>
        <w:rPr>
          <w:sz w:val="28"/>
          <w:szCs w:val="28"/>
          <w:lang w:val="en-US"/>
        </w:rPr>
        <w:t>et</w:t>
      </w:r>
      <w:r w:rsidRPr="00E05993">
        <w:rPr>
          <w:sz w:val="28"/>
          <w:szCs w:val="28"/>
          <w:lang w:val="uk-UA"/>
        </w:rPr>
        <w:t xml:space="preserve"> </w:t>
      </w:r>
      <w:r>
        <w:rPr>
          <w:sz w:val="28"/>
          <w:szCs w:val="28"/>
          <w:lang w:val="en-US"/>
        </w:rPr>
        <w:t>al</w:t>
      </w:r>
      <w:r w:rsidRPr="00E05993">
        <w:rPr>
          <w:sz w:val="28"/>
          <w:szCs w:val="28"/>
          <w:lang w:val="uk-UA"/>
        </w:rPr>
        <w:t xml:space="preserve">. </w:t>
      </w:r>
      <w:r>
        <w:rPr>
          <w:sz w:val="28"/>
          <w:szCs w:val="28"/>
          <w:lang w:val="uk-UA"/>
        </w:rPr>
        <w:t>визначили достовірне підвищення рівня ІЛ-6</w:t>
      </w:r>
      <w:r w:rsidRPr="00E05993">
        <w:rPr>
          <w:sz w:val="28"/>
          <w:szCs w:val="28"/>
          <w:lang w:val="uk-UA"/>
        </w:rPr>
        <w:t xml:space="preserve"> </w:t>
      </w:r>
      <w:r>
        <w:rPr>
          <w:sz w:val="28"/>
          <w:szCs w:val="28"/>
          <w:lang w:val="uk-UA"/>
        </w:rPr>
        <w:t xml:space="preserve">в сечі хворих похилого віку з наявністю клінічно значимої бактеріурії з або відсутністю клінічних симптомів ПН </w:t>
      </w:r>
      <w:r>
        <w:rPr>
          <w:rFonts w:cstheme="minorHAnsi"/>
          <w:sz w:val="28"/>
          <w:szCs w:val="28"/>
          <w:lang w:val="uk-UA"/>
        </w:rPr>
        <w:t>[</w:t>
      </w:r>
      <w:r>
        <w:rPr>
          <w:rFonts w:ascii="Times New Roman" w:eastAsia="Times New Roman" w:hAnsi="Times New Roman" w:cs="Times New Roman"/>
          <w:color w:val="000000" w:themeColor="text1"/>
          <w:sz w:val="28"/>
          <w:szCs w:val="28"/>
          <w:lang w:val="uk-UA" w:eastAsia="ru-RU"/>
        </w:rPr>
        <w:t>117</w:t>
      </w:r>
      <w:r>
        <w:rPr>
          <w:rFonts w:cstheme="minorHAnsi"/>
          <w:sz w:val="28"/>
          <w:szCs w:val="28"/>
          <w:lang w:val="uk-UA"/>
        </w:rPr>
        <w:t>]</w:t>
      </w:r>
      <w:r>
        <w:rPr>
          <w:sz w:val="28"/>
          <w:szCs w:val="28"/>
          <w:lang w:val="uk-UA"/>
        </w:rPr>
        <w:t>.</w:t>
      </w:r>
      <w:r>
        <w:rPr>
          <w:rFonts w:cstheme="minorHAnsi"/>
          <w:color w:val="000000" w:themeColor="text1"/>
          <w:sz w:val="28"/>
          <w:szCs w:val="28"/>
          <w:lang w:val="uk-UA"/>
        </w:rPr>
        <w:t xml:space="preserve"> Отже, цей факт потребує подальшого вивчення.</w:t>
      </w:r>
    </w:p>
    <w:p w:rsidR="006B4867" w:rsidRDefault="006B4867" w:rsidP="006B4867">
      <w:pPr>
        <w:spacing w:after="0" w:line="360" w:lineRule="auto"/>
        <w:ind w:firstLine="709"/>
        <w:jc w:val="both"/>
        <w:rPr>
          <w:sz w:val="28"/>
          <w:lang w:val="uk-UA"/>
        </w:rPr>
      </w:pPr>
      <w:r>
        <w:rPr>
          <w:rFonts w:cstheme="minorHAnsi"/>
          <w:color w:val="000000" w:themeColor="text1"/>
          <w:sz w:val="28"/>
          <w:szCs w:val="28"/>
          <w:lang w:val="uk-UA"/>
        </w:rPr>
        <w:t xml:space="preserve">Таким чином, </w:t>
      </w:r>
      <w:r>
        <w:rPr>
          <w:sz w:val="28"/>
          <w:lang w:val="uk-UA"/>
        </w:rPr>
        <w:t xml:space="preserve">вивчення імунологічних маркерів системного запалення у хворих на ХП і ЦД 2 типу в залежності від наявності плазмід-індукованих механізмів резистентності демонструє наявність певного впливу плазмідних механізмів резистентності на рівень активації імунітету, що також підтверджується наявністю достовірних взаємозв’язків між показниками системного запалення у хворих з виявленими генами резистентності, та вказує на необхідність подальших досліджень в цьому напрямку </w:t>
      </w:r>
      <w:r w:rsidRPr="00FA791A">
        <w:rPr>
          <w:sz w:val="28"/>
          <w:lang w:val="uk-UA"/>
        </w:rPr>
        <w:t xml:space="preserve">для підтвердження отриманих даних і розробці </w:t>
      </w:r>
      <w:r>
        <w:rPr>
          <w:sz w:val="28"/>
          <w:lang w:val="uk-UA"/>
        </w:rPr>
        <w:t xml:space="preserve">ефективних </w:t>
      </w:r>
      <w:r w:rsidRPr="00FA791A">
        <w:rPr>
          <w:sz w:val="28"/>
          <w:lang w:val="uk-UA"/>
        </w:rPr>
        <w:t xml:space="preserve">методів зменшення </w:t>
      </w:r>
      <w:r>
        <w:rPr>
          <w:sz w:val="28"/>
          <w:lang w:val="uk-UA"/>
        </w:rPr>
        <w:t xml:space="preserve">кількості </w:t>
      </w:r>
      <w:r w:rsidRPr="00FA791A">
        <w:rPr>
          <w:sz w:val="28"/>
          <w:lang w:val="uk-UA"/>
        </w:rPr>
        <w:t>рецидив</w:t>
      </w:r>
      <w:r>
        <w:rPr>
          <w:sz w:val="28"/>
          <w:lang w:val="uk-UA"/>
        </w:rPr>
        <w:t>ів</w:t>
      </w:r>
      <w:r w:rsidRPr="00FA791A">
        <w:rPr>
          <w:sz w:val="28"/>
          <w:lang w:val="uk-UA"/>
        </w:rPr>
        <w:t xml:space="preserve"> </w:t>
      </w:r>
      <w:r>
        <w:rPr>
          <w:sz w:val="28"/>
          <w:lang w:val="uk-UA"/>
        </w:rPr>
        <w:t>ХП</w:t>
      </w:r>
      <w:r w:rsidRPr="00FA791A">
        <w:rPr>
          <w:sz w:val="28"/>
          <w:lang w:val="uk-UA"/>
        </w:rPr>
        <w:t xml:space="preserve"> у груп підвищеного ризику, </w:t>
      </w:r>
      <w:r>
        <w:rPr>
          <w:sz w:val="28"/>
          <w:lang w:val="uk-UA"/>
        </w:rPr>
        <w:t>можливо із застосуванням хіміо/</w:t>
      </w:r>
      <w:r w:rsidRPr="00FA791A">
        <w:rPr>
          <w:sz w:val="28"/>
          <w:lang w:val="uk-UA"/>
        </w:rPr>
        <w:t>вакцинопрофілактики</w:t>
      </w:r>
      <w:r>
        <w:rPr>
          <w:sz w:val="28"/>
          <w:lang w:val="uk-UA"/>
        </w:rPr>
        <w:t xml:space="preserve">.  </w:t>
      </w:r>
    </w:p>
    <w:p w:rsidR="006B4867" w:rsidRDefault="006B4867" w:rsidP="006B4867">
      <w:pPr>
        <w:spacing w:after="0" w:line="360" w:lineRule="auto"/>
        <w:ind w:firstLine="709"/>
        <w:jc w:val="both"/>
        <w:rPr>
          <w:sz w:val="28"/>
          <w:szCs w:val="28"/>
          <w:lang w:val="uk-UA"/>
        </w:rPr>
      </w:pPr>
      <w:r>
        <w:rPr>
          <w:sz w:val="28"/>
          <w:lang w:val="uk-UA"/>
        </w:rPr>
        <w:lastRenderedPageBreak/>
        <w:t xml:space="preserve">Завершальним етапом нашої роботи була </w:t>
      </w:r>
      <w:r>
        <w:rPr>
          <w:rFonts w:ascii="Times New Roman" w:hAnsi="Times New Roman"/>
          <w:color w:val="000000" w:themeColor="text1"/>
          <w:sz w:val="28"/>
          <w:szCs w:val="28"/>
          <w:lang w:val="uk-UA"/>
        </w:rPr>
        <w:t>о</w:t>
      </w:r>
      <w:r w:rsidRPr="007008D1">
        <w:rPr>
          <w:rFonts w:ascii="Times New Roman" w:hAnsi="Times New Roman"/>
          <w:color w:val="000000" w:themeColor="text1"/>
          <w:sz w:val="28"/>
          <w:szCs w:val="28"/>
          <w:lang w:val="uk-UA"/>
        </w:rPr>
        <w:t>птиміз</w:t>
      </w:r>
      <w:r>
        <w:rPr>
          <w:rFonts w:ascii="Times New Roman" w:hAnsi="Times New Roman"/>
          <w:color w:val="000000" w:themeColor="text1"/>
          <w:sz w:val="28"/>
          <w:szCs w:val="28"/>
          <w:lang w:val="uk-UA"/>
        </w:rPr>
        <w:t>ація</w:t>
      </w:r>
      <w:r w:rsidRPr="007008D1">
        <w:rPr>
          <w:rFonts w:ascii="Times New Roman" w:hAnsi="Times New Roman"/>
          <w:color w:val="000000" w:themeColor="text1"/>
          <w:sz w:val="28"/>
          <w:szCs w:val="28"/>
          <w:lang w:val="uk-UA"/>
        </w:rPr>
        <w:t xml:space="preserve"> метод</w:t>
      </w:r>
      <w:r>
        <w:rPr>
          <w:rFonts w:ascii="Times New Roman" w:hAnsi="Times New Roman"/>
          <w:color w:val="000000" w:themeColor="text1"/>
          <w:sz w:val="28"/>
          <w:szCs w:val="28"/>
          <w:lang w:val="uk-UA"/>
        </w:rPr>
        <w:t>ів</w:t>
      </w:r>
      <w:r w:rsidRPr="007008D1">
        <w:rPr>
          <w:rFonts w:ascii="Times New Roman" w:hAnsi="Times New Roman"/>
          <w:color w:val="000000" w:themeColor="text1"/>
          <w:sz w:val="28"/>
          <w:szCs w:val="28"/>
          <w:lang w:val="uk-UA"/>
        </w:rPr>
        <w:t xml:space="preserve"> диференційованого призначення антибіотико-терапії в залежності від наявності </w:t>
      </w:r>
      <w:r>
        <w:rPr>
          <w:rFonts w:ascii="Times New Roman" w:hAnsi="Times New Roman"/>
          <w:color w:val="000000" w:themeColor="text1"/>
          <w:sz w:val="28"/>
          <w:szCs w:val="28"/>
          <w:lang w:val="uk-UA"/>
        </w:rPr>
        <w:t>плазмід-</w:t>
      </w:r>
      <w:r w:rsidRPr="007008D1">
        <w:rPr>
          <w:rFonts w:ascii="Times New Roman" w:hAnsi="Times New Roman"/>
          <w:color w:val="000000" w:themeColor="text1"/>
          <w:sz w:val="28"/>
          <w:szCs w:val="28"/>
          <w:lang w:val="uk-UA"/>
        </w:rPr>
        <w:t xml:space="preserve">індукованих механізмів резистентності, у хворих на </w:t>
      </w:r>
      <w:r>
        <w:rPr>
          <w:rFonts w:ascii="Times New Roman" w:hAnsi="Times New Roman"/>
          <w:color w:val="000000" w:themeColor="text1"/>
          <w:sz w:val="28"/>
          <w:szCs w:val="28"/>
          <w:lang w:val="uk-UA"/>
        </w:rPr>
        <w:t>хронічний пієлонефрит</w:t>
      </w:r>
      <w:r w:rsidRPr="007008D1">
        <w:rPr>
          <w:rFonts w:ascii="Times New Roman" w:hAnsi="Times New Roman"/>
          <w:color w:val="000000" w:themeColor="text1"/>
          <w:sz w:val="28"/>
          <w:szCs w:val="28"/>
          <w:lang w:val="uk-UA"/>
        </w:rPr>
        <w:t xml:space="preserve"> і супутн</w:t>
      </w:r>
      <w:r>
        <w:rPr>
          <w:rFonts w:ascii="Times New Roman" w:hAnsi="Times New Roman"/>
          <w:color w:val="000000" w:themeColor="text1"/>
          <w:sz w:val="28"/>
          <w:szCs w:val="28"/>
          <w:lang w:val="uk-UA"/>
        </w:rPr>
        <w:t>ій</w:t>
      </w:r>
      <w:r w:rsidRPr="007008D1">
        <w:rPr>
          <w:rFonts w:ascii="Times New Roman" w:hAnsi="Times New Roman"/>
          <w:color w:val="000000" w:themeColor="text1"/>
          <w:sz w:val="28"/>
          <w:szCs w:val="28"/>
          <w:lang w:val="uk-UA"/>
        </w:rPr>
        <w:t xml:space="preserve"> цукров</w:t>
      </w:r>
      <w:r>
        <w:rPr>
          <w:rFonts w:ascii="Times New Roman" w:hAnsi="Times New Roman"/>
          <w:color w:val="000000" w:themeColor="text1"/>
          <w:sz w:val="28"/>
          <w:szCs w:val="28"/>
          <w:lang w:val="uk-UA"/>
        </w:rPr>
        <w:t>ий</w:t>
      </w:r>
      <w:r w:rsidRPr="007008D1">
        <w:rPr>
          <w:rFonts w:ascii="Times New Roman" w:hAnsi="Times New Roman"/>
          <w:color w:val="000000" w:themeColor="text1"/>
          <w:sz w:val="28"/>
          <w:szCs w:val="28"/>
          <w:lang w:val="uk-UA"/>
        </w:rPr>
        <w:t xml:space="preserve"> діабет 2 типу.</w:t>
      </w:r>
      <w:r>
        <w:rPr>
          <w:sz w:val="28"/>
          <w:lang w:val="uk-UA"/>
        </w:rPr>
        <w:t xml:space="preserve"> Для вирішення цієї задачі ми проаналізували виявляємість плазмід-індукованих механізмів резистентності у хворих на ХП і ЦД 2 типу в залежності від виду емпіричного АБП. </w:t>
      </w:r>
      <w:r>
        <w:rPr>
          <w:sz w:val="28"/>
          <w:szCs w:val="28"/>
          <w:lang w:val="uk-UA"/>
        </w:rPr>
        <w:t xml:space="preserve">Встановлено, що у пацієнтів які отримували фторхінолони, виявлення генів резистентності становило 41,7% (25% генів виявлено до лікування, 17% - після АБТ); у пацієнтів, що отримували цефалоспорини – виявлення становило 43,9% (24% до лікування, 20% - після АБТ); пацієнти, що лікувалися комбінацією фторхінолони/цефалоспорини, виявлення склало 40% (28%/12%). Отже, існує певний вплив самих АБП на колонізацію сечової системи бактеріями з плазмідними генами стійкості. Однак, цей факт потребує подальших досліджень. </w:t>
      </w:r>
      <w:r w:rsidRPr="00A739C7">
        <w:rPr>
          <w:sz w:val="28"/>
          <w:szCs w:val="28"/>
          <w:lang w:val="uk-UA"/>
        </w:rPr>
        <w:t>По типам виявлених генів</w:t>
      </w:r>
      <w:r>
        <w:rPr>
          <w:sz w:val="28"/>
          <w:szCs w:val="28"/>
          <w:lang w:val="uk-UA"/>
        </w:rPr>
        <w:t xml:space="preserve">, в групі що приймали фторхінолони виявлення як плазмід-індукованих </w:t>
      </w:r>
      <w:r>
        <w:rPr>
          <w:rFonts w:cstheme="minorHAnsi"/>
          <w:sz w:val="28"/>
          <w:szCs w:val="28"/>
          <w:lang w:val="uk-UA"/>
        </w:rPr>
        <w:t>β</w:t>
      </w:r>
      <w:r>
        <w:rPr>
          <w:sz w:val="28"/>
          <w:szCs w:val="28"/>
          <w:lang w:val="uk-UA"/>
        </w:rPr>
        <w:t xml:space="preserve">ЛРС, так і генів стійкості до фторхінолонів, не відрізнялось і складало 20,8%; в групі, що приймали цефалоспорини – переважали </w:t>
      </w:r>
      <w:r>
        <w:rPr>
          <w:rFonts w:cstheme="minorHAnsi"/>
          <w:sz w:val="28"/>
          <w:szCs w:val="28"/>
          <w:lang w:val="uk-UA"/>
        </w:rPr>
        <w:t>β</w:t>
      </w:r>
      <w:r>
        <w:rPr>
          <w:sz w:val="28"/>
          <w:szCs w:val="28"/>
          <w:lang w:val="uk-UA"/>
        </w:rPr>
        <w:t>-лактамази розширеного спектру дії з частотою виявлення 29,3%; в групі, що лікувалися комбінацією фторхінолони/цефалоспорини.</w:t>
      </w:r>
    </w:p>
    <w:p w:rsidR="006B4867" w:rsidRPr="009B4AAF" w:rsidRDefault="006B4867" w:rsidP="006B4867">
      <w:pPr>
        <w:spacing w:after="0" w:line="360" w:lineRule="auto"/>
        <w:ind w:firstLine="709"/>
        <w:jc w:val="both"/>
        <w:rPr>
          <w:sz w:val="28"/>
          <w:szCs w:val="28"/>
          <w:lang w:val="uk-UA"/>
        </w:rPr>
      </w:pPr>
      <w:r>
        <w:rPr>
          <w:sz w:val="28"/>
          <w:szCs w:val="28"/>
          <w:lang w:val="uk-UA"/>
        </w:rPr>
        <w:t xml:space="preserve">У хворих на ХП і супутнім ЦД 2 типу, виявлення плазмід-індукованих механізмів резистентності було найвищім в групі що приймали фторхінолони (80% </w:t>
      </w:r>
      <w:r>
        <w:rPr>
          <w:sz w:val="28"/>
          <w:szCs w:val="28"/>
          <w:lang w:val="en-US"/>
        </w:rPr>
        <w:t>vs</w:t>
      </w:r>
      <w:r w:rsidRPr="009B4169">
        <w:rPr>
          <w:sz w:val="28"/>
          <w:szCs w:val="28"/>
          <w:lang w:val="uk-UA"/>
        </w:rPr>
        <w:t xml:space="preserve">. 14,3%, </w:t>
      </w:r>
      <w:r>
        <w:rPr>
          <w:sz w:val="28"/>
          <w:szCs w:val="28"/>
          <w:lang w:val="en-US"/>
        </w:rPr>
        <w:t>p</w:t>
      </w:r>
      <w:r w:rsidRPr="009B4169">
        <w:rPr>
          <w:rFonts w:cstheme="minorHAnsi"/>
          <w:sz w:val="28"/>
          <w:szCs w:val="28"/>
          <w:lang w:val="uk-UA"/>
        </w:rPr>
        <w:t>≤</w:t>
      </w:r>
      <w:r w:rsidRPr="009B4169">
        <w:rPr>
          <w:sz w:val="28"/>
          <w:szCs w:val="28"/>
          <w:lang w:val="uk-UA"/>
        </w:rPr>
        <w:t>0,05</w:t>
      </w:r>
      <w:r>
        <w:rPr>
          <w:sz w:val="28"/>
          <w:szCs w:val="28"/>
          <w:lang w:val="uk-UA"/>
        </w:rPr>
        <w:t xml:space="preserve">). У пацієнтів із ХП без діабету, питома вага генів резистентності була найвища в групі що лікувалися </w:t>
      </w:r>
      <w:r>
        <w:rPr>
          <w:rFonts w:cstheme="minorHAnsi"/>
          <w:sz w:val="28"/>
          <w:szCs w:val="28"/>
          <w:lang w:val="uk-UA"/>
        </w:rPr>
        <w:t>β</w:t>
      </w:r>
      <w:r>
        <w:rPr>
          <w:sz w:val="28"/>
          <w:szCs w:val="28"/>
          <w:lang w:val="uk-UA"/>
        </w:rPr>
        <w:t xml:space="preserve">-лактамами (48%). Отже, у хворих на ХП без діабету доцільніше призначати фторхінолони, тоді як пацієнтів із ХП на тлі ЦД 2 типу – краще лікувати цефалоспоринами для зменшення ризику появи штамів з наявністю генів стійкості. Група аміноглікозидів </w:t>
      </w:r>
      <w:r w:rsidRPr="00B83DB3">
        <w:rPr>
          <w:sz w:val="28"/>
          <w:szCs w:val="28"/>
          <w:lang w:val="uk-UA"/>
        </w:rPr>
        <w:t>не рекомендується в якості емпіричної АБТ</w:t>
      </w:r>
      <w:r>
        <w:rPr>
          <w:sz w:val="28"/>
          <w:szCs w:val="28"/>
          <w:lang w:val="uk-UA"/>
        </w:rPr>
        <w:t xml:space="preserve"> хронічного пієлонефриту, у зв’язку з високою вірогідністю контамінації сечового тракту бактеріями з плазмідними механізмами резистентності. Згідно офіційних рекомендації Європейської асоціації урологів, емпіричними АБП при </w:t>
      </w:r>
      <w:r>
        <w:rPr>
          <w:sz w:val="28"/>
          <w:szCs w:val="28"/>
          <w:lang w:val="uk-UA"/>
        </w:rPr>
        <w:lastRenderedPageBreak/>
        <w:t xml:space="preserve">лікуванні ХП є парентерально фторхінолон (при наявності резистентності </w:t>
      </w:r>
      <w:r w:rsidRPr="007B00E5">
        <w:rPr>
          <w:rFonts w:cstheme="minorHAnsi"/>
          <w:sz w:val="28"/>
          <w:szCs w:val="28"/>
          <w:lang w:val="uk-UA"/>
        </w:rPr>
        <w:t>&lt;</w:t>
      </w:r>
      <w:r>
        <w:rPr>
          <w:sz w:val="28"/>
          <w:szCs w:val="28"/>
          <w:lang w:val="uk-UA"/>
        </w:rPr>
        <w:t xml:space="preserve"> 10%), 3-я генерація цефалоспоринів (при наявності резистентності </w:t>
      </w:r>
      <w:r w:rsidRPr="007B00E5">
        <w:rPr>
          <w:rFonts w:cstheme="minorHAnsi"/>
          <w:sz w:val="28"/>
          <w:szCs w:val="28"/>
          <w:lang w:val="uk-UA"/>
        </w:rPr>
        <w:t>&lt;</w:t>
      </w:r>
      <w:r>
        <w:rPr>
          <w:sz w:val="28"/>
          <w:szCs w:val="28"/>
          <w:lang w:val="uk-UA"/>
        </w:rPr>
        <w:t xml:space="preserve"> 10%), аміноглікозид/карбапенем у разі резистентності до фторхінолонів та цефалоспоринів </w:t>
      </w:r>
      <w:r w:rsidRPr="00505347">
        <w:rPr>
          <w:rFonts w:cstheme="minorHAnsi"/>
          <w:sz w:val="28"/>
          <w:szCs w:val="28"/>
          <w:lang w:val="uk-UA"/>
        </w:rPr>
        <w:t>&gt;</w:t>
      </w:r>
      <w:r>
        <w:rPr>
          <w:sz w:val="28"/>
          <w:szCs w:val="28"/>
          <w:lang w:val="uk-UA"/>
        </w:rPr>
        <w:t xml:space="preserve"> 10% </w:t>
      </w:r>
      <w:r w:rsidRPr="00505347">
        <w:rPr>
          <w:rFonts w:ascii="Times New Roman" w:hAnsi="Times New Roman" w:cs="Times New Roman"/>
          <w:sz w:val="28"/>
          <w:szCs w:val="28"/>
          <w:lang w:val="uk-UA"/>
        </w:rPr>
        <w:t>[</w:t>
      </w:r>
      <w:r>
        <w:rPr>
          <w:sz w:val="28"/>
          <w:szCs w:val="28"/>
          <w:lang w:val="uk-UA"/>
        </w:rPr>
        <w:t>77</w:t>
      </w:r>
      <w:r w:rsidRPr="00505347">
        <w:rPr>
          <w:rFonts w:ascii="Times New Roman" w:hAnsi="Times New Roman" w:cs="Times New Roman"/>
          <w:sz w:val="28"/>
          <w:szCs w:val="28"/>
          <w:lang w:val="uk-UA"/>
        </w:rPr>
        <w:t>].</w:t>
      </w:r>
      <w:r>
        <w:rPr>
          <w:sz w:val="28"/>
          <w:szCs w:val="28"/>
          <w:lang w:val="uk-UA"/>
        </w:rPr>
        <w:t xml:space="preserve"> </w:t>
      </w:r>
      <w:r w:rsidRPr="00505347">
        <w:rPr>
          <w:rFonts w:cstheme="minorHAnsi"/>
          <w:color w:val="000000" w:themeColor="text1"/>
          <w:sz w:val="28"/>
          <w:szCs w:val="28"/>
          <w:lang w:val="en-US"/>
        </w:rPr>
        <w:t>Curello</w:t>
      </w:r>
      <w:r w:rsidRPr="00505347">
        <w:rPr>
          <w:rFonts w:cstheme="minorHAnsi"/>
          <w:color w:val="000000" w:themeColor="text1"/>
          <w:sz w:val="28"/>
          <w:szCs w:val="28"/>
          <w:lang w:val="uk-UA"/>
        </w:rPr>
        <w:t xml:space="preserve"> </w:t>
      </w:r>
      <w:r w:rsidRPr="00505347">
        <w:rPr>
          <w:rFonts w:cstheme="minorHAnsi"/>
          <w:color w:val="000000" w:themeColor="text1"/>
          <w:sz w:val="28"/>
          <w:szCs w:val="28"/>
          <w:lang w:val="en-US"/>
        </w:rPr>
        <w:t>J</w:t>
      </w:r>
      <w:r w:rsidRPr="00465BB6">
        <w:rPr>
          <w:rFonts w:cstheme="minorHAnsi"/>
          <w:color w:val="000000" w:themeColor="text1"/>
          <w:sz w:val="28"/>
          <w:szCs w:val="28"/>
          <w:lang w:val="uk-UA"/>
        </w:rPr>
        <w:t>.</w:t>
      </w:r>
      <w:r w:rsidRPr="00505347">
        <w:rPr>
          <w:rFonts w:cstheme="minorHAnsi"/>
          <w:color w:val="000000" w:themeColor="text1"/>
          <w:sz w:val="28"/>
          <w:szCs w:val="28"/>
          <w:lang w:val="uk-UA"/>
        </w:rPr>
        <w:t xml:space="preserve"> та с</w:t>
      </w:r>
      <w:r>
        <w:rPr>
          <w:rFonts w:cstheme="minorHAnsi"/>
          <w:color w:val="000000" w:themeColor="text1"/>
          <w:sz w:val="28"/>
          <w:szCs w:val="28"/>
          <w:lang w:val="uk-UA"/>
        </w:rPr>
        <w:t>пів</w:t>
      </w:r>
      <w:r w:rsidRPr="00505347">
        <w:rPr>
          <w:sz w:val="28"/>
          <w:szCs w:val="28"/>
          <w:lang w:val="uk-UA"/>
        </w:rPr>
        <w:t>авт.</w:t>
      </w:r>
      <w:r>
        <w:rPr>
          <w:sz w:val="28"/>
          <w:szCs w:val="28"/>
          <w:lang w:val="uk-UA"/>
        </w:rPr>
        <w:t xml:space="preserve"> в дослідженні </w:t>
      </w:r>
      <w:r w:rsidRPr="00505347">
        <w:rPr>
          <w:rFonts w:eastAsia="MyriadPro-Bold" w:cstheme="minorHAnsi"/>
          <w:bCs/>
          <w:sz w:val="28"/>
          <w:szCs w:val="28"/>
        </w:rPr>
        <w:t>Beyond</w:t>
      </w:r>
      <w:r w:rsidRPr="00465BB6">
        <w:rPr>
          <w:rFonts w:eastAsia="MyriadPro-Bold" w:cstheme="minorHAnsi"/>
          <w:bCs/>
          <w:sz w:val="28"/>
          <w:szCs w:val="28"/>
          <w:lang w:val="uk-UA"/>
        </w:rPr>
        <w:t xml:space="preserve"> </w:t>
      </w:r>
      <w:r w:rsidRPr="00505347">
        <w:rPr>
          <w:rFonts w:eastAsia="MyriadPro-Bold" w:cstheme="minorHAnsi"/>
          <w:bCs/>
          <w:sz w:val="28"/>
          <w:szCs w:val="28"/>
        </w:rPr>
        <w:t>Susceptible</w:t>
      </w:r>
      <w:r w:rsidRPr="00465BB6">
        <w:rPr>
          <w:rFonts w:eastAsia="MyriadPro-Bold" w:cstheme="minorHAnsi"/>
          <w:bCs/>
          <w:sz w:val="28"/>
          <w:szCs w:val="28"/>
          <w:lang w:val="uk-UA"/>
        </w:rPr>
        <w:t xml:space="preserve"> </w:t>
      </w:r>
      <w:r w:rsidRPr="00505347">
        <w:rPr>
          <w:rFonts w:eastAsia="MyriadPro-Bold" w:cstheme="minorHAnsi"/>
          <w:bCs/>
          <w:sz w:val="28"/>
          <w:szCs w:val="28"/>
        </w:rPr>
        <w:t>and</w:t>
      </w:r>
      <w:r w:rsidRPr="00465BB6">
        <w:rPr>
          <w:rFonts w:eastAsia="MyriadPro-Bold" w:cstheme="minorHAnsi"/>
          <w:bCs/>
          <w:sz w:val="28"/>
          <w:szCs w:val="28"/>
          <w:lang w:val="uk-UA"/>
        </w:rPr>
        <w:t xml:space="preserve"> </w:t>
      </w:r>
      <w:r w:rsidRPr="00505347">
        <w:rPr>
          <w:rFonts w:eastAsia="MyriadPro-Bold" w:cstheme="minorHAnsi"/>
          <w:bCs/>
          <w:sz w:val="28"/>
          <w:szCs w:val="28"/>
        </w:rPr>
        <w:t>Resistant</w:t>
      </w:r>
      <w:r w:rsidRPr="00465BB6">
        <w:rPr>
          <w:rFonts w:eastAsia="MyriadPro-Bold" w:cstheme="minorHAnsi"/>
          <w:bCs/>
          <w:sz w:val="28"/>
          <w:szCs w:val="28"/>
          <w:lang w:val="uk-UA"/>
        </w:rPr>
        <w:t xml:space="preserve">, </w:t>
      </w:r>
      <w:r w:rsidRPr="00505347">
        <w:rPr>
          <w:rFonts w:eastAsia="MyriadPro-Bold" w:cstheme="minorHAnsi"/>
          <w:bCs/>
          <w:sz w:val="28"/>
          <w:szCs w:val="28"/>
        </w:rPr>
        <w:t>Part</w:t>
      </w:r>
      <w:r w:rsidRPr="00465BB6">
        <w:rPr>
          <w:rFonts w:eastAsia="MyriadPro-Bold" w:cstheme="minorHAnsi"/>
          <w:bCs/>
          <w:sz w:val="28"/>
          <w:szCs w:val="28"/>
          <w:lang w:val="uk-UA"/>
        </w:rPr>
        <w:t xml:space="preserve"> </w:t>
      </w:r>
      <w:r w:rsidRPr="00505347">
        <w:rPr>
          <w:rFonts w:eastAsia="MyriadPro-Bold" w:cstheme="minorHAnsi"/>
          <w:bCs/>
          <w:sz w:val="28"/>
          <w:szCs w:val="28"/>
        </w:rPr>
        <w:t>II</w:t>
      </w:r>
      <w:r>
        <w:rPr>
          <w:rFonts w:eastAsia="MyriadPro-Bold" w:cstheme="minorHAnsi"/>
          <w:bCs/>
          <w:sz w:val="28"/>
          <w:szCs w:val="28"/>
          <w:lang w:val="uk-UA"/>
        </w:rPr>
        <w:t xml:space="preserve"> демонструють</w:t>
      </w:r>
      <w:r>
        <w:rPr>
          <w:sz w:val="28"/>
          <w:szCs w:val="28"/>
          <w:lang w:val="uk-UA"/>
        </w:rPr>
        <w:t xml:space="preserve"> несприятливий клінічний результат у разі лікування ІСС, спричиненої бактеріями з плазмідними механізмами резистентності, цефалоспоринами та піпераціллин/тазобактамом, проте ефективність карбапенемів була високою</w:t>
      </w:r>
      <w:r w:rsidRPr="00465BB6">
        <w:rPr>
          <w:rFonts w:cstheme="minorHAnsi"/>
          <w:color w:val="000000" w:themeColor="text1"/>
          <w:sz w:val="28"/>
          <w:szCs w:val="28"/>
          <w:lang w:val="uk-UA"/>
        </w:rPr>
        <w:t xml:space="preserve"> </w:t>
      </w:r>
      <w:r>
        <w:rPr>
          <w:rFonts w:cstheme="minorHAnsi"/>
          <w:color w:val="000000" w:themeColor="text1"/>
          <w:sz w:val="28"/>
          <w:szCs w:val="28"/>
          <w:lang w:val="uk-UA"/>
        </w:rPr>
        <w:t>[30]</w:t>
      </w:r>
      <w:r w:rsidRPr="00286359">
        <w:rPr>
          <w:rFonts w:cstheme="minorHAnsi"/>
          <w:color w:val="000000" w:themeColor="text1"/>
          <w:sz w:val="28"/>
          <w:szCs w:val="28"/>
          <w:lang w:val="uk-UA"/>
        </w:rPr>
        <w:t>.</w:t>
      </w:r>
      <w:r>
        <w:rPr>
          <w:rFonts w:cstheme="minorHAnsi"/>
          <w:color w:val="000000" w:themeColor="text1"/>
          <w:sz w:val="28"/>
          <w:szCs w:val="28"/>
          <w:lang w:val="uk-UA"/>
        </w:rPr>
        <w:t xml:space="preserve"> Проте,</w:t>
      </w:r>
      <w:r>
        <w:rPr>
          <w:sz w:val="28"/>
          <w:szCs w:val="28"/>
          <w:lang w:val="uk-UA"/>
        </w:rPr>
        <w:t xml:space="preserve"> </w:t>
      </w:r>
      <w:r w:rsidRPr="000831E3">
        <w:rPr>
          <w:rFonts w:cstheme="minorHAnsi"/>
          <w:sz w:val="28"/>
          <w:szCs w:val="28"/>
        </w:rPr>
        <w:t>Arne</w:t>
      </w:r>
      <w:r w:rsidRPr="000831E3">
        <w:rPr>
          <w:rFonts w:cstheme="minorHAnsi"/>
          <w:sz w:val="28"/>
          <w:szCs w:val="28"/>
          <w:lang w:val="uk-UA"/>
        </w:rPr>
        <w:t xml:space="preserve"> </w:t>
      </w:r>
      <w:r w:rsidRPr="000831E3">
        <w:rPr>
          <w:rFonts w:cstheme="minorHAnsi"/>
          <w:sz w:val="28"/>
          <w:szCs w:val="28"/>
        </w:rPr>
        <w:t>S</w:t>
      </w:r>
      <w:r w:rsidRPr="000831E3">
        <w:rPr>
          <w:rFonts w:cstheme="minorHAnsi"/>
          <w:sz w:val="28"/>
          <w:szCs w:val="28"/>
          <w:lang w:val="uk-UA"/>
        </w:rPr>
        <w:t>ø</w:t>
      </w:r>
      <w:r w:rsidRPr="000831E3">
        <w:rPr>
          <w:rFonts w:cstheme="minorHAnsi"/>
          <w:sz w:val="28"/>
          <w:szCs w:val="28"/>
        </w:rPr>
        <w:t>raas</w:t>
      </w:r>
      <w:r>
        <w:rPr>
          <w:rFonts w:cstheme="minorHAnsi"/>
          <w:sz w:val="28"/>
          <w:szCs w:val="28"/>
          <w:lang w:val="uk-UA"/>
        </w:rPr>
        <w:t xml:space="preserve"> та співавт., виявили сприятливий клінічний ісход при лікуванні фторхінолонами та цефалоспоринами, та негативний результат – при лікуванні меціллінамом, ІСС, викликаної бактеріями з плазмідними механізмами резистентності [</w:t>
      </w:r>
      <w:r>
        <w:rPr>
          <w:rFonts w:eastAsia="Times New Roman" w:cstheme="minorHAnsi"/>
          <w:color w:val="000000" w:themeColor="text1"/>
          <w:sz w:val="28"/>
          <w:szCs w:val="28"/>
          <w:lang w:val="uk-UA" w:eastAsia="ru-RU"/>
        </w:rPr>
        <w:t>114]</w:t>
      </w:r>
      <w:r w:rsidRPr="00A129F3">
        <w:rPr>
          <w:rFonts w:eastAsia="Times New Roman" w:cstheme="minorHAnsi"/>
          <w:color w:val="000000" w:themeColor="text1"/>
          <w:sz w:val="28"/>
          <w:szCs w:val="28"/>
          <w:lang w:val="uk-UA" w:eastAsia="ru-RU"/>
        </w:rPr>
        <w:t xml:space="preserve">. </w:t>
      </w:r>
      <w:r>
        <w:rPr>
          <w:rFonts w:eastAsia="Times New Roman" w:cstheme="minorHAnsi"/>
          <w:color w:val="000000" w:themeColor="text1"/>
          <w:sz w:val="28"/>
          <w:szCs w:val="28"/>
          <w:lang w:val="uk-UA" w:eastAsia="ru-RU"/>
        </w:rPr>
        <w:t xml:space="preserve">Інше дослідження, проведене </w:t>
      </w:r>
      <w:r w:rsidRPr="00A129F3">
        <w:rPr>
          <w:rFonts w:cstheme="minorHAnsi"/>
          <w:sz w:val="28"/>
          <w:szCs w:val="28"/>
        </w:rPr>
        <w:t>Florine</w:t>
      </w:r>
      <w:r w:rsidRPr="00A129F3">
        <w:rPr>
          <w:rFonts w:cstheme="minorHAnsi"/>
          <w:sz w:val="28"/>
          <w:szCs w:val="28"/>
          <w:lang w:val="uk-UA"/>
        </w:rPr>
        <w:t xml:space="preserve"> </w:t>
      </w:r>
      <w:r w:rsidRPr="00A129F3">
        <w:rPr>
          <w:rFonts w:cstheme="minorHAnsi"/>
          <w:sz w:val="28"/>
          <w:szCs w:val="28"/>
        </w:rPr>
        <w:t>N</w:t>
      </w:r>
      <w:r w:rsidRPr="00A129F3">
        <w:rPr>
          <w:rFonts w:cstheme="minorHAnsi"/>
          <w:sz w:val="28"/>
          <w:szCs w:val="28"/>
          <w:lang w:val="uk-UA"/>
        </w:rPr>
        <w:t xml:space="preserve">. </w:t>
      </w:r>
      <w:r w:rsidRPr="00A129F3">
        <w:rPr>
          <w:rFonts w:cstheme="minorHAnsi"/>
          <w:sz w:val="28"/>
          <w:szCs w:val="28"/>
        </w:rPr>
        <w:t>J</w:t>
      </w:r>
      <w:r w:rsidRPr="00A129F3">
        <w:rPr>
          <w:rFonts w:cstheme="minorHAnsi"/>
          <w:sz w:val="28"/>
          <w:szCs w:val="28"/>
          <w:lang w:val="uk-UA"/>
        </w:rPr>
        <w:t>.</w:t>
      </w:r>
      <w:r>
        <w:rPr>
          <w:rFonts w:cstheme="minorHAnsi"/>
          <w:sz w:val="28"/>
          <w:szCs w:val="28"/>
          <w:lang w:val="uk-UA"/>
        </w:rPr>
        <w:t xml:space="preserve"> і соавт. демонструє високу ефективність β-лактамів/інгібіторів β-лактамаз та цефалоспоринів в якості емпіричної АБТ хворих з виявленими механізмами резистентності [</w:t>
      </w:r>
      <w:r>
        <w:rPr>
          <w:rFonts w:eastAsia="Times New Roman" w:cstheme="minorHAnsi"/>
          <w:color w:val="000000" w:themeColor="text1"/>
          <w:sz w:val="28"/>
          <w:szCs w:val="28"/>
          <w:lang w:val="uk-UA" w:eastAsia="ru-RU"/>
        </w:rPr>
        <w:t>43</w:t>
      </w:r>
      <w:r w:rsidRPr="00BA3393">
        <w:rPr>
          <w:rFonts w:eastAsia="Times New Roman" w:cstheme="minorHAnsi"/>
          <w:color w:val="000000" w:themeColor="text1"/>
          <w:sz w:val="28"/>
          <w:szCs w:val="28"/>
          <w:lang w:val="uk-UA" w:eastAsia="ru-RU"/>
        </w:rPr>
        <w:t>].</w:t>
      </w:r>
      <w:r>
        <w:rPr>
          <w:sz w:val="28"/>
          <w:szCs w:val="28"/>
          <w:lang w:val="uk-UA"/>
        </w:rPr>
        <w:t xml:space="preserve"> </w:t>
      </w:r>
    </w:p>
    <w:p w:rsidR="006B4867" w:rsidRPr="002A6334" w:rsidRDefault="006B4867" w:rsidP="006B4867">
      <w:pPr>
        <w:spacing w:after="0" w:line="360" w:lineRule="auto"/>
        <w:ind w:firstLine="709"/>
        <w:jc w:val="both"/>
        <w:rPr>
          <w:sz w:val="28"/>
          <w:szCs w:val="28"/>
          <w:lang w:val="uk-UA"/>
        </w:rPr>
      </w:pPr>
      <w:r>
        <w:rPr>
          <w:sz w:val="28"/>
          <w:szCs w:val="28"/>
          <w:lang w:val="uk-UA"/>
        </w:rPr>
        <w:t xml:space="preserve">Отже, </w:t>
      </w:r>
      <w:r w:rsidRPr="00E836E2">
        <w:rPr>
          <w:sz w:val="28"/>
          <w:szCs w:val="28"/>
          <w:lang w:val="uk-UA"/>
        </w:rPr>
        <w:t>враховуючи результати клінічної та бактеріологічної ефек</w:t>
      </w:r>
      <w:r>
        <w:rPr>
          <w:sz w:val="28"/>
          <w:szCs w:val="28"/>
          <w:lang w:val="uk-UA"/>
        </w:rPr>
        <w:t>тивності АБТ, дані чутливості/</w:t>
      </w:r>
      <w:r w:rsidRPr="00E836E2">
        <w:rPr>
          <w:sz w:val="28"/>
          <w:szCs w:val="28"/>
          <w:lang w:val="uk-UA"/>
        </w:rPr>
        <w:t>резистентності</w:t>
      </w:r>
      <w:r>
        <w:rPr>
          <w:sz w:val="28"/>
          <w:szCs w:val="28"/>
          <w:lang w:val="uk-UA"/>
        </w:rPr>
        <w:t xml:space="preserve"> </w:t>
      </w:r>
      <w:r>
        <w:rPr>
          <w:sz w:val="28"/>
          <w:szCs w:val="28"/>
          <w:lang w:val="en-US"/>
        </w:rPr>
        <w:t>in</w:t>
      </w:r>
      <w:r w:rsidRPr="000B27FC">
        <w:rPr>
          <w:sz w:val="28"/>
          <w:szCs w:val="28"/>
          <w:lang w:val="uk-UA"/>
        </w:rPr>
        <w:t xml:space="preserve"> </w:t>
      </w:r>
      <w:r>
        <w:rPr>
          <w:sz w:val="28"/>
          <w:szCs w:val="28"/>
          <w:lang w:val="en-US"/>
        </w:rPr>
        <w:t>vitro</w:t>
      </w:r>
      <w:r>
        <w:rPr>
          <w:sz w:val="28"/>
          <w:szCs w:val="28"/>
          <w:lang w:val="uk-UA"/>
        </w:rPr>
        <w:t xml:space="preserve"> та впливу АБП на колонізацію сечової системи бактеріями з плазмідними генами стійкості, був розроблений алгоритм </w:t>
      </w:r>
      <w:r w:rsidRPr="00A429F1">
        <w:rPr>
          <w:sz w:val="28"/>
          <w:szCs w:val="28"/>
          <w:lang w:val="uk-UA"/>
        </w:rPr>
        <w:t>диференційованого призначення антибіотико-терапії</w:t>
      </w:r>
      <w:r>
        <w:rPr>
          <w:sz w:val="28"/>
          <w:szCs w:val="28"/>
          <w:lang w:val="uk-UA"/>
        </w:rPr>
        <w:t xml:space="preserve"> хворим на ХП</w:t>
      </w:r>
      <w:r w:rsidRPr="00A429F1">
        <w:rPr>
          <w:sz w:val="28"/>
          <w:szCs w:val="28"/>
          <w:lang w:val="uk-UA"/>
        </w:rPr>
        <w:t>з і супутн</w:t>
      </w:r>
      <w:r>
        <w:rPr>
          <w:sz w:val="28"/>
          <w:szCs w:val="28"/>
          <w:lang w:val="uk-UA"/>
        </w:rPr>
        <w:t>ім</w:t>
      </w:r>
      <w:r w:rsidRPr="00A429F1">
        <w:rPr>
          <w:sz w:val="28"/>
          <w:szCs w:val="28"/>
          <w:lang w:val="uk-UA"/>
        </w:rPr>
        <w:t xml:space="preserve"> ЦД 2 типу залежно від наявності плазмід-індукованих механізмів резистентності</w:t>
      </w:r>
      <w:r>
        <w:rPr>
          <w:sz w:val="28"/>
          <w:szCs w:val="28"/>
          <w:lang w:val="uk-UA"/>
        </w:rPr>
        <w:t xml:space="preserve">. Пацієнтам, що страждають ХП без ЦД 2 типу та мають фактори ризику, раціонально призначати </w:t>
      </w:r>
      <w:r w:rsidRPr="00255C9D">
        <w:rPr>
          <w:sz w:val="28"/>
          <w:szCs w:val="28"/>
          <w:lang w:val="uk-UA"/>
        </w:rPr>
        <w:t>3-тє покоління фторхінолонів</w:t>
      </w:r>
      <w:r>
        <w:rPr>
          <w:sz w:val="28"/>
          <w:szCs w:val="28"/>
          <w:lang w:val="uk-UA"/>
        </w:rPr>
        <w:t xml:space="preserve">, </w:t>
      </w:r>
      <w:r w:rsidRPr="00255C9D">
        <w:rPr>
          <w:sz w:val="28"/>
          <w:szCs w:val="28"/>
          <w:lang w:val="uk-UA"/>
        </w:rPr>
        <w:t>нітрофурантоїн</w:t>
      </w:r>
      <w:r>
        <w:rPr>
          <w:sz w:val="28"/>
          <w:szCs w:val="28"/>
          <w:lang w:val="uk-UA"/>
        </w:rPr>
        <w:t xml:space="preserve">, </w:t>
      </w:r>
      <w:r w:rsidRPr="00255C9D">
        <w:rPr>
          <w:sz w:val="28"/>
          <w:szCs w:val="28"/>
          <w:lang w:val="uk-UA"/>
        </w:rPr>
        <w:t>нітроксолін</w:t>
      </w:r>
      <w:r>
        <w:rPr>
          <w:sz w:val="28"/>
          <w:szCs w:val="28"/>
          <w:lang w:val="uk-UA"/>
        </w:rPr>
        <w:t xml:space="preserve">, альтернативними препаратами є </w:t>
      </w:r>
      <w:r w:rsidRPr="00255C9D">
        <w:rPr>
          <w:sz w:val="28"/>
          <w:szCs w:val="28"/>
          <w:lang w:val="uk-UA"/>
        </w:rPr>
        <w:t>карбапенеми</w:t>
      </w:r>
      <w:r>
        <w:rPr>
          <w:sz w:val="28"/>
          <w:szCs w:val="28"/>
          <w:lang w:val="uk-UA"/>
        </w:rPr>
        <w:t xml:space="preserve">. Пацієнтам, що страждають ХП на тлі ЦД 2 типу та мають фактори ризику, доцільно призначати </w:t>
      </w:r>
      <w:r w:rsidRPr="00BA3393">
        <w:rPr>
          <w:sz w:val="28"/>
          <w:szCs w:val="28"/>
          <w:lang w:val="uk-UA"/>
        </w:rPr>
        <w:t>3-</w:t>
      </w:r>
      <w:r>
        <w:rPr>
          <w:sz w:val="28"/>
          <w:szCs w:val="28"/>
          <w:lang w:val="uk-UA"/>
        </w:rPr>
        <w:t>тю</w:t>
      </w:r>
      <w:r w:rsidRPr="00BA3393">
        <w:rPr>
          <w:sz w:val="28"/>
          <w:szCs w:val="28"/>
          <w:lang w:val="uk-UA"/>
        </w:rPr>
        <w:t xml:space="preserve"> генераці</w:t>
      </w:r>
      <w:r>
        <w:rPr>
          <w:sz w:val="28"/>
          <w:szCs w:val="28"/>
          <w:lang w:val="uk-UA"/>
        </w:rPr>
        <w:t>ю</w:t>
      </w:r>
      <w:r w:rsidRPr="00BA3393">
        <w:rPr>
          <w:sz w:val="28"/>
          <w:szCs w:val="28"/>
          <w:lang w:val="uk-UA"/>
        </w:rPr>
        <w:t xml:space="preserve"> цефалоспоринів</w:t>
      </w:r>
      <w:r>
        <w:rPr>
          <w:sz w:val="28"/>
          <w:szCs w:val="28"/>
          <w:lang w:val="uk-UA"/>
        </w:rPr>
        <w:t xml:space="preserve">, </w:t>
      </w:r>
      <w:r w:rsidRPr="00BA3393">
        <w:rPr>
          <w:sz w:val="28"/>
          <w:szCs w:val="28"/>
          <w:lang w:val="uk-UA"/>
        </w:rPr>
        <w:t>нітроксолін</w:t>
      </w:r>
      <w:r>
        <w:rPr>
          <w:sz w:val="28"/>
          <w:szCs w:val="28"/>
          <w:lang w:val="uk-UA"/>
        </w:rPr>
        <w:t xml:space="preserve">, </w:t>
      </w:r>
      <w:r w:rsidRPr="00BA3393">
        <w:rPr>
          <w:sz w:val="28"/>
          <w:szCs w:val="28"/>
          <w:lang w:val="uk-UA"/>
        </w:rPr>
        <w:t>фосфоміцин</w:t>
      </w:r>
      <w:r>
        <w:rPr>
          <w:sz w:val="28"/>
          <w:szCs w:val="28"/>
          <w:lang w:val="uk-UA"/>
        </w:rPr>
        <w:t xml:space="preserve">, </w:t>
      </w:r>
      <w:r w:rsidRPr="00BA3393">
        <w:rPr>
          <w:sz w:val="28"/>
          <w:szCs w:val="28"/>
          <w:lang w:val="uk-UA"/>
        </w:rPr>
        <w:t>ко-тримоксазол</w:t>
      </w:r>
      <w:r>
        <w:rPr>
          <w:sz w:val="28"/>
          <w:szCs w:val="28"/>
          <w:lang w:val="uk-UA"/>
        </w:rPr>
        <w:t>, альтернативними препаратами</w:t>
      </w:r>
      <w:r w:rsidRPr="00BA3393">
        <w:rPr>
          <w:sz w:val="28"/>
          <w:szCs w:val="28"/>
          <w:lang w:val="uk-UA"/>
        </w:rPr>
        <w:t xml:space="preserve"> </w:t>
      </w:r>
      <w:r>
        <w:rPr>
          <w:sz w:val="28"/>
          <w:szCs w:val="28"/>
          <w:lang w:val="uk-UA"/>
        </w:rPr>
        <w:t xml:space="preserve">є </w:t>
      </w:r>
      <w:r w:rsidRPr="00BA3393">
        <w:rPr>
          <w:sz w:val="28"/>
          <w:szCs w:val="28"/>
          <w:lang w:val="uk-UA"/>
        </w:rPr>
        <w:t>карбапенеми</w:t>
      </w:r>
      <w:r>
        <w:rPr>
          <w:sz w:val="28"/>
          <w:szCs w:val="28"/>
          <w:lang w:val="uk-UA"/>
        </w:rPr>
        <w:t xml:space="preserve">. При відсутності факторів ризику, лікування хворих на ХП без ЦД 2 типу, проводити згідно діючих рекомендацій, препаратами вибору є </w:t>
      </w:r>
      <w:r>
        <w:rPr>
          <w:sz w:val="28"/>
          <w:lang w:val="uk-UA"/>
        </w:rPr>
        <w:t xml:space="preserve">фторхінолони </w:t>
      </w:r>
      <w:r>
        <w:rPr>
          <w:rFonts w:cstheme="minorHAnsi"/>
          <w:sz w:val="28"/>
          <w:lang w:val="uk-UA"/>
        </w:rPr>
        <w:t>II</w:t>
      </w:r>
      <w:r>
        <w:rPr>
          <w:sz w:val="28"/>
          <w:lang w:val="uk-UA"/>
        </w:rPr>
        <w:t xml:space="preserve"> та </w:t>
      </w:r>
      <w:r>
        <w:rPr>
          <w:rFonts w:cstheme="minorHAnsi"/>
          <w:sz w:val="28"/>
          <w:lang w:val="uk-UA"/>
        </w:rPr>
        <w:t>III</w:t>
      </w:r>
      <w:r>
        <w:rPr>
          <w:sz w:val="28"/>
          <w:lang w:val="uk-UA"/>
        </w:rPr>
        <w:t xml:space="preserve"> генерації, альтернативними препаратами є цефалоспорини </w:t>
      </w:r>
      <w:r>
        <w:rPr>
          <w:rFonts w:cstheme="minorHAnsi"/>
          <w:sz w:val="28"/>
          <w:lang w:val="uk-UA"/>
        </w:rPr>
        <w:t>II</w:t>
      </w:r>
      <w:r>
        <w:rPr>
          <w:sz w:val="28"/>
          <w:lang w:val="uk-UA"/>
        </w:rPr>
        <w:t xml:space="preserve">, </w:t>
      </w:r>
      <w:r>
        <w:rPr>
          <w:rFonts w:cstheme="minorHAnsi"/>
          <w:sz w:val="28"/>
          <w:lang w:val="uk-UA"/>
        </w:rPr>
        <w:t xml:space="preserve">III та IV поколінь, карбапенеми, за умов визначеного </w:t>
      </w:r>
      <w:r>
        <w:rPr>
          <w:rFonts w:cstheme="minorHAnsi"/>
          <w:sz w:val="28"/>
          <w:lang w:val="uk-UA"/>
        </w:rPr>
        <w:lastRenderedPageBreak/>
        <w:t xml:space="preserve">збудника – захищені пеніциліни. </w:t>
      </w:r>
      <w:r>
        <w:rPr>
          <w:sz w:val="28"/>
          <w:szCs w:val="28"/>
          <w:lang w:val="uk-UA"/>
        </w:rPr>
        <w:t>У разі відсутності клінічної ефективності АБТ на третю добу лікування, подовжити парентеральне введення препарату до 5-ти днів. У разі необхідності – заміна АБП  відбувається з урахуванням результатів бактеріологічного дослідження сечі. За відсутності ерадикації збудника, АБТ подовжити до 2-х тижнів з послідуючим повторним посівом сечі.</w:t>
      </w:r>
    </w:p>
    <w:p w:rsidR="006B4867" w:rsidRDefault="006B4867" w:rsidP="006B4867">
      <w:pPr>
        <w:spacing w:after="0" w:line="360" w:lineRule="auto"/>
        <w:ind w:firstLine="709"/>
        <w:jc w:val="both"/>
        <w:rPr>
          <w:rFonts w:cstheme="minorHAnsi"/>
          <w:color w:val="000000" w:themeColor="text1"/>
          <w:sz w:val="28"/>
          <w:szCs w:val="28"/>
          <w:lang w:val="uk-UA"/>
        </w:rPr>
      </w:pPr>
      <w:r>
        <w:rPr>
          <w:rFonts w:ascii="Times New Roman" w:hAnsi="Times New Roman" w:cs="Times New Roman"/>
          <w:sz w:val="28"/>
          <w:szCs w:val="28"/>
          <w:lang w:val="uk-UA"/>
        </w:rPr>
        <w:t xml:space="preserve">Розробка методів </w:t>
      </w:r>
      <w:r w:rsidRPr="008E56C1">
        <w:rPr>
          <w:sz w:val="28"/>
          <w:szCs w:val="28"/>
          <w:lang w:val="uk-UA"/>
        </w:rPr>
        <w:t>диференційованого призначення</w:t>
      </w:r>
      <w:r>
        <w:rPr>
          <w:sz w:val="28"/>
          <w:szCs w:val="28"/>
          <w:lang w:val="uk-UA"/>
        </w:rPr>
        <w:t xml:space="preserve"> АБТ залежно від наявності плазмід-індукованих механізмів резистентності дозволить підвищити ефективність лікування ХП та запобігти розвитку ускладнень. Крім того, </w:t>
      </w:r>
      <w:r>
        <w:rPr>
          <w:rFonts w:cstheme="minorHAnsi"/>
          <w:color w:val="000000" w:themeColor="text1"/>
          <w:sz w:val="28"/>
          <w:szCs w:val="28"/>
          <w:lang w:val="uk-UA"/>
        </w:rPr>
        <w:t xml:space="preserve">підвищення ефективності лікування та раціональне застосування антибіотиків дозволить зменшити кількість рецидивів захворювання та нових випадків ХХН V ст., обумовлених ХП, зменшити витрати на лікування та строки госпіталізації, і, зрештою, запобігти поширенню індукованої плазмідами антибіотико-резистентності серед бактеріальних штамів. </w:t>
      </w:r>
    </w:p>
    <w:p w:rsidR="006B4867" w:rsidRDefault="006B4867" w:rsidP="006B4867">
      <w:pPr>
        <w:spacing w:after="0" w:line="360" w:lineRule="auto"/>
        <w:ind w:firstLine="709"/>
        <w:jc w:val="both"/>
        <w:rPr>
          <w:sz w:val="28"/>
          <w:lang w:val="uk-UA"/>
        </w:rPr>
      </w:pPr>
    </w:p>
    <w:p w:rsidR="006B4867" w:rsidRDefault="006B4867" w:rsidP="006B4867">
      <w:pPr>
        <w:spacing w:after="0" w:line="360" w:lineRule="auto"/>
        <w:ind w:firstLine="709"/>
        <w:jc w:val="both"/>
        <w:rPr>
          <w:sz w:val="28"/>
          <w:lang w:val="uk-UA"/>
        </w:rPr>
      </w:pPr>
    </w:p>
    <w:p w:rsidR="006B4867" w:rsidRDefault="006B4867" w:rsidP="006B4867">
      <w:pPr>
        <w:spacing w:after="0" w:line="360" w:lineRule="auto"/>
        <w:ind w:firstLine="709"/>
        <w:jc w:val="both"/>
        <w:rPr>
          <w:sz w:val="28"/>
          <w:szCs w:val="28"/>
          <w:lang w:val="uk-UA"/>
        </w:rPr>
      </w:pPr>
    </w:p>
    <w:p w:rsidR="006B4867" w:rsidRDefault="006B4867" w:rsidP="006B4867">
      <w:pPr>
        <w:spacing w:after="0" w:line="360" w:lineRule="auto"/>
        <w:ind w:firstLine="709"/>
        <w:jc w:val="both"/>
        <w:rPr>
          <w:sz w:val="28"/>
          <w:szCs w:val="28"/>
          <w:lang w:val="uk-UA"/>
        </w:rPr>
      </w:pPr>
    </w:p>
    <w:p w:rsidR="006B4867" w:rsidRPr="004B052B" w:rsidRDefault="006B4867" w:rsidP="006B4867">
      <w:pPr>
        <w:spacing w:after="0" w:line="360" w:lineRule="auto"/>
        <w:jc w:val="both"/>
        <w:rPr>
          <w:rFonts w:cstheme="minorHAnsi"/>
          <w:sz w:val="24"/>
          <w:szCs w:val="24"/>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Pr="006B4867" w:rsidRDefault="006B4867" w:rsidP="006B4867">
      <w:pPr>
        <w:jc w:val="center"/>
        <w:rPr>
          <w:sz w:val="28"/>
          <w:szCs w:val="28"/>
        </w:rPr>
      </w:pPr>
      <w:r w:rsidRPr="006B4867">
        <w:rPr>
          <w:sz w:val="28"/>
          <w:szCs w:val="28"/>
        </w:rPr>
        <w:lastRenderedPageBreak/>
        <w:t>ВИСНОВКИ</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У роботі досягнуто вирішення актуальної задачі сучасної терапії щодо оптимізації лікування хворих із хронічним пієлонефритом у поєднанні з супутнім цукровим діабетом 2 типу на підставі вивчення плазмід-індукованих механізмів резистентності.</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 xml:space="preserve">Наявність плазмід-індукованих механізмів резистентності серед хворих на ХП становить 29,5% (31/105). У пацієнтів на ХП і ЦД 2 типу, виявляємість плазмідних генів резистентності дещо вища і становить 31,5% (23/73), у пацієнтів із ХП без діабету – 25% (8/32), проте достовірних відмінностей між групами не виявлено. </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 xml:space="preserve">Основні фактори, що були достовірно пов’язані з наявністю плазмід-індукованих механізмів резистентності у хворих на ХП і ЦД 2 типу: ХХН ІІІ (OR 2,03) та ІV стадій (OR 1,1); АГ (OR 2,57); наявність епізодів перенесеного простатиту або циститу в анамнезі, а також вік старше 55 років (OR 3,05), тривалість ХП більше 10 років (OR 1,97), факт стаціонарного лікування упродовж останнього року (OR 2,02), прийом β-лактамів та фторхінолонів з різних причин у поточному році (OR 1,41). Тому, в план обстеження пацієнтів  із наявністю факторів ризику доцільно включати дослідження плазмід-індукованих механізмів резистентності для вибору тактики емпіричної АБТ. </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 xml:space="preserve">Резистентність in vitro до амінопеніциллінів, цефалоспоринів та фторхінолонів пов’язана з наявністю в уропатогенних штамах плазмідних βЛРС типу blaCTX-M, blaTEM, blaSHV та генів резистентності до фторхінолонів – QnrА, AAC(6')-Ib-cr, QepA. Резистентність до аміноглікозидів була достовірно пов’язана з виявленням генів blaCTX-M, QnrА та QepA. </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 xml:space="preserve">Наявність плазмід-індукованих механізмів резистентності у хворих на ХП і супутній ЦД 2 типу призводить до зниження як клінічної, так і бактеріологічної ефективності АБТ, що проявляється більш повільним регресом клінічних симптомів у таких хворих в динаміці лікування та </w:t>
      </w:r>
      <w:r w:rsidRPr="006B4867">
        <w:rPr>
          <w:color w:val="000000" w:themeColor="text1"/>
          <w:sz w:val="28"/>
          <w:szCs w:val="28"/>
          <w:lang w:val="uk-UA"/>
        </w:rPr>
        <w:lastRenderedPageBreak/>
        <w:t xml:space="preserve">відсутністю повної ерадикації збудника (48,4% vs. 27%, р≤0,05) на тлі АБТ, що було передумовою для подовження термінів лікування (10,5 vs. 8,4; р≤0,05) та, в деяких випадках, заміни АБП. </w:t>
      </w:r>
    </w:p>
    <w:p w:rsidR="006B4867" w:rsidRPr="006B4867" w:rsidRDefault="006B4867" w:rsidP="006B4867">
      <w:pPr>
        <w:numPr>
          <w:ilvl w:val="0"/>
          <w:numId w:val="17"/>
        </w:numPr>
        <w:spacing w:line="360" w:lineRule="auto"/>
        <w:contextualSpacing/>
        <w:jc w:val="both"/>
        <w:rPr>
          <w:color w:val="000000" w:themeColor="text1"/>
          <w:sz w:val="28"/>
          <w:szCs w:val="28"/>
          <w:lang w:val="uk-UA"/>
        </w:rPr>
      </w:pPr>
      <w:r w:rsidRPr="006B4867">
        <w:rPr>
          <w:color w:val="000000" w:themeColor="text1"/>
          <w:sz w:val="28"/>
          <w:szCs w:val="28"/>
          <w:lang w:val="uk-UA"/>
        </w:rPr>
        <w:t xml:space="preserve">У хворих на ХП і ЦД 2 типу з виявленими плазмід-індукованими механізмами резистентності спостерігаються вищі показники IЛ-6 (10,65 vs. 8,62), СРБ (25,56 vs. 19,92) та IgM (1,9 vs. 1,8), проте достовірної різниці не виявлено. </w:t>
      </w:r>
    </w:p>
    <w:p w:rsidR="006B4867" w:rsidRPr="006B4867" w:rsidRDefault="006B4867" w:rsidP="006B4867">
      <w:pPr>
        <w:numPr>
          <w:ilvl w:val="0"/>
          <w:numId w:val="17"/>
        </w:numPr>
        <w:spacing w:line="360" w:lineRule="auto"/>
        <w:contextualSpacing/>
        <w:jc w:val="both"/>
        <w:rPr>
          <w:color w:val="FF0000"/>
          <w:sz w:val="28"/>
          <w:szCs w:val="28"/>
          <w:lang w:val="uk-UA"/>
        </w:rPr>
      </w:pPr>
      <w:r w:rsidRPr="006B4867">
        <w:rPr>
          <w:color w:val="000000" w:themeColor="text1"/>
          <w:sz w:val="28"/>
          <w:szCs w:val="28"/>
          <w:lang w:val="uk-UA"/>
        </w:rPr>
        <w:t>У хворих з виявленими плазмід-індукованими механізмами резистентності кращу ефективність та найвищу інгібуючу активність продемонстрували: 3-тя генерація цефалоспоринів, 3-тє покоління фторхінолонів, нітроксолін, фосфоміцин, ко-тримоксазол, нітрофурантоїн, карбапенеми.</w:t>
      </w:r>
      <w:r w:rsidRPr="006B4867">
        <w:rPr>
          <w:sz w:val="28"/>
          <w:szCs w:val="28"/>
          <w:lang w:val="uk-UA"/>
        </w:rPr>
        <w:t xml:space="preserve"> </w:t>
      </w:r>
    </w:p>
    <w:p w:rsidR="006B4867" w:rsidRPr="006B4867" w:rsidRDefault="006B4867" w:rsidP="006B4867">
      <w:pPr>
        <w:spacing w:line="360" w:lineRule="auto"/>
        <w:ind w:left="720"/>
        <w:contextualSpacing/>
        <w:jc w:val="both"/>
        <w:rPr>
          <w:color w:val="FF0000"/>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Pr="006B4867" w:rsidRDefault="006B4867" w:rsidP="006B4867">
      <w:pPr>
        <w:spacing w:line="360" w:lineRule="auto"/>
        <w:jc w:val="center"/>
        <w:rPr>
          <w:sz w:val="28"/>
          <w:szCs w:val="28"/>
          <w:lang w:val="uk-UA"/>
        </w:rPr>
      </w:pPr>
      <w:r w:rsidRPr="006B4867">
        <w:rPr>
          <w:sz w:val="28"/>
          <w:szCs w:val="28"/>
          <w:lang w:val="uk-UA"/>
        </w:rPr>
        <w:lastRenderedPageBreak/>
        <w:t>ПРАКТИЧНІ РЕКОМЕНДАЦІЇ</w:t>
      </w:r>
    </w:p>
    <w:p w:rsidR="006B4867" w:rsidRPr="006B4867" w:rsidRDefault="006B4867" w:rsidP="006B4867">
      <w:pPr>
        <w:numPr>
          <w:ilvl w:val="0"/>
          <w:numId w:val="18"/>
        </w:numPr>
        <w:spacing w:line="360" w:lineRule="auto"/>
        <w:contextualSpacing/>
        <w:jc w:val="both"/>
        <w:rPr>
          <w:sz w:val="28"/>
          <w:szCs w:val="28"/>
          <w:lang w:val="uk-UA"/>
        </w:rPr>
      </w:pPr>
      <w:r w:rsidRPr="006B4867">
        <w:rPr>
          <w:sz w:val="28"/>
          <w:szCs w:val="28"/>
          <w:lang w:val="uk-UA"/>
        </w:rPr>
        <w:t xml:space="preserve">Хворим із поєднанням ХП і ЦД 2 типу рекомендовано включати визначення плазмід-індукованих механізмів резистентності до АБП з метою підвищення ефективності емпіричної АБТ. Дослідження плазмід-індукованих механізмів резистентності проводити методом полімеразної ланцюжкової реакції з використанням праймерів для генів βЛРС (blaТЕМ, blaSHV і blaСТХ-М) та генів стійкості до фторхінолонів (QnrА, AAC(6')-Ib-cr, QepA). </w:t>
      </w:r>
    </w:p>
    <w:p w:rsidR="006B4867" w:rsidRPr="006B4867" w:rsidRDefault="006B4867" w:rsidP="006B4867">
      <w:pPr>
        <w:numPr>
          <w:ilvl w:val="0"/>
          <w:numId w:val="18"/>
        </w:numPr>
        <w:spacing w:line="360" w:lineRule="auto"/>
        <w:contextualSpacing/>
        <w:jc w:val="both"/>
        <w:rPr>
          <w:sz w:val="28"/>
          <w:szCs w:val="28"/>
          <w:lang w:val="uk-UA"/>
        </w:rPr>
      </w:pPr>
      <w:r w:rsidRPr="006B4867">
        <w:rPr>
          <w:sz w:val="28"/>
          <w:szCs w:val="28"/>
          <w:lang w:val="uk-UA"/>
        </w:rPr>
        <w:t>Дослідження плазмід-індукованих механізмів резистентності рекомендовано проводити пацієнтам з наявністю: ХХН ІІІ та ІV стадій та/або обструкцією сечовивідних шляхів; артеріальною гіпертензією; наявністю епізодів перенесеного простатиту або циститу в анамнезі, а також наявністю факторів ризику (вік старше 55 років, тривалість ХП більше 10 років, факт стаціонарного лікування упродовж останнього року, прийом β-лактамів та фторхінолонів з різних причин у поточному році), у зв’язку з високою вірогідністю виявлення генів резистентності саме у цієї категорії хворих.</w:t>
      </w:r>
    </w:p>
    <w:p w:rsidR="006B4867" w:rsidRPr="006B4867" w:rsidRDefault="006B4867" w:rsidP="006B4867">
      <w:pPr>
        <w:numPr>
          <w:ilvl w:val="0"/>
          <w:numId w:val="18"/>
        </w:numPr>
        <w:spacing w:line="360" w:lineRule="auto"/>
        <w:contextualSpacing/>
        <w:jc w:val="both"/>
        <w:rPr>
          <w:sz w:val="28"/>
          <w:szCs w:val="28"/>
          <w:lang w:val="uk-UA"/>
        </w:rPr>
      </w:pPr>
      <w:r w:rsidRPr="006B4867">
        <w:rPr>
          <w:sz w:val="28"/>
          <w:szCs w:val="28"/>
          <w:lang w:val="uk-UA"/>
        </w:rPr>
        <w:t>У хворих з наявністю бактеріальної резистентності in vitro до амінопеніциллінів, цефалоспоринів та фторхінолонів рекомендовано визначати експресію плазмід-індукованих βЛРС та генів резистентності до фторхінолонів – QnrА, AAC(6')-Ib-cr, QepA. При наявності резистентності до аміноглікозидів – генів blaCTX-M, QnrА та QepA. При наявності резистентності до цефалоспоринів – експресію βЛРС та генів  QnrА та AAC(6')-Ib-cr.</w:t>
      </w:r>
    </w:p>
    <w:p w:rsidR="006B4867" w:rsidRPr="006B4867" w:rsidRDefault="006B4867" w:rsidP="006B4867">
      <w:pPr>
        <w:numPr>
          <w:ilvl w:val="0"/>
          <w:numId w:val="18"/>
        </w:numPr>
        <w:spacing w:line="360" w:lineRule="auto"/>
        <w:contextualSpacing/>
        <w:jc w:val="both"/>
        <w:rPr>
          <w:sz w:val="28"/>
          <w:szCs w:val="28"/>
          <w:lang w:val="uk-UA"/>
        </w:rPr>
      </w:pPr>
      <w:r w:rsidRPr="006B4867">
        <w:rPr>
          <w:sz w:val="28"/>
          <w:szCs w:val="28"/>
          <w:lang w:val="uk-UA"/>
        </w:rPr>
        <w:t xml:space="preserve">Пацієнтам, що страждають ХП на тлі ЦД 2 типу та мають фактори ризику, пов’язані з виявленням плазмід-індукованих механізмів резистентності, в якості емпіричної АБТ рекомендовано призначати фторхінолони 2 або 3 покоління, 3-тю генерацію цефалоспоринів, альтернативними препаратами є карбапенеми, аміноглікозиди. </w:t>
      </w:r>
    </w:p>
    <w:p w:rsidR="006B4867" w:rsidRPr="006B4867" w:rsidRDefault="006B4867" w:rsidP="006B4867">
      <w:pPr>
        <w:numPr>
          <w:ilvl w:val="0"/>
          <w:numId w:val="18"/>
        </w:numPr>
        <w:spacing w:line="360" w:lineRule="auto"/>
        <w:contextualSpacing/>
        <w:jc w:val="both"/>
        <w:rPr>
          <w:sz w:val="28"/>
          <w:szCs w:val="28"/>
          <w:lang w:val="uk-UA"/>
        </w:rPr>
      </w:pPr>
      <w:r w:rsidRPr="006B4867">
        <w:rPr>
          <w:sz w:val="28"/>
          <w:szCs w:val="28"/>
          <w:lang w:val="uk-UA"/>
        </w:rPr>
        <w:lastRenderedPageBreak/>
        <w:t xml:space="preserve">Пацієнтам, що страждають ХП без ЦД 2 типу та мають фактори ризику, пов’язані з виявленням плазмід-індукованих механізмів резистентності, в якості емпіричної АБТ рекомендовано призначати комбінацію цефалоспорини/фторхінолони, альтернативними препаратами є карбапенеми, аміноглікозиди. </w:t>
      </w:r>
    </w:p>
    <w:p w:rsidR="006B4867" w:rsidRPr="006B4867" w:rsidRDefault="006B4867" w:rsidP="006B4867">
      <w:pPr>
        <w:spacing w:line="360" w:lineRule="auto"/>
        <w:ind w:left="720"/>
        <w:contextualSpacing/>
        <w:jc w:val="both"/>
        <w:rPr>
          <w:color w:val="FF0000"/>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Default="006B4867" w:rsidP="009144E7">
      <w:pPr>
        <w:shd w:val="clear" w:color="auto" w:fill="FFFFFF"/>
        <w:spacing w:after="0" w:line="360" w:lineRule="auto"/>
        <w:contextualSpacing/>
        <w:jc w:val="both"/>
        <w:outlineLvl w:val="0"/>
        <w:rPr>
          <w:sz w:val="28"/>
          <w:szCs w:val="28"/>
          <w:lang w:val="uk-UA"/>
        </w:rPr>
      </w:pPr>
    </w:p>
    <w:p w:rsidR="006B4867" w:rsidRPr="006B4867" w:rsidRDefault="006B4867" w:rsidP="006B4867">
      <w:pPr>
        <w:jc w:val="center"/>
        <w:rPr>
          <w:b/>
          <w:sz w:val="28"/>
          <w:szCs w:val="28"/>
          <w:lang w:val="uk-UA"/>
        </w:rPr>
      </w:pPr>
      <w:r w:rsidRPr="006B4867">
        <w:rPr>
          <w:b/>
          <w:sz w:val="28"/>
          <w:szCs w:val="28"/>
          <w:lang w:val="uk-UA"/>
        </w:rPr>
        <w:lastRenderedPageBreak/>
        <w:t>СПИСОК ВИКОРИСТАНИХ ДЖЕРЕЛ</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lang w:val="uk-UA"/>
        </w:rPr>
        <w:t>Бусигіна Ю.С. Особливості імунітету хворих на цукровий діабет та хронічний пієлонефрит / Ю.С. Бусигіна, В.Є. Дрянська, Н.М. Степанова, Ф.З. Гайсенюк, Л.О. Лебідь та ін. // Український журнал нефрології та діалізу. – 2013. - №2(38).- с. 17-28.</w:t>
      </w:r>
    </w:p>
    <w:p w:rsidR="006B4867" w:rsidRPr="006B4867" w:rsidRDefault="006B4867" w:rsidP="006B4867">
      <w:pPr>
        <w:numPr>
          <w:ilvl w:val="0"/>
          <w:numId w:val="19"/>
        </w:numPr>
        <w:spacing w:line="360" w:lineRule="auto"/>
        <w:contextualSpacing/>
        <w:jc w:val="both"/>
        <w:rPr>
          <w:sz w:val="28"/>
          <w:szCs w:val="28"/>
          <w:lang w:val="uk-UA"/>
        </w:rPr>
      </w:pPr>
      <w:r w:rsidRPr="006B4867">
        <w:rPr>
          <w:sz w:val="28"/>
          <w:szCs w:val="28"/>
          <w:lang w:val="uk-UA"/>
        </w:rPr>
        <w:t>Визначення чутливості мікроорганізмів до антибактеріальних препаратів : Наказ. – [Чинний від 2007-04-05]. – К. : МОЗ України, 2007. – 78 с. – (Нормативний документ МОЗ України. Вказівки, Наказ).</w:t>
      </w:r>
    </w:p>
    <w:p w:rsidR="006B4867" w:rsidRPr="006B4867" w:rsidRDefault="006B4867" w:rsidP="006B4867">
      <w:pPr>
        <w:numPr>
          <w:ilvl w:val="0"/>
          <w:numId w:val="19"/>
        </w:numPr>
        <w:spacing w:line="360" w:lineRule="auto"/>
        <w:contextualSpacing/>
        <w:jc w:val="both"/>
        <w:rPr>
          <w:sz w:val="28"/>
          <w:szCs w:val="28"/>
          <w:lang w:val="uk-UA"/>
        </w:rPr>
      </w:pPr>
      <w:r w:rsidRPr="006B4867">
        <w:rPr>
          <w:spacing w:val="1"/>
          <w:sz w:val="28"/>
          <w:szCs w:val="28"/>
          <w:lang w:val="uk-UA"/>
        </w:rPr>
        <w:t xml:space="preserve">Колесник М.О. Адаптована клінічна настанова з кращої практики діагностики, лікування та профілактики інфекцій сечової системи у жінок / М.О. Колесник, Н.М.Степанова, Л.О. Лебідь </w:t>
      </w:r>
      <w:r w:rsidRPr="006B4867">
        <w:rPr>
          <w:rFonts w:cstheme="minorHAnsi"/>
          <w:spacing w:val="1"/>
          <w:sz w:val="28"/>
          <w:szCs w:val="28"/>
          <w:lang w:val="uk-UA"/>
        </w:rPr>
        <w:t>[та ін.]</w:t>
      </w:r>
      <w:r w:rsidRPr="006B4867">
        <w:rPr>
          <w:spacing w:val="1"/>
          <w:sz w:val="28"/>
          <w:szCs w:val="28"/>
          <w:lang w:val="uk-UA"/>
        </w:rPr>
        <w:t xml:space="preserve"> // Український журнал нефрології та діалізу. – 2012.- №2(34). – С. 53-77.</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shd w:val="clear" w:color="auto" w:fill="FFFFFF"/>
          <w:lang w:val="uk-UA"/>
        </w:rPr>
        <w:t>Колесник М.О. Етіологічний спектр інфекцій сечової системи / М.О. Колесник, Н.М. Степанова // Український журнал нефрології та діалізу.– 2007.– №3(15).– С. 16-29.</w:t>
      </w:r>
    </w:p>
    <w:p w:rsidR="006B4867" w:rsidRPr="006B4867" w:rsidRDefault="006B4867" w:rsidP="006B4867">
      <w:pPr>
        <w:numPr>
          <w:ilvl w:val="0"/>
          <w:numId w:val="19"/>
        </w:numPr>
        <w:spacing w:line="360" w:lineRule="auto"/>
        <w:contextualSpacing/>
        <w:jc w:val="both"/>
        <w:rPr>
          <w:sz w:val="28"/>
          <w:szCs w:val="28"/>
          <w:lang w:val="uk-UA"/>
        </w:rPr>
      </w:pPr>
      <w:r w:rsidRPr="006B4867">
        <w:rPr>
          <w:sz w:val="28"/>
          <w:szCs w:val="28"/>
          <w:lang w:val="uk-UA"/>
        </w:rPr>
        <w:t xml:space="preserve">Колесник М.О. Класифікація хвороб сечової системи для нефрологічної практики / М.О.Колесник, </w:t>
      </w:r>
      <w:r w:rsidRPr="006B4867">
        <w:rPr>
          <w:rFonts w:ascii="Times New Roman" w:hAnsi="Times New Roman" w:cs="Times New Roman"/>
          <w:sz w:val="28"/>
          <w:szCs w:val="28"/>
          <w:lang w:val="uk-UA"/>
        </w:rPr>
        <w:t xml:space="preserve">І. Дудар, Н. Степанова [та ін.] // </w:t>
      </w:r>
      <w:r w:rsidRPr="006B4867">
        <w:rPr>
          <w:sz w:val="28"/>
          <w:szCs w:val="28"/>
          <w:lang w:val="uk-UA"/>
        </w:rPr>
        <w:t>Український журнал нефрології та діалізу. – 2013.- №4(40). – С. 3-7.</w:t>
      </w:r>
    </w:p>
    <w:p w:rsidR="006B4867" w:rsidRPr="006B4867" w:rsidRDefault="006B4867" w:rsidP="006B4867">
      <w:pPr>
        <w:numPr>
          <w:ilvl w:val="0"/>
          <w:numId w:val="19"/>
        </w:numPr>
        <w:spacing w:line="360" w:lineRule="auto"/>
        <w:contextualSpacing/>
        <w:jc w:val="both"/>
        <w:rPr>
          <w:sz w:val="28"/>
          <w:szCs w:val="28"/>
          <w:lang w:val="uk-UA"/>
        </w:rPr>
      </w:pPr>
      <w:r w:rsidRPr="006B4867">
        <w:rPr>
          <w:spacing w:val="1"/>
          <w:sz w:val="28"/>
          <w:szCs w:val="28"/>
          <w:lang w:val="uk-UA"/>
        </w:rPr>
        <w:t>Колесник М.О. Уніфікований клінічний протокол медичної допомоги: діагностика, лікування та профілактика хронічного неускладненого та ускладненого пієлонефриту з рецидивуючим перебігом / М.О. Колесник, Н.М. Степанова, О.В. Худошина та ін. // Український журнал нефрології та діалізу.- 2012.-№4(36).- С. 63-69.</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color w:val="000000" w:themeColor="text1"/>
          <w:sz w:val="28"/>
          <w:szCs w:val="28"/>
          <w:lang w:val="uk-UA"/>
        </w:rPr>
        <w:t>Колесник Н.А. Почки и диабет: от понимания проблемы к своевременной и адекватной терапии / Н.А.Колесник // Здоров’я України.– 2009.– №13-14.– С. 13-15.</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uk-UA"/>
        </w:rPr>
        <w:t>М. О. Коле</w:t>
      </w:r>
      <w:r w:rsidRPr="006B4867">
        <w:rPr>
          <w:rFonts w:cstheme="minorHAnsi"/>
          <w:color w:val="000000" w:themeColor="text1"/>
          <w:sz w:val="28"/>
          <w:szCs w:val="28"/>
          <w:lang w:val="en-US"/>
        </w:rPr>
        <w:t>c</w:t>
      </w:r>
      <w:r w:rsidRPr="006B4867">
        <w:rPr>
          <w:rFonts w:cstheme="minorHAnsi"/>
          <w:color w:val="000000" w:themeColor="text1"/>
          <w:sz w:val="28"/>
          <w:szCs w:val="28"/>
          <w:lang w:val="uk-UA"/>
        </w:rPr>
        <w:t>ник. Медико-профілактична допомога хворим нефрологічного профілю 2009-2012, що робити далі? / М. О. Коле</w:t>
      </w:r>
      <w:r w:rsidRPr="006B4867">
        <w:rPr>
          <w:rFonts w:cstheme="minorHAnsi"/>
          <w:color w:val="000000" w:themeColor="text1"/>
          <w:sz w:val="28"/>
          <w:szCs w:val="28"/>
          <w:lang w:val="en-US"/>
        </w:rPr>
        <w:t>c</w:t>
      </w:r>
      <w:r w:rsidRPr="006B4867">
        <w:rPr>
          <w:rFonts w:cstheme="minorHAnsi"/>
          <w:color w:val="000000" w:themeColor="text1"/>
          <w:sz w:val="28"/>
          <w:szCs w:val="28"/>
          <w:lang w:val="uk-UA"/>
        </w:rPr>
        <w:t>ник, Н. О. Сайдакова, Н. І. Козлюк, С. С. Ніколаєнко</w:t>
      </w:r>
      <w:r w:rsidRPr="006B4867">
        <w:rPr>
          <w:spacing w:val="1"/>
          <w:sz w:val="28"/>
          <w:szCs w:val="28"/>
          <w:lang w:val="uk-UA"/>
        </w:rPr>
        <w:t xml:space="preserve"> // Український журнал нефрології та діалізу. – 2013. -№3(39). – С. 3-14.</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iCs/>
          <w:color w:val="000000" w:themeColor="text1"/>
          <w:sz w:val="28"/>
          <w:szCs w:val="28"/>
          <w:shd w:val="clear" w:color="auto" w:fill="FFFFFF"/>
        </w:rPr>
        <w:lastRenderedPageBreak/>
        <w:t>Переверзев А.С</w:t>
      </w:r>
      <w:r w:rsidRPr="006B4867">
        <w:rPr>
          <w:rFonts w:cstheme="minorHAnsi"/>
          <w:iCs/>
          <w:color w:val="000000" w:themeColor="text1"/>
          <w:sz w:val="28"/>
          <w:szCs w:val="28"/>
          <w:shd w:val="clear" w:color="auto" w:fill="FFFFFF"/>
          <w:lang w:val="uk-UA"/>
        </w:rPr>
        <w:t xml:space="preserve">. </w:t>
      </w:r>
      <w:r w:rsidRPr="006B4867">
        <w:rPr>
          <w:rFonts w:cstheme="minorHAnsi"/>
          <w:color w:val="000000" w:themeColor="text1"/>
          <w:sz w:val="28"/>
          <w:szCs w:val="28"/>
        </w:rPr>
        <w:t>Особенности инфекций мочевых путей у пациентов с сахарным диабетом</w:t>
      </w:r>
      <w:r w:rsidRPr="006B4867">
        <w:rPr>
          <w:rFonts w:cstheme="minorHAnsi"/>
          <w:color w:val="000000" w:themeColor="text1"/>
          <w:sz w:val="28"/>
          <w:szCs w:val="28"/>
          <w:lang w:val="uk-UA"/>
        </w:rPr>
        <w:t xml:space="preserve"> /  </w:t>
      </w:r>
      <w:r w:rsidRPr="006B4867">
        <w:rPr>
          <w:rFonts w:cstheme="minorHAnsi"/>
          <w:iCs/>
          <w:color w:val="000000" w:themeColor="text1"/>
          <w:sz w:val="28"/>
          <w:szCs w:val="28"/>
          <w:shd w:val="clear" w:color="auto" w:fill="FFFFFF"/>
        </w:rPr>
        <w:t>А.С. Переверзев</w:t>
      </w:r>
      <w:r w:rsidRPr="006B4867">
        <w:rPr>
          <w:rFonts w:cstheme="minorHAnsi"/>
          <w:iCs/>
          <w:color w:val="000000" w:themeColor="text1"/>
          <w:sz w:val="28"/>
          <w:szCs w:val="28"/>
          <w:shd w:val="clear" w:color="auto" w:fill="FFFFFF"/>
          <w:lang w:val="uk-UA"/>
        </w:rPr>
        <w:t xml:space="preserve"> //</w:t>
      </w:r>
      <w:r w:rsidRPr="006B4867">
        <w:rPr>
          <w:rFonts w:cstheme="minorHAnsi"/>
          <w:color w:val="000000" w:themeColor="text1"/>
          <w:sz w:val="28"/>
          <w:szCs w:val="28"/>
          <w:lang w:val="uk-UA"/>
        </w:rPr>
        <w:t xml:space="preserve"> Здоров'я  України.- 2008.- №8.- С. 10-11.</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bCs/>
          <w:color w:val="000000" w:themeColor="text1"/>
          <w:sz w:val="28"/>
          <w:szCs w:val="28"/>
          <w:bdr w:val="none" w:sz="0" w:space="0" w:color="auto" w:frame="1"/>
          <w:lang w:val="en-US"/>
        </w:rPr>
        <w:t>A</w:t>
      </w:r>
      <w:r w:rsidRPr="006B4867">
        <w:rPr>
          <w:rFonts w:cstheme="minorHAnsi"/>
          <w:bCs/>
          <w:color w:val="000000" w:themeColor="text1"/>
          <w:sz w:val="28"/>
          <w:szCs w:val="28"/>
          <w:bdr w:val="none" w:sz="0" w:space="0" w:color="auto" w:frame="1"/>
          <w:lang w:val="uk-UA"/>
        </w:rPr>
        <w:t xml:space="preserve">. </w:t>
      </w:r>
      <w:r w:rsidRPr="006B4867">
        <w:rPr>
          <w:rFonts w:cstheme="minorHAnsi"/>
          <w:color w:val="000000" w:themeColor="text1"/>
          <w:sz w:val="28"/>
          <w:szCs w:val="28"/>
          <w:bdr w:val="none" w:sz="0" w:space="0" w:color="auto" w:frame="1"/>
          <w:lang w:val="en-US"/>
        </w:rPr>
        <w:t>Gallini</w:t>
      </w:r>
      <w:r w:rsidRPr="006B4867">
        <w:rPr>
          <w:rFonts w:cstheme="minorHAnsi"/>
          <w:bCs/>
          <w:color w:val="000000" w:themeColor="text1"/>
          <w:sz w:val="28"/>
          <w:szCs w:val="28"/>
          <w:bdr w:val="none" w:sz="0" w:space="0" w:color="auto" w:frame="1"/>
          <w:lang w:val="uk-UA"/>
        </w:rPr>
        <w:t>.</w:t>
      </w:r>
      <w:r w:rsidRPr="006B4867">
        <w:rPr>
          <w:rFonts w:cstheme="minorHAnsi"/>
          <w:bCs/>
          <w:color w:val="000000" w:themeColor="text1"/>
          <w:sz w:val="28"/>
          <w:szCs w:val="28"/>
          <w:lang w:val="uk-UA"/>
        </w:rPr>
        <w:t xml:space="preserve"> </w:t>
      </w:r>
      <w:r w:rsidRPr="006B4867">
        <w:rPr>
          <w:rFonts w:cstheme="minorHAnsi"/>
          <w:color w:val="000000"/>
          <w:sz w:val="28"/>
          <w:szCs w:val="28"/>
          <w:lang w:val="en-US"/>
        </w:rPr>
        <w:t>Influence of fluoroquinolone consumption in inpatients and outpatients on ciprofloxacin-resistant </w:t>
      </w:r>
      <w:r w:rsidRPr="006B4867">
        <w:rPr>
          <w:rFonts w:cstheme="minorHAnsi"/>
          <w:color w:val="000000"/>
          <w:sz w:val="28"/>
          <w:szCs w:val="28"/>
          <w:bdr w:val="none" w:sz="0" w:space="0" w:color="auto" w:frame="1"/>
          <w:lang w:val="en-US"/>
        </w:rPr>
        <w:t>Escherichia coli</w:t>
      </w:r>
      <w:r w:rsidRPr="006B4867">
        <w:rPr>
          <w:rFonts w:cstheme="minorHAnsi"/>
          <w:color w:val="000000"/>
          <w:sz w:val="28"/>
          <w:szCs w:val="28"/>
          <w:lang w:val="en-US"/>
        </w:rPr>
        <w:t> in a university hospital /</w:t>
      </w:r>
      <w:r w:rsidRPr="006B4867">
        <w:rPr>
          <w:rFonts w:cstheme="minorHAnsi"/>
          <w:bCs/>
          <w:color w:val="000000" w:themeColor="text1"/>
          <w:sz w:val="28"/>
          <w:szCs w:val="28"/>
          <w:bdr w:val="none" w:sz="0" w:space="0" w:color="auto" w:frame="1"/>
          <w:lang w:val="en-US"/>
        </w:rPr>
        <w:t xml:space="preserve"> A.</w:t>
      </w:r>
      <w:r w:rsidRPr="006B4867">
        <w:rPr>
          <w:rFonts w:cstheme="minorHAnsi"/>
          <w:bCs/>
          <w:color w:val="000000" w:themeColor="text1"/>
          <w:sz w:val="28"/>
          <w:szCs w:val="28"/>
          <w:bdr w:val="none" w:sz="0" w:space="0" w:color="auto" w:frame="1"/>
          <w:lang w:val="uk-UA"/>
        </w:rPr>
        <w:t xml:space="preserve"> </w:t>
      </w:r>
      <w:r w:rsidRPr="006B4867">
        <w:rPr>
          <w:rFonts w:cstheme="minorHAnsi"/>
          <w:color w:val="000000" w:themeColor="text1"/>
          <w:sz w:val="28"/>
          <w:szCs w:val="28"/>
          <w:bdr w:val="none" w:sz="0" w:space="0" w:color="auto" w:frame="1"/>
          <w:lang w:val="en-US"/>
        </w:rPr>
        <w:t>Gallini</w:t>
      </w:r>
      <w:r w:rsidRPr="006B4867">
        <w:rPr>
          <w:rFonts w:cstheme="minorHAnsi"/>
          <w:color w:val="000000" w:themeColor="text1"/>
          <w:sz w:val="28"/>
          <w:szCs w:val="28"/>
          <w:bdr w:val="none" w:sz="0" w:space="0" w:color="auto" w:frame="1"/>
          <w:lang w:val="uk-UA"/>
        </w:rPr>
        <w:t>,</w:t>
      </w:r>
      <w:r w:rsidRPr="006B4867">
        <w:rPr>
          <w:rFonts w:cstheme="minorHAnsi"/>
          <w:bCs/>
          <w:color w:val="000000" w:themeColor="text1"/>
          <w:sz w:val="28"/>
          <w:szCs w:val="28"/>
          <w:bdr w:val="none" w:sz="0" w:space="0" w:color="auto" w:frame="1"/>
          <w:lang w:val="en-US"/>
        </w:rPr>
        <w:t xml:space="preserve"> E.</w:t>
      </w:r>
      <w:r w:rsidRPr="006B4867">
        <w:rPr>
          <w:rFonts w:cstheme="minorHAnsi"/>
          <w:bCs/>
          <w:color w:val="000000" w:themeColor="text1"/>
          <w:sz w:val="28"/>
          <w:szCs w:val="28"/>
          <w:bdr w:val="none" w:sz="0" w:space="0" w:color="auto" w:frame="1"/>
          <w:lang w:val="uk-UA"/>
        </w:rPr>
        <w:t xml:space="preserve"> </w:t>
      </w:r>
      <w:r w:rsidRPr="006B4867">
        <w:rPr>
          <w:rFonts w:cstheme="minorHAnsi"/>
          <w:color w:val="000000" w:themeColor="text1"/>
          <w:sz w:val="28"/>
          <w:szCs w:val="28"/>
          <w:bdr w:val="none" w:sz="0" w:space="0" w:color="auto" w:frame="1"/>
          <w:lang w:val="en-US"/>
        </w:rPr>
        <w:t>Degris,</w:t>
      </w:r>
      <w:r w:rsidRPr="006B4867">
        <w:rPr>
          <w:rFonts w:cstheme="minorHAnsi"/>
          <w:bCs/>
          <w:color w:val="000000" w:themeColor="text1"/>
          <w:sz w:val="28"/>
          <w:szCs w:val="28"/>
          <w:bdr w:val="none" w:sz="0" w:space="0" w:color="auto" w:frame="1"/>
          <w:lang w:val="en-US"/>
        </w:rPr>
        <w:t xml:space="preserve"> M.</w:t>
      </w:r>
      <w:r w:rsidRPr="006B4867">
        <w:rPr>
          <w:rFonts w:cstheme="minorHAnsi"/>
          <w:bCs/>
          <w:color w:val="000000" w:themeColor="text1"/>
          <w:sz w:val="28"/>
          <w:szCs w:val="28"/>
          <w:bdr w:val="none" w:sz="0" w:space="0" w:color="auto" w:frame="1"/>
          <w:lang w:val="uk-UA"/>
        </w:rPr>
        <w:t xml:space="preserve"> </w:t>
      </w:r>
      <w:r w:rsidRPr="006B4867">
        <w:rPr>
          <w:rFonts w:cstheme="minorHAnsi"/>
          <w:color w:val="000000" w:themeColor="text1"/>
          <w:sz w:val="28"/>
          <w:szCs w:val="28"/>
          <w:bdr w:val="none" w:sz="0" w:space="0" w:color="auto" w:frame="1"/>
          <w:lang w:val="en-US"/>
        </w:rPr>
        <w:t>Desplas</w:t>
      </w:r>
      <w:r w:rsidRPr="006B4867">
        <w:rPr>
          <w:rFonts w:cstheme="minorHAnsi"/>
          <w:bCs/>
          <w:color w:val="000000" w:themeColor="text1"/>
          <w:sz w:val="28"/>
          <w:szCs w:val="28"/>
          <w:bdr w:val="none" w:sz="0" w:space="0" w:color="auto" w:frame="1"/>
          <w:lang w:val="en-US"/>
        </w:rPr>
        <w:t xml:space="preserve"> </w:t>
      </w:r>
      <w:r w:rsidRPr="006B4867">
        <w:rPr>
          <w:rFonts w:cstheme="minorHAnsi"/>
          <w:bCs/>
          <w:color w:val="000000" w:themeColor="text1"/>
          <w:sz w:val="28"/>
          <w:szCs w:val="28"/>
          <w:bdr w:val="none" w:sz="0" w:space="0" w:color="auto" w:frame="1"/>
          <w:lang w:val="uk-UA"/>
        </w:rPr>
        <w:t xml:space="preserve">// </w:t>
      </w:r>
      <w:hyperlink r:id="rId135" w:history="1">
        <w:r w:rsidRPr="006B4867">
          <w:rPr>
            <w:rFonts w:eastAsia="Times New Roman" w:cstheme="minorHAnsi"/>
            <w:color w:val="000000" w:themeColor="text1"/>
            <w:sz w:val="28"/>
            <w:szCs w:val="28"/>
            <w:lang w:val="en-US" w:eastAsia="ru-RU"/>
          </w:rPr>
          <w:t>Journal of Antimicrobial Chemotherapy</w:t>
        </w:r>
      </w:hyperlink>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xml:space="preserve"> 2010</w:t>
      </w:r>
      <w:r w:rsidRPr="006B4867">
        <w:rPr>
          <w:rFonts w:eastAsia="Times New Roman" w:cstheme="minorHAnsi"/>
          <w:color w:val="000000" w:themeColor="text1"/>
          <w:sz w:val="28"/>
          <w:szCs w:val="28"/>
          <w:lang w:val="uk-UA" w:eastAsia="ru-RU"/>
        </w:rPr>
        <w:t xml:space="preserve">.- №65(12).- </w:t>
      </w:r>
      <w:r w:rsidRPr="006B4867">
        <w:rPr>
          <w:rFonts w:eastAsia="Times New Roman" w:cstheme="minorHAnsi"/>
          <w:color w:val="000000"/>
          <w:sz w:val="28"/>
          <w:szCs w:val="28"/>
          <w:lang w:val="en-US" w:eastAsia="ru-RU"/>
        </w:rPr>
        <w:t>P</w:t>
      </w:r>
      <w:r w:rsidRPr="006B4867">
        <w:rPr>
          <w:rFonts w:eastAsia="Times New Roman" w:cstheme="minorHAnsi"/>
          <w:color w:val="000000"/>
          <w:sz w:val="28"/>
          <w:szCs w:val="28"/>
          <w:lang w:val="uk-UA" w:eastAsia="ru-RU"/>
        </w:rPr>
        <w:t>.</w:t>
      </w:r>
      <w:r w:rsidRPr="006B4867">
        <w:rPr>
          <w:rFonts w:eastAsia="Times New Roman" w:cstheme="minorHAnsi"/>
          <w:color w:val="000000"/>
          <w:sz w:val="28"/>
          <w:szCs w:val="28"/>
          <w:lang w:val="en-US" w:eastAsia="ru-RU"/>
        </w:rPr>
        <w:t> </w:t>
      </w:r>
      <w:r w:rsidRPr="006B4867">
        <w:rPr>
          <w:rFonts w:eastAsia="Times New Roman" w:cstheme="minorHAnsi"/>
          <w:color w:val="000000"/>
          <w:sz w:val="28"/>
          <w:szCs w:val="28"/>
          <w:lang w:val="uk-UA" w:eastAsia="ru-RU"/>
        </w:rPr>
        <w:t>2650-2657.</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Ahmed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NH</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Comparison</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of etiological agents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resistance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patterns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of</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the pathogens causing</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community</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acquired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hospital</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acquired urinary</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tract</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infections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Ahmed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NH</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Hussain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T</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Biswal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I</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J</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Glob</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Infect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Dis</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w:t>
      </w:r>
      <w:r w:rsidRPr="006B4867">
        <w:rPr>
          <w:rFonts w:eastAsia="Times New Roman" w:cstheme="minorHAnsi"/>
          <w:color w:val="000000" w:themeColor="text1"/>
          <w:sz w:val="28"/>
          <w:szCs w:val="28"/>
          <w:lang w:val="uk-UA" w:eastAsia="ru-RU"/>
        </w:rPr>
        <w:t xml:space="preserve">2014 </w:t>
      </w:r>
      <w:r w:rsidRPr="006B4867">
        <w:rPr>
          <w:rFonts w:eastAsia="Times New Roman" w:cstheme="minorHAnsi"/>
          <w:color w:val="000000" w:themeColor="text1"/>
          <w:sz w:val="28"/>
          <w:szCs w:val="28"/>
          <w:lang w:val="en-US" w:eastAsia="ru-RU"/>
        </w:rPr>
        <w:t>Jul</w:t>
      </w:r>
      <w:r w:rsidRPr="006B4867">
        <w:rPr>
          <w:rFonts w:eastAsia="Times New Roman" w:cstheme="minorHAnsi"/>
          <w:color w:val="000000" w:themeColor="text1"/>
          <w:sz w:val="28"/>
          <w:szCs w:val="28"/>
          <w:lang w:val="uk-UA" w:eastAsia="ru-RU"/>
        </w:rPr>
        <w:t>;6(3):135-6.</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Akingbade</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O</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Resistant</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plasmid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profile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analysis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of</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multidrug</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resistant</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Escherichia</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coli</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isolated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from urinary</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tract</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infections in</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Abeokuta</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Nigeria</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Akingbade</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O</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Balogun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Ojo</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D</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Akinduti</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Okerentugba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PO</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Nwanze</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Okonko</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IO</w:t>
      </w:r>
      <w:r w:rsidRPr="006B4867">
        <w:rPr>
          <w:rFonts w:eastAsia="Times New Roman" w:cstheme="minorHAnsi"/>
          <w:color w:val="000000" w:themeColor="text1"/>
          <w:sz w:val="28"/>
          <w:szCs w:val="28"/>
          <w:vertAlign w:val="superscript"/>
          <w:lang w:val="uk-UA" w:eastAsia="ru-RU"/>
        </w:rPr>
        <w:t xml:space="preserve"> </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Afr</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Health</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Sci</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w:t>
      </w:r>
      <w:r w:rsidRPr="006B4867">
        <w:rPr>
          <w:rFonts w:eastAsia="Times New Roman" w:cstheme="minorHAnsi"/>
          <w:color w:val="000000" w:themeColor="text1"/>
          <w:sz w:val="28"/>
          <w:szCs w:val="28"/>
          <w:lang w:val="uk-UA" w:eastAsia="ru-RU"/>
        </w:rPr>
        <w:t xml:space="preserve">2014 </w:t>
      </w:r>
      <w:r w:rsidRPr="006B4867">
        <w:rPr>
          <w:rFonts w:eastAsia="Times New Roman" w:cstheme="minorHAnsi"/>
          <w:color w:val="000000" w:themeColor="text1"/>
          <w:sz w:val="28"/>
          <w:szCs w:val="28"/>
          <w:lang w:val="en-US" w:eastAsia="ru-RU"/>
        </w:rPr>
        <w:t>Dec</w:t>
      </w:r>
      <w:r w:rsidRPr="006B4867">
        <w:rPr>
          <w:rFonts w:eastAsia="Times New Roman" w:cstheme="minorHAnsi"/>
          <w:color w:val="000000" w:themeColor="text1"/>
          <w:sz w:val="28"/>
          <w:szCs w:val="28"/>
          <w:lang w:val="uk-UA" w:eastAsia="ru-RU"/>
        </w:rPr>
        <w:t xml:space="preserve">;14(4):821-8. </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Alibi S</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Molecular characterization of extended spectrum beta-lactamases produced by Klebsiella pneumoniae clinical strains from a Tunisian Hospital</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Alibi S, Ferjani A, Boukadida J</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Med Mal Infect. 2015 Apr;45(4):139-43</w:t>
      </w:r>
      <w:r w:rsidRPr="006B4867">
        <w:rPr>
          <w:rFonts w:cstheme="minorHAnsi"/>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bCs/>
          <w:iCs/>
          <w:color w:val="000000" w:themeColor="text1"/>
          <w:sz w:val="28"/>
          <w:szCs w:val="28"/>
          <w:lang w:val="en-US"/>
        </w:rPr>
        <w:t xml:space="preserve">Alvaro Hernández. </w:t>
      </w:r>
      <w:r w:rsidRPr="006B4867">
        <w:rPr>
          <w:rFonts w:cstheme="minorHAnsi"/>
          <w:color w:val="000000" w:themeColor="text1"/>
          <w:sz w:val="28"/>
          <w:szCs w:val="28"/>
          <w:lang w:val="en-US"/>
        </w:rPr>
        <w:t xml:space="preserve">Quinolone resistance: much more than predicted / </w:t>
      </w:r>
      <w:r w:rsidRPr="006B4867">
        <w:rPr>
          <w:rFonts w:cstheme="minorHAnsi"/>
          <w:bCs/>
          <w:iCs/>
          <w:color w:val="000000" w:themeColor="text1"/>
          <w:sz w:val="28"/>
          <w:szCs w:val="28"/>
          <w:lang w:val="en-US"/>
        </w:rPr>
        <w:t xml:space="preserve">Alvaro Hernández, María B. Sánchez, José L. Martínez // </w:t>
      </w:r>
      <w:r w:rsidRPr="006B4867">
        <w:rPr>
          <w:rFonts w:cstheme="minorHAnsi"/>
          <w:bCs/>
          <w:color w:val="000000" w:themeColor="text1"/>
          <w:sz w:val="28"/>
          <w:szCs w:val="28"/>
          <w:lang w:val="en-US"/>
        </w:rPr>
        <w:t xml:space="preserve">Frontiers in Microbiology. – 2011. - №22. – </w:t>
      </w:r>
      <w:r w:rsidRPr="006B4867">
        <w:rPr>
          <w:rFonts w:cstheme="minorHAnsi"/>
          <w:bCs/>
          <w:color w:val="000000" w:themeColor="text1"/>
          <w:sz w:val="28"/>
          <w:szCs w:val="28"/>
        </w:rPr>
        <w:t>Р</w:t>
      </w:r>
      <w:r w:rsidRPr="006B4867">
        <w:rPr>
          <w:rFonts w:cstheme="minorHAnsi"/>
          <w:bCs/>
          <w:color w:val="000000" w:themeColor="text1"/>
          <w:sz w:val="28"/>
          <w:szCs w:val="28"/>
          <w:lang w:val="en-US"/>
        </w:rPr>
        <w:t>. 1–6</w:t>
      </w:r>
      <w:r w:rsidRPr="006B4867">
        <w:rPr>
          <w:rFonts w:cstheme="minorHAnsi"/>
          <w:bCs/>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sz w:val="28"/>
          <w:szCs w:val="28"/>
          <w:lang w:val="en-US"/>
        </w:rPr>
        <w:t>ARNFINN</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SUNDSFJORD</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Genetic</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methods</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for</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detection</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of</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antimicrobial</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resistance</w:t>
      </w:r>
      <w:r w:rsidRPr="006B4867">
        <w:rPr>
          <w:rFonts w:ascii="Times New Roman" w:hAnsi="Times New Roman" w:cs="Times New Roman"/>
          <w:sz w:val="28"/>
          <w:szCs w:val="28"/>
          <w:lang w:val="uk-UA"/>
        </w:rPr>
        <w:t xml:space="preserve"> / </w:t>
      </w:r>
      <w:r w:rsidRPr="006B4867">
        <w:rPr>
          <w:rFonts w:ascii="Times New Roman" w:hAnsi="Times New Roman" w:cs="Times New Roman"/>
          <w:sz w:val="28"/>
          <w:szCs w:val="28"/>
          <w:lang w:val="en-US"/>
        </w:rPr>
        <w:t>ARNFINN</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SUNDSFJORD</w:t>
      </w:r>
      <w:r w:rsidRPr="006B4867">
        <w:rPr>
          <w:rFonts w:ascii="Times New Roman" w:hAnsi="Times New Roman" w:cs="Times New Roman"/>
          <w:sz w:val="28"/>
          <w:szCs w:val="28"/>
          <w:lang w:val="uk-UA"/>
        </w:rPr>
        <w:t xml:space="preserve"> // </w:t>
      </w:r>
      <w:r w:rsidRPr="006B4867">
        <w:rPr>
          <w:rFonts w:ascii="Times New Roman" w:hAnsi="Times New Roman" w:cs="Times New Roman"/>
          <w:sz w:val="28"/>
          <w:szCs w:val="28"/>
          <w:lang w:val="en-US"/>
        </w:rPr>
        <w:t>DAHLAPMIS</w:t>
      </w:r>
      <w:r w:rsidRPr="006B4867">
        <w:rPr>
          <w:rFonts w:ascii="Times New Roman" w:hAnsi="Times New Roman" w:cs="Times New Roman"/>
          <w:sz w:val="28"/>
          <w:szCs w:val="28"/>
          <w:lang w:val="uk-UA"/>
        </w:rPr>
        <w:t>. – 2004. - №12. – Р. 815–837.</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Aswani</w:t>
      </w:r>
      <w:r w:rsidRPr="006B4867">
        <w:rPr>
          <w:rFonts w:cstheme="minorHAnsi"/>
          <w:sz w:val="28"/>
          <w:szCs w:val="28"/>
          <w:lang w:val="uk-UA"/>
        </w:rPr>
        <w:t xml:space="preserve"> </w:t>
      </w:r>
      <w:r w:rsidRPr="006B4867">
        <w:rPr>
          <w:rFonts w:cstheme="minorHAnsi"/>
          <w:sz w:val="28"/>
          <w:szCs w:val="28"/>
          <w:lang w:val="en-US"/>
        </w:rPr>
        <w:t>Srinivas</w:t>
      </w:r>
      <w:r w:rsidRPr="006B4867">
        <w:rPr>
          <w:rFonts w:cstheme="minorHAnsi"/>
          <w:sz w:val="28"/>
          <w:szCs w:val="28"/>
          <w:lang w:val="uk-UA"/>
        </w:rPr>
        <w:t xml:space="preserve"> </w:t>
      </w:r>
      <w:r w:rsidRPr="006B4867">
        <w:rPr>
          <w:rFonts w:cstheme="minorHAnsi"/>
          <w:sz w:val="28"/>
          <w:szCs w:val="28"/>
          <w:lang w:val="en-US"/>
        </w:rPr>
        <w:t>M</w:t>
      </w:r>
      <w:r w:rsidRPr="006B4867">
        <w:rPr>
          <w:rFonts w:cstheme="minorHAnsi"/>
          <w:sz w:val="28"/>
          <w:szCs w:val="28"/>
          <w:lang w:val="uk-UA"/>
        </w:rPr>
        <w:t xml:space="preserve">. </w:t>
      </w:r>
      <w:r w:rsidRPr="006B4867">
        <w:rPr>
          <w:rFonts w:cstheme="minorHAnsi"/>
          <w:bCs/>
          <w:sz w:val="28"/>
          <w:szCs w:val="28"/>
          <w:lang w:val="en-US"/>
        </w:rPr>
        <w:t>Clinical</w:t>
      </w:r>
      <w:r w:rsidRPr="006B4867">
        <w:rPr>
          <w:rFonts w:cstheme="minorHAnsi"/>
          <w:bCs/>
          <w:sz w:val="28"/>
          <w:szCs w:val="28"/>
          <w:lang w:val="uk-UA"/>
        </w:rPr>
        <w:t xml:space="preserve"> </w:t>
      </w:r>
      <w:r w:rsidRPr="006B4867">
        <w:rPr>
          <w:rFonts w:cstheme="minorHAnsi"/>
          <w:bCs/>
          <w:sz w:val="28"/>
          <w:szCs w:val="28"/>
          <w:lang w:val="en-US"/>
        </w:rPr>
        <w:t>profile</w:t>
      </w:r>
      <w:r w:rsidRPr="006B4867">
        <w:rPr>
          <w:rFonts w:cstheme="minorHAnsi"/>
          <w:bCs/>
          <w:sz w:val="28"/>
          <w:szCs w:val="28"/>
          <w:lang w:val="uk-UA"/>
        </w:rPr>
        <w:t xml:space="preserve"> </w:t>
      </w:r>
      <w:r w:rsidRPr="006B4867">
        <w:rPr>
          <w:rFonts w:cstheme="minorHAnsi"/>
          <w:bCs/>
          <w:sz w:val="28"/>
          <w:szCs w:val="28"/>
          <w:lang w:val="en-US"/>
        </w:rPr>
        <w:t>of</w:t>
      </w:r>
      <w:r w:rsidRPr="006B4867">
        <w:rPr>
          <w:rFonts w:cstheme="minorHAnsi"/>
          <w:bCs/>
          <w:sz w:val="28"/>
          <w:szCs w:val="28"/>
          <w:lang w:val="uk-UA"/>
        </w:rPr>
        <w:t xml:space="preserve"> </w:t>
      </w:r>
      <w:r w:rsidRPr="006B4867">
        <w:rPr>
          <w:rFonts w:cstheme="minorHAnsi"/>
          <w:bCs/>
          <w:sz w:val="28"/>
          <w:szCs w:val="28"/>
          <w:lang w:val="en-US"/>
        </w:rPr>
        <w:t>urinary</w:t>
      </w:r>
      <w:r w:rsidRPr="006B4867">
        <w:rPr>
          <w:rFonts w:cstheme="minorHAnsi"/>
          <w:bCs/>
          <w:sz w:val="28"/>
          <w:szCs w:val="28"/>
          <w:lang w:val="uk-UA"/>
        </w:rPr>
        <w:t xml:space="preserve"> </w:t>
      </w:r>
      <w:r w:rsidRPr="006B4867">
        <w:rPr>
          <w:rFonts w:cstheme="minorHAnsi"/>
          <w:bCs/>
          <w:sz w:val="28"/>
          <w:szCs w:val="28"/>
          <w:lang w:val="en-US"/>
        </w:rPr>
        <w:t>tract</w:t>
      </w:r>
      <w:r w:rsidRPr="006B4867">
        <w:rPr>
          <w:rFonts w:cstheme="minorHAnsi"/>
          <w:bCs/>
          <w:sz w:val="28"/>
          <w:szCs w:val="28"/>
          <w:lang w:val="uk-UA"/>
        </w:rPr>
        <w:t xml:space="preserve"> </w:t>
      </w:r>
      <w:r w:rsidRPr="006B4867">
        <w:rPr>
          <w:rFonts w:cstheme="minorHAnsi"/>
          <w:bCs/>
          <w:sz w:val="28"/>
          <w:szCs w:val="28"/>
          <w:lang w:val="en-US"/>
        </w:rPr>
        <w:t>infections</w:t>
      </w:r>
      <w:r w:rsidRPr="006B4867">
        <w:rPr>
          <w:rFonts w:cstheme="minorHAnsi"/>
          <w:bCs/>
          <w:sz w:val="28"/>
          <w:szCs w:val="28"/>
          <w:lang w:val="uk-UA"/>
        </w:rPr>
        <w:t xml:space="preserve"> </w:t>
      </w:r>
      <w:r w:rsidRPr="006B4867">
        <w:rPr>
          <w:rFonts w:cstheme="minorHAnsi"/>
          <w:bCs/>
          <w:sz w:val="28"/>
          <w:szCs w:val="28"/>
          <w:lang w:val="en-US"/>
        </w:rPr>
        <w:t>in</w:t>
      </w:r>
      <w:r w:rsidRPr="006B4867">
        <w:rPr>
          <w:rFonts w:cstheme="minorHAnsi"/>
          <w:bCs/>
          <w:sz w:val="28"/>
          <w:szCs w:val="28"/>
          <w:lang w:val="uk-UA"/>
        </w:rPr>
        <w:t xml:space="preserve"> </w:t>
      </w:r>
      <w:r w:rsidRPr="006B4867">
        <w:rPr>
          <w:rFonts w:cstheme="minorHAnsi"/>
          <w:bCs/>
          <w:sz w:val="28"/>
          <w:szCs w:val="28"/>
          <w:lang w:val="en-US"/>
        </w:rPr>
        <w:t>diabetics</w:t>
      </w:r>
      <w:r w:rsidRPr="006B4867">
        <w:rPr>
          <w:rFonts w:cstheme="minorHAnsi"/>
          <w:bCs/>
          <w:sz w:val="28"/>
          <w:szCs w:val="28"/>
          <w:lang w:val="uk-UA"/>
        </w:rPr>
        <w:t xml:space="preserve"> </w:t>
      </w:r>
      <w:r w:rsidRPr="006B4867">
        <w:rPr>
          <w:rFonts w:cstheme="minorHAnsi"/>
          <w:bCs/>
          <w:sz w:val="28"/>
          <w:szCs w:val="28"/>
          <w:lang w:val="en-US"/>
        </w:rPr>
        <w:t>and</w:t>
      </w:r>
      <w:r w:rsidRPr="006B4867">
        <w:rPr>
          <w:rFonts w:cstheme="minorHAnsi"/>
          <w:bCs/>
          <w:sz w:val="28"/>
          <w:szCs w:val="28"/>
          <w:lang w:val="uk-UA"/>
        </w:rPr>
        <w:t xml:space="preserve"> </w:t>
      </w:r>
      <w:r w:rsidRPr="006B4867">
        <w:rPr>
          <w:rFonts w:cstheme="minorHAnsi"/>
          <w:bCs/>
          <w:sz w:val="28"/>
          <w:szCs w:val="28"/>
          <w:lang w:val="en-US"/>
        </w:rPr>
        <w:t>non</w:t>
      </w:r>
      <w:r w:rsidRPr="006B4867">
        <w:rPr>
          <w:rFonts w:cstheme="minorHAnsi"/>
          <w:bCs/>
          <w:sz w:val="28"/>
          <w:szCs w:val="28"/>
          <w:lang w:val="uk-UA"/>
        </w:rPr>
        <w:t>-</w:t>
      </w:r>
      <w:r w:rsidRPr="006B4867">
        <w:rPr>
          <w:rFonts w:cstheme="minorHAnsi"/>
          <w:bCs/>
          <w:sz w:val="28"/>
          <w:szCs w:val="28"/>
          <w:lang w:val="en-US"/>
        </w:rPr>
        <w:t>diabeticsof</w:t>
      </w:r>
      <w:r w:rsidRPr="006B4867">
        <w:rPr>
          <w:rFonts w:cstheme="minorHAnsi"/>
          <w:bCs/>
          <w:sz w:val="28"/>
          <w:szCs w:val="28"/>
          <w:lang w:val="uk-UA"/>
        </w:rPr>
        <w:t xml:space="preserve"> </w:t>
      </w:r>
      <w:r w:rsidRPr="006B4867">
        <w:rPr>
          <w:rFonts w:cstheme="minorHAnsi"/>
          <w:bCs/>
          <w:sz w:val="28"/>
          <w:szCs w:val="28"/>
          <w:lang w:val="en-US"/>
        </w:rPr>
        <w:t>urinary</w:t>
      </w:r>
      <w:r w:rsidRPr="006B4867">
        <w:rPr>
          <w:rFonts w:cstheme="minorHAnsi"/>
          <w:bCs/>
          <w:sz w:val="28"/>
          <w:szCs w:val="28"/>
          <w:lang w:val="uk-UA"/>
        </w:rPr>
        <w:t xml:space="preserve"> </w:t>
      </w:r>
      <w:r w:rsidRPr="006B4867">
        <w:rPr>
          <w:rFonts w:cstheme="minorHAnsi"/>
          <w:bCs/>
          <w:sz w:val="28"/>
          <w:szCs w:val="28"/>
          <w:lang w:val="en-US"/>
        </w:rPr>
        <w:t>tract</w:t>
      </w:r>
      <w:r w:rsidRPr="006B4867">
        <w:rPr>
          <w:rFonts w:cstheme="minorHAnsi"/>
          <w:bCs/>
          <w:sz w:val="28"/>
          <w:szCs w:val="28"/>
          <w:lang w:val="uk-UA"/>
        </w:rPr>
        <w:t xml:space="preserve"> </w:t>
      </w:r>
      <w:r w:rsidRPr="006B4867">
        <w:rPr>
          <w:rFonts w:cstheme="minorHAnsi"/>
          <w:bCs/>
          <w:sz w:val="28"/>
          <w:szCs w:val="28"/>
          <w:lang w:val="en-US"/>
        </w:rPr>
        <w:t>infections</w:t>
      </w:r>
      <w:r w:rsidRPr="006B4867">
        <w:rPr>
          <w:rFonts w:cstheme="minorHAnsi"/>
          <w:bCs/>
          <w:sz w:val="28"/>
          <w:szCs w:val="28"/>
          <w:lang w:val="uk-UA"/>
        </w:rPr>
        <w:t xml:space="preserve"> </w:t>
      </w:r>
      <w:r w:rsidRPr="006B4867">
        <w:rPr>
          <w:rFonts w:cstheme="minorHAnsi"/>
          <w:bCs/>
          <w:sz w:val="28"/>
          <w:szCs w:val="28"/>
          <w:lang w:val="en-US"/>
        </w:rPr>
        <w:t>in</w:t>
      </w:r>
      <w:r w:rsidRPr="006B4867">
        <w:rPr>
          <w:rFonts w:cstheme="minorHAnsi"/>
          <w:bCs/>
          <w:sz w:val="28"/>
          <w:szCs w:val="28"/>
          <w:lang w:val="uk-UA"/>
        </w:rPr>
        <w:t xml:space="preserve"> </w:t>
      </w:r>
      <w:r w:rsidRPr="006B4867">
        <w:rPr>
          <w:rFonts w:cstheme="minorHAnsi"/>
          <w:bCs/>
          <w:sz w:val="28"/>
          <w:szCs w:val="28"/>
          <w:lang w:val="en-US"/>
        </w:rPr>
        <w:t>diabetics</w:t>
      </w:r>
      <w:r w:rsidRPr="006B4867">
        <w:rPr>
          <w:rFonts w:cstheme="minorHAnsi"/>
          <w:bCs/>
          <w:sz w:val="28"/>
          <w:szCs w:val="28"/>
          <w:lang w:val="uk-UA"/>
        </w:rPr>
        <w:t xml:space="preserve"> </w:t>
      </w:r>
      <w:r w:rsidRPr="006B4867">
        <w:rPr>
          <w:rFonts w:cstheme="minorHAnsi"/>
          <w:bCs/>
          <w:sz w:val="28"/>
          <w:szCs w:val="28"/>
          <w:lang w:val="en-US"/>
        </w:rPr>
        <w:t>and</w:t>
      </w:r>
      <w:r w:rsidRPr="006B4867">
        <w:rPr>
          <w:rFonts w:cstheme="minorHAnsi"/>
          <w:bCs/>
          <w:sz w:val="28"/>
          <w:szCs w:val="28"/>
          <w:lang w:val="uk-UA"/>
        </w:rPr>
        <w:t xml:space="preserve"> </w:t>
      </w:r>
      <w:r w:rsidRPr="006B4867">
        <w:rPr>
          <w:rFonts w:cstheme="minorHAnsi"/>
          <w:bCs/>
          <w:sz w:val="28"/>
          <w:szCs w:val="28"/>
          <w:lang w:val="en-US"/>
        </w:rPr>
        <w:t>non</w:t>
      </w:r>
      <w:r w:rsidRPr="006B4867">
        <w:rPr>
          <w:rFonts w:cstheme="minorHAnsi"/>
          <w:bCs/>
          <w:sz w:val="28"/>
          <w:szCs w:val="28"/>
          <w:lang w:val="uk-UA"/>
        </w:rPr>
        <w:t>-</w:t>
      </w:r>
      <w:r w:rsidRPr="006B4867">
        <w:rPr>
          <w:rFonts w:cstheme="minorHAnsi"/>
          <w:bCs/>
          <w:sz w:val="28"/>
          <w:szCs w:val="28"/>
          <w:lang w:val="en-US"/>
        </w:rPr>
        <w:t>diabetic</w:t>
      </w:r>
      <w:r w:rsidRPr="006B4867">
        <w:rPr>
          <w:rFonts w:cstheme="minorHAnsi"/>
          <w:bCs/>
          <w:sz w:val="28"/>
          <w:szCs w:val="28"/>
          <w:lang w:val="uk-UA"/>
        </w:rPr>
        <w:t xml:space="preserve"> /</w:t>
      </w:r>
      <w:r w:rsidRPr="006B4867">
        <w:rPr>
          <w:rFonts w:cstheme="minorHAnsi"/>
          <w:sz w:val="28"/>
          <w:szCs w:val="28"/>
          <w:lang w:val="uk-UA"/>
        </w:rPr>
        <w:t xml:space="preserve"> </w:t>
      </w:r>
      <w:r w:rsidRPr="006B4867">
        <w:rPr>
          <w:rFonts w:cstheme="minorHAnsi"/>
          <w:sz w:val="28"/>
          <w:szCs w:val="28"/>
          <w:lang w:val="en-US"/>
        </w:rPr>
        <w:t>Aswani</w:t>
      </w:r>
      <w:r w:rsidRPr="006B4867">
        <w:rPr>
          <w:rFonts w:cstheme="minorHAnsi"/>
          <w:sz w:val="28"/>
          <w:szCs w:val="28"/>
          <w:lang w:val="uk-UA"/>
        </w:rPr>
        <w:t xml:space="preserve"> </w:t>
      </w:r>
      <w:r w:rsidRPr="006B4867">
        <w:rPr>
          <w:rFonts w:cstheme="minorHAnsi"/>
          <w:sz w:val="28"/>
          <w:szCs w:val="28"/>
          <w:lang w:val="en-US"/>
        </w:rPr>
        <w:t>Srinivas</w:t>
      </w:r>
      <w:r w:rsidRPr="006B4867">
        <w:rPr>
          <w:rFonts w:cstheme="minorHAnsi"/>
          <w:sz w:val="28"/>
          <w:szCs w:val="28"/>
          <w:lang w:val="uk-UA"/>
        </w:rPr>
        <w:t xml:space="preserve"> </w:t>
      </w:r>
      <w:r w:rsidRPr="006B4867">
        <w:rPr>
          <w:rFonts w:cstheme="minorHAnsi"/>
          <w:sz w:val="28"/>
          <w:szCs w:val="28"/>
          <w:lang w:val="en-US"/>
        </w:rPr>
        <w:t>M</w:t>
      </w:r>
      <w:r w:rsidRPr="006B4867">
        <w:rPr>
          <w:rFonts w:cstheme="minorHAnsi"/>
          <w:sz w:val="28"/>
          <w:szCs w:val="28"/>
          <w:lang w:val="uk-UA"/>
        </w:rPr>
        <w:t xml:space="preserve">, </w:t>
      </w:r>
      <w:r w:rsidRPr="006B4867">
        <w:rPr>
          <w:rFonts w:cstheme="minorHAnsi"/>
          <w:sz w:val="28"/>
          <w:szCs w:val="28"/>
          <w:lang w:val="en-US"/>
        </w:rPr>
        <w:t>Chandrashekar</w:t>
      </w:r>
      <w:r w:rsidRPr="006B4867">
        <w:rPr>
          <w:rFonts w:cstheme="minorHAnsi"/>
          <w:sz w:val="28"/>
          <w:szCs w:val="28"/>
          <w:lang w:val="uk-UA"/>
        </w:rPr>
        <w:t xml:space="preserve"> </w:t>
      </w:r>
      <w:r w:rsidRPr="006B4867">
        <w:rPr>
          <w:rFonts w:cstheme="minorHAnsi"/>
          <w:sz w:val="28"/>
          <w:szCs w:val="28"/>
          <w:lang w:val="en-US"/>
        </w:rPr>
        <w:t>UK</w:t>
      </w:r>
      <w:r w:rsidRPr="006B4867">
        <w:rPr>
          <w:rFonts w:cstheme="minorHAnsi"/>
          <w:sz w:val="28"/>
          <w:szCs w:val="28"/>
          <w:lang w:val="uk-UA"/>
        </w:rPr>
        <w:t xml:space="preserve">, </w:t>
      </w:r>
      <w:r w:rsidRPr="006B4867">
        <w:rPr>
          <w:rFonts w:cstheme="minorHAnsi"/>
          <w:sz w:val="28"/>
          <w:szCs w:val="28"/>
          <w:lang w:val="en-US"/>
        </w:rPr>
        <w:t>Shivashankara</w:t>
      </w:r>
      <w:r w:rsidRPr="006B4867">
        <w:rPr>
          <w:rFonts w:cstheme="minorHAnsi"/>
          <w:sz w:val="28"/>
          <w:szCs w:val="28"/>
          <w:lang w:val="uk-UA"/>
        </w:rPr>
        <w:t xml:space="preserve"> </w:t>
      </w:r>
      <w:r w:rsidRPr="006B4867">
        <w:rPr>
          <w:rFonts w:cstheme="minorHAnsi"/>
          <w:sz w:val="28"/>
          <w:szCs w:val="28"/>
          <w:lang w:val="en-US"/>
        </w:rPr>
        <w:t>KN</w:t>
      </w:r>
      <w:r w:rsidRPr="006B4867">
        <w:rPr>
          <w:rFonts w:cstheme="minorHAnsi"/>
          <w:sz w:val="28"/>
          <w:szCs w:val="28"/>
          <w:lang w:val="uk-UA"/>
        </w:rPr>
        <w:t xml:space="preserve">, </w:t>
      </w:r>
      <w:r w:rsidRPr="006B4867">
        <w:rPr>
          <w:rFonts w:cstheme="minorHAnsi"/>
          <w:sz w:val="28"/>
          <w:szCs w:val="28"/>
          <w:lang w:val="en-US"/>
        </w:rPr>
        <w:t>Pruthvi</w:t>
      </w:r>
      <w:r w:rsidRPr="006B4867">
        <w:rPr>
          <w:rFonts w:cstheme="minorHAnsi"/>
          <w:sz w:val="28"/>
          <w:szCs w:val="28"/>
          <w:lang w:val="uk-UA"/>
        </w:rPr>
        <w:t xml:space="preserve"> </w:t>
      </w:r>
      <w:r w:rsidRPr="006B4867">
        <w:rPr>
          <w:rFonts w:cstheme="minorHAnsi"/>
          <w:sz w:val="28"/>
          <w:szCs w:val="28"/>
          <w:lang w:val="en-US"/>
        </w:rPr>
        <w:t>BC</w:t>
      </w:r>
      <w:r w:rsidRPr="006B4867">
        <w:rPr>
          <w:rFonts w:cstheme="minorHAnsi"/>
          <w:sz w:val="28"/>
          <w:szCs w:val="28"/>
          <w:lang w:val="uk-UA"/>
        </w:rPr>
        <w:t xml:space="preserve"> //  </w:t>
      </w:r>
      <w:r w:rsidRPr="006B4867">
        <w:rPr>
          <w:rFonts w:cstheme="minorHAnsi"/>
          <w:sz w:val="28"/>
          <w:szCs w:val="28"/>
          <w:lang w:val="en-US"/>
        </w:rPr>
        <w:t>Australasian</w:t>
      </w:r>
      <w:r w:rsidRPr="006B4867">
        <w:rPr>
          <w:rFonts w:cstheme="minorHAnsi"/>
          <w:sz w:val="28"/>
          <w:szCs w:val="28"/>
          <w:lang w:val="uk-UA"/>
        </w:rPr>
        <w:t xml:space="preserve"> </w:t>
      </w:r>
      <w:r w:rsidRPr="006B4867">
        <w:rPr>
          <w:rFonts w:cstheme="minorHAnsi"/>
          <w:sz w:val="28"/>
          <w:szCs w:val="28"/>
          <w:lang w:val="en-US"/>
        </w:rPr>
        <w:t>Medical</w:t>
      </w:r>
      <w:r w:rsidRPr="006B4867">
        <w:rPr>
          <w:rFonts w:cstheme="minorHAnsi"/>
          <w:sz w:val="28"/>
          <w:szCs w:val="28"/>
          <w:lang w:val="uk-UA"/>
        </w:rPr>
        <w:t xml:space="preserve"> </w:t>
      </w:r>
      <w:r w:rsidRPr="006B4867">
        <w:rPr>
          <w:rFonts w:cstheme="minorHAnsi"/>
          <w:sz w:val="28"/>
          <w:szCs w:val="28"/>
          <w:lang w:val="en-US"/>
        </w:rPr>
        <w:t>Journal</w:t>
      </w:r>
      <w:r w:rsidRPr="006B4867">
        <w:rPr>
          <w:rFonts w:cstheme="minorHAnsi"/>
          <w:sz w:val="28"/>
          <w:szCs w:val="28"/>
          <w:lang w:val="uk-UA"/>
        </w:rPr>
        <w:t xml:space="preserve"> [</w:t>
      </w:r>
      <w:r w:rsidRPr="006B4867">
        <w:rPr>
          <w:rFonts w:cstheme="minorHAnsi"/>
          <w:sz w:val="28"/>
          <w:szCs w:val="28"/>
          <w:lang w:val="en-US"/>
        </w:rPr>
        <w:t>AMJ</w:t>
      </w:r>
      <w:r w:rsidRPr="006B4867">
        <w:rPr>
          <w:rFonts w:cstheme="minorHAnsi"/>
          <w:sz w:val="28"/>
          <w:szCs w:val="28"/>
          <w:lang w:val="uk-UA"/>
        </w:rPr>
        <w:t xml:space="preserve"> 2014, 7, 1, 29-34.</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lastRenderedPageBreak/>
        <w:t>Aswani</w:t>
      </w:r>
      <w:r w:rsidRPr="006B4867">
        <w:rPr>
          <w:rFonts w:cstheme="minorHAnsi"/>
          <w:sz w:val="28"/>
          <w:szCs w:val="28"/>
          <w:lang w:val="uk-UA"/>
        </w:rPr>
        <w:t xml:space="preserve"> </w:t>
      </w:r>
      <w:r w:rsidRPr="006B4867">
        <w:rPr>
          <w:rFonts w:cstheme="minorHAnsi"/>
          <w:sz w:val="28"/>
          <w:szCs w:val="28"/>
          <w:lang w:val="en-US"/>
        </w:rPr>
        <w:t>Srinivas</w:t>
      </w:r>
      <w:r w:rsidRPr="006B4867">
        <w:rPr>
          <w:rFonts w:cstheme="minorHAnsi"/>
          <w:sz w:val="28"/>
          <w:szCs w:val="28"/>
          <w:lang w:val="uk-UA"/>
        </w:rPr>
        <w:t xml:space="preserve"> </w:t>
      </w:r>
      <w:r w:rsidRPr="006B4867">
        <w:rPr>
          <w:rFonts w:cstheme="minorHAnsi"/>
          <w:sz w:val="28"/>
          <w:szCs w:val="28"/>
          <w:lang w:val="en-US"/>
        </w:rPr>
        <w:t>M</w:t>
      </w:r>
      <w:r w:rsidRPr="006B4867">
        <w:rPr>
          <w:rFonts w:cstheme="minorHAnsi"/>
          <w:sz w:val="28"/>
          <w:szCs w:val="28"/>
          <w:lang w:val="uk-UA"/>
        </w:rPr>
        <w:t xml:space="preserve">. </w:t>
      </w:r>
      <w:r w:rsidRPr="006B4867">
        <w:rPr>
          <w:rFonts w:cstheme="minorHAnsi"/>
          <w:bCs/>
          <w:sz w:val="28"/>
          <w:szCs w:val="28"/>
          <w:lang w:val="en-US"/>
        </w:rPr>
        <w:t>Clinical</w:t>
      </w:r>
      <w:r w:rsidRPr="006B4867">
        <w:rPr>
          <w:rFonts w:cstheme="minorHAnsi"/>
          <w:bCs/>
          <w:sz w:val="28"/>
          <w:szCs w:val="28"/>
          <w:lang w:val="uk-UA"/>
        </w:rPr>
        <w:t xml:space="preserve"> </w:t>
      </w:r>
      <w:r w:rsidRPr="006B4867">
        <w:rPr>
          <w:rFonts w:cstheme="minorHAnsi"/>
          <w:bCs/>
          <w:sz w:val="28"/>
          <w:szCs w:val="28"/>
          <w:lang w:val="en-US"/>
        </w:rPr>
        <w:t>profile</w:t>
      </w:r>
      <w:r w:rsidRPr="006B4867">
        <w:rPr>
          <w:rFonts w:cstheme="minorHAnsi"/>
          <w:bCs/>
          <w:sz w:val="28"/>
          <w:szCs w:val="28"/>
          <w:lang w:val="uk-UA"/>
        </w:rPr>
        <w:t xml:space="preserve"> </w:t>
      </w:r>
      <w:r w:rsidRPr="006B4867">
        <w:rPr>
          <w:rFonts w:cstheme="minorHAnsi"/>
          <w:bCs/>
          <w:sz w:val="28"/>
          <w:szCs w:val="28"/>
          <w:lang w:val="en-US"/>
        </w:rPr>
        <w:t>of</w:t>
      </w:r>
      <w:r w:rsidRPr="006B4867">
        <w:rPr>
          <w:rFonts w:cstheme="minorHAnsi"/>
          <w:bCs/>
          <w:sz w:val="28"/>
          <w:szCs w:val="28"/>
          <w:lang w:val="uk-UA"/>
        </w:rPr>
        <w:t xml:space="preserve"> </w:t>
      </w:r>
      <w:r w:rsidRPr="006B4867">
        <w:rPr>
          <w:rFonts w:cstheme="minorHAnsi"/>
          <w:bCs/>
          <w:sz w:val="28"/>
          <w:szCs w:val="28"/>
          <w:lang w:val="en-US"/>
        </w:rPr>
        <w:t>urinary</w:t>
      </w:r>
      <w:r w:rsidRPr="006B4867">
        <w:rPr>
          <w:rFonts w:cstheme="minorHAnsi"/>
          <w:bCs/>
          <w:sz w:val="28"/>
          <w:szCs w:val="28"/>
          <w:lang w:val="uk-UA"/>
        </w:rPr>
        <w:t xml:space="preserve"> </w:t>
      </w:r>
      <w:r w:rsidRPr="006B4867">
        <w:rPr>
          <w:rFonts w:cstheme="minorHAnsi"/>
          <w:bCs/>
          <w:sz w:val="28"/>
          <w:szCs w:val="28"/>
          <w:lang w:val="en-US"/>
        </w:rPr>
        <w:t>tract</w:t>
      </w:r>
      <w:r w:rsidRPr="006B4867">
        <w:rPr>
          <w:rFonts w:cstheme="minorHAnsi"/>
          <w:bCs/>
          <w:sz w:val="28"/>
          <w:szCs w:val="28"/>
          <w:lang w:val="uk-UA"/>
        </w:rPr>
        <w:t xml:space="preserve"> </w:t>
      </w:r>
      <w:r w:rsidRPr="006B4867">
        <w:rPr>
          <w:rFonts w:cstheme="minorHAnsi"/>
          <w:bCs/>
          <w:sz w:val="28"/>
          <w:szCs w:val="28"/>
          <w:lang w:val="en-US"/>
        </w:rPr>
        <w:t>infections</w:t>
      </w:r>
      <w:r w:rsidRPr="006B4867">
        <w:rPr>
          <w:rFonts w:cstheme="minorHAnsi"/>
          <w:bCs/>
          <w:sz w:val="28"/>
          <w:szCs w:val="28"/>
          <w:lang w:val="uk-UA"/>
        </w:rPr>
        <w:t xml:space="preserve"> </w:t>
      </w:r>
      <w:r w:rsidRPr="006B4867">
        <w:rPr>
          <w:rFonts w:cstheme="minorHAnsi"/>
          <w:bCs/>
          <w:sz w:val="28"/>
          <w:szCs w:val="28"/>
          <w:lang w:val="en-US"/>
        </w:rPr>
        <w:t>in</w:t>
      </w:r>
      <w:r w:rsidRPr="006B4867">
        <w:rPr>
          <w:rFonts w:cstheme="minorHAnsi"/>
          <w:bCs/>
          <w:sz w:val="28"/>
          <w:szCs w:val="28"/>
          <w:lang w:val="uk-UA"/>
        </w:rPr>
        <w:t xml:space="preserve"> </w:t>
      </w:r>
      <w:r w:rsidRPr="006B4867">
        <w:rPr>
          <w:rFonts w:cstheme="minorHAnsi"/>
          <w:bCs/>
          <w:sz w:val="28"/>
          <w:szCs w:val="28"/>
          <w:lang w:val="en-US"/>
        </w:rPr>
        <w:t>diabetics</w:t>
      </w:r>
      <w:r w:rsidRPr="006B4867">
        <w:rPr>
          <w:rFonts w:cstheme="minorHAnsi"/>
          <w:bCs/>
          <w:sz w:val="28"/>
          <w:szCs w:val="28"/>
          <w:lang w:val="uk-UA"/>
        </w:rPr>
        <w:t xml:space="preserve"> </w:t>
      </w:r>
      <w:r w:rsidRPr="006B4867">
        <w:rPr>
          <w:rFonts w:cstheme="minorHAnsi"/>
          <w:bCs/>
          <w:sz w:val="28"/>
          <w:szCs w:val="28"/>
          <w:lang w:val="en-US"/>
        </w:rPr>
        <w:t>and</w:t>
      </w:r>
      <w:r w:rsidRPr="006B4867">
        <w:rPr>
          <w:rFonts w:cstheme="minorHAnsi"/>
          <w:bCs/>
          <w:sz w:val="28"/>
          <w:szCs w:val="28"/>
          <w:lang w:val="uk-UA"/>
        </w:rPr>
        <w:t xml:space="preserve"> </w:t>
      </w:r>
      <w:r w:rsidRPr="006B4867">
        <w:rPr>
          <w:rFonts w:cstheme="minorHAnsi"/>
          <w:bCs/>
          <w:sz w:val="28"/>
          <w:szCs w:val="28"/>
          <w:lang w:val="en-US"/>
        </w:rPr>
        <w:t>non</w:t>
      </w:r>
      <w:r w:rsidRPr="006B4867">
        <w:rPr>
          <w:rFonts w:cstheme="minorHAnsi"/>
          <w:bCs/>
          <w:sz w:val="28"/>
          <w:szCs w:val="28"/>
          <w:lang w:val="uk-UA"/>
        </w:rPr>
        <w:t>-</w:t>
      </w:r>
      <w:r w:rsidRPr="006B4867">
        <w:rPr>
          <w:rFonts w:cstheme="minorHAnsi"/>
          <w:bCs/>
          <w:sz w:val="28"/>
          <w:szCs w:val="28"/>
          <w:lang w:val="en-US"/>
        </w:rPr>
        <w:t>diabeticsof</w:t>
      </w:r>
      <w:r w:rsidRPr="006B4867">
        <w:rPr>
          <w:rFonts w:cstheme="minorHAnsi"/>
          <w:bCs/>
          <w:sz w:val="28"/>
          <w:szCs w:val="28"/>
          <w:lang w:val="uk-UA"/>
        </w:rPr>
        <w:t xml:space="preserve"> </w:t>
      </w:r>
      <w:r w:rsidRPr="006B4867">
        <w:rPr>
          <w:rFonts w:cstheme="minorHAnsi"/>
          <w:bCs/>
          <w:sz w:val="28"/>
          <w:szCs w:val="28"/>
          <w:lang w:val="en-US"/>
        </w:rPr>
        <w:t>urinary</w:t>
      </w:r>
      <w:r w:rsidRPr="006B4867">
        <w:rPr>
          <w:rFonts w:cstheme="minorHAnsi"/>
          <w:bCs/>
          <w:sz w:val="28"/>
          <w:szCs w:val="28"/>
          <w:lang w:val="uk-UA"/>
        </w:rPr>
        <w:t xml:space="preserve"> </w:t>
      </w:r>
      <w:r w:rsidRPr="006B4867">
        <w:rPr>
          <w:rFonts w:cstheme="minorHAnsi"/>
          <w:bCs/>
          <w:sz w:val="28"/>
          <w:szCs w:val="28"/>
          <w:lang w:val="en-US"/>
        </w:rPr>
        <w:t>tract</w:t>
      </w:r>
      <w:r w:rsidRPr="006B4867">
        <w:rPr>
          <w:rFonts w:cstheme="minorHAnsi"/>
          <w:bCs/>
          <w:sz w:val="28"/>
          <w:szCs w:val="28"/>
          <w:lang w:val="uk-UA"/>
        </w:rPr>
        <w:t xml:space="preserve"> </w:t>
      </w:r>
      <w:r w:rsidRPr="006B4867">
        <w:rPr>
          <w:rFonts w:cstheme="minorHAnsi"/>
          <w:bCs/>
          <w:sz w:val="28"/>
          <w:szCs w:val="28"/>
          <w:lang w:val="en-US"/>
        </w:rPr>
        <w:t>infections</w:t>
      </w:r>
      <w:r w:rsidRPr="006B4867">
        <w:rPr>
          <w:rFonts w:cstheme="minorHAnsi"/>
          <w:bCs/>
          <w:sz w:val="28"/>
          <w:szCs w:val="28"/>
          <w:lang w:val="uk-UA"/>
        </w:rPr>
        <w:t xml:space="preserve"> </w:t>
      </w:r>
      <w:r w:rsidRPr="006B4867">
        <w:rPr>
          <w:rFonts w:cstheme="minorHAnsi"/>
          <w:bCs/>
          <w:sz w:val="28"/>
          <w:szCs w:val="28"/>
          <w:lang w:val="en-US"/>
        </w:rPr>
        <w:t>in</w:t>
      </w:r>
      <w:r w:rsidRPr="006B4867">
        <w:rPr>
          <w:rFonts w:cstheme="minorHAnsi"/>
          <w:bCs/>
          <w:sz w:val="28"/>
          <w:szCs w:val="28"/>
          <w:lang w:val="uk-UA"/>
        </w:rPr>
        <w:t xml:space="preserve"> </w:t>
      </w:r>
      <w:r w:rsidRPr="006B4867">
        <w:rPr>
          <w:rFonts w:cstheme="minorHAnsi"/>
          <w:bCs/>
          <w:sz w:val="28"/>
          <w:szCs w:val="28"/>
          <w:lang w:val="en-US"/>
        </w:rPr>
        <w:t>diabetics</w:t>
      </w:r>
      <w:r w:rsidRPr="006B4867">
        <w:rPr>
          <w:rFonts w:cstheme="minorHAnsi"/>
          <w:bCs/>
          <w:sz w:val="28"/>
          <w:szCs w:val="28"/>
          <w:lang w:val="uk-UA"/>
        </w:rPr>
        <w:t xml:space="preserve"> </w:t>
      </w:r>
      <w:r w:rsidRPr="006B4867">
        <w:rPr>
          <w:rFonts w:cstheme="minorHAnsi"/>
          <w:bCs/>
          <w:sz w:val="28"/>
          <w:szCs w:val="28"/>
          <w:lang w:val="en-US"/>
        </w:rPr>
        <w:t>and</w:t>
      </w:r>
      <w:r w:rsidRPr="006B4867">
        <w:rPr>
          <w:rFonts w:cstheme="minorHAnsi"/>
          <w:bCs/>
          <w:sz w:val="28"/>
          <w:szCs w:val="28"/>
          <w:lang w:val="uk-UA"/>
        </w:rPr>
        <w:t xml:space="preserve"> </w:t>
      </w:r>
      <w:r w:rsidRPr="006B4867">
        <w:rPr>
          <w:rFonts w:cstheme="minorHAnsi"/>
          <w:bCs/>
          <w:sz w:val="28"/>
          <w:szCs w:val="28"/>
          <w:lang w:val="en-US"/>
        </w:rPr>
        <w:t>non</w:t>
      </w:r>
      <w:r w:rsidRPr="006B4867">
        <w:rPr>
          <w:rFonts w:cstheme="minorHAnsi"/>
          <w:bCs/>
          <w:sz w:val="28"/>
          <w:szCs w:val="28"/>
          <w:lang w:val="uk-UA"/>
        </w:rPr>
        <w:t>-</w:t>
      </w:r>
      <w:r w:rsidRPr="006B4867">
        <w:rPr>
          <w:rFonts w:cstheme="minorHAnsi"/>
          <w:bCs/>
          <w:sz w:val="28"/>
          <w:szCs w:val="28"/>
          <w:lang w:val="en-US"/>
        </w:rPr>
        <w:t>diabetic</w:t>
      </w:r>
      <w:r w:rsidRPr="006B4867">
        <w:rPr>
          <w:rFonts w:cstheme="minorHAnsi"/>
          <w:bCs/>
          <w:sz w:val="28"/>
          <w:szCs w:val="28"/>
          <w:lang w:val="uk-UA"/>
        </w:rPr>
        <w:t xml:space="preserve"> /</w:t>
      </w:r>
      <w:r w:rsidRPr="006B4867">
        <w:rPr>
          <w:rFonts w:cstheme="minorHAnsi"/>
          <w:sz w:val="28"/>
          <w:szCs w:val="28"/>
          <w:lang w:val="uk-UA"/>
        </w:rPr>
        <w:t xml:space="preserve"> </w:t>
      </w:r>
      <w:r w:rsidRPr="006B4867">
        <w:rPr>
          <w:rFonts w:cstheme="minorHAnsi"/>
          <w:sz w:val="28"/>
          <w:szCs w:val="28"/>
          <w:lang w:val="en-US"/>
        </w:rPr>
        <w:t>Aswani</w:t>
      </w:r>
      <w:r w:rsidRPr="006B4867">
        <w:rPr>
          <w:rFonts w:cstheme="minorHAnsi"/>
          <w:sz w:val="28"/>
          <w:szCs w:val="28"/>
          <w:lang w:val="uk-UA"/>
        </w:rPr>
        <w:t xml:space="preserve"> </w:t>
      </w:r>
      <w:r w:rsidRPr="006B4867">
        <w:rPr>
          <w:rFonts w:cstheme="minorHAnsi"/>
          <w:sz w:val="28"/>
          <w:szCs w:val="28"/>
          <w:lang w:val="en-US"/>
        </w:rPr>
        <w:t>Srinivas</w:t>
      </w:r>
      <w:r w:rsidRPr="006B4867">
        <w:rPr>
          <w:rFonts w:cstheme="minorHAnsi"/>
          <w:sz w:val="28"/>
          <w:szCs w:val="28"/>
          <w:lang w:val="uk-UA"/>
        </w:rPr>
        <w:t xml:space="preserve"> </w:t>
      </w:r>
      <w:r w:rsidRPr="006B4867">
        <w:rPr>
          <w:rFonts w:cstheme="minorHAnsi"/>
          <w:sz w:val="28"/>
          <w:szCs w:val="28"/>
          <w:lang w:val="en-US"/>
        </w:rPr>
        <w:t>M</w:t>
      </w:r>
      <w:r w:rsidRPr="006B4867">
        <w:rPr>
          <w:rFonts w:cstheme="minorHAnsi"/>
          <w:sz w:val="28"/>
          <w:szCs w:val="28"/>
          <w:lang w:val="uk-UA"/>
        </w:rPr>
        <w:t xml:space="preserve">, </w:t>
      </w:r>
      <w:r w:rsidRPr="006B4867">
        <w:rPr>
          <w:rFonts w:cstheme="minorHAnsi"/>
          <w:sz w:val="28"/>
          <w:szCs w:val="28"/>
          <w:lang w:val="en-US"/>
        </w:rPr>
        <w:t>Chandrashekar</w:t>
      </w:r>
      <w:r w:rsidRPr="006B4867">
        <w:rPr>
          <w:rFonts w:cstheme="minorHAnsi"/>
          <w:sz w:val="28"/>
          <w:szCs w:val="28"/>
          <w:lang w:val="uk-UA"/>
        </w:rPr>
        <w:t xml:space="preserve"> </w:t>
      </w:r>
      <w:r w:rsidRPr="006B4867">
        <w:rPr>
          <w:rFonts w:cstheme="minorHAnsi"/>
          <w:sz w:val="28"/>
          <w:szCs w:val="28"/>
          <w:lang w:val="en-US"/>
        </w:rPr>
        <w:t>UK</w:t>
      </w:r>
      <w:r w:rsidRPr="006B4867">
        <w:rPr>
          <w:rFonts w:cstheme="minorHAnsi"/>
          <w:sz w:val="28"/>
          <w:szCs w:val="28"/>
          <w:lang w:val="uk-UA"/>
        </w:rPr>
        <w:t xml:space="preserve">, </w:t>
      </w:r>
      <w:r w:rsidRPr="006B4867">
        <w:rPr>
          <w:rFonts w:cstheme="minorHAnsi"/>
          <w:sz w:val="28"/>
          <w:szCs w:val="28"/>
          <w:lang w:val="en-US"/>
        </w:rPr>
        <w:t>Shivashankara</w:t>
      </w:r>
      <w:r w:rsidRPr="006B4867">
        <w:rPr>
          <w:rFonts w:cstheme="minorHAnsi"/>
          <w:sz w:val="28"/>
          <w:szCs w:val="28"/>
          <w:lang w:val="uk-UA"/>
        </w:rPr>
        <w:t xml:space="preserve"> </w:t>
      </w:r>
      <w:r w:rsidRPr="006B4867">
        <w:rPr>
          <w:rFonts w:cstheme="minorHAnsi"/>
          <w:sz w:val="28"/>
          <w:szCs w:val="28"/>
          <w:lang w:val="en-US"/>
        </w:rPr>
        <w:t>KN</w:t>
      </w:r>
      <w:r w:rsidRPr="006B4867">
        <w:rPr>
          <w:rFonts w:cstheme="minorHAnsi"/>
          <w:sz w:val="28"/>
          <w:szCs w:val="28"/>
          <w:lang w:val="uk-UA"/>
        </w:rPr>
        <w:t xml:space="preserve">, </w:t>
      </w:r>
      <w:r w:rsidRPr="006B4867">
        <w:rPr>
          <w:rFonts w:cstheme="minorHAnsi"/>
          <w:sz w:val="28"/>
          <w:szCs w:val="28"/>
          <w:lang w:val="en-US"/>
        </w:rPr>
        <w:t>Pruthvi</w:t>
      </w:r>
      <w:r w:rsidRPr="006B4867">
        <w:rPr>
          <w:rFonts w:cstheme="minorHAnsi"/>
          <w:sz w:val="28"/>
          <w:szCs w:val="28"/>
          <w:lang w:val="uk-UA"/>
        </w:rPr>
        <w:t xml:space="preserve"> </w:t>
      </w:r>
      <w:r w:rsidRPr="006B4867">
        <w:rPr>
          <w:rFonts w:cstheme="minorHAnsi"/>
          <w:sz w:val="28"/>
          <w:szCs w:val="28"/>
          <w:lang w:val="en-US"/>
        </w:rPr>
        <w:t>BC</w:t>
      </w:r>
      <w:r w:rsidRPr="006B4867">
        <w:rPr>
          <w:rFonts w:cstheme="minorHAnsi"/>
          <w:sz w:val="28"/>
          <w:szCs w:val="28"/>
          <w:lang w:val="uk-UA"/>
        </w:rPr>
        <w:t xml:space="preserve"> //  </w:t>
      </w:r>
      <w:r w:rsidRPr="006B4867">
        <w:rPr>
          <w:rFonts w:cstheme="minorHAnsi"/>
          <w:sz w:val="28"/>
          <w:szCs w:val="28"/>
          <w:lang w:val="en-US"/>
        </w:rPr>
        <w:t>Australasian</w:t>
      </w:r>
      <w:r w:rsidRPr="006B4867">
        <w:rPr>
          <w:rFonts w:cstheme="minorHAnsi"/>
          <w:sz w:val="28"/>
          <w:szCs w:val="28"/>
          <w:lang w:val="uk-UA"/>
        </w:rPr>
        <w:t xml:space="preserve"> </w:t>
      </w:r>
      <w:r w:rsidRPr="006B4867">
        <w:rPr>
          <w:rFonts w:cstheme="minorHAnsi"/>
          <w:sz w:val="28"/>
          <w:szCs w:val="28"/>
          <w:lang w:val="en-US"/>
        </w:rPr>
        <w:t>Medical</w:t>
      </w:r>
      <w:r w:rsidRPr="006B4867">
        <w:rPr>
          <w:rFonts w:cstheme="minorHAnsi"/>
          <w:sz w:val="28"/>
          <w:szCs w:val="28"/>
          <w:lang w:val="uk-UA"/>
        </w:rPr>
        <w:t xml:space="preserve"> </w:t>
      </w:r>
      <w:r w:rsidRPr="006B4867">
        <w:rPr>
          <w:rFonts w:cstheme="minorHAnsi"/>
          <w:sz w:val="28"/>
          <w:szCs w:val="28"/>
          <w:lang w:val="en-US"/>
        </w:rPr>
        <w:t>Journal</w:t>
      </w:r>
      <w:r w:rsidRPr="006B4867">
        <w:rPr>
          <w:rFonts w:cstheme="minorHAnsi"/>
          <w:sz w:val="28"/>
          <w:szCs w:val="28"/>
          <w:lang w:val="uk-UA"/>
        </w:rPr>
        <w:t xml:space="preserve"> [</w:t>
      </w:r>
      <w:r w:rsidRPr="006B4867">
        <w:rPr>
          <w:rFonts w:cstheme="minorHAnsi"/>
          <w:sz w:val="28"/>
          <w:szCs w:val="28"/>
          <w:lang w:val="en-US"/>
        </w:rPr>
        <w:t>AMJ</w:t>
      </w:r>
      <w:r w:rsidRPr="006B4867">
        <w:rPr>
          <w:rFonts w:cstheme="minorHAnsi"/>
          <w:sz w:val="28"/>
          <w:szCs w:val="28"/>
          <w:lang w:val="uk-UA"/>
        </w:rPr>
        <w:t xml:space="preserve"> 2014, 7, 1, 29-34.</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Azap</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OK</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Risk factors for extended-spectrum beta-lactamase positivity in uropathogenic Escherichia coliisolated from community-acquired urinary tract infections</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Azap OK, Arslan H, Serefhanoğlu K, Colakoğlu S, Erdoğan H, Timurkaynak F, Senger SS</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Clin Microbiol Infect. 2010 Feb;16(2):147-51.</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Baig MH</w:t>
      </w:r>
      <w:r w:rsidRPr="006B4867">
        <w:rPr>
          <w:rFonts w:cstheme="minorHAnsi"/>
          <w:color w:val="000000"/>
          <w:sz w:val="28"/>
          <w:szCs w:val="28"/>
          <w:lang w:val="uk-UA"/>
        </w:rPr>
        <w:t xml:space="preserve">. </w:t>
      </w:r>
      <w:r w:rsidRPr="006B4867">
        <w:rPr>
          <w:rFonts w:cstheme="minorHAnsi"/>
          <w:color w:val="000000"/>
          <w:sz w:val="28"/>
          <w:szCs w:val="28"/>
          <w:lang w:val="en-US"/>
        </w:rPr>
        <w:t>Homology modeling and virtual screening of inhibitors against TEM and SHV types resistant mutants: A multi-layer filtering approach</w:t>
      </w:r>
      <w:r w:rsidRPr="006B4867">
        <w:rPr>
          <w:rFonts w:cstheme="minorHAnsi"/>
          <w:color w:val="000000"/>
          <w:sz w:val="28"/>
          <w:szCs w:val="28"/>
          <w:lang w:val="uk-UA"/>
        </w:rPr>
        <w:t xml:space="preserve"> / </w:t>
      </w:r>
      <w:r w:rsidRPr="006B4867">
        <w:rPr>
          <w:rFonts w:cstheme="minorHAnsi"/>
          <w:color w:val="000000"/>
          <w:sz w:val="28"/>
          <w:szCs w:val="28"/>
          <w:lang w:val="en-US"/>
        </w:rPr>
        <w:t>Baig MH, Balaramnavar VM, Wadhwa G, Choi I, Khan AU</w:t>
      </w:r>
      <w:r w:rsidRPr="006B4867">
        <w:rPr>
          <w:rFonts w:cstheme="minorHAnsi"/>
          <w:color w:val="000000"/>
          <w:sz w:val="28"/>
          <w:szCs w:val="28"/>
          <w:lang w:val="uk-UA"/>
        </w:rPr>
        <w:t xml:space="preserve"> // </w:t>
      </w:r>
      <w:r w:rsidRPr="006B4867">
        <w:rPr>
          <w:rFonts w:cstheme="minorHAnsi"/>
          <w:color w:val="000000"/>
          <w:sz w:val="28"/>
          <w:szCs w:val="28"/>
          <w:lang w:val="en-US"/>
        </w:rPr>
        <w:t>Biotechnol Appl Biochem. 2015 Mar 16</w:t>
      </w:r>
      <w:r w:rsidRPr="006B4867">
        <w:rPr>
          <w:rFonts w:cstheme="minorHAnsi"/>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Baig MH</w:t>
      </w:r>
      <w:r w:rsidRPr="006B4867">
        <w:rPr>
          <w:rFonts w:cstheme="minorHAnsi"/>
          <w:color w:val="000000"/>
          <w:sz w:val="28"/>
          <w:szCs w:val="28"/>
          <w:lang w:val="uk-UA"/>
        </w:rPr>
        <w:t xml:space="preserve">. </w:t>
      </w:r>
      <w:r w:rsidRPr="006B4867">
        <w:rPr>
          <w:rFonts w:cstheme="minorHAnsi"/>
          <w:color w:val="000000"/>
          <w:sz w:val="28"/>
          <w:szCs w:val="28"/>
          <w:lang w:val="en-US"/>
        </w:rPr>
        <w:t>Homology modeling and virtual screening of inhibitors against TEM and SHV types resistant mutants: A multi-layer filtering approach</w:t>
      </w:r>
      <w:r w:rsidRPr="006B4867">
        <w:rPr>
          <w:rFonts w:cstheme="minorHAnsi"/>
          <w:color w:val="000000"/>
          <w:sz w:val="28"/>
          <w:szCs w:val="28"/>
          <w:lang w:val="uk-UA"/>
        </w:rPr>
        <w:t xml:space="preserve"> / </w:t>
      </w:r>
      <w:r w:rsidRPr="006B4867">
        <w:rPr>
          <w:rFonts w:cstheme="minorHAnsi"/>
          <w:color w:val="000000"/>
          <w:sz w:val="28"/>
          <w:szCs w:val="28"/>
          <w:lang w:val="en-US"/>
        </w:rPr>
        <w:t>Baig MH, Balaramnavar VM, Wadhwa G, Choi I, Khan AU</w:t>
      </w:r>
      <w:r w:rsidRPr="006B4867">
        <w:rPr>
          <w:rFonts w:cstheme="minorHAnsi"/>
          <w:color w:val="000000"/>
          <w:sz w:val="28"/>
          <w:szCs w:val="28"/>
          <w:lang w:val="uk-UA"/>
        </w:rPr>
        <w:t xml:space="preserve"> // </w:t>
      </w:r>
      <w:r w:rsidRPr="006B4867">
        <w:rPr>
          <w:rFonts w:cstheme="minorHAnsi"/>
          <w:color w:val="000000"/>
          <w:sz w:val="28"/>
          <w:szCs w:val="28"/>
          <w:lang w:val="en-US"/>
        </w:rPr>
        <w:t xml:space="preserve">Biotechnol Appl Biochem. </w:t>
      </w:r>
      <w:r w:rsidRPr="006B4867">
        <w:rPr>
          <w:rFonts w:cstheme="minorHAnsi"/>
          <w:color w:val="000000"/>
          <w:sz w:val="28"/>
          <w:szCs w:val="28"/>
        </w:rPr>
        <w:t xml:space="preserve">2015 </w:t>
      </w:r>
      <w:r w:rsidRPr="006B4867">
        <w:rPr>
          <w:rFonts w:cstheme="minorHAnsi"/>
          <w:color w:val="000000"/>
          <w:sz w:val="28"/>
          <w:szCs w:val="28"/>
          <w:lang w:val="en-US"/>
        </w:rPr>
        <w:t>Mar</w:t>
      </w:r>
      <w:r w:rsidRPr="006B4867">
        <w:rPr>
          <w:rFonts w:cstheme="minorHAnsi"/>
          <w:color w:val="000000"/>
          <w:sz w:val="28"/>
          <w:szCs w:val="28"/>
        </w:rPr>
        <w:t xml:space="preserve"> 16</w:t>
      </w:r>
      <w:r w:rsidRPr="006B4867">
        <w:rPr>
          <w:rFonts w:cstheme="minorHAnsi"/>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Baquirin M. H. C. Evolution and recombination of the plasmidic </w:t>
      </w:r>
      <w:r w:rsidRPr="006B4867">
        <w:rPr>
          <w:rFonts w:cstheme="minorHAnsi"/>
          <w:iCs/>
          <w:sz w:val="28"/>
          <w:szCs w:val="28"/>
          <w:lang w:val="en-US"/>
        </w:rPr>
        <w:t xml:space="preserve">qnr </w:t>
      </w:r>
      <w:r w:rsidRPr="006B4867">
        <w:rPr>
          <w:rFonts w:cstheme="minorHAnsi"/>
          <w:sz w:val="28"/>
          <w:szCs w:val="28"/>
          <w:lang w:val="en-US"/>
        </w:rPr>
        <w:t>alleles / M. H. C. Baquirin, M. Barlow</w:t>
      </w:r>
      <w:r w:rsidRPr="006B4867">
        <w:rPr>
          <w:rFonts w:cstheme="minorHAnsi"/>
          <w:iCs/>
          <w:sz w:val="28"/>
          <w:szCs w:val="28"/>
          <w:lang w:val="en-US"/>
        </w:rPr>
        <w:t xml:space="preserve"> // Journal of Molecular</w:t>
      </w:r>
      <w:r w:rsidRPr="006B4867">
        <w:rPr>
          <w:rFonts w:cstheme="minorHAnsi"/>
          <w:sz w:val="28"/>
          <w:szCs w:val="28"/>
          <w:lang w:val="en-US"/>
        </w:rPr>
        <w:t xml:space="preserve"> </w:t>
      </w:r>
      <w:r w:rsidRPr="006B4867">
        <w:rPr>
          <w:rFonts w:cstheme="minorHAnsi"/>
          <w:iCs/>
          <w:sz w:val="28"/>
          <w:szCs w:val="28"/>
          <w:lang w:val="en-US"/>
        </w:rPr>
        <w:t>Evolution</w:t>
      </w:r>
      <w:r w:rsidRPr="006B4867">
        <w:rPr>
          <w:rFonts w:cstheme="minorHAnsi"/>
          <w:sz w:val="28"/>
          <w:szCs w:val="28"/>
          <w:lang w:val="en-US"/>
        </w:rPr>
        <w:t xml:space="preserve">.- 2008.- №1.- </w:t>
      </w:r>
      <w:r w:rsidRPr="006B4867">
        <w:rPr>
          <w:rFonts w:cstheme="minorHAnsi"/>
          <w:sz w:val="28"/>
          <w:szCs w:val="28"/>
        </w:rPr>
        <w:t>Р</w:t>
      </w:r>
      <w:r w:rsidRPr="006B4867">
        <w:rPr>
          <w:rFonts w:cstheme="minorHAnsi"/>
          <w:sz w:val="28"/>
          <w:szCs w:val="28"/>
          <w:lang w:val="en-US"/>
        </w:rPr>
        <w:t>. 103–110</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 xml:space="preserve">Bateman A. Structure and distribution of pentapeptide repeats in bacteria / A. Bateman, AG. Murzin, SA. Teichmann // Protein Sci.- 1998.- №7.- </w:t>
      </w:r>
      <w:r w:rsidRPr="006B4867">
        <w:rPr>
          <w:rFonts w:cstheme="minorHAnsi"/>
          <w:color w:val="000000" w:themeColor="text1"/>
          <w:sz w:val="28"/>
          <w:szCs w:val="28"/>
        </w:rPr>
        <w:t>Р</w:t>
      </w:r>
      <w:r w:rsidRPr="006B4867">
        <w:rPr>
          <w:rFonts w:cstheme="minorHAnsi"/>
          <w:color w:val="000000" w:themeColor="text1"/>
          <w:sz w:val="28"/>
          <w:szCs w:val="28"/>
          <w:lang w:val="en-US"/>
        </w:rPr>
        <w:t>. 1477–1480</w:t>
      </w:r>
      <w:r w:rsidRPr="006B4867">
        <w:rPr>
          <w:rFonts w:cstheme="minorHAnsi"/>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Boucher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HW</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Bad bugs, no drugs: no ESKAPE! An update from the Infectious Diseases Society of America / Boucher HW, Talbot GH, Bradley JS // Clin Infect Dis.- 2009.- №48-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.1–12</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Briales A.</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 xml:space="preserve">Prevalence of plasmid-mediated quinolone resistance determinants qnr and aac(6')-Ib-cr in Escherichia coli and Klebsiella pneumoniae producing extended-spectrum </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-lactamases in Spain</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 xml:space="preserve">Briales A, Rodríguez-Martínez JM, Velasco C, de Alba PD, Rodríguez-Baño </w:t>
      </w:r>
      <w:r w:rsidRPr="006B4867">
        <w:rPr>
          <w:rFonts w:ascii="Times New Roman" w:eastAsia="Times New Roman" w:hAnsi="Times New Roman" w:cs="Times New Roman"/>
          <w:color w:val="000000" w:themeColor="text1"/>
          <w:sz w:val="28"/>
          <w:szCs w:val="28"/>
          <w:lang w:val="en-US" w:eastAsia="ru-RU"/>
        </w:rPr>
        <w:lastRenderedPageBreak/>
        <w:t>J, Martínez-Martínez L, Pascual A</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Int J Antimicrob Agents 2012 May;39(5):431-4</w:t>
      </w:r>
      <w:r w:rsidRPr="006B4867">
        <w:rPr>
          <w:rFonts w:ascii="Times New Roman" w:eastAsia="Times New Roman" w:hAnsi="Times New Roman" w:cs="Times New Roman"/>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Briales A.</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 xml:space="preserve">Prevalence of plasmid-mediated quinolone resistance determinants qnr and aac(6')-Ib-cr in Escherichia coli and Klebsiella pneumoniae producing extended-spectrum </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-lactamases in Spain</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Briales A, Rodríguez-Martínez JM, Velasco C, de Alba PD, Rodríguez-Baño J, Martínez-Martínez L, Pascual A</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Int J Antimicrob Agents 2012 May;39(5):431-4.</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Brolund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Overview of ESBL</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producing Enterobacteriaceae from</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 Nordic perspective</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Brolund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color w:val="000000" w:themeColor="text1"/>
          <w:sz w:val="28"/>
          <w:szCs w:val="28"/>
          <w:lang w:val="en-US" w:eastAsia="ru-RU"/>
        </w:rPr>
        <w:t>Infect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Ecol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Epidemiol</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w:t>
      </w:r>
      <w:r w:rsidRPr="006B4867">
        <w:rPr>
          <w:rFonts w:eastAsia="Times New Roman" w:cstheme="minorHAnsi"/>
          <w:color w:val="000000" w:themeColor="text1"/>
          <w:sz w:val="28"/>
          <w:szCs w:val="28"/>
          <w:lang w:val="uk-UA" w:eastAsia="ru-RU"/>
        </w:rPr>
        <w:t xml:space="preserve">2014 </w:t>
      </w:r>
      <w:r w:rsidRPr="006B4867">
        <w:rPr>
          <w:rFonts w:eastAsia="Times New Roman" w:cstheme="minorHAnsi"/>
          <w:color w:val="000000" w:themeColor="text1"/>
          <w:sz w:val="28"/>
          <w:szCs w:val="28"/>
          <w:lang w:val="en-US" w:eastAsia="ru-RU"/>
        </w:rPr>
        <w:t>Oct</w:t>
      </w:r>
      <w:r w:rsidRPr="006B4867">
        <w:rPr>
          <w:rFonts w:eastAsia="Times New Roman" w:cstheme="minorHAnsi"/>
          <w:color w:val="000000" w:themeColor="text1"/>
          <w:sz w:val="28"/>
          <w:szCs w:val="28"/>
          <w:lang w:val="uk-UA" w:eastAsia="ru-RU"/>
        </w:rPr>
        <w:t xml:space="preserve"> 1;4.</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bdr w:val="none" w:sz="0" w:space="0" w:color="auto" w:frame="1"/>
          <w:lang w:val="en-US" w:eastAsia="ru-RU"/>
        </w:rPr>
        <w:t>Carattoli A</w:t>
      </w:r>
      <w:r w:rsidRPr="006B4867">
        <w:rPr>
          <w:rFonts w:eastAsia="Times New Roman" w:cstheme="minorHAnsi"/>
          <w:color w:val="000000" w:themeColor="text1"/>
          <w:sz w:val="28"/>
          <w:szCs w:val="28"/>
          <w:lang w:val="en-US" w:eastAsia="ru-RU"/>
        </w:rPr>
        <w:t>.</w:t>
      </w:r>
      <w:r w:rsidRPr="006B4867">
        <w:rPr>
          <w:rFonts w:eastAsia="Times New Roman" w:cstheme="minorHAnsi"/>
          <w:bCs/>
          <w:color w:val="000000" w:themeColor="text1"/>
          <w:kern w:val="36"/>
          <w:sz w:val="28"/>
          <w:szCs w:val="28"/>
          <w:lang w:val="en-US" w:eastAsia="ru-RU"/>
        </w:rPr>
        <w:t xml:space="preserve"> Plasmids in Gram negatives: molecular typing of resistance plasmids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color w:val="000000" w:themeColor="text1"/>
          <w:sz w:val="28"/>
          <w:szCs w:val="28"/>
          <w:lang w:val="en-US" w:eastAsia="ru-RU"/>
        </w:rPr>
        <w:t xml:space="preserve"> </w:t>
      </w:r>
      <w:r w:rsidRPr="006B4867">
        <w:rPr>
          <w:rFonts w:eastAsia="Times New Roman" w:cstheme="minorHAnsi"/>
          <w:color w:val="000000" w:themeColor="text1"/>
          <w:sz w:val="28"/>
          <w:szCs w:val="28"/>
          <w:bdr w:val="none" w:sz="0" w:space="0" w:color="auto" w:frame="1"/>
          <w:lang w:val="en-US" w:eastAsia="ru-RU"/>
        </w:rPr>
        <w:t>A</w:t>
      </w:r>
      <w:r w:rsidRPr="006B4867">
        <w:rPr>
          <w:rFonts w:eastAsia="Times New Roman" w:cstheme="minorHAnsi"/>
          <w:color w:val="000000" w:themeColor="text1"/>
          <w:sz w:val="28"/>
          <w:szCs w:val="28"/>
          <w:lang w:val="en-US" w:eastAsia="ru-RU"/>
        </w:rPr>
        <w: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bdr w:val="none" w:sz="0" w:space="0" w:color="auto" w:frame="1"/>
          <w:lang w:val="en-US" w:eastAsia="ru-RU"/>
        </w:rPr>
        <w:t xml:space="preserve">Carattoli </w:t>
      </w:r>
      <w:r w:rsidRPr="006B4867">
        <w:rPr>
          <w:rFonts w:eastAsia="Times New Roman" w:cstheme="minorHAnsi"/>
          <w:color w:val="000000" w:themeColor="text1"/>
          <w:sz w:val="28"/>
          <w:szCs w:val="28"/>
          <w:bdr w:val="none" w:sz="0" w:space="0" w:color="auto" w:frame="1"/>
          <w:lang w:val="uk-UA" w:eastAsia="ru-RU"/>
        </w:rPr>
        <w:t xml:space="preserve">// </w:t>
      </w:r>
      <w:r w:rsidRPr="006B4867">
        <w:rPr>
          <w:rFonts w:eastAsia="Times New Roman" w:cstheme="minorHAnsi"/>
          <w:color w:val="000000" w:themeColor="text1"/>
          <w:sz w:val="28"/>
          <w:szCs w:val="28"/>
          <w:lang w:val="en-US" w:eastAsia="ru-RU"/>
        </w:rPr>
        <w:t>Int J Med Microbiol.</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xml:space="preserve"> 2011</w:t>
      </w:r>
      <w:r w:rsidRPr="006B4867">
        <w:rPr>
          <w:rFonts w:eastAsia="Times New Roman" w:cstheme="minorHAnsi"/>
          <w:color w:val="000000" w:themeColor="text1"/>
          <w:sz w:val="28"/>
          <w:szCs w:val="28"/>
          <w:lang w:val="uk-UA" w:eastAsia="ru-RU"/>
        </w:rPr>
        <w:t>.- №</w:t>
      </w:r>
      <w:r w:rsidRPr="006B4867">
        <w:rPr>
          <w:rFonts w:eastAsia="Times New Roman" w:cstheme="minorHAnsi"/>
          <w:color w:val="000000" w:themeColor="text1"/>
          <w:sz w:val="28"/>
          <w:szCs w:val="28"/>
          <w:lang w:val="en-US" w:eastAsia="ru-RU"/>
        </w:rPr>
        <w:t xml:space="preserve"> 301(8)</w:t>
      </w:r>
      <w:r w:rsidRPr="006B4867">
        <w:rPr>
          <w:rFonts w:eastAsia="Times New Roman" w:cstheme="minorHAnsi"/>
          <w:color w:val="000000" w:themeColor="text1"/>
          <w:sz w:val="28"/>
          <w:szCs w:val="28"/>
          <w:lang w:val="uk-UA" w:eastAsia="ru-RU"/>
        </w:rPr>
        <w:t>.- Р. 654-658.</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bdr w:val="none" w:sz="0" w:space="0" w:color="auto" w:frame="1"/>
          <w:lang w:val="en-US" w:eastAsia="ru-RU"/>
        </w:rPr>
        <w:t>Carattoli A</w:t>
      </w:r>
      <w:r w:rsidRPr="006B4867">
        <w:rPr>
          <w:rFonts w:eastAsia="Times New Roman" w:cstheme="minorHAnsi"/>
          <w:color w:val="000000" w:themeColor="text1"/>
          <w:sz w:val="28"/>
          <w:szCs w:val="28"/>
          <w:lang w:val="en-US" w:eastAsia="ru-RU"/>
        </w:rPr>
        <w:t>.</w:t>
      </w:r>
      <w:r w:rsidRPr="006B4867">
        <w:rPr>
          <w:rFonts w:eastAsia="Times New Roman" w:cstheme="minorHAnsi"/>
          <w:bCs/>
          <w:color w:val="000000" w:themeColor="text1"/>
          <w:kern w:val="36"/>
          <w:sz w:val="28"/>
          <w:szCs w:val="28"/>
          <w:lang w:val="en-US" w:eastAsia="ru-RU"/>
        </w:rPr>
        <w:t xml:space="preserve"> Plasmids in Gram negatives: molecular typing of resistance plasmids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color w:val="000000" w:themeColor="text1"/>
          <w:sz w:val="28"/>
          <w:szCs w:val="28"/>
          <w:lang w:val="en-US" w:eastAsia="ru-RU"/>
        </w:rPr>
        <w:t xml:space="preserve"> </w:t>
      </w:r>
      <w:r w:rsidRPr="006B4867">
        <w:rPr>
          <w:rFonts w:eastAsia="Times New Roman" w:cstheme="minorHAnsi"/>
          <w:color w:val="000000" w:themeColor="text1"/>
          <w:sz w:val="28"/>
          <w:szCs w:val="28"/>
          <w:bdr w:val="none" w:sz="0" w:space="0" w:color="auto" w:frame="1"/>
          <w:lang w:val="en-US" w:eastAsia="ru-RU"/>
        </w:rPr>
        <w:t>A</w:t>
      </w:r>
      <w:r w:rsidRPr="006B4867">
        <w:rPr>
          <w:rFonts w:eastAsia="Times New Roman" w:cstheme="minorHAnsi"/>
          <w:color w:val="000000" w:themeColor="text1"/>
          <w:sz w:val="28"/>
          <w:szCs w:val="28"/>
          <w:lang w:val="en-US" w:eastAsia="ru-RU"/>
        </w:rPr>
        <w: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bdr w:val="none" w:sz="0" w:space="0" w:color="auto" w:frame="1"/>
          <w:lang w:val="en-US" w:eastAsia="ru-RU"/>
        </w:rPr>
        <w:t xml:space="preserve">Carattoli </w:t>
      </w:r>
      <w:r w:rsidRPr="006B4867">
        <w:rPr>
          <w:rFonts w:eastAsia="Times New Roman" w:cstheme="minorHAnsi"/>
          <w:color w:val="000000" w:themeColor="text1"/>
          <w:sz w:val="28"/>
          <w:szCs w:val="28"/>
          <w:bdr w:val="none" w:sz="0" w:space="0" w:color="auto" w:frame="1"/>
          <w:lang w:val="uk-UA" w:eastAsia="ru-RU"/>
        </w:rPr>
        <w:t xml:space="preserve">// </w:t>
      </w:r>
      <w:r w:rsidRPr="006B4867">
        <w:rPr>
          <w:rFonts w:eastAsia="Times New Roman" w:cstheme="minorHAnsi"/>
          <w:color w:val="000000" w:themeColor="text1"/>
          <w:sz w:val="28"/>
          <w:szCs w:val="28"/>
          <w:lang w:val="en-US" w:eastAsia="ru-RU"/>
        </w:rPr>
        <w:t>Int J Med Microbiol.</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xml:space="preserve"> 2011</w:t>
      </w:r>
      <w:r w:rsidRPr="006B4867">
        <w:rPr>
          <w:rFonts w:eastAsia="Times New Roman" w:cstheme="minorHAnsi"/>
          <w:color w:val="000000" w:themeColor="text1"/>
          <w:sz w:val="28"/>
          <w:szCs w:val="28"/>
          <w:lang w:val="uk-UA" w:eastAsia="ru-RU"/>
        </w:rPr>
        <w:t>.- №</w:t>
      </w:r>
      <w:r w:rsidRPr="006B4867">
        <w:rPr>
          <w:rFonts w:eastAsia="Times New Roman" w:cstheme="minorHAnsi"/>
          <w:color w:val="000000" w:themeColor="text1"/>
          <w:sz w:val="28"/>
          <w:szCs w:val="28"/>
          <w:lang w:val="en-US" w:eastAsia="ru-RU"/>
        </w:rPr>
        <w:t xml:space="preserve"> 301(8)</w:t>
      </w:r>
      <w:r w:rsidRPr="006B4867">
        <w:rPr>
          <w:rFonts w:eastAsia="Times New Roman" w:cstheme="minorHAnsi"/>
          <w:color w:val="000000" w:themeColor="text1"/>
          <w:sz w:val="28"/>
          <w:szCs w:val="28"/>
          <w:lang w:val="uk-UA" w:eastAsia="ru-RU"/>
        </w:rPr>
        <w:t>.- Р. 654-658.</w:t>
      </w:r>
    </w:p>
    <w:p w:rsidR="006B4867" w:rsidRPr="006B4867" w:rsidRDefault="006B4867" w:rsidP="006B4867">
      <w:pPr>
        <w:numPr>
          <w:ilvl w:val="0"/>
          <w:numId w:val="19"/>
        </w:numPr>
        <w:spacing w:line="360" w:lineRule="auto"/>
        <w:contextualSpacing/>
        <w:jc w:val="both"/>
        <w:rPr>
          <w:sz w:val="28"/>
          <w:szCs w:val="28"/>
          <w:lang w:val="uk-UA"/>
        </w:rPr>
      </w:pPr>
      <w:r w:rsidRPr="006B4867">
        <w:rPr>
          <w:color w:val="000000" w:themeColor="text1"/>
          <w:sz w:val="28"/>
          <w:szCs w:val="28"/>
          <w:lang w:val="en-US"/>
        </w:rPr>
        <w:t>Castanheira</w:t>
      </w:r>
      <w:r w:rsidRPr="006B4867">
        <w:rPr>
          <w:color w:val="000000" w:themeColor="text1"/>
          <w:sz w:val="28"/>
          <w:szCs w:val="28"/>
          <w:lang w:val="uk-UA"/>
        </w:rPr>
        <w:t xml:space="preserve"> </w:t>
      </w:r>
      <w:r w:rsidRPr="006B4867">
        <w:rPr>
          <w:color w:val="000000" w:themeColor="text1"/>
          <w:sz w:val="28"/>
          <w:szCs w:val="28"/>
          <w:lang w:val="en-US"/>
        </w:rPr>
        <w:t>M</w:t>
      </w:r>
      <w:r w:rsidRPr="006B4867">
        <w:rPr>
          <w:color w:val="000000" w:themeColor="text1"/>
          <w:sz w:val="28"/>
          <w:szCs w:val="28"/>
          <w:lang w:val="uk-UA"/>
        </w:rPr>
        <w:t xml:space="preserve">, </w:t>
      </w:r>
      <w:r w:rsidRPr="006B4867">
        <w:rPr>
          <w:color w:val="000000" w:themeColor="text1"/>
          <w:sz w:val="28"/>
          <w:szCs w:val="28"/>
          <w:lang w:val="en-US"/>
        </w:rPr>
        <w:t>Farrell</w:t>
      </w:r>
      <w:r w:rsidRPr="006B4867">
        <w:rPr>
          <w:color w:val="000000" w:themeColor="text1"/>
          <w:sz w:val="28"/>
          <w:szCs w:val="28"/>
          <w:lang w:val="uk-UA"/>
        </w:rPr>
        <w:t xml:space="preserve"> </w:t>
      </w:r>
      <w:r w:rsidRPr="006B4867">
        <w:rPr>
          <w:color w:val="000000" w:themeColor="text1"/>
          <w:sz w:val="28"/>
          <w:szCs w:val="28"/>
          <w:lang w:val="en-US"/>
        </w:rPr>
        <w:t>SE</w:t>
      </w:r>
      <w:r w:rsidRPr="006B4867">
        <w:rPr>
          <w:color w:val="000000" w:themeColor="text1"/>
          <w:sz w:val="28"/>
          <w:szCs w:val="28"/>
          <w:lang w:val="uk-UA"/>
        </w:rPr>
        <w:t xml:space="preserve">, </w:t>
      </w:r>
      <w:r w:rsidRPr="006B4867">
        <w:rPr>
          <w:color w:val="000000" w:themeColor="text1"/>
          <w:sz w:val="28"/>
          <w:szCs w:val="28"/>
          <w:lang w:val="en-US"/>
        </w:rPr>
        <w:t>Deshpande</w:t>
      </w:r>
      <w:r w:rsidRPr="006B4867">
        <w:rPr>
          <w:color w:val="000000" w:themeColor="text1"/>
          <w:sz w:val="28"/>
          <w:szCs w:val="28"/>
          <w:lang w:val="uk-UA"/>
        </w:rPr>
        <w:t xml:space="preserve"> </w:t>
      </w:r>
      <w:r w:rsidRPr="006B4867">
        <w:rPr>
          <w:color w:val="000000" w:themeColor="text1"/>
          <w:sz w:val="28"/>
          <w:szCs w:val="28"/>
          <w:lang w:val="en-US"/>
        </w:rPr>
        <w:t>LM</w:t>
      </w:r>
      <w:r w:rsidRPr="006B4867">
        <w:rPr>
          <w:color w:val="000000" w:themeColor="text1"/>
          <w:sz w:val="28"/>
          <w:szCs w:val="28"/>
          <w:lang w:val="uk-UA"/>
        </w:rPr>
        <w:t xml:space="preserve">, </w:t>
      </w:r>
      <w:r w:rsidRPr="006B4867">
        <w:rPr>
          <w:color w:val="000000" w:themeColor="text1"/>
          <w:sz w:val="28"/>
          <w:szCs w:val="28"/>
          <w:lang w:val="en-US"/>
        </w:rPr>
        <w:t>Mendes</w:t>
      </w:r>
      <w:r w:rsidRPr="006B4867">
        <w:rPr>
          <w:color w:val="000000" w:themeColor="text1"/>
          <w:sz w:val="28"/>
          <w:szCs w:val="28"/>
          <w:lang w:val="uk-UA"/>
        </w:rPr>
        <w:t xml:space="preserve"> </w:t>
      </w:r>
      <w:r w:rsidRPr="006B4867">
        <w:rPr>
          <w:color w:val="000000" w:themeColor="text1"/>
          <w:sz w:val="28"/>
          <w:szCs w:val="28"/>
          <w:lang w:val="en-US"/>
        </w:rPr>
        <w:t>RE</w:t>
      </w:r>
      <w:r w:rsidRPr="006B4867">
        <w:rPr>
          <w:color w:val="000000" w:themeColor="text1"/>
          <w:sz w:val="28"/>
          <w:szCs w:val="28"/>
          <w:lang w:val="uk-UA"/>
        </w:rPr>
        <w:t xml:space="preserve">, </w:t>
      </w:r>
      <w:r w:rsidRPr="006B4867">
        <w:rPr>
          <w:color w:val="000000" w:themeColor="text1"/>
          <w:sz w:val="28"/>
          <w:szCs w:val="28"/>
          <w:lang w:val="en-US"/>
        </w:rPr>
        <w:t>Jones</w:t>
      </w:r>
      <w:r w:rsidRPr="006B4867">
        <w:rPr>
          <w:color w:val="000000" w:themeColor="text1"/>
          <w:sz w:val="28"/>
          <w:szCs w:val="28"/>
          <w:lang w:val="uk-UA"/>
        </w:rPr>
        <w:t xml:space="preserve"> </w:t>
      </w:r>
      <w:r w:rsidRPr="006B4867">
        <w:rPr>
          <w:color w:val="000000" w:themeColor="text1"/>
          <w:sz w:val="28"/>
          <w:szCs w:val="28"/>
          <w:lang w:val="en-US"/>
        </w:rPr>
        <w:t>RN</w:t>
      </w:r>
      <w:r w:rsidRPr="006B4867">
        <w:rPr>
          <w:color w:val="000000" w:themeColor="text1"/>
          <w:sz w:val="28"/>
          <w:szCs w:val="28"/>
          <w:lang w:val="uk-UA"/>
        </w:rPr>
        <w:t xml:space="preserve">. </w:t>
      </w:r>
      <w:r w:rsidRPr="006B4867">
        <w:rPr>
          <w:color w:val="000000" w:themeColor="text1"/>
          <w:sz w:val="28"/>
          <w:szCs w:val="28"/>
          <w:lang w:val="en-US"/>
        </w:rPr>
        <w:t>Prevalence of beta-lactamase-encoding genes among Enterobacteriaceae bacteremia isolates collected in 26 U.S. hospitals: report from the SENTRY Antimicrobial Surveillance Program (2010). Antimicrob Agents Chemother 2013; 57.</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Curello</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J.</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Beyond Susceptible and Resistant</w:t>
      </w:r>
      <w:r w:rsidRPr="006B4867">
        <w:rPr>
          <w:rFonts w:cstheme="minorHAnsi"/>
          <w:color w:val="000000" w:themeColor="text1"/>
          <w:sz w:val="28"/>
          <w:szCs w:val="28"/>
          <w:lang w:val="uk-UA"/>
        </w:rPr>
        <w:t>,</w:t>
      </w:r>
      <w:r w:rsidRPr="006B4867">
        <w:rPr>
          <w:rFonts w:cstheme="minorHAnsi"/>
          <w:color w:val="000000" w:themeColor="text1"/>
          <w:sz w:val="28"/>
          <w:szCs w:val="28"/>
          <w:lang w:val="en-US"/>
        </w:rPr>
        <w:t> Part II</w:t>
      </w:r>
      <w:r w:rsidRPr="006B4867">
        <w:rPr>
          <w:rFonts w:cstheme="minorHAnsi"/>
          <w:color w:val="000000" w:themeColor="text1"/>
          <w:sz w:val="28"/>
          <w:szCs w:val="28"/>
          <w:lang w:val="uk-UA"/>
        </w:rPr>
        <w:t>:</w:t>
      </w:r>
      <w:r w:rsidRPr="006B4867">
        <w:rPr>
          <w:rFonts w:cstheme="minorHAnsi"/>
          <w:color w:val="000000" w:themeColor="text1"/>
          <w:sz w:val="28"/>
          <w:szCs w:val="28"/>
          <w:lang w:val="en-US"/>
        </w:rPr>
        <w:t> Treatment of Infections Due</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to Gram</w:t>
      </w:r>
      <w:r w:rsidRPr="006B4867">
        <w:rPr>
          <w:rFonts w:cstheme="minorHAnsi"/>
          <w:color w:val="000000" w:themeColor="text1"/>
          <w:sz w:val="28"/>
          <w:szCs w:val="28"/>
          <w:lang w:val="uk-UA"/>
        </w:rPr>
        <w:t>-</w:t>
      </w:r>
      <w:r w:rsidRPr="006B4867">
        <w:rPr>
          <w:rFonts w:cstheme="minorHAnsi"/>
          <w:color w:val="000000" w:themeColor="text1"/>
          <w:sz w:val="28"/>
          <w:szCs w:val="28"/>
          <w:lang w:val="en-US"/>
        </w:rPr>
        <w:t>NegativeOrganisms Producing Extended</w:t>
      </w:r>
      <w:r w:rsidRPr="006B4867">
        <w:rPr>
          <w:rFonts w:cstheme="minorHAnsi"/>
          <w:color w:val="000000" w:themeColor="text1"/>
          <w:sz w:val="28"/>
          <w:szCs w:val="28"/>
          <w:lang w:val="uk-UA"/>
        </w:rPr>
        <w:t>-</w:t>
      </w:r>
      <w:r w:rsidRPr="006B4867">
        <w:rPr>
          <w:rFonts w:cstheme="minorHAnsi"/>
          <w:color w:val="000000" w:themeColor="text1"/>
          <w:sz w:val="28"/>
          <w:szCs w:val="28"/>
          <w:lang w:val="en-US"/>
        </w:rPr>
        <w:t>Spectrum </w:t>
      </w:r>
      <w:r w:rsidRPr="006B4867">
        <w:rPr>
          <w:rFonts w:cstheme="minorHAnsi"/>
          <w:color w:val="000000" w:themeColor="text1"/>
          <w:sz w:val="28"/>
          <w:szCs w:val="28"/>
        </w:rPr>
        <w:t>β</w:t>
      </w:r>
      <w:r w:rsidRPr="006B4867">
        <w:rPr>
          <w:rFonts w:cstheme="minorHAnsi"/>
          <w:color w:val="000000" w:themeColor="text1"/>
          <w:sz w:val="28"/>
          <w:szCs w:val="28"/>
          <w:lang w:val="uk-UA"/>
        </w:rPr>
        <w:t>-</w:t>
      </w:r>
      <w:r w:rsidRPr="006B4867">
        <w:rPr>
          <w:rFonts w:cstheme="minorHAnsi"/>
          <w:color w:val="000000" w:themeColor="text1"/>
          <w:sz w:val="28"/>
          <w:szCs w:val="28"/>
          <w:lang w:val="en-US"/>
        </w:rPr>
        <w:t xml:space="preserve">Lactamases </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Curello</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J</w:t>
      </w:r>
      <w:r w:rsidRPr="006B4867">
        <w:rPr>
          <w:rFonts w:cstheme="minorHAnsi"/>
          <w:color w:val="000000" w:themeColor="text1"/>
          <w:sz w:val="28"/>
          <w:szCs w:val="28"/>
          <w:lang w:val="uk-UA"/>
        </w:rPr>
        <w:t>,</w:t>
      </w:r>
      <w:r w:rsidRPr="006B4867">
        <w:rPr>
          <w:rFonts w:cstheme="minorHAnsi"/>
          <w:color w:val="000000" w:themeColor="text1"/>
          <w:sz w:val="28"/>
          <w:szCs w:val="28"/>
          <w:lang w:val="en-US"/>
        </w:rPr>
        <w:t> MacDougall</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C</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J</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Pediatr</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Pharmacol</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Ther</w:t>
      </w:r>
      <w:r w:rsidRPr="006B4867">
        <w:rPr>
          <w:rFonts w:cstheme="minorHAnsi"/>
          <w:color w:val="000000" w:themeColor="text1"/>
          <w:sz w:val="28"/>
          <w:szCs w:val="28"/>
          <w:lang w:val="uk-UA"/>
        </w:rPr>
        <w:t xml:space="preserve">. 2014 </w:t>
      </w:r>
      <w:r w:rsidRPr="006B4867">
        <w:rPr>
          <w:rFonts w:cstheme="minorHAnsi"/>
          <w:color w:val="000000" w:themeColor="text1"/>
          <w:sz w:val="28"/>
          <w:szCs w:val="28"/>
          <w:lang w:val="en-US"/>
        </w:rPr>
        <w:t>Jul</w:t>
      </w:r>
      <w:r w:rsidRPr="006B4867">
        <w:rPr>
          <w:rFonts w:cstheme="minorHAnsi"/>
          <w:color w:val="000000" w:themeColor="text1"/>
          <w:sz w:val="28"/>
          <w:szCs w:val="28"/>
          <w:lang w:val="uk-UA"/>
        </w:rPr>
        <w:t>;19(3):156-64.</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bdr w:val="none" w:sz="0" w:space="0" w:color="auto" w:frame="1"/>
          <w:lang w:val="en-US" w:eastAsia="ru-RU"/>
        </w:rPr>
        <w:t>Dalhoff A</w:t>
      </w:r>
      <w:r w:rsidRPr="006B4867">
        <w:rPr>
          <w:rFonts w:ascii="Times New Roman" w:eastAsia="Times New Roman" w:hAnsi="Times New Roman" w:cs="Times New Roman"/>
          <w:color w:val="000000" w:themeColor="text1"/>
          <w:sz w:val="28"/>
          <w:szCs w:val="28"/>
          <w:lang w:val="en-US" w:eastAsia="ru-RU"/>
        </w:rPr>
        <w:t>.</w:t>
      </w:r>
      <w:r w:rsidRPr="006B4867">
        <w:rPr>
          <w:rFonts w:ascii="Times New Roman" w:eastAsia="Times New Roman" w:hAnsi="Times New Roman" w:cs="Times New Roman"/>
          <w:bCs/>
          <w:color w:val="000000" w:themeColor="text1"/>
          <w:kern w:val="36"/>
          <w:sz w:val="28"/>
          <w:szCs w:val="28"/>
          <w:bdr w:val="none" w:sz="0" w:space="0" w:color="auto" w:frame="1"/>
          <w:lang w:val="en-US" w:eastAsia="ru-RU"/>
        </w:rPr>
        <w:t xml:space="preserve"> Resistance</w:t>
      </w:r>
      <w:r w:rsidRPr="006B4867">
        <w:rPr>
          <w:rFonts w:ascii="Times New Roman" w:eastAsia="Times New Roman" w:hAnsi="Times New Roman" w:cs="Times New Roman"/>
          <w:bCs/>
          <w:color w:val="000000" w:themeColor="text1"/>
          <w:kern w:val="36"/>
          <w:sz w:val="28"/>
          <w:szCs w:val="28"/>
          <w:lang w:val="en-US" w:eastAsia="ru-RU"/>
        </w:rPr>
        <w:t> surveillance studies: a multifaceted problem--the fluoroquinolone example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A</w:t>
      </w:r>
      <w:r w:rsidRPr="006B4867">
        <w:rPr>
          <w:rFonts w:ascii="Times New Roman" w:eastAsia="Times New Roman" w:hAnsi="Times New Roman" w:cs="Times New Roman"/>
          <w:color w:val="000000" w:themeColor="text1"/>
          <w:sz w:val="28"/>
          <w:szCs w:val="28"/>
          <w:lang w:val="en-US" w:eastAsia="ru-RU"/>
        </w:rPr>
        <w:t>.</w:t>
      </w:r>
      <w:r w:rsidRPr="006B4867">
        <w:rPr>
          <w:rFonts w:ascii="Times New Roman" w:eastAsia="Times New Roman" w:hAnsi="Times New Roman" w:cs="Times New Roman"/>
          <w:bCs/>
          <w:color w:val="000000" w:themeColor="text1"/>
          <w:kern w:val="36"/>
          <w:sz w:val="28"/>
          <w:szCs w:val="28"/>
          <w:bdr w:val="none" w:sz="0" w:space="0" w:color="auto" w:frame="1"/>
          <w:lang w:val="en-US"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 xml:space="preserve">Dalhoff </w:t>
      </w:r>
      <w:r w:rsidRPr="006B4867">
        <w:rPr>
          <w:rFonts w:ascii="Times New Roman" w:eastAsia="Times New Roman" w:hAnsi="Times New Roman" w:cs="Times New Roman"/>
          <w:color w:val="000000" w:themeColor="text1"/>
          <w:sz w:val="28"/>
          <w:szCs w:val="28"/>
          <w:bdr w:val="none" w:sz="0" w:space="0" w:color="auto" w:frame="1"/>
          <w:lang w:val="uk-UA" w:eastAsia="ru-RU"/>
        </w:rPr>
        <w:t xml:space="preserve">// </w:t>
      </w:r>
      <w:r w:rsidRPr="006B4867">
        <w:rPr>
          <w:rFonts w:ascii="Times New Roman" w:eastAsia="Times New Roman" w:hAnsi="Times New Roman" w:cs="Times New Roman"/>
          <w:color w:val="000000" w:themeColor="text1"/>
          <w:sz w:val="28"/>
          <w:szCs w:val="28"/>
          <w:lang w:val="en-US" w:eastAsia="ru-RU"/>
        </w:rPr>
        <w:t>Infection</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xml:space="preserve"> 2012</w:t>
      </w:r>
      <w:r w:rsidRPr="006B4867">
        <w:rPr>
          <w:rFonts w:ascii="Times New Roman" w:eastAsia="Times New Roman" w:hAnsi="Times New Roman" w:cs="Times New Roman"/>
          <w:color w:val="000000" w:themeColor="text1"/>
          <w:sz w:val="28"/>
          <w:szCs w:val="28"/>
          <w:lang w:val="uk-UA" w:eastAsia="ru-RU"/>
        </w:rPr>
        <w:t>.- №</w:t>
      </w:r>
      <w:r w:rsidRPr="006B4867">
        <w:rPr>
          <w:rFonts w:ascii="Times New Roman" w:eastAsia="Times New Roman" w:hAnsi="Times New Roman" w:cs="Times New Roman"/>
          <w:color w:val="000000" w:themeColor="text1"/>
          <w:sz w:val="28"/>
          <w:szCs w:val="28"/>
          <w:lang w:val="en-US" w:eastAsia="ru-RU"/>
        </w:rPr>
        <w:t>40(3)</w:t>
      </w:r>
      <w:r w:rsidRPr="006B4867">
        <w:rPr>
          <w:rFonts w:ascii="Times New Roman" w:eastAsia="Times New Roman" w:hAnsi="Times New Roman" w:cs="Times New Roman"/>
          <w:color w:val="000000" w:themeColor="text1"/>
          <w:sz w:val="28"/>
          <w:szCs w:val="28"/>
          <w:lang w:val="uk-UA" w:eastAsia="ru-RU"/>
        </w:rPr>
        <w:t xml:space="preserve">.- Р. </w:t>
      </w:r>
      <w:r w:rsidRPr="006B4867">
        <w:rPr>
          <w:rFonts w:ascii="Times New Roman" w:eastAsia="Times New Roman" w:hAnsi="Times New Roman" w:cs="Times New Roman"/>
          <w:color w:val="000000" w:themeColor="text1"/>
          <w:sz w:val="28"/>
          <w:szCs w:val="28"/>
          <w:lang w:val="en-US" w:eastAsia="ru-RU"/>
        </w:rPr>
        <w:t>239-</w:t>
      </w:r>
      <w:r w:rsidRPr="006B4867">
        <w:rPr>
          <w:rFonts w:ascii="Times New Roman" w:eastAsia="Times New Roman" w:hAnsi="Times New Roman" w:cs="Times New Roman"/>
          <w:color w:val="000000" w:themeColor="text1"/>
          <w:sz w:val="28"/>
          <w:szCs w:val="28"/>
          <w:lang w:val="uk-UA" w:eastAsia="ru-RU"/>
        </w:rPr>
        <w:t>2</w:t>
      </w:r>
      <w:r w:rsidRPr="006B4867">
        <w:rPr>
          <w:rFonts w:ascii="Times New Roman" w:eastAsia="Times New Roman" w:hAnsi="Times New Roman" w:cs="Times New Roman"/>
          <w:color w:val="000000" w:themeColor="text1"/>
          <w:sz w:val="28"/>
          <w:szCs w:val="28"/>
          <w:lang w:val="en-US" w:eastAsia="ru-RU"/>
        </w:rPr>
        <w:t>62</w:t>
      </w:r>
      <w:r w:rsidRPr="006B4867">
        <w:rPr>
          <w:rFonts w:ascii="Times New Roman" w:eastAsia="Times New Roman" w:hAnsi="Times New Roman" w:cs="Times New Roman"/>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bdr w:val="none" w:sz="0" w:space="0" w:color="auto" w:frame="1"/>
          <w:lang w:val="en-US" w:eastAsia="ru-RU"/>
        </w:rPr>
        <w:lastRenderedPageBreak/>
        <w:t>Dalhoff</w:t>
      </w:r>
      <w:r w:rsidRPr="006B4867">
        <w:rPr>
          <w:rFonts w:ascii="Times New Roman" w:eastAsia="Times New Roman" w:hAnsi="Times New Roman" w:cs="Times New Roman"/>
          <w:color w:val="000000" w:themeColor="text1"/>
          <w:sz w:val="28"/>
          <w:szCs w:val="28"/>
          <w:bdr w:val="none" w:sz="0" w:space="0" w:color="auto" w:frame="1"/>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A</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bdr w:val="none" w:sz="0" w:space="0" w:color="auto" w:frame="1"/>
          <w:lang w:val="uk-UA" w:eastAsia="ru-RU"/>
        </w:rPr>
        <w:t xml:space="preserve"> </w:t>
      </w:r>
      <w:r w:rsidRPr="006B4867">
        <w:rPr>
          <w:rFonts w:ascii="Times New Roman" w:eastAsia="Times New Roman" w:hAnsi="Times New Roman" w:cs="Times New Roman"/>
          <w:bCs/>
          <w:color w:val="000000" w:themeColor="text1"/>
          <w:kern w:val="36"/>
          <w:sz w:val="28"/>
          <w:szCs w:val="28"/>
          <w:bdr w:val="none" w:sz="0" w:space="0" w:color="auto" w:frame="1"/>
          <w:lang w:val="en-US" w:eastAsia="ru-RU"/>
        </w:rPr>
        <w:t>Resistance</w:t>
      </w:r>
      <w:r w:rsidRPr="006B4867">
        <w:rPr>
          <w:rFonts w:ascii="Times New Roman" w:eastAsia="Times New Roman" w:hAnsi="Times New Roman" w:cs="Times New Roman"/>
          <w:bCs/>
          <w:color w:val="000000" w:themeColor="text1"/>
          <w:kern w:val="36"/>
          <w:sz w:val="28"/>
          <w:szCs w:val="28"/>
          <w:lang w:val="en-US" w:eastAsia="ru-RU"/>
        </w:rPr>
        <w:t> surveillance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studies</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a</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multifaceted</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problem</w:t>
      </w:r>
      <w:r w:rsidRPr="006B4867">
        <w:rPr>
          <w:rFonts w:ascii="Times New Roman" w:eastAsia="Times New Roman" w:hAnsi="Times New Roman" w:cs="Times New Roman"/>
          <w:bCs/>
          <w:color w:val="000000" w:themeColor="text1"/>
          <w:kern w:val="36"/>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the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fluoroquinolone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example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A</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bdr w:val="none" w:sz="0" w:space="0" w:color="auto" w:frame="1"/>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Dalhoff</w:t>
      </w:r>
      <w:r w:rsidRPr="006B4867">
        <w:rPr>
          <w:rFonts w:ascii="Times New Roman" w:eastAsia="Times New Roman" w:hAnsi="Times New Roman" w:cs="Times New Roman"/>
          <w:color w:val="000000" w:themeColor="text1"/>
          <w:sz w:val="28"/>
          <w:szCs w:val="28"/>
          <w:bdr w:val="none" w:sz="0" w:space="0" w:color="auto" w:frame="1"/>
          <w:lang w:val="uk-UA" w:eastAsia="ru-RU"/>
        </w:rPr>
        <w:t xml:space="preserve"> // </w:t>
      </w:r>
      <w:r w:rsidRPr="006B4867">
        <w:rPr>
          <w:rFonts w:ascii="Times New Roman" w:eastAsia="Times New Roman" w:hAnsi="Times New Roman" w:cs="Times New Roman"/>
          <w:color w:val="000000" w:themeColor="text1"/>
          <w:sz w:val="28"/>
          <w:szCs w:val="28"/>
          <w:lang w:val="en-US" w:eastAsia="ru-RU"/>
        </w:rPr>
        <w:t>Infection</w:t>
      </w:r>
      <w:r w:rsidRPr="006B4867">
        <w:rPr>
          <w:rFonts w:ascii="Times New Roman" w:eastAsia="Times New Roman" w:hAnsi="Times New Roman" w:cs="Times New Roman"/>
          <w:color w:val="000000" w:themeColor="text1"/>
          <w:sz w:val="28"/>
          <w:szCs w:val="28"/>
          <w:lang w:val="uk-UA" w:eastAsia="ru-RU"/>
        </w:rPr>
        <w:t>. – 2012. - №40(3). – Р. 239-262.</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bCs/>
          <w:sz w:val="28"/>
          <w:szCs w:val="28"/>
          <w:lang w:val="en-US"/>
        </w:rPr>
        <w:t xml:space="preserve">Dalhoff </w:t>
      </w:r>
      <w:r w:rsidRPr="006B4867">
        <w:rPr>
          <w:rFonts w:cstheme="minorHAnsi"/>
          <w:bCs/>
          <w:sz w:val="28"/>
          <w:szCs w:val="28"/>
        </w:rPr>
        <w:t>А</w:t>
      </w:r>
      <w:r w:rsidRPr="006B4867">
        <w:rPr>
          <w:rFonts w:cstheme="minorHAnsi"/>
          <w:bCs/>
          <w:sz w:val="28"/>
          <w:szCs w:val="28"/>
          <w:lang w:val="en-US"/>
        </w:rPr>
        <w:t xml:space="preserve">. Global Fluoroquinolone Resistance Epidemiology and Implictions for Clinical Use / </w:t>
      </w:r>
      <w:r w:rsidRPr="006B4867">
        <w:rPr>
          <w:rFonts w:cstheme="minorHAnsi"/>
          <w:bCs/>
          <w:sz w:val="28"/>
          <w:szCs w:val="28"/>
        </w:rPr>
        <w:t>А</w:t>
      </w:r>
      <w:r w:rsidRPr="006B4867">
        <w:rPr>
          <w:rFonts w:cstheme="minorHAnsi"/>
          <w:bCs/>
          <w:sz w:val="28"/>
          <w:szCs w:val="28"/>
          <w:lang w:val="en-US"/>
        </w:rPr>
        <w:t xml:space="preserve">. Dalhoff // </w:t>
      </w:r>
      <w:r w:rsidRPr="006B4867">
        <w:rPr>
          <w:rFonts w:cstheme="minorHAnsi"/>
          <w:sz w:val="28"/>
          <w:szCs w:val="28"/>
          <w:lang w:val="en-US"/>
        </w:rPr>
        <w:t xml:space="preserve">Interdisciplinary Perspectives on Infectious Diseases. - 2012. - № ID 976273. - </w:t>
      </w:r>
      <w:r w:rsidRPr="006B4867">
        <w:rPr>
          <w:rFonts w:cstheme="minorHAnsi"/>
          <w:sz w:val="28"/>
          <w:szCs w:val="28"/>
        </w:rPr>
        <w:t>Р</w:t>
      </w:r>
      <w:r w:rsidRPr="006B4867">
        <w:rPr>
          <w:rFonts w:cstheme="minorHAnsi"/>
          <w:sz w:val="28"/>
          <w:szCs w:val="28"/>
          <w:lang w:val="en-US"/>
        </w:rPr>
        <w:t>. 1-37</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Denys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GA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Antimicrobial susceptibility among gram-negative isolates collected in the USA between 2005 and 2011 as part of the Tigecycline Evaluation and Surveillance Trial (T.E.S.T.) / Denys GA, Callister SM, Dowzicky MJ // Ann Clin Microbiol Antimicrob.- 2013.- № 5.-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12-24</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Eftekhar F</w:t>
      </w:r>
      <w:r w:rsidRPr="006B4867">
        <w:rPr>
          <w:rFonts w:cstheme="minorHAnsi"/>
          <w:color w:val="000000"/>
          <w:sz w:val="28"/>
          <w:szCs w:val="28"/>
          <w:lang w:val="uk-UA"/>
        </w:rPr>
        <w:t>.</w:t>
      </w:r>
      <w:r w:rsidRPr="006B4867">
        <w:rPr>
          <w:rFonts w:cstheme="minorHAnsi"/>
          <w:color w:val="000000"/>
          <w:sz w:val="28"/>
          <w:szCs w:val="28"/>
          <w:lang w:val="en-US"/>
        </w:rPr>
        <w:t xml:space="preserve"> Detection of Extended Spectrum B-Lactamases in Urinary Isolates of Klebsiella pneumoniae in Relation to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SHV</w:t>
      </w:r>
      <w:r w:rsidRPr="006B4867">
        <w:rPr>
          <w:rFonts w:cstheme="minorHAnsi"/>
          <w:color w:val="000000"/>
          <w:sz w:val="28"/>
          <w:szCs w:val="28"/>
          <w:lang w:val="en-US"/>
        </w:rPr>
        <w:t>,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TEM</w:t>
      </w:r>
      <w:r w:rsidRPr="006B4867">
        <w:rPr>
          <w:rFonts w:cstheme="minorHAnsi"/>
          <w:color w:val="000000"/>
          <w:sz w:val="28"/>
          <w:szCs w:val="28"/>
          <w:lang w:val="en-US"/>
        </w:rPr>
        <w:t> and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CTX-M</w:t>
      </w:r>
      <w:r w:rsidRPr="006B4867">
        <w:rPr>
          <w:rFonts w:cstheme="minorHAnsi"/>
          <w:color w:val="000000"/>
          <w:sz w:val="28"/>
          <w:szCs w:val="28"/>
          <w:lang w:val="en-US"/>
        </w:rPr>
        <w:t> Gene Carriage</w:t>
      </w:r>
      <w:r w:rsidRPr="006B4867">
        <w:rPr>
          <w:rFonts w:cstheme="minorHAnsi"/>
          <w:color w:val="000000"/>
          <w:sz w:val="28"/>
          <w:szCs w:val="28"/>
          <w:lang w:val="uk-UA"/>
        </w:rPr>
        <w:t xml:space="preserve"> / </w:t>
      </w:r>
      <w:r w:rsidRPr="006B4867">
        <w:rPr>
          <w:rFonts w:cstheme="minorHAnsi"/>
          <w:color w:val="000000"/>
          <w:sz w:val="28"/>
          <w:szCs w:val="28"/>
          <w:lang w:val="en-US"/>
        </w:rPr>
        <w:t>Eftekhar F, Rastegar M, Golalipoor M, Mansoursamaei N</w:t>
      </w:r>
      <w:r w:rsidRPr="006B4867">
        <w:rPr>
          <w:rFonts w:cstheme="minorHAnsi"/>
          <w:color w:val="000000"/>
          <w:sz w:val="28"/>
          <w:szCs w:val="28"/>
          <w:lang w:val="uk-UA"/>
        </w:rPr>
        <w:t xml:space="preserve"> // </w:t>
      </w:r>
      <w:r w:rsidRPr="006B4867">
        <w:rPr>
          <w:rFonts w:cstheme="minorHAnsi"/>
          <w:color w:val="000000"/>
          <w:sz w:val="28"/>
          <w:szCs w:val="28"/>
          <w:lang w:val="en-US"/>
        </w:rPr>
        <w:t>Iran</w:t>
      </w:r>
      <w:r w:rsidRPr="006B4867">
        <w:rPr>
          <w:rFonts w:cstheme="minorHAnsi"/>
          <w:color w:val="000000"/>
          <w:sz w:val="28"/>
          <w:szCs w:val="28"/>
          <w:lang w:val="uk-UA"/>
        </w:rPr>
        <w:t xml:space="preserve"> </w:t>
      </w:r>
      <w:r w:rsidRPr="006B4867">
        <w:rPr>
          <w:rFonts w:cstheme="minorHAnsi"/>
          <w:color w:val="000000"/>
          <w:sz w:val="28"/>
          <w:szCs w:val="28"/>
          <w:lang w:val="en-US"/>
        </w:rPr>
        <w:t>J</w:t>
      </w:r>
      <w:r w:rsidRPr="006B4867">
        <w:rPr>
          <w:rFonts w:cstheme="minorHAnsi"/>
          <w:color w:val="000000"/>
          <w:sz w:val="28"/>
          <w:szCs w:val="28"/>
          <w:lang w:val="uk-UA"/>
        </w:rPr>
        <w:t xml:space="preserve"> </w:t>
      </w:r>
      <w:r w:rsidRPr="006B4867">
        <w:rPr>
          <w:rFonts w:cstheme="minorHAnsi"/>
          <w:color w:val="000000"/>
          <w:sz w:val="28"/>
          <w:szCs w:val="28"/>
          <w:lang w:val="en-US"/>
        </w:rPr>
        <w:t>Public</w:t>
      </w:r>
      <w:r w:rsidRPr="006B4867">
        <w:rPr>
          <w:rFonts w:cstheme="minorHAnsi"/>
          <w:color w:val="000000"/>
          <w:sz w:val="28"/>
          <w:szCs w:val="28"/>
          <w:lang w:val="uk-UA"/>
        </w:rPr>
        <w:t xml:space="preserve"> </w:t>
      </w:r>
      <w:r w:rsidRPr="006B4867">
        <w:rPr>
          <w:rFonts w:cstheme="minorHAnsi"/>
          <w:color w:val="000000"/>
          <w:sz w:val="28"/>
          <w:szCs w:val="28"/>
          <w:lang w:val="en-US"/>
        </w:rPr>
        <w:t>Health</w:t>
      </w:r>
      <w:r w:rsidRPr="006B4867">
        <w:rPr>
          <w:rFonts w:cstheme="minorHAnsi"/>
          <w:color w:val="000000"/>
          <w:sz w:val="28"/>
          <w:szCs w:val="28"/>
          <w:lang w:val="uk-UA"/>
        </w:rPr>
        <w:t>.</w:t>
      </w:r>
      <w:r w:rsidRPr="006B4867">
        <w:rPr>
          <w:rFonts w:cstheme="minorHAnsi"/>
          <w:color w:val="000000"/>
          <w:sz w:val="28"/>
          <w:szCs w:val="28"/>
          <w:lang w:val="en-US"/>
        </w:rPr>
        <w:t> 2012;41(3):127-32. Epub 2012 Mar 31.</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Eftekhar</w:t>
      </w:r>
      <w:r w:rsidRPr="006B4867">
        <w:rPr>
          <w:rFonts w:cstheme="minorHAnsi"/>
          <w:color w:val="000000"/>
          <w:sz w:val="28"/>
          <w:szCs w:val="28"/>
          <w:lang w:val="uk-UA"/>
        </w:rPr>
        <w:t xml:space="preserve"> </w:t>
      </w:r>
      <w:r w:rsidRPr="006B4867">
        <w:rPr>
          <w:rFonts w:cstheme="minorHAnsi"/>
          <w:color w:val="000000"/>
          <w:sz w:val="28"/>
          <w:szCs w:val="28"/>
          <w:lang w:val="en-US"/>
        </w:rPr>
        <w:t>F</w:t>
      </w:r>
      <w:r w:rsidRPr="006B4867">
        <w:rPr>
          <w:rFonts w:cstheme="minorHAnsi"/>
          <w:color w:val="000000"/>
          <w:sz w:val="28"/>
          <w:szCs w:val="28"/>
          <w:lang w:val="uk-UA"/>
        </w:rPr>
        <w:t xml:space="preserve">. </w:t>
      </w:r>
      <w:r w:rsidRPr="006B4867">
        <w:rPr>
          <w:rFonts w:cstheme="minorHAnsi"/>
          <w:color w:val="000000"/>
          <w:sz w:val="28"/>
          <w:szCs w:val="28"/>
          <w:lang w:val="en-US"/>
        </w:rPr>
        <w:t>Detection</w:t>
      </w:r>
      <w:r w:rsidRPr="006B4867">
        <w:rPr>
          <w:rFonts w:cstheme="minorHAnsi"/>
          <w:color w:val="000000"/>
          <w:sz w:val="28"/>
          <w:szCs w:val="28"/>
          <w:lang w:val="uk-UA"/>
        </w:rPr>
        <w:t xml:space="preserve"> </w:t>
      </w:r>
      <w:r w:rsidRPr="006B4867">
        <w:rPr>
          <w:rFonts w:cstheme="minorHAnsi"/>
          <w:color w:val="000000"/>
          <w:sz w:val="28"/>
          <w:szCs w:val="28"/>
          <w:lang w:val="en-US"/>
        </w:rPr>
        <w:t>of</w:t>
      </w:r>
      <w:r w:rsidRPr="006B4867">
        <w:rPr>
          <w:rFonts w:cstheme="minorHAnsi"/>
          <w:color w:val="000000"/>
          <w:sz w:val="28"/>
          <w:szCs w:val="28"/>
          <w:lang w:val="uk-UA"/>
        </w:rPr>
        <w:t xml:space="preserve"> </w:t>
      </w:r>
      <w:r w:rsidRPr="006B4867">
        <w:rPr>
          <w:rFonts w:cstheme="minorHAnsi"/>
          <w:color w:val="000000"/>
          <w:sz w:val="28"/>
          <w:szCs w:val="28"/>
          <w:lang w:val="en-US"/>
        </w:rPr>
        <w:t>Extended</w:t>
      </w:r>
      <w:r w:rsidRPr="006B4867">
        <w:rPr>
          <w:rFonts w:cstheme="minorHAnsi"/>
          <w:color w:val="000000"/>
          <w:sz w:val="28"/>
          <w:szCs w:val="28"/>
          <w:lang w:val="uk-UA"/>
        </w:rPr>
        <w:t xml:space="preserve"> </w:t>
      </w:r>
      <w:r w:rsidRPr="006B4867">
        <w:rPr>
          <w:rFonts w:cstheme="minorHAnsi"/>
          <w:color w:val="000000"/>
          <w:sz w:val="28"/>
          <w:szCs w:val="28"/>
          <w:lang w:val="en-US"/>
        </w:rPr>
        <w:t>Spectrum B</w:t>
      </w:r>
      <w:r w:rsidRPr="006B4867">
        <w:rPr>
          <w:rFonts w:cstheme="minorHAnsi"/>
          <w:color w:val="000000"/>
          <w:sz w:val="28"/>
          <w:szCs w:val="28"/>
          <w:lang w:val="uk-UA"/>
        </w:rPr>
        <w:t>-</w:t>
      </w:r>
      <w:r w:rsidRPr="006B4867">
        <w:rPr>
          <w:rFonts w:cstheme="minorHAnsi"/>
          <w:color w:val="000000"/>
          <w:sz w:val="28"/>
          <w:szCs w:val="28"/>
          <w:lang w:val="en-US"/>
        </w:rPr>
        <w:t>Lactamases in Urinary Isolates</w:t>
      </w:r>
      <w:r w:rsidRPr="006B4867">
        <w:rPr>
          <w:rFonts w:cstheme="minorHAnsi"/>
          <w:color w:val="000000"/>
          <w:sz w:val="28"/>
          <w:szCs w:val="28"/>
          <w:lang w:val="uk-UA"/>
        </w:rPr>
        <w:t xml:space="preserve"> </w:t>
      </w:r>
      <w:r w:rsidRPr="006B4867">
        <w:rPr>
          <w:rFonts w:cstheme="minorHAnsi"/>
          <w:color w:val="000000"/>
          <w:sz w:val="28"/>
          <w:szCs w:val="28"/>
          <w:lang w:val="en-US"/>
        </w:rPr>
        <w:t>of</w:t>
      </w:r>
      <w:r w:rsidRPr="006B4867">
        <w:rPr>
          <w:rFonts w:cstheme="minorHAnsi"/>
          <w:color w:val="000000"/>
          <w:sz w:val="28"/>
          <w:szCs w:val="28"/>
          <w:lang w:val="uk-UA"/>
        </w:rPr>
        <w:t xml:space="preserve"> </w:t>
      </w:r>
      <w:r w:rsidRPr="006B4867">
        <w:rPr>
          <w:rFonts w:cstheme="minorHAnsi"/>
          <w:color w:val="000000"/>
          <w:sz w:val="28"/>
          <w:szCs w:val="28"/>
          <w:lang w:val="en-US"/>
        </w:rPr>
        <w:t>Klebsiella</w:t>
      </w:r>
      <w:r w:rsidRPr="006B4867">
        <w:rPr>
          <w:rFonts w:cstheme="minorHAnsi"/>
          <w:color w:val="000000"/>
          <w:sz w:val="28"/>
          <w:szCs w:val="28"/>
          <w:lang w:val="uk-UA"/>
        </w:rPr>
        <w:t xml:space="preserve"> </w:t>
      </w:r>
      <w:r w:rsidRPr="006B4867">
        <w:rPr>
          <w:rFonts w:cstheme="minorHAnsi"/>
          <w:color w:val="000000"/>
          <w:sz w:val="28"/>
          <w:szCs w:val="28"/>
          <w:lang w:val="en-US"/>
        </w:rPr>
        <w:t>pneumoniae</w:t>
      </w:r>
      <w:r w:rsidRPr="006B4867">
        <w:rPr>
          <w:rFonts w:cstheme="minorHAnsi"/>
          <w:color w:val="000000"/>
          <w:sz w:val="28"/>
          <w:szCs w:val="28"/>
          <w:lang w:val="uk-UA"/>
        </w:rPr>
        <w:t xml:space="preserve"> </w:t>
      </w:r>
      <w:r w:rsidRPr="006B4867">
        <w:rPr>
          <w:rFonts w:cstheme="minorHAnsi"/>
          <w:color w:val="000000"/>
          <w:sz w:val="28"/>
          <w:szCs w:val="28"/>
          <w:lang w:val="en-US"/>
        </w:rPr>
        <w:t>in</w:t>
      </w:r>
      <w:r w:rsidRPr="006B4867">
        <w:rPr>
          <w:rFonts w:cstheme="minorHAnsi"/>
          <w:color w:val="000000"/>
          <w:sz w:val="28"/>
          <w:szCs w:val="28"/>
          <w:lang w:val="uk-UA"/>
        </w:rPr>
        <w:t xml:space="preserve"> </w:t>
      </w:r>
      <w:r w:rsidRPr="006B4867">
        <w:rPr>
          <w:rFonts w:cstheme="minorHAnsi"/>
          <w:color w:val="000000"/>
          <w:sz w:val="28"/>
          <w:szCs w:val="28"/>
          <w:lang w:val="en-US"/>
        </w:rPr>
        <w:t>Relation</w:t>
      </w:r>
      <w:r w:rsidRPr="006B4867">
        <w:rPr>
          <w:rFonts w:cstheme="minorHAnsi"/>
          <w:color w:val="000000"/>
          <w:sz w:val="28"/>
          <w:szCs w:val="28"/>
          <w:lang w:val="uk-UA"/>
        </w:rPr>
        <w:t xml:space="preserve"> </w:t>
      </w:r>
      <w:r w:rsidRPr="006B4867">
        <w:rPr>
          <w:rFonts w:cstheme="minorHAnsi"/>
          <w:color w:val="000000"/>
          <w:sz w:val="28"/>
          <w:szCs w:val="28"/>
          <w:lang w:val="en-US"/>
        </w:rPr>
        <w:t>to</w:t>
      </w:r>
      <w:r w:rsidRPr="006B4867">
        <w:rPr>
          <w:rFonts w:cstheme="minorHAnsi"/>
          <w:color w:val="000000"/>
          <w:sz w:val="28"/>
          <w:szCs w:val="28"/>
          <w:lang w:val="uk-UA"/>
        </w:rPr>
        <w:t xml:space="preserve">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SHV</w:t>
      </w:r>
      <w:r w:rsidRPr="006B4867">
        <w:rPr>
          <w:rFonts w:cstheme="minorHAnsi"/>
          <w:color w:val="000000"/>
          <w:sz w:val="28"/>
          <w:szCs w:val="28"/>
          <w:lang w:val="uk-UA"/>
        </w:rPr>
        <w:t>,</w:t>
      </w:r>
      <w:r w:rsidRPr="006B4867">
        <w:rPr>
          <w:rFonts w:cstheme="minorHAnsi"/>
          <w:color w:val="000000"/>
          <w:sz w:val="28"/>
          <w:szCs w:val="28"/>
          <w:lang w:val="en-US"/>
        </w:rPr>
        <w:t>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TEM</w:t>
      </w:r>
      <w:r w:rsidRPr="006B4867">
        <w:rPr>
          <w:rFonts w:cstheme="minorHAnsi"/>
          <w:color w:val="000000"/>
          <w:sz w:val="28"/>
          <w:szCs w:val="28"/>
          <w:lang w:val="en-US"/>
        </w:rPr>
        <w:t> and </w:t>
      </w:r>
      <w:r w:rsidRPr="006B4867">
        <w:rPr>
          <w:rFonts w:cstheme="minorHAnsi"/>
          <w:i/>
          <w:iCs/>
          <w:color w:val="000000"/>
          <w:sz w:val="28"/>
          <w:szCs w:val="28"/>
          <w:lang w:val="en-US"/>
        </w:rPr>
        <w:t>Bla</w:t>
      </w:r>
      <w:r w:rsidRPr="006B4867">
        <w:rPr>
          <w:rFonts w:cstheme="minorHAnsi"/>
          <w:i/>
          <w:iCs/>
          <w:color w:val="000000"/>
          <w:sz w:val="28"/>
          <w:szCs w:val="28"/>
          <w:vertAlign w:val="subscript"/>
          <w:lang w:val="en-US"/>
        </w:rPr>
        <w:t>CTX</w:t>
      </w:r>
      <w:r w:rsidRPr="006B4867">
        <w:rPr>
          <w:rFonts w:cstheme="minorHAnsi"/>
          <w:i/>
          <w:iCs/>
          <w:color w:val="000000"/>
          <w:sz w:val="28"/>
          <w:szCs w:val="28"/>
          <w:vertAlign w:val="subscript"/>
          <w:lang w:val="uk-UA"/>
        </w:rPr>
        <w:t>-</w:t>
      </w:r>
      <w:r w:rsidRPr="006B4867">
        <w:rPr>
          <w:rFonts w:cstheme="minorHAnsi"/>
          <w:i/>
          <w:iCs/>
          <w:color w:val="000000"/>
          <w:sz w:val="28"/>
          <w:szCs w:val="28"/>
          <w:vertAlign w:val="subscript"/>
          <w:lang w:val="en-US"/>
        </w:rPr>
        <w:t>M</w:t>
      </w:r>
      <w:r w:rsidRPr="006B4867">
        <w:rPr>
          <w:rFonts w:cstheme="minorHAnsi"/>
          <w:color w:val="000000"/>
          <w:sz w:val="28"/>
          <w:szCs w:val="28"/>
          <w:lang w:val="en-US"/>
        </w:rPr>
        <w:t> Gene Carriage</w:t>
      </w:r>
      <w:r w:rsidRPr="006B4867">
        <w:rPr>
          <w:rFonts w:cstheme="minorHAnsi"/>
          <w:color w:val="000000"/>
          <w:sz w:val="28"/>
          <w:szCs w:val="28"/>
          <w:lang w:val="uk-UA"/>
        </w:rPr>
        <w:t xml:space="preserve"> / </w:t>
      </w:r>
      <w:r w:rsidRPr="006B4867">
        <w:rPr>
          <w:rFonts w:cstheme="minorHAnsi"/>
          <w:color w:val="000000"/>
          <w:sz w:val="28"/>
          <w:szCs w:val="28"/>
          <w:lang w:val="en-US"/>
        </w:rPr>
        <w:t>Eftekhar</w:t>
      </w:r>
      <w:r w:rsidRPr="006B4867">
        <w:rPr>
          <w:rFonts w:cstheme="minorHAnsi"/>
          <w:color w:val="000000"/>
          <w:sz w:val="28"/>
          <w:szCs w:val="28"/>
          <w:lang w:val="uk-UA"/>
        </w:rPr>
        <w:t xml:space="preserve"> </w:t>
      </w:r>
      <w:r w:rsidRPr="006B4867">
        <w:rPr>
          <w:rFonts w:cstheme="minorHAnsi"/>
          <w:color w:val="000000"/>
          <w:sz w:val="28"/>
          <w:szCs w:val="28"/>
          <w:lang w:val="en-US"/>
        </w:rPr>
        <w:t>F</w:t>
      </w:r>
      <w:r w:rsidRPr="006B4867">
        <w:rPr>
          <w:rFonts w:cstheme="minorHAnsi"/>
          <w:color w:val="000000"/>
          <w:sz w:val="28"/>
          <w:szCs w:val="28"/>
          <w:lang w:val="uk-UA"/>
        </w:rPr>
        <w:t>,</w:t>
      </w:r>
      <w:r w:rsidRPr="006B4867">
        <w:rPr>
          <w:rFonts w:cstheme="minorHAnsi"/>
          <w:color w:val="000000"/>
          <w:sz w:val="28"/>
          <w:szCs w:val="28"/>
          <w:lang w:val="en-US"/>
        </w:rPr>
        <w:t> Rastegar</w:t>
      </w:r>
      <w:r w:rsidRPr="006B4867">
        <w:rPr>
          <w:rFonts w:cstheme="minorHAnsi"/>
          <w:color w:val="000000"/>
          <w:sz w:val="28"/>
          <w:szCs w:val="28"/>
          <w:lang w:val="uk-UA"/>
        </w:rPr>
        <w:t xml:space="preserve"> </w:t>
      </w:r>
      <w:r w:rsidRPr="006B4867">
        <w:rPr>
          <w:rFonts w:cstheme="minorHAnsi"/>
          <w:color w:val="000000"/>
          <w:sz w:val="28"/>
          <w:szCs w:val="28"/>
          <w:lang w:val="en-US"/>
        </w:rPr>
        <w:t>M</w:t>
      </w:r>
      <w:r w:rsidRPr="006B4867">
        <w:rPr>
          <w:rFonts w:cstheme="minorHAnsi"/>
          <w:color w:val="000000"/>
          <w:sz w:val="28"/>
          <w:szCs w:val="28"/>
          <w:lang w:val="uk-UA"/>
        </w:rPr>
        <w:t>,</w:t>
      </w:r>
      <w:r w:rsidRPr="006B4867">
        <w:rPr>
          <w:rFonts w:cstheme="minorHAnsi"/>
          <w:color w:val="000000"/>
          <w:sz w:val="28"/>
          <w:szCs w:val="28"/>
          <w:lang w:val="en-US"/>
        </w:rPr>
        <w:t> Golalipoor</w:t>
      </w:r>
      <w:r w:rsidRPr="006B4867">
        <w:rPr>
          <w:rFonts w:cstheme="minorHAnsi"/>
          <w:color w:val="000000"/>
          <w:sz w:val="28"/>
          <w:szCs w:val="28"/>
          <w:lang w:val="uk-UA"/>
        </w:rPr>
        <w:t xml:space="preserve"> </w:t>
      </w:r>
      <w:r w:rsidRPr="006B4867">
        <w:rPr>
          <w:rFonts w:cstheme="minorHAnsi"/>
          <w:color w:val="000000"/>
          <w:sz w:val="28"/>
          <w:szCs w:val="28"/>
          <w:lang w:val="en-US"/>
        </w:rPr>
        <w:t>M</w:t>
      </w:r>
      <w:r w:rsidRPr="006B4867">
        <w:rPr>
          <w:rFonts w:cstheme="minorHAnsi"/>
          <w:color w:val="000000"/>
          <w:sz w:val="28"/>
          <w:szCs w:val="28"/>
          <w:lang w:val="uk-UA"/>
        </w:rPr>
        <w:t>,</w:t>
      </w:r>
      <w:r w:rsidRPr="006B4867">
        <w:rPr>
          <w:rFonts w:cstheme="minorHAnsi"/>
          <w:color w:val="000000"/>
          <w:sz w:val="28"/>
          <w:szCs w:val="28"/>
          <w:lang w:val="en-US"/>
        </w:rPr>
        <w:t> Mansoursamaei</w:t>
      </w:r>
      <w:r w:rsidRPr="006B4867">
        <w:rPr>
          <w:rFonts w:cstheme="minorHAnsi"/>
          <w:color w:val="000000"/>
          <w:sz w:val="28"/>
          <w:szCs w:val="28"/>
          <w:lang w:val="uk-UA"/>
        </w:rPr>
        <w:t xml:space="preserve"> </w:t>
      </w:r>
      <w:r w:rsidRPr="006B4867">
        <w:rPr>
          <w:rFonts w:cstheme="minorHAnsi"/>
          <w:color w:val="000000"/>
          <w:sz w:val="28"/>
          <w:szCs w:val="28"/>
          <w:lang w:val="en-US"/>
        </w:rPr>
        <w:t>N</w:t>
      </w:r>
      <w:r w:rsidRPr="006B4867">
        <w:rPr>
          <w:rFonts w:cstheme="minorHAnsi"/>
          <w:color w:val="000000"/>
          <w:sz w:val="28"/>
          <w:szCs w:val="28"/>
          <w:lang w:val="uk-UA"/>
        </w:rPr>
        <w:t xml:space="preserve"> // </w:t>
      </w:r>
      <w:r w:rsidRPr="006B4867">
        <w:rPr>
          <w:rFonts w:cstheme="minorHAnsi"/>
          <w:color w:val="000000"/>
          <w:sz w:val="28"/>
          <w:szCs w:val="28"/>
          <w:lang w:val="en-US"/>
        </w:rPr>
        <w:t>Iran</w:t>
      </w:r>
      <w:r w:rsidRPr="006B4867">
        <w:rPr>
          <w:rFonts w:cstheme="minorHAnsi"/>
          <w:color w:val="000000"/>
          <w:sz w:val="28"/>
          <w:szCs w:val="28"/>
          <w:lang w:val="uk-UA"/>
        </w:rPr>
        <w:t xml:space="preserve"> </w:t>
      </w:r>
      <w:r w:rsidRPr="006B4867">
        <w:rPr>
          <w:rFonts w:cstheme="minorHAnsi"/>
          <w:color w:val="000000"/>
          <w:sz w:val="28"/>
          <w:szCs w:val="28"/>
          <w:lang w:val="en-US"/>
        </w:rPr>
        <w:t>J</w:t>
      </w:r>
      <w:r w:rsidRPr="006B4867">
        <w:rPr>
          <w:rFonts w:cstheme="minorHAnsi"/>
          <w:color w:val="000000"/>
          <w:sz w:val="28"/>
          <w:szCs w:val="28"/>
          <w:lang w:val="uk-UA"/>
        </w:rPr>
        <w:t xml:space="preserve"> </w:t>
      </w:r>
      <w:r w:rsidRPr="006B4867">
        <w:rPr>
          <w:rFonts w:cstheme="minorHAnsi"/>
          <w:color w:val="000000"/>
          <w:sz w:val="28"/>
          <w:szCs w:val="28"/>
          <w:lang w:val="en-US"/>
        </w:rPr>
        <w:t>Public</w:t>
      </w:r>
      <w:r w:rsidRPr="006B4867">
        <w:rPr>
          <w:rFonts w:cstheme="minorHAnsi"/>
          <w:color w:val="000000"/>
          <w:sz w:val="28"/>
          <w:szCs w:val="28"/>
          <w:lang w:val="uk-UA"/>
        </w:rPr>
        <w:t xml:space="preserve"> </w:t>
      </w:r>
      <w:r w:rsidRPr="006B4867">
        <w:rPr>
          <w:rFonts w:cstheme="minorHAnsi"/>
          <w:color w:val="000000"/>
          <w:sz w:val="28"/>
          <w:szCs w:val="28"/>
          <w:lang w:val="en-US"/>
        </w:rPr>
        <w:t>Health</w:t>
      </w:r>
      <w:r w:rsidRPr="006B4867">
        <w:rPr>
          <w:rFonts w:cstheme="minorHAnsi"/>
          <w:color w:val="000000"/>
          <w:sz w:val="28"/>
          <w:szCs w:val="28"/>
          <w:lang w:val="uk-UA"/>
        </w:rPr>
        <w:t>.</w:t>
      </w:r>
      <w:r w:rsidRPr="006B4867">
        <w:rPr>
          <w:rFonts w:cstheme="minorHAnsi"/>
          <w:color w:val="000000"/>
          <w:sz w:val="28"/>
          <w:szCs w:val="28"/>
          <w:lang w:val="en-US"/>
        </w:rPr>
        <w:t> </w:t>
      </w:r>
      <w:r w:rsidRPr="006B4867">
        <w:rPr>
          <w:rFonts w:cstheme="minorHAnsi"/>
          <w:color w:val="000000"/>
          <w:sz w:val="28"/>
          <w:szCs w:val="28"/>
          <w:lang w:val="uk-UA"/>
        </w:rPr>
        <w:t xml:space="preserve">2012;41(3):127-32. </w:t>
      </w:r>
      <w:r w:rsidRPr="006B4867">
        <w:rPr>
          <w:rFonts w:cstheme="minorHAnsi"/>
          <w:color w:val="000000"/>
          <w:sz w:val="28"/>
          <w:szCs w:val="28"/>
          <w:lang w:val="en-US"/>
        </w:rPr>
        <w:t>Epub</w:t>
      </w:r>
      <w:r w:rsidRPr="006B4867">
        <w:rPr>
          <w:rFonts w:cstheme="minorHAnsi"/>
          <w:color w:val="000000"/>
          <w:sz w:val="28"/>
          <w:szCs w:val="28"/>
          <w:lang w:val="uk-UA"/>
        </w:rPr>
        <w:t xml:space="preserve"> 2012 </w:t>
      </w:r>
      <w:r w:rsidRPr="006B4867">
        <w:rPr>
          <w:rFonts w:cstheme="minorHAnsi"/>
          <w:color w:val="000000"/>
          <w:sz w:val="28"/>
          <w:szCs w:val="28"/>
          <w:lang w:val="en-US"/>
        </w:rPr>
        <w:t>Mar</w:t>
      </w:r>
      <w:r w:rsidRPr="006B4867">
        <w:rPr>
          <w:rFonts w:cstheme="minorHAnsi"/>
          <w:color w:val="000000"/>
          <w:sz w:val="28"/>
          <w:szCs w:val="28"/>
          <w:lang w:val="uk-UA"/>
        </w:rPr>
        <w:t xml:space="preserve"> 31.</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Endimiani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Bacteremia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due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to</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Klebsiella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pneumoniae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isolates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producing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TEM</w:t>
      </w:r>
      <w:r w:rsidRPr="006B4867">
        <w:rPr>
          <w:rFonts w:ascii="Times New Roman" w:eastAsia="Times New Roman" w:hAnsi="Times New Roman" w:cs="Times New Roman"/>
          <w:color w:val="000000"/>
          <w:sz w:val="28"/>
          <w:szCs w:val="28"/>
          <w:lang w:val="uk-UA"/>
        </w:rPr>
        <w:t xml:space="preserve">-52 </w:t>
      </w:r>
      <w:r w:rsidRPr="006B4867">
        <w:rPr>
          <w:rFonts w:ascii="Times New Roman" w:eastAsia="Times New Roman" w:hAnsi="Times New Roman" w:cs="Times New Roman"/>
          <w:color w:val="000000"/>
          <w:sz w:val="28"/>
          <w:szCs w:val="28"/>
          <w:lang w:val="en-US"/>
        </w:rPr>
        <w:t>extended</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spectrum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rPr>
        <w:t>β</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lactamase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treatment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outcome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patients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receiving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imipenem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ciprofloxacin</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Endimiani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Luzzaro</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Perilli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al</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Clin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Infect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Dis</w:t>
      </w:r>
      <w:r w:rsidRPr="006B4867">
        <w:rPr>
          <w:rFonts w:ascii="Times New Roman" w:eastAsia="Times New Roman" w:hAnsi="Times New Roman" w:cs="Times New Roman"/>
          <w:color w:val="000000"/>
          <w:sz w:val="28"/>
          <w:szCs w:val="28"/>
          <w:lang w:val="uk-UA"/>
        </w:rPr>
        <w:t xml:space="preserve">.- 2004.- </w:t>
      </w:r>
      <w:r w:rsidRPr="006B4867">
        <w:rPr>
          <w:rFonts w:ascii="Times New Roman" w:eastAsia="Times New Roman" w:hAnsi="Times New Roman" w:cs="Times New Roman"/>
          <w:color w:val="000000"/>
          <w:sz w:val="28"/>
          <w:szCs w:val="28"/>
          <w:lang w:val="en-US"/>
        </w:rPr>
        <w:t xml:space="preserve">№38.-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243-251</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bCs/>
          <w:iCs/>
          <w:sz w:val="28"/>
          <w:szCs w:val="28"/>
          <w:lang w:val="en-US"/>
        </w:rPr>
        <w:t>European</w:t>
      </w:r>
      <w:r w:rsidRPr="006B4867">
        <w:rPr>
          <w:rFonts w:cstheme="minorHAnsi"/>
          <w:bCs/>
          <w:iCs/>
          <w:sz w:val="28"/>
          <w:szCs w:val="28"/>
          <w:lang w:val="uk-UA"/>
        </w:rPr>
        <w:t xml:space="preserve"> </w:t>
      </w:r>
      <w:r w:rsidRPr="006B4867">
        <w:rPr>
          <w:rFonts w:cstheme="minorHAnsi"/>
          <w:bCs/>
          <w:iCs/>
          <w:sz w:val="28"/>
          <w:szCs w:val="28"/>
          <w:lang w:val="en-US"/>
        </w:rPr>
        <w:t>Centre</w:t>
      </w:r>
      <w:r w:rsidRPr="006B4867">
        <w:rPr>
          <w:rFonts w:cstheme="minorHAnsi"/>
          <w:bCs/>
          <w:iCs/>
          <w:sz w:val="28"/>
          <w:szCs w:val="28"/>
          <w:lang w:val="uk-UA"/>
        </w:rPr>
        <w:t xml:space="preserve"> </w:t>
      </w:r>
      <w:r w:rsidRPr="006B4867">
        <w:rPr>
          <w:rFonts w:cstheme="minorHAnsi"/>
          <w:bCs/>
          <w:iCs/>
          <w:sz w:val="28"/>
          <w:szCs w:val="28"/>
          <w:lang w:val="en-US"/>
        </w:rPr>
        <w:t>for</w:t>
      </w:r>
      <w:r w:rsidRPr="006B4867">
        <w:rPr>
          <w:rFonts w:cstheme="minorHAnsi"/>
          <w:bCs/>
          <w:iCs/>
          <w:sz w:val="28"/>
          <w:szCs w:val="28"/>
          <w:lang w:val="uk-UA"/>
        </w:rPr>
        <w:t xml:space="preserve"> </w:t>
      </w:r>
      <w:r w:rsidRPr="006B4867">
        <w:rPr>
          <w:rFonts w:cstheme="minorHAnsi"/>
          <w:bCs/>
          <w:iCs/>
          <w:sz w:val="28"/>
          <w:szCs w:val="28"/>
          <w:lang w:val="en-US"/>
        </w:rPr>
        <w:t>Disease</w:t>
      </w:r>
      <w:r w:rsidRPr="006B4867">
        <w:rPr>
          <w:rFonts w:cstheme="minorHAnsi"/>
          <w:bCs/>
          <w:iCs/>
          <w:sz w:val="28"/>
          <w:szCs w:val="28"/>
          <w:lang w:val="uk-UA"/>
        </w:rPr>
        <w:t xml:space="preserve"> </w:t>
      </w:r>
      <w:r w:rsidRPr="006B4867">
        <w:rPr>
          <w:rFonts w:cstheme="minorHAnsi"/>
          <w:bCs/>
          <w:iCs/>
          <w:sz w:val="28"/>
          <w:szCs w:val="28"/>
          <w:lang w:val="en-US"/>
        </w:rPr>
        <w:t>Prevention</w:t>
      </w:r>
      <w:r w:rsidRPr="006B4867">
        <w:rPr>
          <w:rFonts w:cstheme="minorHAnsi"/>
          <w:bCs/>
          <w:iCs/>
          <w:sz w:val="28"/>
          <w:szCs w:val="28"/>
          <w:lang w:val="uk-UA"/>
        </w:rPr>
        <w:t xml:space="preserve"> </w:t>
      </w:r>
      <w:r w:rsidRPr="006B4867">
        <w:rPr>
          <w:rFonts w:cstheme="minorHAnsi"/>
          <w:bCs/>
          <w:iCs/>
          <w:sz w:val="28"/>
          <w:szCs w:val="28"/>
          <w:lang w:val="en-US"/>
        </w:rPr>
        <w:t>and</w:t>
      </w:r>
      <w:r w:rsidRPr="006B4867">
        <w:rPr>
          <w:rFonts w:cstheme="minorHAnsi"/>
          <w:bCs/>
          <w:iCs/>
          <w:sz w:val="28"/>
          <w:szCs w:val="28"/>
          <w:lang w:val="uk-UA"/>
        </w:rPr>
        <w:t xml:space="preserve"> </w:t>
      </w:r>
      <w:r w:rsidRPr="006B4867">
        <w:rPr>
          <w:rFonts w:cstheme="minorHAnsi"/>
          <w:bCs/>
          <w:iCs/>
          <w:sz w:val="28"/>
          <w:szCs w:val="28"/>
          <w:lang w:val="en-US"/>
        </w:rPr>
        <w:t>Control</w:t>
      </w:r>
      <w:r w:rsidRPr="006B4867">
        <w:rPr>
          <w:rFonts w:cstheme="minorHAnsi"/>
          <w:bCs/>
          <w:iCs/>
          <w:sz w:val="28"/>
          <w:szCs w:val="28"/>
          <w:lang w:val="uk-UA"/>
        </w:rPr>
        <w:t xml:space="preserve">. </w:t>
      </w:r>
      <w:r w:rsidRPr="006B4867">
        <w:rPr>
          <w:rFonts w:cstheme="minorHAnsi"/>
          <w:bCs/>
          <w:iCs/>
          <w:sz w:val="28"/>
          <w:szCs w:val="28"/>
          <w:lang w:val="en-US"/>
        </w:rPr>
        <w:t>Antimicrobial resistance surveillance in Europe 2012. Annual Report of the European Antimicrobial Resistance Surveillance Network (EARS-Net). Stockholm: ECDC; 2013</w:t>
      </w:r>
      <w:r w:rsidRPr="006B4867">
        <w:rPr>
          <w:rFonts w:cstheme="minorHAnsi"/>
          <w:bCs/>
          <w:iCs/>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Ferjani S</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 xml:space="preserve"> Prevalence and Characterization of Plasmid-Mediated Quinolone Resistance Genes in Extended-Spectrum </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w:t>
      </w:r>
      <w:r w:rsidRPr="006B4867">
        <w:rPr>
          <w:rFonts w:ascii="Times New Roman" w:eastAsia="Times New Roman" w:hAnsi="Times New Roman" w:cs="Times New Roman"/>
          <w:bCs/>
          <w:color w:val="000000" w:themeColor="text1"/>
          <w:kern w:val="36"/>
          <w:sz w:val="28"/>
          <w:szCs w:val="28"/>
          <w:lang w:val="en-US" w:eastAsia="ru-RU"/>
        </w:rPr>
        <w:lastRenderedPageBreak/>
        <w:t xml:space="preserve">Producing Enterobacteriaceae in a Tunisian Hospital / </w:t>
      </w:r>
      <w:r w:rsidRPr="006B4867">
        <w:rPr>
          <w:rFonts w:ascii="Times New Roman" w:eastAsia="Times New Roman" w:hAnsi="Times New Roman" w:cs="Times New Roman"/>
          <w:color w:val="000000" w:themeColor="text1"/>
          <w:sz w:val="28"/>
          <w:szCs w:val="28"/>
          <w:lang w:val="en-US" w:eastAsia="ru-RU"/>
        </w:rPr>
        <w:t>Ferjani S, Saidani M, Amine FS, Boutiba Ben Boubaker // Microb Drug Resist. 2014 Sep 23</w:t>
      </w:r>
      <w:r w:rsidRPr="006B4867">
        <w:rPr>
          <w:rFonts w:ascii="Times New Roman" w:eastAsia="Times New Roman" w:hAnsi="Times New Roman" w:cs="Times New Roman"/>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Foxman B. Urinary tract infection syndromes: occurrence, recurrence, bacteriology, risk factors, and disease burden / Infect Dis Clin North Am. 2014 Mar;28(1):1-13.</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FrakkingFN</w:t>
      </w:r>
      <w:r w:rsidRPr="006B4867">
        <w:rPr>
          <w:rFonts w:eastAsia="Times New Roman" w:cstheme="minorHAnsi"/>
          <w:color w:val="000000" w:themeColor="text1"/>
          <w:sz w:val="28"/>
          <w:szCs w:val="28"/>
          <w:lang w:val="uk-UA" w:eastAsia="ru-RU"/>
        </w:rPr>
        <w:t>.</w:t>
      </w:r>
      <w:r w:rsidRPr="006B4867">
        <w:rPr>
          <w:rFonts w:eastAsia="Times New Roman" w:cstheme="minorHAnsi"/>
          <w:bCs/>
          <w:color w:val="000000" w:themeColor="text1"/>
          <w:kern w:val="36"/>
          <w:sz w:val="28"/>
          <w:szCs w:val="28"/>
          <w:lang w:val="en-US" w:eastAsia="ru-RU"/>
        </w:rPr>
        <w:t>Appropriateness of empirical treatment and outcome in bacteremia caused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by extended</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spectrum</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eastAsia="ru-RU"/>
        </w:rPr>
        <w:t>β</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lactamase</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producing bacteria</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Frakking</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FN</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Rottier</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WC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Dorigo</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Zetsma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JW</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Hattem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JM</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Hees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BC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Kluytmans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et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Antimicrob</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Agents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Chemother</w:t>
      </w:r>
      <w:r w:rsidRPr="006B4867">
        <w:rPr>
          <w:rFonts w:eastAsia="Times New Roman" w:cstheme="minorHAnsi"/>
          <w:color w:val="000000" w:themeColor="text1"/>
          <w:sz w:val="28"/>
          <w:szCs w:val="28"/>
          <w:lang w:val="uk-UA" w:eastAsia="ru-RU"/>
        </w:rPr>
        <w:t xml:space="preserve">. 2013 </w:t>
      </w:r>
      <w:r w:rsidRPr="006B4867">
        <w:rPr>
          <w:rFonts w:eastAsia="Times New Roman" w:cstheme="minorHAnsi"/>
          <w:color w:val="000000" w:themeColor="text1"/>
          <w:sz w:val="28"/>
          <w:szCs w:val="28"/>
          <w:lang w:val="en-US" w:eastAsia="ru-RU"/>
        </w:rPr>
        <w:t>Jul</w:t>
      </w:r>
      <w:r w:rsidRPr="006B4867">
        <w:rPr>
          <w:rFonts w:eastAsia="Times New Roman" w:cstheme="minorHAnsi"/>
          <w:color w:val="000000" w:themeColor="text1"/>
          <w:sz w:val="28"/>
          <w:szCs w:val="28"/>
          <w:lang w:val="uk-UA" w:eastAsia="ru-RU"/>
        </w:rPr>
        <w:t>;57(7):3092-9.</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FrakkingFN</w:t>
      </w:r>
      <w:r w:rsidRPr="006B4867">
        <w:rPr>
          <w:rFonts w:eastAsia="Times New Roman" w:cstheme="minorHAnsi"/>
          <w:color w:val="000000" w:themeColor="text1"/>
          <w:sz w:val="28"/>
          <w:szCs w:val="28"/>
          <w:lang w:val="uk-UA" w:eastAsia="ru-RU"/>
        </w:rPr>
        <w:t>.</w:t>
      </w:r>
      <w:r w:rsidRPr="006B4867">
        <w:rPr>
          <w:rFonts w:eastAsia="Times New Roman" w:cstheme="minorHAnsi"/>
          <w:bCs/>
          <w:color w:val="000000" w:themeColor="text1"/>
          <w:kern w:val="36"/>
          <w:sz w:val="28"/>
          <w:szCs w:val="28"/>
          <w:lang w:val="en-US" w:eastAsia="ru-RU"/>
        </w:rPr>
        <w:t>Appropriateness of empirical treatment and outcome in bacteremia caused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by extended</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spectrum</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eastAsia="ru-RU"/>
        </w:rPr>
        <w:t>β</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lactamase</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producing bacteria</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Frakking</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FN</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Rottier</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WC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Dorigo</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Zetsma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JW</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Hattem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JM</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Hees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BC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Kluytmans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et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Antimicrob Agents Chemother. 2013 Jul;57(7):3092-9.</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FrakkingFN</w:t>
      </w:r>
      <w:r w:rsidRPr="006B4867">
        <w:rPr>
          <w:rFonts w:eastAsia="Times New Roman" w:cstheme="minorHAnsi"/>
          <w:color w:val="000000" w:themeColor="text1"/>
          <w:sz w:val="28"/>
          <w:szCs w:val="28"/>
          <w:lang w:val="uk-UA" w:eastAsia="ru-RU"/>
        </w:rPr>
        <w:t>.</w:t>
      </w:r>
      <w:r w:rsidRPr="006B4867">
        <w:rPr>
          <w:rFonts w:eastAsia="Times New Roman" w:cstheme="minorHAnsi"/>
          <w:bCs/>
          <w:color w:val="000000" w:themeColor="text1"/>
          <w:kern w:val="36"/>
          <w:sz w:val="28"/>
          <w:szCs w:val="28"/>
          <w:lang w:val="en-US" w:eastAsia="ru-RU"/>
        </w:rPr>
        <w:t>Appropriateness of empirical treatment and outcome in bacteremia caused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by extended</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spectrum</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eastAsia="ru-RU"/>
        </w:rPr>
        <w:t>β</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lactamase</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producing bacteria</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Frakking</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FN</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Rottier</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WC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Dorigo</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Zetsma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JW</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Hattem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JM</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van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Hees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BC</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Kluytmans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JA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et</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Antimicrob</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Agents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Chemother</w:t>
      </w:r>
      <w:r w:rsidRPr="006B4867">
        <w:rPr>
          <w:rFonts w:eastAsia="Times New Roman" w:cstheme="minorHAnsi"/>
          <w:color w:val="000000" w:themeColor="text1"/>
          <w:sz w:val="28"/>
          <w:szCs w:val="28"/>
          <w:lang w:val="uk-UA" w:eastAsia="ru-RU"/>
        </w:rPr>
        <w:t xml:space="preserve">. 2013 </w:t>
      </w:r>
      <w:r w:rsidRPr="006B4867">
        <w:rPr>
          <w:rFonts w:eastAsia="Times New Roman" w:cstheme="minorHAnsi"/>
          <w:color w:val="000000" w:themeColor="text1"/>
          <w:sz w:val="28"/>
          <w:szCs w:val="28"/>
          <w:lang w:val="en-US" w:eastAsia="ru-RU"/>
        </w:rPr>
        <w:t>Jul</w:t>
      </w:r>
      <w:r w:rsidRPr="006B4867">
        <w:rPr>
          <w:rFonts w:eastAsia="Times New Roman" w:cstheme="minorHAnsi"/>
          <w:color w:val="000000" w:themeColor="text1"/>
          <w:sz w:val="28"/>
          <w:szCs w:val="28"/>
          <w:lang w:val="uk-UA" w:eastAsia="ru-RU"/>
        </w:rPr>
        <w:t>;57(7):3092-9.</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Frasson I. Prevalence of aac(6</w:t>
      </w:r>
      <w:r w:rsidRPr="006B4867">
        <w:rPr>
          <w:rFonts w:eastAsia="LucidaNewMath-Symbol" w:cstheme="minorHAnsi"/>
          <w:iCs/>
          <w:sz w:val="28"/>
          <w:szCs w:val="28"/>
          <w:lang w:val="en-US"/>
        </w:rPr>
        <w:t>_</w:t>
      </w:r>
      <w:r w:rsidRPr="006B4867">
        <w:rPr>
          <w:rFonts w:cstheme="minorHAnsi"/>
          <w:sz w:val="28"/>
          <w:szCs w:val="28"/>
          <w:lang w:val="en-US"/>
        </w:rPr>
        <w:t xml:space="preserve">)-Ib-cr plasmid-mediated and chromosome-encoded fluoroquinolone resistance in Enterobacteriaceae in Italy / I. Frasson, A. Cavallaro, C. Bergo, S. N. [et al] // </w:t>
      </w:r>
      <w:r w:rsidRPr="006B4867">
        <w:rPr>
          <w:rFonts w:cstheme="minorHAnsi"/>
          <w:iCs/>
          <w:sz w:val="28"/>
          <w:szCs w:val="28"/>
          <w:lang w:val="en-US"/>
        </w:rPr>
        <w:t>Gut Pathogens</w:t>
      </w:r>
      <w:r w:rsidRPr="006B4867">
        <w:rPr>
          <w:rFonts w:cstheme="minorHAnsi"/>
          <w:sz w:val="28"/>
          <w:szCs w:val="28"/>
          <w:lang w:val="en-US"/>
        </w:rPr>
        <w:t xml:space="preserve">.- 2011.- №1.- </w:t>
      </w:r>
      <w:r w:rsidRPr="006B4867">
        <w:rPr>
          <w:rFonts w:cstheme="minorHAnsi"/>
          <w:sz w:val="28"/>
          <w:szCs w:val="28"/>
        </w:rPr>
        <w:t>Р</w:t>
      </w:r>
      <w:r w:rsidRPr="006B4867">
        <w:rPr>
          <w:rFonts w:cstheme="minorHAnsi"/>
          <w:sz w:val="28"/>
          <w:szCs w:val="28"/>
          <w:lang w:val="en-US"/>
        </w:rPr>
        <w:t>. 1-12</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color w:val="000000"/>
          <w:sz w:val="28"/>
          <w:szCs w:val="28"/>
          <w:lang w:val="en-US"/>
        </w:rPr>
        <w:t>Freeman</w:t>
      </w:r>
      <w:r w:rsidRPr="006B4867">
        <w:rPr>
          <w:rFonts w:ascii="Times New Roman" w:hAnsi="Times New Roman" w:cs="Times New Roman"/>
          <w:color w:val="000000"/>
          <w:sz w:val="28"/>
          <w:szCs w:val="28"/>
          <w:lang w:val="uk-UA"/>
        </w:rPr>
        <w:t xml:space="preserve"> </w:t>
      </w:r>
      <w:r w:rsidRPr="006B4867">
        <w:rPr>
          <w:rFonts w:ascii="Times New Roman" w:hAnsi="Times New Roman" w:cs="Times New Roman"/>
          <w:color w:val="000000"/>
          <w:sz w:val="28"/>
          <w:szCs w:val="28"/>
          <w:lang w:val="en-US"/>
        </w:rPr>
        <w:t>JT</w:t>
      </w:r>
      <w:r w:rsidRPr="006B4867">
        <w:rPr>
          <w:rFonts w:ascii="Times New Roman" w:hAnsi="Times New Roman" w:cs="Times New Roman"/>
          <w:color w:val="000000"/>
          <w:sz w:val="28"/>
          <w:szCs w:val="28"/>
          <w:lang w:val="uk-UA"/>
        </w:rPr>
        <w:t xml:space="preserve">. </w:t>
      </w:r>
      <w:r w:rsidRPr="006B4867">
        <w:rPr>
          <w:rFonts w:ascii="Times New Roman" w:hAnsi="Times New Roman" w:cs="Times New Roman"/>
          <w:color w:val="000000"/>
          <w:sz w:val="28"/>
          <w:szCs w:val="28"/>
          <w:lang w:val="en-US"/>
        </w:rPr>
        <w:t>Differences in</w:t>
      </w:r>
      <w:r w:rsidRPr="006B4867">
        <w:rPr>
          <w:color w:val="000000"/>
          <w:sz w:val="28"/>
          <w:szCs w:val="28"/>
          <w:lang w:val="en-US"/>
        </w:rPr>
        <w:t> </w:t>
      </w:r>
      <w:r w:rsidRPr="006B4867">
        <w:rPr>
          <w:rFonts w:ascii="Times New Roman" w:hAnsi="Times New Roman" w:cs="Times New Roman"/>
          <w:color w:val="000000"/>
          <w:sz w:val="28"/>
          <w:szCs w:val="28"/>
          <w:lang w:val="en-US"/>
        </w:rPr>
        <w:t>risk-factor profiles between patients with ESBL-producing</w:t>
      </w:r>
      <w:r w:rsidRPr="006B4867">
        <w:rPr>
          <w:color w:val="000000"/>
          <w:sz w:val="28"/>
          <w:szCs w:val="28"/>
          <w:lang w:val="en-US"/>
        </w:rPr>
        <w:t> </w:t>
      </w:r>
      <w:r w:rsidRPr="006B4867">
        <w:rPr>
          <w:rFonts w:ascii="Times New Roman" w:hAnsi="Times New Roman" w:cs="Times New Roman"/>
          <w:color w:val="000000"/>
          <w:sz w:val="28"/>
          <w:szCs w:val="28"/>
          <w:lang w:val="en-US"/>
        </w:rPr>
        <w:t>Escherichia coli</w:t>
      </w:r>
      <w:r w:rsidRPr="006B4867">
        <w:rPr>
          <w:color w:val="000000"/>
          <w:sz w:val="28"/>
          <w:szCs w:val="28"/>
          <w:lang w:val="en-US"/>
        </w:rPr>
        <w:t> </w:t>
      </w:r>
      <w:r w:rsidRPr="006B4867">
        <w:rPr>
          <w:rFonts w:ascii="Times New Roman" w:hAnsi="Times New Roman" w:cs="Times New Roman"/>
          <w:color w:val="000000"/>
          <w:sz w:val="28"/>
          <w:szCs w:val="28"/>
          <w:lang w:val="en-US"/>
        </w:rPr>
        <w:t>and Klebsiella pneumoniae: a multicentre case-case comparison study</w:t>
      </w:r>
      <w:r w:rsidRPr="006B4867">
        <w:rPr>
          <w:rFonts w:ascii="Times New Roman" w:hAnsi="Times New Roman" w:cs="Times New Roman"/>
          <w:color w:val="000000"/>
          <w:sz w:val="28"/>
          <w:szCs w:val="28"/>
          <w:lang w:val="uk-UA"/>
        </w:rPr>
        <w:t xml:space="preserve"> / </w:t>
      </w:r>
      <w:r w:rsidRPr="006B4867">
        <w:rPr>
          <w:rFonts w:ascii="Times New Roman" w:hAnsi="Times New Roman" w:cs="Times New Roman"/>
          <w:color w:val="000000"/>
          <w:sz w:val="28"/>
          <w:szCs w:val="28"/>
          <w:lang w:val="en-US"/>
        </w:rPr>
        <w:t>Freeman JT,</w:t>
      </w:r>
      <w:r w:rsidRPr="006B4867">
        <w:rPr>
          <w:color w:val="000000"/>
          <w:sz w:val="28"/>
          <w:szCs w:val="28"/>
          <w:lang w:val="en-US"/>
        </w:rPr>
        <w:t> </w:t>
      </w:r>
      <w:r w:rsidRPr="006B4867">
        <w:rPr>
          <w:rFonts w:ascii="Times New Roman" w:hAnsi="Times New Roman" w:cs="Times New Roman"/>
          <w:color w:val="000000"/>
          <w:sz w:val="28"/>
          <w:szCs w:val="28"/>
          <w:lang w:val="en-US"/>
        </w:rPr>
        <w:t>Rubin J,</w:t>
      </w:r>
      <w:r w:rsidRPr="006B4867">
        <w:rPr>
          <w:color w:val="000000"/>
          <w:sz w:val="28"/>
          <w:szCs w:val="28"/>
          <w:lang w:val="en-US"/>
        </w:rPr>
        <w:t> </w:t>
      </w:r>
      <w:r w:rsidRPr="006B4867">
        <w:rPr>
          <w:rFonts w:ascii="Times New Roman" w:hAnsi="Times New Roman" w:cs="Times New Roman"/>
          <w:color w:val="000000"/>
          <w:sz w:val="28"/>
          <w:szCs w:val="28"/>
          <w:lang w:val="en-US"/>
        </w:rPr>
        <w:t>McAuliffe GN,</w:t>
      </w:r>
      <w:r w:rsidRPr="006B4867">
        <w:rPr>
          <w:color w:val="000000"/>
          <w:sz w:val="28"/>
          <w:szCs w:val="28"/>
          <w:lang w:val="en-US"/>
        </w:rPr>
        <w:t> </w:t>
      </w:r>
      <w:r w:rsidRPr="006B4867">
        <w:rPr>
          <w:rFonts w:ascii="Times New Roman" w:hAnsi="Times New Roman" w:cs="Times New Roman"/>
          <w:color w:val="000000"/>
          <w:sz w:val="28"/>
          <w:szCs w:val="28"/>
          <w:lang w:val="en-US"/>
        </w:rPr>
        <w:t>Peirano G,</w:t>
      </w:r>
      <w:r w:rsidRPr="006B4867">
        <w:rPr>
          <w:color w:val="000000"/>
          <w:sz w:val="28"/>
          <w:szCs w:val="28"/>
          <w:lang w:val="en-US"/>
        </w:rPr>
        <w:t> </w:t>
      </w:r>
      <w:r w:rsidRPr="006B4867">
        <w:rPr>
          <w:rFonts w:ascii="Times New Roman" w:hAnsi="Times New Roman" w:cs="Times New Roman"/>
          <w:color w:val="000000"/>
          <w:sz w:val="28"/>
          <w:szCs w:val="28"/>
          <w:lang w:val="en-US"/>
        </w:rPr>
        <w:t>Roberts SA,</w:t>
      </w:r>
      <w:r w:rsidRPr="006B4867">
        <w:rPr>
          <w:color w:val="000000"/>
          <w:sz w:val="28"/>
          <w:szCs w:val="28"/>
          <w:lang w:val="en-US"/>
        </w:rPr>
        <w:t> </w:t>
      </w:r>
      <w:r w:rsidRPr="006B4867">
        <w:rPr>
          <w:rFonts w:ascii="Times New Roman" w:hAnsi="Times New Roman" w:cs="Times New Roman"/>
          <w:color w:val="000000"/>
          <w:sz w:val="28"/>
          <w:szCs w:val="28"/>
          <w:lang w:val="en-US"/>
        </w:rPr>
        <w:t>Drinković D,</w:t>
      </w:r>
      <w:r w:rsidRPr="006B4867">
        <w:rPr>
          <w:color w:val="000000"/>
          <w:sz w:val="28"/>
          <w:szCs w:val="28"/>
          <w:lang w:val="en-US"/>
        </w:rPr>
        <w:t> </w:t>
      </w:r>
      <w:r w:rsidRPr="006B4867">
        <w:rPr>
          <w:rFonts w:ascii="Times New Roman" w:hAnsi="Times New Roman" w:cs="Times New Roman"/>
          <w:color w:val="000000"/>
          <w:sz w:val="28"/>
          <w:szCs w:val="28"/>
          <w:lang w:val="en-US"/>
        </w:rPr>
        <w:t>Pitout JD</w:t>
      </w:r>
      <w:r w:rsidRPr="006B4867">
        <w:rPr>
          <w:rFonts w:ascii="Times New Roman" w:hAnsi="Times New Roman" w:cs="Times New Roman"/>
          <w:color w:val="000000"/>
          <w:sz w:val="28"/>
          <w:szCs w:val="28"/>
          <w:lang w:val="uk-UA"/>
        </w:rPr>
        <w:t xml:space="preserve"> // </w:t>
      </w:r>
      <w:r w:rsidRPr="006B4867">
        <w:rPr>
          <w:rFonts w:ascii="Times New Roman" w:hAnsi="Times New Roman" w:cs="Times New Roman"/>
          <w:color w:val="000000"/>
          <w:sz w:val="28"/>
          <w:szCs w:val="28"/>
          <w:lang w:val="en-US"/>
        </w:rPr>
        <w:t>Antimicrob Resist Infect Control.</w:t>
      </w:r>
      <w:r w:rsidRPr="006B4867">
        <w:rPr>
          <w:color w:val="000000"/>
          <w:sz w:val="28"/>
          <w:szCs w:val="28"/>
          <w:lang w:val="en-US"/>
        </w:rPr>
        <w:t> </w:t>
      </w:r>
      <w:r w:rsidRPr="006B4867">
        <w:rPr>
          <w:rFonts w:ascii="Times New Roman" w:hAnsi="Times New Roman" w:cs="Times New Roman"/>
          <w:color w:val="000000"/>
          <w:sz w:val="28"/>
          <w:szCs w:val="28"/>
          <w:lang w:val="en-US"/>
        </w:rPr>
        <w:t>2014 Sep 1;3:27.</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lastRenderedPageBreak/>
        <w:t>Gardiner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Is fosfomycin a potential treatment alternative for multidrug-resistant gram-negative prostatitis? / Gardiner BJ, Mahony AA, Ellis AG[et al.] // Clin Infect Dis.- 2014.- № 58(4).-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101-105</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 xml:space="preserve">Goodarz Danaei. National, regional, and global trends in fasting plasma glucose and diabetes prevalence since 1980: systematic analysis of health examination surveys and epidemiological studies with 370 country-years and 2·7 million participants / Goodarz Danaei, Mariel M Finucane, Yuan Lu, Gitanjali M Singh, Melanie J Cowan et al. // The Lancet </w:t>
      </w:r>
      <w:r w:rsidRPr="006B4867">
        <w:rPr>
          <w:rFonts w:cstheme="minorHAnsi"/>
          <w:bCs/>
          <w:color w:val="000000" w:themeColor="text1"/>
          <w:sz w:val="28"/>
          <w:szCs w:val="28"/>
          <w:lang w:val="en-US"/>
        </w:rPr>
        <w:t>Volume 378, No. 9785</w:t>
      </w:r>
      <w:r w:rsidRPr="006B4867">
        <w:rPr>
          <w:rFonts w:cstheme="minorHAnsi"/>
          <w:color w:val="000000" w:themeColor="text1"/>
          <w:sz w:val="28"/>
          <w:szCs w:val="28"/>
          <w:lang w:val="en-US"/>
        </w:rPr>
        <w:t>, p31–40, 2 July 2011</w:t>
      </w:r>
      <w:r w:rsidRPr="006B4867">
        <w:rPr>
          <w:rFonts w:cstheme="minorHAnsi"/>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Gootz</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TD</w:t>
      </w:r>
      <w:r w:rsidRPr="006B4867">
        <w:rPr>
          <w:rFonts w:eastAsia="Times New Roman" w:cstheme="minorHAnsi"/>
          <w:sz w:val="28"/>
          <w:szCs w:val="28"/>
          <w:lang w:val="uk-UA" w:eastAsia="ru-RU"/>
        </w:rPr>
        <w:t>.</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The</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global</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 xml:space="preserve">problem of antibiotic resistance / </w:t>
      </w:r>
      <w:r w:rsidRPr="006B4867">
        <w:rPr>
          <w:rFonts w:eastAsia="Times New Roman" w:cstheme="minorHAnsi"/>
          <w:sz w:val="28"/>
          <w:szCs w:val="28"/>
          <w:lang w:val="en-US" w:eastAsia="ru-RU"/>
        </w:rPr>
        <w:t>Gootz TD</w:t>
      </w:r>
      <w:r w:rsidRPr="006B4867">
        <w:rPr>
          <w:rFonts w:eastAsia="Times New Roman" w:cstheme="minorHAnsi"/>
          <w:sz w:val="28"/>
          <w:szCs w:val="28"/>
          <w:lang w:val="uk-UA" w:eastAsia="ru-RU"/>
        </w:rPr>
        <w:t xml:space="preserve"> // </w:t>
      </w:r>
      <w:r w:rsidRPr="006B4867">
        <w:rPr>
          <w:rFonts w:eastAsia="Times New Roman" w:cstheme="minorHAnsi"/>
          <w:sz w:val="28"/>
          <w:szCs w:val="28"/>
          <w:lang w:val="en-US" w:eastAsia="ru-RU"/>
        </w:rPr>
        <w:t xml:space="preserve">Crit Rev Immunol. – 2010.- </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30(1)</w:t>
      </w:r>
      <w:r w:rsidRPr="006B4867">
        <w:rPr>
          <w:rFonts w:eastAsia="Times New Roman" w:cstheme="minorHAnsi"/>
          <w:sz w:val="28"/>
          <w:szCs w:val="28"/>
          <w:lang w:val="uk-UA" w:eastAsia="ru-RU"/>
        </w:rPr>
        <w:t>. – Р.</w:t>
      </w:r>
      <w:r w:rsidRPr="006B4867">
        <w:rPr>
          <w:rFonts w:eastAsia="Times New Roman" w:cstheme="minorHAnsi"/>
          <w:sz w:val="28"/>
          <w:szCs w:val="28"/>
          <w:lang w:val="en-US" w:eastAsia="ru-RU"/>
        </w:rPr>
        <w:t>79-93</w:t>
      </w:r>
      <w:r w:rsidRPr="006B4867">
        <w:rPr>
          <w:rFonts w:eastAsia="Times New Roman" w:cstheme="minorHAnsi"/>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Gootz</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TD</w:t>
      </w:r>
      <w:r w:rsidRPr="006B4867">
        <w:rPr>
          <w:rFonts w:eastAsia="Times New Roman" w:cstheme="minorHAnsi"/>
          <w:sz w:val="28"/>
          <w:szCs w:val="28"/>
          <w:lang w:val="uk-UA" w:eastAsia="ru-RU"/>
        </w:rPr>
        <w:t>.</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The</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global</w:t>
      </w:r>
      <w:r w:rsidRPr="006B4867">
        <w:rPr>
          <w:rFonts w:eastAsia="Times New Roman" w:cstheme="minorHAnsi"/>
          <w:bCs/>
          <w:kern w:val="36"/>
          <w:sz w:val="28"/>
          <w:szCs w:val="28"/>
          <w:lang w:val="uk-UA" w:eastAsia="ru-RU"/>
        </w:rPr>
        <w:t xml:space="preserve"> </w:t>
      </w:r>
      <w:r w:rsidRPr="006B4867">
        <w:rPr>
          <w:rFonts w:eastAsia="Times New Roman" w:cstheme="minorHAnsi"/>
          <w:bCs/>
          <w:kern w:val="36"/>
          <w:sz w:val="28"/>
          <w:szCs w:val="28"/>
          <w:lang w:val="en-US" w:eastAsia="ru-RU"/>
        </w:rPr>
        <w:t xml:space="preserve">problem of antibiotic resistance / </w:t>
      </w:r>
      <w:r w:rsidRPr="006B4867">
        <w:rPr>
          <w:rFonts w:eastAsia="Times New Roman" w:cstheme="minorHAnsi"/>
          <w:sz w:val="28"/>
          <w:szCs w:val="28"/>
          <w:lang w:val="en-US" w:eastAsia="ru-RU"/>
        </w:rPr>
        <w:t>Gootz TD</w:t>
      </w:r>
      <w:r w:rsidRPr="006B4867">
        <w:rPr>
          <w:rFonts w:eastAsia="Times New Roman" w:cstheme="minorHAnsi"/>
          <w:sz w:val="28"/>
          <w:szCs w:val="28"/>
          <w:lang w:val="uk-UA" w:eastAsia="ru-RU"/>
        </w:rPr>
        <w:t xml:space="preserve"> // </w:t>
      </w:r>
      <w:r w:rsidRPr="006B4867">
        <w:rPr>
          <w:rFonts w:eastAsia="Times New Roman" w:cstheme="minorHAnsi"/>
          <w:sz w:val="28"/>
          <w:szCs w:val="28"/>
          <w:lang w:val="en-US" w:eastAsia="ru-RU"/>
        </w:rPr>
        <w:t xml:space="preserve">Crit Rev Immunol. – 2010.- </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30(1)</w:t>
      </w:r>
      <w:r w:rsidRPr="006B4867">
        <w:rPr>
          <w:rFonts w:eastAsia="Times New Roman" w:cstheme="minorHAnsi"/>
          <w:sz w:val="28"/>
          <w:szCs w:val="28"/>
          <w:lang w:val="uk-UA" w:eastAsia="ru-RU"/>
        </w:rPr>
        <w:t>. – Р.</w:t>
      </w:r>
      <w:r w:rsidRPr="006B4867">
        <w:rPr>
          <w:rFonts w:eastAsia="Times New Roman" w:cstheme="minorHAnsi"/>
          <w:sz w:val="28"/>
          <w:szCs w:val="28"/>
          <w:lang w:val="en-US" w:eastAsia="ru-RU"/>
        </w:rPr>
        <w:t>79-93.</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Görgeç S</w:t>
      </w:r>
      <w:r w:rsidRPr="006B4867">
        <w:rPr>
          <w:rFonts w:cstheme="minorHAnsi"/>
          <w:color w:val="000000"/>
          <w:sz w:val="28"/>
          <w:szCs w:val="28"/>
          <w:lang w:val="uk-UA"/>
        </w:rPr>
        <w:t xml:space="preserve">. </w:t>
      </w:r>
      <w:r w:rsidRPr="006B4867">
        <w:rPr>
          <w:rFonts w:cstheme="minorHAnsi"/>
          <w:color w:val="000000"/>
          <w:sz w:val="28"/>
          <w:szCs w:val="28"/>
          <w:lang w:val="en-US"/>
        </w:rPr>
        <w:t>Investigation of beta-lactamase genes and clonal relationship among the extended-spectrumbeta-lactamase producing nosocomial Escherichia coli isolates</w:t>
      </w:r>
      <w:r w:rsidRPr="006B4867">
        <w:rPr>
          <w:rFonts w:cstheme="minorHAnsi"/>
          <w:color w:val="000000"/>
          <w:sz w:val="28"/>
          <w:szCs w:val="28"/>
          <w:lang w:val="uk-UA"/>
        </w:rPr>
        <w:t xml:space="preserve"> / </w:t>
      </w:r>
      <w:r w:rsidRPr="006B4867">
        <w:rPr>
          <w:rFonts w:cstheme="minorHAnsi"/>
          <w:color w:val="000000"/>
          <w:sz w:val="28"/>
          <w:szCs w:val="28"/>
          <w:lang w:val="en-US"/>
        </w:rPr>
        <w:t>Görgeç S, Kuzucu Ç, Otlu B, Yetkin F, Ersoy Y</w:t>
      </w:r>
      <w:r w:rsidRPr="006B4867">
        <w:rPr>
          <w:rFonts w:cstheme="minorHAnsi"/>
          <w:color w:val="000000"/>
          <w:sz w:val="28"/>
          <w:szCs w:val="28"/>
          <w:lang w:val="uk-UA"/>
        </w:rPr>
        <w:t xml:space="preserve"> // </w:t>
      </w:r>
      <w:r w:rsidRPr="006B4867">
        <w:rPr>
          <w:rFonts w:cstheme="minorHAnsi"/>
          <w:color w:val="000000"/>
          <w:sz w:val="28"/>
          <w:szCs w:val="28"/>
          <w:lang w:val="en-US"/>
        </w:rPr>
        <w:t>Mikrobiyol Bul. 2015 Jan;49(1):15-25</w:t>
      </w:r>
      <w:r w:rsidRPr="006B4867">
        <w:rPr>
          <w:rFonts w:cstheme="minorHAnsi"/>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Hammami S</w:t>
      </w:r>
      <w:r w:rsidRPr="006B4867">
        <w:rPr>
          <w:rFonts w:cstheme="minorHAnsi"/>
          <w:color w:val="000000"/>
          <w:sz w:val="28"/>
          <w:szCs w:val="28"/>
          <w:lang w:val="uk-UA"/>
        </w:rPr>
        <w:t>.</w:t>
      </w:r>
      <w:r w:rsidRPr="006B4867">
        <w:rPr>
          <w:rFonts w:cstheme="minorHAnsi"/>
          <w:sz w:val="28"/>
          <w:szCs w:val="28"/>
          <w:shd w:val="clear" w:color="auto" w:fill="FFFFFF"/>
          <w:lang w:val="uk-UA"/>
        </w:rPr>
        <w:t xml:space="preserve"> </w:t>
      </w:r>
      <w:r w:rsidRPr="006B4867">
        <w:rPr>
          <w:rFonts w:cstheme="minorHAnsi"/>
          <w:color w:val="000000"/>
          <w:sz w:val="28"/>
          <w:szCs w:val="28"/>
          <w:lang w:val="en-US"/>
        </w:rPr>
        <w:t xml:space="preserve">Characterization of extended spectrum </w:t>
      </w:r>
      <w:r w:rsidRPr="006B4867">
        <w:rPr>
          <w:rFonts w:cstheme="minorHAnsi"/>
          <w:color w:val="000000"/>
          <w:sz w:val="28"/>
          <w:szCs w:val="28"/>
        </w:rPr>
        <w:t>β</w:t>
      </w:r>
      <w:r w:rsidRPr="006B4867">
        <w:rPr>
          <w:rFonts w:cstheme="minorHAnsi"/>
          <w:color w:val="000000"/>
          <w:sz w:val="28"/>
          <w:szCs w:val="28"/>
          <w:lang w:val="en-US"/>
        </w:rPr>
        <w:t>-lactamase-producing Escherichia coli in community-acquired urinary tract infections in Tunisia</w:t>
      </w:r>
      <w:r w:rsidRPr="006B4867">
        <w:rPr>
          <w:rFonts w:cstheme="minorHAnsi"/>
          <w:color w:val="000000"/>
          <w:sz w:val="28"/>
          <w:szCs w:val="28"/>
          <w:lang w:val="uk-UA"/>
        </w:rPr>
        <w:t xml:space="preserve"> / </w:t>
      </w:r>
      <w:r w:rsidRPr="006B4867">
        <w:rPr>
          <w:rFonts w:cstheme="minorHAnsi"/>
          <w:color w:val="000000"/>
          <w:sz w:val="28"/>
          <w:szCs w:val="28"/>
          <w:lang w:val="en-US"/>
        </w:rPr>
        <w:t>Hammami S, Saidani M, Ferjeni S, Aissa I, Slim A, Boutiba-Ben Boubaker I</w:t>
      </w:r>
      <w:r w:rsidRPr="006B4867">
        <w:rPr>
          <w:rFonts w:cstheme="minorHAnsi"/>
          <w:color w:val="000000"/>
          <w:sz w:val="28"/>
          <w:szCs w:val="28"/>
          <w:lang w:val="uk-UA"/>
        </w:rPr>
        <w:t xml:space="preserve"> // </w:t>
      </w:r>
      <w:r w:rsidRPr="006B4867">
        <w:rPr>
          <w:rFonts w:cstheme="minorHAnsi"/>
          <w:color w:val="000000"/>
          <w:sz w:val="28"/>
          <w:szCs w:val="28"/>
          <w:lang w:val="en-US"/>
        </w:rPr>
        <w:t>Microb Drug Resist. 2013 Jun;19(3):231-6.</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Hansen L. H. Substrate specificity of the OqxAB multidrug resistance pump in </w:t>
      </w:r>
      <w:r w:rsidRPr="006B4867">
        <w:rPr>
          <w:rFonts w:cstheme="minorHAnsi"/>
          <w:iCs/>
          <w:sz w:val="28"/>
          <w:szCs w:val="28"/>
          <w:lang w:val="en-US"/>
        </w:rPr>
        <w:t xml:space="preserve">Escherichia coli </w:t>
      </w:r>
      <w:r w:rsidRPr="006B4867">
        <w:rPr>
          <w:rFonts w:cstheme="minorHAnsi"/>
          <w:sz w:val="28"/>
          <w:szCs w:val="28"/>
          <w:lang w:val="en-US"/>
        </w:rPr>
        <w:t xml:space="preserve">and selected enteric bacteria / L. H. Hansen, L. B. Jensen, H. I. Sorensen </w:t>
      </w:r>
      <w:r w:rsidRPr="006B4867">
        <w:rPr>
          <w:rFonts w:cstheme="minorHAnsi"/>
          <w:color w:val="000000" w:themeColor="text1"/>
          <w:sz w:val="28"/>
          <w:szCs w:val="28"/>
          <w:lang w:val="en-US"/>
        </w:rPr>
        <w:t>[et al]</w:t>
      </w:r>
      <w:r w:rsidRPr="006B4867">
        <w:rPr>
          <w:rFonts w:cstheme="minorHAnsi"/>
          <w:sz w:val="28"/>
          <w:szCs w:val="28"/>
          <w:lang w:val="en-US"/>
        </w:rPr>
        <w:t xml:space="preserve"> // </w:t>
      </w:r>
      <w:r w:rsidRPr="006B4867">
        <w:rPr>
          <w:rFonts w:cstheme="minorHAnsi"/>
          <w:iCs/>
          <w:sz w:val="28"/>
          <w:szCs w:val="28"/>
          <w:lang w:val="en-US"/>
        </w:rPr>
        <w:t xml:space="preserve">J. Antimicrob.Chemother. – 2007. - № </w:t>
      </w:r>
      <w:r w:rsidRPr="006B4867">
        <w:rPr>
          <w:rFonts w:cstheme="minorHAnsi"/>
          <w:sz w:val="28"/>
          <w:szCs w:val="28"/>
          <w:lang w:val="en-US"/>
        </w:rPr>
        <w:t xml:space="preserve">60. – </w:t>
      </w:r>
      <w:r w:rsidRPr="006B4867">
        <w:rPr>
          <w:rFonts w:cstheme="minorHAnsi"/>
          <w:sz w:val="28"/>
          <w:szCs w:val="28"/>
        </w:rPr>
        <w:t>Р</w:t>
      </w:r>
      <w:r w:rsidRPr="006B4867">
        <w:rPr>
          <w:rFonts w:cstheme="minorHAnsi"/>
          <w:sz w:val="28"/>
          <w:szCs w:val="28"/>
          <w:lang w:val="en-US"/>
        </w:rPr>
        <w:t>. 145–147</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Huh</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Continuous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increase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antimicrobial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resistance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among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gram</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negative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pathogens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causing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bacteremia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nationwide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surveillance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study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Korean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Network</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for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Study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Infectious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Diseases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KONSID</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Huh</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Kim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Cho</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al</w:t>
      </w:r>
      <w:r w:rsidRPr="006B4867">
        <w:rPr>
          <w:rFonts w:ascii="Times New Roman" w:eastAsia="Times New Roman" w:hAnsi="Times New Roman" w:cs="Times New Roman"/>
          <w:color w:val="000000"/>
          <w:sz w:val="28"/>
          <w:szCs w:val="28"/>
          <w:lang w:val="uk-UA"/>
        </w:rPr>
        <w:t>.]</w:t>
      </w:r>
      <w:r w:rsidRPr="006B4867">
        <w:rPr>
          <w:rFonts w:ascii="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Diagn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Microbiol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Infect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Dis</w:t>
      </w:r>
      <w:r w:rsidRPr="006B4867">
        <w:rPr>
          <w:rFonts w:ascii="Times New Roman" w:eastAsia="Times New Roman" w:hAnsi="Times New Roman" w:cs="Times New Roman"/>
          <w:color w:val="000000"/>
          <w:sz w:val="28"/>
          <w:szCs w:val="28"/>
          <w:lang w:val="uk-UA"/>
        </w:rPr>
        <w:t xml:space="preserve">.- 2013.- </w:t>
      </w:r>
      <w:r w:rsidRPr="006B4867">
        <w:rPr>
          <w:rFonts w:ascii="Times New Roman" w:eastAsia="Times New Roman" w:hAnsi="Times New Roman" w:cs="Times New Roman"/>
          <w:color w:val="000000"/>
          <w:sz w:val="28"/>
          <w:szCs w:val="28"/>
          <w:lang w:val="en-US"/>
        </w:rPr>
        <w:t xml:space="preserve">№ 76(4).-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477-482.</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lastRenderedPageBreak/>
        <w:t>Huijbers PM, Graat EA, Haenen AP,</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et al /  </w:t>
      </w:r>
      <w:r w:rsidRPr="006B4867">
        <w:rPr>
          <w:rFonts w:ascii="Times New Roman" w:eastAsia="Times New Roman" w:hAnsi="Times New Roman" w:cs="Times New Roman"/>
          <w:bCs/>
          <w:color w:val="000000" w:themeColor="text1"/>
          <w:kern w:val="36"/>
          <w:sz w:val="28"/>
          <w:szCs w:val="28"/>
          <w:lang w:val="en-US" w:eastAsia="ru-RU"/>
        </w:rPr>
        <w:t xml:space="preserve">Extended-spectrum and AmpC </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 xml:space="preserve">-lactamase-producing Escherichia coli in broilers and people living and/or working on broiler farms: prevalence, risk factors and molecular characteristics / </w:t>
      </w:r>
      <w:r w:rsidRPr="006B4867">
        <w:rPr>
          <w:rFonts w:ascii="Times New Roman" w:eastAsia="Times New Roman" w:hAnsi="Times New Roman" w:cs="Times New Roman"/>
          <w:color w:val="000000" w:themeColor="text1"/>
          <w:sz w:val="28"/>
          <w:szCs w:val="28"/>
          <w:lang w:val="en-US" w:eastAsia="ru-RU"/>
        </w:rPr>
        <w:t>J Antimicrob Chemother.</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 2014</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 xml:space="preserve"> Oct;</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69(10):2669-75.</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Huijbers PM, Graat EA, Haenen AP,</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et al /  </w:t>
      </w:r>
      <w:r w:rsidRPr="006B4867">
        <w:rPr>
          <w:rFonts w:ascii="Times New Roman" w:eastAsia="Times New Roman" w:hAnsi="Times New Roman" w:cs="Times New Roman"/>
          <w:bCs/>
          <w:color w:val="000000" w:themeColor="text1"/>
          <w:kern w:val="36"/>
          <w:sz w:val="28"/>
          <w:szCs w:val="28"/>
          <w:lang w:val="en-US" w:eastAsia="ru-RU"/>
        </w:rPr>
        <w:t xml:space="preserve">Extended-spectrum and AmpC </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 xml:space="preserve">-lactamase-producing Escherichia coli in broilers and people living and/or working on broiler farms: prevalence, risk factors and molecular characteristics / </w:t>
      </w:r>
      <w:r w:rsidRPr="006B4867">
        <w:rPr>
          <w:rFonts w:ascii="Times New Roman" w:eastAsia="Times New Roman" w:hAnsi="Times New Roman" w:cs="Times New Roman"/>
          <w:color w:val="000000" w:themeColor="text1"/>
          <w:sz w:val="28"/>
          <w:szCs w:val="28"/>
          <w:lang w:val="en-US" w:eastAsia="ru-RU"/>
        </w:rPr>
        <w:t>J Antimicrob Chemother.</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 2014</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 xml:space="preserve"> Oct;</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69(10):2669-75. doi: 10.1093/jac/dku178. Epub 2014 May 30.</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Ian</w:t>
      </w:r>
      <w:r w:rsidRPr="006B4867">
        <w:rPr>
          <w:rFonts w:cstheme="minorHAnsi"/>
          <w:sz w:val="28"/>
          <w:szCs w:val="28"/>
          <w:lang w:val="uk-UA"/>
        </w:rPr>
        <w:t xml:space="preserve"> </w:t>
      </w:r>
      <w:r w:rsidRPr="006B4867">
        <w:rPr>
          <w:rFonts w:cstheme="minorHAnsi"/>
          <w:sz w:val="28"/>
          <w:szCs w:val="28"/>
          <w:lang w:val="en-US"/>
        </w:rPr>
        <w:t>Morrissey</w:t>
      </w:r>
      <w:r w:rsidRPr="006B4867">
        <w:rPr>
          <w:rFonts w:cstheme="minorHAnsi"/>
          <w:sz w:val="28"/>
          <w:szCs w:val="28"/>
          <w:lang w:val="uk-UA"/>
        </w:rPr>
        <w:t xml:space="preserve"> </w:t>
      </w:r>
      <w:r w:rsidRPr="006B4867">
        <w:rPr>
          <w:rFonts w:cstheme="minorHAnsi"/>
          <w:sz w:val="28"/>
          <w:szCs w:val="28"/>
          <w:lang w:val="en-US"/>
        </w:rPr>
        <w:t>et</w:t>
      </w:r>
      <w:r w:rsidRPr="006B4867">
        <w:rPr>
          <w:rFonts w:cstheme="minorHAnsi"/>
          <w:sz w:val="28"/>
          <w:szCs w:val="28"/>
          <w:lang w:val="uk-UA"/>
        </w:rPr>
        <w:t xml:space="preserve"> </w:t>
      </w:r>
      <w:r w:rsidRPr="006B4867">
        <w:rPr>
          <w:rFonts w:cstheme="minorHAnsi"/>
          <w:sz w:val="28"/>
          <w:szCs w:val="28"/>
          <w:lang w:val="en-US"/>
        </w:rPr>
        <w:t>al</w:t>
      </w:r>
      <w:r w:rsidRPr="006B4867">
        <w:rPr>
          <w:rFonts w:cstheme="minorHAnsi"/>
          <w:sz w:val="28"/>
          <w:szCs w:val="28"/>
          <w:lang w:val="uk-UA"/>
        </w:rPr>
        <w:t xml:space="preserve">. </w:t>
      </w:r>
      <w:r w:rsidRPr="006B4867">
        <w:rPr>
          <w:rFonts w:cstheme="minorHAnsi"/>
          <w:sz w:val="28"/>
          <w:szCs w:val="28"/>
          <w:lang w:val="en-US"/>
        </w:rPr>
        <w:t>A Review of Ten Years of the Study for Monitoring Antimicrobial Resistance Trends (SMART) from 2002 to 2011. Pharmaceuticals 2013, 6, 1335-1346.</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Imig JD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Immune and inflammatory role in renal disease</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Imig JD, Ryan MJ</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Compr Physiol. 2013 Apr;3(2):957-76.</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Jacoby G. “</w:t>
      </w:r>
      <w:r w:rsidRPr="006B4867">
        <w:rPr>
          <w:rFonts w:cstheme="minorHAnsi"/>
          <w:iCs/>
          <w:sz w:val="28"/>
          <w:szCs w:val="28"/>
          <w:lang w:val="en-US"/>
        </w:rPr>
        <w:t xml:space="preserve">qnr </w:t>
      </w:r>
      <w:r w:rsidRPr="006B4867">
        <w:rPr>
          <w:rFonts w:cstheme="minorHAnsi"/>
          <w:sz w:val="28"/>
          <w:szCs w:val="28"/>
          <w:lang w:val="en-US"/>
        </w:rPr>
        <w:t xml:space="preserve">gene nomenclature” / G. Jacoby, V. Cattoir, D. Hooper [et al] // </w:t>
      </w:r>
      <w:r w:rsidRPr="006B4867">
        <w:rPr>
          <w:rFonts w:cstheme="minorHAnsi"/>
          <w:iCs/>
          <w:sz w:val="28"/>
          <w:szCs w:val="28"/>
          <w:lang w:val="en-US"/>
        </w:rPr>
        <w:t>Antimicrobial Agents and Chemotherapy</w:t>
      </w:r>
      <w:r w:rsidRPr="006B4867">
        <w:rPr>
          <w:rFonts w:cstheme="minorHAnsi"/>
          <w:sz w:val="28"/>
          <w:szCs w:val="28"/>
          <w:lang w:val="en-US"/>
        </w:rPr>
        <w:t xml:space="preserve">.- 2008.- №7.- </w:t>
      </w:r>
      <w:r w:rsidRPr="006B4867">
        <w:rPr>
          <w:rFonts w:cstheme="minorHAnsi"/>
          <w:sz w:val="28"/>
          <w:szCs w:val="28"/>
        </w:rPr>
        <w:t>Р</w:t>
      </w:r>
      <w:r w:rsidRPr="006B4867">
        <w:rPr>
          <w:rFonts w:cstheme="minorHAnsi"/>
          <w:sz w:val="28"/>
          <w:szCs w:val="28"/>
          <w:lang w:val="en-US"/>
        </w:rPr>
        <w:t>. 2297–2299</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Jamborova I</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Plasmid-mediated resistance to cephalosporins and fluoroquinolones in various Escherichia coli sequence types in Europe</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Jamborova I, Dolejska M, Vojtech J, Guenther S, Uricariu R, Drozdowska J</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Appl Environ Microbiol. 2015 Jan;81(2):648-57</w:t>
      </w:r>
      <w:r w:rsidRPr="006B4867">
        <w:rPr>
          <w:rFonts w:cstheme="minorHAnsi"/>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bCs/>
          <w:sz w:val="28"/>
          <w:szCs w:val="28"/>
          <w:lang w:val="en-US" w:eastAsia="ru-RU"/>
        </w:rPr>
        <w:t xml:space="preserve">Jansaker F. </w:t>
      </w:r>
      <w:r w:rsidRPr="006B4867">
        <w:rPr>
          <w:rFonts w:ascii="Times New Roman" w:eastAsia="Times New Roman" w:hAnsi="Times New Roman" w:cs="Times New Roman"/>
          <w:bCs/>
          <w:kern w:val="36"/>
          <w:sz w:val="28"/>
          <w:szCs w:val="28"/>
          <w:lang w:val="en-US" w:eastAsia="ru-RU"/>
        </w:rPr>
        <w:t xml:space="preserve">Clinical and bacteriological effects of pivmecillinam for ESBL-producing Escherichia coli or Klebsiella pneumoniae in urinary tract infections / </w:t>
      </w:r>
      <w:r w:rsidRPr="006B4867">
        <w:rPr>
          <w:rFonts w:ascii="Times New Roman" w:eastAsia="Times New Roman" w:hAnsi="Times New Roman" w:cs="Times New Roman"/>
          <w:bCs/>
          <w:sz w:val="28"/>
          <w:szCs w:val="28"/>
          <w:lang w:val="en-US" w:eastAsia="ru-RU"/>
        </w:rPr>
        <w:t xml:space="preserve">Jansaker F, Frimodt-Møller N, Sjögren I, Dahl Knudsen J // J Antimicrob Chemother. </w:t>
      </w:r>
      <w:r w:rsidRPr="006B4867">
        <w:rPr>
          <w:rFonts w:ascii="Times New Roman" w:eastAsia="Times New Roman" w:hAnsi="Times New Roman" w:cs="Times New Roman"/>
          <w:sz w:val="28"/>
          <w:szCs w:val="28"/>
          <w:lang w:val="en-US" w:eastAsia="ru-RU"/>
        </w:rPr>
        <w:t>2014 Mar;69(3):769-72.</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Jlili</w:t>
      </w:r>
      <w:r w:rsidRPr="006B4867">
        <w:rPr>
          <w:rFonts w:cstheme="minorHAnsi"/>
          <w:color w:val="000000"/>
          <w:sz w:val="28"/>
          <w:szCs w:val="28"/>
          <w:lang w:val="uk-UA"/>
        </w:rPr>
        <w:t xml:space="preserve"> </w:t>
      </w:r>
      <w:r w:rsidRPr="006B4867">
        <w:rPr>
          <w:rFonts w:cstheme="minorHAnsi"/>
          <w:color w:val="000000"/>
          <w:sz w:val="28"/>
          <w:szCs w:val="28"/>
          <w:lang w:val="en-US"/>
        </w:rPr>
        <w:t>Nel</w:t>
      </w:r>
      <w:r w:rsidRPr="006B4867">
        <w:rPr>
          <w:rFonts w:cstheme="minorHAnsi"/>
          <w:color w:val="000000"/>
          <w:sz w:val="28"/>
          <w:szCs w:val="28"/>
          <w:lang w:val="uk-UA"/>
        </w:rPr>
        <w:t>-</w:t>
      </w:r>
      <w:r w:rsidRPr="006B4867">
        <w:rPr>
          <w:rFonts w:cstheme="minorHAnsi"/>
          <w:color w:val="000000"/>
          <w:sz w:val="28"/>
          <w:szCs w:val="28"/>
          <w:lang w:val="en-US"/>
        </w:rPr>
        <w:t>H</w:t>
      </w:r>
      <w:r w:rsidRPr="006B4867">
        <w:rPr>
          <w:rFonts w:cstheme="minorHAnsi"/>
          <w:color w:val="000000"/>
          <w:sz w:val="28"/>
          <w:szCs w:val="28"/>
          <w:lang w:val="uk-UA"/>
        </w:rPr>
        <w:t xml:space="preserve">. </w:t>
      </w:r>
      <w:r w:rsidRPr="006B4867">
        <w:rPr>
          <w:rFonts w:cstheme="minorHAnsi"/>
          <w:color w:val="000000"/>
          <w:sz w:val="28"/>
          <w:szCs w:val="28"/>
          <w:lang w:val="en-US"/>
        </w:rPr>
        <w:t>Trend of plasmid-mediated quinolone resistance genes at the Children's Hospital in Tunisia</w:t>
      </w:r>
      <w:r w:rsidRPr="006B4867">
        <w:rPr>
          <w:rFonts w:cstheme="minorHAnsi"/>
          <w:color w:val="000000"/>
          <w:sz w:val="28"/>
          <w:szCs w:val="28"/>
          <w:lang w:val="uk-UA"/>
        </w:rPr>
        <w:t xml:space="preserve"> / </w:t>
      </w:r>
      <w:r w:rsidRPr="006B4867">
        <w:rPr>
          <w:rFonts w:cstheme="minorHAnsi"/>
          <w:color w:val="000000"/>
          <w:sz w:val="28"/>
          <w:szCs w:val="28"/>
          <w:lang w:val="en-US"/>
        </w:rPr>
        <w:t>Jlili Nel-H, Réjiba S, Smaoui H, Guillard T, Chau F, Kechrid A, Cambau E</w:t>
      </w:r>
      <w:r w:rsidRPr="006B4867">
        <w:rPr>
          <w:rFonts w:cstheme="minorHAnsi"/>
          <w:color w:val="000000"/>
          <w:sz w:val="28"/>
          <w:szCs w:val="28"/>
          <w:lang w:val="uk-UA"/>
        </w:rPr>
        <w:t xml:space="preserve"> // </w:t>
      </w:r>
      <w:r w:rsidRPr="006B4867">
        <w:rPr>
          <w:rFonts w:cstheme="minorHAnsi"/>
          <w:color w:val="000000"/>
          <w:sz w:val="28"/>
          <w:szCs w:val="28"/>
          <w:lang w:val="en-US"/>
        </w:rPr>
        <w:t>J Med Microbiol. 2014 Feb;63(Pt 2):195-202.</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Jlili Nel-H. </w:t>
      </w:r>
      <w:r w:rsidRPr="006B4867">
        <w:rPr>
          <w:rFonts w:eastAsia="Times New Roman" w:cstheme="minorHAnsi"/>
          <w:bCs/>
          <w:color w:val="000000" w:themeColor="text1"/>
          <w:kern w:val="36"/>
          <w:sz w:val="28"/>
          <w:szCs w:val="28"/>
          <w:lang w:val="en-US" w:eastAsia="ru-RU"/>
        </w:rPr>
        <w:t xml:space="preserve">Trend of plasmid-mediated quinolone resistance genes at the Children's Hospital in Tunisia / </w:t>
      </w:r>
      <w:r w:rsidRPr="006B4867">
        <w:rPr>
          <w:rFonts w:eastAsia="Times New Roman" w:cstheme="minorHAnsi"/>
          <w:color w:val="000000" w:themeColor="text1"/>
          <w:sz w:val="28"/>
          <w:szCs w:val="28"/>
          <w:lang w:val="en-US" w:eastAsia="ru-RU"/>
        </w:rPr>
        <w:t xml:space="preserve">Jlili Nel-H, Réjiba S, Smaoui H, Guillard </w:t>
      </w:r>
      <w:r w:rsidRPr="006B4867">
        <w:rPr>
          <w:rFonts w:eastAsia="Times New Roman" w:cstheme="minorHAnsi"/>
          <w:color w:val="000000" w:themeColor="text1"/>
          <w:sz w:val="28"/>
          <w:szCs w:val="28"/>
          <w:lang w:val="en-US" w:eastAsia="ru-RU"/>
        </w:rPr>
        <w:lastRenderedPageBreak/>
        <w:t>T, Chau F, Kechrid A, Cambau E // J Med Microbiol. 2014 Feb;63(Pt 2):195-202</w:t>
      </w:r>
      <w:r w:rsidRPr="006B4867">
        <w:rPr>
          <w:rFonts w:eastAsia="Times New Roman" w:cstheme="minorHAnsi"/>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Johnson L. Emergence of fluoroquinolone-resistance in outpatient urinary </w:t>
      </w:r>
      <w:r w:rsidRPr="006B4867">
        <w:rPr>
          <w:rFonts w:cstheme="minorHAnsi"/>
          <w:iCs/>
          <w:sz w:val="28"/>
          <w:szCs w:val="28"/>
          <w:lang w:val="en-US"/>
        </w:rPr>
        <w:t>Escherichia</w:t>
      </w:r>
      <w:r w:rsidRPr="006B4867">
        <w:rPr>
          <w:rFonts w:cstheme="minorHAnsi"/>
          <w:sz w:val="28"/>
          <w:szCs w:val="28"/>
          <w:lang w:val="en-US"/>
        </w:rPr>
        <w:t xml:space="preserve"> </w:t>
      </w:r>
      <w:r w:rsidRPr="006B4867">
        <w:rPr>
          <w:rFonts w:cstheme="minorHAnsi"/>
          <w:iCs/>
          <w:sz w:val="28"/>
          <w:szCs w:val="28"/>
          <w:lang w:val="en-US"/>
        </w:rPr>
        <w:t>coli</w:t>
      </w:r>
      <w:r w:rsidRPr="006B4867">
        <w:rPr>
          <w:rFonts w:cstheme="minorHAnsi"/>
          <w:i/>
          <w:iCs/>
          <w:sz w:val="28"/>
          <w:szCs w:val="28"/>
          <w:lang w:val="en-US"/>
        </w:rPr>
        <w:t xml:space="preserve"> </w:t>
      </w:r>
      <w:r w:rsidRPr="006B4867">
        <w:rPr>
          <w:rFonts w:cstheme="minorHAnsi"/>
          <w:sz w:val="28"/>
          <w:szCs w:val="28"/>
          <w:lang w:val="en-US"/>
        </w:rPr>
        <w:t xml:space="preserve">isolates / L. Johnson, A. Sabel, W. J. Burman </w:t>
      </w:r>
      <w:r w:rsidRPr="006B4867">
        <w:rPr>
          <w:rFonts w:cstheme="minorHAnsi"/>
          <w:color w:val="000000" w:themeColor="text1"/>
          <w:sz w:val="28"/>
          <w:szCs w:val="28"/>
          <w:lang w:val="en-US"/>
        </w:rPr>
        <w:t xml:space="preserve">[et al] // </w:t>
      </w:r>
      <w:r w:rsidRPr="006B4867">
        <w:rPr>
          <w:rFonts w:cstheme="minorHAnsi"/>
          <w:iCs/>
          <w:sz w:val="28"/>
          <w:szCs w:val="28"/>
          <w:lang w:val="en-US"/>
        </w:rPr>
        <w:t>American Journal of Medicine</w:t>
      </w:r>
      <w:r w:rsidRPr="006B4867">
        <w:rPr>
          <w:rFonts w:cstheme="minorHAnsi"/>
          <w:sz w:val="28"/>
          <w:szCs w:val="28"/>
          <w:lang w:val="en-US"/>
        </w:rPr>
        <w:t xml:space="preserve">. - 2010. - №10. - </w:t>
      </w:r>
      <w:r w:rsidRPr="006B4867">
        <w:rPr>
          <w:rFonts w:cstheme="minorHAnsi"/>
          <w:sz w:val="28"/>
          <w:szCs w:val="28"/>
        </w:rPr>
        <w:t>Р</w:t>
      </w:r>
      <w:r w:rsidRPr="006B4867">
        <w:rPr>
          <w:rFonts w:cstheme="minorHAnsi"/>
          <w:sz w:val="28"/>
          <w:szCs w:val="28"/>
          <w:lang w:val="en-US"/>
        </w:rPr>
        <w:t>. 876–884</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 xml:space="preserve"> </w:t>
      </w:r>
      <w:r w:rsidRPr="006B4867">
        <w:rPr>
          <w:rFonts w:ascii="Times New Roman" w:eastAsia="Times New Roman" w:hAnsi="Times New Roman" w:cs="Times New Roman"/>
          <w:color w:val="000000" w:themeColor="text1"/>
          <w:sz w:val="28"/>
          <w:szCs w:val="28"/>
          <w:lang w:val="en-US" w:eastAsia="ru-RU"/>
        </w:rPr>
        <w:t>Kahlmeter</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G</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r w:rsidRPr="006B4867">
        <w:rPr>
          <w:rFonts w:ascii="Times New Roman" w:eastAsia="Times New Roman" w:hAnsi="Times New Roman" w:cs="Times New Roman"/>
          <w:bCs/>
          <w:color w:val="000000" w:themeColor="text1"/>
          <w:kern w:val="36"/>
          <w:sz w:val="28"/>
          <w:szCs w:val="28"/>
          <w:lang w:val="en-US" w:eastAsia="ru-RU"/>
        </w:rPr>
        <w:t>Antimicrobial susceptibility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of</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Escherichia</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coli</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from</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community</w:t>
      </w:r>
      <w:r w:rsidRPr="006B4867">
        <w:rPr>
          <w:rFonts w:ascii="Times New Roman" w:eastAsia="Times New Roman" w:hAnsi="Times New Roman" w:cs="Times New Roman"/>
          <w:bCs/>
          <w:color w:val="000000" w:themeColor="text1"/>
          <w:kern w:val="36"/>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acquired urinary tract infections</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in</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Europe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the</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ECO</w:t>
      </w:r>
      <w:r w:rsidRPr="006B4867">
        <w:rPr>
          <w:rFonts w:ascii="Times New Roman" w:eastAsia="Times New Roman" w:hAnsi="Times New Roman" w:cs="Times New Roman"/>
          <w:bCs/>
          <w:color w:val="000000" w:themeColor="text1"/>
          <w:kern w:val="36"/>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SENS study revisited</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Kahlmeter</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G</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Poulsen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HO</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Int</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J</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Antimicrob</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Agents</w:t>
      </w:r>
      <w:r w:rsidRPr="006B4867">
        <w:rPr>
          <w:rFonts w:ascii="Times New Roman" w:eastAsia="Times New Roman" w:hAnsi="Times New Roman" w:cs="Times New Roman"/>
          <w:color w:val="000000" w:themeColor="text1"/>
          <w:sz w:val="28"/>
          <w:szCs w:val="28"/>
          <w:lang w:val="uk-UA" w:eastAsia="ru-RU"/>
        </w:rPr>
        <w:t xml:space="preserve">.- 2012 </w:t>
      </w:r>
      <w:r w:rsidRPr="006B4867">
        <w:rPr>
          <w:rFonts w:ascii="Times New Roman" w:eastAsia="Times New Roman" w:hAnsi="Times New Roman" w:cs="Times New Roman"/>
          <w:color w:val="000000" w:themeColor="text1"/>
          <w:sz w:val="28"/>
          <w:szCs w:val="28"/>
          <w:lang w:val="en-US" w:eastAsia="ru-RU"/>
        </w:rPr>
        <w:t>Jan</w:t>
      </w:r>
      <w:r w:rsidRPr="006B4867">
        <w:rPr>
          <w:rFonts w:ascii="Times New Roman" w:eastAsia="Times New Roman" w:hAnsi="Times New Roman" w:cs="Times New Roman"/>
          <w:color w:val="000000" w:themeColor="text1"/>
          <w:sz w:val="28"/>
          <w:szCs w:val="28"/>
          <w:lang w:val="uk-UA" w:eastAsia="ru-RU"/>
        </w:rPr>
        <w:t>;39(1):45-51.</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bdr w:val="none" w:sz="0" w:space="0" w:color="auto" w:frame="1"/>
          <w:shd w:val="clear" w:color="auto" w:fill="FFFFFF"/>
          <w:lang w:val="en-US"/>
        </w:rPr>
        <w:t>Kang</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C</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I</w:t>
      </w:r>
      <w:r w:rsidRPr="006B4867">
        <w:rPr>
          <w:rFonts w:cstheme="minorHAnsi"/>
          <w:color w:val="000000" w:themeColor="text1"/>
          <w:sz w:val="28"/>
          <w:szCs w:val="28"/>
          <w:lang w:val="uk-UA"/>
        </w:rPr>
        <w:t xml:space="preserve">. </w:t>
      </w:r>
      <w:r w:rsidRPr="006B4867">
        <w:rPr>
          <w:rFonts w:cstheme="minorHAnsi"/>
          <w:bCs/>
          <w:color w:val="000000" w:themeColor="text1"/>
          <w:sz w:val="28"/>
          <w:szCs w:val="28"/>
          <w:lang w:val="en-US"/>
        </w:rPr>
        <w:t>Epidemiology</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and</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Risk</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Factors</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of</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Community</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Onset</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Infections</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Caused</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by</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Extended</w:t>
      </w:r>
      <w:r w:rsidRPr="006B4867">
        <w:rPr>
          <w:rFonts w:cstheme="minorHAnsi"/>
          <w:bCs/>
          <w:color w:val="000000" w:themeColor="text1"/>
          <w:sz w:val="28"/>
          <w:szCs w:val="28"/>
          <w:lang w:val="uk-UA"/>
        </w:rPr>
        <w:t>-</w:t>
      </w:r>
      <w:r w:rsidRPr="006B4867">
        <w:rPr>
          <w:rFonts w:cstheme="minorHAnsi"/>
          <w:bCs/>
          <w:color w:val="000000" w:themeColor="text1"/>
          <w:sz w:val="28"/>
          <w:szCs w:val="28"/>
          <w:lang w:val="en-US"/>
        </w:rPr>
        <w:t>Spectrum</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β</w:t>
      </w:r>
      <w:r w:rsidRPr="006B4867">
        <w:rPr>
          <w:rFonts w:cstheme="minorHAnsi"/>
          <w:bCs/>
          <w:color w:val="000000" w:themeColor="text1"/>
          <w:sz w:val="28"/>
          <w:szCs w:val="28"/>
          <w:lang w:val="uk-UA"/>
        </w:rPr>
        <w:t>-</w:t>
      </w:r>
      <w:r w:rsidRPr="006B4867">
        <w:rPr>
          <w:rFonts w:cstheme="minorHAnsi"/>
          <w:bCs/>
          <w:color w:val="000000" w:themeColor="text1"/>
          <w:sz w:val="28"/>
          <w:szCs w:val="28"/>
          <w:lang w:val="en-US"/>
        </w:rPr>
        <w:t>Lactamase</w:t>
      </w:r>
      <w:r w:rsidRPr="006B4867">
        <w:rPr>
          <w:rFonts w:cstheme="minorHAnsi"/>
          <w:bCs/>
          <w:color w:val="000000" w:themeColor="text1"/>
          <w:sz w:val="28"/>
          <w:szCs w:val="28"/>
          <w:lang w:val="uk-UA"/>
        </w:rPr>
        <w:t xml:space="preserve"> </w:t>
      </w:r>
      <w:r w:rsidRPr="006B4867">
        <w:rPr>
          <w:rFonts w:cstheme="minorHAnsi"/>
          <w:bCs/>
          <w:color w:val="000000" w:themeColor="text1"/>
          <w:sz w:val="28"/>
          <w:szCs w:val="28"/>
          <w:lang w:val="en-US"/>
        </w:rPr>
        <w:t>Producing</w:t>
      </w:r>
      <w:r w:rsidRPr="006B4867">
        <w:rPr>
          <w:rFonts w:cstheme="minorHAnsi"/>
          <w:bCs/>
          <w:color w:val="000000" w:themeColor="text1"/>
          <w:sz w:val="28"/>
          <w:szCs w:val="28"/>
          <w:lang w:val="uk-UA"/>
        </w:rPr>
        <w:t xml:space="preserve"> </w:t>
      </w:r>
      <w:r w:rsidRPr="006B4867">
        <w:rPr>
          <w:rFonts w:cstheme="minorHAnsi"/>
          <w:bCs/>
          <w:iCs/>
          <w:color w:val="000000" w:themeColor="text1"/>
          <w:sz w:val="28"/>
          <w:szCs w:val="28"/>
          <w:lang w:val="en-US"/>
        </w:rPr>
        <w:t>Escherichia</w:t>
      </w:r>
      <w:r w:rsidRPr="006B4867">
        <w:rPr>
          <w:rFonts w:cstheme="minorHAnsi"/>
          <w:bCs/>
          <w:iCs/>
          <w:color w:val="000000" w:themeColor="text1"/>
          <w:sz w:val="28"/>
          <w:szCs w:val="28"/>
          <w:lang w:val="uk-UA"/>
        </w:rPr>
        <w:t xml:space="preserve"> </w:t>
      </w:r>
      <w:r w:rsidRPr="006B4867">
        <w:rPr>
          <w:rFonts w:cstheme="minorHAnsi"/>
          <w:bCs/>
          <w:iCs/>
          <w:color w:val="000000" w:themeColor="text1"/>
          <w:sz w:val="28"/>
          <w:szCs w:val="28"/>
          <w:lang w:val="en-US"/>
        </w:rPr>
        <w:t>coli</w:t>
      </w:r>
      <w:r w:rsidRPr="006B4867">
        <w:rPr>
          <w:rFonts w:cstheme="minorHAnsi"/>
          <w:bCs/>
          <w:i/>
          <w:iCs/>
          <w:color w:val="000000" w:themeColor="text1"/>
          <w:sz w:val="28"/>
          <w:szCs w:val="28"/>
          <w:lang w:val="uk-UA"/>
        </w:rPr>
        <w:t xml:space="preserve"> </w:t>
      </w:r>
      <w:r w:rsidRPr="006B4867">
        <w:rPr>
          <w:rFonts w:cstheme="minorHAnsi"/>
          <w:bCs/>
          <w:color w:val="000000" w:themeColor="text1"/>
          <w:sz w:val="28"/>
          <w:szCs w:val="28"/>
          <w:lang w:val="en-US"/>
        </w:rPr>
        <w:t>Strains</w:t>
      </w:r>
      <w:r w:rsidRPr="006B4867">
        <w:rPr>
          <w:rFonts w:cstheme="minorHAnsi"/>
          <w:bCs/>
          <w:color w:val="000000" w:themeColor="text1"/>
          <w:sz w:val="28"/>
          <w:szCs w:val="28"/>
          <w:lang w:val="uk-UA"/>
        </w:rPr>
        <w:t xml:space="preserve"> / </w:t>
      </w:r>
      <w:r w:rsidRPr="006B4867">
        <w:rPr>
          <w:rFonts w:cstheme="minorHAnsi"/>
          <w:sz w:val="28"/>
          <w:szCs w:val="28"/>
          <w:bdr w:val="none" w:sz="0" w:space="0" w:color="auto" w:frame="1"/>
          <w:shd w:val="clear" w:color="auto" w:fill="FFFFFF"/>
          <w:lang w:val="en-US"/>
        </w:rPr>
        <w:t>C</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I</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Kang</w:t>
      </w:r>
      <w:r w:rsidRPr="006B4867">
        <w:rPr>
          <w:rFonts w:cstheme="minorHAnsi"/>
          <w:color w:val="000000" w:themeColor="text1"/>
          <w:sz w:val="28"/>
          <w:szCs w:val="28"/>
          <w:lang w:val="uk-UA"/>
        </w:rPr>
        <w:t xml:space="preserve">, </w:t>
      </w:r>
      <w:r w:rsidRPr="006B4867">
        <w:rPr>
          <w:rFonts w:cstheme="minorHAnsi"/>
          <w:sz w:val="28"/>
          <w:szCs w:val="28"/>
          <w:bdr w:val="none" w:sz="0" w:space="0" w:color="auto" w:frame="1"/>
          <w:shd w:val="clear" w:color="auto" w:fill="FFFFFF"/>
          <w:lang w:val="en-US"/>
        </w:rPr>
        <w:t>Y</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M</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Wi</w:t>
      </w:r>
      <w:r w:rsidRPr="006B4867">
        <w:rPr>
          <w:rFonts w:cstheme="minorHAnsi"/>
          <w:color w:val="000000"/>
          <w:sz w:val="28"/>
          <w:szCs w:val="28"/>
          <w:shd w:val="clear" w:color="auto" w:fill="FFFFFF"/>
          <w:lang w:val="uk-UA"/>
        </w:rPr>
        <w:t>,</w:t>
      </w:r>
      <w:r w:rsidRPr="006B4867">
        <w:rPr>
          <w:rFonts w:cstheme="minorHAnsi"/>
          <w:color w:val="000000"/>
          <w:sz w:val="28"/>
          <w:szCs w:val="28"/>
          <w:shd w:val="clear" w:color="auto" w:fill="FFFFFF"/>
          <w:lang w:val="en-US"/>
        </w:rPr>
        <w:t> </w:t>
      </w:r>
      <w:r w:rsidRPr="006B4867">
        <w:rPr>
          <w:rFonts w:cstheme="minorHAnsi"/>
          <w:sz w:val="28"/>
          <w:szCs w:val="28"/>
          <w:bdr w:val="none" w:sz="0" w:space="0" w:color="auto" w:frame="1"/>
          <w:shd w:val="clear" w:color="auto" w:fill="FFFFFF"/>
          <w:lang w:val="en-US"/>
        </w:rPr>
        <w:t>M</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Y</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Lee</w:t>
      </w:r>
      <w:r w:rsidRPr="006B4867">
        <w:rPr>
          <w:rFonts w:cstheme="minorHAnsi"/>
          <w:color w:val="000000"/>
          <w:sz w:val="28"/>
          <w:szCs w:val="28"/>
          <w:shd w:val="clear" w:color="auto" w:fill="FFFFFF"/>
          <w:lang w:val="uk-UA"/>
        </w:rPr>
        <w:t>,</w:t>
      </w:r>
      <w:r w:rsidRPr="006B4867">
        <w:rPr>
          <w:rFonts w:cstheme="minorHAnsi"/>
          <w:color w:val="000000"/>
          <w:sz w:val="28"/>
          <w:szCs w:val="28"/>
          <w:shd w:val="clear" w:color="auto" w:fill="FFFFFF"/>
          <w:lang w:val="en-US"/>
        </w:rPr>
        <w:t> </w:t>
      </w:r>
      <w:r w:rsidRPr="006B4867">
        <w:rPr>
          <w:rFonts w:cstheme="minorHAnsi"/>
          <w:sz w:val="28"/>
          <w:szCs w:val="28"/>
          <w:bdr w:val="none" w:sz="0" w:space="0" w:color="auto" w:frame="1"/>
          <w:shd w:val="clear" w:color="auto" w:fill="FFFFFF"/>
          <w:lang w:val="en-US"/>
        </w:rPr>
        <w:t>K</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S</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Ko</w:t>
      </w:r>
      <w:r w:rsidRPr="006B4867">
        <w:rPr>
          <w:rFonts w:cstheme="minorHAnsi"/>
          <w:color w:val="000000"/>
          <w:sz w:val="28"/>
          <w:szCs w:val="28"/>
          <w:shd w:val="clear" w:color="auto" w:fill="FFFFFF"/>
          <w:lang w:val="uk-UA"/>
        </w:rPr>
        <w:t>,</w:t>
      </w:r>
      <w:r w:rsidRPr="006B4867">
        <w:rPr>
          <w:rFonts w:cstheme="minorHAnsi"/>
          <w:color w:val="000000"/>
          <w:sz w:val="28"/>
          <w:szCs w:val="28"/>
          <w:shd w:val="clear" w:color="auto" w:fill="FFFFFF"/>
          <w:lang w:val="en-US"/>
        </w:rPr>
        <w:t> </w:t>
      </w:r>
      <w:r w:rsidRPr="006B4867">
        <w:rPr>
          <w:rFonts w:cstheme="minorHAnsi"/>
          <w:sz w:val="28"/>
          <w:szCs w:val="28"/>
          <w:bdr w:val="none" w:sz="0" w:space="0" w:color="auto" w:frame="1"/>
          <w:shd w:val="clear" w:color="auto" w:fill="FFFFFF"/>
          <w:lang w:val="en-US"/>
        </w:rPr>
        <w:t>D</w:t>
      </w:r>
      <w:r w:rsidRPr="006B4867">
        <w:rPr>
          <w:rFonts w:cstheme="minorHAnsi"/>
          <w:sz w:val="28"/>
          <w:szCs w:val="28"/>
          <w:bdr w:val="none" w:sz="0" w:space="0" w:color="auto" w:frame="1"/>
          <w:shd w:val="clear" w:color="auto" w:fill="FFFFFF"/>
          <w:lang w:val="uk-UA"/>
        </w:rPr>
        <w:t>.</w:t>
      </w:r>
      <w:r w:rsidRPr="006B4867">
        <w:rPr>
          <w:rFonts w:cstheme="minorHAnsi"/>
          <w:sz w:val="28"/>
          <w:szCs w:val="28"/>
          <w:bdr w:val="none" w:sz="0" w:space="0" w:color="auto" w:frame="1"/>
          <w:shd w:val="clear" w:color="auto" w:fill="FFFFFF"/>
          <w:lang w:val="en-US"/>
        </w:rPr>
        <w:t>R</w:t>
      </w:r>
      <w:r w:rsidRPr="006B4867">
        <w:rPr>
          <w:rFonts w:cstheme="minorHAnsi"/>
          <w:sz w:val="28"/>
          <w:szCs w:val="28"/>
          <w:bdr w:val="none" w:sz="0" w:space="0" w:color="auto" w:frame="1"/>
          <w:shd w:val="clear" w:color="auto" w:fill="FFFFFF"/>
          <w:lang w:val="uk-UA"/>
        </w:rPr>
        <w:t xml:space="preserve">. </w:t>
      </w:r>
      <w:r w:rsidRPr="006B4867">
        <w:rPr>
          <w:rFonts w:cstheme="minorHAnsi"/>
          <w:sz w:val="28"/>
          <w:szCs w:val="28"/>
          <w:bdr w:val="none" w:sz="0" w:space="0" w:color="auto" w:frame="1"/>
          <w:shd w:val="clear" w:color="auto" w:fill="FFFFFF"/>
          <w:lang w:val="en-US"/>
        </w:rPr>
        <w:t>Chung</w:t>
      </w:r>
      <w:r w:rsidRPr="006B4867">
        <w:rPr>
          <w:rFonts w:cstheme="minorHAnsi"/>
          <w:sz w:val="28"/>
          <w:szCs w:val="28"/>
          <w:bdr w:val="none" w:sz="0" w:space="0" w:color="auto" w:frame="1"/>
          <w:shd w:val="clear" w:color="auto" w:fill="FFFFFF"/>
          <w:lang w:val="uk-UA"/>
        </w:rPr>
        <w:t xml:space="preserve"> </w:t>
      </w:r>
      <w:r w:rsidRPr="006B4867">
        <w:rPr>
          <w:rFonts w:cstheme="minorHAnsi"/>
          <w:color w:val="000000" w:themeColor="text1"/>
          <w:sz w:val="28"/>
          <w:szCs w:val="28"/>
          <w:lang w:val="uk-UA"/>
        </w:rPr>
        <w:t xml:space="preserve">// </w:t>
      </w:r>
      <w:r w:rsidRPr="006B4867">
        <w:rPr>
          <w:rFonts w:cstheme="minorHAnsi"/>
          <w:sz w:val="28"/>
          <w:szCs w:val="28"/>
          <w:bdr w:val="none" w:sz="0" w:space="0" w:color="auto" w:frame="1"/>
          <w:shd w:val="clear" w:color="auto" w:fill="FFFFFF"/>
          <w:lang w:val="en-US"/>
        </w:rPr>
        <w:t>J Clin Microbiol</w:t>
      </w:r>
      <w:r w:rsidRPr="006B4867">
        <w:rPr>
          <w:rFonts w:cstheme="minorHAnsi"/>
          <w:sz w:val="28"/>
          <w:szCs w:val="28"/>
          <w:bdr w:val="none" w:sz="0" w:space="0" w:color="auto" w:frame="1"/>
          <w:shd w:val="clear" w:color="auto" w:fill="FFFFFF"/>
          <w:lang w:val="uk-UA"/>
        </w:rPr>
        <w:t>.-</w:t>
      </w:r>
      <w:r w:rsidRPr="006B4867">
        <w:rPr>
          <w:rFonts w:ascii="Arial" w:hAnsi="Arial" w:cs="Arial"/>
          <w:color w:val="000000"/>
          <w:sz w:val="17"/>
          <w:szCs w:val="17"/>
          <w:shd w:val="clear" w:color="auto" w:fill="FFFFFF"/>
          <w:lang w:val="en-US"/>
        </w:rPr>
        <w:t> </w:t>
      </w:r>
      <w:r w:rsidRPr="006B4867">
        <w:rPr>
          <w:rFonts w:cstheme="minorHAnsi"/>
          <w:color w:val="000000"/>
          <w:sz w:val="28"/>
          <w:szCs w:val="28"/>
          <w:shd w:val="clear" w:color="auto" w:fill="FFFFFF"/>
          <w:lang w:val="en-US"/>
        </w:rPr>
        <w:t>2012</w:t>
      </w:r>
      <w:r w:rsidRPr="006B4867">
        <w:rPr>
          <w:rFonts w:cstheme="minorHAnsi"/>
          <w:color w:val="000000"/>
          <w:sz w:val="28"/>
          <w:szCs w:val="28"/>
          <w:shd w:val="clear" w:color="auto" w:fill="FFFFFF"/>
          <w:lang w:val="uk-UA"/>
        </w:rPr>
        <w:t>.-</w:t>
      </w:r>
      <w:r w:rsidRPr="006B4867">
        <w:rPr>
          <w:rFonts w:cstheme="minorHAnsi"/>
          <w:color w:val="000000"/>
          <w:sz w:val="28"/>
          <w:szCs w:val="28"/>
          <w:shd w:val="clear" w:color="auto" w:fill="FFFFFF"/>
          <w:lang w:val="en-US"/>
        </w:rPr>
        <w:t xml:space="preserve"> </w:t>
      </w:r>
      <w:r w:rsidRPr="006B4867">
        <w:rPr>
          <w:rFonts w:cstheme="minorHAnsi"/>
          <w:color w:val="000000"/>
          <w:sz w:val="28"/>
          <w:szCs w:val="28"/>
          <w:shd w:val="clear" w:color="auto" w:fill="FFFFFF"/>
          <w:lang w:val="uk-UA"/>
        </w:rPr>
        <w:t>№</w:t>
      </w:r>
      <w:r w:rsidRPr="006B4867">
        <w:rPr>
          <w:rFonts w:cstheme="minorHAnsi"/>
          <w:color w:val="000000"/>
          <w:sz w:val="28"/>
          <w:szCs w:val="28"/>
          <w:shd w:val="clear" w:color="auto" w:fill="FFFFFF"/>
          <w:lang w:val="en-US"/>
        </w:rPr>
        <w:t>50(2)</w:t>
      </w:r>
      <w:r w:rsidRPr="006B4867">
        <w:rPr>
          <w:rFonts w:cstheme="minorHAnsi"/>
          <w:color w:val="000000"/>
          <w:sz w:val="28"/>
          <w:szCs w:val="28"/>
          <w:shd w:val="clear" w:color="auto" w:fill="FFFFFF"/>
          <w:lang w:val="uk-UA"/>
        </w:rPr>
        <w:t>.- Р. 312-317.</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color w:val="000000"/>
          <w:sz w:val="28"/>
          <w:szCs w:val="28"/>
          <w:lang w:val="en-US"/>
        </w:rPr>
        <w:t>Kanj</w:t>
      </w:r>
      <w:r w:rsidRPr="006B4867">
        <w:rPr>
          <w:rFonts w:ascii="Times New Roman" w:hAnsi="Times New Roman" w:cs="Times New Roman"/>
          <w:color w:val="000000"/>
          <w:sz w:val="28"/>
          <w:szCs w:val="28"/>
          <w:lang w:val="uk-UA"/>
        </w:rPr>
        <w:t xml:space="preserve"> </w:t>
      </w:r>
      <w:r w:rsidRPr="006B4867">
        <w:rPr>
          <w:rFonts w:ascii="Times New Roman" w:hAnsi="Times New Roman" w:cs="Times New Roman"/>
          <w:color w:val="000000"/>
          <w:sz w:val="28"/>
          <w:szCs w:val="28"/>
          <w:lang w:val="en-US"/>
        </w:rPr>
        <w:t>SS</w:t>
      </w:r>
      <w:r w:rsidRPr="006B4867">
        <w:rPr>
          <w:rFonts w:ascii="Times New Roman" w:hAnsi="Times New Roman" w:cs="Times New Roman"/>
          <w:color w:val="000000"/>
          <w:sz w:val="28"/>
          <w:szCs w:val="28"/>
          <w:lang w:val="uk-UA"/>
        </w:rPr>
        <w:t xml:space="preserve">. </w:t>
      </w:r>
      <w:r w:rsidRPr="006B4867">
        <w:rPr>
          <w:rFonts w:ascii="Times New Roman" w:hAnsi="Times New Roman" w:cs="Times New Roman"/>
          <w:color w:val="000000"/>
          <w:sz w:val="28"/>
          <w:szCs w:val="28"/>
          <w:lang w:val="en-US"/>
        </w:rPr>
        <w:t xml:space="preserve">Current concepts in antimicrobial therapy against resistant gram-negative organisms: extended-spectrum beta-lactamase-producing Enterobacteriaceae, carbapenem-resistant Enterobacteriaceae, and multidrug-resistant Pseudomonas aeruginosa / Kanj SS, Kanafani ZA // Mayo Clin Proc.- 2011.- № 86(3).- </w:t>
      </w:r>
      <w:r w:rsidRPr="006B4867">
        <w:rPr>
          <w:rFonts w:ascii="Times New Roman" w:hAnsi="Times New Roman" w:cs="Times New Roman"/>
          <w:color w:val="000000"/>
          <w:sz w:val="28"/>
          <w:szCs w:val="28"/>
        </w:rPr>
        <w:t>Р</w:t>
      </w:r>
      <w:r w:rsidRPr="006B4867">
        <w:rPr>
          <w:rFonts w:ascii="Times New Roman" w:hAnsi="Times New Roman" w:cs="Times New Roman"/>
          <w:color w:val="000000"/>
          <w:sz w:val="28"/>
          <w:szCs w:val="28"/>
          <w:lang w:val="en-US"/>
        </w:rPr>
        <w:t>. 250-</w:t>
      </w:r>
      <w:r w:rsidRPr="006B4867">
        <w:rPr>
          <w:rFonts w:ascii="Times New Roman" w:hAnsi="Times New Roman" w:cs="Times New Roman"/>
          <w:color w:val="000000"/>
          <w:sz w:val="28"/>
          <w:szCs w:val="28"/>
        </w:rPr>
        <w:t>25</w:t>
      </w:r>
      <w:r w:rsidRPr="006B4867">
        <w:rPr>
          <w:rFonts w:ascii="Times New Roman" w:hAnsi="Times New Roman" w:cs="Times New Roman"/>
          <w:color w:val="000000"/>
          <w:sz w:val="28"/>
          <w:szCs w:val="28"/>
          <w:lang w:val="en-US"/>
        </w:rPr>
        <w:t>9</w:t>
      </w:r>
      <w:r w:rsidRPr="006B4867">
        <w:rPr>
          <w:rFonts w:ascii="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Khatri B</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Etiology and antimicrobial susceptibility pattern of bacterial pathogens from urinary tract</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infection</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Khatri B, Basnyat S, Karki A, Poudel A, Shrestha B</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Nepal Med Coll J. 2012 Jun;14(2):129-32</w:t>
      </w:r>
      <w:r w:rsidRPr="006B4867">
        <w:rPr>
          <w:rFonts w:eastAsia="Times New Roman" w:cstheme="minorHAnsi"/>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Kresken</w:t>
      </w:r>
      <w:r w:rsidRPr="006B4867">
        <w:rPr>
          <w:rFonts w:cstheme="minorHAnsi"/>
          <w:color w:val="000000"/>
          <w:sz w:val="28"/>
          <w:szCs w:val="28"/>
          <w:lang w:val="uk-UA"/>
        </w:rPr>
        <w:t xml:space="preserve"> </w:t>
      </w:r>
      <w:r w:rsidRPr="006B4867">
        <w:rPr>
          <w:rFonts w:cstheme="minorHAnsi"/>
          <w:color w:val="000000"/>
          <w:sz w:val="28"/>
          <w:szCs w:val="28"/>
          <w:lang w:val="en-US"/>
        </w:rPr>
        <w:t>M</w:t>
      </w:r>
      <w:r w:rsidRPr="006B4867">
        <w:rPr>
          <w:rFonts w:cstheme="minorHAnsi"/>
          <w:color w:val="000000"/>
          <w:sz w:val="28"/>
          <w:szCs w:val="28"/>
          <w:lang w:val="uk-UA"/>
        </w:rPr>
        <w:t xml:space="preserve">. </w:t>
      </w:r>
      <w:r w:rsidRPr="006B4867">
        <w:rPr>
          <w:rFonts w:cstheme="minorHAnsi"/>
          <w:color w:val="000000"/>
          <w:sz w:val="28"/>
          <w:szCs w:val="28"/>
          <w:lang w:val="en-US"/>
        </w:rPr>
        <w:t>Occurrence</w:t>
      </w:r>
      <w:r w:rsidRPr="006B4867">
        <w:rPr>
          <w:rFonts w:cstheme="minorHAnsi"/>
          <w:color w:val="000000"/>
          <w:sz w:val="28"/>
          <w:szCs w:val="28"/>
          <w:lang w:val="uk-UA"/>
        </w:rPr>
        <w:t xml:space="preserve"> </w:t>
      </w:r>
      <w:r w:rsidRPr="006B4867">
        <w:rPr>
          <w:rFonts w:cstheme="minorHAnsi"/>
          <w:color w:val="000000"/>
          <w:sz w:val="28"/>
          <w:szCs w:val="28"/>
          <w:lang w:val="en-US"/>
        </w:rPr>
        <w:t>of</w:t>
      </w:r>
      <w:r w:rsidRPr="006B4867">
        <w:rPr>
          <w:rFonts w:cstheme="minorHAnsi"/>
          <w:color w:val="000000"/>
          <w:sz w:val="28"/>
          <w:szCs w:val="28"/>
          <w:lang w:val="uk-UA"/>
        </w:rPr>
        <w:t xml:space="preserve"> </w:t>
      </w:r>
      <w:r w:rsidRPr="006B4867">
        <w:rPr>
          <w:rFonts w:cstheme="minorHAnsi"/>
          <w:color w:val="000000"/>
          <w:sz w:val="28"/>
          <w:szCs w:val="28"/>
          <w:lang w:val="en-US"/>
        </w:rPr>
        <w:t>multidrug resistance to</w:t>
      </w:r>
      <w:r w:rsidRPr="006B4867">
        <w:rPr>
          <w:rFonts w:cstheme="minorHAnsi"/>
          <w:color w:val="000000"/>
          <w:sz w:val="28"/>
          <w:szCs w:val="28"/>
          <w:lang w:val="uk-UA"/>
        </w:rPr>
        <w:t xml:space="preserve"> </w:t>
      </w:r>
      <w:r w:rsidRPr="006B4867">
        <w:rPr>
          <w:rFonts w:cstheme="minorHAnsi"/>
          <w:color w:val="000000"/>
          <w:sz w:val="28"/>
          <w:szCs w:val="28"/>
          <w:lang w:val="en-US"/>
        </w:rPr>
        <w:t>oral</w:t>
      </w:r>
      <w:r w:rsidRPr="006B4867">
        <w:rPr>
          <w:rFonts w:cstheme="minorHAnsi"/>
          <w:color w:val="000000"/>
          <w:sz w:val="28"/>
          <w:szCs w:val="28"/>
          <w:lang w:val="uk-UA"/>
        </w:rPr>
        <w:t xml:space="preserve"> </w:t>
      </w:r>
      <w:r w:rsidRPr="006B4867">
        <w:rPr>
          <w:rFonts w:cstheme="minorHAnsi"/>
          <w:color w:val="000000"/>
          <w:sz w:val="28"/>
          <w:szCs w:val="28"/>
          <w:lang w:val="en-US"/>
        </w:rPr>
        <w:t>antibiotics</w:t>
      </w:r>
      <w:r w:rsidRPr="006B4867">
        <w:rPr>
          <w:rFonts w:cstheme="minorHAnsi"/>
          <w:color w:val="000000"/>
          <w:sz w:val="28"/>
          <w:szCs w:val="28"/>
          <w:lang w:val="uk-UA"/>
        </w:rPr>
        <w:t xml:space="preserve"> </w:t>
      </w:r>
      <w:r w:rsidRPr="006B4867">
        <w:rPr>
          <w:rFonts w:cstheme="minorHAnsi"/>
          <w:color w:val="000000"/>
          <w:sz w:val="28"/>
          <w:szCs w:val="28"/>
          <w:lang w:val="en-US"/>
        </w:rPr>
        <w:t>among</w:t>
      </w:r>
      <w:r w:rsidRPr="006B4867">
        <w:rPr>
          <w:rFonts w:cstheme="minorHAnsi"/>
          <w:color w:val="000000"/>
          <w:sz w:val="28"/>
          <w:szCs w:val="28"/>
          <w:lang w:val="uk-UA"/>
        </w:rPr>
        <w:t xml:space="preserve"> </w:t>
      </w:r>
      <w:r w:rsidRPr="006B4867">
        <w:rPr>
          <w:rFonts w:cstheme="minorHAnsi"/>
          <w:color w:val="000000"/>
          <w:sz w:val="28"/>
          <w:szCs w:val="28"/>
          <w:lang w:val="en-US"/>
        </w:rPr>
        <w:t xml:space="preserve">Escherichia coli urine isolates from outpatient departments in Germany: extended-spectrum </w:t>
      </w:r>
      <w:r w:rsidRPr="006B4867">
        <w:rPr>
          <w:rFonts w:cstheme="minorHAnsi"/>
          <w:color w:val="000000"/>
          <w:sz w:val="28"/>
          <w:szCs w:val="28"/>
        </w:rPr>
        <w:t>β</w:t>
      </w:r>
      <w:r w:rsidRPr="006B4867">
        <w:rPr>
          <w:rFonts w:cstheme="minorHAnsi"/>
          <w:color w:val="000000"/>
          <w:sz w:val="28"/>
          <w:szCs w:val="28"/>
          <w:lang w:val="en-US"/>
        </w:rPr>
        <w:t>-lactamases and the role of fosfomycin</w:t>
      </w:r>
      <w:r w:rsidRPr="006B4867">
        <w:rPr>
          <w:rFonts w:cstheme="minorHAnsi"/>
          <w:color w:val="000000"/>
          <w:sz w:val="28"/>
          <w:szCs w:val="28"/>
          <w:lang w:val="uk-UA"/>
        </w:rPr>
        <w:t xml:space="preserve"> / </w:t>
      </w:r>
      <w:r w:rsidRPr="006B4867">
        <w:rPr>
          <w:rFonts w:cstheme="minorHAnsi"/>
          <w:color w:val="000000"/>
          <w:sz w:val="28"/>
          <w:szCs w:val="28"/>
          <w:lang w:val="en-US"/>
        </w:rPr>
        <w:t>Kresken M, Pfeifer Y, Hafner D, Wresch R, Körber-Irrgang B</w:t>
      </w:r>
      <w:r w:rsidRPr="006B4867">
        <w:rPr>
          <w:rFonts w:cstheme="minorHAnsi"/>
          <w:color w:val="000000"/>
          <w:sz w:val="28"/>
          <w:szCs w:val="28"/>
          <w:lang w:val="uk-UA"/>
        </w:rPr>
        <w:t xml:space="preserve"> // </w:t>
      </w:r>
      <w:r w:rsidRPr="006B4867">
        <w:rPr>
          <w:rFonts w:cstheme="minorHAnsi"/>
          <w:color w:val="000000"/>
          <w:sz w:val="28"/>
          <w:szCs w:val="28"/>
          <w:lang w:val="en-US"/>
        </w:rPr>
        <w:t>Int J Antimicrobial Agents. 2014 Oct;44(4):295-300.</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Kresken</w:t>
      </w:r>
      <w:r w:rsidRPr="006B4867">
        <w:rPr>
          <w:rFonts w:cstheme="minorHAnsi"/>
          <w:color w:val="000000"/>
          <w:sz w:val="28"/>
          <w:szCs w:val="28"/>
          <w:lang w:val="uk-UA"/>
        </w:rPr>
        <w:t xml:space="preserve"> </w:t>
      </w:r>
      <w:r w:rsidRPr="006B4867">
        <w:rPr>
          <w:rFonts w:cstheme="minorHAnsi"/>
          <w:color w:val="000000"/>
          <w:sz w:val="28"/>
          <w:szCs w:val="28"/>
          <w:lang w:val="en-US"/>
        </w:rPr>
        <w:t>M</w:t>
      </w:r>
      <w:r w:rsidRPr="006B4867">
        <w:rPr>
          <w:rFonts w:cstheme="minorHAnsi"/>
          <w:color w:val="000000"/>
          <w:sz w:val="28"/>
          <w:szCs w:val="28"/>
          <w:lang w:val="uk-UA"/>
        </w:rPr>
        <w:t xml:space="preserve">. </w:t>
      </w:r>
      <w:r w:rsidRPr="006B4867">
        <w:rPr>
          <w:rFonts w:cstheme="minorHAnsi"/>
          <w:color w:val="000000"/>
          <w:sz w:val="28"/>
          <w:szCs w:val="28"/>
          <w:lang w:val="en-US"/>
        </w:rPr>
        <w:t>Occurrence</w:t>
      </w:r>
      <w:r w:rsidRPr="006B4867">
        <w:rPr>
          <w:rFonts w:cstheme="minorHAnsi"/>
          <w:color w:val="000000"/>
          <w:sz w:val="28"/>
          <w:szCs w:val="28"/>
          <w:lang w:val="uk-UA"/>
        </w:rPr>
        <w:t xml:space="preserve"> </w:t>
      </w:r>
      <w:r w:rsidRPr="006B4867">
        <w:rPr>
          <w:rFonts w:cstheme="minorHAnsi"/>
          <w:color w:val="000000"/>
          <w:sz w:val="28"/>
          <w:szCs w:val="28"/>
          <w:lang w:val="en-US"/>
        </w:rPr>
        <w:t>of</w:t>
      </w:r>
      <w:r w:rsidRPr="006B4867">
        <w:rPr>
          <w:rFonts w:cstheme="minorHAnsi"/>
          <w:color w:val="000000"/>
          <w:sz w:val="28"/>
          <w:szCs w:val="28"/>
          <w:lang w:val="uk-UA"/>
        </w:rPr>
        <w:t xml:space="preserve"> </w:t>
      </w:r>
      <w:r w:rsidRPr="006B4867">
        <w:rPr>
          <w:rFonts w:cstheme="minorHAnsi"/>
          <w:color w:val="000000"/>
          <w:sz w:val="28"/>
          <w:szCs w:val="28"/>
          <w:lang w:val="en-US"/>
        </w:rPr>
        <w:t>multidrug resistance to</w:t>
      </w:r>
      <w:r w:rsidRPr="006B4867">
        <w:rPr>
          <w:rFonts w:cstheme="minorHAnsi"/>
          <w:color w:val="000000"/>
          <w:sz w:val="28"/>
          <w:szCs w:val="28"/>
          <w:lang w:val="uk-UA"/>
        </w:rPr>
        <w:t xml:space="preserve"> </w:t>
      </w:r>
      <w:r w:rsidRPr="006B4867">
        <w:rPr>
          <w:rFonts w:cstheme="minorHAnsi"/>
          <w:color w:val="000000"/>
          <w:sz w:val="28"/>
          <w:szCs w:val="28"/>
          <w:lang w:val="en-US"/>
        </w:rPr>
        <w:t>oral</w:t>
      </w:r>
      <w:r w:rsidRPr="006B4867">
        <w:rPr>
          <w:rFonts w:cstheme="minorHAnsi"/>
          <w:color w:val="000000"/>
          <w:sz w:val="28"/>
          <w:szCs w:val="28"/>
          <w:lang w:val="uk-UA"/>
        </w:rPr>
        <w:t xml:space="preserve"> </w:t>
      </w:r>
      <w:r w:rsidRPr="006B4867">
        <w:rPr>
          <w:rFonts w:cstheme="minorHAnsi"/>
          <w:color w:val="000000"/>
          <w:sz w:val="28"/>
          <w:szCs w:val="28"/>
          <w:lang w:val="en-US"/>
        </w:rPr>
        <w:t>antibiotics</w:t>
      </w:r>
      <w:r w:rsidRPr="006B4867">
        <w:rPr>
          <w:rFonts w:cstheme="minorHAnsi"/>
          <w:color w:val="000000"/>
          <w:sz w:val="28"/>
          <w:szCs w:val="28"/>
          <w:lang w:val="uk-UA"/>
        </w:rPr>
        <w:t xml:space="preserve"> </w:t>
      </w:r>
      <w:r w:rsidRPr="006B4867">
        <w:rPr>
          <w:rFonts w:cstheme="minorHAnsi"/>
          <w:color w:val="000000"/>
          <w:sz w:val="28"/>
          <w:szCs w:val="28"/>
          <w:lang w:val="en-US"/>
        </w:rPr>
        <w:t>among</w:t>
      </w:r>
      <w:r w:rsidRPr="006B4867">
        <w:rPr>
          <w:rFonts w:cstheme="minorHAnsi"/>
          <w:color w:val="000000"/>
          <w:sz w:val="28"/>
          <w:szCs w:val="28"/>
          <w:lang w:val="uk-UA"/>
        </w:rPr>
        <w:t xml:space="preserve"> </w:t>
      </w:r>
      <w:r w:rsidRPr="006B4867">
        <w:rPr>
          <w:rFonts w:cstheme="minorHAnsi"/>
          <w:color w:val="000000"/>
          <w:sz w:val="28"/>
          <w:szCs w:val="28"/>
          <w:lang w:val="en-US"/>
        </w:rPr>
        <w:t>Escherichia</w:t>
      </w:r>
      <w:r w:rsidRPr="006B4867">
        <w:rPr>
          <w:rFonts w:cstheme="minorHAnsi"/>
          <w:color w:val="000000"/>
          <w:sz w:val="28"/>
          <w:szCs w:val="28"/>
          <w:lang w:val="uk-UA"/>
        </w:rPr>
        <w:t xml:space="preserve"> </w:t>
      </w:r>
      <w:r w:rsidRPr="006B4867">
        <w:rPr>
          <w:rFonts w:cstheme="minorHAnsi"/>
          <w:color w:val="000000"/>
          <w:sz w:val="28"/>
          <w:szCs w:val="28"/>
          <w:lang w:val="en-US"/>
        </w:rPr>
        <w:t>coli</w:t>
      </w:r>
      <w:r w:rsidRPr="006B4867">
        <w:rPr>
          <w:rFonts w:cstheme="minorHAnsi"/>
          <w:color w:val="000000"/>
          <w:sz w:val="28"/>
          <w:szCs w:val="28"/>
          <w:lang w:val="uk-UA"/>
        </w:rPr>
        <w:t xml:space="preserve"> </w:t>
      </w:r>
      <w:r w:rsidRPr="006B4867">
        <w:rPr>
          <w:rFonts w:cstheme="minorHAnsi"/>
          <w:color w:val="000000"/>
          <w:sz w:val="28"/>
          <w:szCs w:val="28"/>
          <w:lang w:val="en-US"/>
        </w:rPr>
        <w:t>urine</w:t>
      </w:r>
      <w:r w:rsidRPr="006B4867">
        <w:rPr>
          <w:rFonts w:cstheme="minorHAnsi"/>
          <w:color w:val="000000"/>
          <w:sz w:val="28"/>
          <w:szCs w:val="28"/>
          <w:lang w:val="uk-UA"/>
        </w:rPr>
        <w:t xml:space="preserve"> </w:t>
      </w:r>
      <w:r w:rsidRPr="006B4867">
        <w:rPr>
          <w:rFonts w:cstheme="minorHAnsi"/>
          <w:color w:val="000000"/>
          <w:sz w:val="28"/>
          <w:szCs w:val="28"/>
          <w:lang w:val="en-US"/>
        </w:rPr>
        <w:t>isolates</w:t>
      </w:r>
      <w:r w:rsidRPr="006B4867">
        <w:rPr>
          <w:rFonts w:cstheme="minorHAnsi"/>
          <w:color w:val="000000"/>
          <w:sz w:val="28"/>
          <w:szCs w:val="28"/>
          <w:lang w:val="uk-UA"/>
        </w:rPr>
        <w:t xml:space="preserve"> </w:t>
      </w:r>
      <w:r w:rsidRPr="006B4867">
        <w:rPr>
          <w:rFonts w:cstheme="minorHAnsi"/>
          <w:color w:val="000000"/>
          <w:sz w:val="28"/>
          <w:szCs w:val="28"/>
          <w:lang w:val="en-US"/>
        </w:rPr>
        <w:t>from</w:t>
      </w:r>
      <w:r w:rsidRPr="006B4867">
        <w:rPr>
          <w:rFonts w:cstheme="minorHAnsi"/>
          <w:color w:val="000000"/>
          <w:sz w:val="28"/>
          <w:szCs w:val="28"/>
          <w:lang w:val="uk-UA"/>
        </w:rPr>
        <w:t xml:space="preserve"> </w:t>
      </w:r>
      <w:r w:rsidRPr="006B4867">
        <w:rPr>
          <w:rFonts w:cstheme="minorHAnsi"/>
          <w:color w:val="000000"/>
          <w:sz w:val="28"/>
          <w:szCs w:val="28"/>
          <w:lang w:val="en-US"/>
        </w:rPr>
        <w:t>outpatient</w:t>
      </w:r>
      <w:r w:rsidRPr="006B4867">
        <w:rPr>
          <w:rFonts w:cstheme="minorHAnsi"/>
          <w:color w:val="000000"/>
          <w:sz w:val="28"/>
          <w:szCs w:val="28"/>
          <w:lang w:val="uk-UA"/>
        </w:rPr>
        <w:t xml:space="preserve"> </w:t>
      </w:r>
      <w:r w:rsidRPr="006B4867">
        <w:rPr>
          <w:rFonts w:cstheme="minorHAnsi"/>
          <w:color w:val="000000"/>
          <w:sz w:val="28"/>
          <w:szCs w:val="28"/>
          <w:lang w:val="en-US"/>
        </w:rPr>
        <w:t>departments</w:t>
      </w:r>
      <w:r w:rsidRPr="006B4867">
        <w:rPr>
          <w:rFonts w:cstheme="minorHAnsi"/>
          <w:color w:val="000000"/>
          <w:sz w:val="28"/>
          <w:szCs w:val="28"/>
          <w:lang w:val="uk-UA"/>
        </w:rPr>
        <w:t xml:space="preserve"> </w:t>
      </w:r>
      <w:r w:rsidRPr="006B4867">
        <w:rPr>
          <w:rFonts w:cstheme="minorHAnsi"/>
          <w:color w:val="000000"/>
          <w:sz w:val="28"/>
          <w:szCs w:val="28"/>
          <w:lang w:val="en-US"/>
        </w:rPr>
        <w:t>in</w:t>
      </w:r>
      <w:r w:rsidRPr="006B4867">
        <w:rPr>
          <w:rFonts w:cstheme="minorHAnsi"/>
          <w:color w:val="000000"/>
          <w:sz w:val="28"/>
          <w:szCs w:val="28"/>
          <w:lang w:val="uk-UA"/>
        </w:rPr>
        <w:t xml:space="preserve"> </w:t>
      </w:r>
      <w:r w:rsidRPr="006B4867">
        <w:rPr>
          <w:rFonts w:cstheme="minorHAnsi"/>
          <w:color w:val="000000"/>
          <w:sz w:val="28"/>
          <w:szCs w:val="28"/>
          <w:lang w:val="en-US"/>
        </w:rPr>
        <w:t>Germany</w:t>
      </w:r>
      <w:r w:rsidRPr="006B4867">
        <w:rPr>
          <w:rFonts w:cstheme="minorHAnsi"/>
          <w:color w:val="000000"/>
          <w:sz w:val="28"/>
          <w:szCs w:val="28"/>
          <w:lang w:val="uk-UA"/>
        </w:rPr>
        <w:t xml:space="preserve">: </w:t>
      </w:r>
      <w:r w:rsidRPr="006B4867">
        <w:rPr>
          <w:rFonts w:cstheme="minorHAnsi"/>
          <w:color w:val="000000"/>
          <w:sz w:val="28"/>
          <w:szCs w:val="28"/>
          <w:lang w:val="en-US"/>
        </w:rPr>
        <w:t>extended</w:t>
      </w:r>
      <w:r w:rsidRPr="006B4867">
        <w:rPr>
          <w:rFonts w:cstheme="minorHAnsi"/>
          <w:color w:val="000000"/>
          <w:sz w:val="28"/>
          <w:szCs w:val="28"/>
          <w:lang w:val="uk-UA"/>
        </w:rPr>
        <w:t>-</w:t>
      </w:r>
      <w:r w:rsidRPr="006B4867">
        <w:rPr>
          <w:rFonts w:cstheme="minorHAnsi"/>
          <w:color w:val="000000"/>
          <w:sz w:val="28"/>
          <w:szCs w:val="28"/>
          <w:lang w:val="en-US"/>
        </w:rPr>
        <w:t>spectrum</w:t>
      </w:r>
      <w:r w:rsidRPr="006B4867">
        <w:rPr>
          <w:rFonts w:cstheme="minorHAnsi"/>
          <w:color w:val="000000"/>
          <w:sz w:val="28"/>
          <w:szCs w:val="28"/>
          <w:lang w:val="uk-UA"/>
        </w:rPr>
        <w:t xml:space="preserve"> </w:t>
      </w:r>
      <w:r w:rsidRPr="006B4867">
        <w:rPr>
          <w:rFonts w:cstheme="minorHAnsi"/>
          <w:color w:val="000000"/>
          <w:sz w:val="28"/>
          <w:szCs w:val="28"/>
        </w:rPr>
        <w:t>β</w:t>
      </w:r>
      <w:r w:rsidRPr="006B4867">
        <w:rPr>
          <w:rFonts w:cstheme="minorHAnsi"/>
          <w:color w:val="000000"/>
          <w:sz w:val="28"/>
          <w:szCs w:val="28"/>
          <w:lang w:val="uk-UA"/>
        </w:rPr>
        <w:t>-</w:t>
      </w:r>
      <w:r w:rsidRPr="006B4867">
        <w:rPr>
          <w:rFonts w:cstheme="minorHAnsi"/>
          <w:color w:val="000000"/>
          <w:sz w:val="28"/>
          <w:szCs w:val="28"/>
          <w:lang w:val="en-US"/>
        </w:rPr>
        <w:t>lactamases</w:t>
      </w:r>
      <w:r w:rsidRPr="006B4867">
        <w:rPr>
          <w:rFonts w:cstheme="minorHAnsi"/>
          <w:color w:val="000000"/>
          <w:sz w:val="28"/>
          <w:szCs w:val="28"/>
          <w:lang w:val="uk-UA"/>
        </w:rPr>
        <w:t xml:space="preserve"> </w:t>
      </w:r>
      <w:r w:rsidRPr="006B4867">
        <w:rPr>
          <w:rFonts w:cstheme="minorHAnsi"/>
          <w:color w:val="000000"/>
          <w:sz w:val="28"/>
          <w:szCs w:val="28"/>
          <w:lang w:val="en-US"/>
        </w:rPr>
        <w:t>and</w:t>
      </w:r>
      <w:r w:rsidRPr="006B4867">
        <w:rPr>
          <w:rFonts w:cstheme="minorHAnsi"/>
          <w:color w:val="000000"/>
          <w:sz w:val="28"/>
          <w:szCs w:val="28"/>
          <w:lang w:val="uk-UA"/>
        </w:rPr>
        <w:t xml:space="preserve"> </w:t>
      </w:r>
      <w:r w:rsidRPr="006B4867">
        <w:rPr>
          <w:rFonts w:cstheme="minorHAnsi"/>
          <w:color w:val="000000"/>
          <w:sz w:val="28"/>
          <w:szCs w:val="28"/>
          <w:lang w:val="en-US"/>
        </w:rPr>
        <w:t>the</w:t>
      </w:r>
      <w:r w:rsidRPr="006B4867">
        <w:rPr>
          <w:rFonts w:cstheme="minorHAnsi"/>
          <w:color w:val="000000"/>
          <w:sz w:val="28"/>
          <w:szCs w:val="28"/>
          <w:lang w:val="uk-UA"/>
        </w:rPr>
        <w:t xml:space="preserve"> </w:t>
      </w:r>
      <w:r w:rsidRPr="006B4867">
        <w:rPr>
          <w:rFonts w:cstheme="minorHAnsi"/>
          <w:color w:val="000000"/>
          <w:sz w:val="28"/>
          <w:szCs w:val="28"/>
          <w:lang w:val="en-US"/>
        </w:rPr>
        <w:t>role</w:t>
      </w:r>
      <w:r w:rsidRPr="006B4867">
        <w:rPr>
          <w:rFonts w:cstheme="minorHAnsi"/>
          <w:color w:val="000000"/>
          <w:sz w:val="28"/>
          <w:szCs w:val="28"/>
          <w:lang w:val="uk-UA"/>
        </w:rPr>
        <w:t xml:space="preserve"> </w:t>
      </w:r>
      <w:r w:rsidRPr="006B4867">
        <w:rPr>
          <w:rFonts w:cstheme="minorHAnsi"/>
          <w:color w:val="000000"/>
          <w:sz w:val="28"/>
          <w:szCs w:val="28"/>
          <w:lang w:val="en-US"/>
        </w:rPr>
        <w:t>of</w:t>
      </w:r>
      <w:r w:rsidRPr="006B4867">
        <w:rPr>
          <w:rFonts w:cstheme="minorHAnsi"/>
          <w:color w:val="000000"/>
          <w:sz w:val="28"/>
          <w:szCs w:val="28"/>
          <w:lang w:val="uk-UA"/>
        </w:rPr>
        <w:t xml:space="preserve"> </w:t>
      </w:r>
      <w:r w:rsidRPr="006B4867">
        <w:rPr>
          <w:rFonts w:cstheme="minorHAnsi"/>
          <w:color w:val="000000"/>
          <w:sz w:val="28"/>
          <w:szCs w:val="28"/>
          <w:lang w:val="en-US"/>
        </w:rPr>
        <w:t>fosfomycin</w:t>
      </w:r>
      <w:r w:rsidRPr="006B4867">
        <w:rPr>
          <w:rFonts w:cstheme="minorHAnsi"/>
          <w:color w:val="000000"/>
          <w:sz w:val="28"/>
          <w:szCs w:val="28"/>
          <w:lang w:val="uk-UA"/>
        </w:rPr>
        <w:t xml:space="preserve"> / </w:t>
      </w:r>
      <w:r w:rsidRPr="006B4867">
        <w:rPr>
          <w:rFonts w:cstheme="minorHAnsi"/>
          <w:color w:val="000000"/>
          <w:sz w:val="28"/>
          <w:szCs w:val="28"/>
          <w:lang w:val="en-US"/>
        </w:rPr>
        <w:t>Kresken</w:t>
      </w:r>
      <w:r w:rsidRPr="006B4867">
        <w:rPr>
          <w:rFonts w:cstheme="minorHAnsi"/>
          <w:color w:val="000000"/>
          <w:sz w:val="28"/>
          <w:szCs w:val="28"/>
          <w:lang w:val="uk-UA"/>
        </w:rPr>
        <w:t xml:space="preserve"> </w:t>
      </w:r>
      <w:r w:rsidRPr="006B4867">
        <w:rPr>
          <w:rFonts w:cstheme="minorHAnsi"/>
          <w:color w:val="000000"/>
          <w:sz w:val="28"/>
          <w:szCs w:val="28"/>
          <w:lang w:val="en-US"/>
        </w:rPr>
        <w:lastRenderedPageBreak/>
        <w:t>M</w:t>
      </w:r>
      <w:r w:rsidRPr="006B4867">
        <w:rPr>
          <w:rFonts w:cstheme="minorHAnsi"/>
          <w:color w:val="000000"/>
          <w:sz w:val="28"/>
          <w:szCs w:val="28"/>
          <w:lang w:val="uk-UA"/>
        </w:rPr>
        <w:t>,</w:t>
      </w:r>
      <w:r w:rsidRPr="006B4867">
        <w:rPr>
          <w:rFonts w:cstheme="minorHAnsi"/>
          <w:color w:val="000000"/>
          <w:sz w:val="28"/>
          <w:szCs w:val="28"/>
          <w:lang w:val="en-US"/>
        </w:rPr>
        <w:t> Pfeifer</w:t>
      </w:r>
      <w:r w:rsidRPr="006B4867">
        <w:rPr>
          <w:rFonts w:cstheme="minorHAnsi"/>
          <w:color w:val="000000"/>
          <w:sz w:val="28"/>
          <w:szCs w:val="28"/>
          <w:lang w:val="uk-UA"/>
        </w:rPr>
        <w:t xml:space="preserve"> </w:t>
      </w:r>
      <w:r w:rsidRPr="006B4867">
        <w:rPr>
          <w:rFonts w:cstheme="minorHAnsi"/>
          <w:color w:val="000000"/>
          <w:sz w:val="28"/>
          <w:szCs w:val="28"/>
          <w:lang w:val="en-US"/>
        </w:rPr>
        <w:t>Y</w:t>
      </w:r>
      <w:r w:rsidRPr="006B4867">
        <w:rPr>
          <w:rFonts w:cstheme="minorHAnsi"/>
          <w:color w:val="000000"/>
          <w:sz w:val="28"/>
          <w:szCs w:val="28"/>
          <w:lang w:val="uk-UA"/>
        </w:rPr>
        <w:t>,</w:t>
      </w:r>
      <w:r w:rsidRPr="006B4867">
        <w:rPr>
          <w:rFonts w:cstheme="minorHAnsi"/>
          <w:color w:val="000000"/>
          <w:sz w:val="28"/>
          <w:szCs w:val="28"/>
          <w:lang w:val="en-US"/>
        </w:rPr>
        <w:t> Hafner</w:t>
      </w:r>
      <w:r w:rsidRPr="006B4867">
        <w:rPr>
          <w:rFonts w:cstheme="minorHAnsi"/>
          <w:color w:val="000000"/>
          <w:sz w:val="28"/>
          <w:szCs w:val="28"/>
          <w:lang w:val="uk-UA"/>
        </w:rPr>
        <w:t xml:space="preserve"> </w:t>
      </w:r>
      <w:r w:rsidRPr="006B4867">
        <w:rPr>
          <w:rFonts w:cstheme="minorHAnsi"/>
          <w:color w:val="000000"/>
          <w:sz w:val="28"/>
          <w:szCs w:val="28"/>
          <w:lang w:val="en-US"/>
        </w:rPr>
        <w:t>D</w:t>
      </w:r>
      <w:r w:rsidRPr="006B4867">
        <w:rPr>
          <w:rFonts w:cstheme="minorHAnsi"/>
          <w:color w:val="000000"/>
          <w:sz w:val="28"/>
          <w:szCs w:val="28"/>
          <w:lang w:val="uk-UA"/>
        </w:rPr>
        <w:t>,</w:t>
      </w:r>
      <w:r w:rsidRPr="006B4867">
        <w:rPr>
          <w:rFonts w:cstheme="minorHAnsi"/>
          <w:color w:val="000000"/>
          <w:sz w:val="28"/>
          <w:szCs w:val="28"/>
          <w:lang w:val="en-US"/>
        </w:rPr>
        <w:t> Wresch</w:t>
      </w:r>
      <w:r w:rsidRPr="006B4867">
        <w:rPr>
          <w:rFonts w:cstheme="minorHAnsi"/>
          <w:color w:val="000000"/>
          <w:sz w:val="28"/>
          <w:szCs w:val="28"/>
          <w:lang w:val="uk-UA"/>
        </w:rPr>
        <w:t xml:space="preserve"> </w:t>
      </w:r>
      <w:r w:rsidRPr="006B4867">
        <w:rPr>
          <w:rFonts w:cstheme="minorHAnsi"/>
          <w:color w:val="000000"/>
          <w:sz w:val="28"/>
          <w:szCs w:val="28"/>
          <w:lang w:val="en-US"/>
        </w:rPr>
        <w:t>R</w:t>
      </w:r>
      <w:r w:rsidRPr="006B4867">
        <w:rPr>
          <w:rFonts w:cstheme="minorHAnsi"/>
          <w:color w:val="000000"/>
          <w:sz w:val="28"/>
          <w:szCs w:val="28"/>
          <w:lang w:val="uk-UA"/>
        </w:rPr>
        <w:t>,</w:t>
      </w:r>
      <w:r w:rsidRPr="006B4867">
        <w:rPr>
          <w:rFonts w:cstheme="minorHAnsi"/>
          <w:color w:val="000000"/>
          <w:sz w:val="28"/>
          <w:szCs w:val="28"/>
          <w:lang w:val="en-US"/>
        </w:rPr>
        <w:t> K</w:t>
      </w:r>
      <w:r w:rsidRPr="006B4867">
        <w:rPr>
          <w:rFonts w:cstheme="minorHAnsi"/>
          <w:color w:val="000000"/>
          <w:sz w:val="28"/>
          <w:szCs w:val="28"/>
          <w:lang w:val="uk-UA"/>
        </w:rPr>
        <w:t>ö</w:t>
      </w:r>
      <w:r w:rsidRPr="006B4867">
        <w:rPr>
          <w:rFonts w:cstheme="minorHAnsi"/>
          <w:color w:val="000000"/>
          <w:sz w:val="28"/>
          <w:szCs w:val="28"/>
          <w:lang w:val="en-US"/>
        </w:rPr>
        <w:t>rber</w:t>
      </w:r>
      <w:r w:rsidRPr="006B4867">
        <w:rPr>
          <w:rFonts w:cstheme="minorHAnsi"/>
          <w:color w:val="000000"/>
          <w:sz w:val="28"/>
          <w:szCs w:val="28"/>
          <w:lang w:val="uk-UA"/>
        </w:rPr>
        <w:t>-</w:t>
      </w:r>
      <w:r w:rsidRPr="006B4867">
        <w:rPr>
          <w:rFonts w:cstheme="minorHAnsi"/>
          <w:color w:val="000000"/>
          <w:sz w:val="28"/>
          <w:szCs w:val="28"/>
          <w:lang w:val="en-US"/>
        </w:rPr>
        <w:t>Irrgang</w:t>
      </w:r>
      <w:r w:rsidRPr="006B4867">
        <w:rPr>
          <w:rFonts w:cstheme="minorHAnsi"/>
          <w:color w:val="000000"/>
          <w:sz w:val="28"/>
          <w:szCs w:val="28"/>
          <w:lang w:val="uk-UA"/>
        </w:rPr>
        <w:t xml:space="preserve"> </w:t>
      </w:r>
      <w:r w:rsidRPr="006B4867">
        <w:rPr>
          <w:rFonts w:cstheme="minorHAnsi"/>
          <w:color w:val="000000"/>
          <w:sz w:val="28"/>
          <w:szCs w:val="28"/>
          <w:lang w:val="en-US"/>
        </w:rPr>
        <w:t>B</w:t>
      </w:r>
      <w:r w:rsidRPr="006B4867">
        <w:rPr>
          <w:rFonts w:cstheme="minorHAnsi"/>
          <w:color w:val="000000"/>
          <w:sz w:val="28"/>
          <w:szCs w:val="28"/>
          <w:lang w:val="uk-UA"/>
        </w:rPr>
        <w:t xml:space="preserve"> // </w:t>
      </w:r>
      <w:r w:rsidRPr="006B4867">
        <w:rPr>
          <w:rFonts w:cstheme="minorHAnsi"/>
          <w:color w:val="000000"/>
          <w:sz w:val="28"/>
          <w:szCs w:val="28"/>
          <w:lang w:val="en-US"/>
        </w:rPr>
        <w:t>Int</w:t>
      </w:r>
      <w:r w:rsidRPr="006B4867">
        <w:rPr>
          <w:rFonts w:cstheme="minorHAnsi"/>
          <w:color w:val="000000"/>
          <w:sz w:val="28"/>
          <w:szCs w:val="28"/>
          <w:lang w:val="uk-UA"/>
        </w:rPr>
        <w:t xml:space="preserve"> </w:t>
      </w:r>
      <w:r w:rsidRPr="006B4867">
        <w:rPr>
          <w:rFonts w:cstheme="minorHAnsi"/>
          <w:color w:val="000000"/>
          <w:sz w:val="28"/>
          <w:szCs w:val="28"/>
          <w:lang w:val="en-US"/>
        </w:rPr>
        <w:t>J</w:t>
      </w:r>
      <w:r w:rsidRPr="006B4867">
        <w:rPr>
          <w:rFonts w:cstheme="minorHAnsi"/>
          <w:color w:val="000000"/>
          <w:sz w:val="28"/>
          <w:szCs w:val="28"/>
          <w:lang w:val="uk-UA"/>
        </w:rPr>
        <w:t xml:space="preserve"> </w:t>
      </w:r>
      <w:r w:rsidRPr="006B4867">
        <w:rPr>
          <w:rFonts w:cstheme="minorHAnsi"/>
          <w:color w:val="000000"/>
          <w:sz w:val="28"/>
          <w:szCs w:val="28"/>
          <w:lang w:val="en-US"/>
        </w:rPr>
        <w:t>Antimicrobial</w:t>
      </w:r>
      <w:r w:rsidRPr="006B4867">
        <w:rPr>
          <w:rFonts w:cstheme="minorHAnsi"/>
          <w:color w:val="000000"/>
          <w:sz w:val="28"/>
          <w:szCs w:val="28"/>
          <w:lang w:val="uk-UA"/>
        </w:rPr>
        <w:t xml:space="preserve"> </w:t>
      </w:r>
      <w:r w:rsidRPr="006B4867">
        <w:rPr>
          <w:rFonts w:cstheme="minorHAnsi"/>
          <w:color w:val="000000"/>
          <w:sz w:val="28"/>
          <w:szCs w:val="28"/>
          <w:lang w:val="en-US"/>
        </w:rPr>
        <w:t>Agents</w:t>
      </w:r>
      <w:r w:rsidRPr="006B4867">
        <w:rPr>
          <w:rFonts w:cstheme="minorHAnsi"/>
          <w:color w:val="000000"/>
          <w:sz w:val="28"/>
          <w:szCs w:val="28"/>
          <w:lang w:val="uk-UA"/>
        </w:rPr>
        <w:t xml:space="preserve">. 2014 </w:t>
      </w:r>
      <w:r w:rsidRPr="006B4867">
        <w:rPr>
          <w:rFonts w:cstheme="minorHAnsi"/>
          <w:color w:val="000000"/>
          <w:sz w:val="28"/>
          <w:szCs w:val="28"/>
          <w:lang w:val="en-US"/>
        </w:rPr>
        <w:t>Oct</w:t>
      </w:r>
      <w:r w:rsidRPr="006B4867">
        <w:rPr>
          <w:rFonts w:cstheme="minorHAnsi"/>
          <w:color w:val="000000"/>
          <w:sz w:val="28"/>
          <w:szCs w:val="28"/>
          <w:lang w:val="uk-UA"/>
        </w:rPr>
        <w:t>;44(4):295-300.</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L. Martinez-Martinez</w:t>
      </w:r>
      <w:r w:rsidRPr="006B4867">
        <w:rPr>
          <w:rFonts w:cstheme="minorHAnsi"/>
          <w:sz w:val="28"/>
          <w:szCs w:val="28"/>
          <w:lang w:val="uk-UA"/>
        </w:rPr>
        <w:t xml:space="preserve">. </w:t>
      </w:r>
      <w:r w:rsidRPr="006B4867">
        <w:rPr>
          <w:rFonts w:cstheme="minorHAnsi"/>
          <w:sz w:val="28"/>
          <w:szCs w:val="28"/>
          <w:lang w:val="en-US"/>
        </w:rPr>
        <w:t>Quinolone resistance from a transferable plasmid</w:t>
      </w:r>
      <w:r w:rsidRPr="006B4867">
        <w:rPr>
          <w:rFonts w:cstheme="minorHAnsi"/>
          <w:sz w:val="28"/>
          <w:szCs w:val="28"/>
          <w:lang w:val="uk-UA"/>
        </w:rPr>
        <w:t xml:space="preserve"> /</w:t>
      </w:r>
      <w:r w:rsidRPr="006B4867">
        <w:rPr>
          <w:rFonts w:cstheme="minorHAnsi"/>
          <w:sz w:val="28"/>
          <w:szCs w:val="28"/>
          <w:lang w:val="en-US"/>
        </w:rPr>
        <w:t xml:space="preserve"> L. Martinez-Martinez</w:t>
      </w:r>
      <w:r w:rsidRPr="006B4867">
        <w:rPr>
          <w:rFonts w:cstheme="minorHAnsi"/>
          <w:sz w:val="28"/>
          <w:szCs w:val="28"/>
          <w:lang w:val="uk-UA"/>
        </w:rPr>
        <w:t>,</w:t>
      </w:r>
      <w:r w:rsidRPr="006B4867">
        <w:rPr>
          <w:rFonts w:cstheme="minorHAnsi"/>
          <w:sz w:val="28"/>
          <w:szCs w:val="28"/>
          <w:lang w:val="en-US"/>
        </w:rPr>
        <w:t xml:space="preserve"> A. Pascual, G. A. Jacoby</w:t>
      </w:r>
      <w:r w:rsidRPr="006B4867">
        <w:rPr>
          <w:rFonts w:cstheme="minorHAnsi"/>
          <w:sz w:val="28"/>
          <w:szCs w:val="28"/>
          <w:lang w:val="uk-UA"/>
        </w:rPr>
        <w:t xml:space="preserve"> //</w:t>
      </w:r>
      <w:r w:rsidRPr="006B4867">
        <w:rPr>
          <w:rFonts w:cstheme="minorHAnsi"/>
          <w:sz w:val="28"/>
          <w:szCs w:val="28"/>
          <w:lang w:val="en-US"/>
        </w:rPr>
        <w:t xml:space="preserve"> </w:t>
      </w:r>
      <w:r w:rsidRPr="006B4867">
        <w:rPr>
          <w:rFonts w:cstheme="minorHAnsi"/>
          <w:iCs/>
          <w:sz w:val="28"/>
          <w:szCs w:val="28"/>
          <w:lang w:val="en-US"/>
        </w:rPr>
        <w:t>The Lancet</w:t>
      </w:r>
      <w:r w:rsidRPr="006B4867">
        <w:rPr>
          <w:rFonts w:cstheme="minorHAnsi"/>
          <w:sz w:val="28"/>
          <w:szCs w:val="28"/>
          <w:lang w:val="uk-UA"/>
        </w:rPr>
        <w:t>.-</w:t>
      </w:r>
      <w:r w:rsidRPr="006B4867">
        <w:rPr>
          <w:rFonts w:cstheme="minorHAnsi"/>
          <w:sz w:val="28"/>
          <w:szCs w:val="28"/>
          <w:lang w:val="en-US"/>
        </w:rPr>
        <w:t xml:space="preserve"> 1998</w:t>
      </w:r>
      <w:r w:rsidRPr="006B4867">
        <w:rPr>
          <w:rFonts w:cstheme="minorHAnsi"/>
          <w:sz w:val="28"/>
          <w:szCs w:val="28"/>
          <w:lang w:val="uk-UA"/>
        </w:rPr>
        <w:t>.- №</w:t>
      </w:r>
      <w:r w:rsidRPr="006B4867">
        <w:rPr>
          <w:rFonts w:cstheme="minorHAnsi"/>
          <w:sz w:val="28"/>
          <w:szCs w:val="28"/>
          <w:lang w:val="en-US"/>
        </w:rPr>
        <w:t>351</w:t>
      </w:r>
      <w:r w:rsidRPr="006B4867">
        <w:rPr>
          <w:rFonts w:cstheme="minorHAnsi"/>
          <w:sz w:val="28"/>
          <w:szCs w:val="28"/>
          <w:lang w:val="uk-UA"/>
        </w:rPr>
        <w:t>(</w:t>
      </w:r>
      <w:r w:rsidRPr="006B4867">
        <w:rPr>
          <w:rFonts w:cstheme="minorHAnsi"/>
          <w:sz w:val="28"/>
          <w:szCs w:val="28"/>
          <w:lang w:val="en-US"/>
        </w:rPr>
        <w:t>9105</w:t>
      </w:r>
      <w:r w:rsidRPr="006B4867">
        <w:rPr>
          <w:rFonts w:cstheme="minorHAnsi"/>
          <w:sz w:val="28"/>
          <w:szCs w:val="28"/>
          <w:lang w:val="uk-UA"/>
        </w:rPr>
        <w:t>).-</w:t>
      </w:r>
      <w:r w:rsidRPr="006B4867">
        <w:rPr>
          <w:rFonts w:cstheme="minorHAnsi"/>
          <w:sz w:val="28"/>
          <w:szCs w:val="28"/>
          <w:lang w:val="en-US"/>
        </w:rPr>
        <w:t xml:space="preserve"> </w:t>
      </w:r>
      <w:r w:rsidRPr="006B4867">
        <w:rPr>
          <w:rFonts w:cstheme="minorHAnsi"/>
          <w:sz w:val="28"/>
          <w:szCs w:val="28"/>
          <w:lang w:val="uk-UA"/>
        </w:rPr>
        <w:t>Р</w:t>
      </w:r>
      <w:r w:rsidRPr="006B4867">
        <w:rPr>
          <w:rFonts w:cstheme="minorHAnsi"/>
          <w:sz w:val="28"/>
          <w:szCs w:val="28"/>
          <w:lang w:val="en-US"/>
        </w:rPr>
        <w:t>. 797–799</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Lee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impact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increased</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use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piperacillin</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tazobactam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the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selection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antibiotic</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resistance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among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invasive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Escherichia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coli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and</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Klebsiella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pneumoniae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isolates</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Lee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Oh</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Choi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EH</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Int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Infect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Dis</w:t>
      </w:r>
      <w:r w:rsidRPr="006B4867">
        <w:rPr>
          <w:rFonts w:ascii="Times New Roman" w:eastAsia="Times New Roman" w:hAnsi="Times New Roman" w:cs="Times New Roman"/>
          <w:color w:val="000000"/>
          <w:sz w:val="28"/>
          <w:szCs w:val="28"/>
          <w:lang w:val="uk-UA"/>
        </w:rPr>
        <w:t xml:space="preserve">.- 2013.- </w:t>
      </w:r>
      <w:r w:rsidRPr="006B4867">
        <w:rPr>
          <w:rFonts w:ascii="Times New Roman" w:eastAsia="Times New Roman" w:hAnsi="Times New Roman" w:cs="Times New Roman"/>
          <w:color w:val="000000"/>
          <w:sz w:val="28"/>
          <w:szCs w:val="28"/>
          <w:lang w:val="en-US"/>
        </w:rPr>
        <w:t xml:space="preserve">№ 17(8).-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638-643</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Lim</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Evaluation of Ertapenem use with impact assessment on extended-spectrum beta-lactamases (ESBL) production and gram-negative resistance in Singapore General Hospital (SGH) / Lim CL, Lee W, Lee AL [et al.]</w:t>
      </w:r>
      <w:r w:rsidRPr="006B4867">
        <w:rPr>
          <w:rFonts w:ascii="Times New Roman" w:hAnsi="Times New Roman" w:cs="Times New Roman"/>
          <w:color w:val="000000"/>
          <w:sz w:val="28"/>
          <w:szCs w:val="28"/>
          <w:lang w:val="en-US"/>
        </w:rPr>
        <w:t xml:space="preserve"> // </w:t>
      </w:r>
      <w:r w:rsidRPr="006B4867">
        <w:rPr>
          <w:rFonts w:ascii="Times New Roman" w:eastAsia="Times New Roman" w:hAnsi="Times New Roman" w:cs="Times New Roman"/>
          <w:color w:val="000000"/>
          <w:sz w:val="28"/>
          <w:szCs w:val="28"/>
          <w:lang w:val="en-US"/>
        </w:rPr>
        <w:t xml:space="preserve">BMC Infect Dis.- 2013.- № 6.-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513-523</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sz w:val="28"/>
          <w:szCs w:val="28"/>
          <w:lang w:val="en-US"/>
        </w:rPr>
        <w:t>Longhi C</w:t>
      </w:r>
      <w:r w:rsidRPr="006B4867">
        <w:rPr>
          <w:rFonts w:cstheme="minorHAnsi"/>
          <w:color w:val="000000"/>
          <w:sz w:val="28"/>
          <w:szCs w:val="28"/>
          <w:lang w:val="uk-UA"/>
        </w:rPr>
        <w:t xml:space="preserve">. </w:t>
      </w:r>
      <w:r w:rsidRPr="006B4867">
        <w:rPr>
          <w:rFonts w:cstheme="minorHAnsi"/>
          <w:color w:val="000000"/>
          <w:sz w:val="28"/>
          <w:szCs w:val="28"/>
          <w:lang w:val="en-US"/>
        </w:rPr>
        <w:t>Plasmid-mediated fluoroquinolone resistance determinants in Escherichia coli from community uncomplicated urinary tract infection in an area of high prevalence of quinolone resistance</w:t>
      </w:r>
      <w:r w:rsidRPr="006B4867">
        <w:rPr>
          <w:rFonts w:cstheme="minorHAnsi"/>
          <w:color w:val="000000"/>
          <w:sz w:val="28"/>
          <w:szCs w:val="28"/>
          <w:lang w:val="uk-UA"/>
        </w:rPr>
        <w:t xml:space="preserve"> / </w:t>
      </w:r>
      <w:r w:rsidRPr="006B4867">
        <w:rPr>
          <w:rFonts w:cstheme="minorHAnsi"/>
          <w:color w:val="000000"/>
          <w:sz w:val="28"/>
          <w:szCs w:val="28"/>
          <w:lang w:val="en-US"/>
        </w:rPr>
        <w:t>Longhi C, Conte MP, Marazzato M, Iebba V, Totino V, Santangelo F, Gallinelli C, Pallecchi L, Riccobono E, Schippa S, Comanducci A</w:t>
      </w:r>
      <w:r w:rsidRPr="006B4867">
        <w:rPr>
          <w:rFonts w:cstheme="minorHAnsi"/>
          <w:color w:val="000000"/>
          <w:sz w:val="28"/>
          <w:szCs w:val="28"/>
          <w:lang w:val="uk-UA"/>
        </w:rPr>
        <w:t xml:space="preserve"> // </w:t>
      </w:r>
      <w:r w:rsidRPr="006B4867">
        <w:rPr>
          <w:rFonts w:cstheme="minorHAnsi"/>
          <w:color w:val="000000"/>
          <w:sz w:val="28"/>
          <w:szCs w:val="28"/>
          <w:lang w:val="en-US"/>
        </w:rPr>
        <w:t>Eur J Clin Microbiol Infect Dis. 2012 Aug;31(8):1917-21.</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 xml:space="preserve">Longhi C. Plasmid-mediated fluoroquinolone resistance determinants in </w:t>
      </w:r>
      <w:r w:rsidRPr="006B4867">
        <w:rPr>
          <w:rFonts w:eastAsia="Times New Roman" w:cstheme="minorHAnsi"/>
          <w:bCs/>
          <w:kern w:val="36"/>
          <w:sz w:val="28"/>
          <w:szCs w:val="28"/>
          <w:lang w:val="en-US" w:eastAsia="ru-RU"/>
        </w:rPr>
        <w:t>Escherichia coli from community in uncomplicated urinary tract infection in an area of high prevalence of quinolone resistance</w:t>
      </w:r>
      <w:r w:rsidRPr="006B4867">
        <w:rPr>
          <w:rFonts w:eastAsia="Times New Roman" w:cstheme="minorHAnsi"/>
          <w:sz w:val="28"/>
          <w:szCs w:val="28"/>
          <w:lang w:val="en-US" w:eastAsia="ru-RU"/>
        </w:rPr>
        <w:t xml:space="preserve"> </w:t>
      </w:r>
      <w:r w:rsidRPr="006B4867">
        <w:rPr>
          <w:rFonts w:eastAsia="Times New Roman" w:cstheme="minorHAnsi"/>
          <w:bCs/>
          <w:kern w:val="36"/>
          <w:sz w:val="28"/>
          <w:szCs w:val="28"/>
          <w:lang w:val="en-US" w:eastAsia="ru-RU"/>
        </w:rPr>
        <w:t xml:space="preserve">/ </w:t>
      </w:r>
      <w:r w:rsidRPr="006B4867">
        <w:rPr>
          <w:rFonts w:eastAsia="Times New Roman" w:cstheme="minorHAnsi"/>
          <w:sz w:val="28"/>
          <w:szCs w:val="28"/>
          <w:lang w:val="en-US" w:eastAsia="ru-RU"/>
        </w:rPr>
        <w:t>Longhi C, Conte MP, Marazzato M, Iebba V, Totino V, Santangelo F // Eur J Clin Microbiol Infect Dis. 2012 Aug;31(8):1917-21</w:t>
      </w:r>
      <w:r w:rsidRPr="006B4867">
        <w:rPr>
          <w:rFonts w:eastAsia="Times New Roman" w:cstheme="minorHAnsi"/>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 xml:space="preserve">Longhi C. Plasmid-mediated fluoroquinolone resistance determinants in </w:t>
      </w:r>
      <w:r w:rsidRPr="006B4867">
        <w:rPr>
          <w:rFonts w:eastAsia="Times New Roman" w:cstheme="minorHAnsi"/>
          <w:bCs/>
          <w:kern w:val="36"/>
          <w:sz w:val="28"/>
          <w:szCs w:val="28"/>
          <w:lang w:val="en-US" w:eastAsia="ru-RU"/>
        </w:rPr>
        <w:t>Escherichia coli from community in uncomplicated urinary tract infection in an area of high prevalence of quinolone resistance</w:t>
      </w:r>
      <w:r w:rsidRPr="006B4867">
        <w:rPr>
          <w:rFonts w:eastAsia="Times New Roman" w:cstheme="minorHAnsi"/>
          <w:sz w:val="28"/>
          <w:szCs w:val="28"/>
          <w:lang w:val="en-US" w:eastAsia="ru-RU"/>
        </w:rPr>
        <w:t xml:space="preserve"> </w:t>
      </w:r>
      <w:r w:rsidRPr="006B4867">
        <w:rPr>
          <w:rFonts w:eastAsia="Times New Roman" w:cstheme="minorHAnsi"/>
          <w:bCs/>
          <w:kern w:val="36"/>
          <w:sz w:val="28"/>
          <w:szCs w:val="28"/>
          <w:lang w:val="en-US" w:eastAsia="ru-RU"/>
        </w:rPr>
        <w:t xml:space="preserve">/ </w:t>
      </w:r>
      <w:r w:rsidRPr="006B4867">
        <w:rPr>
          <w:rFonts w:eastAsia="Times New Roman" w:cstheme="minorHAnsi"/>
          <w:sz w:val="28"/>
          <w:szCs w:val="28"/>
          <w:lang w:val="en-US" w:eastAsia="ru-RU"/>
        </w:rPr>
        <w:t>Longhi C, Conte MP, Marazzato M, Iebba V, Totino V, Santangelo F // Eur J Clin Microbiol Infect Dis. 2012 Aug;31(8):1917-21.</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lastRenderedPageBreak/>
        <w:t>López-Cerero L. Comparative assessment of inoculum effects on the antimicrobial activity of amoxycillin-clavulanate and piperacillin-tazobactam with extended-spectrum beta-lactamase-producing and extended-spectrum beta-lactamase-non-producing Escherichia coli isolates / López-Cerero L, Picón E, Morillo C [et al.] //</w:t>
      </w:r>
      <w:r w:rsidRPr="006B4867">
        <w:rPr>
          <w:rFonts w:ascii="Times New Roman" w:hAnsi="Times New Roman" w:cs="Times New Roman"/>
          <w:color w:val="000000"/>
          <w:sz w:val="28"/>
          <w:szCs w:val="28"/>
          <w:lang w:val="en-US"/>
        </w:rPr>
        <w:t xml:space="preserve"> </w:t>
      </w:r>
      <w:r w:rsidRPr="006B4867">
        <w:rPr>
          <w:rFonts w:ascii="Times New Roman" w:eastAsia="Times New Roman" w:hAnsi="Times New Roman" w:cs="Times New Roman"/>
          <w:color w:val="000000"/>
          <w:sz w:val="28"/>
          <w:szCs w:val="28"/>
          <w:lang w:val="en-US"/>
        </w:rPr>
        <w:t xml:space="preserve">Clin Microbiol Infect.- 2010.- № 16(2).-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132-136</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sz w:val="28"/>
          <w:szCs w:val="28"/>
          <w:lang w:val="en-US"/>
        </w:rPr>
        <w:t>M</w:t>
      </w:r>
      <w:r w:rsidRPr="006B4867">
        <w:rPr>
          <w:sz w:val="28"/>
          <w:szCs w:val="28"/>
          <w:lang w:val="uk-UA"/>
        </w:rPr>
        <w:t xml:space="preserve">. </w:t>
      </w:r>
      <w:r w:rsidRPr="006B4867">
        <w:rPr>
          <w:sz w:val="28"/>
          <w:szCs w:val="28"/>
          <w:lang w:val="en-US"/>
        </w:rPr>
        <w:t>Grabe</w:t>
      </w:r>
      <w:r w:rsidRPr="006B4867">
        <w:rPr>
          <w:sz w:val="28"/>
          <w:szCs w:val="28"/>
          <w:lang w:val="uk-UA"/>
        </w:rPr>
        <w:t xml:space="preserve">. </w:t>
      </w:r>
      <w:r w:rsidRPr="006B4867">
        <w:rPr>
          <w:sz w:val="28"/>
          <w:szCs w:val="28"/>
          <w:lang w:val="en-US"/>
        </w:rPr>
        <w:t>Guidelines</w:t>
      </w:r>
      <w:r w:rsidRPr="006B4867">
        <w:rPr>
          <w:sz w:val="28"/>
          <w:szCs w:val="28"/>
          <w:lang w:val="uk-UA"/>
        </w:rPr>
        <w:t xml:space="preserve"> </w:t>
      </w:r>
      <w:r w:rsidRPr="006B4867">
        <w:rPr>
          <w:sz w:val="28"/>
          <w:szCs w:val="28"/>
          <w:lang w:val="en-US"/>
        </w:rPr>
        <w:t>on</w:t>
      </w:r>
      <w:r w:rsidRPr="006B4867">
        <w:rPr>
          <w:sz w:val="28"/>
          <w:szCs w:val="28"/>
          <w:lang w:val="uk-UA"/>
        </w:rPr>
        <w:t xml:space="preserve"> </w:t>
      </w:r>
      <w:r w:rsidRPr="006B4867">
        <w:rPr>
          <w:sz w:val="28"/>
          <w:szCs w:val="28"/>
          <w:lang w:val="en-US"/>
        </w:rPr>
        <w:t>Urological</w:t>
      </w:r>
      <w:r w:rsidRPr="006B4867">
        <w:rPr>
          <w:sz w:val="28"/>
          <w:szCs w:val="28"/>
          <w:lang w:val="uk-UA"/>
        </w:rPr>
        <w:t xml:space="preserve"> </w:t>
      </w:r>
      <w:r w:rsidRPr="006B4867">
        <w:rPr>
          <w:sz w:val="28"/>
          <w:szCs w:val="28"/>
          <w:lang w:val="en-US"/>
        </w:rPr>
        <w:t>Infections</w:t>
      </w:r>
      <w:r w:rsidRPr="006B4867">
        <w:rPr>
          <w:sz w:val="28"/>
          <w:szCs w:val="28"/>
          <w:lang w:val="uk-UA"/>
        </w:rPr>
        <w:t xml:space="preserve"> </w:t>
      </w:r>
      <w:r w:rsidRPr="006B4867">
        <w:rPr>
          <w:rFonts w:cstheme="minorHAnsi"/>
          <w:sz w:val="28"/>
          <w:szCs w:val="28"/>
          <w:lang w:val="uk-UA"/>
        </w:rPr>
        <w:t xml:space="preserve">// </w:t>
      </w:r>
      <w:r w:rsidRPr="006B4867">
        <w:rPr>
          <w:rFonts w:cstheme="minorHAnsi"/>
          <w:sz w:val="28"/>
          <w:szCs w:val="28"/>
          <w:lang w:val="en-US"/>
        </w:rPr>
        <w:t>European</w:t>
      </w:r>
      <w:r w:rsidRPr="006B4867">
        <w:rPr>
          <w:rFonts w:cstheme="minorHAnsi"/>
          <w:sz w:val="28"/>
          <w:szCs w:val="28"/>
          <w:lang w:val="uk-UA"/>
        </w:rPr>
        <w:t xml:space="preserve"> </w:t>
      </w:r>
      <w:r w:rsidRPr="006B4867">
        <w:rPr>
          <w:rFonts w:cstheme="minorHAnsi"/>
          <w:sz w:val="28"/>
          <w:szCs w:val="28"/>
          <w:lang w:val="en-US"/>
        </w:rPr>
        <w:t>Association</w:t>
      </w:r>
      <w:r w:rsidRPr="006B4867">
        <w:rPr>
          <w:rFonts w:cstheme="minorHAnsi"/>
          <w:sz w:val="28"/>
          <w:szCs w:val="28"/>
          <w:lang w:val="uk-UA"/>
        </w:rPr>
        <w:t xml:space="preserve"> </w:t>
      </w:r>
      <w:r w:rsidRPr="006B4867">
        <w:rPr>
          <w:rFonts w:cstheme="minorHAnsi"/>
          <w:sz w:val="28"/>
          <w:szCs w:val="28"/>
          <w:lang w:val="en-US"/>
        </w:rPr>
        <w:t>of</w:t>
      </w:r>
      <w:r w:rsidRPr="006B4867">
        <w:rPr>
          <w:rFonts w:cstheme="minorHAnsi"/>
          <w:sz w:val="28"/>
          <w:szCs w:val="28"/>
          <w:lang w:val="uk-UA"/>
        </w:rPr>
        <w:t xml:space="preserve"> </w:t>
      </w:r>
      <w:r w:rsidRPr="006B4867">
        <w:rPr>
          <w:rFonts w:cstheme="minorHAnsi"/>
          <w:sz w:val="28"/>
          <w:szCs w:val="28"/>
          <w:lang w:val="en-US"/>
        </w:rPr>
        <w:t>Urology</w:t>
      </w:r>
      <w:r w:rsidRPr="006B4867">
        <w:rPr>
          <w:rFonts w:cstheme="minorHAnsi"/>
          <w:sz w:val="28"/>
          <w:szCs w:val="28"/>
          <w:lang w:val="uk-UA"/>
        </w:rPr>
        <w:t xml:space="preserve"> 2015.</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 xml:space="preserve">Macvane SH. Prolonging </w:t>
      </w:r>
      <w:r w:rsidRPr="006B4867">
        <w:rPr>
          <w:rFonts w:ascii="Times New Roman" w:eastAsia="Times New Roman" w:hAnsi="Times New Roman" w:cs="Times New Roman"/>
          <w:color w:val="000000"/>
          <w:sz w:val="28"/>
          <w:szCs w:val="28"/>
        </w:rPr>
        <w:t>β</w:t>
      </w:r>
      <w:r w:rsidRPr="006B4867">
        <w:rPr>
          <w:rFonts w:ascii="Times New Roman" w:eastAsia="Times New Roman" w:hAnsi="Times New Roman" w:cs="Times New Roman"/>
          <w:color w:val="000000"/>
          <w:sz w:val="28"/>
          <w:szCs w:val="28"/>
          <w:lang w:val="en-US"/>
        </w:rPr>
        <w:t xml:space="preserve">-lactam infusion: A review of the rationale and evidence, and guidance for implementation / Macvane SH, Kuti JL, Nicolau DP // Int J Antimicrob Agents.- 2014.- № 43(2).-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105-</w:t>
      </w:r>
      <w:r w:rsidRPr="006B4867">
        <w:rPr>
          <w:rFonts w:ascii="Times New Roman" w:eastAsia="Times New Roman" w:hAnsi="Times New Roman" w:cs="Times New Roman"/>
          <w:color w:val="000000"/>
          <w:sz w:val="28"/>
          <w:szCs w:val="28"/>
        </w:rPr>
        <w:t>1</w:t>
      </w:r>
      <w:r w:rsidRPr="006B4867">
        <w:rPr>
          <w:rFonts w:ascii="Times New Roman" w:eastAsia="Times New Roman" w:hAnsi="Times New Roman" w:cs="Times New Roman"/>
          <w:color w:val="000000"/>
          <w:sz w:val="28"/>
          <w:szCs w:val="28"/>
          <w:lang w:val="en-US"/>
        </w:rPr>
        <w:t>13</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Miranda E</w:t>
      </w:r>
      <w:r w:rsidRPr="006B4867">
        <w:rPr>
          <w:rFonts w:eastAsia="Times New Roman" w:cstheme="minorHAnsi"/>
          <w:color w:val="000000" w:themeColor="text1"/>
          <w:sz w:val="28"/>
          <w:szCs w:val="28"/>
          <w:lang w:val="uk-UA" w:eastAsia="ru-RU"/>
        </w:rPr>
        <w:t>.</w:t>
      </w:r>
      <w:r w:rsidRPr="006B4867">
        <w:rPr>
          <w:rFonts w:eastAsia="Times New Roman" w:cstheme="minorHAnsi"/>
          <w:bCs/>
          <w:color w:val="000000" w:themeColor="text1"/>
          <w:kern w:val="36"/>
          <w:sz w:val="28"/>
          <w:szCs w:val="28"/>
          <w:lang w:val="en-US" w:eastAsia="ru-RU"/>
        </w:rPr>
        <w:t>Susceptibility to antibiotics in urinary tract infections in a secondary care setting from 2005-2006 and 2010-2011, in São Paulo, Brazil: data from 11,943 urine cultures</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Miranda EJ, Oliveira GS, Roque FL, Santos SR, Olmos RD, Lotufo PA</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Rev Inst Med Trop Sao Paulo. 2014 Jul-Aug;56(4):313-24.</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 xml:space="preserve"> </w:t>
      </w:r>
      <w:r w:rsidRPr="006B4867">
        <w:rPr>
          <w:rFonts w:eastAsia="Times New Roman" w:cstheme="minorHAnsi"/>
          <w:color w:val="000000" w:themeColor="text1"/>
          <w:sz w:val="28"/>
          <w:szCs w:val="28"/>
          <w:lang w:val="en-US" w:eastAsia="ru-RU"/>
        </w:rPr>
        <w:t>Miranda E</w:t>
      </w:r>
      <w:r w:rsidRPr="006B4867">
        <w:rPr>
          <w:rFonts w:eastAsia="Times New Roman" w:cstheme="minorHAnsi"/>
          <w:color w:val="000000" w:themeColor="text1"/>
          <w:sz w:val="28"/>
          <w:szCs w:val="28"/>
          <w:lang w:val="uk-UA" w:eastAsia="ru-RU"/>
        </w:rPr>
        <w:t>.</w:t>
      </w:r>
      <w:r w:rsidRPr="006B4867">
        <w:rPr>
          <w:rFonts w:eastAsia="Times New Roman" w:cstheme="minorHAnsi"/>
          <w:bCs/>
          <w:color w:val="000000" w:themeColor="text1"/>
          <w:kern w:val="36"/>
          <w:sz w:val="28"/>
          <w:szCs w:val="28"/>
          <w:lang w:val="en-US" w:eastAsia="ru-RU"/>
        </w:rPr>
        <w:t>Susceptibility to antibiotics in urinary tract infections in a secondary care setting from 2005-2006 and 2010-2011, in São Paulo, Brazil: data from 11,943 urine cultures</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Miranda EJ, Oliveira GS, Roque FL, Santos SR, Olmos RD, Lotufo PA</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Rev Inst Med Trop Sao Paulo. 2014 Jul-Aug;56(4):313-24.</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Mohamed Bouchakour. </w:t>
      </w:r>
      <w:r w:rsidRPr="006B4867">
        <w:rPr>
          <w:rFonts w:cstheme="minorHAnsi"/>
          <w:bCs/>
          <w:sz w:val="28"/>
          <w:szCs w:val="28"/>
          <w:lang w:val="en-US"/>
        </w:rPr>
        <w:t xml:space="preserve">Plasmid-mediated quinolone resistance in expanded spectrum beta lactamase producing </w:t>
      </w:r>
      <w:r w:rsidRPr="006B4867">
        <w:rPr>
          <w:rFonts w:cstheme="minorHAnsi"/>
          <w:bCs/>
          <w:iCs/>
          <w:sz w:val="28"/>
          <w:szCs w:val="28"/>
          <w:lang w:val="en-US"/>
        </w:rPr>
        <w:t xml:space="preserve">enterobacteriaceae </w:t>
      </w:r>
      <w:r w:rsidRPr="006B4867">
        <w:rPr>
          <w:rFonts w:cstheme="minorHAnsi"/>
          <w:bCs/>
          <w:sz w:val="28"/>
          <w:szCs w:val="28"/>
          <w:lang w:val="en-US"/>
        </w:rPr>
        <w:t>in Morocco</w:t>
      </w:r>
      <w:r w:rsidRPr="006B4867">
        <w:rPr>
          <w:rFonts w:cstheme="minorHAnsi"/>
          <w:sz w:val="28"/>
          <w:szCs w:val="28"/>
          <w:lang w:val="en-US"/>
        </w:rPr>
        <w:t xml:space="preserve"> / Mohamed Bouchakour, Khalid Zerouali // </w:t>
      </w:r>
      <w:r w:rsidRPr="006B4867">
        <w:rPr>
          <w:rFonts w:cstheme="minorHAnsi"/>
          <w:iCs/>
          <w:sz w:val="28"/>
          <w:szCs w:val="28"/>
          <w:lang w:val="en-US"/>
        </w:rPr>
        <w:t xml:space="preserve">J Infect Dev Ctries. - </w:t>
      </w:r>
      <w:r w:rsidRPr="006B4867">
        <w:rPr>
          <w:rFonts w:cstheme="minorHAnsi"/>
          <w:sz w:val="28"/>
          <w:szCs w:val="28"/>
          <w:lang w:val="en-US"/>
        </w:rPr>
        <w:t xml:space="preserve">2010. - №4(12). - </w:t>
      </w:r>
      <w:r w:rsidRPr="006B4867">
        <w:rPr>
          <w:rFonts w:cstheme="minorHAnsi"/>
          <w:sz w:val="28"/>
          <w:szCs w:val="28"/>
        </w:rPr>
        <w:t>Р</w:t>
      </w:r>
      <w:r w:rsidRPr="006B4867">
        <w:rPr>
          <w:rFonts w:cstheme="minorHAnsi"/>
          <w:sz w:val="28"/>
          <w:szCs w:val="28"/>
          <w:lang w:val="en-US"/>
        </w:rPr>
        <w:t>. 799-803</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bCs/>
          <w:color w:val="000000" w:themeColor="text1"/>
          <w:sz w:val="28"/>
          <w:szCs w:val="28"/>
          <w:lang w:val="en-US"/>
        </w:rPr>
        <w:t>MolecularCloning</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A</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Laboratory</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Manual</w:t>
      </w:r>
      <w:r w:rsidRPr="006B4867">
        <w:rPr>
          <w:rFonts w:ascii="Times New Roman" w:hAnsi="Times New Roman"/>
          <w:color w:val="000000" w:themeColor="text1"/>
          <w:sz w:val="28"/>
          <w:szCs w:val="28"/>
          <w:lang w:val="uk-UA"/>
        </w:rPr>
        <w:t>, (</w:t>
      </w:r>
      <w:r w:rsidRPr="006B4867">
        <w:rPr>
          <w:rFonts w:ascii="Times New Roman" w:hAnsi="Times New Roman"/>
          <w:bCs/>
          <w:color w:val="000000" w:themeColor="text1"/>
          <w:sz w:val="28"/>
          <w:szCs w:val="28"/>
          <w:lang w:val="uk-UA"/>
        </w:rPr>
        <w:t>1989</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Second</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Edition</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Sambrook</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J</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Fritsch</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E</w:t>
      </w:r>
      <w:r w:rsidRPr="006B4867">
        <w:rPr>
          <w:rFonts w:ascii="Times New Roman" w:hAnsi="Times New Roman"/>
          <w:color w:val="000000" w:themeColor="text1"/>
          <w:sz w:val="28"/>
          <w:szCs w:val="28"/>
          <w:lang w:val="uk-UA"/>
        </w:rPr>
        <w:t>.</w:t>
      </w:r>
      <w:r w:rsidRPr="006B4867">
        <w:rPr>
          <w:rFonts w:ascii="Times New Roman" w:hAnsi="Times New Roman"/>
          <w:color w:val="000000" w:themeColor="text1"/>
          <w:sz w:val="28"/>
          <w:szCs w:val="28"/>
          <w:lang w:val="en-US"/>
        </w:rPr>
        <w:t>F</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and</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Maniatis</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T</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eds</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ColdSpringHarborLaboratoryPress</w:t>
      </w:r>
      <w:r w:rsidRPr="006B4867">
        <w:rPr>
          <w:rFonts w:ascii="Times New Roman" w:hAnsi="Times New Roman"/>
          <w:color w:val="000000" w:themeColor="text1"/>
          <w:sz w:val="28"/>
          <w:szCs w:val="28"/>
          <w:lang w:val="uk-UA"/>
        </w:rPr>
        <w:t xml:space="preserve">, </w:t>
      </w:r>
      <w:r w:rsidRPr="006B4867">
        <w:rPr>
          <w:rFonts w:ascii="Times New Roman" w:hAnsi="Times New Roman"/>
          <w:bCs/>
          <w:color w:val="000000" w:themeColor="text1"/>
          <w:sz w:val="28"/>
          <w:szCs w:val="28"/>
          <w:lang w:val="en-US"/>
        </w:rPr>
        <w:t>ColdSpringHarbor</w:t>
      </w:r>
      <w:r w:rsidRPr="006B4867">
        <w:rPr>
          <w:rFonts w:ascii="Times New Roman" w:hAnsi="Times New Roman"/>
          <w:color w:val="000000" w:themeColor="text1"/>
          <w:sz w:val="28"/>
          <w:szCs w:val="28"/>
          <w:lang w:val="uk-UA"/>
        </w:rPr>
        <w:t xml:space="preserve">, </w:t>
      </w:r>
      <w:r w:rsidRPr="006B4867">
        <w:rPr>
          <w:rFonts w:ascii="Times New Roman" w:hAnsi="Times New Roman"/>
          <w:color w:val="000000" w:themeColor="text1"/>
          <w:sz w:val="28"/>
          <w:szCs w:val="28"/>
          <w:lang w:val="en-US"/>
        </w:rPr>
        <w:t>NY</w:t>
      </w:r>
      <w:r w:rsidRPr="006B4867">
        <w:rPr>
          <w:rFonts w:ascii="Times New Roman" w:hAnsi="Times New Roman"/>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NarcisoA</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Persistence of uropathogenic Escherichia coli strains inthe host for long periods of time</w:t>
      </w:r>
      <w:r w:rsidRPr="006B4867">
        <w:rPr>
          <w:rFonts w:ascii="Times New Roman" w:eastAsia="Times New Roman" w:hAnsi="Times New Roman" w:cs="Times New Roman"/>
          <w:bCs/>
          <w:color w:val="000000" w:themeColor="text1"/>
          <w:kern w:val="36"/>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relationship between phylogenetic groups and virulenc</w:t>
      </w:r>
      <w:r w:rsidRPr="006B4867">
        <w:rPr>
          <w:rFonts w:ascii="Times New Roman" w:eastAsia="Times New Roman" w:hAnsi="Times New Roman" w:cs="Times New Roman"/>
          <w:bCs/>
          <w:color w:val="000000" w:themeColor="text1"/>
          <w:kern w:val="36"/>
          <w:sz w:val="28"/>
          <w:szCs w:val="28"/>
          <w:lang w:val="en-US" w:eastAsia="ru-RU"/>
        </w:rPr>
        <w:lastRenderedPageBreak/>
        <w:t>e factors</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Narciso</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A</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Nunes</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F</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Amores</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T</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Lito</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et</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al</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Eur</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J</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Clin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Microbiol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Infect</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Dis</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r w:rsidRPr="006B4867">
        <w:rPr>
          <w:rFonts w:ascii="Times New Roman" w:eastAsia="Times New Roman" w:hAnsi="Times New Roman" w:cs="Times New Roman"/>
          <w:color w:val="000000" w:themeColor="text1"/>
          <w:sz w:val="28"/>
          <w:szCs w:val="28"/>
          <w:lang w:val="uk-UA" w:eastAsia="ru-RU"/>
        </w:rPr>
        <w:t xml:space="preserve">2012 </w:t>
      </w:r>
      <w:r w:rsidRPr="006B4867">
        <w:rPr>
          <w:rFonts w:ascii="Times New Roman" w:eastAsia="Times New Roman" w:hAnsi="Times New Roman" w:cs="Times New Roman"/>
          <w:color w:val="000000" w:themeColor="text1"/>
          <w:sz w:val="28"/>
          <w:szCs w:val="28"/>
          <w:lang w:val="en-US" w:eastAsia="ru-RU"/>
        </w:rPr>
        <w:t>Jun</w:t>
      </w:r>
      <w:r w:rsidRPr="006B4867">
        <w:rPr>
          <w:rFonts w:ascii="Times New Roman" w:eastAsia="Times New Roman" w:hAnsi="Times New Roman" w:cs="Times New Roman"/>
          <w:color w:val="000000" w:themeColor="text1"/>
          <w:sz w:val="28"/>
          <w:szCs w:val="28"/>
          <w:lang w:val="uk-UA" w:eastAsia="ru-RU"/>
        </w:rPr>
        <w:t>;31(6):1211-7.</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Nikolaidis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I</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Resistance to</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antibiotics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targeted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to</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the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bacterial</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cell</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wall</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Nikolaidis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I</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Favini</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Stabile</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Dessen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Protein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Sci</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w:t>
      </w:r>
      <w:r w:rsidRPr="006B4867">
        <w:rPr>
          <w:rFonts w:eastAsia="Times New Roman" w:cstheme="minorHAnsi"/>
          <w:color w:val="000000" w:themeColor="text1"/>
          <w:sz w:val="28"/>
          <w:szCs w:val="28"/>
          <w:lang w:val="uk-UA" w:eastAsia="ru-RU"/>
        </w:rPr>
        <w:t xml:space="preserve">2014 </w:t>
      </w:r>
      <w:r w:rsidRPr="006B4867">
        <w:rPr>
          <w:rFonts w:eastAsia="Times New Roman" w:cstheme="minorHAnsi"/>
          <w:color w:val="000000" w:themeColor="text1"/>
          <w:sz w:val="28"/>
          <w:szCs w:val="28"/>
          <w:lang w:val="en-US" w:eastAsia="ru-RU"/>
        </w:rPr>
        <w:t>Mar</w:t>
      </w:r>
      <w:r w:rsidRPr="006B4867">
        <w:rPr>
          <w:rFonts w:eastAsia="Times New Roman" w:cstheme="minorHAnsi"/>
          <w:color w:val="000000" w:themeColor="text1"/>
          <w:sz w:val="28"/>
          <w:szCs w:val="28"/>
          <w:lang w:val="uk-UA" w:eastAsia="ru-RU"/>
        </w:rPr>
        <w:t>;23(3):243-59.</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Nordmann P. Emergence of plasmid-mediated resistance to quinolones in </w:t>
      </w:r>
      <w:r w:rsidRPr="006B4867">
        <w:rPr>
          <w:rFonts w:cstheme="minorHAnsi"/>
          <w:iCs/>
          <w:sz w:val="28"/>
          <w:szCs w:val="28"/>
          <w:lang w:val="en-US"/>
        </w:rPr>
        <w:t>Enterobacteriaceae</w:t>
      </w:r>
      <w:r w:rsidRPr="006B4867">
        <w:rPr>
          <w:rFonts w:cstheme="minorHAnsi"/>
          <w:sz w:val="28"/>
          <w:szCs w:val="28"/>
          <w:lang w:val="en-US"/>
        </w:rPr>
        <w:t xml:space="preserve"> / P.Nordmann, L. Poirel //</w:t>
      </w:r>
      <w:r w:rsidRPr="006B4867">
        <w:rPr>
          <w:rFonts w:cstheme="minorHAnsi"/>
          <w:iCs/>
          <w:sz w:val="28"/>
          <w:szCs w:val="28"/>
          <w:lang w:val="en-US"/>
        </w:rPr>
        <w:t xml:space="preserve"> Journal of</w:t>
      </w:r>
      <w:r w:rsidRPr="006B4867">
        <w:rPr>
          <w:rFonts w:cstheme="minorHAnsi"/>
          <w:sz w:val="28"/>
          <w:szCs w:val="28"/>
          <w:lang w:val="en-US"/>
        </w:rPr>
        <w:t xml:space="preserve"> </w:t>
      </w:r>
      <w:r w:rsidRPr="006B4867">
        <w:rPr>
          <w:rFonts w:cstheme="minorHAnsi"/>
          <w:iCs/>
          <w:sz w:val="28"/>
          <w:szCs w:val="28"/>
          <w:lang w:val="en-US"/>
        </w:rPr>
        <w:t>Antimicrobial Chemotherapy</w:t>
      </w:r>
      <w:r w:rsidRPr="006B4867">
        <w:rPr>
          <w:rFonts w:cstheme="minorHAnsi"/>
          <w:sz w:val="28"/>
          <w:szCs w:val="28"/>
          <w:lang w:val="en-US"/>
        </w:rPr>
        <w:t xml:space="preserve">. - 2005. - №3. - </w:t>
      </w:r>
      <w:r w:rsidRPr="006B4867">
        <w:rPr>
          <w:rFonts w:cstheme="minorHAnsi"/>
          <w:sz w:val="28"/>
          <w:szCs w:val="28"/>
        </w:rPr>
        <w:t>Р</w:t>
      </w:r>
      <w:r w:rsidRPr="006B4867">
        <w:rPr>
          <w:rFonts w:cstheme="minorHAnsi"/>
          <w:sz w:val="28"/>
          <w:szCs w:val="28"/>
          <w:lang w:val="en-US"/>
        </w:rPr>
        <w:t>. 463–469</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Ole Heuer. Annual Epidemiological Report 2012. Annual epidemiological report Reporting on 2010 surveillance data and 2011 epidemic intelligence data Ole Heuer, Liselotte Diaz Högberg, Jolanta Griskeviciene, Carl Suetens, Klaus Weist, Dominique Monnet / European Centre for Disease Prevention and Control. P.</w:t>
      </w:r>
      <w:r w:rsidRPr="006B4867">
        <w:rPr>
          <w:rFonts w:cstheme="minorHAnsi"/>
          <w:sz w:val="28"/>
          <w:szCs w:val="28"/>
          <w:lang w:val="uk-UA"/>
        </w:rPr>
        <w:t xml:space="preserve"> </w:t>
      </w:r>
      <w:r w:rsidRPr="006B4867">
        <w:rPr>
          <w:rFonts w:cstheme="minorHAnsi"/>
          <w:sz w:val="28"/>
          <w:szCs w:val="28"/>
          <w:lang w:val="en-US"/>
        </w:rPr>
        <w:t>266.</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Pasom W. </w:t>
      </w:r>
      <w:r w:rsidRPr="006B4867">
        <w:rPr>
          <w:rFonts w:eastAsia="Times New Roman" w:cstheme="minorHAnsi"/>
          <w:bCs/>
          <w:kern w:val="36"/>
          <w:sz w:val="28"/>
          <w:szCs w:val="28"/>
          <w:lang w:val="en-US" w:eastAsia="ru-RU"/>
        </w:rPr>
        <w:t xml:space="preserve">Plasmid-mediated quinolone resistance genes, aac(6')-Ib-cr, qnrS, qnrB, and qnrA, in urinary isolates of Escherichia coli and Klebsiella pneumoniae at a teaching hospital, Thailand / </w:t>
      </w:r>
      <w:r w:rsidRPr="006B4867">
        <w:rPr>
          <w:rFonts w:eastAsia="Times New Roman" w:cstheme="minorHAnsi"/>
          <w:sz w:val="28"/>
          <w:szCs w:val="28"/>
          <w:lang w:val="en-US" w:eastAsia="ru-RU"/>
        </w:rPr>
        <w:t>Pasom W, Chanawong A, Lulitanond A, Wilailuckana C, Kenprom S, Puang-Ngern P // Jpn J Infect Dis. 2013;66(5):428-32</w:t>
      </w:r>
      <w:r w:rsidRPr="006B4867">
        <w:rPr>
          <w:rFonts w:eastAsia="Times New Roman" w:cstheme="minorHAnsi"/>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Pasom W. </w:t>
      </w:r>
      <w:r w:rsidRPr="006B4867">
        <w:rPr>
          <w:rFonts w:eastAsia="Times New Roman" w:cstheme="minorHAnsi"/>
          <w:bCs/>
          <w:kern w:val="36"/>
          <w:sz w:val="28"/>
          <w:szCs w:val="28"/>
          <w:lang w:val="en-US" w:eastAsia="ru-RU"/>
        </w:rPr>
        <w:t xml:space="preserve">Plasmid-mediated quinolone resistance genes, aac(6')-Ib-cr, qnrS, qnrB, and qnrA, in urinary isolates of Escherichia coli and Klebsiella pneumoniae at a teaching hospital, Thailand / </w:t>
      </w:r>
      <w:r w:rsidRPr="006B4867">
        <w:rPr>
          <w:rFonts w:eastAsia="Times New Roman" w:cstheme="minorHAnsi"/>
          <w:sz w:val="28"/>
          <w:szCs w:val="28"/>
          <w:lang w:val="en-US" w:eastAsia="ru-RU"/>
        </w:rPr>
        <w:t>Pasom W, Chanawong A, Lulitanond A, Wilailuckana C, Kenprom S, Puang-Ngern P // Jpn J Infect Dis. 2013;66(5):428-32.</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Pasom W. </w:t>
      </w:r>
      <w:r w:rsidRPr="006B4867">
        <w:rPr>
          <w:rFonts w:eastAsia="Times New Roman" w:cstheme="minorHAnsi"/>
          <w:bCs/>
          <w:color w:val="000000" w:themeColor="text1"/>
          <w:kern w:val="36"/>
          <w:sz w:val="28"/>
          <w:szCs w:val="28"/>
          <w:lang w:val="en-US" w:eastAsia="ru-RU"/>
        </w:rPr>
        <w:t xml:space="preserve">Plasmid-mediated quinolone resistance genes, aac(6')-Ib-cr, qnrS, qnrB, and qnrA, in urinary isolates of Escherichia coli and Klebsiella pneumoniae at a teaching hospital, Thailand / </w:t>
      </w:r>
      <w:r w:rsidRPr="006B4867">
        <w:rPr>
          <w:rFonts w:eastAsia="Times New Roman" w:cstheme="minorHAnsi"/>
          <w:color w:val="000000" w:themeColor="text1"/>
          <w:sz w:val="28"/>
          <w:szCs w:val="28"/>
          <w:lang w:val="en-US" w:eastAsia="ru-RU"/>
        </w:rPr>
        <w:t>Pasom W, Chanawong A, Lulitanond A, Wilailuckana C, Kenprom S, Puang-Ngern P // Jpn J Infect Dis. 2013;66(5):428-32.</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lastRenderedPageBreak/>
        <w:t>Penesyan 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Antibiotic Discovery: Combatting Bacterial Resistance in Cells and in Biofilm Communities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Penesyan A, Gillings M, Paulsen IT</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Molecules. 2015 Mar 24;20(4):5286-5298</w:t>
      </w:r>
      <w:r w:rsidRPr="006B4867">
        <w:rPr>
          <w:rFonts w:eastAsia="Times New Roman" w:cstheme="minorHAnsi"/>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Peterson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LR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Antibiotic policy and prescribing strategies for therapy of extended-spectrum </w:t>
      </w:r>
      <w:r w:rsidRPr="006B4867">
        <w:rPr>
          <w:rFonts w:ascii="Times New Roman" w:eastAsia="Times New Roman" w:hAnsi="Times New Roman" w:cs="Times New Roman"/>
          <w:color w:val="000000"/>
          <w:sz w:val="28"/>
          <w:szCs w:val="28"/>
        </w:rPr>
        <w:t>β</w:t>
      </w:r>
      <w:r w:rsidRPr="006B4867">
        <w:rPr>
          <w:rFonts w:ascii="Times New Roman" w:eastAsia="Times New Roman" w:hAnsi="Times New Roman" w:cs="Times New Roman"/>
          <w:color w:val="000000"/>
          <w:sz w:val="28"/>
          <w:szCs w:val="28"/>
          <w:lang w:val="en-US"/>
        </w:rPr>
        <w:t xml:space="preserve">-lactamase-producing Enterobacteriaceae: the role of piperacillin-tazobactam / Peterson LR // Clin Microbiol Infect.- </w:t>
      </w:r>
      <w:r w:rsidRPr="006B4867">
        <w:rPr>
          <w:rFonts w:ascii="Times New Roman" w:eastAsia="Times New Roman" w:hAnsi="Times New Roman" w:cs="Times New Roman"/>
          <w:color w:val="000000"/>
          <w:sz w:val="28"/>
          <w:szCs w:val="28"/>
        </w:rPr>
        <w:t>2008.- № 14(</w:t>
      </w:r>
      <w:r w:rsidRPr="006B4867">
        <w:rPr>
          <w:rFonts w:ascii="Times New Roman" w:eastAsia="Times New Roman" w:hAnsi="Times New Roman" w:cs="Times New Roman"/>
          <w:color w:val="000000"/>
          <w:sz w:val="28"/>
          <w:szCs w:val="28"/>
          <w:lang w:val="en-US"/>
        </w:rPr>
        <w:t>suppl</w:t>
      </w:r>
      <w:r w:rsidRPr="006B4867">
        <w:rPr>
          <w:rFonts w:ascii="Times New Roman" w:eastAsia="Times New Roman" w:hAnsi="Times New Roman" w:cs="Times New Roman"/>
          <w:color w:val="000000"/>
          <w:sz w:val="28"/>
          <w:szCs w:val="28"/>
        </w:rPr>
        <w:t xml:space="preserve"> 1).- Р. 181-184</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Poirel L. Association of plasmid-mediated quinolone resistance with extended-spectrum </w:t>
      </w:r>
      <w:r w:rsidRPr="006B4867">
        <w:rPr>
          <w:rFonts w:cstheme="minorHAnsi"/>
          <w:iCs/>
          <w:sz w:val="28"/>
          <w:szCs w:val="28"/>
        </w:rPr>
        <w:t>β</w:t>
      </w:r>
      <w:r w:rsidRPr="006B4867">
        <w:rPr>
          <w:rFonts w:cstheme="minorHAnsi"/>
          <w:sz w:val="28"/>
          <w:szCs w:val="28"/>
          <w:lang w:val="en-US"/>
        </w:rPr>
        <w:t>-lactamase VEB-1 / L. Poirel, M. Van De Loo, H. Mammeri [et al] //</w:t>
      </w:r>
      <w:r w:rsidRPr="006B4867">
        <w:rPr>
          <w:rFonts w:cstheme="minorHAnsi"/>
          <w:iCs/>
          <w:sz w:val="28"/>
          <w:szCs w:val="28"/>
          <w:lang w:val="en-US"/>
        </w:rPr>
        <w:t xml:space="preserve"> Antimicrobial</w:t>
      </w:r>
      <w:r w:rsidRPr="006B4867">
        <w:rPr>
          <w:rFonts w:cstheme="minorHAnsi"/>
          <w:sz w:val="28"/>
          <w:szCs w:val="28"/>
          <w:lang w:val="en-US"/>
        </w:rPr>
        <w:t xml:space="preserve"> </w:t>
      </w:r>
      <w:r w:rsidRPr="006B4867">
        <w:rPr>
          <w:rFonts w:cstheme="minorHAnsi"/>
          <w:iCs/>
          <w:sz w:val="28"/>
          <w:szCs w:val="28"/>
          <w:lang w:val="en-US"/>
        </w:rPr>
        <w:t>Agents and Chemotherapy</w:t>
      </w:r>
      <w:r w:rsidRPr="006B4867">
        <w:rPr>
          <w:rFonts w:cstheme="minorHAnsi"/>
          <w:sz w:val="28"/>
          <w:szCs w:val="28"/>
          <w:lang w:val="en-US"/>
        </w:rPr>
        <w:t xml:space="preserve">. - 2005. - №7. - </w:t>
      </w:r>
      <w:r w:rsidRPr="006B4867">
        <w:rPr>
          <w:rFonts w:cstheme="minorHAnsi"/>
          <w:sz w:val="28"/>
          <w:szCs w:val="28"/>
        </w:rPr>
        <w:t>Р</w:t>
      </w:r>
      <w:r w:rsidRPr="006B4867">
        <w:rPr>
          <w:rFonts w:cstheme="minorHAnsi"/>
          <w:sz w:val="28"/>
          <w:szCs w:val="28"/>
          <w:lang w:val="en-US"/>
        </w:rPr>
        <w:t>. 3091–3094</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Poirel L. Origin of plasmid-mediated quinolone resistance determinant QnrA / L. Poirel,J. M. Rodriguez-Martinez, H. Mammeri [et al] // </w:t>
      </w:r>
      <w:r w:rsidRPr="006B4867">
        <w:rPr>
          <w:rFonts w:cstheme="minorHAnsi"/>
          <w:iCs/>
          <w:sz w:val="28"/>
          <w:szCs w:val="28"/>
          <w:lang w:val="en-US"/>
        </w:rPr>
        <w:t>Antimicrobial Agents and</w:t>
      </w:r>
      <w:r w:rsidRPr="006B4867">
        <w:rPr>
          <w:rFonts w:cstheme="minorHAnsi"/>
          <w:sz w:val="28"/>
          <w:szCs w:val="28"/>
          <w:lang w:val="en-US"/>
        </w:rPr>
        <w:t xml:space="preserve"> </w:t>
      </w:r>
      <w:r w:rsidRPr="006B4867">
        <w:rPr>
          <w:rFonts w:cstheme="minorHAnsi"/>
          <w:iCs/>
          <w:sz w:val="28"/>
          <w:szCs w:val="28"/>
          <w:lang w:val="en-US"/>
        </w:rPr>
        <w:t>Chemotherapy</w:t>
      </w:r>
      <w:r w:rsidRPr="006B4867">
        <w:rPr>
          <w:rFonts w:cstheme="minorHAnsi"/>
          <w:sz w:val="28"/>
          <w:szCs w:val="28"/>
          <w:lang w:val="en-US"/>
        </w:rPr>
        <w:t xml:space="preserve">. - 2005. - №8. - </w:t>
      </w:r>
      <w:r w:rsidRPr="006B4867">
        <w:rPr>
          <w:rFonts w:cstheme="minorHAnsi"/>
          <w:sz w:val="28"/>
          <w:szCs w:val="28"/>
        </w:rPr>
        <w:t>Р</w:t>
      </w:r>
      <w:r w:rsidRPr="006B4867">
        <w:rPr>
          <w:rFonts w:cstheme="minorHAnsi"/>
          <w:sz w:val="28"/>
          <w:szCs w:val="28"/>
          <w:lang w:val="en-US"/>
        </w:rPr>
        <w:t>. 3523–3525</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Poirel L.</w:t>
      </w:r>
      <w:r w:rsidRPr="006B4867">
        <w:rPr>
          <w:rFonts w:cstheme="minorHAnsi"/>
          <w:sz w:val="28"/>
          <w:szCs w:val="28"/>
          <w:lang w:val="uk-UA"/>
        </w:rPr>
        <w:t xml:space="preserve"> </w:t>
      </w:r>
      <w:r w:rsidRPr="006B4867">
        <w:rPr>
          <w:rFonts w:cstheme="minorHAnsi"/>
          <w:sz w:val="28"/>
          <w:szCs w:val="28"/>
          <w:lang w:val="en-US"/>
        </w:rPr>
        <w:t>Plasmid-mediated quinolone-resistance; interactions between human, animal and environmental ecologies</w:t>
      </w:r>
      <w:r w:rsidRPr="006B4867">
        <w:rPr>
          <w:rFonts w:cstheme="minorHAnsi"/>
          <w:sz w:val="28"/>
          <w:szCs w:val="28"/>
          <w:lang w:val="uk-UA"/>
        </w:rPr>
        <w:t xml:space="preserve"> /</w:t>
      </w:r>
      <w:r w:rsidRPr="006B4867">
        <w:rPr>
          <w:rFonts w:cstheme="minorHAnsi"/>
          <w:sz w:val="28"/>
          <w:szCs w:val="28"/>
          <w:lang w:val="en-US"/>
        </w:rPr>
        <w:t xml:space="preserve"> L</w:t>
      </w:r>
      <w:r w:rsidRPr="006B4867">
        <w:rPr>
          <w:rFonts w:cstheme="minorHAnsi"/>
          <w:sz w:val="28"/>
          <w:szCs w:val="28"/>
          <w:lang w:val="uk-UA"/>
        </w:rPr>
        <w:t>.</w:t>
      </w:r>
      <w:r w:rsidRPr="006B4867">
        <w:rPr>
          <w:rFonts w:cstheme="minorHAnsi"/>
          <w:sz w:val="28"/>
          <w:szCs w:val="28"/>
          <w:lang w:val="en-US"/>
        </w:rPr>
        <w:t xml:space="preserve"> Poirel</w:t>
      </w:r>
      <w:r w:rsidRPr="006B4867">
        <w:rPr>
          <w:rFonts w:cstheme="minorHAnsi"/>
          <w:sz w:val="28"/>
          <w:szCs w:val="28"/>
          <w:lang w:val="uk-UA"/>
        </w:rPr>
        <w:t>,</w:t>
      </w:r>
      <w:r w:rsidRPr="006B4867">
        <w:rPr>
          <w:rFonts w:cstheme="minorHAnsi"/>
          <w:sz w:val="28"/>
          <w:szCs w:val="28"/>
          <w:lang w:val="en-US"/>
        </w:rPr>
        <w:t xml:space="preserve"> V. Cattoir, P. Nordmann</w:t>
      </w:r>
      <w:r w:rsidRPr="006B4867">
        <w:rPr>
          <w:rFonts w:cstheme="minorHAnsi"/>
          <w:sz w:val="28"/>
          <w:szCs w:val="28"/>
          <w:lang w:val="uk-UA"/>
        </w:rPr>
        <w:t xml:space="preserve"> // </w:t>
      </w:r>
      <w:r w:rsidRPr="006B4867">
        <w:rPr>
          <w:rFonts w:cstheme="minorHAnsi"/>
          <w:iCs/>
          <w:sz w:val="28"/>
          <w:szCs w:val="28"/>
          <w:lang w:val="en-US"/>
        </w:rPr>
        <w:t>Frontiers in Microbiology</w:t>
      </w:r>
      <w:r w:rsidRPr="006B4867">
        <w:rPr>
          <w:rFonts w:cstheme="minorHAnsi"/>
          <w:sz w:val="28"/>
          <w:szCs w:val="28"/>
          <w:lang w:val="uk-UA"/>
        </w:rPr>
        <w:t>.-</w:t>
      </w:r>
      <w:r w:rsidRPr="006B4867">
        <w:rPr>
          <w:rFonts w:cstheme="minorHAnsi"/>
          <w:sz w:val="28"/>
          <w:szCs w:val="28"/>
          <w:lang w:val="en-US"/>
        </w:rPr>
        <w:t xml:space="preserve"> 2012</w:t>
      </w:r>
      <w:r w:rsidRPr="006B4867">
        <w:rPr>
          <w:rFonts w:cstheme="minorHAnsi"/>
          <w:sz w:val="28"/>
          <w:szCs w:val="28"/>
          <w:lang w:val="uk-UA"/>
        </w:rPr>
        <w:t>.- №</w:t>
      </w:r>
      <w:r w:rsidRPr="006B4867">
        <w:rPr>
          <w:rFonts w:cstheme="minorHAnsi"/>
          <w:sz w:val="28"/>
          <w:szCs w:val="28"/>
          <w:lang w:val="en-US"/>
        </w:rPr>
        <w:t>3</w:t>
      </w:r>
      <w:r w:rsidRPr="006B4867">
        <w:rPr>
          <w:rFonts w:cstheme="minorHAnsi"/>
          <w:sz w:val="28"/>
          <w:szCs w:val="28"/>
          <w:lang w:val="uk-UA"/>
        </w:rPr>
        <w:t>(24)</w:t>
      </w:r>
      <w:r w:rsidRPr="006B4867">
        <w:rPr>
          <w:rFonts w:cstheme="minorHAnsi"/>
          <w:sz w:val="28"/>
          <w:szCs w:val="28"/>
          <w:lang w:val="en-US"/>
        </w:rPr>
        <w:t xml:space="preserve">.- </w:t>
      </w:r>
      <w:r w:rsidRPr="006B4867">
        <w:rPr>
          <w:rFonts w:cstheme="minorHAnsi"/>
          <w:sz w:val="28"/>
          <w:szCs w:val="28"/>
          <w:lang w:val="uk-UA"/>
        </w:rPr>
        <w:t>Р</w:t>
      </w:r>
      <w:r w:rsidRPr="006B4867">
        <w:rPr>
          <w:rFonts w:cstheme="minorHAnsi"/>
          <w:sz w:val="28"/>
          <w:szCs w:val="28"/>
          <w:lang w:val="en-US"/>
        </w:rPr>
        <w:t>. 1–7</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Pontikis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Outcomes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critically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ill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intensive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care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unit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patients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treated</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with</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fosfomycin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for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infections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due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to</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pandrug</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resistant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and</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extensively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drug</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resistant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carbapenemase</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producing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Gram</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negative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bacteria</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Pontikis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Karaiskos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Bastani</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al</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Int</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J</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Antimicrob</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Agents</w:t>
      </w:r>
      <w:r w:rsidRPr="006B4867">
        <w:rPr>
          <w:rFonts w:ascii="Times New Roman" w:eastAsia="Times New Roman" w:hAnsi="Times New Roman" w:cs="Times New Roman"/>
          <w:color w:val="000000"/>
          <w:sz w:val="28"/>
          <w:szCs w:val="28"/>
          <w:lang w:val="uk-UA"/>
        </w:rPr>
        <w:t>.- 2014.- № 43(1).- Р. 52-59.</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 xml:space="preserve">Rattanaumpawan P. A clinical prediction rule for fluoroquinolone resistance in healthcare-acquired gram-negative urinary tract infection / P. Rattanaumpawan, P.C. Tolomeo, W.B. Bilker // Infect Control Hosp Epidemiol.- 2011.- №32.- </w:t>
      </w:r>
      <w:r w:rsidRPr="006B4867">
        <w:rPr>
          <w:rFonts w:cstheme="minorHAnsi"/>
          <w:color w:val="000000" w:themeColor="text1"/>
          <w:sz w:val="28"/>
          <w:szCs w:val="28"/>
        </w:rPr>
        <w:t>Р</w:t>
      </w:r>
      <w:r w:rsidRPr="006B4867">
        <w:rPr>
          <w:rFonts w:cstheme="minorHAnsi"/>
          <w:color w:val="000000" w:themeColor="text1"/>
          <w:sz w:val="28"/>
          <w:szCs w:val="28"/>
          <w:lang w:val="en-US"/>
        </w:rPr>
        <w:t>.1124–1126</w:t>
      </w:r>
      <w:r w:rsidRPr="006B4867">
        <w:rPr>
          <w:rFonts w:cstheme="minorHAnsi"/>
          <w:color w:val="000000" w:themeColor="text1"/>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sz w:val="28"/>
          <w:szCs w:val="28"/>
          <w:lang w:val="en-US"/>
        </w:rPr>
        <w:t xml:space="preserve">Rawat D, Nair D.// Extended-spectrum </w:t>
      </w:r>
      <w:r w:rsidRPr="006B4867">
        <w:rPr>
          <w:rFonts w:ascii="Times New Roman" w:hAnsi="Times New Roman" w:cs="Times New Roman"/>
          <w:sz w:val="28"/>
          <w:szCs w:val="28"/>
        </w:rPr>
        <w:t>β</w:t>
      </w:r>
      <w:r w:rsidRPr="006B4867">
        <w:rPr>
          <w:rFonts w:ascii="Times New Roman" w:hAnsi="Times New Roman" w:cs="Times New Roman"/>
          <w:sz w:val="28"/>
          <w:szCs w:val="28"/>
          <w:lang w:val="en-US"/>
        </w:rPr>
        <w:t>-lactamases in Gram Negative Bacteria</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 xml:space="preserve">// </w:t>
      </w:r>
      <w:r w:rsidRPr="006B4867">
        <w:rPr>
          <w:rFonts w:ascii="Times New Roman" w:hAnsi="Times New Roman" w:cs="Times New Roman"/>
          <w:bCs/>
          <w:sz w:val="28"/>
          <w:szCs w:val="28"/>
          <w:lang w:val="en-US"/>
        </w:rPr>
        <w:t>J.</w:t>
      </w:r>
      <w:r w:rsidRPr="006B4867">
        <w:rPr>
          <w:rFonts w:ascii="Times New Roman" w:hAnsi="Times New Roman" w:cs="Times New Roman"/>
          <w:sz w:val="28"/>
          <w:szCs w:val="28"/>
          <w:lang w:val="en-US"/>
        </w:rPr>
        <w:t>Glob Infect Dis. 2010 Sep;2(3):263-74</w:t>
      </w:r>
      <w:r w:rsidRPr="006B4867">
        <w:rPr>
          <w:rFonts w:ascii="Times New Roman" w:hAnsi="Times New Roman" w:cs="Times New Roman"/>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sz w:val="28"/>
          <w:szCs w:val="28"/>
          <w:lang w:val="en-US"/>
        </w:rPr>
        <w:lastRenderedPageBreak/>
        <w:t xml:space="preserve">Robicsek A. Fluoroquinolone-modifying enzyme: a new adaptation of a common aminoglycoside acetyltransferase / A. Robicsek, J. Strahilevitz, GA Jacoby </w:t>
      </w:r>
      <w:r w:rsidRPr="006B4867">
        <w:rPr>
          <w:rFonts w:cstheme="minorHAnsi"/>
          <w:sz w:val="28"/>
          <w:szCs w:val="28"/>
          <w:lang w:val="en-US"/>
        </w:rPr>
        <w:t>[et al]</w:t>
      </w:r>
      <w:r w:rsidRPr="006B4867">
        <w:rPr>
          <w:sz w:val="28"/>
          <w:szCs w:val="28"/>
          <w:lang w:val="en-US"/>
        </w:rPr>
        <w:t xml:space="preserve"> // Nat Med.- 2006.- №12.- </w:t>
      </w:r>
      <w:r w:rsidRPr="006B4867">
        <w:rPr>
          <w:sz w:val="28"/>
          <w:szCs w:val="28"/>
        </w:rPr>
        <w:t>Р</w:t>
      </w:r>
      <w:r w:rsidRPr="006B4867">
        <w:rPr>
          <w:sz w:val="28"/>
          <w:szCs w:val="28"/>
          <w:lang w:val="en-US"/>
        </w:rPr>
        <w:t>. 83-88</w:t>
      </w:r>
      <w:r w:rsidRPr="006B4867">
        <w:rPr>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Robicsek</w:t>
      </w:r>
      <w:r w:rsidRPr="006B4867">
        <w:rPr>
          <w:rFonts w:cstheme="minorHAnsi"/>
          <w:sz w:val="28"/>
          <w:szCs w:val="28"/>
          <w:lang w:val="uk-UA"/>
        </w:rPr>
        <w:t xml:space="preserve"> </w:t>
      </w:r>
      <w:r w:rsidRPr="006B4867">
        <w:rPr>
          <w:rFonts w:cstheme="minorHAnsi"/>
          <w:sz w:val="28"/>
          <w:szCs w:val="28"/>
          <w:lang w:val="en-US"/>
        </w:rPr>
        <w:t>A</w:t>
      </w:r>
      <w:r w:rsidRPr="006B4867">
        <w:rPr>
          <w:rFonts w:cstheme="minorHAnsi"/>
          <w:sz w:val="28"/>
          <w:szCs w:val="28"/>
          <w:lang w:val="uk-UA"/>
        </w:rPr>
        <w:t xml:space="preserve">. </w:t>
      </w:r>
      <w:r w:rsidRPr="006B4867">
        <w:rPr>
          <w:rFonts w:cstheme="minorHAnsi"/>
          <w:sz w:val="28"/>
          <w:szCs w:val="28"/>
          <w:lang w:val="en-US"/>
        </w:rPr>
        <w:t>The</w:t>
      </w:r>
      <w:r w:rsidRPr="006B4867">
        <w:rPr>
          <w:rFonts w:cstheme="minorHAnsi"/>
          <w:sz w:val="28"/>
          <w:szCs w:val="28"/>
          <w:lang w:val="uk-UA"/>
        </w:rPr>
        <w:t xml:space="preserve"> </w:t>
      </w:r>
      <w:r w:rsidRPr="006B4867">
        <w:rPr>
          <w:rFonts w:cstheme="minorHAnsi"/>
          <w:sz w:val="28"/>
          <w:szCs w:val="28"/>
          <w:lang w:val="en-US"/>
        </w:rPr>
        <w:t>worldwide</w:t>
      </w:r>
      <w:r w:rsidRPr="006B4867">
        <w:rPr>
          <w:rFonts w:cstheme="minorHAnsi"/>
          <w:sz w:val="28"/>
          <w:szCs w:val="28"/>
          <w:lang w:val="uk-UA"/>
        </w:rPr>
        <w:t xml:space="preserve"> </w:t>
      </w:r>
      <w:r w:rsidRPr="006B4867">
        <w:rPr>
          <w:rFonts w:cstheme="minorHAnsi"/>
          <w:sz w:val="28"/>
          <w:szCs w:val="28"/>
          <w:lang w:val="en-US"/>
        </w:rPr>
        <w:t>emergence</w:t>
      </w:r>
      <w:r w:rsidRPr="006B4867">
        <w:rPr>
          <w:rFonts w:cstheme="minorHAnsi"/>
          <w:sz w:val="28"/>
          <w:szCs w:val="28"/>
          <w:lang w:val="uk-UA"/>
        </w:rPr>
        <w:t xml:space="preserve"> </w:t>
      </w:r>
      <w:r w:rsidRPr="006B4867">
        <w:rPr>
          <w:rFonts w:cstheme="minorHAnsi"/>
          <w:sz w:val="28"/>
          <w:szCs w:val="28"/>
          <w:lang w:val="en-US"/>
        </w:rPr>
        <w:t>of</w:t>
      </w:r>
      <w:r w:rsidRPr="006B4867">
        <w:rPr>
          <w:rFonts w:cstheme="minorHAnsi"/>
          <w:sz w:val="28"/>
          <w:szCs w:val="28"/>
          <w:lang w:val="uk-UA"/>
        </w:rPr>
        <w:t xml:space="preserve"> </w:t>
      </w:r>
      <w:r w:rsidRPr="006B4867">
        <w:rPr>
          <w:rFonts w:cstheme="minorHAnsi"/>
          <w:sz w:val="28"/>
          <w:szCs w:val="28"/>
          <w:lang w:val="en-US"/>
        </w:rPr>
        <w:t>plasmid</w:t>
      </w:r>
      <w:r w:rsidRPr="006B4867">
        <w:rPr>
          <w:rFonts w:cstheme="minorHAnsi"/>
          <w:sz w:val="28"/>
          <w:szCs w:val="28"/>
          <w:lang w:val="uk-UA"/>
        </w:rPr>
        <w:t>-</w:t>
      </w:r>
      <w:r w:rsidRPr="006B4867">
        <w:rPr>
          <w:rFonts w:cstheme="minorHAnsi"/>
          <w:sz w:val="28"/>
          <w:szCs w:val="28"/>
          <w:lang w:val="en-US"/>
        </w:rPr>
        <w:t>mediated</w:t>
      </w:r>
      <w:r w:rsidRPr="006B4867">
        <w:rPr>
          <w:rFonts w:cstheme="minorHAnsi"/>
          <w:sz w:val="28"/>
          <w:szCs w:val="28"/>
          <w:lang w:val="uk-UA"/>
        </w:rPr>
        <w:t xml:space="preserve"> </w:t>
      </w:r>
      <w:r w:rsidRPr="006B4867">
        <w:rPr>
          <w:rFonts w:cstheme="minorHAnsi"/>
          <w:sz w:val="28"/>
          <w:szCs w:val="28"/>
          <w:lang w:val="en-US"/>
        </w:rPr>
        <w:t>quinolone</w:t>
      </w:r>
      <w:r w:rsidRPr="006B4867">
        <w:rPr>
          <w:rFonts w:cstheme="minorHAnsi"/>
          <w:sz w:val="28"/>
          <w:szCs w:val="28"/>
          <w:lang w:val="uk-UA"/>
        </w:rPr>
        <w:t xml:space="preserve"> </w:t>
      </w:r>
      <w:r w:rsidRPr="006B4867">
        <w:rPr>
          <w:rFonts w:cstheme="minorHAnsi"/>
          <w:sz w:val="28"/>
          <w:szCs w:val="28"/>
          <w:lang w:val="en-US"/>
        </w:rPr>
        <w:t>resistance</w:t>
      </w:r>
      <w:r w:rsidRPr="006B4867">
        <w:rPr>
          <w:rFonts w:cstheme="minorHAnsi"/>
          <w:sz w:val="28"/>
          <w:szCs w:val="28"/>
          <w:lang w:val="uk-UA"/>
        </w:rPr>
        <w:t xml:space="preserve"> / </w:t>
      </w:r>
      <w:r w:rsidRPr="006B4867">
        <w:rPr>
          <w:rFonts w:cstheme="minorHAnsi"/>
          <w:sz w:val="28"/>
          <w:szCs w:val="28"/>
          <w:lang w:val="en-US"/>
        </w:rPr>
        <w:t>A</w:t>
      </w:r>
      <w:r w:rsidRPr="006B4867">
        <w:rPr>
          <w:rFonts w:cstheme="minorHAnsi"/>
          <w:sz w:val="28"/>
          <w:szCs w:val="28"/>
          <w:lang w:val="uk-UA"/>
        </w:rPr>
        <w:t xml:space="preserve">. </w:t>
      </w:r>
      <w:r w:rsidRPr="006B4867">
        <w:rPr>
          <w:rFonts w:cstheme="minorHAnsi"/>
          <w:sz w:val="28"/>
          <w:szCs w:val="28"/>
          <w:lang w:val="en-US"/>
        </w:rPr>
        <w:t>Robicsek</w:t>
      </w:r>
      <w:r w:rsidRPr="006B4867">
        <w:rPr>
          <w:rFonts w:cstheme="minorHAnsi"/>
          <w:sz w:val="28"/>
          <w:szCs w:val="28"/>
          <w:lang w:val="uk-UA"/>
        </w:rPr>
        <w:t xml:space="preserve">, </w:t>
      </w:r>
      <w:r w:rsidRPr="006B4867">
        <w:rPr>
          <w:rFonts w:cstheme="minorHAnsi"/>
          <w:sz w:val="28"/>
          <w:szCs w:val="28"/>
          <w:lang w:val="en-US"/>
        </w:rPr>
        <w:t>G</w:t>
      </w:r>
      <w:r w:rsidRPr="006B4867">
        <w:rPr>
          <w:rFonts w:cstheme="minorHAnsi"/>
          <w:sz w:val="28"/>
          <w:szCs w:val="28"/>
          <w:lang w:val="uk-UA"/>
        </w:rPr>
        <w:t xml:space="preserve">. </w:t>
      </w:r>
      <w:r w:rsidRPr="006B4867">
        <w:rPr>
          <w:rFonts w:cstheme="minorHAnsi"/>
          <w:sz w:val="28"/>
          <w:szCs w:val="28"/>
          <w:lang w:val="en-US"/>
        </w:rPr>
        <w:t>A</w:t>
      </w:r>
      <w:r w:rsidRPr="006B4867">
        <w:rPr>
          <w:rFonts w:cstheme="minorHAnsi"/>
          <w:sz w:val="28"/>
          <w:szCs w:val="28"/>
          <w:lang w:val="uk-UA"/>
        </w:rPr>
        <w:t xml:space="preserve">. </w:t>
      </w:r>
      <w:r w:rsidRPr="006B4867">
        <w:rPr>
          <w:rFonts w:cstheme="minorHAnsi"/>
          <w:sz w:val="28"/>
          <w:szCs w:val="28"/>
          <w:lang w:val="en-US"/>
        </w:rPr>
        <w:t>Jacoby</w:t>
      </w:r>
      <w:r w:rsidRPr="006B4867">
        <w:rPr>
          <w:rFonts w:cstheme="minorHAnsi"/>
          <w:sz w:val="28"/>
          <w:szCs w:val="28"/>
          <w:lang w:val="uk-UA"/>
        </w:rPr>
        <w:t xml:space="preserve">, </w:t>
      </w:r>
      <w:r w:rsidRPr="006B4867">
        <w:rPr>
          <w:rFonts w:cstheme="minorHAnsi"/>
          <w:sz w:val="28"/>
          <w:szCs w:val="28"/>
          <w:lang w:val="en-US"/>
        </w:rPr>
        <w:t>D</w:t>
      </w:r>
      <w:r w:rsidRPr="006B4867">
        <w:rPr>
          <w:rFonts w:cstheme="minorHAnsi"/>
          <w:sz w:val="28"/>
          <w:szCs w:val="28"/>
          <w:lang w:val="uk-UA"/>
        </w:rPr>
        <w:t xml:space="preserve">. </w:t>
      </w:r>
      <w:r w:rsidRPr="006B4867">
        <w:rPr>
          <w:rFonts w:cstheme="minorHAnsi"/>
          <w:sz w:val="28"/>
          <w:szCs w:val="28"/>
          <w:lang w:val="en-US"/>
        </w:rPr>
        <w:t>C</w:t>
      </w:r>
      <w:r w:rsidRPr="006B4867">
        <w:rPr>
          <w:rFonts w:cstheme="minorHAnsi"/>
          <w:sz w:val="28"/>
          <w:szCs w:val="28"/>
          <w:lang w:val="uk-UA"/>
        </w:rPr>
        <w:t xml:space="preserve">. </w:t>
      </w:r>
      <w:r w:rsidRPr="006B4867">
        <w:rPr>
          <w:rFonts w:cstheme="minorHAnsi"/>
          <w:sz w:val="28"/>
          <w:szCs w:val="28"/>
          <w:lang w:val="en-US"/>
        </w:rPr>
        <w:t>Hooper</w:t>
      </w:r>
      <w:r w:rsidRPr="006B4867">
        <w:rPr>
          <w:rFonts w:cstheme="minorHAnsi"/>
          <w:iCs/>
          <w:sz w:val="28"/>
          <w:szCs w:val="28"/>
          <w:lang w:val="uk-UA"/>
        </w:rPr>
        <w:t xml:space="preserve"> // </w:t>
      </w:r>
      <w:r w:rsidRPr="006B4867">
        <w:rPr>
          <w:rFonts w:cstheme="minorHAnsi"/>
          <w:iCs/>
          <w:sz w:val="28"/>
          <w:szCs w:val="28"/>
          <w:lang w:val="en-US"/>
        </w:rPr>
        <w:t>The</w:t>
      </w:r>
      <w:r w:rsidRPr="006B4867">
        <w:rPr>
          <w:rFonts w:cstheme="minorHAnsi"/>
          <w:sz w:val="28"/>
          <w:szCs w:val="28"/>
          <w:lang w:val="uk-UA"/>
        </w:rPr>
        <w:t xml:space="preserve"> </w:t>
      </w:r>
      <w:r w:rsidRPr="006B4867">
        <w:rPr>
          <w:rFonts w:cstheme="minorHAnsi"/>
          <w:iCs/>
          <w:sz w:val="28"/>
          <w:szCs w:val="28"/>
          <w:lang w:val="en-US"/>
        </w:rPr>
        <w:t>Lancet</w:t>
      </w:r>
      <w:r w:rsidRPr="006B4867">
        <w:rPr>
          <w:rFonts w:cstheme="minorHAnsi"/>
          <w:iCs/>
          <w:sz w:val="28"/>
          <w:szCs w:val="28"/>
          <w:lang w:val="uk-UA"/>
        </w:rPr>
        <w:t xml:space="preserve"> </w:t>
      </w:r>
      <w:r w:rsidRPr="006B4867">
        <w:rPr>
          <w:rFonts w:cstheme="minorHAnsi"/>
          <w:iCs/>
          <w:sz w:val="28"/>
          <w:szCs w:val="28"/>
          <w:lang w:val="en-US"/>
        </w:rPr>
        <w:t>Infectious</w:t>
      </w:r>
      <w:r w:rsidRPr="006B4867">
        <w:rPr>
          <w:rFonts w:cstheme="minorHAnsi"/>
          <w:iCs/>
          <w:sz w:val="28"/>
          <w:szCs w:val="28"/>
          <w:lang w:val="uk-UA"/>
        </w:rPr>
        <w:t xml:space="preserve"> </w:t>
      </w:r>
      <w:r w:rsidRPr="006B4867">
        <w:rPr>
          <w:rFonts w:cstheme="minorHAnsi"/>
          <w:iCs/>
          <w:sz w:val="28"/>
          <w:szCs w:val="28"/>
          <w:lang w:val="en-US"/>
        </w:rPr>
        <w:t>Diseases</w:t>
      </w:r>
      <w:r w:rsidRPr="006B4867">
        <w:rPr>
          <w:rFonts w:cstheme="minorHAnsi"/>
          <w:sz w:val="28"/>
          <w:szCs w:val="28"/>
          <w:lang w:val="uk-UA"/>
        </w:rPr>
        <w:t xml:space="preserve">.- </w:t>
      </w:r>
      <w:r w:rsidRPr="006B4867">
        <w:rPr>
          <w:rFonts w:cstheme="minorHAnsi"/>
          <w:sz w:val="28"/>
          <w:szCs w:val="28"/>
          <w:lang w:val="en-US"/>
        </w:rPr>
        <w:t xml:space="preserve">2006.- №10.- </w:t>
      </w:r>
      <w:r w:rsidRPr="006B4867">
        <w:rPr>
          <w:rFonts w:cstheme="minorHAnsi"/>
          <w:sz w:val="28"/>
          <w:szCs w:val="28"/>
        </w:rPr>
        <w:t>Р</w:t>
      </w:r>
      <w:r w:rsidRPr="006B4867">
        <w:rPr>
          <w:rFonts w:cstheme="minorHAnsi"/>
          <w:sz w:val="28"/>
          <w:szCs w:val="28"/>
          <w:lang w:val="en-US"/>
        </w:rPr>
        <w:t>. 629–640</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Rodr´ıguez-Mart´ınez J. Plasmid-mediated quinolone resistance: an update</w:t>
      </w:r>
      <w:r w:rsidRPr="006B4867">
        <w:rPr>
          <w:rFonts w:cstheme="minorHAnsi"/>
          <w:sz w:val="28"/>
          <w:szCs w:val="28"/>
          <w:lang w:val="uk-UA"/>
        </w:rPr>
        <w:t xml:space="preserve"> /</w:t>
      </w:r>
      <w:r w:rsidRPr="006B4867">
        <w:rPr>
          <w:rFonts w:cstheme="minorHAnsi"/>
          <w:sz w:val="28"/>
          <w:szCs w:val="28"/>
          <w:lang w:val="en-US"/>
        </w:rPr>
        <w:t xml:space="preserve"> J. M. Rodr´ıguez-Mart´ınez</w:t>
      </w:r>
      <w:r w:rsidRPr="006B4867">
        <w:rPr>
          <w:rFonts w:cstheme="minorHAnsi"/>
          <w:sz w:val="28"/>
          <w:szCs w:val="28"/>
          <w:lang w:val="uk-UA"/>
        </w:rPr>
        <w:t>,</w:t>
      </w:r>
      <w:r w:rsidRPr="006B4867">
        <w:rPr>
          <w:rFonts w:cstheme="minorHAnsi"/>
          <w:sz w:val="28"/>
          <w:szCs w:val="28"/>
          <w:lang w:val="en-US"/>
        </w:rPr>
        <w:t xml:space="preserve"> M. E. Cano, C. Velasco, L.</w:t>
      </w:r>
      <w:r w:rsidRPr="006B4867">
        <w:rPr>
          <w:rFonts w:cstheme="minorHAnsi"/>
          <w:sz w:val="28"/>
          <w:szCs w:val="28"/>
          <w:lang w:val="uk-UA"/>
        </w:rPr>
        <w:t xml:space="preserve"> </w:t>
      </w:r>
      <w:r w:rsidRPr="006B4867">
        <w:rPr>
          <w:rFonts w:cstheme="minorHAnsi"/>
          <w:sz w:val="28"/>
          <w:szCs w:val="28"/>
          <w:lang w:val="en-US"/>
        </w:rPr>
        <w:t>Martinez-Martinez, A. Pascual</w:t>
      </w:r>
      <w:r w:rsidRPr="006B4867">
        <w:rPr>
          <w:rFonts w:cstheme="minorHAnsi"/>
          <w:sz w:val="28"/>
          <w:szCs w:val="28"/>
          <w:lang w:val="uk-UA"/>
        </w:rPr>
        <w:t xml:space="preserve"> //</w:t>
      </w:r>
      <w:r w:rsidRPr="006B4867">
        <w:rPr>
          <w:rFonts w:cstheme="minorHAnsi"/>
          <w:sz w:val="28"/>
          <w:szCs w:val="28"/>
          <w:lang w:val="en-US"/>
        </w:rPr>
        <w:t xml:space="preserve"> </w:t>
      </w:r>
      <w:r w:rsidRPr="006B4867">
        <w:rPr>
          <w:rFonts w:cstheme="minorHAnsi"/>
          <w:iCs/>
          <w:sz w:val="28"/>
          <w:szCs w:val="28"/>
          <w:lang w:val="en-US"/>
        </w:rPr>
        <w:t>Journal of Infection and</w:t>
      </w:r>
      <w:r w:rsidRPr="006B4867">
        <w:rPr>
          <w:rFonts w:cstheme="minorHAnsi"/>
          <w:sz w:val="28"/>
          <w:szCs w:val="28"/>
          <w:lang w:val="en-US"/>
        </w:rPr>
        <w:t xml:space="preserve"> </w:t>
      </w:r>
      <w:r w:rsidRPr="006B4867">
        <w:rPr>
          <w:rFonts w:cstheme="minorHAnsi"/>
          <w:iCs/>
          <w:sz w:val="28"/>
          <w:szCs w:val="28"/>
          <w:lang w:val="en-US"/>
        </w:rPr>
        <w:t>Chemotherapy</w:t>
      </w:r>
      <w:r w:rsidRPr="006B4867">
        <w:rPr>
          <w:rFonts w:cstheme="minorHAnsi"/>
          <w:sz w:val="28"/>
          <w:szCs w:val="28"/>
          <w:lang w:val="uk-UA"/>
        </w:rPr>
        <w:t>.-</w:t>
      </w:r>
      <w:r w:rsidRPr="006B4867">
        <w:rPr>
          <w:rFonts w:cstheme="minorHAnsi"/>
          <w:sz w:val="28"/>
          <w:szCs w:val="28"/>
          <w:lang w:val="en-US"/>
        </w:rPr>
        <w:t xml:space="preserve"> 2011</w:t>
      </w:r>
      <w:r w:rsidRPr="006B4867">
        <w:rPr>
          <w:rFonts w:cstheme="minorHAnsi"/>
          <w:sz w:val="28"/>
          <w:szCs w:val="28"/>
          <w:lang w:val="uk-UA"/>
        </w:rPr>
        <w:t>.- №</w:t>
      </w:r>
      <w:r w:rsidRPr="006B4867">
        <w:rPr>
          <w:rFonts w:cstheme="minorHAnsi"/>
          <w:sz w:val="28"/>
          <w:szCs w:val="28"/>
          <w:lang w:val="en-US"/>
        </w:rPr>
        <w:t>17</w:t>
      </w:r>
      <w:r w:rsidRPr="006B4867">
        <w:rPr>
          <w:rFonts w:cstheme="minorHAnsi"/>
          <w:sz w:val="28"/>
          <w:szCs w:val="28"/>
          <w:lang w:val="uk-UA"/>
        </w:rPr>
        <w:t>(2).-</w:t>
      </w:r>
      <w:r w:rsidRPr="006B4867">
        <w:rPr>
          <w:rFonts w:cstheme="minorHAnsi"/>
          <w:sz w:val="28"/>
          <w:szCs w:val="28"/>
          <w:lang w:val="en-US"/>
        </w:rPr>
        <w:t xml:space="preserve"> </w:t>
      </w:r>
      <w:r w:rsidRPr="006B4867">
        <w:rPr>
          <w:rFonts w:cstheme="minorHAnsi"/>
          <w:sz w:val="28"/>
          <w:szCs w:val="28"/>
          <w:lang w:val="uk-UA"/>
        </w:rPr>
        <w:t>Р</w:t>
      </w:r>
      <w:r w:rsidRPr="006B4867">
        <w:rPr>
          <w:rFonts w:cstheme="minorHAnsi"/>
          <w:sz w:val="28"/>
          <w:szCs w:val="28"/>
          <w:lang w:val="en-US"/>
        </w:rPr>
        <w:t>. 149–182</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 xml:space="preserve">Rodriguez-Bano J. Community infections caused by extended-spectrum </w:t>
      </w:r>
      <w:r w:rsidRPr="006B4867">
        <w:rPr>
          <w:rFonts w:ascii="Times New Roman" w:eastAsia="Times New Roman" w:hAnsi="Times New Roman" w:cs="Times New Roman"/>
          <w:color w:val="000000"/>
          <w:sz w:val="28"/>
          <w:szCs w:val="28"/>
        </w:rPr>
        <w:t>β</w:t>
      </w:r>
      <w:r w:rsidRPr="006B4867">
        <w:rPr>
          <w:rFonts w:ascii="Times New Roman" w:eastAsia="Times New Roman" w:hAnsi="Times New Roman" w:cs="Times New Roman"/>
          <w:color w:val="000000"/>
          <w:sz w:val="28"/>
          <w:szCs w:val="28"/>
          <w:lang w:val="en-US"/>
        </w:rPr>
        <w:t xml:space="preserve">-lactamase-producing Escherichia coli / Rodriguez-Bano J, Alcala JC, Cisneros JM [et al.] // Arch Intern Med.- 2008.- №168.-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1897-1902</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Ruiz E. Changes in ciprofloxacin resistance levels in </w:t>
      </w:r>
      <w:r w:rsidRPr="006B4867">
        <w:rPr>
          <w:rFonts w:cstheme="minorHAnsi"/>
          <w:iCs/>
          <w:sz w:val="28"/>
          <w:szCs w:val="28"/>
          <w:lang w:val="en-US"/>
        </w:rPr>
        <w:t>Enterobacter aerogenes</w:t>
      </w:r>
      <w:r w:rsidRPr="006B4867">
        <w:rPr>
          <w:rFonts w:cstheme="minorHAnsi"/>
          <w:sz w:val="28"/>
          <w:szCs w:val="28"/>
          <w:lang w:val="en-US"/>
        </w:rPr>
        <w:t xml:space="preserve"> isolates associated with variable expression of the </w:t>
      </w:r>
      <w:r w:rsidRPr="006B4867">
        <w:rPr>
          <w:rFonts w:cstheme="minorHAnsi"/>
          <w:iCs/>
          <w:sz w:val="28"/>
          <w:szCs w:val="28"/>
          <w:lang w:val="en-US"/>
        </w:rPr>
        <w:t>aac</w:t>
      </w:r>
      <w:r w:rsidRPr="006B4867">
        <w:rPr>
          <w:rFonts w:cstheme="minorHAnsi"/>
          <w:sz w:val="28"/>
          <w:szCs w:val="28"/>
          <w:lang w:val="en-US"/>
        </w:rPr>
        <w:t>(6</w:t>
      </w:r>
      <w:r w:rsidRPr="006B4867">
        <w:rPr>
          <w:rFonts w:eastAsia="LucidaNewMath-Symbol" w:cstheme="minorHAnsi"/>
          <w:iCs/>
          <w:sz w:val="28"/>
          <w:szCs w:val="28"/>
          <w:lang w:val="en-US"/>
        </w:rPr>
        <w:t>_</w:t>
      </w:r>
      <w:r w:rsidRPr="006B4867">
        <w:rPr>
          <w:rFonts w:cstheme="minorHAnsi"/>
          <w:sz w:val="28"/>
          <w:szCs w:val="28"/>
          <w:lang w:val="en-US"/>
        </w:rPr>
        <w:t>)-</w:t>
      </w:r>
      <w:r w:rsidRPr="006B4867">
        <w:rPr>
          <w:rFonts w:cstheme="minorHAnsi"/>
          <w:iCs/>
          <w:sz w:val="28"/>
          <w:szCs w:val="28"/>
          <w:lang w:val="en-US"/>
        </w:rPr>
        <w:t xml:space="preserve">Ibcr </w:t>
      </w:r>
      <w:r w:rsidRPr="006B4867">
        <w:rPr>
          <w:rFonts w:cstheme="minorHAnsi"/>
          <w:sz w:val="28"/>
          <w:szCs w:val="28"/>
          <w:lang w:val="en-US"/>
        </w:rPr>
        <w:t>gene / E. Ruiz, A. A. Ocampo-Sosa, J. Alcoba-Fl ´ orez [et al] //</w:t>
      </w:r>
      <w:r w:rsidRPr="006B4867">
        <w:rPr>
          <w:rFonts w:cstheme="minorHAnsi"/>
          <w:iCs/>
          <w:sz w:val="28"/>
          <w:szCs w:val="28"/>
          <w:lang w:val="en-US"/>
        </w:rPr>
        <w:t xml:space="preserve"> Antimicrobial Agents and Chemotherapy</w:t>
      </w:r>
      <w:r w:rsidRPr="006B4867">
        <w:rPr>
          <w:rFonts w:cstheme="minorHAnsi"/>
          <w:sz w:val="28"/>
          <w:szCs w:val="28"/>
          <w:lang w:val="en-US"/>
        </w:rPr>
        <w:t xml:space="preserve">.- 2012.- №2.- </w:t>
      </w:r>
      <w:r w:rsidRPr="006B4867">
        <w:rPr>
          <w:rFonts w:cstheme="minorHAnsi"/>
          <w:sz w:val="28"/>
          <w:szCs w:val="28"/>
        </w:rPr>
        <w:t>Р</w:t>
      </w:r>
      <w:r w:rsidRPr="006B4867">
        <w:rPr>
          <w:rFonts w:cstheme="minorHAnsi"/>
          <w:sz w:val="28"/>
          <w:szCs w:val="28"/>
          <w:lang w:val="en-US"/>
        </w:rPr>
        <w:t>. 1097–1100</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Sanchez</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GV</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In vitro antimicrobial resistance of urinary E. coli among U.S. outpatients from 2000 to 2010 / G.V. Sanchez, R.N. Master, J.A. Karlowsky // Antimicrob Agents Chemother. - 2012. - №56. –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2181–2183.</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Schito G. C. The ARESC study: an international survey on the antimicrobial resistance of pathogens involved in uncomplicated urinary tract infections / G. C. Schito, K. G. Naber, H. Botto [et al.] //</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International Journal of Antimicrobial Agents.- 2009.- №5.-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407–413.</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bdr w:val="none" w:sz="0" w:space="0" w:color="auto" w:frame="1"/>
          <w:lang w:val="en-US" w:eastAsia="ru-RU"/>
        </w:rPr>
        <w:t>Schultsz C</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Plasmid-mediated </w:t>
      </w:r>
      <w:r w:rsidRPr="006B4867">
        <w:rPr>
          <w:rFonts w:ascii="Times New Roman" w:eastAsia="Times New Roman" w:hAnsi="Times New Roman" w:cs="Times New Roman"/>
          <w:bCs/>
          <w:color w:val="000000" w:themeColor="text1"/>
          <w:kern w:val="36"/>
          <w:sz w:val="28"/>
          <w:szCs w:val="28"/>
          <w:bdr w:val="none" w:sz="0" w:space="0" w:color="auto" w:frame="1"/>
          <w:lang w:val="en-US" w:eastAsia="ru-RU"/>
        </w:rPr>
        <w:t>resistance</w:t>
      </w:r>
      <w:r w:rsidRPr="006B4867">
        <w:rPr>
          <w:rFonts w:ascii="Times New Roman" w:eastAsia="Times New Roman" w:hAnsi="Times New Roman" w:cs="Times New Roman"/>
          <w:bCs/>
          <w:color w:val="000000" w:themeColor="text1"/>
          <w:kern w:val="36"/>
          <w:sz w:val="28"/>
          <w:szCs w:val="28"/>
          <w:lang w:val="en-US" w:eastAsia="ru-RU"/>
        </w:rPr>
        <w:t> in Enterobacteriaceae: changing landscape and implications for therapy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 xml:space="preserve"> C</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Schultsz</w:t>
      </w:r>
      <w:r w:rsidRPr="006B4867">
        <w:rPr>
          <w:rFonts w:ascii="Times New Roman" w:eastAsia="Times New Roman" w:hAnsi="Times New Roman" w:cs="Times New Roman"/>
          <w:color w:val="000000" w:themeColor="text1"/>
          <w:sz w:val="28"/>
          <w:szCs w:val="28"/>
          <w:bdr w:val="none" w:sz="0" w:space="0" w:color="auto" w:frame="1"/>
          <w:lang w:val="uk-UA" w:eastAsia="ru-RU"/>
        </w:rPr>
        <w:t>,</w:t>
      </w:r>
      <w:r w:rsidRPr="006B4867">
        <w:rPr>
          <w:rFonts w:ascii="Times New Roman" w:eastAsia="Times New Roman" w:hAnsi="Times New Roman" w:cs="Times New Roman"/>
          <w:color w:val="000000" w:themeColor="text1"/>
          <w:sz w:val="28"/>
          <w:szCs w:val="28"/>
          <w:bdr w:val="none" w:sz="0" w:space="0" w:color="auto" w:frame="1"/>
          <w:lang w:val="en-US" w:eastAsia="ru-RU"/>
        </w:rPr>
        <w:t xml:space="preserve"> S</w:t>
      </w:r>
      <w:r w:rsidRPr="006B4867">
        <w:rPr>
          <w:rFonts w:ascii="Times New Roman" w:eastAsia="Times New Roman" w:hAnsi="Times New Roman" w:cs="Times New Roman"/>
          <w:color w:val="000000" w:themeColor="text1"/>
          <w:sz w:val="28"/>
          <w:szCs w:val="28"/>
          <w:lang w:val="en-US" w:eastAsia="ru-RU"/>
        </w:rPr>
        <w:t>.</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Geerlings</w:t>
      </w:r>
      <w:r w:rsidRPr="006B4867">
        <w:rPr>
          <w:rFonts w:ascii="Times New Roman" w:eastAsia="Times New Roman" w:hAnsi="Times New Roman" w:cs="Times New Roman"/>
          <w:color w:val="000000" w:themeColor="text1"/>
          <w:sz w:val="28"/>
          <w:szCs w:val="28"/>
          <w:bdr w:val="none" w:sz="0" w:space="0" w:color="auto" w:frame="1"/>
          <w:lang w:val="uk-UA" w:eastAsia="ru-RU"/>
        </w:rPr>
        <w:t xml:space="preserve"> //</w:t>
      </w:r>
      <w:r w:rsidRPr="006B4867">
        <w:rPr>
          <w:rFonts w:ascii="Times New Roman" w:eastAsia="Times New Roman" w:hAnsi="Times New Roman" w:cs="Times New Roman"/>
          <w:color w:val="000000" w:themeColor="text1"/>
          <w:sz w:val="28"/>
          <w:szCs w:val="28"/>
          <w:bdr w:val="none" w:sz="0" w:space="0" w:color="auto" w:frame="1"/>
          <w:lang w:val="en-US" w:eastAsia="ru-RU"/>
        </w:rPr>
        <w:t xml:space="preserve"> Drugs</w:t>
      </w:r>
      <w:r w:rsidRPr="006B4867">
        <w:rPr>
          <w:rFonts w:ascii="Times New Roman" w:eastAsia="Times New Roman" w:hAnsi="Times New Roman" w:cs="Times New Roman"/>
          <w:color w:val="000000" w:themeColor="text1"/>
          <w:sz w:val="28"/>
          <w:szCs w:val="28"/>
          <w:bdr w:val="none" w:sz="0" w:space="0" w:color="auto" w:frame="1"/>
          <w:lang w:val="uk-UA" w:eastAsia="ru-RU"/>
        </w:rPr>
        <w:t>. –</w:t>
      </w:r>
      <w:r w:rsidRPr="006B4867">
        <w:rPr>
          <w:rFonts w:ascii="Times New Roman" w:eastAsia="Times New Roman" w:hAnsi="Times New Roman" w:cs="Times New Roman"/>
          <w:color w:val="000000" w:themeColor="text1"/>
          <w:sz w:val="28"/>
          <w:szCs w:val="28"/>
          <w:lang w:val="en-US" w:eastAsia="ru-RU"/>
        </w:rPr>
        <w:t> 2012</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xml:space="preserve"> </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72(1)</w:t>
      </w:r>
      <w:r w:rsidRPr="006B4867">
        <w:rPr>
          <w:rFonts w:ascii="Times New Roman" w:eastAsia="Times New Roman" w:hAnsi="Times New Roman" w:cs="Times New Roman"/>
          <w:color w:val="000000" w:themeColor="text1"/>
          <w:sz w:val="28"/>
          <w:szCs w:val="28"/>
          <w:lang w:val="uk-UA" w:eastAsia="ru-RU"/>
        </w:rPr>
        <w:t>. – Р. 1-16.</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lastRenderedPageBreak/>
        <w:t>Shakya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R</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Spectrum of bacterial pathogens and their antibiogram from cases of urinary tract infection among renal disorder patients</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Shakya R, Amatya R, Karki BM, Mandal PK, Shrestha KK</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Nepal Med Coll J. 2014 Sep;16(1):75-9</w:t>
      </w:r>
      <w:r w:rsidRPr="006B4867">
        <w:rPr>
          <w:rFonts w:eastAsia="Times New Roman" w:cstheme="minorHAnsi"/>
          <w:color w:val="000000" w:themeColor="text1"/>
          <w:sz w:val="28"/>
          <w:szCs w:val="28"/>
          <w:lang w:val="uk-UA" w:eastAsia="ru-RU"/>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Sharma 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 xml:space="preserve">Prevalence and antibiogram of Extended Spectrum </w:t>
      </w:r>
      <w:r w:rsidRPr="006B4867">
        <w:rPr>
          <w:rFonts w:eastAsia="Times New Roman" w:cstheme="minorHAnsi"/>
          <w:bCs/>
          <w:color w:val="000000" w:themeColor="text1"/>
          <w:kern w:val="36"/>
          <w:sz w:val="28"/>
          <w:szCs w:val="28"/>
          <w:lang w:eastAsia="ru-RU"/>
        </w:rPr>
        <w:t>β</w:t>
      </w:r>
      <w:r w:rsidRPr="006B4867">
        <w:rPr>
          <w:rFonts w:eastAsia="Times New Roman" w:cstheme="minorHAnsi"/>
          <w:bCs/>
          <w:color w:val="000000" w:themeColor="text1"/>
          <w:kern w:val="36"/>
          <w:sz w:val="28"/>
          <w:szCs w:val="28"/>
          <w:lang w:val="en-US" w:eastAsia="ru-RU"/>
        </w:rPr>
        <w:t>-Lactamase (ESBL) producing Gram negative bacilli and further molecular characterization of ESBL producing Escherichia coli and Klebsiella spp.</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Sharma 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Pathak S, Srivastava P</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J Clin Diagn Res. 201</w:t>
      </w:r>
      <w:r w:rsidRPr="006B4867">
        <w:rPr>
          <w:rFonts w:eastAsia="Times New Roman" w:cstheme="minorHAnsi"/>
          <w:color w:val="000000" w:themeColor="text1"/>
          <w:sz w:val="28"/>
          <w:szCs w:val="28"/>
          <w:lang w:val="uk-UA" w:eastAsia="ru-RU"/>
        </w:rPr>
        <w:t>4</w:t>
      </w:r>
      <w:r w:rsidRPr="006B4867">
        <w:rPr>
          <w:rFonts w:eastAsia="Times New Roman" w:cstheme="minorHAnsi"/>
          <w:color w:val="000000" w:themeColor="text1"/>
          <w:sz w:val="28"/>
          <w:szCs w:val="28"/>
          <w:lang w:val="en-US" w:eastAsia="ru-RU"/>
        </w:rPr>
        <w:t xml:space="preserve"> Oct;7(10):2173-7.</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Sharma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Prevalence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antibiogram</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of</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Extended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Spectrum</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eastAsia="ru-RU"/>
        </w:rPr>
        <w:t>β</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Lactamase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ESBL</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producing</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Gram</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negative</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bacilli</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further</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molecular</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characterization</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of</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ESBL</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producing</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Escherichia</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coli</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and</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Klebsiella</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spp</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Sharma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Pathak</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Srivastava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J</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Clin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Diagn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Res</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w:t>
      </w:r>
      <w:r w:rsidRPr="006B4867">
        <w:rPr>
          <w:rFonts w:eastAsia="Times New Roman" w:cstheme="minorHAnsi"/>
          <w:color w:val="000000" w:themeColor="text1"/>
          <w:sz w:val="28"/>
          <w:szCs w:val="28"/>
          <w:lang w:val="uk-UA" w:eastAsia="ru-RU"/>
        </w:rPr>
        <w:t xml:space="preserve">2014 </w:t>
      </w:r>
      <w:r w:rsidRPr="006B4867">
        <w:rPr>
          <w:rFonts w:eastAsia="Times New Roman" w:cstheme="minorHAnsi"/>
          <w:color w:val="000000" w:themeColor="text1"/>
          <w:sz w:val="28"/>
          <w:szCs w:val="28"/>
          <w:lang w:val="en-US" w:eastAsia="ru-RU"/>
        </w:rPr>
        <w:t>Oct</w:t>
      </w:r>
      <w:r w:rsidRPr="006B4867">
        <w:rPr>
          <w:rFonts w:eastAsia="Times New Roman" w:cstheme="minorHAnsi"/>
          <w:color w:val="000000" w:themeColor="text1"/>
          <w:sz w:val="28"/>
          <w:szCs w:val="28"/>
          <w:lang w:val="uk-UA" w:eastAsia="ru-RU"/>
        </w:rPr>
        <w:t>;7(10):2173-7.</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Shengsheng</w:t>
      </w:r>
      <w:r w:rsidRPr="006B4867">
        <w:rPr>
          <w:rFonts w:cstheme="minorHAnsi"/>
          <w:sz w:val="28"/>
          <w:szCs w:val="28"/>
          <w:lang w:val="uk-UA"/>
        </w:rPr>
        <w:t xml:space="preserve"> </w:t>
      </w:r>
      <w:r w:rsidRPr="006B4867">
        <w:rPr>
          <w:rFonts w:cstheme="minorHAnsi"/>
          <w:sz w:val="28"/>
          <w:szCs w:val="28"/>
          <w:lang w:val="en-US"/>
        </w:rPr>
        <w:t>Yu</w:t>
      </w:r>
      <w:r w:rsidRPr="006B4867">
        <w:rPr>
          <w:rFonts w:cstheme="minorHAnsi"/>
          <w:sz w:val="28"/>
          <w:szCs w:val="28"/>
          <w:lang w:val="uk-UA"/>
        </w:rPr>
        <w:t xml:space="preserve">. </w:t>
      </w:r>
      <w:r w:rsidRPr="006B4867">
        <w:rPr>
          <w:rFonts w:cstheme="minorHAnsi"/>
          <w:sz w:val="28"/>
          <w:szCs w:val="28"/>
          <w:lang w:val="en-US"/>
        </w:rPr>
        <w:t>Disease</w:t>
      </w:r>
      <w:r w:rsidRPr="006B4867">
        <w:rPr>
          <w:rFonts w:cstheme="minorHAnsi"/>
          <w:sz w:val="28"/>
          <w:szCs w:val="28"/>
          <w:lang w:val="uk-UA"/>
        </w:rPr>
        <w:t xml:space="preserve"> </w:t>
      </w:r>
      <w:r w:rsidRPr="006B4867">
        <w:rPr>
          <w:rFonts w:cstheme="minorHAnsi"/>
          <w:sz w:val="28"/>
          <w:szCs w:val="28"/>
          <w:lang w:val="en-US"/>
        </w:rPr>
        <w:t>burden</w:t>
      </w:r>
      <w:r w:rsidRPr="006B4867">
        <w:rPr>
          <w:rFonts w:cstheme="minorHAnsi"/>
          <w:sz w:val="28"/>
          <w:szCs w:val="28"/>
          <w:lang w:val="uk-UA"/>
        </w:rPr>
        <w:t xml:space="preserve"> </w:t>
      </w:r>
      <w:r w:rsidRPr="006B4867">
        <w:rPr>
          <w:rFonts w:cstheme="minorHAnsi"/>
          <w:sz w:val="28"/>
          <w:szCs w:val="28"/>
          <w:lang w:val="en-US"/>
        </w:rPr>
        <w:t>of</w:t>
      </w:r>
      <w:r w:rsidRPr="006B4867">
        <w:rPr>
          <w:rFonts w:cstheme="minorHAnsi"/>
          <w:sz w:val="28"/>
          <w:szCs w:val="28"/>
          <w:lang w:val="uk-UA"/>
        </w:rPr>
        <w:t xml:space="preserve"> </w:t>
      </w:r>
      <w:r w:rsidRPr="006B4867">
        <w:rPr>
          <w:rFonts w:cstheme="minorHAnsi"/>
          <w:sz w:val="28"/>
          <w:szCs w:val="28"/>
          <w:lang w:val="en-US"/>
        </w:rPr>
        <w:t>urinary</w:t>
      </w:r>
      <w:r w:rsidRPr="006B4867">
        <w:rPr>
          <w:rFonts w:cstheme="minorHAnsi"/>
          <w:sz w:val="28"/>
          <w:szCs w:val="28"/>
          <w:lang w:val="uk-UA"/>
        </w:rPr>
        <w:t xml:space="preserve"> </w:t>
      </w:r>
      <w:r w:rsidRPr="006B4867">
        <w:rPr>
          <w:rFonts w:cstheme="minorHAnsi"/>
          <w:sz w:val="28"/>
          <w:szCs w:val="28"/>
          <w:lang w:val="en-US"/>
        </w:rPr>
        <w:t>tract</w:t>
      </w:r>
      <w:r w:rsidRPr="006B4867">
        <w:rPr>
          <w:rFonts w:cstheme="minorHAnsi"/>
          <w:sz w:val="28"/>
          <w:szCs w:val="28"/>
          <w:lang w:val="uk-UA"/>
        </w:rPr>
        <w:t xml:space="preserve"> </w:t>
      </w:r>
      <w:r w:rsidRPr="006B4867">
        <w:rPr>
          <w:rFonts w:cstheme="minorHAnsi"/>
          <w:sz w:val="28"/>
          <w:szCs w:val="28"/>
          <w:lang w:val="en-US"/>
        </w:rPr>
        <w:t>infections</w:t>
      </w:r>
      <w:r w:rsidRPr="006B4867">
        <w:rPr>
          <w:rFonts w:cstheme="minorHAnsi"/>
          <w:sz w:val="28"/>
          <w:szCs w:val="28"/>
          <w:lang w:val="uk-UA"/>
        </w:rPr>
        <w:t xml:space="preserve"> </w:t>
      </w:r>
      <w:r w:rsidRPr="006B4867">
        <w:rPr>
          <w:rFonts w:cstheme="minorHAnsi"/>
          <w:sz w:val="28"/>
          <w:szCs w:val="28"/>
          <w:lang w:val="en-US"/>
        </w:rPr>
        <w:t>among</w:t>
      </w:r>
      <w:r w:rsidRPr="006B4867">
        <w:rPr>
          <w:rFonts w:cstheme="minorHAnsi"/>
          <w:sz w:val="28"/>
          <w:szCs w:val="28"/>
          <w:lang w:val="uk-UA"/>
        </w:rPr>
        <w:t xml:space="preserve"> </w:t>
      </w:r>
      <w:r w:rsidRPr="006B4867">
        <w:rPr>
          <w:rFonts w:cstheme="minorHAnsi"/>
          <w:sz w:val="28"/>
          <w:szCs w:val="28"/>
          <w:lang w:val="en-US"/>
        </w:rPr>
        <w:t>type</w:t>
      </w:r>
      <w:r w:rsidRPr="006B4867">
        <w:rPr>
          <w:rFonts w:cstheme="minorHAnsi"/>
          <w:sz w:val="28"/>
          <w:szCs w:val="28"/>
          <w:lang w:val="uk-UA"/>
        </w:rPr>
        <w:t xml:space="preserve"> 2 </w:t>
      </w:r>
      <w:r w:rsidRPr="006B4867">
        <w:rPr>
          <w:rFonts w:cstheme="minorHAnsi"/>
          <w:sz w:val="28"/>
          <w:szCs w:val="28"/>
          <w:lang w:val="en-US"/>
        </w:rPr>
        <w:t>diabetes</w:t>
      </w:r>
      <w:r w:rsidRPr="006B4867">
        <w:rPr>
          <w:rFonts w:cstheme="minorHAnsi"/>
          <w:sz w:val="28"/>
          <w:szCs w:val="28"/>
          <w:lang w:val="uk-UA"/>
        </w:rPr>
        <w:t xml:space="preserve"> </w:t>
      </w:r>
      <w:r w:rsidRPr="006B4867">
        <w:rPr>
          <w:rFonts w:cstheme="minorHAnsi"/>
          <w:sz w:val="28"/>
          <w:szCs w:val="28"/>
          <w:lang w:val="en-US"/>
        </w:rPr>
        <w:t>mellitus</w:t>
      </w:r>
      <w:r w:rsidRPr="006B4867">
        <w:rPr>
          <w:rFonts w:cstheme="minorHAnsi"/>
          <w:sz w:val="28"/>
          <w:szCs w:val="28"/>
          <w:lang w:val="uk-UA"/>
        </w:rPr>
        <w:t xml:space="preserve"> </w:t>
      </w:r>
      <w:r w:rsidRPr="006B4867">
        <w:rPr>
          <w:rFonts w:cstheme="minorHAnsi"/>
          <w:sz w:val="28"/>
          <w:szCs w:val="28"/>
          <w:lang w:val="en-US"/>
        </w:rPr>
        <w:t>patients</w:t>
      </w:r>
      <w:r w:rsidRPr="006B4867">
        <w:rPr>
          <w:rFonts w:cstheme="minorHAnsi"/>
          <w:sz w:val="28"/>
          <w:szCs w:val="28"/>
          <w:lang w:val="uk-UA"/>
        </w:rPr>
        <w:t xml:space="preserve"> </w:t>
      </w:r>
      <w:r w:rsidRPr="006B4867">
        <w:rPr>
          <w:rFonts w:cstheme="minorHAnsi"/>
          <w:sz w:val="28"/>
          <w:szCs w:val="28"/>
          <w:lang w:val="en-US"/>
        </w:rPr>
        <w:t>in</w:t>
      </w:r>
      <w:r w:rsidRPr="006B4867">
        <w:rPr>
          <w:rFonts w:cstheme="minorHAnsi"/>
          <w:sz w:val="28"/>
          <w:szCs w:val="28"/>
          <w:lang w:val="uk-UA"/>
        </w:rPr>
        <w:t xml:space="preserve"> </w:t>
      </w:r>
      <w:r w:rsidRPr="006B4867">
        <w:rPr>
          <w:rFonts w:cstheme="minorHAnsi"/>
          <w:sz w:val="28"/>
          <w:szCs w:val="28"/>
          <w:lang w:val="en-US"/>
        </w:rPr>
        <w:t>the</w:t>
      </w:r>
      <w:r w:rsidRPr="006B4867">
        <w:rPr>
          <w:rFonts w:cstheme="minorHAnsi"/>
          <w:sz w:val="28"/>
          <w:szCs w:val="28"/>
          <w:lang w:val="uk-UA"/>
        </w:rPr>
        <w:t xml:space="preserve"> </w:t>
      </w:r>
      <w:r w:rsidRPr="006B4867">
        <w:rPr>
          <w:rFonts w:cstheme="minorHAnsi"/>
          <w:sz w:val="28"/>
          <w:szCs w:val="28"/>
          <w:lang w:val="en-US"/>
        </w:rPr>
        <w:t>U</w:t>
      </w:r>
      <w:r w:rsidRPr="006B4867">
        <w:rPr>
          <w:rFonts w:cstheme="minorHAnsi"/>
          <w:sz w:val="28"/>
          <w:szCs w:val="28"/>
          <w:lang w:val="uk-UA"/>
        </w:rPr>
        <w:t>.</w:t>
      </w:r>
      <w:r w:rsidRPr="006B4867">
        <w:rPr>
          <w:rFonts w:cstheme="minorHAnsi"/>
          <w:sz w:val="28"/>
          <w:szCs w:val="28"/>
          <w:lang w:val="en-US"/>
        </w:rPr>
        <w:t>S</w:t>
      </w:r>
      <w:r w:rsidRPr="006B4867">
        <w:rPr>
          <w:rFonts w:cstheme="minorHAnsi"/>
          <w:sz w:val="28"/>
          <w:szCs w:val="28"/>
          <w:lang w:val="uk-UA"/>
        </w:rPr>
        <w:t xml:space="preserve">. / </w:t>
      </w:r>
      <w:r w:rsidRPr="006B4867">
        <w:rPr>
          <w:rFonts w:cstheme="minorHAnsi"/>
          <w:sz w:val="28"/>
          <w:szCs w:val="28"/>
          <w:lang w:val="en-US"/>
        </w:rPr>
        <w:t>Shengsheng</w:t>
      </w:r>
      <w:r w:rsidRPr="006B4867">
        <w:rPr>
          <w:rFonts w:cstheme="minorHAnsi"/>
          <w:sz w:val="28"/>
          <w:szCs w:val="28"/>
          <w:lang w:val="uk-UA"/>
        </w:rPr>
        <w:t xml:space="preserve"> </w:t>
      </w:r>
      <w:r w:rsidRPr="006B4867">
        <w:rPr>
          <w:rFonts w:cstheme="minorHAnsi"/>
          <w:sz w:val="28"/>
          <w:szCs w:val="28"/>
          <w:lang w:val="en-US"/>
        </w:rPr>
        <w:t>Yu</w:t>
      </w:r>
      <w:r w:rsidRPr="006B4867">
        <w:rPr>
          <w:rFonts w:cstheme="minorHAnsi"/>
          <w:sz w:val="28"/>
          <w:szCs w:val="28"/>
          <w:lang w:val="uk-UA"/>
        </w:rPr>
        <w:t xml:space="preserve">, </w:t>
      </w:r>
      <w:r w:rsidRPr="006B4867">
        <w:rPr>
          <w:rFonts w:cstheme="minorHAnsi"/>
          <w:sz w:val="28"/>
          <w:szCs w:val="28"/>
          <w:lang w:val="en-US"/>
        </w:rPr>
        <w:t xml:space="preserve">Alex Z. Fu, Ying Qiu, Samuel S. Engel [et al.] </w:t>
      </w:r>
      <w:r w:rsidRPr="006B4867">
        <w:rPr>
          <w:rFonts w:cstheme="minorHAnsi"/>
          <w:sz w:val="28"/>
          <w:szCs w:val="28"/>
          <w:lang w:val="uk-UA"/>
        </w:rPr>
        <w:t xml:space="preserve">// </w:t>
      </w:r>
      <w:r w:rsidRPr="006B4867">
        <w:rPr>
          <w:rFonts w:cstheme="minorHAnsi"/>
          <w:sz w:val="28"/>
          <w:szCs w:val="28"/>
          <w:lang w:val="en-US"/>
        </w:rPr>
        <w:t>Journal of Diabetes and Its Complications 28 (2014) 621–626</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Shengsheng</w:t>
      </w:r>
      <w:r w:rsidRPr="006B4867">
        <w:rPr>
          <w:rFonts w:cstheme="minorHAnsi"/>
          <w:sz w:val="28"/>
          <w:szCs w:val="28"/>
          <w:lang w:val="uk-UA"/>
        </w:rPr>
        <w:t xml:space="preserve"> </w:t>
      </w:r>
      <w:r w:rsidRPr="006B4867">
        <w:rPr>
          <w:rFonts w:cstheme="minorHAnsi"/>
          <w:sz w:val="28"/>
          <w:szCs w:val="28"/>
          <w:lang w:val="en-US"/>
        </w:rPr>
        <w:t>Yu</w:t>
      </w:r>
      <w:r w:rsidRPr="006B4867">
        <w:rPr>
          <w:rFonts w:cstheme="minorHAnsi"/>
          <w:sz w:val="28"/>
          <w:szCs w:val="28"/>
          <w:lang w:val="uk-UA"/>
        </w:rPr>
        <w:t xml:space="preserve">. </w:t>
      </w:r>
      <w:r w:rsidRPr="006B4867">
        <w:rPr>
          <w:rFonts w:cstheme="minorHAnsi"/>
          <w:sz w:val="28"/>
          <w:szCs w:val="28"/>
          <w:lang w:val="en-US"/>
        </w:rPr>
        <w:t>Disease burden of urinary tract infections among type 2 diabetes</w:t>
      </w:r>
      <w:r w:rsidRPr="006B4867">
        <w:rPr>
          <w:rFonts w:cstheme="minorHAnsi"/>
          <w:sz w:val="28"/>
          <w:szCs w:val="28"/>
          <w:lang w:val="uk-UA"/>
        </w:rPr>
        <w:t xml:space="preserve"> </w:t>
      </w:r>
      <w:r w:rsidRPr="006B4867">
        <w:rPr>
          <w:rFonts w:cstheme="minorHAnsi"/>
          <w:sz w:val="28"/>
          <w:szCs w:val="28"/>
          <w:lang w:val="en-US"/>
        </w:rPr>
        <w:t xml:space="preserve">mellitus patients in the U.S. / Shengsheng Yu, Alex Z. Fu, Ying Qiu, Samuel S. Engel [et al.] </w:t>
      </w:r>
      <w:r w:rsidRPr="006B4867">
        <w:rPr>
          <w:rFonts w:cstheme="minorHAnsi"/>
          <w:sz w:val="28"/>
          <w:szCs w:val="28"/>
          <w:lang w:val="uk-UA"/>
        </w:rPr>
        <w:t xml:space="preserve">// </w:t>
      </w:r>
      <w:r w:rsidRPr="006B4867">
        <w:rPr>
          <w:rFonts w:cstheme="minorHAnsi"/>
          <w:sz w:val="28"/>
          <w:szCs w:val="28"/>
          <w:lang w:val="en-US"/>
        </w:rPr>
        <w:t>Journal of Diabetes and Its Complications 28 (2014) 621–626.</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w:t>
      </w:r>
      <w:r w:rsidRPr="006B4867">
        <w:rPr>
          <w:rFonts w:eastAsia="Times New Roman" w:cstheme="minorHAnsi"/>
          <w:bCs/>
          <w:kern w:val="36"/>
          <w:sz w:val="28"/>
          <w:szCs w:val="28"/>
          <w:lang w:val="en-US" w:eastAsia="ru-RU"/>
        </w:rPr>
        <w:t>Prevalence and risk factors for quinolone resistance among Escherichia coli strains isolated from males with community febrile urinary tract infection</w:t>
      </w:r>
      <w:r w:rsidRPr="006B4867">
        <w:rPr>
          <w:rFonts w:eastAsia="Times New Roman" w:cstheme="minorHAnsi"/>
          <w:bCs/>
          <w:kern w:val="36"/>
          <w:sz w:val="28"/>
          <w:szCs w:val="28"/>
          <w:lang w:val="uk-UA" w:eastAsia="ru-RU"/>
        </w:rPr>
        <w:t xml:space="preserve"> /</w:t>
      </w:r>
      <w:r w:rsidRPr="006B4867">
        <w:rPr>
          <w:rFonts w:eastAsia="Times New Roman" w:cstheme="minorHAnsi"/>
          <w:sz w:val="28"/>
          <w:szCs w:val="28"/>
          <w:lang w:val="en-US" w:eastAsia="ru-RU"/>
        </w:rPr>
        <w:t xml:space="preserve"> 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xml:space="preserve"> Chico C, Ramos J, Netto C, Sanchez M, Ruiz J</w:t>
      </w:r>
      <w:r w:rsidRPr="006B4867">
        <w:rPr>
          <w:rFonts w:eastAsia="Times New Roman" w:cstheme="minorHAnsi"/>
          <w:sz w:val="28"/>
          <w:szCs w:val="28"/>
          <w:lang w:val="uk-UA" w:eastAsia="ru-RU"/>
        </w:rPr>
        <w:t xml:space="preserve"> // </w:t>
      </w:r>
      <w:r w:rsidRPr="006B4867">
        <w:rPr>
          <w:rFonts w:eastAsia="Times New Roman" w:cstheme="minorHAnsi"/>
          <w:sz w:val="28"/>
          <w:szCs w:val="28"/>
          <w:lang w:val="en-US" w:eastAsia="ru-RU"/>
        </w:rPr>
        <w:t> Eur J Clin Microbiol Infect Dis</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 2012</w:t>
      </w:r>
      <w:r w:rsidRPr="006B4867">
        <w:rPr>
          <w:rFonts w:eastAsia="Times New Roman" w:cstheme="minorHAnsi"/>
          <w:sz w:val="28"/>
          <w:szCs w:val="28"/>
          <w:lang w:val="uk-UA" w:eastAsia="ru-RU"/>
        </w:rPr>
        <w:t>. –</w:t>
      </w:r>
      <w:r w:rsidRPr="006B4867">
        <w:rPr>
          <w:rFonts w:eastAsia="Times New Roman" w:cstheme="minorHAnsi"/>
          <w:sz w:val="28"/>
          <w:szCs w:val="28"/>
          <w:lang w:val="en-US" w:eastAsia="ru-RU"/>
        </w:rPr>
        <w:t xml:space="preserve"> Apr;</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31(4)</w:t>
      </w:r>
      <w:r w:rsidRPr="006B4867">
        <w:rPr>
          <w:rFonts w:eastAsia="Times New Roman" w:cstheme="minorHAnsi"/>
          <w:sz w:val="28"/>
          <w:szCs w:val="28"/>
          <w:lang w:val="uk-UA" w:eastAsia="ru-RU"/>
        </w:rPr>
        <w:t>. – Р.</w:t>
      </w:r>
      <w:r w:rsidRPr="006B4867">
        <w:rPr>
          <w:rFonts w:eastAsia="Times New Roman" w:cstheme="minorHAnsi"/>
          <w:sz w:val="28"/>
          <w:szCs w:val="28"/>
          <w:lang w:val="en-US" w:eastAsia="ru-RU"/>
        </w:rPr>
        <w:t>423-</w:t>
      </w:r>
      <w:r w:rsidRPr="006B4867">
        <w:rPr>
          <w:rFonts w:eastAsia="Times New Roman" w:cstheme="minorHAnsi"/>
          <w:sz w:val="28"/>
          <w:szCs w:val="28"/>
          <w:lang w:val="uk-UA" w:eastAsia="ru-RU"/>
        </w:rPr>
        <w:t>4</w:t>
      </w:r>
      <w:r w:rsidRPr="006B4867">
        <w:rPr>
          <w:rFonts w:eastAsia="Times New Roman" w:cstheme="minorHAnsi"/>
          <w:sz w:val="28"/>
          <w:szCs w:val="28"/>
          <w:lang w:val="en-US" w:eastAsia="ru-RU"/>
        </w:rPr>
        <w:t>30.</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w:t>
      </w:r>
      <w:r w:rsidRPr="006B4867">
        <w:rPr>
          <w:rFonts w:eastAsia="Times New Roman" w:cstheme="minorHAnsi"/>
          <w:bCs/>
          <w:kern w:val="36"/>
          <w:sz w:val="28"/>
          <w:szCs w:val="28"/>
          <w:lang w:val="en-US" w:eastAsia="ru-RU"/>
        </w:rPr>
        <w:t>Prevalence and risk factors for quinolone resistance among Escherichia coli strains isolated from males with community febrile urinary tract infection</w:t>
      </w:r>
      <w:r w:rsidRPr="006B4867">
        <w:rPr>
          <w:rFonts w:eastAsia="Times New Roman" w:cstheme="minorHAnsi"/>
          <w:bCs/>
          <w:kern w:val="36"/>
          <w:sz w:val="28"/>
          <w:szCs w:val="28"/>
          <w:lang w:val="uk-UA" w:eastAsia="ru-RU"/>
        </w:rPr>
        <w:t xml:space="preserve"> /</w:t>
      </w:r>
      <w:r w:rsidRPr="006B4867">
        <w:rPr>
          <w:rFonts w:eastAsia="Times New Roman" w:cstheme="minorHAnsi"/>
          <w:sz w:val="28"/>
          <w:szCs w:val="28"/>
          <w:lang w:val="en-US" w:eastAsia="ru-RU"/>
        </w:rPr>
        <w:t xml:space="preserve"> 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xml:space="preserve"> Chico </w:t>
      </w:r>
      <w:r w:rsidRPr="006B4867">
        <w:rPr>
          <w:rFonts w:eastAsia="Times New Roman" w:cstheme="minorHAnsi"/>
          <w:sz w:val="28"/>
          <w:szCs w:val="28"/>
          <w:lang w:val="en-US" w:eastAsia="ru-RU"/>
        </w:rPr>
        <w:lastRenderedPageBreak/>
        <w:t>C, Ramos J, Netto C, Sanchez M, Ruiz J</w:t>
      </w:r>
      <w:r w:rsidRPr="006B4867">
        <w:rPr>
          <w:rFonts w:eastAsia="Times New Roman" w:cstheme="minorHAnsi"/>
          <w:sz w:val="28"/>
          <w:szCs w:val="28"/>
          <w:lang w:val="uk-UA" w:eastAsia="ru-RU"/>
        </w:rPr>
        <w:t xml:space="preserve"> // </w:t>
      </w:r>
      <w:r w:rsidRPr="006B4867">
        <w:rPr>
          <w:rFonts w:eastAsia="Times New Roman" w:cstheme="minorHAnsi"/>
          <w:sz w:val="28"/>
          <w:szCs w:val="28"/>
          <w:lang w:val="en-US" w:eastAsia="ru-RU"/>
        </w:rPr>
        <w:t> Eur J Clin Microbiol Infect Dis</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 2012</w:t>
      </w:r>
      <w:r w:rsidRPr="006B4867">
        <w:rPr>
          <w:rFonts w:eastAsia="Times New Roman" w:cstheme="minorHAnsi"/>
          <w:sz w:val="28"/>
          <w:szCs w:val="28"/>
          <w:lang w:val="uk-UA" w:eastAsia="ru-RU"/>
        </w:rPr>
        <w:t>. –</w:t>
      </w:r>
      <w:r w:rsidRPr="006B4867">
        <w:rPr>
          <w:rFonts w:eastAsia="Times New Roman" w:cstheme="minorHAnsi"/>
          <w:sz w:val="28"/>
          <w:szCs w:val="28"/>
          <w:lang w:val="en-US" w:eastAsia="ru-RU"/>
        </w:rPr>
        <w:t xml:space="preserve"> Apr;</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31(4)</w:t>
      </w:r>
      <w:r w:rsidRPr="006B4867">
        <w:rPr>
          <w:rFonts w:eastAsia="Times New Roman" w:cstheme="minorHAnsi"/>
          <w:sz w:val="28"/>
          <w:szCs w:val="28"/>
          <w:lang w:val="uk-UA" w:eastAsia="ru-RU"/>
        </w:rPr>
        <w:t>. – Р.</w:t>
      </w:r>
      <w:r w:rsidRPr="006B4867">
        <w:rPr>
          <w:rFonts w:eastAsia="Times New Roman" w:cstheme="minorHAnsi"/>
          <w:sz w:val="28"/>
          <w:szCs w:val="28"/>
          <w:lang w:val="en-US" w:eastAsia="ru-RU"/>
        </w:rPr>
        <w:t>423-</w:t>
      </w:r>
      <w:r w:rsidRPr="006B4867">
        <w:rPr>
          <w:rFonts w:eastAsia="Times New Roman" w:cstheme="minorHAnsi"/>
          <w:sz w:val="28"/>
          <w:szCs w:val="28"/>
          <w:lang w:val="uk-UA" w:eastAsia="ru-RU"/>
        </w:rPr>
        <w:t>4</w:t>
      </w:r>
      <w:r w:rsidRPr="006B4867">
        <w:rPr>
          <w:rFonts w:eastAsia="Times New Roman" w:cstheme="minorHAnsi"/>
          <w:sz w:val="28"/>
          <w:szCs w:val="28"/>
          <w:lang w:val="en-US" w:eastAsia="ru-RU"/>
        </w:rPr>
        <w:t>30.</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sz w:val="28"/>
          <w:szCs w:val="28"/>
          <w:lang w:val="en-US" w:eastAsia="ru-RU"/>
        </w:rPr>
        <w:t>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w:t>
      </w:r>
      <w:r w:rsidRPr="006B4867">
        <w:rPr>
          <w:rFonts w:eastAsia="Times New Roman" w:cstheme="minorHAnsi"/>
          <w:bCs/>
          <w:kern w:val="36"/>
          <w:sz w:val="28"/>
          <w:szCs w:val="28"/>
          <w:lang w:val="en-US" w:eastAsia="ru-RU"/>
        </w:rPr>
        <w:t>Prevalence and risk factors for quinolone resistance among Escherichia coli strains isolated from males with community febrile urinary tract infection</w:t>
      </w:r>
      <w:r w:rsidRPr="006B4867">
        <w:rPr>
          <w:rFonts w:eastAsia="Times New Roman" w:cstheme="minorHAnsi"/>
          <w:bCs/>
          <w:kern w:val="36"/>
          <w:sz w:val="28"/>
          <w:szCs w:val="28"/>
          <w:lang w:val="uk-UA" w:eastAsia="ru-RU"/>
        </w:rPr>
        <w:t xml:space="preserve"> /</w:t>
      </w:r>
      <w:r w:rsidRPr="006B4867">
        <w:rPr>
          <w:rFonts w:eastAsia="Times New Roman" w:cstheme="minorHAnsi"/>
          <w:sz w:val="28"/>
          <w:szCs w:val="28"/>
          <w:lang w:val="en-US" w:eastAsia="ru-RU"/>
        </w:rPr>
        <w:t xml:space="preserve"> Smithson A</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 xml:space="preserve"> Chico C, Ramos J, Netto C, Sanchez M, Ruiz J</w:t>
      </w:r>
      <w:r w:rsidRPr="006B4867">
        <w:rPr>
          <w:rFonts w:eastAsia="Times New Roman" w:cstheme="minorHAnsi"/>
          <w:sz w:val="28"/>
          <w:szCs w:val="28"/>
          <w:lang w:val="uk-UA" w:eastAsia="ru-RU"/>
        </w:rPr>
        <w:t xml:space="preserve"> // </w:t>
      </w:r>
      <w:r w:rsidRPr="006B4867">
        <w:rPr>
          <w:rFonts w:eastAsia="Times New Roman" w:cstheme="minorHAnsi"/>
          <w:sz w:val="28"/>
          <w:szCs w:val="28"/>
          <w:lang w:val="en-US" w:eastAsia="ru-RU"/>
        </w:rPr>
        <w:t> Eur J Clin Microbiol Infect Dis</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 2012</w:t>
      </w:r>
      <w:r w:rsidRPr="006B4867">
        <w:rPr>
          <w:rFonts w:eastAsia="Times New Roman" w:cstheme="minorHAnsi"/>
          <w:sz w:val="28"/>
          <w:szCs w:val="28"/>
          <w:lang w:val="uk-UA" w:eastAsia="ru-RU"/>
        </w:rPr>
        <w:t>. –</w:t>
      </w:r>
      <w:r w:rsidRPr="006B4867">
        <w:rPr>
          <w:rFonts w:eastAsia="Times New Roman" w:cstheme="minorHAnsi"/>
          <w:sz w:val="28"/>
          <w:szCs w:val="28"/>
          <w:lang w:val="en-US" w:eastAsia="ru-RU"/>
        </w:rPr>
        <w:t xml:space="preserve"> Apr;</w:t>
      </w:r>
      <w:r w:rsidRPr="006B4867">
        <w:rPr>
          <w:rFonts w:eastAsia="Times New Roman" w:cstheme="minorHAnsi"/>
          <w:sz w:val="28"/>
          <w:szCs w:val="28"/>
          <w:lang w:val="uk-UA" w:eastAsia="ru-RU"/>
        </w:rPr>
        <w:t>№</w:t>
      </w:r>
      <w:r w:rsidRPr="006B4867">
        <w:rPr>
          <w:rFonts w:eastAsia="Times New Roman" w:cstheme="minorHAnsi"/>
          <w:sz w:val="28"/>
          <w:szCs w:val="28"/>
          <w:lang w:val="en-US" w:eastAsia="ru-RU"/>
        </w:rPr>
        <w:t>31(4)</w:t>
      </w:r>
      <w:r w:rsidRPr="006B4867">
        <w:rPr>
          <w:rFonts w:eastAsia="Times New Roman" w:cstheme="minorHAnsi"/>
          <w:sz w:val="28"/>
          <w:szCs w:val="28"/>
          <w:lang w:val="uk-UA" w:eastAsia="ru-RU"/>
        </w:rPr>
        <w:t>. – Р.</w:t>
      </w:r>
      <w:r w:rsidRPr="006B4867">
        <w:rPr>
          <w:rFonts w:eastAsia="Times New Roman" w:cstheme="minorHAnsi"/>
          <w:sz w:val="28"/>
          <w:szCs w:val="28"/>
          <w:lang w:val="en-US" w:eastAsia="ru-RU"/>
        </w:rPr>
        <w:t>423-</w:t>
      </w:r>
      <w:r w:rsidRPr="006B4867">
        <w:rPr>
          <w:rFonts w:eastAsia="Times New Roman" w:cstheme="minorHAnsi"/>
          <w:sz w:val="28"/>
          <w:szCs w:val="28"/>
          <w:lang w:val="uk-UA" w:eastAsia="ru-RU"/>
        </w:rPr>
        <w:t>4</w:t>
      </w:r>
      <w:r w:rsidRPr="006B4867">
        <w:rPr>
          <w:rFonts w:eastAsia="Times New Roman" w:cstheme="minorHAnsi"/>
          <w:sz w:val="28"/>
          <w:szCs w:val="28"/>
          <w:lang w:val="en-US" w:eastAsia="ru-RU"/>
        </w:rPr>
        <w:t>30.</w:t>
      </w:r>
    </w:p>
    <w:p w:rsidR="006B4867" w:rsidRPr="006B4867" w:rsidRDefault="006B4867" w:rsidP="006B4867">
      <w:pPr>
        <w:numPr>
          <w:ilvl w:val="0"/>
          <w:numId w:val="19"/>
        </w:numPr>
        <w:spacing w:line="360" w:lineRule="auto"/>
        <w:contextualSpacing/>
        <w:jc w:val="both"/>
        <w:rPr>
          <w:sz w:val="28"/>
          <w:szCs w:val="28"/>
          <w:lang w:val="uk-UA"/>
        </w:rPr>
      </w:pPr>
      <w:r w:rsidRPr="006B4867">
        <w:rPr>
          <w:rFonts w:eastAsia="Times New Roman" w:cstheme="minorHAnsi"/>
          <w:color w:val="000000" w:themeColor="text1"/>
          <w:sz w:val="28"/>
          <w:szCs w:val="28"/>
          <w:lang w:val="en-US" w:eastAsia="ru-RU"/>
        </w:rPr>
        <w:t>S</w:t>
      </w:r>
      <w:r w:rsidRPr="006B4867">
        <w:rPr>
          <w:rFonts w:eastAsia="Times New Roman" w:cstheme="minorHAnsi"/>
          <w:color w:val="000000" w:themeColor="text1"/>
          <w:sz w:val="28"/>
          <w:szCs w:val="28"/>
          <w:lang w:val="uk-UA" w:eastAsia="ru-RU"/>
        </w:rPr>
        <w:t>ø</w:t>
      </w:r>
      <w:r w:rsidRPr="006B4867">
        <w:rPr>
          <w:rFonts w:eastAsia="Times New Roman" w:cstheme="minorHAnsi"/>
          <w:color w:val="000000" w:themeColor="text1"/>
          <w:sz w:val="28"/>
          <w:szCs w:val="28"/>
          <w:lang w:val="en-US" w:eastAsia="ru-RU"/>
        </w:rPr>
        <w:t>raas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bCs/>
          <w:color w:val="000000" w:themeColor="text1"/>
          <w:kern w:val="36"/>
          <w:sz w:val="28"/>
          <w:szCs w:val="28"/>
          <w:lang w:val="en-US" w:eastAsia="ru-RU"/>
        </w:rPr>
        <w:t>High rate of per oral mecillinam treatment failure in community</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acquired urinary tract infections</w:t>
      </w:r>
      <w:r w:rsidRPr="006B4867">
        <w:rPr>
          <w:rFonts w:eastAsia="Times New Roman" w:cstheme="minorHAnsi"/>
          <w:bCs/>
          <w:color w:val="000000" w:themeColor="text1"/>
          <w:kern w:val="36"/>
          <w:sz w:val="28"/>
          <w:szCs w:val="28"/>
          <w:lang w:val="uk-UA" w:eastAsia="ru-RU"/>
        </w:rPr>
        <w:t xml:space="preserve"> </w:t>
      </w:r>
      <w:r w:rsidRPr="006B4867">
        <w:rPr>
          <w:rFonts w:eastAsia="Times New Roman" w:cstheme="minorHAnsi"/>
          <w:bCs/>
          <w:color w:val="000000" w:themeColor="text1"/>
          <w:kern w:val="36"/>
          <w:sz w:val="28"/>
          <w:szCs w:val="28"/>
          <w:lang w:val="en-US" w:eastAsia="ru-RU"/>
        </w:rPr>
        <w:t>caused by ESBL</w:t>
      </w:r>
      <w:r w:rsidRPr="006B4867">
        <w:rPr>
          <w:rFonts w:eastAsia="Times New Roman" w:cstheme="minorHAnsi"/>
          <w:bCs/>
          <w:color w:val="000000" w:themeColor="text1"/>
          <w:kern w:val="36"/>
          <w:sz w:val="28"/>
          <w:szCs w:val="28"/>
          <w:lang w:val="uk-UA" w:eastAsia="ru-RU"/>
        </w:rPr>
        <w:t>-</w:t>
      </w:r>
      <w:r w:rsidRPr="006B4867">
        <w:rPr>
          <w:rFonts w:eastAsia="Times New Roman" w:cstheme="minorHAnsi"/>
          <w:bCs/>
          <w:color w:val="000000" w:themeColor="text1"/>
          <w:kern w:val="36"/>
          <w:sz w:val="28"/>
          <w:szCs w:val="28"/>
          <w:lang w:val="en-US" w:eastAsia="ru-RU"/>
        </w:rPr>
        <w:t>producing Escherichia coli</w:t>
      </w:r>
      <w:r w:rsidRPr="006B4867">
        <w:rPr>
          <w:rFonts w:eastAsia="Times New Roman" w:cstheme="minorHAnsi"/>
          <w:bCs/>
          <w:color w:val="000000" w:themeColor="text1"/>
          <w:kern w:val="36"/>
          <w:sz w:val="28"/>
          <w:szCs w:val="28"/>
          <w:lang w:val="uk-UA" w:eastAsia="ru-RU"/>
        </w:rPr>
        <w:t xml:space="preserve"> / </w:t>
      </w:r>
      <w:r w:rsidRPr="006B4867">
        <w:rPr>
          <w:rFonts w:eastAsia="Times New Roman" w:cstheme="minorHAnsi"/>
          <w:color w:val="000000" w:themeColor="text1"/>
          <w:sz w:val="28"/>
          <w:szCs w:val="28"/>
          <w:lang w:val="en-US" w:eastAsia="ru-RU"/>
        </w:rPr>
        <w:t>S</w:t>
      </w:r>
      <w:r w:rsidRPr="006B4867">
        <w:rPr>
          <w:rFonts w:eastAsia="Times New Roman" w:cstheme="minorHAnsi"/>
          <w:color w:val="000000" w:themeColor="text1"/>
          <w:sz w:val="28"/>
          <w:szCs w:val="28"/>
          <w:lang w:val="uk-UA" w:eastAsia="ru-RU"/>
        </w:rPr>
        <w:t>ø</w:t>
      </w:r>
      <w:r w:rsidRPr="006B4867">
        <w:rPr>
          <w:rFonts w:eastAsia="Times New Roman" w:cstheme="minorHAnsi"/>
          <w:color w:val="000000" w:themeColor="text1"/>
          <w:sz w:val="28"/>
          <w:szCs w:val="28"/>
          <w:lang w:val="en-US" w:eastAsia="ru-RU"/>
        </w:rPr>
        <w:t>raas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Sundsfjord</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A</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J</w:t>
      </w:r>
      <w:r w:rsidRPr="006B4867">
        <w:rPr>
          <w:rFonts w:eastAsia="Times New Roman" w:cstheme="minorHAnsi"/>
          <w:color w:val="000000" w:themeColor="text1"/>
          <w:sz w:val="28"/>
          <w:szCs w:val="28"/>
          <w:lang w:val="uk-UA" w:eastAsia="ru-RU"/>
        </w:rPr>
        <w:t>ø</w:t>
      </w:r>
      <w:r w:rsidRPr="006B4867">
        <w:rPr>
          <w:rFonts w:eastAsia="Times New Roman" w:cstheme="minorHAnsi"/>
          <w:color w:val="000000" w:themeColor="text1"/>
          <w:sz w:val="28"/>
          <w:szCs w:val="28"/>
          <w:lang w:val="en-US" w:eastAsia="ru-RU"/>
        </w:rPr>
        <w:t>rgensen</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SB</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Liest</w:t>
      </w:r>
      <w:r w:rsidRPr="006B4867">
        <w:rPr>
          <w:rFonts w:eastAsia="Times New Roman" w:cstheme="minorHAnsi"/>
          <w:color w:val="000000" w:themeColor="text1"/>
          <w:sz w:val="28"/>
          <w:szCs w:val="28"/>
          <w:lang w:val="uk-UA" w:eastAsia="ru-RU"/>
        </w:rPr>
        <w:t>ø</w:t>
      </w:r>
      <w:r w:rsidRPr="006B4867">
        <w:rPr>
          <w:rFonts w:eastAsia="Times New Roman" w:cstheme="minorHAnsi"/>
          <w:color w:val="000000" w:themeColor="text1"/>
          <w:sz w:val="28"/>
          <w:szCs w:val="28"/>
          <w:lang w:val="en-US" w:eastAsia="ru-RU"/>
        </w:rPr>
        <w:t>l</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K</w:t>
      </w:r>
      <w:r w:rsidRPr="006B4867">
        <w:rPr>
          <w:rFonts w:eastAsia="Times New Roman" w:cstheme="minorHAnsi"/>
          <w:color w:val="000000" w:themeColor="text1"/>
          <w:sz w:val="28"/>
          <w:szCs w:val="28"/>
          <w:lang w:val="uk-UA" w:eastAsia="ru-RU"/>
        </w:rPr>
        <w:t>,</w:t>
      </w:r>
      <w:r w:rsidRPr="006B4867">
        <w:rPr>
          <w:rFonts w:eastAsia="Times New Roman" w:cstheme="minorHAnsi"/>
          <w:color w:val="000000" w:themeColor="text1"/>
          <w:sz w:val="28"/>
          <w:szCs w:val="28"/>
          <w:lang w:val="en-US" w:eastAsia="ru-RU"/>
        </w:rPr>
        <w:t> Jenum</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PA</w:t>
      </w:r>
      <w:r w:rsidRPr="006B4867">
        <w:rPr>
          <w:rFonts w:eastAsia="Times New Roman" w:cstheme="minorHAnsi"/>
          <w:color w:val="000000" w:themeColor="text1"/>
          <w:sz w:val="28"/>
          <w:szCs w:val="28"/>
          <w:lang w:val="uk-UA" w:eastAsia="ru-RU"/>
        </w:rPr>
        <w:t xml:space="preserve"> // </w:t>
      </w:r>
      <w:r w:rsidRPr="006B4867">
        <w:rPr>
          <w:rFonts w:eastAsia="Times New Roman" w:cstheme="minorHAnsi"/>
          <w:color w:val="000000" w:themeColor="text1"/>
          <w:sz w:val="28"/>
          <w:szCs w:val="28"/>
          <w:lang w:val="en-US" w:eastAsia="ru-RU"/>
        </w:rPr>
        <w:t>PLoS</w:t>
      </w:r>
      <w:r w:rsidRPr="006B4867">
        <w:rPr>
          <w:rFonts w:eastAsia="Times New Roman" w:cstheme="minorHAnsi"/>
          <w:color w:val="000000" w:themeColor="text1"/>
          <w:sz w:val="28"/>
          <w:szCs w:val="28"/>
          <w:lang w:val="uk-UA" w:eastAsia="ru-RU"/>
        </w:rPr>
        <w:t xml:space="preserve"> </w:t>
      </w:r>
      <w:r w:rsidRPr="006B4867">
        <w:rPr>
          <w:rFonts w:eastAsia="Times New Roman" w:cstheme="minorHAnsi"/>
          <w:color w:val="000000" w:themeColor="text1"/>
          <w:sz w:val="28"/>
          <w:szCs w:val="28"/>
          <w:lang w:val="en-US" w:eastAsia="ru-RU"/>
        </w:rPr>
        <w:t>One</w:t>
      </w:r>
      <w:r w:rsidRPr="006B4867">
        <w:rPr>
          <w:rFonts w:eastAsia="Times New Roman" w:cstheme="minorHAnsi"/>
          <w:color w:val="000000" w:themeColor="text1"/>
          <w:sz w:val="28"/>
          <w:szCs w:val="28"/>
          <w:lang w:val="uk-UA" w:eastAsia="ru-RU"/>
        </w:rPr>
        <w:t xml:space="preserve">. 2014 </w:t>
      </w:r>
      <w:r w:rsidRPr="006B4867">
        <w:rPr>
          <w:rFonts w:eastAsia="Times New Roman" w:cstheme="minorHAnsi"/>
          <w:color w:val="000000" w:themeColor="text1"/>
          <w:sz w:val="28"/>
          <w:szCs w:val="28"/>
          <w:lang w:val="en-US" w:eastAsia="ru-RU"/>
        </w:rPr>
        <w:t>Jan</w:t>
      </w:r>
      <w:r w:rsidRPr="006B4867">
        <w:rPr>
          <w:rFonts w:eastAsia="Times New Roman" w:cstheme="minorHAnsi"/>
          <w:color w:val="000000" w:themeColor="text1"/>
          <w:sz w:val="28"/>
          <w:szCs w:val="28"/>
          <w:lang w:val="uk-UA" w:eastAsia="ru-RU"/>
        </w:rPr>
        <w:t xml:space="preserve"> 15;9(1).</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Strahilevitz J.</w:t>
      </w:r>
      <w:r w:rsidRPr="006B4867">
        <w:rPr>
          <w:rFonts w:cstheme="minorHAnsi"/>
          <w:sz w:val="28"/>
          <w:szCs w:val="28"/>
          <w:lang w:val="uk-UA"/>
        </w:rPr>
        <w:t xml:space="preserve"> </w:t>
      </w:r>
      <w:r w:rsidRPr="006B4867">
        <w:rPr>
          <w:rFonts w:cstheme="minorHAnsi"/>
          <w:sz w:val="28"/>
          <w:szCs w:val="28"/>
          <w:lang w:val="en-US"/>
        </w:rPr>
        <w:t>Plasmid-mediated quinolone resistance: a multifaceted threat</w:t>
      </w:r>
      <w:r w:rsidRPr="006B4867">
        <w:rPr>
          <w:rFonts w:cstheme="minorHAnsi"/>
          <w:sz w:val="28"/>
          <w:szCs w:val="28"/>
          <w:lang w:val="uk-UA"/>
        </w:rPr>
        <w:t xml:space="preserve"> /</w:t>
      </w:r>
      <w:r w:rsidRPr="006B4867">
        <w:rPr>
          <w:rFonts w:cstheme="minorHAnsi"/>
          <w:sz w:val="28"/>
          <w:szCs w:val="28"/>
          <w:lang w:val="en-US"/>
        </w:rPr>
        <w:t xml:space="preserve"> J.</w:t>
      </w:r>
      <w:r w:rsidRPr="006B4867">
        <w:rPr>
          <w:rFonts w:cstheme="minorHAnsi"/>
          <w:sz w:val="28"/>
          <w:szCs w:val="28"/>
          <w:lang w:val="uk-UA"/>
        </w:rPr>
        <w:t xml:space="preserve"> </w:t>
      </w:r>
      <w:r w:rsidRPr="006B4867">
        <w:rPr>
          <w:rFonts w:cstheme="minorHAnsi"/>
          <w:sz w:val="28"/>
          <w:szCs w:val="28"/>
          <w:lang w:val="en-US"/>
        </w:rPr>
        <w:t>Strahilevitz</w:t>
      </w:r>
      <w:r w:rsidRPr="006B4867">
        <w:rPr>
          <w:rFonts w:cstheme="minorHAnsi"/>
          <w:sz w:val="28"/>
          <w:szCs w:val="28"/>
          <w:lang w:val="uk-UA"/>
        </w:rPr>
        <w:t>,</w:t>
      </w:r>
      <w:r w:rsidRPr="006B4867">
        <w:rPr>
          <w:rFonts w:cstheme="minorHAnsi"/>
          <w:sz w:val="28"/>
          <w:szCs w:val="28"/>
          <w:lang w:val="en-US"/>
        </w:rPr>
        <w:t xml:space="preserve"> G.A. Jacoby, D.C.Hooper, A. Robicsek</w:t>
      </w:r>
      <w:r w:rsidRPr="006B4867">
        <w:rPr>
          <w:rFonts w:cstheme="minorHAnsi"/>
          <w:sz w:val="28"/>
          <w:szCs w:val="28"/>
          <w:lang w:val="uk-UA"/>
        </w:rPr>
        <w:t xml:space="preserve"> //</w:t>
      </w:r>
      <w:r w:rsidRPr="006B4867">
        <w:rPr>
          <w:rFonts w:cstheme="minorHAnsi"/>
          <w:sz w:val="28"/>
          <w:szCs w:val="28"/>
          <w:lang w:val="en-US"/>
        </w:rPr>
        <w:t xml:space="preserve"> </w:t>
      </w:r>
      <w:r w:rsidRPr="006B4867">
        <w:rPr>
          <w:rFonts w:cstheme="minorHAnsi"/>
          <w:iCs/>
          <w:sz w:val="28"/>
          <w:szCs w:val="28"/>
          <w:lang w:val="en-US"/>
        </w:rPr>
        <w:t>Clinical Microbiology Reviews</w:t>
      </w:r>
      <w:r w:rsidRPr="006B4867">
        <w:rPr>
          <w:rFonts w:cstheme="minorHAnsi"/>
          <w:iCs/>
          <w:sz w:val="28"/>
          <w:szCs w:val="28"/>
          <w:lang w:val="uk-UA"/>
        </w:rPr>
        <w:t>.-</w:t>
      </w:r>
      <w:r w:rsidRPr="006B4867">
        <w:rPr>
          <w:rFonts w:cstheme="minorHAnsi"/>
          <w:iCs/>
          <w:sz w:val="28"/>
          <w:szCs w:val="28"/>
          <w:lang w:val="en-US"/>
        </w:rPr>
        <w:t xml:space="preserve"> </w:t>
      </w:r>
      <w:r w:rsidRPr="006B4867">
        <w:rPr>
          <w:rFonts w:cstheme="minorHAnsi"/>
          <w:sz w:val="28"/>
          <w:szCs w:val="28"/>
          <w:lang w:val="en-US"/>
        </w:rPr>
        <w:t>2009</w:t>
      </w:r>
      <w:r w:rsidRPr="006B4867">
        <w:rPr>
          <w:rFonts w:cstheme="minorHAnsi"/>
          <w:sz w:val="28"/>
          <w:szCs w:val="28"/>
          <w:lang w:val="uk-UA"/>
        </w:rPr>
        <w:t>.- №22(4).- Р. 664–689.</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Sundvall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Interleukin</w:t>
      </w:r>
      <w:r w:rsidRPr="006B4867">
        <w:rPr>
          <w:rFonts w:ascii="Times New Roman" w:eastAsia="Times New Roman" w:hAnsi="Times New Roman" w:cs="Times New Roman"/>
          <w:bCs/>
          <w:color w:val="000000" w:themeColor="text1"/>
          <w:kern w:val="36"/>
          <w:sz w:val="28"/>
          <w:szCs w:val="28"/>
          <w:lang w:val="uk-UA" w:eastAsia="ru-RU"/>
        </w:rPr>
        <w:t>-6</w:t>
      </w:r>
      <w:r w:rsidRPr="006B4867">
        <w:rPr>
          <w:rFonts w:ascii="Times New Roman" w:eastAsia="Times New Roman" w:hAnsi="Times New Roman" w:cs="Times New Roman"/>
          <w:bCs/>
          <w:color w:val="000000" w:themeColor="text1"/>
          <w:kern w:val="36"/>
          <w:sz w:val="28"/>
          <w:szCs w:val="28"/>
          <w:lang w:val="en-US" w:eastAsia="ru-RU"/>
        </w:rPr>
        <w:t> concentrations in</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the urine and dipstick analyses were related to bacteriuria but</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not</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symptoms in</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the elderly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a cross sectional study of </w:t>
      </w:r>
      <w:r w:rsidRPr="006B4867">
        <w:rPr>
          <w:rFonts w:ascii="Times New Roman" w:eastAsia="Times New Roman" w:hAnsi="Times New Roman" w:cs="Times New Roman"/>
          <w:bCs/>
          <w:color w:val="000000" w:themeColor="text1"/>
          <w:kern w:val="36"/>
          <w:sz w:val="28"/>
          <w:szCs w:val="28"/>
          <w:lang w:val="uk-UA" w:eastAsia="ru-RU"/>
        </w:rPr>
        <w:t>421</w:t>
      </w:r>
      <w:r w:rsidRPr="006B4867">
        <w:rPr>
          <w:rFonts w:ascii="Times New Roman" w:eastAsia="Times New Roman" w:hAnsi="Times New Roman" w:cs="Times New Roman"/>
          <w:bCs/>
          <w:color w:val="000000" w:themeColor="text1"/>
          <w:kern w:val="36"/>
          <w:sz w:val="28"/>
          <w:szCs w:val="28"/>
          <w:lang w:val="en-US" w:eastAsia="ru-RU"/>
        </w:rPr>
        <w:t> nursing home residents</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Sundvall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PD</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Elm</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M</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Ulleryd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M</w:t>
      </w:r>
      <w:r w:rsidRPr="006B4867">
        <w:rPr>
          <w:rFonts w:ascii="Times New Roman" w:eastAsia="Times New Roman" w:hAnsi="Times New Roman" w:cs="Times New Roman"/>
          <w:color w:val="000000" w:themeColor="text1"/>
          <w:sz w:val="28"/>
          <w:szCs w:val="28"/>
          <w:lang w:val="uk-UA" w:eastAsia="ru-RU"/>
        </w:rPr>
        <w:t>ö</w:t>
      </w:r>
      <w:r w:rsidRPr="006B4867">
        <w:rPr>
          <w:rFonts w:ascii="Times New Roman" w:eastAsia="Times New Roman" w:hAnsi="Times New Roman" w:cs="Times New Roman"/>
          <w:color w:val="000000" w:themeColor="text1"/>
          <w:sz w:val="28"/>
          <w:szCs w:val="28"/>
          <w:lang w:val="en-US" w:eastAsia="ru-RU"/>
        </w:rPr>
        <w:t>lstad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S</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Rodhe</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N</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Jonsson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L</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Andersson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B</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hyperlink r:id="rId136" w:history="1">
        <w:r w:rsidRPr="006B4867">
          <w:rPr>
            <w:rFonts w:ascii="Times New Roman" w:eastAsia="Times New Roman" w:hAnsi="Times New Roman" w:cs="Times New Roman"/>
            <w:color w:val="000000" w:themeColor="text1"/>
            <w:sz w:val="28"/>
            <w:szCs w:val="28"/>
            <w:lang w:val="en-US" w:eastAsia="ru-RU"/>
          </w:rPr>
          <w:t>Hahn</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Zoric</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M</w:t>
        </w:r>
      </w:hyperlink>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hyperlink r:id="rId137" w:history="1">
        <w:r w:rsidRPr="006B4867">
          <w:rPr>
            <w:rFonts w:ascii="Times New Roman" w:eastAsia="Times New Roman" w:hAnsi="Times New Roman" w:cs="Times New Roman"/>
            <w:color w:val="000000" w:themeColor="text1"/>
            <w:sz w:val="28"/>
            <w:szCs w:val="28"/>
            <w:lang w:val="en-US" w:eastAsia="ru-RU"/>
          </w:rPr>
          <w:t>Gunnarsson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R</w:t>
        </w:r>
      </w:hyperlink>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BMC</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Geriatr</w:t>
      </w:r>
      <w:r w:rsidRPr="006B4867">
        <w:rPr>
          <w:rFonts w:ascii="Times New Roman" w:eastAsia="Times New Roman" w:hAnsi="Times New Roman" w:cs="Times New Roman"/>
          <w:color w:val="000000" w:themeColor="text1"/>
          <w:sz w:val="28"/>
          <w:szCs w:val="28"/>
          <w:lang w:val="uk-UA" w:eastAsia="ru-RU"/>
        </w:rPr>
        <w:t xml:space="preserve">. 2014 </w:t>
      </w:r>
      <w:r w:rsidRPr="006B4867">
        <w:rPr>
          <w:rFonts w:ascii="Times New Roman" w:eastAsia="Times New Roman" w:hAnsi="Times New Roman" w:cs="Times New Roman"/>
          <w:color w:val="000000" w:themeColor="text1"/>
          <w:sz w:val="28"/>
          <w:szCs w:val="28"/>
          <w:lang w:val="en-US" w:eastAsia="ru-RU"/>
        </w:rPr>
        <w:t>Aug</w:t>
      </w:r>
      <w:r w:rsidRPr="006B4867">
        <w:rPr>
          <w:rFonts w:ascii="Times New Roman" w:eastAsia="Times New Roman" w:hAnsi="Times New Roman" w:cs="Times New Roman"/>
          <w:color w:val="000000" w:themeColor="text1"/>
          <w:sz w:val="28"/>
          <w:szCs w:val="28"/>
          <w:lang w:val="uk-UA" w:eastAsia="ru-RU"/>
        </w:rPr>
        <w:t xml:space="preserve"> 12;14:88.</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Sundvall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Interleukin</w:t>
      </w:r>
      <w:r w:rsidRPr="006B4867">
        <w:rPr>
          <w:rFonts w:ascii="Times New Roman" w:eastAsia="Times New Roman" w:hAnsi="Times New Roman" w:cs="Times New Roman"/>
          <w:bCs/>
          <w:color w:val="000000" w:themeColor="text1"/>
          <w:kern w:val="36"/>
          <w:sz w:val="28"/>
          <w:szCs w:val="28"/>
          <w:lang w:val="uk-UA" w:eastAsia="ru-RU"/>
        </w:rPr>
        <w:t>-6</w:t>
      </w:r>
      <w:r w:rsidRPr="006B4867">
        <w:rPr>
          <w:rFonts w:ascii="Times New Roman" w:eastAsia="Times New Roman" w:hAnsi="Times New Roman" w:cs="Times New Roman"/>
          <w:bCs/>
          <w:color w:val="000000" w:themeColor="text1"/>
          <w:kern w:val="36"/>
          <w:sz w:val="28"/>
          <w:szCs w:val="28"/>
          <w:lang w:val="en-US" w:eastAsia="ru-RU"/>
        </w:rPr>
        <w:t> concentrations in</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the urine and dipstick analyses were related to bacteriuria but</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not</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symptoms in</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the elderly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a cross sectional study of </w:t>
      </w:r>
      <w:r w:rsidRPr="006B4867">
        <w:rPr>
          <w:rFonts w:ascii="Times New Roman" w:eastAsia="Times New Roman" w:hAnsi="Times New Roman" w:cs="Times New Roman"/>
          <w:bCs/>
          <w:color w:val="000000" w:themeColor="text1"/>
          <w:kern w:val="36"/>
          <w:sz w:val="28"/>
          <w:szCs w:val="28"/>
          <w:lang w:val="uk-UA" w:eastAsia="ru-RU"/>
        </w:rPr>
        <w:t>421</w:t>
      </w:r>
      <w:r w:rsidRPr="006B4867">
        <w:rPr>
          <w:rFonts w:ascii="Times New Roman" w:eastAsia="Times New Roman" w:hAnsi="Times New Roman" w:cs="Times New Roman"/>
          <w:bCs/>
          <w:color w:val="000000" w:themeColor="text1"/>
          <w:kern w:val="36"/>
          <w:sz w:val="28"/>
          <w:szCs w:val="28"/>
          <w:lang w:val="en-US" w:eastAsia="ru-RU"/>
        </w:rPr>
        <w:t> nursing home residents</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Sundvall</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PD</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Elm</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M</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Ulleryd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P</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M</w:t>
      </w:r>
      <w:r w:rsidRPr="006B4867">
        <w:rPr>
          <w:rFonts w:ascii="Times New Roman" w:eastAsia="Times New Roman" w:hAnsi="Times New Roman" w:cs="Times New Roman"/>
          <w:color w:val="000000" w:themeColor="text1"/>
          <w:sz w:val="28"/>
          <w:szCs w:val="28"/>
          <w:lang w:val="uk-UA" w:eastAsia="ru-RU"/>
        </w:rPr>
        <w:t>ö</w:t>
      </w:r>
      <w:r w:rsidRPr="006B4867">
        <w:rPr>
          <w:rFonts w:ascii="Times New Roman" w:eastAsia="Times New Roman" w:hAnsi="Times New Roman" w:cs="Times New Roman"/>
          <w:color w:val="000000" w:themeColor="text1"/>
          <w:sz w:val="28"/>
          <w:szCs w:val="28"/>
          <w:lang w:val="en-US" w:eastAsia="ru-RU"/>
        </w:rPr>
        <w:t>lstad</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S</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Rodhe</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N</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Jonsson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L</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Andersson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B</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hyperlink r:id="rId138" w:history="1">
        <w:r w:rsidRPr="006B4867">
          <w:rPr>
            <w:rFonts w:ascii="Times New Roman" w:eastAsia="Times New Roman" w:hAnsi="Times New Roman" w:cs="Times New Roman"/>
            <w:color w:val="000000" w:themeColor="text1"/>
            <w:sz w:val="28"/>
            <w:szCs w:val="28"/>
            <w:lang w:val="en-US" w:eastAsia="ru-RU"/>
          </w:rPr>
          <w:t>Hahn</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Zoric</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M</w:t>
        </w:r>
      </w:hyperlink>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color w:val="000000" w:themeColor="text1"/>
          <w:sz w:val="28"/>
          <w:szCs w:val="28"/>
          <w:lang w:val="en-US" w:eastAsia="ru-RU"/>
        </w:rPr>
        <w:t> </w:t>
      </w:r>
      <w:hyperlink r:id="rId139" w:history="1">
        <w:r w:rsidRPr="006B4867">
          <w:rPr>
            <w:rFonts w:ascii="Times New Roman" w:eastAsia="Times New Roman" w:hAnsi="Times New Roman" w:cs="Times New Roman"/>
            <w:color w:val="000000" w:themeColor="text1"/>
            <w:sz w:val="28"/>
            <w:szCs w:val="28"/>
            <w:lang w:val="en-US" w:eastAsia="ru-RU"/>
          </w:rPr>
          <w:t>Gunnarsson</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R</w:t>
        </w:r>
      </w:hyperlink>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BMC</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Geriatr</w:t>
      </w:r>
      <w:r w:rsidRPr="006B4867">
        <w:rPr>
          <w:rFonts w:ascii="Times New Roman" w:eastAsia="Times New Roman" w:hAnsi="Times New Roman" w:cs="Times New Roman"/>
          <w:color w:val="000000" w:themeColor="text1"/>
          <w:sz w:val="28"/>
          <w:szCs w:val="28"/>
          <w:lang w:val="uk-UA" w:eastAsia="ru-RU"/>
        </w:rPr>
        <w:t xml:space="preserve">. 2014 </w:t>
      </w:r>
      <w:r w:rsidRPr="006B4867">
        <w:rPr>
          <w:rFonts w:ascii="Times New Roman" w:eastAsia="Times New Roman" w:hAnsi="Times New Roman" w:cs="Times New Roman"/>
          <w:color w:val="000000" w:themeColor="text1"/>
          <w:sz w:val="28"/>
          <w:szCs w:val="28"/>
          <w:lang w:val="en-US" w:eastAsia="ru-RU"/>
        </w:rPr>
        <w:t>Aug</w:t>
      </w:r>
      <w:r w:rsidRPr="006B4867">
        <w:rPr>
          <w:rFonts w:ascii="Times New Roman" w:eastAsia="Times New Roman" w:hAnsi="Times New Roman" w:cs="Times New Roman"/>
          <w:color w:val="000000" w:themeColor="text1"/>
          <w:sz w:val="28"/>
          <w:szCs w:val="28"/>
          <w:lang w:val="uk-UA" w:eastAsia="ru-RU"/>
        </w:rPr>
        <w:t xml:space="preserve"> 12;14:88.</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T</w:t>
      </w:r>
      <w:r w:rsidRPr="006B4867">
        <w:rPr>
          <w:rFonts w:cstheme="minorHAnsi"/>
          <w:sz w:val="28"/>
          <w:szCs w:val="28"/>
          <w:lang w:val="uk-UA"/>
        </w:rPr>
        <w:t xml:space="preserve">. </w:t>
      </w:r>
      <w:r w:rsidRPr="006B4867">
        <w:rPr>
          <w:rFonts w:cstheme="minorHAnsi"/>
          <w:sz w:val="28"/>
          <w:szCs w:val="28"/>
          <w:lang w:val="en-US"/>
        </w:rPr>
        <w:t>M</w:t>
      </w:r>
      <w:r w:rsidRPr="006B4867">
        <w:rPr>
          <w:rFonts w:cstheme="minorHAnsi"/>
          <w:sz w:val="28"/>
          <w:szCs w:val="28"/>
          <w:lang w:val="uk-UA"/>
        </w:rPr>
        <w:t xml:space="preserve">. </w:t>
      </w:r>
      <w:r w:rsidRPr="006B4867">
        <w:rPr>
          <w:rFonts w:cstheme="minorHAnsi"/>
          <w:sz w:val="28"/>
          <w:szCs w:val="28"/>
          <w:lang w:val="en-US"/>
        </w:rPr>
        <w:t>Coque</w:t>
      </w:r>
      <w:r w:rsidRPr="006B4867">
        <w:rPr>
          <w:rFonts w:cstheme="minorHAnsi"/>
          <w:sz w:val="28"/>
          <w:szCs w:val="28"/>
          <w:lang w:val="uk-UA"/>
        </w:rPr>
        <w:t xml:space="preserve">. </w:t>
      </w:r>
      <w:r w:rsidRPr="006B4867">
        <w:rPr>
          <w:rFonts w:cstheme="minorHAnsi"/>
          <w:sz w:val="28"/>
          <w:szCs w:val="28"/>
          <w:lang w:val="en-US"/>
        </w:rPr>
        <w:t>Increasing  prevalence of ESBL – producing Enterobacteriaceae in Europe</w:t>
      </w:r>
      <w:r w:rsidRPr="006B4867">
        <w:rPr>
          <w:rFonts w:cstheme="minorHAnsi"/>
          <w:sz w:val="28"/>
          <w:szCs w:val="28"/>
          <w:lang w:val="uk-UA"/>
        </w:rPr>
        <w:t xml:space="preserve"> /</w:t>
      </w:r>
      <w:r w:rsidRPr="006B4867">
        <w:rPr>
          <w:rFonts w:cstheme="minorHAnsi"/>
          <w:sz w:val="28"/>
          <w:szCs w:val="28"/>
          <w:lang w:val="en-US"/>
        </w:rPr>
        <w:t xml:space="preserve">  T. M. Coque</w:t>
      </w:r>
      <w:r w:rsidRPr="006B4867">
        <w:rPr>
          <w:rFonts w:cstheme="minorHAnsi"/>
          <w:sz w:val="28"/>
          <w:szCs w:val="28"/>
          <w:lang w:val="uk-UA"/>
        </w:rPr>
        <w:t>,</w:t>
      </w:r>
      <w:r w:rsidRPr="006B4867">
        <w:rPr>
          <w:rFonts w:cstheme="minorHAnsi"/>
          <w:sz w:val="28"/>
          <w:szCs w:val="28"/>
          <w:lang w:val="en-US"/>
        </w:rPr>
        <w:t xml:space="preserve"> F Baquero, R Canton</w:t>
      </w:r>
      <w:r w:rsidRPr="006B4867">
        <w:rPr>
          <w:rFonts w:cstheme="minorHAnsi"/>
          <w:sz w:val="28"/>
          <w:szCs w:val="28"/>
          <w:lang w:val="uk-UA"/>
        </w:rPr>
        <w:t xml:space="preserve"> //</w:t>
      </w:r>
      <w:r w:rsidRPr="006B4867">
        <w:rPr>
          <w:rFonts w:cstheme="minorHAnsi"/>
          <w:i/>
          <w:sz w:val="28"/>
          <w:szCs w:val="28"/>
          <w:lang w:val="en-US"/>
        </w:rPr>
        <w:t xml:space="preserve"> EUROSURVEILLANCE</w:t>
      </w:r>
      <w:r w:rsidRPr="006B4867">
        <w:rPr>
          <w:rFonts w:cstheme="minorHAnsi"/>
          <w:sz w:val="28"/>
          <w:szCs w:val="28"/>
          <w:lang w:val="en-US"/>
        </w:rPr>
        <w:t>.</w:t>
      </w:r>
      <w:r w:rsidRPr="006B4867">
        <w:rPr>
          <w:rFonts w:cstheme="minorHAnsi"/>
          <w:sz w:val="28"/>
          <w:szCs w:val="28"/>
          <w:lang w:val="uk-UA"/>
        </w:rPr>
        <w:t xml:space="preserve"> –</w:t>
      </w:r>
      <w:r w:rsidRPr="006B4867">
        <w:rPr>
          <w:rFonts w:cstheme="minorHAnsi"/>
          <w:sz w:val="28"/>
          <w:szCs w:val="28"/>
          <w:lang w:val="en-US"/>
        </w:rPr>
        <w:t xml:space="preserve"> </w:t>
      </w:r>
      <w:r w:rsidRPr="006B4867">
        <w:rPr>
          <w:rFonts w:eastAsia="Typestar-Normal" w:cstheme="minorHAnsi"/>
          <w:sz w:val="28"/>
          <w:szCs w:val="28"/>
          <w:lang w:val="en-US"/>
        </w:rPr>
        <w:t>2008</w:t>
      </w:r>
      <w:r w:rsidRPr="006B4867">
        <w:rPr>
          <w:rFonts w:eastAsia="Typestar-Normal" w:cstheme="minorHAnsi"/>
          <w:sz w:val="28"/>
          <w:szCs w:val="28"/>
          <w:lang w:val="uk-UA"/>
        </w:rPr>
        <w:t>.- №13(47). – Р. 1-11.</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lastRenderedPageBreak/>
        <w:t>Tan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TY</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 xml:space="preserve">CTX-M and AmpC Beta-lactamases Contributing to Increased Prevalence of Ceftriaxone-resistant Escherichia coli in Changi General Hospital, Singapore / Tan TY, Ng LS, He J [et al.] // Diagn Microbiol Infect Dis.- 2010.- №13(2).-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210–213</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Tratselas A</w:t>
      </w:r>
      <w:r w:rsidRPr="006B4867">
        <w:rPr>
          <w:rFonts w:ascii="Times New Roman" w:eastAsia="Times New Roman" w:hAnsi="Times New Roman" w:cs="Times New Roman"/>
          <w:color w:val="000000" w:themeColor="text1"/>
          <w:sz w:val="28"/>
          <w:szCs w:val="28"/>
          <w:lang w:val="uk-UA" w:eastAsia="ru-RU"/>
        </w:rPr>
        <w:t>.</w:t>
      </w:r>
      <w:r w:rsidRPr="006B4867">
        <w:rPr>
          <w:rFonts w:ascii="Times New Roman" w:eastAsia="Times New Roman" w:hAnsi="Times New Roman" w:cs="Times New Roman"/>
          <w:bCs/>
          <w:color w:val="000000" w:themeColor="text1"/>
          <w:kern w:val="36"/>
          <w:sz w:val="28"/>
          <w:szCs w:val="28"/>
          <w:lang w:val="en-US" w:eastAsia="ru-RU"/>
        </w:rPr>
        <w:t xml:space="preserve"> Effect of ceftriaxone on the outcome of murine pyelonephritis caused by extended-spectrum-</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-lactamase-producing Escherichia coli</w:t>
      </w:r>
      <w:r w:rsidRPr="006B4867">
        <w:rPr>
          <w:rFonts w:ascii="Times New Roman" w:eastAsia="Times New Roman" w:hAnsi="Times New Roman" w:cs="Times New Roman"/>
          <w:bCs/>
          <w:color w:val="000000" w:themeColor="text1"/>
          <w:kern w:val="36"/>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Tratselas A, Simitsopoulou M, Giannakopoulou A, Dori I, Saoulidis S</w:t>
      </w:r>
      <w:r w:rsidRPr="006B4867">
        <w:rPr>
          <w:rFonts w:ascii="Times New Roman" w:eastAsia="Times New Roman" w:hAnsi="Times New Roman" w:cs="Times New Roman"/>
          <w:color w:val="000000" w:themeColor="text1"/>
          <w:sz w:val="28"/>
          <w:szCs w:val="28"/>
          <w:lang w:val="uk-UA" w:eastAsia="ru-RU"/>
        </w:rPr>
        <w:t xml:space="preserve"> // </w:t>
      </w:r>
      <w:r w:rsidRPr="006B4867">
        <w:rPr>
          <w:rFonts w:ascii="Times New Roman" w:eastAsia="Times New Roman" w:hAnsi="Times New Roman" w:cs="Times New Roman"/>
          <w:color w:val="000000" w:themeColor="text1"/>
          <w:sz w:val="28"/>
          <w:szCs w:val="28"/>
          <w:lang w:val="en-US" w:eastAsia="ru-RU"/>
        </w:rPr>
        <w:t>Antimicrob Agents Chemother</w:t>
      </w:r>
      <w:r w:rsidRPr="006B4867">
        <w:rPr>
          <w:rFonts w:ascii="Times New Roman" w:eastAsia="Times New Roman" w:hAnsi="Times New Roman" w:cs="Times New Roman"/>
          <w:color w:val="000000" w:themeColor="text1"/>
          <w:sz w:val="28"/>
          <w:szCs w:val="28"/>
          <w:lang w:val="uk-UA" w:eastAsia="ru-RU"/>
        </w:rPr>
        <w:t xml:space="preserve"> </w:t>
      </w:r>
      <w:r w:rsidRPr="006B4867">
        <w:rPr>
          <w:rFonts w:ascii="Times New Roman" w:eastAsia="Times New Roman" w:hAnsi="Times New Roman" w:cs="Times New Roman"/>
          <w:color w:val="000000" w:themeColor="text1"/>
          <w:sz w:val="28"/>
          <w:szCs w:val="28"/>
          <w:lang w:val="en-US" w:eastAsia="ru-RU"/>
        </w:rPr>
        <w:t>2014 Dec;58(12):7102-11.</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Tzouvelekis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L</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Carbapenemases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in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Klebsiella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pneumoniae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and</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Other</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Enterobacteriaceae</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Evolving</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Crisis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of</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Global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Dimensions</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Tzouvelekis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L</w:t>
      </w:r>
      <w:r w:rsidRPr="006B4867">
        <w:rPr>
          <w:rFonts w:ascii="Times New Roman" w:eastAsia="Times New Roman" w:hAnsi="Times New Roman" w:cs="Times New Roman"/>
          <w:color w:val="000000"/>
          <w:sz w:val="28"/>
          <w:szCs w:val="28"/>
          <w:lang w:val="uk-UA"/>
        </w:rPr>
        <w:t>.</w:t>
      </w:r>
      <w:r w:rsidRPr="006B4867">
        <w:rPr>
          <w:rFonts w:ascii="Times New Roman" w:eastAsia="Times New Roman" w:hAnsi="Times New Roman" w:cs="Times New Roman"/>
          <w:color w:val="000000"/>
          <w:sz w:val="28"/>
          <w:szCs w:val="28"/>
          <w:lang w:val="en-US"/>
        </w:rPr>
        <w:t>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Markogiannakis</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A</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Psichogiou</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M</w:t>
      </w:r>
      <w:r w:rsidRPr="006B4867">
        <w:rPr>
          <w:rFonts w:ascii="Times New Roman" w:eastAsia="Times New Roman" w:hAnsi="Times New Roman" w:cs="Times New Roman"/>
          <w:color w:val="000000"/>
          <w:sz w:val="28"/>
          <w:szCs w:val="28"/>
          <w:lang w:val="uk-UA"/>
        </w:rPr>
        <w:t xml:space="preserve">. // </w:t>
      </w:r>
      <w:r w:rsidRPr="006B4867">
        <w:rPr>
          <w:rFonts w:ascii="Times New Roman" w:eastAsia="Times New Roman" w:hAnsi="Times New Roman" w:cs="Times New Roman"/>
          <w:color w:val="000000"/>
          <w:sz w:val="28"/>
          <w:szCs w:val="28"/>
          <w:lang w:val="en-US"/>
        </w:rPr>
        <w:t>Clin</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Microbiol</w:t>
      </w:r>
      <w:r w:rsidRPr="006B4867">
        <w:rPr>
          <w:rFonts w:ascii="Times New Roman" w:eastAsia="Times New Roman" w:hAnsi="Times New Roman" w:cs="Times New Roman"/>
          <w:color w:val="000000"/>
          <w:sz w:val="28"/>
          <w:szCs w:val="28"/>
          <w:lang w:val="uk-UA"/>
        </w:rPr>
        <w:t xml:space="preserve"> </w:t>
      </w:r>
      <w:r w:rsidRPr="006B4867">
        <w:rPr>
          <w:rFonts w:ascii="Times New Roman" w:eastAsia="Times New Roman" w:hAnsi="Times New Roman" w:cs="Times New Roman"/>
          <w:color w:val="000000"/>
          <w:sz w:val="28"/>
          <w:szCs w:val="28"/>
          <w:lang w:val="en-US"/>
        </w:rPr>
        <w:t>Rev</w:t>
      </w:r>
      <w:r w:rsidRPr="006B4867">
        <w:rPr>
          <w:rFonts w:ascii="Times New Roman" w:eastAsia="Times New Roman" w:hAnsi="Times New Roman" w:cs="Times New Roman"/>
          <w:color w:val="000000"/>
          <w:sz w:val="28"/>
          <w:szCs w:val="28"/>
          <w:lang w:val="uk-UA"/>
        </w:rPr>
        <w:t xml:space="preserve">.- 2012.- </w:t>
      </w:r>
      <w:r w:rsidRPr="006B4867">
        <w:rPr>
          <w:rFonts w:ascii="Times New Roman" w:eastAsia="Times New Roman" w:hAnsi="Times New Roman" w:cs="Times New Roman"/>
          <w:color w:val="000000"/>
          <w:sz w:val="28"/>
          <w:szCs w:val="28"/>
          <w:lang w:val="en-US"/>
        </w:rPr>
        <w:t xml:space="preserve">№25(4).-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682–707</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 xml:space="preserve">Valenza G, Nickel S, Pfeifer Y, et al / </w:t>
      </w:r>
      <w:r w:rsidRPr="006B4867">
        <w:rPr>
          <w:rFonts w:ascii="Times New Roman" w:eastAsia="Times New Roman" w:hAnsi="Times New Roman" w:cs="Times New Roman"/>
          <w:bCs/>
          <w:color w:val="000000" w:themeColor="text1"/>
          <w:kern w:val="36"/>
          <w:sz w:val="28"/>
          <w:szCs w:val="28"/>
          <w:lang w:val="en-US" w:eastAsia="ru-RU"/>
        </w:rPr>
        <w:t>Extended-spectrum-</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-lactamase-producing Escherichia coli as intestinal colonizers in the German community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 xml:space="preserve">/ Antimicrob Agents Chemother. </w:t>
      </w:r>
      <w:r w:rsidRPr="006B4867">
        <w:rPr>
          <w:rFonts w:ascii="Times New Roman" w:eastAsia="Times New Roman" w:hAnsi="Times New Roman" w:cs="Times New Roman"/>
          <w:color w:val="000000" w:themeColor="text1"/>
          <w:sz w:val="28"/>
          <w:szCs w:val="28"/>
          <w:lang w:val="en-US" w:eastAsia="ru-RU"/>
        </w:rPr>
        <w:t>2014;58(2):1228-30.</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themeColor="text1"/>
          <w:sz w:val="28"/>
          <w:szCs w:val="28"/>
          <w:lang w:val="en-US" w:eastAsia="ru-RU"/>
        </w:rPr>
        <w:t xml:space="preserve">Valenza G, Nickel S, Pfeifer Y, et al / </w:t>
      </w:r>
      <w:r w:rsidRPr="006B4867">
        <w:rPr>
          <w:rFonts w:ascii="Times New Roman" w:eastAsia="Times New Roman" w:hAnsi="Times New Roman" w:cs="Times New Roman"/>
          <w:bCs/>
          <w:color w:val="000000" w:themeColor="text1"/>
          <w:kern w:val="36"/>
          <w:sz w:val="28"/>
          <w:szCs w:val="28"/>
          <w:lang w:val="en-US" w:eastAsia="ru-RU"/>
        </w:rPr>
        <w:t>Extended-spectrum-</w:t>
      </w:r>
      <w:r w:rsidRPr="006B4867">
        <w:rPr>
          <w:rFonts w:ascii="Times New Roman" w:eastAsia="Times New Roman" w:hAnsi="Times New Roman" w:cs="Times New Roman"/>
          <w:bCs/>
          <w:color w:val="000000" w:themeColor="text1"/>
          <w:kern w:val="36"/>
          <w:sz w:val="28"/>
          <w:szCs w:val="28"/>
          <w:lang w:eastAsia="ru-RU"/>
        </w:rPr>
        <w:t>β</w:t>
      </w:r>
      <w:r w:rsidRPr="006B4867">
        <w:rPr>
          <w:rFonts w:ascii="Times New Roman" w:eastAsia="Times New Roman" w:hAnsi="Times New Roman" w:cs="Times New Roman"/>
          <w:bCs/>
          <w:color w:val="000000" w:themeColor="text1"/>
          <w:kern w:val="36"/>
          <w:sz w:val="28"/>
          <w:szCs w:val="28"/>
          <w:lang w:val="en-US" w:eastAsia="ru-RU"/>
        </w:rPr>
        <w:t>-lactamase-producing Escherichia coli as intestinal colonizers in the German community</w:t>
      </w:r>
      <w:r w:rsidRPr="006B4867">
        <w:rPr>
          <w:rFonts w:ascii="Times New Roman" w:eastAsia="Times New Roman" w:hAnsi="Times New Roman" w:cs="Times New Roman"/>
          <w:bCs/>
          <w:color w:val="000000" w:themeColor="text1"/>
          <w:kern w:val="36"/>
          <w:sz w:val="28"/>
          <w:szCs w:val="28"/>
          <w:lang w:val="uk-UA" w:eastAsia="ru-RU"/>
        </w:rPr>
        <w:t xml:space="preserve"> </w:t>
      </w:r>
      <w:r w:rsidRPr="006B4867">
        <w:rPr>
          <w:rFonts w:ascii="Times New Roman" w:eastAsia="Times New Roman" w:hAnsi="Times New Roman" w:cs="Times New Roman"/>
          <w:bCs/>
          <w:color w:val="000000" w:themeColor="text1"/>
          <w:kern w:val="36"/>
          <w:sz w:val="28"/>
          <w:szCs w:val="28"/>
          <w:lang w:val="en-US" w:eastAsia="ru-RU"/>
        </w:rPr>
        <w:t xml:space="preserve">/ Antimicrob Agents Chemother. </w:t>
      </w:r>
      <w:r w:rsidRPr="006B4867">
        <w:rPr>
          <w:rFonts w:ascii="Times New Roman" w:eastAsia="Times New Roman" w:hAnsi="Times New Roman" w:cs="Times New Roman"/>
          <w:color w:val="000000" w:themeColor="text1"/>
          <w:sz w:val="28"/>
          <w:szCs w:val="28"/>
          <w:lang w:val="en-US" w:eastAsia="ru-RU"/>
        </w:rPr>
        <w:t>2014;58(2):1228-30. doi: 10.1128/AAC.01993-13. Epub 2013 Dec 2.</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eastAsia="Times New Roman" w:hAnsi="Times New Roman" w:cs="Times New Roman"/>
          <w:color w:val="000000"/>
          <w:sz w:val="28"/>
          <w:szCs w:val="28"/>
          <w:lang w:val="en-US"/>
        </w:rPr>
        <w:t xml:space="preserve">Veldman K. International collaborative study on the occurrence of plasmid-mediated quinolone resistance in Salmonella enterica and Escherichia coli isolated from animals, humans, food and the environment in 13 European countries / Veldman K, Cavaco LM, Mevius D [et al.] // J Antimicrob Chemother.- 2011.- № 66(6).- </w:t>
      </w:r>
      <w:r w:rsidRPr="006B4867">
        <w:rPr>
          <w:rFonts w:ascii="Times New Roman" w:eastAsia="Times New Roman" w:hAnsi="Times New Roman" w:cs="Times New Roman"/>
          <w:color w:val="000000"/>
          <w:sz w:val="28"/>
          <w:szCs w:val="28"/>
        </w:rPr>
        <w:t>Р</w:t>
      </w:r>
      <w:r w:rsidRPr="006B4867">
        <w:rPr>
          <w:rFonts w:ascii="Times New Roman" w:eastAsia="Times New Roman" w:hAnsi="Times New Roman" w:cs="Times New Roman"/>
          <w:color w:val="000000"/>
          <w:sz w:val="28"/>
          <w:szCs w:val="28"/>
          <w:lang w:val="en-US"/>
        </w:rPr>
        <w:t>. 1278-1286</w:t>
      </w:r>
      <w:r w:rsidRPr="006B4867">
        <w:rPr>
          <w:rFonts w:ascii="Times New Roman" w:eastAsia="Times New Roman" w:hAnsi="Times New Roman" w:cs="Times New Roman"/>
          <w:color w:val="000000"/>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Vellinga A. A multilevel analysis of trimethoprim and ciprofloxacin prescribing and resistance of uropathogenic </w:t>
      </w:r>
      <w:r w:rsidRPr="006B4867">
        <w:rPr>
          <w:rFonts w:cstheme="minorHAnsi"/>
          <w:iCs/>
          <w:sz w:val="28"/>
          <w:szCs w:val="28"/>
          <w:lang w:val="en-US"/>
        </w:rPr>
        <w:t xml:space="preserve">Escherichia coli </w:t>
      </w:r>
      <w:r w:rsidRPr="006B4867">
        <w:rPr>
          <w:rFonts w:cstheme="minorHAnsi"/>
          <w:sz w:val="28"/>
          <w:szCs w:val="28"/>
          <w:lang w:val="en-US"/>
        </w:rPr>
        <w:t xml:space="preserve">in general practice / A. Vellinga, A. W. Murphy, B. Hanahoe </w:t>
      </w:r>
      <w:r w:rsidRPr="006B4867">
        <w:rPr>
          <w:rFonts w:cstheme="minorHAnsi"/>
          <w:color w:val="000000" w:themeColor="text1"/>
          <w:sz w:val="28"/>
          <w:szCs w:val="28"/>
          <w:lang w:val="en-US"/>
        </w:rPr>
        <w:t>[et al] //</w:t>
      </w:r>
      <w:r w:rsidRPr="006B4867">
        <w:rPr>
          <w:rFonts w:cstheme="minorHAnsi"/>
          <w:sz w:val="28"/>
          <w:szCs w:val="28"/>
          <w:lang w:val="en-US"/>
        </w:rPr>
        <w:t xml:space="preserve"> </w:t>
      </w:r>
      <w:r w:rsidRPr="006B4867">
        <w:rPr>
          <w:rFonts w:cstheme="minorHAnsi"/>
          <w:iCs/>
          <w:sz w:val="28"/>
          <w:szCs w:val="28"/>
          <w:lang w:val="en-US"/>
        </w:rPr>
        <w:t>Journal of Antimicrobial</w:t>
      </w:r>
      <w:r w:rsidRPr="006B4867">
        <w:rPr>
          <w:rFonts w:cstheme="minorHAnsi"/>
          <w:sz w:val="28"/>
          <w:szCs w:val="28"/>
          <w:lang w:val="en-US"/>
        </w:rPr>
        <w:t xml:space="preserve"> </w:t>
      </w:r>
      <w:r w:rsidRPr="006B4867">
        <w:rPr>
          <w:rFonts w:cstheme="minorHAnsi"/>
          <w:iCs/>
          <w:sz w:val="28"/>
          <w:szCs w:val="28"/>
          <w:lang w:val="en-US"/>
        </w:rPr>
        <w:t>Chemotherapy</w:t>
      </w:r>
      <w:r w:rsidRPr="006B4867">
        <w:rPr>
          <w:rFonts w:cstheme="minorHAnsi"/>
          <w:sz w:val="28"/>
          <w:szCs w:val="28"/>
          <w:lang w:val="en-US"/>
        </w:rPr>
        <w:t xml:space="preserve">. - 2010. - №7. - </w:t>
      </w:r>
      <w:r w:rsidRPr="006B4867">
        <w:rPr>
          <w:rFonts w:cstheme="minorHAnsi"/>
          <w:sz w:val="28"/>
          <w:szCs w:val="28"/>
        </w:rPr>
        <w:t>Р</w:t>
      </w:r>
      <w:r w:rsidRPr="006B4867">
        <w:rPr>
          <w:rFonts w:cstheme="minorHAnsi"/>
          <w:sz w:val="28"/>
          <w:szCs w:val="28"/>
          <w:lang w:val="en-US"/>
        </w:rPr>
        <w:t>. 1514–1520</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bCs/>
          <w:iCs/>
          <w:color w:val="000000"/>
          <w:sz w:val="28"/>
          <w:szCs w:val="28"/>
          <w:shd w:val="clear" w:color="auto" w:fill="FFFFFF"/>
          <w:lang w:val="en-US"/>
        </w:rPr>
        <w:t>Verónica Seija</w:t>
      </w:r>
      <w:r w:rsidRPr="006B4867">
        <w:rPr>
          <w:rFonts w:eastAsia="Times New Roman" w:cstheme="minorHAnsi"/>
          <w:color w:val="000000"/>
          <w:sz w:val="28"/>
          <w:szCs w:val="28"/>
          <w:lang w:val="en-US" w:eastAsia="ru-RU"/>
        </w:rPr>
        <w:t>.</w:t>
      </w:r>
      <w:r w:rsidRPr="006B4867">
        <w:rPr>
          <w:rFonts w:eastAsia="Times New Roman" w:cstheme="minorHAnsi"/>
          <w:bCs/>
          <w:color w:val="000000"/>
          <w:kern w:val="36"/>
          <w:sz w:val="28"/>
          <w:szCs w:val="28"/>
          <w:lang w:val="en-US" w:eastAsia="ru-RU"/>
        </w:rPr>
        <w:t>Risk factors for community-acquired urinary tract infection caused by fluoroquinolone resistant E. coli</w:t>
      </w:r>
      <w:r w:rsidRPr="006B4867">
        <w:rPr>
          <w:rFonts w:eastAsia="Times New Roman" w:cstheme="minorHAnsi"/>
          <w:bCs/>
          <w:color w:val="000000"/>
          <w:kern w:val="36"/>
          <w:sz w:val="28"/>
          <w:szCs w:val="28"/>
          <w:lang w:val="uk-UA" w:eastAsia="ru-RU"/>
        </w:rPr>
        <w:t xml:space="preserve"> /</w:t>
      </w:r>
      <w:r w:rsidRPr="006B4867">
        <w:rPr>
          <w:rFonts w:cstheme="minorHAnsi"/>
          <w:b/>
          <w:bCs/>
          <w:iCs/>
          <w:color w:val="000000"/>
          <w:sz w:val="28"/>
          <w:szCs w:val="28"/>
          <w:shd w:val="clear" w:color="auto" w:fill="FFFFFF"/>
          <w:lang w:val="en-US"/>
        </w:rPr>
        <w:t xml:space="preserve"> </w:t>
      </w:r>
      <w:r w:rsidRPr="006B4867">
        <w:rPr>
          <w:rFonts w:cstheme="minorHAnsi"/>
          <w:bCs/>
          <w:iCs/>
          <w:color w:val="000000"/>
          <w:sz w:val="28"/>
          <w:szCs w:val="28"/>
          <w:shd w:val="clear" w:color="auto" w:fill="FFFFFF"/>
          <w:lang w:val="en-US"/>
        </w:rPr>
        <w:t>Verónica Seija</w:t>
      </w:r>
      <w:r w:rsidRPr="006B4867">
        <w:rPr>
          <w:rFonts w:cstheme="minorHAnsi"/>
          <w:bCs/>
          <w:iCs/>
          <w:color w:val="000000"/>
          <w:sz w:val="28"/>
          <w:szCs w:val="28"/>
          <w:shd w:val="clear" w:color="auto" w:fill="FFFFFF"/>
          <w:lang w:val="uk-UA"/>
        </w:rPr>
        <w:t>,</w:t>
      </w:r>
      <w:r w:rsidRPr="006B4867">
        <w:rPr>
          <w:rFonts w:cstheme="minorHAnsi"/>
          <w:bCs/>
          <w:iCs/>
          <w:color w:val="000000"/>
          <w:sz w:val="28"/>
          <w:szCs w:val="28"/>
          <w:shd w:val="clear" w:color="auto" w:fill="FFFFFF"/>
          <w:lang w:val="en-US"/>
        </w:rPr>
        <w:t xml:space="preserve"> </w:t>
      </w:r>
      <w:r w:rsidRPr="006B4867">
        <w:rPr>
          <w:rFonts w:cstheme="minorHAnsi"/>
          <w:bCs/>
          <w:iCs/>
          <w:color w:val="000000"/>
          <w:sz w:val="28"/>
          <w:szCs w:val="28"/>
          <w:shd w:val="clear" w:color="auto" w:fill="FFFFFF"/>
          <w:lang w:val="en-US"/>
        </w:rPr>
        <w:lastRenderedPageBreak/>
        <w:t>Victoria Frantchez, Verónica Ventura, Marcos Pintos y Mariana González</w:t>
      </w:r>
      <w:r w:rsidRPr="006B4867">
        <w:rPr>
          <w:rFonts w:cstheme="minorHAnsi"/>
          <w:b/>
          <w:bCs/>
          <w:iCs/>
          <w:color w:val="000000"/>
          <w:sz w:val="28"/>
          <w:szCs w:val="28"/>
          <w:shd w:val="clear" w:color="auto" w:fill="FFFFFF"/>
          <w:lang w:val="uk-UA"/>
        </w:rPr>
        <w:t xml:space="preserve"> // </w:t>
      </w:r>
      <w:r w:rsidRPr="006B4867">
        <w:rPr>
          <w:rFonts w:eastAsia="Times New Roman" w:cstheme="minorHAnsi"/>
          <w:sz w:val="28"/>
          <w:szCs w:val="28"/>
          <w:lang w:val="en-US" w:eastAsia="ru-RU"/>
        </w:rPr>
        <w:t>Rev Chilena Infectol.</w:t>
      </w:r>
      <w:r w:rsidRPr="006B4867">
        <w:rPr>
          <w:rFonts w:eastAsia="Times New Roman" w:cstheme="minorHAnsi"/>
          <w:sz w:val="28"/>
          <w:szCs w:val="28"/>
          <w:lang w:val="uk-UA" w:eastAsia="ru-RU"/>
        </w:rPr>
        <w:t xml:space="preserve"> –</w:t>
      </w:r>
      <w:r w:rsidRPr="006B4867">
        <w:rPr>
          <w:rFonts w:eastAsia="Times New Roman" w:cstheme="minorHAnsi"/>
          <w:sz w:val="28"/>
          <w:szCs w:val="28"/>
          <w:lang w:val="en-US" w:eastAsia="ru-RU"/>
        </w:rPr>
        <w:t> </w:t>
      </w:r>
      <w:r w:rsidRPr="006B4867">
        <w:rPr>
          <w:rFonts w:eastAsia="Times New Roman" w:cstheme="minorHAnsi"/>
          <w:sz w:val="28"/>
          <w:szCs w:val="28"/>
          <w:lang w:val="uk-UA" w:eastAsia="ru-RU"/>
        </w:rPr>
        <w:t xml:space="preserve"> </w:t>
      </w:r>
      <w:r w:rsidRPr="006B4867">
        <w:rPr>
          <w:rFonts w:eastAsia="Times New Roman" w:cstheme="minorHAnsi"/>
          <w:color w:val="000000"/>
          <w:sz w:val="28"/>
          <w:szCs w:val="28"/>
          <w:lang w:val="en-US" w:eastAsia="ru-RU"/>
        </w:rPr>
        <w:t>2014</w:t>
      </w:r>
      <w:r w:rsidRPr="006B4867">
        <w:rPr>
          <w:rFonts w:eastAsia="Times New Roman" w:cstheme="minorHAnsi"/>
          <w:color w:val="000000"/>
          <w:sz w:val="28"/>
          <w:szCs w:val="28"/>
          <w:lang w:val="uk-UA" w:eastAsia="ru-RU"/>
        </w:rPr>
        <w:t>. –</w:t>
      </w:r>
      <w:r w:rsidRPr="006B4867">
        <w:rPr>
          <w:rFonts w:eastAsia="Times New Roman" w:cstheme="minorHAnsi"/>
          <w:color w:val="000000"/>
          <w:sz w:val="28"/>
          <w:szCs w:val="28"/>
          <w:lang w:val="en-US" w:eastAsia="ru-RU"/>
        </w:rPr>
        <w:t xml:space="preserve"> Aug;</w:t>
      </w:r>
      <w:r w:rsidRPr="006B4867">
        <w:rPr>
          <w:rFonts w:eastAsia="Times New Roman" w:cstheme="minorHAnsi"/>
          <w:color w:val="000000"/>
          <w:sz w:val="28"/>
          <w:szCs w:val="28"/>
          <w:lang w:val="uk-UA" w:eastAsia="ru-RU"/>
        </w:rPr>
        <w:t>№</w:t>
      </w:r>
      <w:r w:rsidRPr="006B4867">
        <w:rPr>
          <w:rFonts w:eastAsia="Times New Roman" w:cstheme="minorHAnsi"/>
          <w:color w:val="000000"/>
          <w:sz w:val="28"/>
          <w:szCs w:val="28"/>
          <w:lang w:val="en-US" w:eastAsia="ru-RU"/>
        </w:rPr>
        <w:t>31(4)</w:t>
      </w:r>
      <w:r w:rsidRPr="006B4867">
        <w:rPr>
          <w:rFonts w:eastAsia="Times New Roman" w:cstheme="minorHAnsi"/>
          <w:color w:val="000000"/>
          <w:sz w:val="28"/>
          <w:szCs w:val="28"/>
          <w:lang w:val="uk-UA" w:eastAsia="ru-RU"/>
        </w:rPr>
        <w:t>. – Р.</w:t>
      </w:r>
      <w:r w:rsidRPr="006B4867">
        <w:rPr>
          <w:rFonts w:eastAsia="Times New Roman" w:cstheme="minorHAnsi"/>
          <w:color w:val="000000"/>
          <w:sz w:val="28"/>
          <w:szCs w:val="28"/>
          <w:lang w:val="en-US" w:eastAsia="ru-RU"/>
        </w:rPr>
        <w:t>400-</w:t>
      </w:r>
      <w:r w:rsidRPr="006B4867">
        <w:rPr>
          <w:rFonts w:eastAsia="Times New Roman" w:cstheme="minorHAnsi"/>
          <w:color w:val="000000"/>
          <w:sz w:val="28"/>
          <w:szCs w:val="28"/>
          <w:lang w:val="uk-UA" w:eastAsia="ru-RU"/>
        </w:rPr>
        <w:t>40</w:t>
      </w:r>
      <w:r w:rsidRPr="006B4867">
        <w:rPr>
          <w:rFonts w:eastAsia="Times New Roman" w:cstheme="minorHAnsi"/>
          <w:color w:val="000000"/>
          <w:sz w:val="28"/>
          <w:szCs w:val="28"/>
          <w:lang w:val="en-US" w:eastAsia="ru-RU"/>
        </w:rPr>
        <w:t xml:space="preserve">5. </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Vetting M. W. Mechanistic and structural analysis of aminoglycoside N-acetyltransferase AAC(6</w:t>
      </w:r>
      <w:r w:rsidRPr="006B4867">
        <w:rPr>
          <w:rFonts w:eastAsia="LucidaNewMath-Symbol" w:cstheme="minorHAnsi"/>
          <w:iCs/>
          <w:sz w:val="28"/>
          <w:szCs w:val="28"/>
          <w:lang w:val="en-US"/>
        </w:rPr>
        <w:t>_</w:t>
      </w:r>
      <w:r w:rsidRPr="006B4867">
        <w:rPr>
          <w:rFonts w:cstheme="minorHAnsi"/>
          <w:sz w:val="28"/>
          <w:szCs w:val="28"/>
          <w:lang w:val="en-US"/>
        </w:rPr>
        <w:t>)-Ib and its bifunctional, fluoroquinolone-active AAC(6</w:t>
      </w:r>
      <w:r w:rsidRPr="006B4867">
        <w:rPr>
          <w:rFonts w:eastAsia="LucidaNewMath-Symbol" w:cstheme="minorHAnsi"/>
          <w:iCs/>
          <w:sz w:val="28"/>
          <w:szCs w:val="28"/>
          <w:lang w:val="en-US"/>
        </w:rPr>
        <w:t>_</w:t>
      </w:r>
      <w:r w:rsidRPr="006B4867">
        <w:rPr>
          <w:rFonts w:cstheme="minorHAnsi"/>
          <w:sz w:val="28"/>
          <w:szCs w:val="28"/>
          <w:lang w:val="en-US"/>
        </w:rPr>
        <w:t xml:space="preserve">)-Ib-cr variant /  M. W. Vetting, H. P. Chi, S. S. Hegde [et al] // </w:t>
      </w:r>
      <w:r w:rsidRPr="006B4867">
        <w:rPr>
          <w:rFonts w:cstheme="minorHAnsi"/>
          <w:iCs/>
          <w:sz w:val="28"/>
          <w:szCs w:val="28"/>
          <w:lang w:val="en-US"/>
        </w:rPr>
        <w:t>Biochemistry</w:t>
      </w:r>
      <w:r w:rsidRPr="006B4867">
        <w:rPr>
          <w:rFonts w:cstheme="minorHAnsi"/>
          <w:sz w:val="28"/>
          <w:szCs w:val="28"/>
          <w:lang w:val="en-US"/>
        </w:rPr>
        <w:t xml:space="preserve">.- 2008.- №37.- </w:t>
      </w:r>
      <w:r w:rsidRPr="006B4867">
        <w:rPr>
          <w:rFonts w:cstheme="minorHAnsi"/>
          <w:sz w:val="28"/>
          <w:szCs w:val="28"/>
        </w:rPr>
        <w:t>Р</w:t>
      </w:r>
      <w:r w:rsidRPr="006B4867">
        <w:rPr>
          <w:rFonts w:cstheme="minorHAnsi"/>
          <w:sz w:val="28"/>
          <w:szCs w:val="28"/>
          <w:lang w:val="en-US"/>
        </w:rPr>
        <w:t>. 9825–9835</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sz w:val="28"/>
          <w:szCs w:val="28"/>
          <w:lang w:val="en-US"/>
        </w:rPr>
        <w:t xml:space="preserve">W. E. van der Starre. Risk factors for fluoroquinolone-resistant </w:t>
      </w:r>
      <w:r w:rsidRPr="006B4867">
        <w:rPr>
          <w:rFonts w:cstheme="minorHAnsi"/>
          <w:i/>
          <w:iCs/>
          <w:sz w:val="28"/>
          <w:szCs w:val="28"/>
          <w:lang w:val="en-US"/>
        </w:rPr>
        <w:t xml:space="preserve">Escherichia coli </w:t>
      </w:r>
      <w:r w:rsidRPr="006B4867">
        <w:rPr>
          <w:rFonts w:cstheme="minorHAnsi"/>
          <w:sz w:val="28"/>
          <w:szCs w:val="28"/>
          <w:lang w:val="en-US"/>
        </w:rPr>
        <w:t xml:space="preserve">in adults with community-onset febrile urinary tract infection / W. E. van der Starre, C. van Nieuwkoop, S. Paltansing </w:t>
      </w:r>
      <w:r w:rsidRPr="006B4867">
        <w:rPr>
          <w:rFonts w:cstheme="minorHAnsi"/>
          <w:color w:val="000000" w:themeColor="text1"/>
          <w:sz w:val="28"/>
          <w:szCs w:val="28"/>
          <w:lang w:val="en-US"/>
        </w:rPr>
        <w:t>[et al] //</w:t>
      </w:r>
      <w:r w:rsidRPr="006B4867">
        <w:rPr>
          <w:rFonts w:cstheme="minorHAnsi"/>
          <w:sz w:val="28"/>
          <w:szCs w:val="28"/>
          <w:lang w:val="en-US"/>
        </w:rPr>
        <w:t xml:space="preserve"> </w:t>
      </w:r>
      <w:r w:rsidRPr="006B4867">
        <w:rPr>
          <w:rFonts w:cstheme="minorHAnsi"/>
          <w:iCs/>
          <w:sz w:val="28"/>
          <w:szCs w:val="28"/>
          <w:lang w:val="en-US"/>
        </w:rPr>
        <w:t>Journal of Antimicrobial Chemotherapy</w:t>
      </w:r>
      <w:r w:rsidRPr="006B4867">
        <w:rPr>
          <w:rFonts w:cstheme="minorHAnsi"/>
          <w:sz w:val="28"/>
          <w:szCs w:val="28"/>
          <w:lang w:val="en-US"/>
        </w:rPr>
        <w:t xml:space="preserve">. – 2011. - №3. – </w:t>
      </w:r>
      <w:r w:rsidRPr="006B4867">
        <w:rPr>
          <w:rFonts w:cstheme="minorHAnsi"/>
          <w:sz w:val="28"/>
          <w:szCs w:val="28"/>
        </w:rPr>
        <w:t>Р</w:t>
      </w:r>
      <w:r w:rsidRPr="006B4867">
        <w:rPr>
          <w:rFonts w:cstheme="minorHAnsi"/>
          <w:sz w:val="28"/>
          <w:szCs w:val="28"/>
          <w:lang w:val="en-US"/>
        </w:rPr>
        <w:t>. 650–656</w:t>
      </w:r>
      <w:r w:rsidRPr="006B4867">
        <w:rPr>
          <w:rFonts w:cstheme="minorHAnsi"/>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ascii="Times New Roman" w:hAnsi="Times New Roman" w:cs="Times New Roman"/>
          <w:sz w:val="28"/>
          <w:szCs w:val="28"/>
          <w:lang w:val="en-US"/>
        </w:rPr>
        <w:t>Wailan</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AM</w:t>
      </w:r>
      <w:r w:rsidRPr="006B4867">
        <w:rPr>
          <w:rFonts w:ascii="Times New Roman" w:hAnsi="Times New Roman" w:cs="Times New Roman"/>
          <w:sz w:val="28"/>
          <w:szCs w:val="28"/>
          <w:lang w:val="uk-UA"/>
        </w:rPr>
        <w:t xml:space="preserve">. </w:t>
      </w:r>
      <w:r w:rsidRPr="006B4867">
        <w:rPr>
          <w:rFonts w:ascii="Times New Roman" w:hAnsi="Times New Roman" w:cs="Times New Roman"/>
          <w:sz w:val="28"/>
          <w:szCs w:val="28"/>
          <w:lang w:val="en-US"/>
        </w:rPr>
        <w:t xml:space="preserve">The spread and acquisition of NDM-1: a multifactorial problem / Wailan AM, Paterson DL // Expert Rev Anti Infect Ther.- 2014.- № 12(1).- </w:t>
      </w:r>
      <w:r w:rsidRPr="006B4867">
        <w:rPr>
          <w:rFonts w:ascii="Times New Roman" w:hAnsi="Times New Roman" w:cs="Times New Roman"/>
          <w:sz w:val="28"/>
          <w:szCs w:val="28"/>
        </w:rPr>
        <w:t>Р</w:t>
      </w:r>
      <w:r w:rsidRPr="006B4867">
        <w:rPr>
          <w:rFonts w:ascii="Times New Roman" w:hAnsi="Times New Roman" w:cs="Times New Roman"/>
          <w:sz w:val="28"/>
          <w:szCs w:val="28"/>
          <w:lang w:val="en-US"/>
        </w:rPr>
        <w:t>. 91-115</w:t>
      </w:r>
      <w:r w:rsidRPr="006B4867">
        <w:rPr>
          <w:rFonts w:ascii="Times New Roman" w:hAnsi="Times New Roman" w:cs="Times New Roman"/>
          <w:sz w:val="28"/>
          <w:szCs w:val="28"/>
          <w:lang w:val="uk-UA"/>
        </w:rPr>
        <w:t>.</w:t>
      </w:r>
    </w:p>
    <w:p w:rsidR="006B4867" w:rsidRPr="006B4867" w:rsidRDefault="006B4867" w:rsidP="006B4867">
      <w:pPr>
        <w:numPr>
          <w:ilvl w:val="0"/>
          <w:numId w:val="19"/>
        </w:numPr>
        <w:spacing w:line="360" w:lineRule="auto"/>
        <w:contextualSpacing/>
        <w:jc w:val="both"/>
        <w:rPr>
          <w:sz w:val="28"/>
          <w:szCs w:val="28"/>
          <w:lang w:val="uk-UA"/>
        </w:rPr>
      </w:pPr>
      <w:r w:rsidRPr="006B4867">
        <w:rPr>
          <w:rFonts w:cstheme="minorHAnsi"/>
          <w:color w:val="000000" w:themeColor="text1"/>
          <w:sz w:val="28"/>
          <w:szCs w:val="28"/>
          <w:lang w:val="en-US"/>
        </w:rPr>
        <w:t>Yavuz</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B</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Determination</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of CTX</w:t>
      </w:r>
      <w:r w:rsidRPr="006B4867">
        <w:rPr>
          <w:rFonts w:cstheme="minorHAnsi"/>
          <w:color w:val="000000" w:themeColor="text1"/>
          <w:sz w:val="28"/>
          <w:szCs w:val="28"/>
          <w:lang w:val="uk-UA"/>
        </w:rPr>
        <w:t>-</w:t>
      </w:r>
      <w:r w:rsidRPr="006B4867">
        <w:rPr>
          <w:rFonts w:cstheme="minorHAnsi"/>
          <w:color w:val="000000" w:themeColor="text1"/>
          <w:sz w:val="28"/>
          <w:szCs w:val="28"/>
          <w:lang w:val="en-US"/>
        </w:rPr>
        <w:t>M beta</w:t>
      </w:r>
      <w:r w:rsidRPr="006B4867">
        <w:rPr>
          <w:rFonts w:cstheme="minorHAnsi"/>
          <w:color w:val="000000" w:themeColor="text1"/>
          <w:sz w:val="28"/>
          <w:szCs w:val="28"/>
          <w:lang w:val="uk-UA"/>
        </w:rPr>
        <w:t>-</w:t>
      </w:r>
      <w:r w:rsidRPr="006B4867">
        <w:rPr>
          <w:rFonts w:cstheme="minorHAnsi"/>
          <w:color w:val="000000" w:themeColor="text1"/>
          <w:sz w:val="28"/>
          <w:szCs w:val="28"/>
          <w:lang w:val="en-US"/>
        </w:rPr>
        <w:t>lactamase in</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Escherichia</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coli</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strains</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isolated</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from</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clinical</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samples</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Yavuz</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B</w:t>
      </w:r>
      <w:r w:rsidRPr="006B4867">
        <w:rPr>
          <w:rFonts w:cstheme="minorHAnsi"/>
          <w:color w:val="000000" w:themeColor="text1"/>
          <w:sz w:val="28"/>
          <w:szCs w:val="28"/>
          <w:lang w:val="uk-UA"/>
        </w:rPr>
        <w:t>,</w:t>
      </w:r>
      <w:r w:rsidRPr="006B4867">
        <w:rPr>
          <w:rFonts w:cstheme="minorHAnsi"/>
          <w:color w:val="000000" w:themeColor="text1"/>
          <w:sz w:val="28"/>
          <w:szCs w:val="28"/>
          <w:lang w:val="en-US"/>
        </w:rPr>
        <w:t> Ozer</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B</w:t>
      </w:r>
      <w:r w:rsidRPr="006B4867">
        <w:rPr>
          <w:rFonts w:cstheme="minorHAnsi"/>
          <w:color w:val="000000" w:themeColor="text1"/>
          <w:sz w:val="28"/>
          <w:szCs w:val="28"/>
          <w:lang w:val="uk-UA"/>
        </w:rPr>
        <w:t>,</w:t>
      </w:r>
      <w:r w:rsidRPr="006B4867">
        <w:rPr>
          <w:rFonts w:cstheme="minorHAnsi"/>
          <w:color w:val="000000" w:themeColor="text1"/>
          <w:sz w:val="28"/>
          <w:szCs w:val="28"/>
          <w:lang w:val="en-US"/>
        </w:rPr>
        <w:t> Inci</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M</w:t>
      </w:r>
      <w:r w:rsidRPr="006B4867">
        <w:rPr>
          <w:rFonts w:cstheme="minorHAnsi"/>
          <w:color w:val="000000" w:themeColor="text1"/>
          <w:sz w:val="28"/>
          <w:szCs w:val="28"/>
          <w:lang w:val="uk-UA"/>
        </w:rPr>
        <w:t>,</w:t>
      </w:r>
      <w:r w:rsidRPr="006B4867">
        <w:rPr>
          <w:rFonts w:cstheme="minorHAnsi"/>
          <w:color w:val="000000" w:themeColor="text1"/>
          <w:sz w:val="28"/>
          <w:szCs w:val="28"/>
          <w:lang w:val="en-US"/>
        </w:rPr>
        <w:t> Duran</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N</w:t>
      </w:r>
      <w:r w:rsidRPr="006B4867">
        <w:rPr>
          <w:rFonts w:cstheme="minorHAnsi"/>
          <w:color w:val="000000" w:themeColor="text1"/>
          <w:sz w:val="28"/>
          <w:szCs w:val="28"/>
          <w:lang w:val="uk-UA"/>
        </w:rPr>
        <w:t xml:space="preserve"> // </w:t>
      </w:r>
      <w:r w:rsidRPr="006B4867">
        <w:rPr>
          <w:rFonts w:cstheme="minorHAnsi"/>
          <w:color w:val="000000" w:themeColor="text1"/>
          <w:sz w:val="28"/>
          <w:szCs w:val="28"/>
          <w:lang w:val="en-US"/>
        </w:rPr>
        <w:t>Infez</w:t>
      </w:r>
      <w:r w:rsidRPr="006B4867">
        <w:rPr>
          <w:rFonts w:cstheme="minorHAnsi"/>
          <w:color w:val="000000" w:themeColor="text1"/>
          <w:sz w:val="28"/>
          <w:szCs w:val="28"/>
          <w:lang w:val="uk-UA"/>
        </w:rPr>
        <w:t xml:space="preserve"> </w:t>
      </w:r>
      <w:r w:rsidRPr="006B4867">
        <w:rPr>
          <w:rFonts w:cstheme="minorHAnsi"/>
          <w:color w:val="000000" w:themeColor="text1"/>
          <w:sz w:val="28"/>
          <w:szCs w:val="28"/>
          <w:lang w:val="en-US"/>
        </w:rPr>
        <w:t>Med</w:t>
      </w:r>
      <w:r w:rsidRPr="006B4867">
        <w:rPr>
          <w:rFonts w:cstheme="minorHAnsi"/>
          <w:color w:val="000000" w:themeColor="text1"/>
          <w:sz w:val="28"/>
          <w:szCs w:val="28"/>
          <w:lang w:val="uk-UA"/>
        </w:rPr>
        <w:t>.</w:t>
      </w:r>
      <w:r w:rsidRPr="006B4867">
        <w:rPr>
          <w:rFonts w:cstheme="minorHAnsi"/>
          <w:color w:val="000000" w:themeColor="text1"/>
          <w:sz w:val="28"/>
          <w:szCs w:val="28"/>
          <w:lang w:val="en-US"/>
        </w:rPr>
        <w:t> </w:t>
      </w:r>
      <w:r w:rsidRPr="006B4867">
        <w:rPr>
          <w:rFonts w:cstheme="minorHAnsi"/>
          <w:color w:val="000000" w:themeColor="text1"/>
          <w:sz w:val="28"/>
          <w:szCs w:val="28"/>
          <w:lang w:val="uk-UA"/>
        </w:rPr>
        <w:t xml:space="preserve">2015 </w:t>
      </w:r>
      <w:r w:rsidRPr="006B4867">
        <w:rPr>
          <w:rFonts w:cstheme="minorHAnsi"/>
          <w:color w:val="000000" w:themeColor="text1"/>
          <w:sz w:val="28"/>
          <w:szCs w:val="28"/>
          <w:lang w:val="en-US"/>
        </w:rPr>
        <w:t>Mar</w:t>
      </w:r>
      <w:r w:rsidRPr="006B4867">
        <w:rPr>
          <w:rFonts w:cstheme="minorHAnsi"/>
          <w:color w:val="000000" w:themeColor="text1"/>
          <w:sz w:val="28"/>
          <w:szCs w:val="28"/>
          <w:lang w:val="uk-UA"/>
        </w:rPr>
        <w:t xml:space="preserve"> 1;23(1):23-30.</w:t>
      </w:r>
    </w:p>
    <w:p w:rsidR="006B4867" w:rsidRPr="006B4867" w:rsidRDefault="006B4867" w:rsidP="006B4867">
      <w:pPr>
        <w:ind w:left="720"/>
        <w:contextualSpacing/>
        <w:jc w:val="both"/>
        <w:rPr>
          <w:sz w:val="28"/>
          <w:szCs w:val="28"/>
          <w:lang w:val="uk-UA"/>
        </w:rPr>
      </w:pPr>
    </w:p>
    <w:p w:rsidR="006B4867" w:rsidRPr="006B4867" w:rsidRDefault="006B4867" w:rsidP="006B4867">
      <w:pPr>
        <w:ind w:left="720"/>
        <w:contextualSpacing/>
        <w:jc w:val="both"/>
        <w:rPr>
          <w:sz w:val="28"/>
          <w:szCs w:val="28"/>
          <w:lang w:val="uk-UA"/>
        </w:rPr>
      </w:pPr>
    </w:p>
    <w:p w:rsidR="006B4867" w:rsidRPr="006B4867" w:rsidRDefault="006B4867" w:rsidP="006B4867">
      <w:pPr>
        <w:ind w:left="720"/>
        <w:contextualSpacing/>
        <w:jc w:val="both"/>
        <w:rPr>
          <w:sz w:val="28"/>
          <w:szCs w:val="28"/>
          <w:lang w:val="uk-UA"/>
        </w:rPr>
      </w:pPr>
    </w:p>
    <w:p w:rsidR="006B4867" w:rsidRPr="006B4867" w:rsidRDefault="006B4867" w:rsidP="006B4867">
      <w:pPr>
        <w:contextualSpacing/>
        <w:jc w:val="both"/>
        <w:rPr>
          <w:sz w:val="28"/>
          <w:szCs w:val="28"/>
          <w:lang w:val="uk-UA"/>
        </w:rPr>
      </w:pPr>
    </w:p>
    <w:p w:rsidR="006B4867" w:rsidRPr="009144E7" w:rsidRDefault="006B4867" w:rsidP="009144E7">
      <w:pPr>
        <w:shd w:val="clear" w:color="auto" w:fill="FFFFFF"/>
        <w:spacing w:after="0" w:line="360" w:lineRule="auto"/>
        <w:contextualSpacing/>
        <w:jc w:val="both"/>
        <w:outlineLvl w:val="0"/>
        <w:rPr>
          <w:sz w:val="28"/>
          <w:szCs w:val="28"/>
          <w:lang w:val="uk-UA"/>
        </w:rPr>
      </w:pPr>
    </w:p>
    <w:p w:rsidR="009144E7" w:rsidRPr="009144E7" w:rsidRDefault="009144E7" w:rsidP="009144E7">
      <w:pPr>
        <w:shd w:val="clear" w:color="auto" w:fill="FFFFFF"/>
        <w:spacing w:after="0" w:line="360" w:lineRule="auto"/>
        <w:ind w:left="720"/>
        <w:contextualSpacing/>
        <w:jc w:val="both"/>
        <w:outlineLvl w:val="0"/>
        <w:rPr>
          <w:sz w:val="28"/>
          <w:szCs w:val="28"/>
          <w:lang w:val="uk-UA"/>
        </w:rPr>
      </w:pPr>
    </w:p>
    <w:p w:rsidR="009144E7" w:rsidRPr="009144E7" w:rsidRDefault="009144E7" w:rsidP="003A0A00">
      <w:pPr>
        <w:jc w:val="both"/>
        <w:rPr>
          <w:rFonts w:cstheme="minorHAnsi"/>
          <w:sz w:val="28"/>
          <w:szCs w:val="28"/>
          <w:lang w:val="uk-UA"/>
        </w:rPr>
      </w:pPr>
    </w:p>
    <w:sectPr w:rsidR="009144E7" w:rsidRPr="009144E7">
      <w:headerReference w:type="default" r:id="rId14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C5A" w:rsidRDefault="00F63C5A" w:rsidP="0099230A">
      <w:pPr>
        <w:spacing w:after="0" w:line="240" w:lineRule="auto"/>
      </w:pPr>
      <w:r>
        <w:separator/>
      </w:r>
    </w:p>
  </w:endnote>
  <w:endnote w:type="continuationSeparator" w:id="0">
    <w:p w:rsidR="00F63C5A" w:rsidRDefault="00F63C5A" w:rsidP="009923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E10002FF" w:usb1="4000ACFF" w:usb2="00000009" w:usb3="00000000" w:csb0="0000019F" w:csb1="00000000"/>
  </w:font>
  <w:font w:name="Typestar-Normal">
    <w:altName w:val="Arial Unicode MS"/>
    <w:panose1 w:val="00000000000000000000"/>
    <w:charset w:val="80"/>
    <w:family w:val="roman"/>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MT">
    <w:altName w:val="Arial Unicode MS"/>
    <w:panose1 w:val="00000000000000000000"/>
    <w:charset w:val="81"/>
    <w:family w:val="auto"/>
    <w:notTrueType/>
    <w:pitch w:val="default"/>
    <w:sig w:usb0="00000001" w:usb1="09060000" w:usb2="00000010" w:usb3="00000000" w:csb0="00080000" w:csb1="00000000"/>
  </w:font>
  <w:font w:name="Arial-Italic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MyriadPro-Bold">
    <w:altName w:val="Arial Unicode MS"/>
    <w:panose1 w:val="00000000000000000000"/>
    <w:charset w:val="80"/>
    <w:family w:val="swiss"/>
    <w:notTrueType/>
    <w:pitch w:val="default"/>
    <w:sig w:usb0="00000000" w:usb1="08070000" w:usb2="00000010" w:usb3="00000000" w:csb0="00020000" w:csb1="00000000"/>
  </w:font>
  <w:font w:name="LucidaNewMath-Symbol">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C5A" w:rsidRDefault="00F63C5A" w:rsidP="0099230A">
      <w:pPr>
        <w:spacing w:after="0" w:line="240" w:lineRule="auto"/>
      </w:pPr>
      <w:r>
        <w:separator/>
      </w:r>
    </w:p>
  </w:footnote>
  <w:footnote w:type="continuationSeparator" w:id="0">
    <w:p w:rsidR="00F63C5A" w:rsidRDefault="00F63C5A" w:rsidP="009923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2046772"/>
      <w:docPartObj>
        <w:docPartGallery w:val="Page Numbers (Top of Page)"/>
        <w:docPartUnique/>
      </w:docPartObj>
    </w:sdtPr>
    <w:sdtContent>
      <w:p w:rsidR="009144E7" w:rsidRDefault="009144E7">
        <w:pPr>
          <w:pStyle w:val="a5"/>
          <w:jc w:val="right"/>
        </w:pPr>
        <w:r>
          <w:fldChar w:fldCharType="begin"/>
        </w:r>
        <w:r>
          <w:instrText>PAGE   \* MERGEFORMAT</w:instrText>
        </w:r>
        <w:r>
          <w:fldChar w:fldCharType="separate"/>
        </w:r>
        <w:r w:rsidR="0063467A">
          <w:rPr>
            <w:noProof/>
          </w:rPr>
          <w:t>4</w:t>
        </w:r>
        <w:r>
          <w:fldChar w:fldCharType="end"/>
        </w:r>
      </w:p>
    </w:sdtContent>
  </w:sdt>
  <w:p w:rsidR="009144E7" w:rsidRDefault="009144E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80BEF"/>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E17376"/>
    <w:multiLevelType w:val="hybridMultilevel"/>
    <w:tmpl w:val="87F430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276BB8"/>
    <w:multiLevelType w:val="hybridMultilevel"/>
    <w:tmpl w:val="74D8E66E"/>
    <w:lvl w:ilvl="0" w:tplc="B1A8FA28">
      <w:start w:val="1"/>
      <w:numFmt w:val="bullet"/>
      <w:lvlText w:val="•"/>
      <w:lvlJc w:val="left"/>
      <w:pPr>
        <w:tabs>
          <w:tab w:val="num" w:pos="786"/>
        </w:tabs>
        <w:ind w:left="786" w:hanging="360"/>
      </w:pPr>
      <w:rPr>
        <w:rFonts w:ascii="Times New Roman" w:hAnsi="Times New Roman" w:hint="default"/>
      </w:rPr>
    </w:lvl>
    <w:lvl w:ilvl="1" w:tplc="5B125074" w:tentative="1">
      <w:start w:val="1"/>
      <w:numFmt w:val="bullet"/>
      <w:lvlText w:val="•"/>
      <w:lvlJc w:val="left"/>
      <w:pPr>
        <w:tabs>
          <w:tab w:val="num" w:pos="1506"/>
        </w:tabs>
        <w:ind w:left="1506" w:hanging="360"/>
      </w:pPr>
      <w:rPr>
        <w:rFonts w:ascii="Times New Roman" w:hAnsi="Times New Roman" w:hint="default"/>
      </w:rPr>
    </w:lvl>
    <w:lvl w:ilvl="2" w:tplc="EFC645F0" w:tentative="1">
      <w:start w:val="1"/>
      <w:numFmt w:val="bullet"/>
      <w:lvlText w:val="•"/>
      <w:lvlJc w:val="left"/>
      <w:pPr>
        <w:tabs>
          <w:tab w:val="num" w:pos="2226"/>
        </w:tabs>
        <w:ind w:left="2226" w:hanging="360"/>
      </w:pPr>
      <w:rPr>
        <w:rFonts w:ascii="Times New Roman" w:hAnsi="Times New Roman" w:hint="default"/>
      </w:rPr>
    </w:lvl>
    <w:lvl w:ilvl="3" w:tplc="78F85A8A" w:tentative="1">
      <w:start w:val="1"/>
      <w:numFmt w:val="bullet"/>
      <w:lvlText w:val="•"/>
      <w:lvlJc w:val="left"/>
      <w:pPr>
        <w:tabs>
          <w:tab w:val="num" w:pos="2946"/>
        </w:tabs>
        <w:ind w:left="2946" w:hanging="360"/>
      </w:pPr>
      <w:rPr>
        <w:rFonts w:ascii="Times New Roman" w:hAnsi="Times New Roman" w:hint="default"/>
      </w:rPr>
    </w:lvl>
    <w:lvl w:ilvl="4" w:tplc="CBE828BA" w:tentative="1">
      <w:start w:val="1"/>
      <w:numFmt w:val="bullet"/>
      <w:lvlText w:val="•"/>
      <w:lvlJc w:val="left"/>
      <w:pPr>
        <w:tabs>
          <w:tab w:val="num" w:pos="3666"/>
        </w:tabs>
        <w:ind w:left="3666" w:hanging="360"/>
      </w:pPr>
      <w:rPr>
        <w:rFonts w:ascii="Times New Roman" w:hAnsi="Times New Roman" w:hint="default"/>
      </w:rPr>
    </w:lvl>
    <w:lvl w:ilvl="5" w:tplc="C594647A" w:tentative="1">
      <w:start w:val="1"/>
      <w:numFmt w:val="bullet"/>
      <w:lvlText w:val="•"/>
      <w:lvlJc w:val="left"/>
      <w:pPr>
        <w:tabs>
          <w:tab w:val="num" w:pos="4386"/>
        </w:tabs>
        <w:ind w:left="4386" w:hanging="360"/>
      </w:pPr>
      <w:rPr>
        <w:rFonts w:ascii="Times New Roman" w:hAnsi="Times New Roman" w:hint="default"/>
      </w:rPr>
    </w:lvl>
    <w:lvl w:ilvl="6" w:tplc="F652597E" w:tentative="1">
      <w:start w:val="1"/>
      <w:numFmt w:val="bullet"/>
      <w:lvlText w:val="•"/>
      <w:lvlJc w:val="left"/>
      <w:pPr>
        <w:tabs>
          <w:tab w:val="num" w:pos="5106"/>
        </w:tabs>
        <w:ind w:left="5106" w:hanging="360"/>
      </w:pPr>
      <w:rPr>
        <w:rFonts w:ascii="Times New Roman" w:hAnsi="Times New Roman" w:hint="default"/>
      </w:rPr>
    </w:lvl>
    <w:lvl w:ilvl="7" w:tplc="8A52F68A" w:tentative="1">
      <w:start w:val="1"/>
      <w:numFmt w:val="bullet"/>
      <w:lvlText w:val="•"/>
      <w:lvlJc w:val="left"/>
      <w:pPr>
        <w:tabs>
          <w:tab w:val="num" w:pos="5826"/>
        </w:tabs>
        <w:ind w:left="5826" w:hanging="360"/>
      </w:pPr>
      <w:rPr>
        <w:rFonts w:ascii="Times New Roman" w:hAnsi="Times New Roman" w:hint="default"/>
      </w:rPr>
    </w:lvl>
    <w:lvl w:ilvl="8" w:tplc="C348449E" w:tentative="1">
      <w:start w:val="1"/>
      <w:numFmt w:val="bullet"/>
      <w:lvlText w:val="•"/>
      <w:lvlJc w:val="left"/>
      <w:pPr>
        <w:tabs>
          <w:tab w:val="num" w:pos="6546"/>
        </w:tabs>
        <w:ind w:left="6546" w:hanging="360"/>
      </w:pPr>
      <w:rPr>
        <w:rFonts w:ascii="Times New Roman" w:hAnsi="Times New Roman" w:hint="default"/>
      </w:rPr>
    </w:lvl>
  </w:abstractNum>
  <w:abstractNum w:abstractNumId="3">
    <w:nsid w:val="177A618B"/>
    <w:multiLevelType w:val="hybridMultilevel"/>
    <w:tmpl w:val="BB9008E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1D796C7C"/>
    <w:multiLevelType w:val="hybridMultilevel"/>
    <w:tmpl w:val="12F82E1C"/>
    <w:lvl w:ilvl="0" w:tplc="0D74912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1A041B6"/>
    <w:multiLevelType w:val="hybridMultilevel"/>
    <w:tmpl w:val="4112CCF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30B275A"/>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7AC22D5"/>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F6C0882"/>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FEC3565"/>
    <w:multiLevelType w:val="hybridMultilevel"/>
    <w:tmpl w:val="30C437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5A37719"/>
    <w:multiLevelType w:val="hybridMultilevel"/>
    <w:tmpl w:val="95BE27DE"/>
    <w:lvl w:ilvl="0" w:tplc="0419000B">
      <w:start w:val="1"/>
      <w:numFmt w:val="bullet"/>
      <w:lvlText w:val=""/>
      <w:lvlJc w:val="left"/>
      <w:pPr>
        <w:ind w:left="1920" w:hanging="360"/>
      </w:pPr>
      <w:rPr>
        <w:rFonts w:ascii="Wingdings" w:hAnsi="Wingdings" w:hint="default"/>
      </w:rPr>
    </w:lvl>
    <w:lvl w:ilvl="1" w:tplc="04190003" w:tentative="1">
      <w:start w:val="1"/>
      <w:numFmt w:val="bullet"/>
      <w:lvlText w:val="o"/>
      <w:lvlJc w:val="left"/>
      <w:pPr>
        <w:ind w:left="2640" w:hanging="360"/>
      </w:pPr>
      <w:rPr>
        <w:rFonts w:ascii="Courier New" w:hAnsi="Courier New" w:cs="Courier New" w:hint="default"/>
      </w:rPr>
    </w:lvl>
    <w:lvl w:ilvl="2" w:tplc="04190005" w:tentative="1">
      <w:start w:val="1"/>
      <w:numFmt w:val="bullet"/>
      <w:lvlText w:val=""/>
      <w:lvlJc w:val="left"/>
      <w:pPr>
        <w:ind w:left="3360" w:hanging="360"/>
      </w:pPr>
      <w:rPr>
        <w:rFonts w:ascii="Wingdings" w:hAnsi="Wingdings" w:hint="default"/>
      </w:rPr>
    </w:lvl>
    <w:lvl w:ilvl="3" w:tplc="04190001" w:tentative="1">
      <w:start w:val="1"/>
      <w:numFmt w:val="bullet"/>
      <w:lvlText w:val=""/>
      <w:lvlJc w:val="left"/>
      <w:pPr>
        <w:ind w:left="4080" w:hanging="360"/>
      </w:pPr>
      <w:rPr>
        <w:rFonts w:ascii="Symbol" w:hAnsi="Symbol" w:hint="default"/>
      </w:rPr>
    </w:lvl>
    <w:lvl w:ilvl="4" w:tplc="04190003" w:tentative="1">
      <w:start w:val="1"/>
      <w:numFmt w:val="bullet"/>
      <w:lvlText w:val="o"/>
      <w:lvlJc w:val="left"/>
      <w:pPr>
        <w:ind w:left="4800" w:hanging="360"/>
      </w:pPr>
      <w:rPr>
        <w:rFonts w:ascii="Courier New" w:hAnsi="Courier New" w:cs="Courier New" w:hint="default"/>
      </w:rPr>
    </w:lvl>
    <w:lvl w:ilvl="5" w:tplc="04190005" w:tentative="1">
      <w:start w:val="1"/>
      <w:numFmt w:val="bullet"/>
      <w:lvlText w:val=""/>
      <w:lvlJc w:val="left"/>
      <w:pPr>
        <w:ind w:left="5520" w:hanging="360"/>
      </w:pPr>
      <w:rPr>
        <w:rFonts w:ascii="Wingdings" w:hAnsi="Wingdings" w:hint="default"/>
      </w:rPr>
    </w:lvl>
    <w:lvl w:ilvl="6" w:tplc="04190001" w:tentative="1">
      <w:start w:val="1"/>
      <w:numFmt w:val="bullet"/>
      <w:lvlText w:val=""/>
      <w:lvlJc w:val="left"/>
      <w:pPr>
        <w:ind w:left="6240" w:hanging="360"/>
      </w:pPr>
      <w:rPr>
        <w:rFonts w:ascii="Symbol" w:hAnsi="Symbol" w:hint="default"/>
      </w:rPr>
    </w:lvl>
    <w:lvl w:ilvl="7" w:tplc="04190003" w:tentative="1">
      <w:start w:val="1"/>
      <w:numFmt w:val="bullet"/>
      <w:lvlText w:val="o"/>
      <w:lvlJc w:val="left"/>
      <w:pPr>
        <w:ind w:left="6960" w:hanging="360"/>
      </w:pPr>
      <w:rPr>
        <w:rFonts w:ascii="Courier New" w:hAnsi="Courier New" w:cs="Courier New" w:hint="default"/>
      </w:rPr>
    </w:lvl>
    <w:lvl w:ilvl="8" w:tplc="04190005" w:tentative="1">
      <w:start w:val="1"/>
      <w:numFmt w:val="bullet"/>
      <w:lvlText w:val=""/>
      <w:lvlJc w:val="left"/>
      <w:pPr>
        <w:ind w:left="7680" w:hanging="360"/>
      </w:pPr>
      <w:rPr>
        <w:rFonts w:ascii="Wingdings" w:hAnsi="Wingdings" w:hint="default"/>
      </w:rPr>
    </w:lvl>
  </w:abstractNum>
  <w:abstractNum w:abstractNumId="11">
    <w:nsid w:val="37167FFA"/>
    <w:multiLevelType w:val="hybridMultilevel"/>
    <w:tmpl w:val="5C7C9A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BFE33E9"/>
    <w:multiLevelType w:val="hybridMultilevel"/>
    <w:tmpl w:val="50BA66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F7F38FD"/>
    <w:multiLevelType w:val="hybridMultilevel"/>
    <w:tmpl w:val="F0A4719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4">
    <w:nsid w:val="403C0C0B"/>
    <w:multiLevelType w:val="hybridMultilevel"/>
    <w:tmpl w:val="54E41D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4160331A"/>
    <w:multiLevelType w:val="hybridMultilevel"/>
    <w:tmpl w:val="4A82C850"/>
    <w:lvl w:ilvl="0" w:tplc="1D580F96">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3636A74"/>
    <w:multiLevelType w:val="hybridMultilevel"/>
    <w:tmpl w:val="92289920"/>
    <w:lvl w:ilvl="0" w:tplc="B31CE64C">
      <w:start w:val="1"/>
      <w:numFmt w:val="decimal"/>
      <w:lvlText w:val="%1."/>
      <w:lvlJc w:val="left"/>
      <w:pPr>
        <w:ind w:left="720" w:hanging="578"/>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55C47817"/>
    <w:multiLevelType w:val="hybridMultilevel"/>
    <w:tmpl w:val="305EE534"/>
    <w:lvl w:ilvl="0" w:tplc="48B824B0">
      <w:start w:val="1"/>
      <w:numFmt w:val="decimal"/>
      <w:lvlText w:val="%1."/>
      <w:lvlJc w:val="left"/>
      <w:pPr>
        <w:tabs>
          <w:tab w:val="num" w:pos="720"/>
        </w:tabs>
        <w:ind w:left="720" w:hanging="360"/>
      </w:pPr>
      <w:rPr>
        <w:b w:val="0"/>
      </w:rPr>
    </w:lvl>
    <w:lvl w:ilvl="1" w:tplc="0FD858E8">
      <w:start w:val="1"/>
      <w:numFmt w:val="decimal"/>
      <w:lvlText w:val="%2."/>
      <w:lvlJc w:val="left"/>
      <w:pPr>
        <w:tabs>
          <w:tab w:val="num" w:pos="1440"/>
        </w:tabs>
        <w:ind w:left="1440" w:hanging="360"/>
      </w:pPr>
      <w:rPr>
        <w:b w:val="0"/>
        <w:sz w:val="28"/>
        <w:szCs w:val="28"/>
        <w:lang w:val="uk-UA"/>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6B085BFF"/>
    <w:multiLevelType w:val="hybridMultilevel"/>
    <w:tmpl w:val="44249A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F182D9D"/>
    <w:multiLevelType w:val="hybridMultilevel"/>
    <w:tmpl w:val="53901512"/>
    <w:lvl w:ilvl="0" w:tplc="D75224CE">
      <w:start w:val="1"/>
      <w:numFmt w:val="bullet"/>
      <w:lvlText w:val="•"/>
      <w:lvlJc w:val="left"/>
      <w:pPr>
        <w:tabs>
          <w:tab w:val="num" w:pos="720"/>
        </w:tabs>
        <w:ind w:left="720" w:hanging="360"/>
      </w:pPr>
      <w:rPr>
        <w:rFonts w:ascii="Times New Roman" w:hAnsi="Times New Roman" w:hint="default"/>
      </w:rPr>
    </w:lvl>
    <w:lvl w:ilvl="1" w:tplc="4A9CC456" w:tentative="1">
      <w:start w:val="1"/>
      <w:numFmt w:val="bullet"/>
      <w:lvlText w:val="•"/>
      <w:lvlJc w:val="left"/>
      <w:pPr>
        <w:tabs>
          <w:tab w:val="num" w:pos="1440"/>
        </w:tabs>
        <w:ind w:left="1440" w:hanging="360"/>
      </w:pPr>
      <w:rPr>
        <w:rFonts w:ascii="Times New Roman" w:hAnsi="Times New Roman" w:hint="default"/>
      </w:rPr>
    </w:lvl>
    <w:lvl w:ilvl="2" w:tplc="A3821FC8" w:tentative="1">
      <w:start w:val="1"/>
      <w:numFmt w:val="bullet"/>
      <w:lvlText w:val="•"/>
      <w:lvlJc w:val="left"/>
      <w:pPr>
        <w:tabs>
          <w:tab w:val="num" w:pos="2160"/>
        </w:tabs>
        <w:ind w:left="2160" w:hanging="360"/>
      </w:pPr>
      <w:rPr>
        <w:rFonts w:ascii="Times New Roman" w:hAnsi="Times New Roman" w:hint="default"/>
      </w:rPr>
    </w:lvl>
    <w:lvl w:ilvl="3" w:tplc="8D9AF5DC" w:tentative="1">
      <w:start w:val="1"/>
      <w:numFmt w:val="bullet"/>
      <w:lvlText w:val="•"/>
      <w:lvlJc w:val="left"/>
      <w:pPr>
        <w:tabs>
          <w:tab w:val="num" w:pos="2880"/>
        </w:tabs>
        <w:ind w:left="2880" w:hanging="360"/>
      </w:pPr>
      <w:rPr>
        <w:rFonts w:ascii="Times New Roman" w:hAnsi="Times New Roman" w:hint="default"/>
      </w:rPr>
    </w:lvl>
    <w:lvl w:ilvl="4" w:tplc="9542AB24" w:tentative="1">
      <w:start w:val="1"/>
      <w:numFmt w:val="bullet"/>
      <w:lvlText w:val="•"/>
      <w:lvlJc w:val="left"/>
      <w:pPr>
        <w:tabs>
          <w:tab w:val="num" w:pos="3600"/>
        </w:tabs>
        <w:ind w:left="3600" w:hanging="360"/>
      </w:pPr>
      <w:rPr>
        <w:rFonts w:ascii="Times New Roman" w:hAnsi="Times New Roman" w:hint="default"/>
      </w:rPr>
    </w:lvl>
    <w:lvl w:ilvl="5" w:tplc="1794FEEA" w:tentative="1">
      <w:start w:val="1"/>
      <w:numFmt w:val="bullet"/>
      <w:lvlText w:val="•"/>
      <w:lvlJc w:val="left"/>
      <w:pPr>
        <w:tabs>
          <w:tab w:val="num" w:pos="4320"/>
        </w:tabs>
        <w:ind w:left="4320" w:hanging="360"/>
      </w:pPr>
      <w:rPr>
        <w:rFonts w:ascii="Times New Roman" w:hAnsi="Times New Roman" w:hint="default"/>
      </w:rPr>
    </w:lvl>
    <w:lvl w:ilvl="6" w:tplc="01F425A4" w:tentative="1">
      <w:start w:val="1"/>
      <w:numFmt w:val="bullet"/>
      <w:lvlText w:val="•"/>
      <w:lvlJc w:val="left"/>
      <w:pPr>
        <w:tabs>
          <w:tab w:val="num" w:pos="5040"/>
        </w:tabs>
        <w:ind w:left="5040" w:hanging="360"/>
      </w:pPr>
      <w:rPr>
        <w:rFonts w:ascii="Times New Roman" w:hAnsi="Times New Roman" w:hint="default"/>
      </w:rPr>
    </w:lvl>
    <w:lvl w:ilvl="7" w:tplc="84425DEC" w:tentative="1">
      <w:start w:val="1"/>
      <w:numFmt w:val="bullet"/>
      <w:lvlText w:val="•"/>
      <w:lvlJc w:val="left"/>
      <w:pPr>
        <w:tabs>
          <w:tab w:val="num" w:pos="5760"/>
        </w:tabs>
        <w:ind w:left="5760" w:hanging="360"/>
      </w:pPr>
      <w:rPr>
        <w:rFonts w:ascii="Times New Roman" w:hAnsi="Times New Roman" w:hint="default"/>
      </w:rPr>
    </w:lvl>
    <w:lvl w:ilvl="8" w:tplc="880213A8" w:tentative="1">
      <w:start w:val="1"/>
      <w:numFmt w:val="bullet"/>
      <w:lvlText w:val="•"/>
      <w:lvlJc w:val="left"/>
      <w:pPr>
        <w:tabs>
          <w:tab w:val="num" w:pos="6480"/>
        </w:tabs>
        <w:ind w:left="6480" w:hanging="360"/>
      </w:pPr>
      <w:rPr>
        <w:rFonts w:ascii="Times New Roman" w:hAnsi="Times New Roman" w:hint="default"/>
      </w:rPr>
    </w:lvl>
  </w:abstractNum>
  <w:abstractNum w:abstractNumId="20">
    <w:nsid w:val="709A0CE0"/>
    <w:multiLevelType w:val="hybridMultilevel"/>
    <w:tmpl w:val="F7D67328"/>
    <w:lvl w:ilvl="0" w:tplc="2CD0785E">
      <w:start w:val="1"/>
      <w:numFmt w:val="decimal"/>
      <w:lvlText w:val="%1."/>
      <w:lvlJc w:val="left"/>
      <w:pPr>
        <w:ind w:left="720" w:hanging="360"/>
      </w:pPr>
      <w:rPr>
        <w:rFonts w:asciiTheme="minorHAnsi" w:hAnsiTheme="minorHAnsi" w:cs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9550876"/>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98C4185"/>
    <w:multiLevelType w:val="hybridMultilevel"/>
    <w:tmpl w:val="AC18C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EAD0503"/>
    <w:multiLevelType w:val="hybridMultilevel"/>
    <w:tmpl w:val="EDCC52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0"/>
  </w:num>
  <w:num w:numId="2">
    <w:abstractNumId w:val="11"/>
  </w:num>
  <w:num w:numId="3">
    <w:abstractNumId w:val="18"/>
  </w:num>
  <w:num w:numId="4">
    <w:abstractNumId w:val="4"/>
  </w:num>
  <w:num w:numId="5">
    <w:abstractNumId w:val="10"/>
  </w:num>
  <w:num w:numId="6">
    <w:abstractNumId w:val="5"/>
  </w:num>
  <w:num w:numId="7">
    <w:abstractNumId w:val="3"/>
  </w:num>
  <w:num w:numId="8">
    <w:abstractNumId w:val="13"/>
  </w:num>
  <w:num w:numId="9">
    <w:abstractNumId w:val="9"/>
  </w:num>
  <w:num w:numId="10">
    <w:abstractNumId w:val="23"/>
  </w:num>
  <w:num w:numId="11">
    <w:abstractNumId w:val="12"/>
  </w:num>
  <w:num w:numId="12">
    <w:abstractNumId w:val="14"/>
  </w:num>
  <w:num w:numId="13">
    <w:abstractNumId w:val="16"/>
  </w:num>
  <w:num w:numId="14">
    <w:abstractNumId w:val="17"/>
  </w:num>
  <w:num w:numId="15">
    <w:abstractNumId w:val="19"/>
  </w:num>
  <w:num w:numId="16">
    <w:abstractNumId w:val="2"/>
  </w:num>
  <w:num w:numId="17">
    <w:abstractNumId w:val="15"/>
  </w:num>
  <w:num w:numId="18">
    <w:abstractNumId w:val="1"/>
  </w:num>
  <w:num w:numId="19">
    <w:abstractNumId w:val="6"/>
  </w:num>
  <w:num w:numId="20">
    <w:abstractNumId w:val="0"/>
  </w:num>
  <w:num w:numId="21">
    <w:abstractNumId w:val="22"/>
  </w:num>
  <w:num w:numId="22">
    <w:abstractNumId w:val="8"/>
  </w:num>
  <w:num w:numId="23">
    <w:abstractNumId w:val="7"/>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AFD"/>
    <w:rsid w:val="000232DE"/>
    <w:rsid w:val="000D3AB9"/>
    <w:rsid w:val="00137C6A"/>
    <w:rsid w:val="00210388"/>
    <w:rsid w:val="002937DD"/>
    <w:rsid w:val="003A0A00"/>
    <w:rsid w:val="00580EDF"/>
    <w:rsid w:val="0063467A"/>
    <w:rsid w:val="006643CB"/>
    <w:rsid w:val="006B4867"/>
    <w:rsid w:val="00705F7E"/>
    <w:rsid w:val="007B09A7"/>
    <w:rsid w:val="007F627B"/>
    <w:rsid w:val="00807701"/>
    <w:rsid w:val="009144E7"/>
    <w:rsid w:val="009545D9"/>
    <w:rsid w:val="0099230A"/>
    <w:rsid w:val="00A14FDC"/>
    <w:rsid w:val="00B60BC7"/>
    <w:rsid w:val="00B83320"/>
    <w:rsid w:val="00BF2D46"/>
    <w:rsid w:val="00C27C73"/>
    <w:rsid w:val="00C44E33"/>
    <w:rsid w:val="00C86F39"/>
    <w:rsid w:val="00CD3AFD"/>
    <w:rsid w:val="00CE6207"/>
    <w:rsid w:val="00D81EC0"/>
    <w:rsid w:val="00ED6BF9"/>
    <w:rsid w:val="00F0531C"/>
    <w:rsid w:val="00F63C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B48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3A0A00"/>
    <w:pPr>
      <w:spacing w:after="0" w:line="240" w:lineRule="auto"/>
    </w:pPr>
  </w:style>
  <w:style w:type="character" w:customStyle="1" w:styleId="a4">
    <w:name w:val="Без интервала Знак"/>
    <w:basedOn w:val="a0"/>
    <w:link w:val="a3"/>
    <w:uiPriority w:val="1"/>
    <w:rsid w:val="003A0A00"/>
  </w:style>
  <w:style w:type="paragraph" w:styleId="a5">
    <w:name w:val="header"/>
    <w:basedOn w:val="a"/>
    <w:link w:val="a6"/>
    <w:uiPriority w:val="99"/>
    <w:unhideWhenUsed/>
    <w:rsid w:val="0099230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9230A"/>
  </w:style>
  <w:style w:type="paragraph" w:styleId="a7">
    <w:name w:val="footer"/>
    <w:basedOn w:val="a"/>
    <w:link w:val="a8"/>
    <w:uiPriority w:val="99"/>
    <w:unhideWhenUsed/>
    <w:rsid w:val="0099230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9230A"/>
  </w:style>
  <w:style w:type="paragraph" w:styleId="a9">
    <w:name w:val="Balloon Text"/>
    <w:basedOn w:val="a"/>
    <w:link w:val="aa"/>
    <w:uiPriority w:val="99"/>
    <w:semiHidden/>
    <w:unhideWhenUsed/>
    <w:rsid w:val="00F0531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0531C"/>
    <w:rPr>
      <w:rFonts w:ascii="Tahoma" w:hAnsi="Tahoma" w:cs="Tahoma"/>
      <w:sz w:val="16"/>
      <w:szCs w:val="16"/>
    </w:rPr>
  </w:style>
  <w:style w:type="paragraph" w:styleId="ab">
    <w:name w:val="List Paragraph"/>
    <w:basedOn w:val="a"/>
    <w:uiPriority w:val="34"/>
    <w:qFormat/>
    <w:rsid w:val="00CE6207"/>
    <w:pPr>
      <w:ind w:left="720"/>
      <w:contextualSpacing/>
    </w:pPr>
    <w:rPr>
      <w:rFonts w:ascii="Calibri" w:eastAsia="Calibri" w:hAnsi="Calibri" w:cs="Times New Roman"/>
    </w:rPr>
  </w:style>
  <w:style w:type="paragraph" w:customStyle="1" w:styleId="11">
    <w:name w:val="Обычный1"/>
    <w:rsid w:val="00CE6207"/>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pple-converted-space">
    <w:name w:val="apple-converted-space"/>
    <w:basedOn w:val="a0"/>
    <w:rsid w:val="00CE6207"/>
  </w:style>
  <w:style w:type="character" w:customStyle="1" w:styleId="highlight">
    <w:name w:val="highlight"/>
    <w:basedOn w:val="a0"/>
    <w:rsid w:val="00CE6207"/>
  </w:style>
  <w:style w:type="character" w:customStyle="1" w:styleId="slug-pages">
    <w:name w:val="slug-pages"/>
    <w:basedOn w:val="a0"/>
    <w:rsid w:val="00CE6207"/>
  </w:style>
  <w:style w:type="character" w:styleId="ac">
    <w:name w:val="Emphasis"/>
    <w:basedOn w:val="a0"/>
    <w:uiPriority w:val="20"/>
    <w:qFormat/>
    <w:rsid w:val="00CE6207"/>
    <w:rPr>
      <w:i/>
      <w:iCs/>
    </w:rPr>
  </w:style>
  <w:style w:type="character" w:styleId="ad">
    <w:name w:val="Strong"/>
    <w:basedOn w:val="a0"/>
    <w:qFormat/>
    <w:rsid w:val="00CE6207"/>
    <w:rPr>
      <w:b/>
      <w:bCs/>
    </w:rPr>
  </w:style>
  <w:style w:type="table" w:styleId="ae">
    <w:name w:val="Table Grid"/>
    <w:basedOn w:val="a1"/>
    <w:uiPriority w:val="59"/>
    <w:rsid w:val="009144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semiHidden/>
    <w:unhideWhenUsed/>
    <w:rsid w:val="006B4867"/>
    <w:rPr>
      <w:color w:val="0000FF"/>
      <w:u w:val="single"/>
    </w:rPr>
  </w:style>
  <w:style w:type="character" w:customStyle="1" w:styleId="10">
    <w:name w:val="Заголовок 1 Знак"/>
    <w:basedOn w:val="a0"/>
    <w:link w:val="1"/>
    <w:uiPriority w:val="9"/>
    <w:rsid w:val="006B4867"/>
    <w:rPr>
      <w:rFonts w:ascii="Times New Roman" w:eastAsia="Times New Roman" w:hAnsi="Times New Roman" w:cs="Times New Roman"/>
      <w:b/>
      <w:bCs/>
      <w:kern w:val="36"/>
      <w:sz w:val="48"/>
      <w:szCs w:val="48"/>
      <w:lang w:eastAsia="ru-RU"/>
    </w:rPr>
  </w:style>
  <w:style w:type="character" w:customStyle="1" w:styleId="xref-sep">
    <w:name w:val="xref-sep"/>
    <w:basedOn w:val="a0"/>
    <w:rsid w:val="006B4867"/>
  </w:style>
  <w:style w:type="character" w:customStyle="1" w:styleId="issue-value">
    <w:name w:val="issue-value"/>
    <w:basedOn w:val="a0"/>
    <w:rsid w:val="006B4867"/>
  </w:style>
  <w:style w:type="character" w:customStyle="1" w:styleId="hps">
    <w:name w:val="hps"/>
    <w:basedOn w:val="a0"/>
    <w:rsid w:val="006B48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B48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3A0A00"/>
    <w:pPr>
      <w:spacing w:after="0" w:line="240" w:lineRule="auto"/>
    </w:pPr>
  </w:style>
  <w:style w:type="character" w:customStyle="1" w:styleId="a4">
    <w:name w:val="Без интервала Знак"/>
    <w:basedOn w:val="a0"/>
    <w:link w:val="a3"/>
    <w:uiPriority w:val="1"/>
    <w:rsid w:val="003A0A00"/>
  </w:style>
  <w:style w:type="paragraph" w:styleId="a5">
    <w:name w:val="header"/>
    <w:basedOn w:val="a"/>
    <w:link w:val="a6"/>
    <w:uiPriority w:val="99"/>
    <w:unhideWhenUsed/>
    <w:rsid w:val="0099230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9230A"/>
  </w:style>
  <w:style w:type="paragraph" w:styleId="a7">
    <w:name w:val="footer"/>
    <w:basedOn w:val="a"/>
    <w:link w:val="a8"/>
    <w:uiPriority w:val="99"/>
    <w:unhideWhenUsed/>
    <w:rsid w:val="0099230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9230A"/>
  </w:style>
  <w:style w:type="paragraph" w:styleId="a9">
    <w:name w:val="Balloon Text"/>
    <w:basedOn w:val="a"/>
    <w:link w:val="aa"/>
    <w:uiPriority w:val="99"/>
    <w:semiHidden/>
    <w:unhideWhenUsed/>
    <w:rsid w:val="00F0531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0531C"/>
    <w:rPr>
      <w:rFonts w:ascii="Tahoma" w:hAnsi="Tahoma" w:cs="Tahoma"/>
      <w:sz w:val="16"/>
      <w:szCs w:val="16"/>
    </w:rPr>
  </w:style>
  <w:style w:type="paragraph" w:styleId="ab">
    <w:name w:val="List Paragraph"/>
    <w:basedOn w:val="a"/>
    <w:uiPriority w:val="34"/>
    <w:qFormat/>
    <w:rsid w:val="00CE6207"/>
    <w:pPr>
      <w:ind w:left="720"/>
      <w:contextualSpacing/>
    </w:pPr>
    <w:rPr>
      <w:rFonts w:ascii="Calibri" w:eastAsia="Calibri" w:hAnsi="Calibri" w:cs="Times New Roman"/>
    </w:rPr>
  </w:style>
  <w:style w:type="paragraph" w:customStyle="1" w:styleId="11">
    <w:name w:val="Обычный1"/>
    <w:rsid w:val="00CE6207"/>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pple-converted-space">
    <w:name w:val="apple-converted-space"/>
    <w:basedOn w:val="a0"/>
    <w:rsid w:val="00CE6207"/>
  </w:style>
  <w:style w:type="character" w:customStyle="1" w:styleId="highlight">
    <w:name w:val="highlight"/>
    <w:basedOn w:val="a0"/>
    <w:rsid w:val="00CE6207"/>
  </w:style>
  <w:style w:type="character" w:customStyle="1" w:styleId="slug-pages">
    <w:name w:val="slug-pages"/>
    <w:basedOn w:val="a0"/>
    <w:rsid w:val="00CE6207"/>
  </w:style>
  <w:style w:type="character" w:styleId="ac">
    <w:name w:val="Emphasis"/>
    <w:basedOn w:val="a0"/>
    <w:uiPriority w:val="20"/>
    <w:qFormat/>
    <w:rsid w:val="00CE6207"/>
    <w:rPr>
      <w:i/>
      <w:iCs/>
    </w:rPr>
  </w:style>
  <w:style w:type="character" w:styleId="ad">
    <w:name w:val="Strong"/>
    <w:basedOn w:val="a0"/>
    <w:qFormat/>
    <w:rsid w:val="00CE6207"/>
    <w:rPr>
      <w:b/>
      <w:bCs/>
    </w:rPr>
  </w:style>
  <w:style w:type="table" w:styleId="ae">
    <w:name w:val="Table Grid"/>
    <w:basedOn w:val="a1"/>
    <w:uiPriority w:val="59"/>
    <w:rsid w:val="009144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semiHidden/>
    <w:unhideWhenUsed/>
    <w:rsid w:val="006B4867"/>
    <w:rPr>
      <w:color w:val="0000FF"/>
      <w:u w:val="single"/>
    </w:rPr>
  </w:style>
  <w:style w:type="character" w:customStyle="1" w:styleId="10">
    <w:name w:val="Заголовок 1 Знак"/>
    <w:basedOn w:val="a0"/>
    <w:link w:val="1"/>
    <w:uiPriority w:val="9"/>
    <w:rsid w:val="006B4867"/>
    <w:rPr>
      <w:rFonts w:ascii="Times New Roman" w:eastAsia="Times New Roman" w:hAnsi="Times New Roman" w:cs="Times New Roman"/>
      <w:b/>
      <w:bCs/>
      <w:kern w:val="36"/>
      <w:sz w:val="48"/>
      <w:szCs w:val="48"/>
      <w:lang w:eastAsia="ru-RU"/>
    </w:rPr>
  </w:style>
  <w:style w:type="character" w:customStyle="1" w:styleId="xref-sep">
    <w:name w:val="xref-sep"/>
    <w:basedOn w:val="a0"/>
    <w:rsid w:val="006B4867"/>
  </w:style>
  <w:style w:type="character" w:customStyle="1" w:styleId="issue-value">
    <w:name w:val="issue-value"/>
    <w:basedOn w:val="a0"/>
    <w:rsid w:val="006B4867"/>
  </w:style>
  <w:style w:type="character" w:customStyle="1" w:styleId="hps">
    <w:name w:val="hps"/>
    <w:basedOn w:val="a0"/>
    <w:rsid w:val="006B48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3.xml"/><Relationship Id="rId117" Type="http://schemas.openxmlformats.org/officeDocument/2006/relationships/chart" Target="charts/chart42.xml"/><Relationship Id="rId21" Type="http://schemas.openxmlformats.org/officeDocument/2006/relationships/chart" Target="charts/chart8.xml"/><Relationship Id="rId42" Type="http://schemas.openxmlformats.org/officeDocument/2006/relationships/oleObject" Target="embeddings/oleObject1.bin"/><Relationship Id="rId47" Type="http://schemas.openxmlformats.org/officeDocument/2006/relationships/chart" Target="charts/chart32.xml"/><Relationship Id="rId63" Type="http://schemas.openxmlformats.org/officeDocument/2006/relationships/diagramLayout" Target="diagrams/layout4.xml"/><Relationship Id="rId68" Type="http://schemas.openxmlformats.org/officeDocument/2006/relationships/diagramLayout" Target="diagrams/layout5.xml"/><Relationship Id="rId84" Type="http://schemas.openxmlformats.org/officeDocument/2006/relationships/diagramData" Target="diagrams/data8.xml"/><Relationship Id="rId89" Type="http://schemas.openxmlformats.org/officeDocument/2006/relationships/diagramData" Target="diagrams/data9.xml"/><Relationship Id="rId112" Type="http://schemas.openxmlformats.org/officeDocument/2006/relationships/diagramColors" Target="diagrams/colors13.xml"/><Relationship Id="rId133" Type="http://schemas.openxmlformats.org/officeDocument/2006/relationships/chart" Target="charts/chart50.xml"/><Relationship Id="rId138" Type="http://schemas.openxmlformats.org/officeDocument/2006/relationships/hyperlink" Target="http://www.ncbi.nlm.nih.gov/pubmed/?term=Hahn-Zoric%20M%5BAuthor%5D&amp;cauthor=true&amp;cauthor_uid=25117748" TargetMode="External"/><Relationship Id="rId16" Type="http://schemas.openxmlformats.org/officeDocument/2006/relationships/chart" Target="charts/chart3.xml"/><Relationship Id="rId107" Type="http://schemas.openxmlformats.org/officeDocument/2006/relationships/diagramColors" Target="diagrams/colors12.xml"/><Relationship Id="rId11" Type="http://schemas.openxmlformats.org/officeDocument/2006/relationships/diagramQuickStyle" Target="diagrams/quickStyle1.xml"/><Relationship Id="rId32" Type="http://schemas.openxmlformats.org/officeDocument/2006/relationships/chart" Target="charts/chart19.xml"/><Relationship Id="rId37" Type="http://schemas.openxmlformats.org/officeDocument/2006/relationships/chart" Target="charts/chart24.xml"/><Relationship Id="rId53" Type="http://schemas.openxmlformats.org/officeDocument/2006/relationships/diagramLayout" Target="diagrams/layout2.xml"/><Relationship Id="rId58" Type="http://schemas.openxmlformats.org/officeDocument/2006/relationships/diagramLayout" Target="diagrams/layout3.xml"/><Relationship Id="rId74" Type="http://schemas.openxmlformats.org/officeDocument/2006/relationships/diagramLayout" Target="diagrams/layout6.xml"/><Relationship Id="rId79" Type="http://schemas.openxmlformats.org/officeDocument/2006/relationships/diagramLayout" Target="diagrams/layout7.xml"/><Relationship Id="rId102" Type="http://schemas.openxmlformats.org/officeDocument/2006/relationships/diagramColors" Target="diagrams/colors11.xml"/><Relationship Id="rId123" Type="http://schemas.openxmlformats.org/officeDocument/2006/relationships/diagramQuickStyle" Target="diagrams/quickStyle14.xml"/><Relationship Id="rId128" Type="http://schemas.openxmlformats.org/officeDocument/2006/relationships/image" Target="media/image53.emf"/><Relationship Id="rId5" Type="http://schemas.openxmlformats.org/officeDocument/2006/relationships/webSettings" Target="webSettings.xml"/><Relationship Id="rId90" Type="http://schemas.openxmlformats.org/officeDocument/2006/relationships/diagramLayout" Target="diagrams/layout9.xml"/><Relationship Id="rId95" Type="http://schemas.openxmlformats.org/officeDocument/2006/relationships/diagramLayout" Target="diagrams/layout10.xml"/><Relationship Id="rId22" Type="http://schemas.openxmlformats.org/officeDocument/2006/relationships/chart" Target="charts/chart9.xml"/><Relationship Id="rId27" Type="http://schemas.openxmlformats.org/officeDocument/2006/relationships/chart" Target="charts/chart14.xml"/><Relationship Id="rId43" Type="http://schemas.openxmlformats.org/officeDocument/2006/relationships/chart" Target="charts/chart28.xml"/><Relationship Id="rId48" Type="http://schemas.openxmlformats.org/officeDocument/2006/relationships/chart" Target="charts/chart33.xml"/><Relationship Id="rId64" Type="http://schemas.openxmlformats.org/officeDocument/2006/relationships/diagramQuickStyle" Target="diagrams/quickStyle4.xml"/><Relationship Id="rId69" Type="http://schemas.openxmlformats.org/officeDocument/2006/relationships/diagramQuickStyle" Target="diagrams/quickStyle5.xml"/><Relationship Id="rId113" Type="http://schemas.microsoft.com/office/2007/relationships/diagramDrawing" Target="diagrams/drawing13.xml"/><Relationship Id="rId118" Type="http://schemas.openxmlformats.org/officeDocument/2006/relationships/chart" Target="charts/chart43.xml"/><Relationship Id="rId134" Type="http://schemas.openxmlformats.org/officeDocument/2006/relationships/image" Target="media/image54.png"/><Relationship Id="rId139" Type="http://schemas.openxmlformats.org/officeDocument/2006/relationships/hyperlink" Target="http://www.ncbi.nlm.nih.gov/pubmed/?term=Gunnarsson%20R%5BAuthor%5D&amp;cauthor=true&amp;cauthor_uid=25117748" TargetMode="External"/><Relationship Id="rId8" Type="http://schemas.openxmlformats.org/officeDocument/2006/relationships/image" Target="media/image1.png"/><Relationship Id="rId51" Type="http://schemas.openxmlformats.org/officeDocument/2006/relationships/chart" Target="charts/chart36.xml"/><Relationship Id="rId72" Type="http://schemas.openxmlformats.org/officeDocument/2006/relationships/chart" Target="charts/chart37.xml"/><Relationship Id="rId80" Type="http://schemas.openxmlformats.org/officeDocument/2006/relationships/diagramQuickStyle" Target="diagrams/quickStyle7.xml"/><Relationship Id="rId85" Type="http://schemas.openxmlformats.org/officeDocument/2006/relationships/diagramLayout" Target="diagrams/layout8.xml"/><Relationship Id="rId93" Type="http://schemas.microsoft.com/office/2007/relationships/diagramDrawing" Target="diagrams/drawing9.xml"/><Relationship Id="rId98" Type="http://schemas.microsoft.com/office/2007/relationships/diagramDrawing" Target="diagrams/drawing10.xml"/><Relationship Id="rId121" Type="http://schemas.openxmlformats.org/officeDocument/2006/relationships/diagramData" Target="diagrams/data14.xml"/><Relationship Id="rId14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chart" Target="charts/chart20.xml"/><Relationship Id="rId38" Type="http://schemas.openxmlformats.org/officeDocument/2006/relationships/chart" Target="charts/chart25.xml"/><Relationship Id="rId46" Type="http://schemas.openxmlformats.org/officeDocument/2006/relationships/chart" Target="charts/chart31.xml"/><Relationship Id="rId59" Type="http://schemas.openxmlformats.org/officeDocument/2006/relationships/diagramQuickStyle" Target="diagrams/quickStyle3.xml"/><Relationship Id="rId67" Type="http://schemas.openxmlformats.org/officeDocument/2006/relationships/diagramData" Target="diagrams/data5.xml"/><Relationship Id="rId103" Type="http://schemas.microsoft.com/office/2007/relationships/diagramDrawing" Target="diagrams/drawing11.xml"/><Relationship Id="rId108" Type="http://schemas.microsoft.com/office/2007/relationships/diagramDrawing" Target="diagrams/drawing12.xml"/><Relationship Id="rId116" Type="http://schemas.openxmlformats.org/officeDocument/2006/relationships/chart" Target="charts/chart41.xml"/><Relationship Id="rId124" Type="http://schemas.openxmlformats.org/officeDocument/2006/relationships/diagramColors" Target="diagrams/colors14.xml"/><Relationship Id="rId129" Type="http://schemas.openxmlformats.org/officeDocument/2006/relationships/chart" Target="charts/chart46.xml"/><Relationship Id="rId137" Type="http://schemas.openxmlformats.org/officeDocument/2006/relationships/hyperlink" Target="http://www.ncbi.nlm.nih.gov/pubmed/?term=Gunnarsson%20R%5BAuthor%5D&amp;cauthor=true&amp;cauthor_uid=25117748" TargetMode="External"/><Relationship Id="rId20" Type="http://schemas.openxmlformats.org/officeDocument/2006/relationships/chart" Target="charts/chart7.xml"/><Relationship Id="rId41" Type="http://schemas.openxmlformats.org/officeDocument/2006/relationships/image" Target="media/image2.wmf"/><Relationship Id="rId54" Type="http://schemas.openxmlformats.org/officeDocument/2006/relationships/diagramQuickStyle" Target="diagrams/quickStyle2.xml"/><Relationship Id="rId62" Type="http://schemas.openxmlformats.org/officeDocument/2006/relationships/diagramData" Target="diagrams/data4.xml"/><Relationship Id="rId70" Type="http://schemas.openxmlformats.org/officeDocument/2006/relationships/diagramColors" Target="diagrams/colors5.xml"/><Relationship Id="rId75" Type="http://schemas.openxmlformats.org/officeDocument/2006/relationships/diagramQuickStyle" Target="diagrams/quickStyle6.xml"/><Relationship Id="rId83" Type="http://schemas.openxmlformats.org/officeDocument/2006/relationships/chart" Target="charts/chart38.xml"/><Relationship Id="rId88" Type="http://schemas.microsoft.com/office/2007/relationships/diagramDrawing" Target="diagrams/drawing8.xml"/><Relationship Id="rId91" Type="http://schemas.openxmlformats.org/officeDocument/2006/relationships/diagramQuickStyle" Target="diagrams/quickStyle9.xml"/><Relationship Id="rId96" Type="http://schemas.openxmlformats.org/officeDocument/2006/relationships/diagramQuickStyle" Target="diagrams/quickStyle10.xml"/><Relationship Id="rId111" Type="http://schemas.openxmlformats.org/officeDocument/2006/relationships/diagramQuickStyle" Target="diagrams/quickStyle13.xml"/><Relationship Id="rId132" Type="http://schemas.openxmlformats.org/officeDocument/2006/relationships/chart" Target="charts/chart49.xml"/><Relationship Id="rId14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chart" Target="charts/chart23.xml"/><Relationship Id="rId49" Type="http://schemas.openxmlformats.org/officeDocument/2006/relationships/chart" Target="charts/chart34.xml"/><Relationship Id="rId57" Type="http://schemas.openxmlformats.org/officeDocument/2006/relationships/diagramData" Target="diagrams/data3.xml"/><Relationship Id="rId106" Type="http://schemas.openxmlformats.org/officeDocument/2006/relationships/diagramQuickStyle" Target="diagrams/quickStyle12.xml"/><Relationship Id="rId114" Type="http://schemas.openxmlformats.org/officeDocument/2006/relationships/chart" Target="charts/chart39.xml"/><Relationship Id="rId119" Type="http://schemas.openxmlformats.org/officeDocument/2006/relationships/chart" Target="charts/chart44.xml"/><Relationship Id="rId127" Type="http://schemas.openxmlformats.org/officeDocument/2006/relationships/image" Target="media/image52.emf"/><Relationship Id="rId10" Type="http://schemas.openxmlformats.org/officeDocument/2006/relationships/diagramLayout" Target="diagrams/layout1.xml"/><Relationship Id="rId31" Type="http://schemas.openxmlformats.org/officeDocument/2006/relationships/chart" Target="charts/chart18.xml"/><Relationship Id="rId44" Type="http://schemas.openxmlformats.org/officeDocument/2006/relationships/chart" Target="charts/chart29.xml"/><Relationship Id="rId52" Type="http://schemas.openxmlformats.org/officeDocument/2006/relationships/diagramData" Target="diagrams/data2.xml"/><Relationship Id="rId60" Type="http://schemas.openxmlformats.org/officeDocument/2006/relationships/diagramColors" Target="diagrams/colors3.xml"/><Relationship Id="rId65" Type="http://schemas.openxmlformats.org/officeDocument/2006/relationships/diagramColors" Target="diagrams/colors4.xml"/><Relationship Id="rId73" Type="http://schemas.openxmlformats.org/officeDocument/2006/relationships/diagramData" Target="diagrams/data6.xml"/><Relationship Id="rId78" Type="http://schemas.openxmlformats.org/officeDocument/2006/relationships/diagramData" Target="diagrams/data7.xml"/><Relationship Id="rId81" Type="http://schemas.openxmlformats.org/officeDocument/2006/relationships/diagramColors" Target="diagrams/colors7.xml"/><Relationship Id="rId86" Type="http://schemas.openxmlformats.org/officeDocument/2006/relationships/diagramQuickStyle" Target="diagrams/quickStyle8.xml"/><Relationship Id="rId94" Type="http://schemas.openxmlformats.org/officeDocument/2006/relationships/diagramData" Target="diagrams/data10.xml"/><Relationship Id="rId99" Type="http://schemas.openxmlformats.org/officeDocument/2006/relationships/diagramData" Target="diagrams/data11.xml"/><Relationship Id="rId101" Type="http://schemas.openxmlformats.org/officeDocument/2006/relationships/diagramQuickStyle" Target="diagrams/quickStyle11.xml"/><Relationship Id="rId122" Type="http://schemas.openxmlformats.org/officeDocument/2006/relationships/diagramLayout" Target="diagrams/layout14.xml"/><Relationship Id="rId130" Type="http://schemas.openxmlformats.org/officeDocument/2006/relationships/chart" Target="charts/chart47.xml"/><Relationship Id="rId135" Type="http://schemas.openxmlformats.org/officeDocument/2006/relationships/hyperlink" Target="http://jac.oxfordjournals.org/" TargetMode="Externa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chart" Target="charts/chart5.xml"/><Relationship Id="rId39" Type="http://schemas.openxmlformats.org/officeDocument/2006/relationships/chart" Target="charts/chart26.xml"/><Relationship Id="rId109" Type="http://schemas.openxmlformats.org/officeDocument/2006/relationships/diagramData" Target="diagrams/data13.xml"/><Relationship Id="rId34" Type="http://schemas.openxmlformats.org/officeDocument/2006/relationships/chart" Target="charts/chart21.xml"/><Relationship Id="rId50" Type="http://schemas.openxmlformats.org/officeDocument/2006/relationships/chart" Target="charts/chart35.xml"/><Relationship Id="rId55" Type="http://schemas.openxmlformats.org/officeDocument/2006/relationships/diagramColors" Target="diagrams/colors2.xml"/><Relationship Id="rId76" Type="http://schemas.openxmlformats.org/officeDocument/2006/relationships/diagramColors" Target="diagrams/colors6.xml"/><Relationship Id="rId97" Type="http://schemas.openxmlformats.org/officeDocument/2006/relationships/diagramColors" Target="diagrams/colors10.xml"/><Relationship Id="rId104" Type="http://schemas.openxmlformats.org/officeDocument/2006/relationships/diagramData" Target="diagrams/data12.xml"/><Relationship Id="rId120" Type="http://schemas.openxmlformats.org/officeDocument/2006/relationships/chart" Target="charts/chart45.xml"/><Relationship Id="rId125" Type="http://schemas.microsoft.com/office/2007/relationships/diagramDrawing" Target="diagrams/drawing14.xml"/><Relationship Id="rId141" Type="http://schemas.openxmlformats.org/officeDocument/2006/relationships/fontTable" Target="fontTable.xml"/><Relationship Id="rId7" Type="http://schemas.openxmlformats.org/officeDocument/2006/relationships/endnotes" Target="endnotes.xml"/><Relationship Id="rId71" Type="http://schemas.microsoft.com/office/2007/relationships/diagramDrawing" Target="diagrams/drawing5.xml"/><Relationship Id="rId92" Type="http://schemas.openxmlformats.org/officeDocument/2006/relationships/diagramColors" Target="diagrams/colors9.xml"/><Relationship Id="rId2" Type="http://schemas.openxmlformats.org/officeDocument/2006/relationships/styles" Target="styles.xml"/><Relationship Id="rId29" Type="http://schemas.openxmlformats.org/officeDocument/2006/relationships/chart" Target="charts/chart16.xml"/><Relationship Id="rId24" Type="http://schemas.openxmlformats.org/officeDocument/2006/relationships/chart" Target="charts/chart11.xml"/><Relationship Id="rId40" Type="http://schemas.openxmlformats.org/officeDocument/2006/relationships/chart" Target="charts/chart27.xml"/><Relationship Id="rId45" Type="http://schemas.openxmlformats.org/officeDocument/2006/relationships/chart" Target="charts/chart30.xml"/><Relationship Id="rId66" Type="http://schemas.microsoft.com/office/2007/relationships/diagramDrawing" Target="diagrams/drawing4.xml"/><Relationship Id="rId87" Type="http://schemas.openxmlformats.org/officeDocument/2006/relationships/diagramColors" Target="diagrams/colors8.xml"/><Relationship Id="rId110" Type="http://schemas.openxmlformats.org/officeDocument/2006/relationships/diagramLayout" Target="diagrams/layout13.xml"/><Relationship Id="rId115" Type="http://schemas.openxmlformats.org/officeDocument/2006/relationships/chart" Target="charts/chart40.xml"/><Relationship Id="rId131" Type="http://schemas.openxmlformats.org/officeDocument/2006/relationships/chart" Target="charts/chart48.xml"/><Relationship Id="rId136" Type="http://schemas.openxmlformats.org/officeDocument/2006/relationships/hyperlink" Target="http://www.ncbi.nlm.nih.gov/pubmed/?term=Hahn-Zoric%20M%5BAuthor%5D&amp;cauthor=true&amp;cauthor_uid=25117748" TargetMode="External"/><Relationship Id="rId61" Type="http://schemas.microsoft.com/office/2007/relationships/diagramDrawing" Target="diagrams/drawing3.xml"/><Relationship Id="rId82" Type="http://schemas.microsoft.com/office/2007/relationships/diagramDrawing" Target="diagrams/drawing7.xml"/><Relationship Id="rId19" Type="http://schemas.openxmlformats.org/officeDocument/2006/relationships/chart" Target="charts/chart6.xml"/><Relationship Id="rId14" Type="http://schemas.openxmlformats.org/officeDocument/2006/relationships/chart" Target="charts/chart1.xml"/><Relationship Id="rId30" Type="http://schemas.openxmlformats.org/officeDocument/2006/relationships/chart" Target="charts/chart17.xml"/><Relationship Id="rId35" Type="http://schemas.openxmlformats.org/officeDocument/2006/relationships/chart" Target="charts/chart22.xml"/><Relationship Id="rId56" Type="http://schemas.microsoft.com/office/2007/relationships/diagramDrawing" Target="diagrams/drawing2.xml"/><Relationship Id="rId77" Type="http://schemas.microsoft.com/office/2007/relationships/diagramDrawing" Target="diagrams/drawing6.xml"/><Relationship Id="rId100" Type="http://schemas.openxmlformats.org/officeDocument/2006/relationships/diagramLayout" Target="diagrams/layout11.xml"/><Relationship Id="rId105" Type="http://schemas.openxmlformats.org/officeDocument/2006/relationships/diagramLayout" Target="diagrams/layout12.xml"/><Relationship Id="rId126" Type="http://schemas.openxmlformats.org/officeDocument/2006/relationships/image" Target="media/image51.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_____Microsoft_Excel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_____Microsoft_Excel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_____Microsoft_Excel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_____Microsoft_Excel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_____Microsoft_Excel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_____Microsoft_Excel30.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_____Microsoft_Excel31.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_____Microsoft_Excel32.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Microsoft_Excel33.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_____Microsoft_Excel34.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_____Microsoft_Excel35.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_____Microsoft_Excel36.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_____Microsoft_Excel37.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_____Microsoft_Excel38.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package" Target="../embeddings/_____Microsoft_Excel39.xlsx"/><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_____Microsoft_Excel40.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2" Type="http://schemas.openxmlformats.org/officeDocument/2006/relationships/package" Target="../embeddings/_____Microsoft_Excel41.xlsx"/><Relationship Id="rId1" Type="http://schemas.openxmlformats.org/officeDocument/2006/relationships/themeOverride" Target="../theme/themeOverride41.xml"/></Relationships>
</file>

<file path=word/charts/_rels/chart42.xml.rels><?xml version="1.0" encoding="UTF-8" standalone="yes"?>
<Relationships xmlns="http://schemas.openxmlformats.org/package/2006/relationships"><Relationship Id="rId2" Type="http://schemas.openxmlformats.org/officeDocument/2006/relationships/package" Target="../embeddings/_____Microsoft_Excel42.xlsx"/><Relationship Id="rId1" Type="http://schemas.openxmlformats.org/officeDocument/2006/relationships/themeOverride" Target="../theme/themeOverride42.xml"/></Relationships>
</file>

<file path=word/charts/_rels/chart43.xml.rels><?xml version="1.0" encoding="UTF-8" standalone="yes"?>
<Relationships xmlns="http://schemas.openxmlformats.org/package/2006/relationships"><Relationship Id="rId2" Type="http://schemas.openxmlformats.org/officeDocument/2006/relationships/package" Target="../embeddings/_____Microsoft_Excel43.xlsx"/><Relationship Id="rId1" Type="http://schemas.openxmlformats.org/officeDocument/2006/relationships/themeOverride" Target="../theme/themeOverride43.xml"/></Relationships>
</file>

<file path=word/charts/_rels/chart44.xml.rels><?xml version="1.0" encoding="UTF-8" standalone="yes"?>
<Relationships xmlns="http://schemas.openxmlformats.org/package/2006/relationships"><Relationship Id="rId2" Type="http://schemas.openxmlformats.org/officeDocument/2006/relationships/package" Target="../embeddings/_____Microsoft_Excel44.xlsx"/><Relationship Id="rId1" Type="http://schemas.openxmlformats.org/officeDocument/2006/relationships/themeOverride" Target="../theme/themeOverride44.xml"/></Relationships>
</file>

<file path=word/charts/_rels/chart45.xml.rels><?xml version="1.0" encoding="UTF-8" standalone="yes"?>
<Relationships xmlns="http://schemas.openxmlformats.org/package/2006/relationships"><Relationship Id="rId2" Type="http://schemas.openxmlformats.org/officeDocument/2006/relationships/package" Target="../embeddings/_____Microsoft_Excel45.xlsx"/><Relationship Id="rId1" Type="http://schemas.openxmlformats.org/officeDocument/2006/relationships/themeOverride" Target="../theme/themeOverride45.xml"/></Relationships>
</file>

<file path=word/charts/_rels/chart46.xml.rels><?xml version="1.0" encoding="UTF-8" standalone="yes"?>
<Relationships xmlns="http://schemas.openxmlformats.org/package/2006/relationships"><Relationship Id="rId2" Type="http://schemas.openxmlformats.org/officeDocument/2006/relationships/package" Target="../embeddings/_____Microsoft_Excel46.xlsx"/><Relationship Id="rId1" Type="http://schemas.openxmlformats.org/officeDocument/2006/relationships/themeOverride" Target="../theme/themeOverride46.xml"/></Relationships>
</file>

<file path=word/charts/_rels/chart47.xml.rels><?xml version="1.0" encoding="UTF-8" standalone="yes"?>
<Relationships xmlns="http://schemas.openxmlformats.org/package/2006/relationships"><Relationship Id="rId2" Type="http://schemas.openxmlformats.org/officeDocument/2006/relationships/package" Target="../embeddings/_____Microsoft_Excel47.xlsx"/><Relationship Id="rId1" Type="http://schemas.openxmlformats.org/officeDocument/2006/relationships/themeOverride" Target="../theme/themeOverride47.xml"/></Relationships>
</file>

<file path=word/charts/_rels/chart48.xml.rels><?xml version="1.0" encoding="UTF-8" standalone="yes"?>
<Relationships xmlns="http://schemas.openxmlformats.org/package/2006/relationships"><Relationship Id="rId2" Type="http://schemas.openxmlformats.org/officeDocument/2006/relationships/package" Target="../embeddings/_____Microsoft_Excel48.xlsx"/><Relationship Id="rId1" Type="http://schemas.openxmlformats.org/officeDocument/2006/relationships/themeOverride" Target="../theme/themeOverride48.xml"/></Relationships>
</file>

<file path=word/charts/_rels/chart49.xml.rels><?xml version="1.0" encoding="UTF-8" standalone="yes"?>
<Relationships xmlns="http://schemas.openxmlformats.org/package/2006/relationships"><Relationship Id="rId2" Type="http://schemas.openxmlformats.org/officeDocument/2006/relationships/package" Target="../embeddings/_____Microsoft_Excel49.xlsx"/><Relationship Id="rId1" Type="http://schemas.openxmlformats.org/officeDocument/2006/relationships/themeOverride" Target="../theme/themeOverride49.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_____Microsoft_Excel50.xlsx"/><Relationship Id="rId1" Type="http://schemas.openxmlformats.org/officeDocument/2006/relationships/themeOverride" Target="../theme/themeOverride50.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5.3240740740740741E-2"/>
          <c:y val="3.0581072402031093E-2"/>
          <c:w val="0.91203703703703709"/>
          <c:h val="0.77373009327256359"/>
        </c:manualLayout>
      </c:layout>
      <c:pie3DChart>
        <c:varyColors val="1"/>
        <c:ser>
          <c:idx val="0"/>
          <c:order val="0"/>
          <c:tx>
            <c:strRef>
              <c:f>Лист1!$B$1</c:f>
              <c:strCache>
                <c:ptCount val="1"/>
                <c:pt idx="0">
                  <c:v>Продажи</c:v>
                </c:pt>
              </c:strCache>
            </c:strRef>
          </c:tx>
          <c:explosion val="25"/>
          <c:dLbls>
            <c:txPr>
              <a:bodyPr/>
              <a:lstStyle/>
              <a:p>
                <a:pPr>
                  <a:defRPr b="1"/>
                </a:pPr>
                <a:endParaRPr lang="ru-RU"/>
              </a:p>
            </c:txPr>
            <c:dLblPos val="bestFit"/>
            <c:showLegendKey val="0"/>
            <c:showVal val="1"/>
            <c:showCatName val="0"/>
            <c:showSerName val="0"/>
            <c:showPercent val="0"/>
            <c:showBubbleSize val="0"/>
            <c:showLeaderLines val="1"/>
          </c:dLbls>
          <c:cat>
            <c:strRef>
              <c:f>Лист1!$A$2:$A$5</c:f>
              <c:strCache>
                <c:ptCount val="4"/>
                <c:pt idx="0">
                  <c:v>генів не виявлено</c:v>
                </c:pt>
                <c:pt idx="1">
                  <c:v>βЛРС</c:v>
                </c:pt>
                <c:pt idx="2">
                  <c:v>гени до фторхінолонів</c:v>
                </c:pt>
                <c:pt idx="3">
                  <c:v>комбінація βЛРС і генів рез-ті до фторхінолонів </c:v>
                </c:pt>
              </c:strCache>
            </c:strRef>
          </c:cat>
          <c:val>
            <c:numRef>
              <c:f>Лист1!$B$2:$B$5</c:f>
              <c:numCache>
                <c:formatCode>0%</c:formatCode>
                <c:ptCount val="4"/>
                <c:pt idx="0">
                  <c:v>0.7</c:v>
                </c:pt>
                <c:pt idx="1">
                  <c:v>0.19</c:v>
                </c:pt>
                <c:pt idx="2">
                  <c:v>0.09</c:v>
                </c:pt>
                <c:pt idx="3">
                  <c:v>0.02</c:v>
                </c:pt>
              </c:numCache>
            </c:numRef>
          </c:val>
        </c:ser>
        <c:dLbls>
          <c:dLblPos val="bestFit"/>
          <c:showLegendKey val="0"/>
          <c:showVal val="1"/>
          <c:showCatName val="0"/>
          <c:showSerName val="0"/>
          <c:showPercent val="0"/>
          <c:showBubbleSize val="0"/>
          <c:showLeaderLines val="1"/>
        </c:dLbls>
      </c:pie3DChart>
    </c:plotArea>
    <c:legend>
      <c:legendPos val="b"/>
      <c:overlay val="0"/>
      <c:txPr>
        <a:bodyPr/>
        <a:lstStyle/>
        <a:p>
          <a:pPr>
            <a:defRPr sz="800" b="1"/>
          </a:pPr>
          <a:endParaRPr lang="ru-RU"/>
        </a:p>
      </c:txPr>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7.4826288317088374E-2"/>
          <c:y val="8.0659126325057701E-2"/>
          <c:w val="0.89215343892425025"/>
          <c:h val="0.71789335886364081"/>
        </c:manualLayout>
      </c:layout>
      <c:bar3DChart>
        <c:barDir val="col"/>
        <c:grouping val="percentStacked"/>
        <c:varyColors val="0"/>
        <c:ser>
          <c:idx val="0"/>
          <c:order val="0"/>
          <c:tx>
            <c:strRef>
              <c:f>Лист1!$B$1</c:f>
              <c:strCache>
                <c:ptCount val="1"/>
                <c:pt idx="0">
                  <c:v>виявлення генів резистентності</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ХХН І ст.</c:v>
                </c:pt>
                <c:pt idx="1">
                  <c:v>ХХН ІІ ст.</c:v>
                </c:pt>
                <c:pt idx="2">
                  <c:v>ХХН ІІІ ст.</c:v>
                </c:pt>
                <c:pt idx="3">
                  <c:v>ХХН ІV ст.</c:v>
                </c:pt>
              </c:strCache>
            </c:strRef>
          </c:cat>
          <c:val>
            <c:numRef>
              <c:f>Лист1!$B$2:$B$5</c:f>
              <c:numCache>
                <c:formatCode>0%</c:formatCode>
                <c:ptCount val="4"/>
                <c:pt idx="0">
                  <c:v>0.23799999999999999</c:v>
                </c:pt>
                <c:pt idx="1">
                  <c:v>0.28599999999999998</c:v>
                </c:pt>
                <c:pt idx="2">
                  <c:v>0.55600000000000005</c:v>
                </c:pt>
                <c:pt idx="3">
                  <c:v>0.55200000000000005</c:v>
                </c:pt>
              </c:numCache>
            </c:numRef>
          </c:val>
        </c:ser>
        <c:ser>
          <c:idx val="1"/>
          <c:order val="1"/>
          <c:tx>
            <c:strRef>
              <c:f>Лист1!$C$1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ХХН І ст.</c:v>
                </c:pt>
                <c:pt idx="1">
                  <c:v>ХХН ІІ ст.</c:v>
                </c:pt>
                <c:pt idx="2">
                  <c:v>ХХН ІІІ ст.</c:v>
                </c:pt>
                <c:pt idx="3">
                  <c:v>ХХН ІV ст.</c:v>
                </c:pt>
              </c:strCache>
            </c:strRef>
          </c:cat>
          <c:val>
            <c:numRef>
              <c:f>Лист1!$C$2:$C$5</c:f>
              <c:numCache>
                <c:formatCode>0%</c:formatCode>
                <c:ptCount val="4"/>
                <c:pt idx="0">
                  <c:v>0.76200000000000001</c:v>
                </c:pt>
                <c:pt idx="1">
                  <c:v>0.71399999999999997</c:v>
                </c:pt>
                <c:pt idx="2">
                  <c:v>0.44400000000000001</c:v>
                </c:pt>
                <c:pt idx="3">
                  <c:v>0.44800000000000001</c:v>
                </c:pt>
              </c:numCache>
            </c:numRef>
          </c:val>
        </c:ser>
        <c:dLbls>
          <c:showLegendKey val="0"/>
          <c:showVal val="1"/>
          <c:showCatName val="0"/>
          <c:showSerName val="0"/>
          <c:showPercent val="0"/>
          <c:showBubbleSize val="0"/>
        </c:dLbls>
        <c:gapWidth val="150"/>
        <c:shape val="cylinder"/>
        <c:axId val="254926208"/>
        <c:axId val="254936192"/>
        <c:axId val="0"/>
      </c:bar3DChart>
      <c:catAx>
        <c:axId val="254926208"/>
        <c:scaling>
          <c:orientation val="minMax"/>
        </c:scaling>
        <c:delete val="0"/>
        <c:axPos val="b"/>
        <c:numFmt formatCode="General" sourceLinked="0"/>
        <c:majorTickMark val="out"/>
        <c:minorTickMark val="none"/>
        <c:tickLblPos val="nextTo"/>
        <c:txPr>
          <a:bodyPr/>
          <a:lstStyle/>
          <a:p>
            <a:pPr>
              <a:defRPr sz="800" b="1"/>
            </a:pPr>
            <a:endParaRPr lang="ru-RU"/>
          </a:p>
        </c:txPr>
        <c:crossAx val="254936192"/>
        <c:crosses val="autoZero"/>
        <c:auto val="1"/>
        <c:lblAlgn val="ctr"/>
        <c:lblOffset val="100"/>
        <c:noMultiLvlLbl val="0"/>
      </c:catAx>
      <c:valAx>
        <c:axId val="25493619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4926208"/>
        <c:crosses val="autoZero"/>
        <c:crossBetween val="between"/>
      </c:valAx>
    </c:plotArea>
    <c:legend>
      <c:legendPos val="b"/>
      <c:layout>
        <c:manualLayout>
          <c:xMode val="edge"/>
          <c:yMode val="edge"/>
          <c:x val="0.2486404215344791"/>
          <c:y val="0.90838934370176427"/>
          <c:w val="0.50271897719366321"/>
          <c:h val="9.1610706627449467E-2"/>
        </c:manualLayout>
      </c:layout>
      <c:overlay val="0"/>
      <c:txPr>
        <a:bodyPr/>
        <a:lstStyle/>
        <a:p>
          <a:pPr>
            <a:defRPr sz="800"/>
          </a:pPr>
          <a:endParaRPr lang="ru-RU"/>
        </a:p>
      </c:txPr>
    </c:legend>
    <c:plotVisOnly val="1"/>
    <c:dispBlanksAs val="gap"/>
    <c:showDLblsOverMax val="0"/>
  </c:chart>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9378827646544183E-2"/>
          <c:y val="7.1363294338086289E-2"/>
          <c:w val="0.91210265383493727"/>
          <c:h val="0.75222071640165533"/>
        </c:manualLayout>
      </c:layout>
      <c:bar3DChart>
        <c:barDir val="col"/>
        <c:grouping val="clustered"/>
        <c:varyColors val="0"/>
        <c:ser>
          <c:idx val="0"/>
          <c:order val="0"/>
          <c:tx>
            <c:strRef>
              <c:f>Лист1!$B$1</c:f>
              <c:strCache>
                <c:ptCount val="1"/>
                <c:pt idx="0">
                  <c:v>І група</c:v>
                </c:pt>
              </c:strCache>
            </c:strRef>
          </c:tx>
          <c:invertIfNegative val="0"/>
          <c:dLbls>
            <c:dLbl>
              <c:idx val="0"/>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931E-2"/>
                  <c:y val="1.297514442510665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6.9444444444444441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ХХН І ст.</c:v>
                </c:pt>
                <c:pt idx="1">
                  <c:v>ХХН ІІ ст.</c:v>
                </c:pt>
                <c:pt idx="2">
                  <c:v>ХХН ІІІ ст.</c:v>
                </c:pt>
                <c:pt idx="3">
                  <c:v>ХХН ІV ст.</c:v>
                </c:pt>
              </c:strCache>
            </c:strRef>
          </c:cat>
          <c:val>
            <c:numRef>
              <c:f>Лист1!$B$2:$B$5</c:f>
              <c:numCache>
                <c:formatCode>0%</c:formatCode>
                <c:ptCount val="4"/>
                <c:pt idx="0">
                  <c:v>0.26300000000000001</c:v>
                </c:pt>
                <c:pt idx="1">
                  <c:v>0.26</c:v>
                </c:pt>
                <c:pt idx="2">
                  <c:v>0.52900000000000003</c:v>
                </c:pt>
                <c:pt idx="3">
                  <c:v>0.56999999999999995</c:v>
                </c:pt>
              </c:numCache>
            </c:numRef>
          </c:val>
        </c:ser>
        <c:ser>
          <c:idx val="1"/>
          <c:order val="1"/>
          <c:tx>
            <c:strRef>
              <c:f>Лист1!$C$1</c:f>
              <c:strCache>
                <c:ptCount val="1"/>
                <c:pt idx="0">
                  <c:v>ІІ група</c:v>
                </c:pt>
              </c:strCache>
            </c:strRef>
          </c:tx>
          <c:invertIfNegative val="0"/>
          <c:dLbls>
            <c:dLbl>
              <c:idx val="1"/>
              <c:layout>
                <c:manualLayout>
                  <c:x val="1.1574074074074073E-2"/>
                  <c:y val="1.297514442510659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3888888888888973E-2"/>
                  <c:y val="-6.487572212553299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574074074074073E-2"/>
                  <c:y val="1.4867181240154958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9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ХХН І ст.</c:v>
                </c:pt>
                <c:pt idx="1">
                  <c:v>ХХН ІІ ст.</c:v>
                </c:pt>
                <c:pt idx="2">
                  <c:v>ХХН ІІІ ст.</c:v>
                </c:pt>
                <c:pt idx="3">
                  <c:v>ХХН ІV ст.</c:v>
                </c:pt>
              </c:strCache>
            </c:strRef>
          </c:cat>
          <c:val>
            <c:numRef>
              <c:f>Лист1!$C$2:$C$5</c:f>
              <c:numCache>
                <c:formatCode>0%</c:formatCode>
                <c:ptCount val="4"/>
                <c:pt idx="0">
                  <c:v>0</c:v>
                </c:pt>
                <c:pt idx="1">
                  <c:v>0.4</c:v>
                </c:pt>
                <c:pt idx="2">
                  <c:v>0.6</c:v>
                </c:pt>
                <c:pt idx="3">
                  <c:v>0.53300000000000003</c:v>
                </c:pt>
              </c:numCache>
            </c:numRef>
          </c:val>
        </c:ser>
        <c:dLbls>
          <c:showLegendKey val="0"/>
          <c:showVal val="1"/>
          <c:showCatName val="0"/>
          <c:showSerName val="0"/>
          <c:showPercent val="0"/>
          <c:showBubbleSize val="0"/>
        </c:dLbls>
        <c:gapWidth val="150"/>
        <c:shape val="cylinder"/>
        <c:axId val="255229312"/>
        <c:axId val="255231104"/>
        <c:axId val="0"/>
      </c:bar3DChart>
      <c:catAx>
        <c:axId val="255229312"/>
        <c:scaling>
          <c:orientation val="minMax"/>
        </c:scaling>
        <c:delete val="0"/>
        <c:axPos val="b"/>
        <c:numFmt formatCode="General" sourceLinked="0"/>
        <c:majorTickMark val="out"/>
        <c:minorTickMark val="none"/>
        <c:tickLblPos val="nextTo"/>
        <c:txPr>
          <a:bodyPr/>
          <a:lstStyle/>
          <a:p>
            <a:pPr>
              <a:defRPr sz="800" b="1"/>
            </a:pPr>
            <a:endParaRPr lang="ru-RU"/>
          </a:p>
        </c:txPr>
        <c:crossAx val="255231104"/>
        <c:crosses val="autoZero"/>
        <c:auto val="1"/>
        <c:lblAlgn val="ctr"/>
        <c:lblOffset val="100"/>
        <c:noMultiLvlLbl val="0"/>
      </c:catAx>
      <c:valAx>
        <c:axId val="25523110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229312"/>
        <c:crosses val="autoZero"/>
        <c:crossBetween val="between"/>
      </c:valAx>
    </c:plotArea>
    <c:legend>
      <c:legendPos val="b"/>
      <c:layout>
        <c:manualLayout>
          <c:xMode val="edge"/>
          <c:yMode val="edge"/>
          <c:x val="0.41458861913094197"/>
          <c:y val="0.90417052021644606"/>
          <c:w val="0.18378572470107904"/>
          <c:h val="9.5829614898735122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9378827646544183E-2"/>
          <c:y val="7.3326219050880409E-2"/>
          <c:w val="0.91838983668708074"/>
          <c:h val="0.73014399741128244"/>
        </c:manualLayout>
      </c:layout>
      <c:bar3DChart>
        <c:barDir val="col"/>
        <c:grouping val="percentStacked"/>
        <c:varyColors val="0"/>
        <c:ser>
          <c:idx val="0"/>
          <c:order val="0"/>
          <c:tx>
            <c:strRef>
              <c:f>Лист1!$B$1</c:f>
              <c:strCache>
                <c:ptCount val="1"/>
                <c:pt idx="0">
                  <c:v>виявлення генів резистентності</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Обструктивний ПН</c:v>
                </c:pt>
                <c:pt idx="1">
                  <c:v>Необструктивний ПН</c:v>
                </c:pt>
              </c:strCache>
            </c:strRef>
          </c:cat>
          <c:val>
            <c:numRef>
              <c:f>Лист1!$B$2:$B$3</c:f>
              <c:numCache>
                <c:formatCode>0%</c:formatCode>
                <c:ptCount val="2"/>
                <c:pt idx="0">
                  <c:v>0.45500000000000002</c:v>
                </c:pt>
                <c:pt idx="1">
                  <c:v>0.40899999999999997</c:v>
                </c:pt>
              </c:numCache>
            </c:numRef>
          </c:val>
        </c:ser>
        <c:ser>
          <c:idx val="1"/>
          <c:order val="1"/>
          <c:tx>
            <c:strRef>
              <c:f>Лист1!$C$1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Обструктивний ПН</c:v>
                </c:pt>
                <c:pt idx="1">
                  <c:v>Необструктивний ПН</c:v>
                </c:pt>
              </c:strCache>
            </c:strRef>
          </c:cat>
          <c:val>
            <c:numRef>
              <c:f>Лист1!$C$2:$C$3</c:f>
              <c:numCache>
                <c:formatCode>0%</c:formatCode>
                <c:ptCount val="2"/>
                <c:pt idx="0">
                  <c:v>0.54</c:v>
                </c:pt>
                <c:pt idx="1">
                  <c:v>0.59099999999999997</c:v>
                </c:pt>
              </c:numCache>
            </c:numRef>
          </c:val>
        </c:ser>
        <c:dLbls>
          <c:showLegendKey val="0"/>
          <c:showVal val="1"/>
          <c:showCatName val="0"/>
          <c:showSerName val="0"/>
          <c:showPercent val="0"/>
          <c:showBubbleSize val="0"/>
        </c:dLbls>
        <c:gapWidth val="150"/>
        <c:shape val="cylinder"/>
        <c:axId val="255281792"/>
        <c:axId val="255291776"/>
        <c:axId val="0"/>
      </c:bar3DChart>
      <c:catAx>
        <c:axId val="255281792"/>
        <c:scaling>
          <c:orientation val="minMax"/>
        </c:scaling>
        <c:delete val="0"/>
        <c:axPos val="b"/>
        <c:numFmt formatCode="General" sourceLinked="0"/>
        <c:majorTickMark val="out"/>
        <c:minorTickMark val="none"/>
        <c:tickLblPos val="nextTo"/>
        <c:txPr>
          <a:bodyPr/>
          <a:lstStyle/>
          <a:p>
            <a:pPr>
              <a:defRPr sz="800" b="1"/>
            </a:pPr>
            <a:endParaRPr lang="ru-RU"/>
          </a:p>
        </c:txPr>
        <c:crossAx val="255291776"/>
        <c:crosses val="autoZero"/>
        <c:auto val="1"/>
        <c:lblAlgn val="ctr"/>
        <c:lblOffset val="100"/>
        <c:noMultiLvlLbl val="0"/>
      </c:catAx>
      <c:valAx>
        <c:axId val="255291776"/>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281792"/>
        <c:crosses val="autoZero"/>
        <c:crossBetween val="between"/>
      </c:valAx>
    </c:plotArea>
    <c:legend>
      <c:legendPos val="b"/>
      <c:layout>
        <c:manualLayout>
          <c:xMode val="edge"/>
          <c:yMode val="edge"/>
          <c:x val="0.24047061825605132"/>
          <c:y val="0.90662756627441798"/>
          <c:w val="0.50979950422863807"/>
          <c:h val="9.337265267519269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0119568387284925E-2"/>
          <c:y val="6.9533483582731412E-2"/>
          <c:w val="0.92599154272382622"/>
          <c:h val="0.73497141014103795"/>
        </c:manualLayout>
      </c:layout>
      <c:bar3DChart>
        <c:barDir val="col"/>
        <c:grouping val="clustered"/>
        <c:varyColors val="0"/>
        <c:ser>
          <c:idx val="0"/>
          <c:order val="0"/>
          <c:tx>
            <c:strRef>
              <c:f>Лист1!$B$1</c:f>
              <c:strCache>
                <c:ptCount val="1"/>
                <c:pt idx="0">
                  <c:v>обструктивний ПН</c:v>
                </c:pt>
              </c:strCache>
            </c:strRef>
          </c:tx>
          <c:invertIfNegative val="0"/>
          <c:dLbls>
            <c:dLbl>
              <c:idx val="0"/>
              <c:layout>
                <c:manualLayout>
                  <c:x val="1.3888888888888888E-2"/>
                  <c:y val="-2.528490312099323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888E-2"/>
                  <c:y val="-1.264245156049661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9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0.52600000000000002</c:v>
                </c:pt>
                <c:pt idx="1">
                  <c:v>0</c:v>
                </c:pt>
              </c:numCache>
            </c:numRef>
          </c:val>
        </c:ser>
        <c:ser>
          <c:idx val="1"/>
          <c:order val="1"/>
          <c:tx>
            <c:strRef>
              <c:f>Лист1!$C$1</c:f>
              <c:strCache>
                <c:ptCount val="1"/>
                <c:pt idx="0">
                  <c:v>необструктивний ПН</c:v>
                </c:pt>
              </c:strCache>
            </c:strRef>
          </c:tx>
          <c:invertIfNegative val="0"/>
          <c:dLbls>
            <c:dLbl>
              <c:idx val="0"/>
              <c:layout>
                <c:manualLayout>
                  <c:x val="2.0833151064450276E-2"/>
                  <c:y val="-5.056980624198647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3148148148148147E-2"/>
                  <c:y val="-3.160612890124155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9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0.33300000000000002</c:v>
                </c:pt>
                <c:pt idx="1">
                  <c:v>0.55200000000000005</c:v>
                </c:pt>
              </c:numCache>
            </c:numRef>
          </c:val>
        </c:ser>
        <c:dLbls>
          <c:showLegendKey val="0"/>
          <c:showVal val="1"/>
          <c:showCatName val="0"/>
          <c:showSerName val="0"/>
          <c:showPercent val="0"/>
          <c:showBubbleSize val="0"/>
        </c:dLbls>
        <c:gapWidth val="150"/>
        <c:shape val="cylinder"/>
        <c:axId val="255419904"/>
        <c:axId val="255421440"/>
        <c:axId val="0"/>
      </c:bar3DChart>
      <c:catAx>
        <c:axId val="255419904"/>
        <c:scaling>
          <c:orientation val="minMax"/>
        </c:scaling>
        <c:delete val="0"/>
        <c:axPos val="b"/>
        <c:numFmt formatCode="General" sourceLinked="0"/>
        <c:majorTickMark val="out"/>
        <c:minorTickMark val="none"/>
        <c:tickLblPos val="nextTo"/>
        <c:txPr>
          <a:bodyPr/>
          <a:lstStyle/>
          <a:p>
            <a:pPr>
              <a:defRPr sz="900" b="1"/>
            </a:pPr>
            <a:endParaRPr lang="ru-RU"/>
          </a:p>
        </c:txPr>
        <c:crossAx val="255421440"/>
        <c:crosses val="autoZero"/>
        <c:auto val="1"/>
        <c:lblAlgn val="ctr"/>
        <c:lblOffset val="100"/>
        <c:noMultiLvlLbl val="0"/>
      </c:catAx>
      <c:valAx>
        <c:axId val="255421440"/>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419904"/>
        <c:crosses val="autoZero"/>
        <c:crossBetween val="between"/>
      </c:valAx>
    </c:plotArea>
    <c:legend>
      <c:legendPos val="b"/>
      <c:layout>
        <c:manualLayout>
          <c:xMode val="edge"/>
          <c:yMode val="edge"/>
          <c:x val="0.28427147127442404"/>
          <c:y val="0.90662756627441798"/>
          <c:w val="0.42682742782152233"/>
          <c:h val="9.3372468523282015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6.1277423650572788E-2"/>
          <c:w val="0.90527978273549137"/>
          <c:h val="0.73790123200299174"/>
        </c:manualLayout>
      </c:layout>
      <c:bar3DChart>
        <c:barDir val="col"/>
        <c:grouping val="percentStacked"/>
        <c:varyColors val="0"/>
        <c:ser>
          <c:idx val="0"/>
          <c:order val="0"/>
          <c:tx>
            <c:strRef>
              <c:f>Лист1!$B$1</c:f>
              <c:strCache>
                <c:ptCount val="1"/>
                <c:pt idx="0">
                  <c:v>гени виявлені</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Чоловіки </c:v>
                </c:pt>
                <c:pt idx="1">
                  <c:v>Жінки</c:v>
                </c:pt>
              </c:strCache>
            </c:strRef>
          </c:cat>
          <c:val>
            <c:numRef>
              <c:f>Лист1!$B$2:$B$3</c:f>
              <c:numCache>
                <c:formatCode>0%</c:formatCode>
                <c:ptCount val="2"/>
                <c:pt idx="0">
                  <c:v>0.75</c:v>
                </c:pt>
                <c:pt idx="1">
                  <c:v>0.57099999999999995</c:v>
                </c:pt>
              </c:numCache>
            </c:numRef>
          </c:val>
        </c:ser>
        <c:ser>
          <c:idx val="1"/>
          <c:order val="1"/>
          <c:tx>
            <c:strRef>
              <c:f>Лист1!$C$1</c:f>
              <c:strCache>
                <c:ptCount val="1"/>
                <c:pt idx="0">
                  <c:v>гени не виявлені</c:v>
                </c:pt>
              </c:strCache>
            </c:strRef>
          </c:tx>
          <c:invertIfNegative val="0"/>
          <c:dLbls>
            <c:spPr>
              <a:noFill/>
              <a:ln>
                <a:noFill/>
              </a:ln>
              <a:effectLst/>
            </c:spPr>
            <c:txPr>
              <a:bodyPr/>
              <a:lstStyle/>
              <a:p>
                <a:pPr>
                  <a:defRPr sz="800" b="1" i="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Чоловіки </c:v>
                </c:pt>
                <c:pt idx="1">
                  <c:v>Жінки</c:v>
                </c:pt>
              </c:strCache>
            </c:strRef>
          </c:cat>
          <c:val>
            <c:numRef>
              <c:f>Лист1!$C$2:$C$3</c:f>
              <c:numCache>
                <c:formatCode>0%</c:formatCode>
                <c:ptCount val="2"/>
                <c:pt idx="0">
                  <c:v>0.25</c:v>
                </c:pt>
                <c:pt idx="1">
                  <c:v>0.42899999999999999</c:v>
                </c:pt>
              </c:numCache>
            </c:numRef>
          </c:val>
        </c:ser>
        <c:dLbls>
          <c:showLegendKey val="0"/>
          <c:showVal val="1"/>
          <c:showCatName val="0"/>
          <c:showSerName val="0"/>
          <c:showPercent val="0"/>
          <c:showBubbleSize val="0"/>
        </c:dLbls>
        <c:gapWidth val="150"/>
        <c:shape val="cylinder"/>
        <c:axId val="255259392"/>
        <c:axId val="255260928"/>
        <c:axId val="0"/>
      </c:bar3DChart>
      <c:catAx>
        <c:axId val="255259392"/>
        <c:scaling>
          <c:orientation val="minMax"/>
        </c:scaling>
        <c:delete val="0"/>
        <c:axPos val="b"/>
        <c:numFmt formatCode="General" sourceLinked="0"/>
        <c:majorTickMark val="out"/>
        <c:minorTickMark val="none"/>
        <c:tickLblPos val="nextTo"/>
        <c:txPr>
          <a:bodyPr/>
          <a:lstStyle/>
          <a:p>
            <a:pPr>
              <a:defRPr sz="800" b="1"/>
            </a:pPr>
            <a:endParaRPr lang="ru-RU"/>
          </a:p>
        </c:txPr>
        <c:crossAx val="255260928"/>
        <c:crosses val="autoZero"/>
        <c:auto val="1"/>
        <c:lblAlgn val="ctr"/>
        <c:lblOffset val="100"/>
        <c:noMultiLvlLbl val="0"/>
      </c:catAx>
      <c:valAx>
        <c:axId val="255260928"/>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259392"/>
        <c:crosses val="autoZero"/>
        <c:crossBetween val="between"/>
      </c:valAx>
    </c:plotArea>
    <c:legend>
      <c:legendPos val="b"/>
      <c:layout>
        <c:manualLayout>
          <c:xMode val="edge"/>
          <c:yMode val="edge"/>
          <c:x val="0.28295603674540681"/>
          <c:y val="0.88810327633847885"/>
          <c:w val="0.41556922572178479"/>
          <c:h val="0.1118967236615212"/>
        </c:manualLayout>
      </c:layout>
      <c:overlay val="0"/>
    </c:legend>
    <c:plotVisOnly val="1"/>
    <c:dispBlanksAs val="gap"/>
    <c:showDLblsOverMax val="0"/>
  </c:chart>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7170093321668132E-2"/>
          <c:y val="4.2126973354805405E-2"/>
          <c:w val="0.9112558326042578"/>
          <c:h val="0.77507958325455906"/>
        </c:manualLayout>
      </c:layout>
      <c:bar3DChart>
        <c:barDir val="col"/>
        <c:grouping val="clustered"/>
        <c:varyColors val="0"/>
        <c:ser>
          <c:idx val="0"/>
          <c:order val="0"/>
          <c:tx>
            <c:strRef>
              <c:f>Лист1!$B$1</c:f>
              <c:strCache>
                <c:ptCount val="1"/>
                <c:pt idx="0">
                  <c:v>наявність епізоду ІСС</c:v>
                </c:pt>
              </c:strCache>
            </c:strRef>
          </c:tx>
          <c:invertIfNegative val="0"/>
          <c:dLbls>
            <c:dLbl>
              <c:idx val="0"/>
              <c:layout>
                <c:manualLayout>
                  <c:x val="1.8518518518518517E-2"/>
                  <c:y val="-2.595028885021319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158E-2"/>
                  <c:y val="-3.892543327531979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0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0.625</c:v>
                </c:pt>
                <c:pt idx="1">
                  <c:v>0.66700000000000004</c:v>
                </c:pt>
              </c:numCache>
            </c:numRef>
          </c:val>
        </c:ser>
        <c:ser>
          <c:idx val="1"/>
          <c:order val="1"/>
          <c:tx>
            <c:strRef>
              <c:f>Лист1!$C$1</c:f>
              <c:strCache>
                <c:ptCount val="1"/>
                <c:pt idx="0">
                  <c:v>відсутність епізоду ІСС</c:v>
                </c:pt>
              </c:strCache>
            </c:strRef>
          </c:tx>
          <c:invertIfNegative val="0"/>
          <c:dLbls>
            <c:dLbl>
              <c:idx val="0"/>
              <c:layout>
                <c:manualLayout>
                  <c:x val="1.1574074074074073E-2"/>
                  <c:y val="-3.892543327531979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8518518518518517E-2"/>
                  <c:y val="-3.892543327531979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0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0.36</c:v>
                </c:pt>
                <c:pt idx="1">
                  <c:v>0.48299999999999998</c:v>
                </c:pt>
              </c:numCache>
            </c:numRef>
          </c:val>
        </c:ser>
        <c:dLbls>
          <c:showLegendKey val="0"/>
          <c:showVal val="1"/>
          <c:showCatName val="0"/>
          <c:showSerName val="0"/>
          <c:showPercent val="0"/>
          <c:showBubbleSize val="0"/>
        </c:dLbls>
        <c:gapWidth val="150"/>
        <c:shape val="cylinder"/>
        <c:axId val="255578496"/>
        <c:axId val="255580032"/>
        <c:axId val="0"/>
      </c:bar3DChart>
      <c:catAx>
        <c:axId val="255578496"/>
        <c:scaling>
          <c:orientation val="minMax"/>
        </c:scaling>
        <c:delete val="0"/>
        <c:axPos val="b"/>
        <c:numFmt formatCode="General" sourceLinked="0"/>
        <c:majorTickMark val="out"/>
        <c:minorTickMark val="none"/>
        <c:tickLblPos val="nextTo"/>
        <c:txPr>
          <a:bodyPr/>
          <a:lstStyle/>
          <a:p>
            <a:pPr>
              <a:defRPr sz="900" b="1"/>
            </a:pPr>
            <a:endParaRPr lang="ru-RU"/>
          </a:p>
        </c:txPr>
        <c:crossAx val="255580032"/>
        <c:crosses val="autoZero"/>
        <c:auto val="1"/>
        <c:lblAlgn val="ctr"/>
        <c:lblOffset val="100"/>
        <c:noMultiLvlLbl val="0"/>
      </c:catAx>
      <c:valAx>
        <c:axId val="255580032"/>
        <c:scaling>
          <c:orientation val="minMax"/>
        </c:scaling>
        <c:delete val="0"/>
        <c:axPos val="l"/>
        <c:majorGridlines/>
        <c:numFmt formatCode="0%" sourceLinked="1"/>
        <c:majorTickMark val="out"/>
        <c:minorTickMark val="none"/>
        <c:tickLblPos val="nextTo"/>
        <c:crossAx val="255578496"/>
        <c:crosses val="autoZero"/>
        <c:crossBetween val="between"/>
      </c:valAx>
    </c:plotArea>
    <c:legend>
      <c:legendPos val="b"/>
      <c:layout>
        <c:manualLayout>
          <c:xMode val="edge"/>
          <c:yMode val="edge"/>
          <c:x val="0.27107010061242343"/>
          <c:y val="0.90353283224412007"/>
          <c:w val="0.47406350247885681"/>
          <c:h val="9.5829614898735122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4.3747316243449547E-2"/>
          <c:w val="0.92996391076115481"/>
          <c:h val="0.75494999569939558"/>
        </c:manualLayout>
      </c:layout>
      <c:bar3DChart>
        <c:barDir val="col"/>
        <c:grouping val="percentStacked"/>
        <c:varyColors val="0"/>
        <c:ser>
          <c:idx val="0"/>
          <c:order val="0"/>
          <c:tx>
            <c:strRef>
              <c:f>Лист1!$B$1</c:f>
              <c:strCache>
                <c:ptCount val="1"/>
                <c:pt idx="0">
                  <c:v>виявлення генів резистентності</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хворі без АГ</c:v>
                </c:pt>
                <c:pt idx="1">
                  <c:v>хворі з АГ</c:v>
                </c:pt>
              </c:strCache>
            </c:strRef>
          </c:cat>
          <c:val>
            <c:numRef>
              <c:f>Лист1!$B$2:$B$3</c:f>
              <c:numCache>
                <c:formatCode>0%</c:formatCode>
                <c:ptCount val="2"/>
                <c:pt idx="0">
                  <c:v>0.23499999999999999</c:v>
                </c:pt>
                <c:pt idx="1">
                  <c:v>0.50700000000000001</c:v>
                </c:pt>
              </c:numCache>
            </c:numRef>
          </c:val>
        </c:ser>
        <c:ser>
          <c:idx val="1"/>
          <c:order val="1"/>
          <c:tx>
            <c:strRef>
              <c:f>Лист1!$C$1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хворі без АГ</c:v>
                </c:pt>
                <c:pt idx="1">
                  <c:v>хворі з АГ</c:v>
                </c:pt>
              </c:strCache>
            </c:strRef>
          </c:cat>
          <c:val>
            <c:numRef>
              <c:f>Лист1!$C$2:$C$3</c:f>
              <c:numCache>
                <c:formatCode>0%</c:formatCode>
                <c:ptCount val="2"/>
                <c:pt idx="0">
                  <c:v>0.76</c:v>
                </c:pt>
                <c:pt idx="1">
                  <c:v>0.49</c:v>
                </c:pt>
              </c:numCache>
            </c:numRef>
          </c:val>
        </c:ser>
        <c:dLbls>
          <c:showLegendKey val="0"/>
          <c:showVal val="1"/>
          <c:showCatName val="0"/>
          <c:showSerName val="0"/>
          <c:showPercent val="0"/>
          <c:showBubbleSize val="0"/>
        </c:dLbls>
        <c:gapWidth val="150"/>
        <c:shape val="cylinder"/>
        <c:axId val="255614336"/>
        <c:axId val="255640704"/>
        <c:axId val="0"/>
      </c:bar3DChart>
      <c:catAx>
        <c:axId val="255614336"/>
        <c:scaling>
          <c:orientation val="minMax"/>
        </c:scaling>
        <c:delete val="0"/>
        <c:axPos val="b"/>
        <c:numFmt formatCode="General" sourceLinked="0"/>
        <c:majorTickMark val="out"/>
        <c:minorTickMark val="none"/>
        <c:tickLblPos val="nextTo"/>
        <c:txPr>
          <a:bodyPr/>
          <a:lstStyle/>
          <a:p>
            <a:pPr>
              <a:defRPr sz="800"/>
            </a:pPr>
            <a:endParaRPr lang="ru-RU"/>
          </a:p>
        </c:txPr>
        <c:crossAx val="255640704"/>
        <c:crosses val="autoZero"/>
        <c:auto val="1"/>
        <c:lblAlgn val="ctr"/>
        <c:lblOffset val="100"/>
        <c:noMultiLvlLbl val="0"/>
      </c:catAx>
      <c:valAx>
        <c:axId val="25564070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614336"/>
        <c:crosses val="autoZero"/>
        <c:crossBetween val="between"/>
      </c:valAx>
    </c:plotArea>
    <c:legend>
      <c:legendPos val="b"/>
      <c:layout>
        <c:manualLayout>
          <c:xMode val="edge"/>
          <c:yMode val="edge"/>
          <c:x val="0.24047061825605132"/>
          <c:y val="0.90224074522958708"/>
          <c:w val="0.50979950422863807"/>
          <c:h val="9.7759089336262706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0119568387284925E-2"/>
          <c:y val="3.0763888888888889E-2"/>
          <c:w val="0.92830635753864099"/>
          <c:h val="0.76414643482064737"/>
        </c:manualLayout>
      </c:layout>
      <c:bar3DChart>
        <c:barDir val="col"/>
        <c:grouping val="clustered"/>
        <c:varyColors val="0"/>
        <c:ser>
          <c:idx val="0"/>
          <c:order val="0"/>
          <c:tx>
            <c:strRef>
              <c:f>Лист1!$B$1</c:f>
              <c:strCache>
                <c:ptCount val="1"/>
                <c:pt idx="0">
                  <c:v>з АГ</c:v>
                </c:pt>
              </c:strCache>
            </c:strRef>
          </c:tx>
          <c:invertIfNegative val="0"/>
          <c:dLbls>
            <c:dLbl>
              <c:idx val="0"/>
              <c:layout>
                <c:manualLayout>
                  <c:x val="2.0833333333333332E-2"/>
                  <c:y val="-1.388943569553805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592592592593437E-3"/>
                  <c:y val="-2.083333333333333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0.53500000000000003</c:v>
                </c:pt>
                <c:pt idx="1">
                  <c:v>0.46400000000000002</c:v>
                </c:pt>
              </c:numCache>
            </c:numRef>
          </c:val>
        </c:ser>
        <c:ser>
          <c:idx val="1"/>
          <c:order val="1"/>
          <c:tx>
            <c:strRef>
              <c:f>Лист1!$C$1</c:f>
              <c:strCache>
                <c:ptCount val="1"/>
                <c:pt idx="0">
                  <c:v>без АГ</c:v>
                </c:pt>
              </c:strCache>
            </c:strRef>
          </c:tx>
          <c:invertIfNegative val="0"/>
          <c:dLbls>
            <c:dLbl>
              <c:idx val="0"/>
              <c:layout>
                <c:manualLayout>
                  <c:x val="2.0833151064450276E-2"/>
                  <c:y val="-2.7777777777777714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1.3888888888888888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0.16700000000000001</c:v>
                </c:pt>
                <c:pt idx="1">
                  <c:v>0.75</c:v>
                </c:pt>
              </c:numCache>
            </c:numRef>
          </c:val>
        </c:ser>
        <c:dLbls>
          <c:showLegendKey val="0"/>
          <c:showVal val="1"/>
          <c:showCatName val="0"/>
          <c:showSerName val="0"/>
          <c:showPercent val="0"/>
          <c:showBubbleSize val="0"/>
        </c:dLbls>
        <c:gapWidth val="150"/>
        <c:shape val="cylinder"/>
        <c:axId val="255856000"/>
        <c:axId val="255906944"/>
        <c:axId val="0"/>
      </c:bar3DChart>
      <c:catAx>
        <c:axId val="255856000"/>
        <c:scaling>
          <c:orientation val="minMax"/>
        </c:scaling>
        <c:delete val="0"/>
        <c:axPos val="b"/>
        <c:numFmt formatCode="General" sourceLinked="0"/>
        <c:majorTickMark val="out"/>
        <c:minorTickMark val="none"/>
        <c:tickLblPos val="nextTo"/>
        <c:txPr>
          <a:bodyPr/>
          <a:lstStyle/>
          <a:p>
            <a:pPr>
              <a:defRPr sz="900" b="1"/>
            </a:pPr>
            <a:endParaRPr lang="ru-RU"/>
          </a:p>
        </c:txPr>
        <c:crossAx val="255906944"/>
        <c:crosses val="autoZero"/>
        <c:auto val="1"/>
        <c:lblAlgn val="ctr"/>
        <c:lblOffset val="100"/>
        <c:noMultiLvlLbl val="0"/>
      </c:catAx>
      <c:valAx>
        <c:axId val="25590694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856000"/>
        <c:crosses val="autoZero"/>
        <c:crossBetween val="between"/>
      </c:valAx>
    </c:plotArea>
    <c:legend>
      <c:legendPos val="b"/>
      <c:layout>
        <c:manualLayout>
          <c:xMode val="edge"/>
          <c:yMode val="edge"/>
          <c:x val="0.41941491688538934"/>
          <c:y val="0.89742180664916882"/>
          <c:w val="0.151910724701079"/>
          <c:h val="0.10257819335083114"/>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5.5356929473259098E-2"/>
          <c:w val="0.92088163458734329"/>
          <c:h val="0.71770027305664597"/>
        </c:manualLayout>
      </c:layout>
      <c:bar3DChart>
        <c:barDir val="col"/>
        <c:grouping val="percentStacked"/>
        <c:varyColors val="0"/>
        <c:ser>
          <c:idx val="0"/>
          <c:order val="0"/>
          <c:tx>
            <c:strRef>
              <c:f>Лист1!$B$1</c:f>
              <c:strCache>
                <c:ptCount val="1"/>
                <c:pt idx="0">
                  <c:v>виявлення βЛРС</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Чоловіки </c:v>
                </c:pt>
                <c:pt idx="1">
                  <c:v>Жінки</c:v>
                </c:pt>
              </c:strCache>
            </c:strRef>
          </c:cat>
          <c:val>
            <c:numRef>
              <c:f>Лист1!$B$2:$B$3</c:f>
              <c:numCache>
                <c:formatCode>0%</c:formatCode>
                <c:ptCount val="2"/>
                <c:pt idx="0">
                  <c:v>0.14299999999999999</c:v>
                </c:pt>
                <c:pt idx="1">
                  <c:v>0.307</c:v>
                </c:pt>
              </c:numCache>
            </c:numRef>
          </c:val>
        </c:ser>
        <c:ser>
          <c:idx val="1"/>
          <c:order val="1"/>
          <c:tx>
            <c:strRef>
              <c:f>Лист1!$C$1</c:f>
              <c:strCache>
                <c:ptCount val="1"/>
                <c:pt idx="0">
                  <c:v>виявлення генів резистентності до фторхінолонів</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Чоловіки </c:v>
                </c:pt>
                <c:pt idx="1">
                  <c:v>Жінки</c:v>
                </c:pt>
              </c:strCache>
            </c:strRef>
          </c:cat>
          <c:val>
            <c:numRef>
              <c:f>Лист1!$C$2:$C$3</c:f>
              <c:numCache>
                <c:formatCode>0%</c:formatCode>
                <c:ptCount val="2"/>
                <c:pt idx="0">
                  <c:v>0.214</c:v>
                </c:pt>
                <c:pt idx="1">
                  <c:v>0.121</c:v>
                </c:pt>
              </c:numCache>
            </c:numRef>
          </c:val>
        </c:ser>
        <c:ser>
          <c:idx val="2"/>
          <c:order val="2"/>
          <c:tx>
            <c:strRef>
              <c:f>Лист1!$D$1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Чоловіки </c:v>
                </c:pt>
                <c:pt idx="1">
                  <c:v>Жінки</c:v>
                </c:pt>
              </c:strCache>
            </c:strRef>
          </c:cat>
          <c:val>
            <c:numRef>
              <c:f>Лист1!$D$2:$D$3</c:f>
              <c:numCache>
                <c:formatCode>0%</c:formatCode>
                <c:ptCount val="2"/>
                <c:pt idx="0">
                  <c:v>0.65</c:v>
                </c:pt>
                <c:pt idx="1">
                  <c:v>0.57099999999999995</c:v>
                </c:pt>
              </c:numCache>
            </c:numRef>
          </c:val>
        </c:ser>
        <c:dLbls>
          <c:showLegendKey val="0"/>
          <c:showVal val="1"/>
          <c:showCatName val="0"/>
          <c:showSerName val="0"/>
          <c:showPercent val="0"/>
          <c:showBubbleSize val="0"/>
        </c:dLbls>
        <c:gapWidth val="150"/>
        <c:shape val="cylinder"/>
        <c:axId val="255959040"/>
        <c:axId val="255960576"/>
        <c:axId val="0"/>
      </c:bar3DChart>
      <c:catAx>
        <c:axId val="255959040"/>
        <c:scaling>
          <c:orientation val="minMax"/>
        </c:scaling>
        <c:delete val="0"/>
        <c:axPos val="b"/>
        <c:numFmt formatCode="General" sourceLinked="0"/>
        <c:majorTickMark val="out"/>
        <c:minorTickMark val="none"/>
        <c:tickLblPos val="nextTo"/>
        <c:txPr>
          <a:bodyPr/>
          <a:lstStyle/>
          <a:p>
            <a:pPr>
              <a:defRPr sz="800" b="1"/>
            </a:pPr>
            <a:endParaRPr lang="ru-RU"/>
          </a:p>
        </c:txPr>
        <c:crossAx val="255960576"/>
        <c:crosses val="autoZero"/>
        <c:auto val="1"/>
        <c:lblAlgn val="ctr"/>
        <c:lblOffset val="100"/>
        <c:noMultiLvlLbl val="0"/>
      </c:catAx>
      <c:valAx>
        <c:axId val="255960576"/>
        <c:scaling>
          <c:orientation val="minMax"/>
        </c:scaling>
        <c:delete val="0"/>
        <c:axPos val="l"/>
        <c:majorGridlines/>
        <c:numFmt formatCode="0%" sourceLinked="1"/>
        <c:majorTickMark val="out"/>
        <c:minorTickMark val="none"/>
        <c:tickLblPos val="nextTo"/>
        <c:txPr>
          <a:bodyPr/>
          <a:lstStyle/>
          <a:p>
            <a:pPr>
              <a:defRPr sz="800"/>
            </a:pPr>
            <a:endParaRPr lang="ru-RU"/>
          </a:p>
        </c:txPr>
        <c:crossAx val="255959040"/>
        <c:crosses val="autoZero"/>
        <c:crossBetween val="between"/>
      </c:valAx>
    </c:plotArea>
    <c:legend>
      <c:legendPos val="b"/>
      <c:layout>
        <c:manualLayout>
          <c:xMode val="edge"/>
          <c:yMode val="edge"/>
          <c:x val="0.05"/>
          <c:y val="0.89137287233908447"/>
          <c:w val="0.8599912510936133"/>
          <c:h val="9.4585062523098576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2540463692038495E-2"/>
          <c:y val="6.8221518248645696E-2"/>
          <c:w val="0.91588546223388745"/>
          <c:h val="0.70227822871321943"/>
        </c:manualLayout>
      </c:layout>
      <c:bar3DChart>
        <c:barDir val="col"/>
        <c:grouping val="clustered"/>
        <c:varyColors val="0"/>
        <c:ser>
          <c:idx val="0"/>
          <c:order val="0"/>
          <c:tx>
            <c:strRef>
              <c:f>Лист1!$B$1</c:f>
              <c:strCache>
                <c:ptCount val="1"/>
                <c:pt idx="0">
                  <c:v>чоловіки</c:v>
                </c:pt>
              </c:strCache>
            </c:strRef>
          </c:tx>
          <c:invertIfNegative val="0"/>
          <c:dLbls>
            <c:dLbl>
              <c:idx val="0"/>
              <c:layout>
                <c:manualLayout>
                  <c:x val="1.6203703703703703E-2"/>
                  <c:y val="-1.9272530270771446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1.9272530270771464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0.55600000000000005</c:v>
                </c:pt>
                <c:pt idx="1">
                  <c:v>0</c:v>
                </c:pt>
              </c:numCache>
            </c:numRef>
          </c:val>
        </c:ser>
        <c:ser>
          <c:idx val="1"/>
          <c:order val="1"/>
          <c:tx>
            <c:strRef>
              <c:f>Лист1!$C$1</c:f>
              <c:strCache>
                <c:ptCount val="1"/>
                <c:pt idx="0">
                  <c:v>жінки</c:v>
                </c:pt>
              </c:strCache>
            </c:strRef>
          </c:tx>
          <c:invertIfNegative val="0"/>
          <c:dLbls>
            <c:dLbl>
              <c:idx val="0"/>
              <c:layout>
                <c:manualLayout>
                  <c:x val="1.3888888888888888E-2"/>
                  <c:y val="-2.5696707027695283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1.8518518518518517E-2"/>
                  <c:y val="-3.2120883784619088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0.35899999999999999</c:v>
                </c:pt>
                <c:pt idx="1">
                  <c:v>0.55600000000000005</c:v>
                </c:pt>
              </c:numCache>
            </c:numRef>
          </c:val>
        </c:ser>
        <c:dLbls>
          <c:showLegendKey val="0"/>
          <c:showVal val="1"/>
          <c:showCatName val="0"/>
          <c:showSerName val="0"/>
          <c:showPercent val="0"/>
          <c:showBubbleSize val="0"/>
        </c:dLbls>
        <c:gapWidth val="150"/>
        <c:shape val="cylinder"/>
        <c:axId val="256115456"/>
        <c:axId val="256116992"/>
        <c:axId val="0"/>
      </c:bar3DChart>
      <c:catAx>
        <c:axId val="256115456"/>
        <c:scaling>
          <c:orientation val="minMax"/>
        </c:scaling>
        <c:delete val="0"/>
        <c:axPos val="b"/>
        <c:numFmt formatCode="General" sourceLinked="0"/>
        <c:majorTickMark val="out"/>
        <c:minorTickMark val="none"/>
        <c:tickLblPos val="nextTo"/>
        <c:txPr>
          <a:bodyPr/>
          <a:lstStyle/>
          <a:p>
            <a:pPr>
              <a:defRPr b="1"/>
            </a:pPr>
            <a:endParaRPr lang="ru-RU"/>
          </a:p>
        </c:txPr>
        <c:crossAx val="256116992"/>
        <c:crosses val="autoZero"/>
        <c:auto val="1"/>
        <c:lblAlgn val="ctr"/>
        <c:lblOffset val="100"/>
        <c:noMultiLvlLbl val="0"/>
      </c:catAx>
      <c:valAx>
        <c:axId val="25611699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115456"/>
        <c:crosses val="autoZero"/>
        <c:crossBetween val="between"/>
      </c:valAx>
    </c:plotArea>
    <c:legend>
      <c:legendPos val="b"/>
      <c:layout>
        <c:manualLayout>
          <c:xMode val="edge"/>
          <c:yMode val="edge"/>
          <c:x val="0.41019958442694665"/>
          <c:y val="0.90838934370176427"/>
          <c:w val="0.18423027850685331"/>
          <c:h val="9.1610783916491773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txPr>
              <a:bodyPr/>
              <a:lstStyle/>
              <a:p>
                <a:pPr>
                  <a:defRPr b="1"/>
                </a:pPr>
                <a:endParaRPr lang="ru-RU"/>
              </a:p>
            </c:txPr>
            <c:dLblPos val="bestFit"/>
            <c:showLegendKey val="0"/>
            <c:showVal val="1"/>
            <c:showCatName val="0"/>
            <c:showSerName val="0"/>
            <c:showPercent val="0"/>
            <c:showBubbleSize val="0"/>
            <c:showLeaderLines val="1"/>
          </c:dLbls>
          <c:cat>
            <c:strRef>
              <c:f>Лист1!$A$2:$A$7</c:f>
              <c:strCache>
                <c:ptCount val="6"/>
                <c:pt idx="0">
                  <c:v>blaCTX-M</c:v>
                </c:pt>
                <c:pt idx="1">
                  <c:v>blaTEM</c:v>
                </c:pt>
                <c:pt idx="2">
                  <c:v>blaSHV</c:v>
                </c:pt>
                <c:pt idx="3">
                  <c:v>QnrA</c:v>
                </c:pt>
                <c:pt idx="4">
                  <c:v>QepA</c:v>
                </c:pt>
                <c:pt idx="5">
                  <c:v>AAC(6')-Ib-cr</c:v>
                </c:pt>
              </c:strCache>
            </c:strRef>
          </c:cat>
          <c:val>
            <c:numRef>
              <c:f>Лист1!$B$2:$B$7</c:f>
              <c:numCache>
                <c:formatCode>0%</c:formatCode>
                <c:ptCount val="6"/>
                <c:pt idx="0">
                  <c:v>0.25</c:v>
                </c:pt>
                <c:pt idx="1">
                  <c:v>0.25</c:v>
                </c:pt>
                <c:pt idx="2">
                  <c:v>0.18</c:v>
                </c:pt>
                <c:pt idx="3">
                  <c:v>0.09</c:v>
                </c:pt>
                <c:pt idx="4">
                  <c:v>0.16</c:v>
                </c:pt>
                <c:pt idx="5">
                  <c:v>7.0000000000000007E-2</c:v>
                </c:pt>
              </c:numCache>
            </c:numRef>
          </c:val>
        </c:ser>
        <c:dLbls>
          <c:dLblPos val="bestFit"/>
          <c:showLegendKey val="0"/>
          <c:showVal val="1"/>
          <c:showCatName val="0"/>
          <c:showSerName val="0"/>
          <c:showPercent val="0"/>
          <c:showBubbleSize val="0"/>
          <c:showLeaderLines val="1"/>
        </c:dLbls>
      </c:pie3DChart>
    </c:plotArea>
    <c:legend>
      <c:legendPos val="b"/>
      <c:layout>
        <c:manualLayout>
          <c:xMode val="edge"/>
          <c:yMode val="edge"/>
          <c:x val="0.11975703557888598"/>
          <c:y val="0.93268185226846645"/>
          <c:w val="0.80037456255468065"/>
          <c:h val="6.7318147731533565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3.0536832673251448E-2"/>
          <c:w val="0.92724737532808399"/>
          <c:h val="0.75616746131585622"/>
        </c:manualLayout>
      </c:layout>
      <c:bar3DChart>
        <c:barDir val="col"/>
        <c:grouping val="percentStacked"/>
        <c:varyColors val="0"/>
        <c:ser>
          <c:idx val="0"/>
          <c:order val="0"/>
          <c:tx>
            <c:strRef>
              <c:f>Лист1!$B$1</c:f>
              <c:strCache>
                <c:ptCount val="1"/>
                <c:pt idx="0">
                  <c:v>виявлення βЛРС</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вік &lt; 55 років</c:v>
                </c:pt>
                <c:pt idx="1">
                  <c:v>вік &gt; 55 років</c:v>
                </c:pt>
              </c:strCache>
            </c:strRef>
          </c:cat>
          <c:val>
            <c:numRef>
              <c:f>Лист1!$B$2:$B$3</c:f>
              <c:numCache>
                <c:formatCode>0%</c:formatCode>
                <c:ptCount val="2"/>
                <c:pt idx="0">
                  <c:v>0.128</c:v>
                </c:pt>
                <c:pt idx="1">
                  <c:v>0.379</c:v>
                </c:pt>
              </c:numCache>
            </c:numRef>
          </c:val>
        </c:ser>
        <c:ser>
          <c:idx val="1"/>
          <c:order val="1"/>
          <c:tx>
            <c:strRef>
              <c:f>Лист1!$C$1</c:f>
              <c:strCache>
                <c:ptCount val="1"/>
                <c:pt idx="0">
                  <c:v>виявлення генів стійкості до фторхінолонів</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вік &lt; 55 років</c:v>
                </c:pt>
                <c:pt idx="1">
                  <c:v>вік &gt; 55 років</c:v>
                </c:pt>
              </c:strCache>
            </c:strRef>
          </c:cat>
          <c:val>
            <c:numRef>
              <c:f>Лист1!$C$2:$C$3</c:f>
              <c:numCache>
                <c:formatCode>0%</c:formatCode>
                <c:ptCount val="2"/>
                <c:pt idx="0">
                  <c:v>0.10299999999999999</c:v>
                </c:pt>
                <c:pt idx="1">
                  <c:v>0.152</c:v>
                </c:pt>
              </c:numCache>
            </c:numRef>
          </c:val>
        </c:ser>
        <c:ser>
          <c:idx val="2"/>
          <c:order val="2"/>
          <c:tx>
            <c:strRef>
              <c:f>Лист1!$D$1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вік &lt; 55 років</c:v>
                </c:pt>
                <c:pt idx="1">
                  <c:v>вік &gt; 55 років</c:v>
                </c:pt>
              </c:strCache>
            </c:strRef>
          </c:cat>
          <c:val>
            <c:numRef>
              <c:f>Лист1!$D$2:$D$3</c:f>
              <c:numCache>
                <c:formatCode>0%</c:formatCode>
                <c:ptCount val="2"/>
                <c:pt idx="0">
                  <c:v>0.77</c:v>
                </c:pt>
                <c:pt idx="1">
                  <c:v>0.47</c:v>
                </c:pt>
              </c:numCache>
            </c:numRef>
          </c:val>
        </c:ser>
        <c:dLbls>
          <c:showLegendKey val="0"/>
          <c:showVal val="1"/>
          <c:showCatName val="0"/>
          <c:showSerName val="0"/>
          <c:showPercent val="0"/>
          <c:showBubbleSize val="0"/>
        </c:dLbls>
        <c:gapWidth val="150"/>
        <c:shape val="cylinder"/>
        <c:axId val="256001152"/>
        <c:axId val="256002688"/>
        <c:axId val="0"/>
      </c:bar3DChart>
      <c:catAx>
        <c:axId val="256001152"/>
        <c:scaling>
          <c:orientation val="minMax"/>
        </c:scaling>
        <c:delete val="0"/>
        <c:axPos val="b"/>
        <c:numFmt formatCode="General" sourceLinked="0"/>
        <c:majorTickMark val="out"/>
        <c:minorTickMark val="none"/>
        <c:tickLblPos val="nextTo"/>
        <c:txPr>
          <a:bodyPr/>
          <a:lstStyle/>
          <a:p>
            <a:pPr>
              <a:defRPr sz="800" b="1"/>
            </a:pPr>
            <a:endParaRPr lang="ru-RU"/>
          </a:p>
        </c:txPr>
        <c:crossAx val="256002688"/>
        <c:crosses val="autoZero"/>
        <c:auto val="1"/>
        <c:lblAlgn val="ctr"/>
        <c:lblOffset val="100"/>
        <c:noMultiLvlLbl val="0"/>
      </c:catAx>
      <c:valAx>
        <c:axId val="256002688"/>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001152"/>
        <c:crosses val="autoZero"/>
        <c:crossBetween val="between"/>
      </c:valAx>
    </c:plotArea>
    <c:legend>
      <c:legendPos val="b"/>
      <c:layout>
        <c:manualLayout>
          <c:xMode val="edge"/>
          <c:yMode val="edge"/>
          <c:x val="4.7685185185185192E-2"/>
          <c:y val="0.88846697417260712"/>
          <c:w val="0.80386610527850688"/>
          <c:h val="9.7107355664134185E-2"/>
        </c:manualLayout>
      </c:layout>
      <c:overlay val="0"/>
      <c:txPr>
        <a:bodyPr/>
        <a:lstStyle/>
        <a:p>
          <a:pPr>
            <a:defRPr sz="800"/>
          </a:pPr>
          <a:endParaRPr lang="ru-RU"/>
        </a:p>
      </c:txPr>
    </c:legend>
    <c:plotVisOnly val="1"/>
    <c:dispBlanksAs val="gap"/>
    <c:showDLblsOverMax val="0"/>
  </c:chart>
  <c:externalData r:id="rId2">
    <c:autoUpdate val="0"/>
  </c:externalData>
  <c:userShapes r:id="rId3"/>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0119568387284925E-2"/>
          <c:y val="7.1363294338086289E-2"/>
          <c:w val="0.92367672790901134"/>
          <c:h val="0.70363339802175018"/>
        </c:manualLayout>
      </c:layout>
      <c:bar3DChart>
        <c:barDir val="col"/>
        <c:grouping val="clustered"/>
        <c:varyColors val="0"/>
        <c:ser>
          <c:idx val="0"/>
          <c:order val="0"/>
          <c:tx>
            <c:strRef>
              <c:f>Лист1!$B$1</c:f>
              <c:strCache>
                <c:ptCount val="1"/>
                <c:pt idx="0">
                  <c:v>вік &lt; 55 років</c:v>
                </c:pt>
              </c:strCache>
            </c:strRef>
          </c:tx>
          <c:invertIfNegative val="0"/>
          <c:dLbls>
            <c:dLbl>
              <c:idx val="0"/>
              <c:layout>
                <c:manualLayout>
                  <c:x val="6.9444444444444441E-3"/>
                  <c:y val="-1.30147620194401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592592592592587E-3"/>
                  <c:y val="-3.243786106276649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0.27</c:v>
                </c:pt>
                <c:pt idx="1">
                  <c:v>0</c:v>
                </c:pt>
              </c:numCache>
            </c:numRef>
          </c:val>
        </c:ser>
        <c:ser>
          <c:idx val="1"/>
          <c:order val="1"/>
          <c:tx>
            <c:strRef>
              <c:f>Лист1!$C$1</c:f>
              <c:strCache>
                <c:ptCount val="1"/>
                <c:pt idx="0">
                  <c:v>вік &gt; 55 років</c:v>
                </c:pt>
              </c:strCache>
            </c:strRef>
          </c:tx>
          <c:invertIfNegative val="0"/>
          <c:dLbls>
            <c:dLbl>
              <c:idx val="0"/>
              <c:layout>
                <c:manualLayout>
                  <c:x val="1.1574074074074032E-2"/>
                  <c:y val="-1.946271663765989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973E-2"/>
                  <c:y val="-1.946271663765989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0.49</c:v>
                </c:pt>
                <c:pt idx="1">
                  <c:v>0.59</c:v>
                </c:pt>
              </c:numCache>
            </c:numRef>
          </c:val>
        </c:ser>
        <c:dLbls>
          <c:showLegendKey val="0"/>
          <c:showVal val="1"/>
          <c:showCatName val="0"/>
          <c:showSerName val="0"/>
          <c:showPercent val="0"/>
          <c:showBubbleSize val="0"/>
        </c:dLbls>
        <c:gapWidth val="150"/>
        <c:shape val="cylinder"/>
        <c:axId val="256279680"/>
        <c:axId val="256281216"/>
        <c:axId val="0"/>
      </c:bar3DChart>
      <c:catAx>
        <c:axId val="256279680"/>
        <c:scaling>
          <c:orientation val="minMax"/>
        </c:scaling>
        <c:delete val="0"/>
        <c:axPos val="b"/>
        <c:numFmt formatCode="General" sourceLinked="0"/>
        <c:majorTickMark val="out"/>
        <c:minorTickMark val="none"/>
        <c:tickLblPos val="nextTo"/>
        <c:txPr>
          <a:bodyPr/>
          <a:lstStyle/>
          <a:p>
            <a:pPr>
              <a:defRPr b="1"/>
            </a:pPr>
            <a:endParaRPr lang="ru-RU"/>
          </a:p>
        </c:txPr>
        <c:crossAx val="256281216"/>
        <c:crosses val="autoZero"/>
        <c:auto val="1"/>
        <c:lblAlgn val="ctr"/>
        <c:lblOffset val="100"/>
        <c:noMultiLvlLbl val="0"/>
      </c:catAx>
      <c:valAx>
        <c:axId val="256281216"/>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279680"/>
        <c:crosses val="autoZero"/>
        <c:crossBetween val="between"/>
      </c:valAx>
    </c:plotArea>
    <c:legend>
      <c:legendPos val="b"/>
      <c:layout>
        <c:manualLayout>
          <c:xMode val="edge"/>
          <c:yMode val="edge"/>
          <c:x val="0.31159029600466609"/>
          <c:y val="0.88994364023770223"/>
          <c:w val="0.30141076115485566"/>
          <c:h val="9.612221578885342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590660542432196E-2"/>
          <c:y val="0"/>
          <c:w val="0.88917833187518225"/>
          <c:h val="0.82933082961749227"/>
        </c:manualLayout>
      </c:layout>
      <c:bar3DChart>
        <c:barDir val="bar"/>
        <c:grouping val="percentStacked"/>
        <c:varyColors val="0"/>
        <c:ser>
          <c:idx val="0"/>
          <c:order val="0"/>
          <c:tx>
            <c:strRef>
              <c:f>Лист1!$B$1</c:f>
              <c:strCache>
                <c:ptCount val="1"/>
                <c:pt idx="0">
                  <c:v>гени стійкості до β-лактамів</c:v>
                </c:pt>
              </c:strCache>
            </c:strRef>
          </c:tx>
          <c:invertIfNegative val="0"/>
          <c:dLbls>
            <c:dLbl>
              <c:idx val="0"/>
              <c:layout>
                <c:manualLayout>
                  <c:x val="1.1574074074074073E-2"/>
                  <c:y val="-6.2772543013987604E-17"/>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Лист1!$B$2:$B$4</c:f>
              <c:numCache>
                <c:formatCode>0%</c:formatCode>
                <c:ptCount val="3"/>
                <c:pt idx="0">
                  <c:v>0.222</c:v>
                </c:pt>
                <c:pt idx="1">
                  <c:v>0.23799999999999999</c:v>
                </c:pt>
                <c:pt idx="2">
                  <c:v>0.433</c:v>
                </c:pt>
              </c:numCache>
            </c:numRef>
          </c:val>
        </c:ser>
        <c:ser>
          <c:idx val="1"/>
          <c:order val="1"/>
          <c:tx>
            <c:strRef>
              <c:f>Лист1!$C$1</c:f>
              <c:strCache>
                <c:ptCount val="1"/>
                <c:pt idx="0">
                  <c:v>гени стійкості до фторхінолонів</c:v>
                </c:pt>
              </c:strCache>
            </c:strRef>
          </c:tx>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6.848532103067146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9.2590769903761611E-3"/>
                  <c:y val="-6.848532103067146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Лист1!$C$2:$C$4</c:f>
              <c:numCache>
                <c:formatCode>0%</c:formatCode>
                <c:ptCount val="3"/>
                <c:pt idx="0">
                  <c:v>0.20399999999999999</c:v>
                </c:pt>
                <c:pt idx="1">
                  <c:v>4.8000000000000001E-2</c:v>
                </c:pt>
                <c:pt idx="2">
                  <c:v>6.7000000000000004E-2</c:v>
                </c:pt>
              </c:numCache>
            </c:numRef>
          </c:val>
        </c:ser>
        <c:ser>
          <c:idx val="2"/>
          <c:order val="2"/>
          <c:tx>
            <c:strRef>
              <c:f>Лист1!$D$1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Лист1!$D$2:$D$4</c:f>
              <c:numCache>
                <c:formatCode>0%</c:formatCode>
                <c:ptCount val="3"/>
                <c:pt idx="0">
                  <c:v>0.57999999999999996</c:v>
                </c:pt>
                <c:pt idx="1">
                  <c:v>0.71</c:v>
                </c:pt>
                <c:pt idx="2">
                  <c:v>0.5</c:v>
                </c:pt>
              </c:numCache>
            </c:numRef>
          </c:val>
        </c:ser>
        <c:dLbls>
          <c:showLegendKey val="0"/>
          <c:showVal val="0"/>
          <c:showCatName val="0"/>
          <c:showSerName val="0"/>
          <c:showPercent val="0"/>
          <c:showBubbleSize val="0"/>
        </c:dLbls>
        <c:gapWidth val="150"/>
        <c:shape val="cylinder"/>
        <c:axId val="256398848"/>
        <c:axId val="256400384"/>
        <c:axId val="0"/>
      </c:bar3DChart>
      <c:catAx>
        <c:axId val="256398848"/>
        <c:scaling>
          <c:orientation val="minMax"/>
        </c:scaling>
        <c:delete val="0"/>
        <c:axPos val="l"/>
        <c:numFmt formatCode="General" sourceLinked="0"/>
        <c:majorTickMark val="out"/>
        <c:minorTickMark val="none"/>
        <c:tickLblPos val="nextTo"/>
        <c:txPr>
          <a:bodyPr/>
          <a:lstStyle/>
          <a:p>
            <a:pPr>
              <a:defRPr sz="800"/>
            </a:pPr>
            <a:endParaRPr lang="ru-RU"/>
          </a:p>
        </c:txPr>
        <c:crossAx val="256400384"/>
        <c:crosses val="autoZero"/>
        <c:auto val="1"/>
        <c:lblAlgn val="ctr"/>
        <c:lblOffset val="100"/>
        <c:noMultiLvlLbl val="0"/>
      </c:catAx>
      <c:valAx>
        <c:axId val="256400384"/>
        <c:scaling>
          <c:orientation val="minMax"/>
        </c:scaling>
        <c:delete val="0"/>
        <c:axPos val="b"/>
        <c:majorGridlines/>
        <c:numFmt formatCode="0%" sourceLinked="1"/>
        <c:majorTickMark val="out"/>
        <c:minorTickMark val="none"/>
        <c:tickLblPos val="nextTo"/>
        <c:txPr>
          <a:bodyPr/>
          <a:lstStyle/>
          <a:p>
            <a:pPr>
              <a:defRPr sz="800"/>
            </a:pPr>
            <a:endParaRPr lang="ru-RU"/>
          </a:p>
        </c:txPr>
        <c:crossAx val="256398848"/>
        <c:crosses val="autoZero"/>
        <c:crossBetween val="between"/>
      </c:valAx>
    </c:plotArea>
    <c:legend>
      <c:legendPos val="b"/>
      <c:layout>
        <c:manualLayout>
          <c:xMode val="edge"/>
          <c:yMode val="edge"/>
          <c:x val="5.6944444444444443E-2"/>
          <c:y val="0.89979853264610576"/>
          <c:w val="0.80624125109361333"/>
          <c:h val="7.873567946169550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Лист1!$B$1</c:f>
              <c:strCache>
                <c:ptCount val="1"/>
                <c:pt idx="0">
                  <c:v>до 5 років</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0.32</c:v>
                </c:pt>
                <c:pt idx="1">
                  <c:v>0.64700000000000002</c:v>
                </c:pt>
              </c:numCache>
            </c:numRef>
          </c:val>
        </c:ser>
        <c:ser>
          <c:idx val="1"/>
          <c:order val="1"/>
          <c:tx>
            <c:strRef>
              <c:f>Лист1!$C$1</c:f>
              <c:strCache>
                <c:ptCount val="1"/>
                <c:pt idx="0">
                  <c:v>6-10 років</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0.16700000000000001</c:v>
                </c:pt>
                <c:pt idx="1">
                  <c:v>0.44400000000000001</c:v>
                </c:pt>
              </c:numCache>
            </c:numRef>
          </c:val>
        </c:ser>
        <c:ser>
          <c:idx val="2"/>
          <c:order val="2"/>
          <c:tx>
            <c:strRef>
              <c:f>Лист1!$D$1</c:f>
              <c:strCache>
                <c:ptCount val="1"/>
                <c:pt idx="0">
                  <c:v>&gt; 10 років</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Лист1!$D$2:$D$3</c:f>
              <c:numCache>
                <c:formatCode>0%</c:formatCode>
                <c:ptCount val="2"/>
                <c:pt idx="0">
                  <c:v>0.58299999999999996</c:v>
                </c:pt>
                <c:pt idx="1">
                  <c:v>0.16700000000000001</c:v>
                </c:pt>
              </c:numCache>
            </c:numRef>
          </c:val>
        </c:ser>
        <c:dLbls>
          <c:showLegendKey val="0"/>
          <c:showVal val="1"/>
          <c:showCatName val="0"/>
          <c:showSerName val="0"/>
          <c:showPercent val="0"/>
          <c:showBubbleSize val="0"/>
        </c:dLbls>
        <c:gapWidth val="150"/>
        <c:shape val="cylinder"/>
        <c:axId val="256362368"/>
        <c:axId val="256363904"/>
        <c:axId val="0"/>
      </c:bar3DChart>
      <c:catAx>
        <c:axId val="256362368"/>
        <c:scaling>
          <c:orientation val="minMax"/>
        </c:scaling>
        <c:delete val="0"/>
        <c:axPos val="l"/>
        <c:numFmt formatCode="General" sourceLinked="0"/>
        <c:majorTickMark val="out"/>
        <c:minorTickMark val="none"/>
        <c:tickLblPos val="nextTo"/>
        <c:crossAx val="256363904"/>
        <c:crosses val="autoZero"/>
        <c:auto val="1"/>
        <c:lblAlgn val="ctr"/>
        <c:lblOffset val="100"/>
        <c:noMultiLvlLbl val="0"/>
      </c:catAx>
      <c:valAx>
        <c:axId val="256363904"/>
        <c:scaling>
          <c:orientation val="minMax"/>
        </c:scaling>
        <c:delete val="0"/>
        <c:axPos val="b"/>
        <c:majorGridlines/>
        <c:numFmt formatCode="0%" sourceLinked="1"/>
        <c:majorTickMark val="out"/>
        <c:minorTickMark val="none"/>
        <c:tickLblPos val="nextTo"/>
        <c:crossAx val="256362368"/>
        <c:crosses val="autoZero"/>
        <c:crossBetween val="between"/>
      </c:valAx>
    </c:plotArea>
    <c:legend>
      <c:legendPos val="b"/>
      <c:layout>
        <c:manualLayout>
          <c:xMode val="edge"/>
          <c:yMode val="edge"/>
          <c:x val="0.27748742344706911"/>
          <c:y val="0.92077709036370459"/>
          <c:w val="0.44039552347623212"/>
          <c:h val="7.9222976784062454E-2"/>
        </c:manualLayout>
      </c:layout>
      <c:overlay val="0"/>
    </c:legend>
    <c:plotVisOnly val="1"/>
    <c:dispBlanksAs val="gap"/>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4.9722572955878355E-2"/>
          <c:w val="0.92088163458734329"/>
          <c:h val="0.69464396986347932"/>
        </c:manualLayout>
      </c:layout>
      <c:bar3DChart>
        <c:barDir val="col"/>
        <c:grouping val="percentStacked"/>
        <c:varyColors val="0"/>
        <c:ser>
          <c:idx val="0"/>
          <c:order val="0"/>
          <c:tx>
            <c:strRef>
              <c:f>Лист1!$B$1</c:f>
              <c:strCache>
                <c:ptCount val="1"/>
                <c:pt idx="0">
                  <c:v>виявлення βЛРС</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стаціонарне лікування проводилось</c:v>
                </c:pt>
                <c:pt idx="1">
                  <c:v>стаціонарне лікування не проводилось</c:v>
                </c:pt>
              </c:strCache>
            </c:strRef>
          </c:cat>
          <c:val>
            <c:numRef>
              <c:f>Лист1!$B$2:$B$3</c:f>
              <c:numCache>
                <c:formatCode>0%</c:formatCode>
                <c:ptCount val="2"/>
                <c:pt idx="0">
                  <c:v>0.70799999999999996</c:v>
                </c:pt>
                <c:pt idx="1">
                  <c:v>0.16</c:v>
                </c:pt>
              </c:numCache>
            </c:numRef>
          </c:val>
        </c:ser>
        <c:ser>
          <c:idx val="1"/>
          <c:order val="1"/>
          <c:tx>
            <c:strRef>
              <c:f>Лист1!$C$1</c:f>
              <c:strCache>
                <c:ptCount val="1"/>
                <c:pt idx="0">
                  <c:v>виявлення генів резистентності до фторхінолонів</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стаціонарне лікування проводилось</c:v>
                </c:pt>
                <c:pt idx="1">
                  <c:v>стаціонарне лікування не проводилось</c:v>
                </c:pt>
              </c:strCache>
            </c:strRef>
          </c:cat>
          <c:val>
            <c:numRef>
              <c:f>Лист1!$C$2:$C$3</c:f>
              <c:numCache>
                <c:formatCode>0%</c:formatCode>
                <c:ptCount val="2"/>
                <c:pt idx="0">
                  <c:v>8.3000000000000004E-2</c:v>
                </c:pt>
                <c:pt idx="1">
                  <c:v>0.14799999999999999</c:v>
                </c:pt>
              </c:numCache>
            </c:numRef>
          </c:val>
        </c:ser>
        <c:ser>
          <c:idx val="2"/>
          <c:order val="2"/>
          <c:tx>
            <c:strRef>
              <c:f>Лист1!$D$1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стаціонарне лікування проводилось</c:v>
                </c:pt>
                <c:pt idx="1">
                  <c:v>стаціонарне лікування не проводилось</c:v>
                </c:pt>
              </c:strCache>
            </c:strRef>
          </c:cat>
          <c:val>
            <c:numRef>
              <c:f>Лист1!$D$2:$D$3</c:f>
              <c:numCache>
                <c:formatCode>0%</c:formatCode>
                <c:ptCount val="2"/>
                <c:pt idx="0">
                  <c:v>0.21</c:v>
                </c:pt>
                <c:pt idx="1">
                  <c:v>0.69199999999999995</c:v>
                </c:pt>
              </c:numCache>
            </c:numRef>
          </c:val>
        </c:ser>
        <c:dLbls>
          <c:showLegendKey val="0"/>
          <c:showVal val="1"/>
          <c:showCatName val="0"/>
          <c:showSerName val="0"/>
          <c:showPercent val="0"/>
          <c:showBubbleSize val="0"/>
        </c:dLbls>
        <c:gapWidth val="150"/>
        <c:shape val="cylinder"/>
        <c:axId val="256575744"/>
        <c:axId val="256581632"/>
        <c:axId val="0"/>
      </c:bar3DChart>
      <c:catAx>
        <c:axId val="256575744"/>
        <c:scaling>
          <c:orientation val="minMax"/>
        </c:scaling>
        <c:delete val="0"/>
        <c:axPos val="b"/>
        <c:numFmt formatCode="General" sourceLinked="0"/>
        <c:majorTickMark val="out"/>
        <c:minorTickMark val="none"/>
        <c:tickLblPos val="nextTo"/>
        <c:txPr>
          <a:bodyPr/>
          <a:lstStyle/>
          <a:p>
            <a:pPr>
              <a:defRPr sz="800" b="1"/>
            </a:pPr>
            <a:endParaRPr lang="ru-RU"/>
          </a:p>
        </c:txPr>
        <c:crossAx val="256581632"/>
        <c:crosses val="autoZero"/>
        <c:auto val="1"/>
        <c:lblAlgn val="ctr"/>
        <c:lblOffset val="100"/>
        <c:noMultiLvlLbl val="0"/>
      </c:catAx>
      <c:valAx>
        <c:axId val="25658163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575744"/>
        <c:crosses val="autoZero"/>
        <c:crossBetween val="between"/>
      </c:valAx>
    </c:plotArea>
    <c:legend>
      <c:legendPos val="b"/>
      <c:layout>
        <c:manualLayout>
          <c:xMode val="edge"/>
          <c:yMode val="edge"/>
          <c:x val="6.3059930008748905E-2"/>
          <c:y val="0.91145225551841991"/>
          <c:w val="0.8599912510936133"/>
          <c:h val="8.8547744481580093E-2"/>
        </c:manualLayout>
      </c:layout>
      <c:overlay val="0"/>
      <c:txPr>
        <a:bodyPr/>
        <a:lstStyle/>
        <a:p>
          <a:pPr>
            <a:defRPr sz="800"/>
          </a:pPr>
          <a:endParaRPr lang="ru-RU"/>
        </a:p>
      </c:txPr>
    </c:legend>
    <c:plotVisOnly val="1"/>
    <c:dispBlanksAs val="gap"/>
    <c:showDLblsOverMax val="0"/>
  </c:chart>
  <c:externalData r:id="rId2">
    <c:autoUpdate val="0"/>
  </c:externalData>
  <c:userShapes r:id="rId3"/>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4008457276173806E-2"/>
          <c:y val="6.9757048732563859E-2"/>
          <c:w val="0.91210265383493727"/>
          <c:h val="0.72299510901723452"/>
        </c:manualLayout>
      </c:layout>
      <c:bar3DChart>
        <c:barDir val="col"/>
        <c:grouping val="clustered"/>
        <c:varyColors val="0"/>
        <c:ser>
          <c:idx val="0"/>
          <c:order val="0"/>
          <c:tx>
            <c:strRef>
              <c:f>Лист1!$B$1</c:f>
              <c:strCache>
                <c:ptCount val="1"/>
                <c:pt idx="0">
                  <c:v>випадок госпіталізації +</c:v>
                </c:pt>
              </c:strCache>
            </c:strRef>
          </c:tx>
          <c:invertIfNegative val="0"/>
          <c:dLbls>
            <c:dLbl>
              <c:idx val="0"/>
              <c:layout>
                <c:manualLayout>
                  <c:x val="1.1574074074074073E-2"/>
                  <c:y val="-3.1707749423892664E-2"/>
                </c:manualLayout>
              </c:layout>
              <c:tx>
                <c:rich>
                  <a:bodyPr/>
                  <a:lstStyle/>
                  <a:p>
                    <a:r>
                      <a:rPr lang="en-US"/>
                      <a:t>73%</a:t>
                    </a:r>
                    <a:r>
                      <a:rPr lang="en-US" baseline="30000"/>
                      <a:t>*</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2.5366199539114131E-2"/>
                </c:manualLayout>
              </c:layout>
              <c:tx>
                <c:rich>
                  <a:bodyPr/>
                  <a:lstStyle/>
                  <a:p>
                    <a:r>
                      <a:rPr lang="en-US"/>
                      <a:t>85%</a:t>
                    </a:r>
                    <a:r>
                      <a:rPr lang="en-US" baseline="30000"/>
                      <a:t>*</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0.73</c:v>
                </c:pt>
                <c:pt idx="1">
                  <c:v>0.84599999999999997</c:v>
                </c:pt>
              </c:numCache>
            </c:numRef>
          </c:val>
        </c:ser>
        <c:ser>
          <c:idx val="1"/>
          <c:order val="1"/>
          <c:tx>
            <c:strRef>
              <c:f>Лист1!$C$1</c:f>
              <c:strCache>
                <c:ptCount val="1"/>
                <c:pt idx="0">
                  <c:v>випадок госпіталізації -</c:v>
                </c:pt>
              </c:strCache>
            </c:strRef>
          </c:tx>
          <c:invertIfNegative val="0"/>
          <c:dLbls>
            <c:dLbl>
              <c:idx val="0"/>
              <c:layout>
                <c:manualLayout>
                  <c:x val="1.3888888888888931E-2"/>
                  <c:y val="-3.170774942389266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3.170774942389266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0.32300000000000001</c:v>
                </c:pt>
                <c:pt idx="1">
                  <c:v>0.26300000000000001</c:v>
                </c:pt>
              </c:numCache>
            </c:numRef>
          </c:val>
        </c:ser>
        <c:dLbls>
          <c:showLegendKey val="0"/>
          <c:showVal val="1"/>
          <c:showCatName val="0"/>
          <c:showSerName val="0"/>
          <c:showPercent val="0"/>
          <c:showBubbleSize val="0"/>
        </c:dLbls>
        <c:gapWidth val="150"/>
        <c:shape val="cylinder"/>
        <c:axId val="256297216"/>
        <c:axId val="256524288"/>
        <c:axId val="0"/>
      </c:bar3DChart>
      <c:catAx>
        <c:axId val="256297216"/>
        <c:scaling>
          <c:orientation val="minMax"/>
        </c:scaling>
        <c:delete val="0"/>
        <c:axPos val="b"/>
        <c:numFmt formatCode="General" sourceLinked="0"/>
        <c:majorTickMark val="out"/>
        <c:minorTickMark val="none"/>
        <c:tickLblPos val="nextTo"/>
        <c:txPr>
          <a:bodyPr/>
          <a:lstStyle/>
          <a:p>
            <a:pPr>
              <a:defRPr b="1"/>
            </a:pPr>
            <a:endParaRPr lang="ru-RU"/>
          </a:p>
        </c:txPr>
        <c:crossAx val="256524288"/>
        <c:crosses val="autoZero"/>
        <c:auto val="1"/>
        <c:lblAlgn val="ctr"/>
        <c:lblOffset val="100"/>
        <c:noMultiLvlLbl val="0"/>
      </c:catAx>
      <c:valAx>
        <c:axId val="256524288"/>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297216"/>
        <c:crosses val="autoZero"/>
        <c:crossBetween val="between"/>
      </c:valAx>
    </c:plotArea>
    <c:legend>
      <c:legendPos val="b"/>
      <c:layout>
        <c:manualLayout>
          <c:xMode val="edge"/>
          <c:yMode val="edge"/>
          <c:x val="0.25156532516768737"/>
          <c:y val="0.90632743219181333"/>
          <c:w val="0.49686916739574222"/>
          <c:h val="9.3672681152364476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5.2942879284505973E-2"/>
          <c:w val="0.92011428258967631"/>
          <c:h val="0.75919535752253753"/>
        </c:manualLayout>
      </c:layout>
      <c:bar3DChart>
        <c:barDir val="col"/>
        <c:grouping val="percentStacked"/>
        <c:varyColors val="0"/>
        <c:ser>
          <c:idx val="0"/>
          <c:order val="0"/>
          <c:tx>
            <c:strRef>
              <c:f>Лист1!$B$1</c:f>
              <c:strCache>
                <c:ptCount val="1"/>
                <c:pt idx="0">
                  <c:v>виявлення βЛРС</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Прийом АБП був</c:v>
                </c:pt>
                <c:pt idx="1">
                  <c:v>Прийому АБП не було</c:v>
                </c:pt>
              </c:strCache>
            </c:strRef>
          </c:cat>
          <c:val>
            <c:numRef>
              <c:f>Лист1!$B$2:$B$3</c:f>
              <c:numCache>
                <c:formatCode>0%</c:formatCode>
                <c:ptCount val="2"/>
                <c:pt idx="0">
                  <c:v>0.44700000000000001</c:v>
                </c:pt>
                <c:pt idx="1">
                  <c:v>0.19400000000000001</c:v>
                </c:pt>
              </c:numCache>
            </c:numRef>
          </c:val>
        </c:ser>
        <c:ser>
          <c:idx val="1"/>
          <c:order val="1"/>
          <c:tx>
            <c:strRef>
              <c:f>Лист1!$C$1</c:f>
              <c:strCache>
                <c:ptCount val="1"/>
                <c:pt idx="0">
                  <c:v>виявлення генів рез-ті до фторхінолонів</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Прийом АБП був</c:v>
                </c:pt>
                <c:pt idx="1">
                  <c:v>Прийому АБП не було</c:v>
                </c:pt>
              </c:strCache>
            </c:strRef>
          </c:cat>
          <c:val>
            <c:numRef>
              <c:f>Лист1!$C$2:$C$3</c:f>
              <c:numCache>
                <c:formatCode>0%</c:formatCode>
                <c:ptCount val="2"/>
                <c:pt idx="0">
                  <c:v>2.5999999999999999E-2</c:v>
                </c:pt>
                <c:pt idx="1">
                  <c:v>0.19400000000000001</c:v>
                </c:pt>
              </c:numCache>
            </c:numRef>
          </c:val>
        </c:ser>
        <c:ser>
          <c:idx val="2"/>
          <c:order val="2"/>
          <c:tx>
            <c:strRef>
              <c:f>Лист1!$D$1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Прийом АБП був</c:v>
                </c:pt>
                <c:pt idx="1">
                  <c:v>Прийому АБП не було</c:v>
                </c:pt>
              </c:strCache>
            </c:strRef>
          </c:cat>
          <c:val>
            <c:numRef>
              <c:f>Лист1!$D$2:$D$3</c:f>
              <c:numCache>
                <c:formatCode>0%</c:formatCode>
                <c:ptCount val="2"/>
                <c:pt idx="0">
                  <c:v>0.52</c:v>
                </c:pt>
                <c:pt idx="1">
                  <c:v>0.62</c:v>
                </c:pt>
              </c:numCache>
            </c:numRef>
          </c:val>
        </c:ser>
        <c:dLbls>
          <c:showLegendKey val="0"/>
          <c:showVal val="1"/>
          <c:showCatName val="0"/>
          <c:showSerName val="0"/>
          <c:showPercent val="0"/>
          <c:showBubbleSize val="0"/>
        </c:dLbls>
        <c:gapWidth val="150"/>
        <c:shape val="cylinder"/>
        <c:axId val="256871040"/>
        <c:axId val="256881024"/>
        <c:axId val="0"/>
      </c:bar3DChart>
      <c:catAx>
        <c:axId val="256871040"/>
        <c:scaling>
          <c:orientation val="minMax"/>
        </c:scaling>
        <c:delete val="0"/>
        <c:axPos val="b"/>
        <c:numFmt formatCode="General" sourceLinked="0"/>
        <c:majorTickMark val="out"/>
        <c:minorTickMark val="none"/>
        <c:tickLblPos val="nextTo"/>
        <c:txPr>
          <a:bodyPr/>
          <a:lstStyle/>
          <a:p>
            <a:pPr>
              <a:defRPr sz="800" b="1"/>
            </a:pPr>
            <a:endParaRPr lang="ru-RU"/>
          </a:p>
        </c:txPr>
        <c:crossAx val="256881024"/>
        <c:crosses val="autoZero"/>
        <c:auto val="1"/>
        <c:lblAlgn val="ctr"/>
        <c:lblOffset val="100"/>
        <c:noMultiLvlLbl val="0"/>
      </c:catAx>
      <c:valAx>
        <c:axId val="25688102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871040"/>
        <c:crosses val="autoZero"/>
        <c:crossBetween val="between"/>
      </c:valAx>
    </c:plotArea>
    <c:legend>
      <c:legendPos val="b"/>
      <c:layout>
        <c:manualLayout>
          <c:xMode val="edge"/>
          <c:yMode val="edge"/>
          <c:x val="0.11187718722659667"/>
          <c:y val="0.90572091351651585"/>
          <c:w val="0.771615995917177"/>
          <c:h val="9.4279086483484167E-2"/>
        </c:manualLayout>
      </c:layout>
      <c:overlay val="0"/>
      <c:txPr>
        <a:bodyPr/>
        <a:lstStyle/>
        <a:p>
          <a:pPr>
            <a:defRPr sz="800"/>
          </a:pPr>
          <a:endParaRPr lang="ru-RU"/>
        </a:p>
      </c:txPr>
    </c:legend>
    <c:plotVisOnly val="1"/>
    <c:dispBlanksAs val="gap"/>
    <c:showDLblsOverMax val="0"/>
  </c:chart>
  <c:externalData r:id="rId2">
    <c:autoUpdate val="0"/>
  </c:externalData>
  <c:userShapes r:id="rId3"/>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7170093321668132E-2"/>
          <c:y val="5.9364565431125421E-2"/>
          <c:w val="0.90662620297462815"/>
          <c:h val="0.70513317266740072"/>
        </c:manualLayout>
      </c:layout>
      <c:bar3DChart>
        <c:barDir val="col"/>
        <c:grouping val="clustered"/>
        <c:varyColors val="0"/>
        <c:ser>
          <c:idx val="0"/>
          <c:order val="0"/>
          <c:tx>
            <c:strRef>
              <c:f>Лист1!$B$1</c:f>
              <c:strCache>
                <c:ptCount val="1"/>
                <c:pt idx="0">
                  <c:v>прийом АБП був</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0.4</c:v>
                </c:pt>
                <c:pt idx="1">
                  <c:v>0.625</c:v>
                </c:pt>
              </c:numCache>
            </c:numRef>
          </c:val>
        </c:ser>
        <c:ser>
          <c:idx val="1"/>
          <c:order val="1"/>
          <c:tx>
            <c:strRef>
              <c:f>Лист1!$C$1</c:f>
              <c:strCache>
                <c:ptCount val="1"/>
                <c:pt idx="0">
                  <c:v>прийому АБП не було</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0.32600000000000001</c:v>
                </c:pt>
                <c:pt idx="1">
                  <c:v>0.54200000000000004</c:v>
                </c:pt>
              </c:numCache>
            </c:numRef>
          </c:val>
        </c:ser>
        <c:dLbls>
          <c:showLegendKey val="0"/>
          <c:showVal val="1"/>
          <c:showCatName val="0"/>
          <c:showSerName val="0"/>
          <c:showPercent val="0"/>
          <c:showBubbleSize val="0"/>
        </c:dLbls>
        <c:gapWidth val="150"/>
        <c:shape val="cylinder"/>
        <c:axId val="256690816"/>
        <c:axId val="256950656"/>
        <c:axId val="0"/>
      </c:bar3DChart>
      <c:catAx>
        <c:axId val="256690816"/>
        <c:scaling>
          <c:orientation val="minMax"/>
        </c:scaling>
        <c:delete val="0"/>
        <c:axPos val="b"/>
        <c:numFmt formatCode="General" sourceLinked="0"/>
        <c:majorTickMark val="out"/>
        <c:minorTickMark val="none"/>
        <c:tickLblPos val="nextTo"/>
        <c:txPr>
          <a:bodyPr/>
          <a:lstStyle/>
          <a:p>
            <a:pPr>
              <a:defRPr b="1"/>
            </a:pPr>
            <a:endParaRPr lang="ru-RU"/>
          </a:p>
        </c:txPr>
        <c:crossAx val="256950656"/>
        <c:crosses val="autoZero"/>
        <c:auto val="1"/>
        <c:lblAlgn val="ctr"/>
        <c:lblOffset val="100"/>
        <c:noMultiLvlLbl val="0"/>
      </c:catAx>
      <c:valAx>
        <c:axId val="256950656"/>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690816"/>
        <c:crosses val="autoZero"/>
        <c:crossBetween val="between"/>
      </c:valAx>
    </c:plotArea>
    <c:legend>
      <c:legendPos val="b"/>
      <c:layout>
        <c:manualLayout>
          <c:xMode val="edge"/>
          <c:yMode val="edge"/>
          <c:x val="0.29196813939924177"/>
          <c:y val="0.88281220784077452"/>
          <c:w val="0.41606353893263343"/>
          <c:h val="9.743215793571280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5.4021945173519978E-2"/>
          <c:y val="2.4961498520355639E-2"/>
          <c:w val="0.93380449839603386"/>
          <c:h val="0.70262828244938136"/>
        </c:manualLayout>
      </c:layout>
      <c:bar3DChart>
        <c:barDir val="col"/>
        <c:grouping val="clustered"/>
        <c:varyColors val="0"/>
        <c:ser>
          <c:idx val="0"/>
          <c:order val="0"/>
          <c:tx>
            <c:strRef>
              <c:f>Лист1!$B$1</c:f>
              <c:strCache>
                <c:ptCount val="1"/>
                <c:pt idx="0">
                  <c:v>чутливий</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0.28000000000000003</c:v>
                </c:pt>
                <c:pt idx="1">
                  <c:v>0.42</c:v>
                </c:pt>
                <c:pt idx="2">
                  <c:v>0.57999999999999996</c:v>
                </c:pt>
                <c:pt idx="3">
                  <c:v>0.63</c:v>
                </c:pt>
                <c:pt idx="4">
                  <c:v>0.5</c:v>
                </c:pt>
                <c:pt idx="5">
                  <c:v>0.64</c:v>
                </c:pt>
                <c:pt idx="6">
                  <c:v>0.56999999999999995</c:v>
                </c:pt>
                <c:pt idx="7">
                  <c:v>0.53</c:v>
                </c:pt>
                <c:pt idx="8">
                  <c:v>0.59</c:v>
                </c:pt>
                <c:pt idx="9">
                  <c:v>0.59</c:v>
                </c:pt>
                <c:pt idx="10">
                  <c:v>0.72</c:v>
                </c:pt>
                <c:pt idx="11">
                  <c:v>0.71</c:v>
                </c:pt>
                <c:pt idx="12">
                  <c:v>0.71</c:v>
                </c:pt>
                <c:pt idx="13">
                  <c:v>0.81</c:v>
                </c:pt>
                <c:pt idx="14">
                  <c:v>0.95</c:v>
                </c:pt>
              </c:numCache>
            </c:numRef>
          </c:val>
        </c:ser>
        <c:ser>
          <c:idx val="1"/>
          <c:order val="1"/>
          <c:tx>
            <c:strRef>
              <c:f>Лист1!$C$1</c:f>
              <c:strCache>
                <c:ptCount val="1"/>
                <c:pt idx="0">
                  <c:v>резистентний</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0.72</c:v>
                </c:pt>
                <c:pt idx="1">
                  <c:v>0.56999999999999995</c:v>
                </c:pt>
                <c:pt idx="2">
                  <c:v>0.42</c:v>
                </c:pt>
                <c:pt idx="3">
                  <c:v>0.37</c:v>
                </c:pt>
                <c:pt idx="4">
                  <c:v>0.4</c:v>
                </c:pt>
                <c:pt idx="5">
                  <c:v>0.36</c:v>
                </c:pt>
                <c:pt idx="6">
                  <c:v>0.43</c:v>
                </c:pt>
                <c:pt idx="7">
                  <c:v>0.47</c:v>
                </c:pt>
                <c:pt idx="8">
                  <c:v>0.41</c:v>
                </c:pt>
                <c:pt idx="9">
                  <c:v>0.41</c:v>
                </c:pt>
                <c:pt idx="10">
                  <c:v>0.28000000000000003</c:v>
                </c:pt>
                <c:pt idx="11">
                  <c:v>0.28999999999999998</c:v>
                </c:pt>
                <c:pt idx="12">
                  <c:v>0.28999999999999998</c:v>
                </c:pt>
                <c:pt idx="13">
                  <c:v>0.19</c:v>
                </c:pt>
                <c:pt idx="14">
                  <c:v>0.05</c:v>
                </c:pt>
              </c:numCache>
            </c:numRef>
          </c:val>
        </c:ser>
        <c:dLbls>
          <c:showLegendKey val="0"/>
          <c:showVal val="0"/>
          <c:showCatName val="0"/>
          <c:showSerName val="0"/>
          <c:showPercent val="0"/>
          <c:showBubbleSize val="0"/>
        </c:dLbls>
        <c:gapWidth val="150"/>
        <c:shape val="cylinder"/>
        <c:axId val="257008768"/>
        <c:axId val="257010304"/>
        <c:axId val="0"/>
      </c:bar3DChart>
      <c:catAx>
        <c:axId val="257008768"/>
        <c:scaling>
          <c:orientation val="minMax"/>
        </c:scaling>
        <c:delete val="0"/>
        <c:axPos val="b"/>
        <c:numFmt formatCode="General" sourceLinked="0"/>
        <c:majorTickMark val="out"/>
        <c:minorTickMark val="none"/>
        <c:tickLblPos val="nextTo"/>
        <c:txPr>
          <a:bodyPr/>
          <a:lstStyle/>
          <a:p>
            <a:pPr>
              <a:defRPr sz="500" b="1"/>
            </a:pPr>
            <a:endParaRPr lang="ru-RU"/>
          </a:p>
        </c:txPr>
        <c:crossAx val="257010304"/>
        <c:crosses val="autoZero"/>
        <c:auto val="1"/>
        <c:lblAlgn val="ctr"/>
        <c:lblOffset val="100"/>
        <c:noMultiLvlLbl val="0"/>
      </c:catAx>
      <c:valAx>
        <c:axId val="25701030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7008768"/>
        <c:crosses val="autoZero"/>
        <c:crossBetween val="between"/>
      </c:valAx>
    </c:plotArea>
    <c:legend>
      <c:legendPos val="b"/>
      <c:layout>
        <c:manualLayout>
          <c:xMode val="edge"/>
          <c:yMode val="edge"/>
          <c:x val="0.27935385680956548"/>
          <c:y val="0.92210621615336053"/>
          <c:w val="0.26186916739574218"/>
          <c:h val="7.7894254681964939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9378827646544183E-2"/>
          <c:y val="4.8558421851289835E-2"/>
          <c:w val="0.92136191309419657"/>
          <c:h val="0.64885654120737746"/>
        </c:manualLayout>
      </c:layout>
      <c:bar3DChart>
        <c:barDir val="col"/>
        <c:grouping val="clustered"/>
        <c:varyColors val="0"/>
        <c:ser>
          <c:idx val="0"/>
          <c:order val="0"/>
          <c:tx>
            <c:strRef>
              <c:f>Лист1!$B$1</c:f>
              <c:strCache>
                <c:ptCount val="1"/>
                <c:pt idx="0">
                  <c:v>І група</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0.28000000000000003</c:v>
                </c:pt>
                <c:pt idx="1">
                  <c:v>0.46</c:v>
                </c:pt>
                <c:pt idx="2">
                  <c:v>0.61</c:v>
                </c:pt>
                <c:pt idx="3">
                  <c:v>0.67</c:v>
                </c:pt>
                <c:pt idx="4">
                  <c:v>0.64</c:v>
                </c:pt>
                <c:pt idx="5">
                  <c:v>0.67</c:v>
                </c:pt>
                <c:pt idx="6">
                  <c:v>0.61</c:v>
                </c:pt>
                <c:pt idx="7">
                  <c:v>0.53</c:v>
                </c:pt>
                <c:pt idx="8">
                  <c:v>0.61</c:v>
                </c:pt>
                <c:pt idx="9">
                  <c:v>0.55000000000000004</c:v>
                </c:pt>
                <c:pt idx="10">
                  <c:v>0.72</c:v>
                </c:pt>
                <c:pt idx="11">
                  <c:v>0.76</c:v>
                </c:pt>
                <c:pt idx="12">
                  <c:v>0.78</c:v>
                </c:pt>
                <c:pt idx="13">
                  <c:v>0.83</c:v>
                </c:pt>
                <c:pt idx="14">
                  <c:v>0.95</c:v>
                </c:pt>
              </c:numCache>
            </c:numRef>
          </c:val>
        </c:ser>
        <c:ser>
          <c:idx val="1"/>
          <c:order val="1"/>
          <c:tx>
            <c:strRef>
              <c:f>Лист1!$C$1</c:f>
              <c:strCache>
                <c:ptCount val="1"/>
                <c:pt idx="0">
                  <c:v>ІІ група</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0.28000000000000003</c:v>
                </c:pt>
                <c:pt idx="1">
                  <c:v>0.36</c:v>
                </c:pt>
                <c:pt idx="2">
                  <c:v>0.54</c:v>
                </c:pt>
                <c:pt idx="3">
                  <c:v>0.56000000000000005</c:v>
                </c:pt>
                <c:pt idx="4">
                  <c:v>0.51</c:v>
                </c:pt>
                <c:pt idx="5">
                  <c:v>0.59</c:v>
                </c:pt>
                <c:pt idx="6">
                  <c:v>0.49</c:v>
                </c:pt>
                <c:pt idx="7">
                  <c:v>0.54</c:v>
                </c:pt>
                <c:pt idx="8">
                  <c:v>0.56000000000000005</c:v>
                </c:pt>
                <c:pt idx="9">
                  <c:v>0.67</c:v>
                </c:pt>
                <c:pt idx="10">
                  <c:v>0.72</c:v>
                </c:pt>
                <c:pt idx="11">
                  <c:v>0.62</c:v>
                </c:pt>
                <c:pt idx="12">
                  <c:v>0.59</c:v>
                </c:pt>
                <c:pt idx="13">
                  <c:v>0.77</c:v>
                </c:pt>
                <c:pt idx="14">
                  <c:v>0.95</c:v>
                </c:pt>
              </c:numCache>
            </c:numRef>
          </c:val>
        </c:ser>
        <c:dLbls>
          <c:showLegendKey val="0"/>
          <c:showVal val="0"/>
          <c:showCatName val="0"/>
          <c:showSerName val="0"/>
          <c:showPercent val="0"/>
          <c:showBubbleSize val="0"/>
        </c:dLbls>
        <c:gapWidth val="150"/>
        <c:shape val="cylinder"/>
        <c:axId val="256892288"/>
        <c:axId val="256963712"/>
        <c:axId val="0"/>
      </c:bar3DChart>
      <c:catAx>
        <c:axId val="256892288"/>
        <c:scaling>
          <c:orientation val="minMax"/>
        </c:scaling>
        <c:delete val="0"/>
        <c:axPos val="b"/>
        <c:numFmt formatCode="General" sourceLinked="0"/>
        <c:majorTickMark val="out"/>
        <c:minorTickMark val="none"/>
        <c:tickLblPos val="nextTo"/>
        <c:txPr>
          <a:bodyPr/>
          <a:lstStyle/>
          <a:p>
            <a:pPr>
              <a:defRPr sz="500" b="1"/>
            </a:pPr>
            <a:endParaRPr lang="ru-RU"/>
          </a:p>
        </c:txPr>
        <c:crossAx val="256963712"/>
        <c:crosses val="autoZero"/>
        <c:auto val="1"/>
        <c:lblAlgn val="ctr"/>
        <c:lblOffset val="100"/>
        <c:noMultiLvlLbl val="0"/>
      </c:catAx>
      <c:valAx>
        <c:axId val="25696371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6892288"/>
        <c:crosses val="autoZero"/>
        <c:crossBetween val="between"/>
      </c:valAx>
    </c:plotArea>
    <c:legend>
      <c:legendPos val="b"/>
      <c:layout>
        <c:manualLayout>
          <c:xMode val="edge"/>
          <c:yMode val="edge"/>
          <c:x val="0.41042195246427532"/>
          <c:y val="0.89847418541574564"/>
          <c:w val="0.18378572470107904"/>
          <c:h val="8.963755550533085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7271164589600345E-2"/>
          <c:w val="0.88579286964129489"/>
          <c:h val="0.78124850923689504"/>
        </c:manualLayout>
      </c:layout>
      <c:bar3DChart>
        <c:barDir val="col"/>
        <c:grouping val="percentStacked"/>
        <c:varyColors val="0"/>
        <c:ser>
          <c:idx val="0"/>
          <c:order val="0"/>
          <c:tx>
            <c:strRef>
              <c:f>Лист1!$B$1</c:f>
              <c:strCache>
                <c:ptCount val="1"/>
                <c:pt idx="0">
                  <c:v>βЛРС</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Лист1!$B$2:$B$3</c:f>
              <c:numCache>
                <c:formatCode>0%</c:formatCode>
                <c:ptCount val="2"/>
                <c:pt idx="0">
                  <c:v>0.27</c:v>
                </c:pt>
                <c:pt idx="1">
                  <c:v>0.31</c:v>
                </c:pt>
              </c:numCache>
            </c:numRef>
          </c:val>
        </c:ser>
        <c:ser>
          <c:idx val="1"/>
          <c:order val="1"/>
          <c:tx>
            <c:strRef>
              <c:f>Лист1!$C$1</c:f>
              <c:strCache>
                <c:ptCount val="1"/>
                <c:pt idx="0">
                  <c:v>гени рез-ті до фторхінолонів</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Лист1!$C$2:$C$3</c:f>
              <c:numCache>
                <c:formatCode>0%</c:formatCode>
                <c:ptCount val="2"/>
                <c:pt idx="0">
                  <c:v>0.11</c:v>
                </c:pt>
                <c:pt idx="1">
                  <c:v>0.19</c:v>
                </c:pt>
              </c:numCache>
            </c:numRef>
          </c:val>
        </c:ser>
        <c:ser>
          <c:idx val="2"/>
          <c:order val="2"/>
          <c:tx>
            <c:strRef>
              <c:f>Лист1!$D$1</c:f>
              <c:strCache>
                <c:ptCount val="1"/>
                <c:pt idx="0">
                  <c:v>генів не виявлено</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Лист1!$D$2:$D$3</c:f>
              <c:numCache>
                <c:formatCode>0%</c:formatCode>
                <c:ptCount val="2"/>
                <c:pt idx="0">
                  <c:v>0.62</c:v>
                </c:pt>
                <c:pt idx="1">
                  <c:v>0.5</c:v>
                </c:pt>
              </c:numCache>
            </c:numRef>
          </c:val>
        </c:ser>
        <c:dLbls>
          <c:showLegendKey val="0"/>
          <c:showVal val="1"/>
          <c:showCatName val="0"/>
          <c:showSerName val="0"/>
          <c:showPercent val="0"/>
          <c:showBubbleSize val="0"/>
        </c:dLbls>
        <c:gapWidth val="150"/>
        <c:shape val="cylinder"/>
        <c:axId val="254175104"/>
        <c:axId val="254176640"/>
        <c:axId val="0"/>
      </c:bar3DChart>
      <c:catAx>
        <c:axId val="254175104"/>
        <c:scaling>
          <c:orientation val="minMax"/>
        </c:scaling>
        <c:delete val="0"/>
        <c:axPos val="b"/>
        <c:majorTickMark val="out"/>
        <c:minorTickMark val="none"/>
        <c:tickLblPos val="nextTo"/>
        <c:crossAx val="254176640"/>
        <c:crosses val="autoZero"/>
        <c:auto val="1"/>
        <c:lblAlgn val="ctr"/>
        <c:lblOffset val="100"/>
        <c:noMultiLvlLbl val="0"/>
      </c:catAx>
      <c:valAx>
        <c:axId val="254176640"/>
        <c:scaling>
          <c:orientation val="minMax"/>
        </c:scaling>
        <c:delete val="0"/>
        <c:axPos val="l"/>
        <c:majorGridlines/>
        <c:numFmt formatCode="0%" sourceLinked="1"/>
        <c:majorTickMark val="out"/>
        <c:minorTickMark val="none"/>
        <c:tickLblPos val="nextTo"/>
        <c:crossAx val="254175104"/>
        <c:crosses val="autoZero"/>
        <c:crossBetween val="between"/>
      </c:valAx>
    </c:plotArea>
    <c:legend>
      <c:legendPos val="b"/>
      <c:layout>
        <c:manualLayout>
          <c:xMode val="edge"/>
          <c:yMode val="edge"/>
          <c:x val="0.15249198016914553"/>
          <c:y val="0.93084583177102864"/>
          <c:w val="0.73731226305045194"/>
          <c:h val="6.9154153278697672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4.5321267587502018E-2"/>
          <c:w val="0.92694644940215809"/>
          <c:h val="0.68815202769357708"/>
        </c:manualLayout>
      </c:layout>
      <c:bar3DChart>
        <c:barDir val="col"/>
        <c:grouping val="clustered"/>
        <c:varyColors val="0"/>
        <c:ser>
          <c:idx val="0"/>
          <c:order val="0"/>
          <c:tx>
            <c:strRef>
              <c:f>Лист1!$B$1</c:f>
              <c:strCache>
                <c:ptCount val="1"/>
                <c:pt idx="0">
                  <c:v>чутливий</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0.08</c:v>
                </c:pt>
                <c:pt idx="1">
                  <c:v>0.42</c:v>
                </c:pt>
                <c:pt idx="2">
                  <c:v>0.56000000000000005</c:v>
                </c:pt>
                <c:pt idx="3">
                  <c:v>0.58299999999999996</c:v>
                </c:pt>
                <c:pt idx="4">
                  <c:v>0.61099999999999999</c:v>
                </c:pt>
                <c:pt idx="5">
                  <c:v>0.66700000000000004</c:v>
                </c:pt>
                <c:pt idx="6">
                  <c:v>0.58299999999999996</c:v>
                </c:pt>
                <c:pt idx="7">
                  <c:v>0.47199999999999998</c:v>
                </c:pt>
                <c:pt idx="8">
                  <c:v>0.5</c:v>
                </c:pt>
                <c:pt idx="9">
                  <c:v>0.64</c:v>
                </c:pt>
                <c:pt idx="10">
                  <c:v>0.75</c:v>
                </c:pt>
                <c:pt idx="11">
                  <c:v>0.64</c:v>
                </c:pt>
                <c:pt idx="12">
                  <c:v>0.53</c:v>
                </c:pt>
                <c:pt idx="13">
                  <c:v>0.77</c:v>
                </c:pt>
                <c:pt idx="14">
                  <c:v>0.97199999999999998</c:v>
                </c:pt>
              </c:numCache>
            </c:numRef>
          </c:val>
        </c:ser>
        <c:ser>
          <c:idx val="1"/>
          <c:order val="1"/>
          <c:tx>
            <c:strRef>
              <c:f>Лист1!$C$1</c:f>
              <c:strCache>
                <c:ptCount val="1"/>
                <c:pt idx="0">
                  <c:v>резистентний</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0.9</c:v>
                </c:pt>
                <c:pt idx="1">
                  <c:v>0.57999999999999996</c:v>
                </c:pt>
                <c:pt idx="2">
                  <c:v>0.45</c:v>
                </c:pt>
                <c:pt idx="3">
                  <c:v>0.42</c:v>
                </c:pt>
                <c:pt idx="4">
                  <c:v>0.38</c:v>
                </c:pt>
                <c:pt idx="5">
                  <c:v>0.33</c:v>
                </c:pt>
                <c:pt idx="6">
                  <c:v>0.42</c:v>
                </c:pt>
                <c:pt idx="7">
                  <c:v>0.53</c:v>
                </c:pt>
                <c:pt idx="8">
                  <c:v>0.5</c:v>
                </c:pt>
                <c:pt idx="9">
                  <c:v>0.36</c:v>
                </c:pt>
                <c:pt idx="10">
                  <c:v>0.25</c:v>
                </c:pt>
                <c:pt idx="11">
                  <c:v>0.36</c:v>
                </c:pt>
                <c:pt idx="12">
                  <c:v>0.47</c:v>
                </c:pt>
                <c:pt idx="13">
                  <c:v>0.23</c:v>
                </c:pt>
                <c:pt idx="14">
                  <c:v>0.03</c:v>
                </c:pt>
              </c:numCache>
            </c:numRef>
          </c:val>
        </c:ser>
        <c:dLbls>
          <c:showLegendKey val="0"/>
          <c:showVal val="0"/>
          <c:showCatName val="0"/>
          <c:showSerName val="0"/>
          <c:showPercent val="0"/>
          <c:showBubbleSize val="0"/>
        </c:dLbls>
        <c:gapWidth val="150"/>
        <c:shape val="cylinder"/>
        <c:axId val="257136512"/>
        <c:axId val="257138048"/>
        <c:axId val="0"/>
      </c:bar3DChart>
      <c:catAx>
        <c:axId val="257136512"/>
        <c:scaling>
          <c:orientation val="minMax"/>
        </c:scaling>
        <c:delete val="0"/>
        <c:axPos val="b"/>
        <c:numFmt formatCode="General" sourceLinked="0"/>
        <c:majorTickMark val="out"/>
        <c:minorTickMark val="none"/>
        <c:tickLblPos val="nextTo"/>
        <c:txPr>
          <a:bodyPr/>
          <a:lstStyle/>
          <a:p>
            <a:pPr>
              <a:defRPr sz="500" b="1"/>
            </a:pPr>
            <a:endParaRPr lang="ru-RU"/>
          </a:p>
        </c:txPr>
        <c:crossAx val="257138048"/>
        <c:crosses val="autoZero"/>
        <c:auto val="1"/>
        <c:lblAlgn val="ctr"/>
        <c:lblOffset val="100"/>
        <c:noMultiLvlLbl val="0"/>
      </c:catAx>
      <c:valAx>
        <c:axId val="257138048"/>
        <c:scaling>
          <c:orientation val="minMax"/>
        </c:scaling>
        <c:delete val="0"/>
        <c:axPos val="l"/>
        <c:majorGridlines/>
        <c:numFmt formatCode="0%" sourceLinked="1"/>
        <c:majorTickMark val="out"/>
        <c:minorTickMark val="none"/>
        <c:tickLblPos val="nextTo"/>
        <c:txPr>
          <a:bodyPr/>
          <a:lstStyle/>
          <a:p>
            <a:pPr>
              <a:defRPr sz="800"/>
            </a:pPr>
            <a:endParaRPr lang="ru-RU"/>
          </a:p>
        </c:txPr>
        <c:crossAx val="257136512"/>
        <c:crosses val="autoZero"/>
        <c:crossBetween val="between"/>
      </c:valAx>
    </c:plotArea>
    <c:legend>
      <c:legendPos val="b"/>
      <c:layout>
        <c:manualLayout>
          <c:xMode val="edge"/>
          <c:yMode val="edge"/>
          <c:x val="0.28166867162438031"/>
          <c:y val="0.91554454063739454"/>
          <c:w val="0.43203302712160979"/>
          <c:h val="8.4328088160263603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3.5714285714285712E-2"/>
          <c:w val="0.91101505540974048"/>
          <c:h val="0.70152560173332112"/>
        </c:manualLayout>
      </c:layout>
      <c:bar3DChart>
        <c:barDir val="col"/>
        <c:grouping val="clustered"/>
        <c:varyColors val="0"/>
        <c:ser>
          <c:idx val="0"/>
          <c:order val="0"/>
          <c:tx>
            <c:strRef>
              <c:f>Лист1!$B$1</c:f>
              <c:strCache>
                <c:ptCount val="1"/>
                <c:pt idx="0">
                  <c:v>бактерії з генами</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0.91700000000000004</c:v>
                </c:pt>
                <c:pt idx="1">
                  <c:v>0.57999999999999996</c:v>
                </c:pt>
                <c:pt idx="2">
                  <c:v>0.53</c:v>
                </c:pt>
                <c:pt idx="3">
                  <c:v>0.52</c:v>
                </c:pt>
                <c:pt idx="4">
                  <c:v>0.39</c:v>
                </c:pt>
                <c:pt idx="5">
                  <c:v>0.33</c:v>
                </c:pt>
                <c:pt idx="6">
                  <c:v>0.42</c:v>
                </c:pt>
                <c:pt idx="7">
                  <c:v>0.53</c:v>
                </c:pt>
                <c:pt idx="8">
                  <c:v>0.5</c:v>
                </c:pt>
                <c:pt idx="9">
                  <c:v>0.36</c:v>
                </c:pt>
                <c:pt idx="10">
                  <c:v>0.25</c:v>
                </c:pt>
                <c:pt idx="11">
                  <c:v>0.36</c:v>
                </c:pt>
                <c:pt idx="12">
                  <c:v>0.47</c:v>
                </c:pt>
                <c:pt idx="13">
                  <c:v>0.23</c:v>
                </c:pt>
                <c:pt idx="14">
                  <c:v>0.03</c:v>
                </c:pt>
              </c:numCache>
            </c:numRef>
          </c:val>
        </c:ser>
        <c:ser>
          <c:idx val="1"/>
          <c:order val="1"/>
          <c:tx>
            <c:strRef>
              <c:f>Лист1!$C$1</c:f>
              <c:strCache>
                <c:ptCount val="1"/>
                <c:pt idx="0">
                  <c:v>бактерії без генів</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0.69</c:v>
                </c:pt>
                <c:pt idx="1">
                  <c:v>0.6</c:v>
                </c:pt>
                <c:pt idx="2">
                  <c:v>0.33</c:v>
                </c:pt>
                <c:pt idx="3">
                  <c:v>0.22</c:v>
                </c:pt>
                <c:pt idx="4">
                  <c:v>0.44</c:v>
                </c:pt>
                <c:pt idx="5">
                  <c:v>0.37</c:v>
                </c:pt>
                <c:pt idx="6">
                  <c:v>0.45</c:v>
                </c:pt>
                <c:pt idx="7">
                  <c:v>0.49</c:v>
                </c:pt>
                <c:pt idx="8">
                  <c:v>0.32</c:v>
                </c:pt>
                <c:pt idx="9">
                  <c:v>0.44</c:v>
                </c:pt>
                <c:pt idx="10">
                  <c:v>0.28999999999999998</c:v>
                </c:pt>
                <c:pt idx="11">
                  <c:v>0.28999999999999998</c:v>
                </c:pt>
                <c:pt idx="12">
                  <c:v>0.28999999999999998</c:v>
                </c:pt>
                <c:pt idx="13">
                  <c:v>0.2</c:v>
                </c:pt>
                <c:pt idx="14">
                  <c:v>0.06</c:v>
                </c:pt>
              </c:numCache>
            </c:numRef>
          </c:val>
        </c:ser>
        <c:dLbls>
          <c:showLegendKey val="0"/>
          <c:showVal val="0"/>
          <c:showCatName val="0"/>
          <c:showSerName val="0"/>
          <c:showPercent val="0"/>
          <c:showBubbleSize val="0"/>
        </c:dLbls>
        <c:gapWidth val="150"/>
        <c:shape val="cylinder"/>
        <c:axId val="257073536"/>
        <c:axId val="257075072"/>
        <c:axId val="0"/>
      </c:bar3DChart>
      <c:catAx>
        <c:axId val="257073536"/>
        <c:scaling>
          <c:orientation val="minMax"/>
        </c:scaling>
        <c:delete val="0"/>
        <c:axPos val="b"/>
        <c:numFmt formatCode="General" sourceLinked="0"/>
        <c:majorTickMark val="out"/>
        <c:minorTickMark val="none"/>
        <c:tickLblPos val="nextTo"/>
        <c:txPr>
          <a:bodyPr/>
          <a:lstStyle/>
          <a:p>
            <a:pPr>
              <a:defRPr sz="500" b="1"/>
            </a:pPr>
            <a:endParaRPr lang="ru-RU"/>
          </a:p>
        </c:txPr>
        <c:crossAx val="257075072"/>
        <c:crosses val="autoZero"/>
        <c:auto val="1"/>
        <c:lblAlgn val="ctr"/>
        <c:lblOffset val="100"/>
        <c:noMultiLvlLbl val="0"/>
      </c:catAx>
      <c:valAx>
        <c:axId val="257075072"/>
        <c:scaling>
          <c:orientation val="minMax"/>
        </c:scaling>
        <c:delete val="0"/>
        <c:axPos val="l"/>
        <c:majorGridlines/>
        <c:numFmt formatCode="0%" sourceLinked="1"/>
        <c:majorTickMark val="out"/>
        <c:minorTickMark val="none"/>
        <c:tickLblPos val="nextTo"/>
        <c:crossAx val="257073536"/>
        <c:crosses val="autoZero"/>
        <c:crossBetween val="between"/>
      </c:valAx>
    </c:plotArea>
    <c:legend>
      <c:legendPos val="b"/>
      <c:layout>
        <c:manualLayout>
          <c:xMode val="edge"/>
          <c:yMode val="edge"/>
          <c:x val="0.31527376786235056"/>
          <c:y val="0.89742180664916882"/>
          <c:w val="0.36945246427529899"/>
          <c:h val="9.3974877581434954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штами з виявленими βЛРС</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0.04</c:v>
                </c:pt>
                <c:pt idx="1">
                  <c:v>0.22700000000000001</c:v>
                </c:pt>
                <c:pt idx="2">
                  <c:v>0.23</c:v>
                </c:pt>
                <c:pt idx="3">
                  <c:v>0.3</c:v>
                </c:pt>
                <c:pt idx="4">
                  <c:v>0.56000000000000005</c:v>
                </c:pt>
                <c:pt idx="5">
                  <c:v>0.7</c:v>
                </c:pt>
                <c:pt idx="6">
                  <c:v>0.62</c:v>
                </c:pt>
                <c:pt idx="7">
                  <c:v>0.69</c:v>
                </c:pt>
                <c:pt idx="8">
                  <c:v>0.6</c:v>
                </c:pt>
                <c:pt idx="9">
                  <c:v>0.69</c:v>
                </c:pt>
                <c:pt idx="10">
                  <c:v>0.75</c:v>
                </c:pt>
                <c:pt idx="11">
                  <c:v>0.7</c:v>
                </c:pt>
                <c:pt idx="12">
                  <c:v>0.59</c:v>
                </c:pt>
                <c:pt idx="13">
                  <c:v>0.8</c:v>
                </c:pt>
                <c:pt idx="14">
                  <c:v>0.95</c:v>
                </c:pt>
              </c:numCache>
            </c:numRef>
          </c:val>
        </c:ser>
        <c:ser>
          <c:idx val="1"/>
          <c:order val="1"/>
          <c:tx>
            <c:strRef>
              <c:f>Лист1!$C$1</c:f>
              <c:strCache>
                <c:ptCount val="1"/>
                <c:pt idx="0">
                  <c:v>штами з виявленими генами рез-ті до фторхінолонів</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0.14299999999999999</c:v>
                </c:pt>
                <c:pt idx="1">
                  <c:v>0.61</c:v>
                </c:pt>
                <c:pt idx="2">
                  <c:v>0.71</c:v>
                </c:pt>
                <c:pt idx="3">
                  <c:v>0.66</c:v>
                </c:pt>
                <c:pt idx="4">
                  <c:v>0.66</c:v>
                </c:pt>
                <c:pt idx="5">
                  <c:v>0.64</c:v>
                </c:pt>
                <c:pt idx="6">
                  <c:v>0.54</c:v>
                </c:pt>
                <c:pt idx="7">
                  <c:v>0.25</c:v>
                </c:pt>
                <c:pt idx="8">
                  <c:v>0.4</c:v>
                </c:pt>
                <c:pt idx="9">
                  <c:v>0.59</c:v>
                </c:pt>
                <c:pt idx="10">
                  <c:v>0.75</c:v>
                </c:pt>
                <c:pt idx="11">
                  <c:v>0.57999999999999996</c:v>
                </c:pt>
                <c:pt idx="12">
                  <c:v>0.47</c:v>
                </c:pt>
                <c:pt idx="13">
                  <c:v>0.74</c:v>
                </c:pt>
                <c:pt idx="14">
                  <c:v>0.99</c:v>
                </c:pt>
              </c:numCache>
            </c:numRef>
          </c:val>
        </c:ser>
        <c:dLbls>
          <c:showLegendKey val="0"/>
          <c:showVal val="0"/>
          <c:showCatName val="0"/>
          <c:showSerName val="0"/>
          <c:showPercent val="0"/>
          <c:showBubbleSize val="0"/>
        </c:dLbls>
        <c:gapWidth val="150"/>
        <c:shape val="cylinder"/>
        <c:axId val="258427520"/>
        <c:axId val="258437504"/>
        <c:axId val="0"/>
      </c:bar3DChart>
      <c:catAx>
        <c:axId val="258427520"/>
        <c:scaling>
          <c:orientation val="minMax"/>
        </c:scaling>
        <c:delete val="0"/>
        <c:axPos val="b"/>
        <c:numFmt formatCode="General" sourceLinked="0"/>
        <c:majorTickMark val="out"/>
        <c:minorTickMark val="none"/>
        <c:tickLblPos val="nextTo"/>
        <c:txPr>
          <a:bodyPr/>
          <a:lstStyle/>
          <a:p>
            <a:pPr>
              <a:defRPr sz="600" b="1"/>
            </a:pPr>
            <a:endParaRPr lang="ru-RU"/>
          </a:p>
        </c:txPr>
        <c:crossAx val="258437504"/>
        <c:crosses val="autoZero"/>
        <c:auto val="1"/>
        <c:lblAlgn val="ctr"/>
        <c:lblOffset val="100"/>
        <c:noMultiLvlLbl val="0"/>
      </c:catAx>
      <c:valAx>
        <c:axId val="258437504"/>
        <c:scaling>
          <c:orientation val="minMax"/>
        </c:scaling>
        <c:delete val="0"/>
        <c:axPos val="l"/>
        <c:majorGridlines/>
        <c:numFmt formatCode="0%" sourceLinked="1"/>
        <c:majorTickMark val="out"/>
        <c:minorTickMark val="none"/>
        <c:tickLblPos val="nextTo"/>
        <c:crossAx val="258427520"/>
        <c:crosses val="autoZero"/>
        <c:crossBetween val="between"/>
      </c:valAx>
    </c:plotArea>
    <c:legend>
      <c:legendPos val="b"/>
      <c:layout>
        <c:manualLayout>
          <c:xMode val="edge"/>
          <c:yMode val="edge"/>
          <c:x val="0.05"/>
          <c:y val="0.93268185226846645"/>
          <c:w val="0.9"/>
          <c:h val="6.7318147731533565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3650793650793648E-2"/>
          <c:w val="0.88579286964129489"/>
          <c:h val="0.71100487439070115"/>
        </c:manualLayout>
      </c:layout>
      <c:bar3DChart>
        <c:barDir val="col"/>
        <c:grouping val="clustered"/>
        <c:varyColors val="0"/>
        <c:ser>
          <c:idx val="0"/>
          <c:order val="0"/>
          <c:tx>
            <c:strRef>
              <c:f>Лист1!$B$1</c:f>
              <c:strCache>
                <c:ptCount val="1"/>
                <c:pt idx="0">
                  <c:v>blaCTX-M</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0.2</c:v>
                </c:pt>
                <c:pt idx="1">
                  <c:v>0.2</c:v>
                </c:pt>
                <c:pt idx="2">
                  <c:v>0.4</c:v>
                </c:pt>
                <c:pt idx="3">
                  <c:v>0.4</c:v>
                </c:pt>
                <c:pt idx="4">
                  <c:v>0.4</c:v>
                </c:pt>
                <c:pt idx="5">
                  <c:v>0.4</c:v>
                </c:pt>
                <c:pt idx="6">
                  <c:v>0.4</c:v>
                </c:pt>
                <c:pt idx="7">
                  <c:v>0.3</c:v>
                </c:pt>
                <c:pt idx="8">
                  <c:v>0.3</c:v>
                </c:pt>
                <c:pt idx="9">
                  <c:v>0.6</c:v>
                </c:pt>
                <c:pt idx="10">
                  <c:v>1</c:v>
                </c:pt>
                <c:pt idx="11">
                  <c:v>0.5</c:v>
                </c:pt>
                <c:pt idx="12">
                  <c:v>0.4</c:v>
                </c:pt>
                <c:pt idx="13">
                  <c:v>0.7</c:v>
                </c:pt>
                <c:pt idx="14">
                  <c:v>1</c:v>
                </c:pt>
              </c:numCache>
            </c:numRef>
          </c:val>
        </c:ser>
        <c:ser>
          <c:idx val="1"/>
          <c:order val="1"/>
          <c:tx>
            <c:strRef>
              <c:f>Лист1!$C$1</c:f>
              <c:strCache>
                <c:ptCount val="1"/>
                <c:pt idx="0">
                  <c:v>blaTEM</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c:v>
                </c:pt>
                <c:pt idx="1">
                  <c:v>0.5</c:v>
                </c:pt>
                <c:pt idx="2">
                  <c:v>0.5</c:v>
                </c:pt>
                <c:pt idx="3">
                  <c:v>0.67</c:v>
                </c:pt>
                <c:pt idx="4">
                  <c:v>0.83</c:v>
                </c:pt>
                <c:pt idx="5">
                  <c:v>1</c:v>
                </c:pt>
                <c:pt idx="6">
                  <c:v>0.83</c:v>
                </c:pt>
                <c:pt idx="7">
                  <c:v>0.67</c:v>
                </c:pt>
                <c:pt idx="8">
                  <c:v>0.67</c:v>
                </c:pt>
                <c:pt idx="9">
                  <c:v>0.5</c:v>
                </c:pt>
                <c:pt idx="10">
                  <c:v>1</c:v>
                </c:pt>
                <c:pt idx="11">
                  <c:v>0.67</c:v>
                </c:pt>
                <c:pt idx="12">
                  <c:v>0.67</c:v>
                </c:pt>
                <c:pt idx="13">
                  <c:v>1</c:v>
                </c:pt>
                <c:pt idx="14">
                  <c:v>1</c:v>
                </c:pt>
              </c:numCache>
            </c:numRef>
          </c:val>
        </c:ser>
        <c:ser>
          <c:idx val="2"/>
          <c:order val="2"/>
          <c:tx>
            <c:strRef>
              <c:f>Лист1!$D$1</c:f>
              <c:strCache>
                <c:ptCount val="1"/>
                <c:pt idx="0">
                  <c:v>blaSHV</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Лист1!$D$2:$D$16</c:f>
              <c:numCache>
                <c:formatCode>0%</c:formatCode>
                <c:ptCount val="15"/>
                <c:pt idx="0">
                  <c:v>0</c:v>
                </c:pt>
                <c:pt idx="1">
                  <c:v>0.14000000000000001</c:v>
                </c:pt>
                <c:pt idx="2">
                  <c:v>0.43</c:v>
                </c:pt>
                <c:pt idx="3">
                  <c:v>0.71</c:v>
                </c:pt>
                <c:pt idx="4">
                  <c:v>0.56999999999999995</c:v>
                </c:pt>
                <c:pt idx="5">
                  <c:v>0.86</c:v>
                </c:pt>
                <c:pt idx="6">
                  <c:v>0.43</c:v>
                </c:pt>
                <c:pt idx="7">
                  <c:v>0.43</c:v>
                </c:pt>
                <c:pt idx="8">
                  <c:v>0.43</c:v>
                </c:pt>
                <c:pt idx="9">
                  <c:v>0.43</c:v>
                </c:pt>
                <c:pt idx="10">
                  <c:v>0.56999999999999995</c:v>
                </c:pt>
                <c:pt idx="11">
                  <c:v>0.56999999999999995</c:v>
                </c:pt>
                <c:pt idx="12">
                  <c:v>0.28999999999999998</c:v>
                </c:pt>
                <c:pt idx="13">
                  <c:v>0.71</c:v>
                </c:pt>
                <c:pt idx="14">
                  <c:v>0.86</c:v>
                </c:pt>
              </c:numCache>
            </c:numRef>
          </c:val>
        </c:ser>
        <c:dLbls>
          <c:showLegendKey val="0"/>
          <c:showVal val="0"/>
          <c:showCatName val="0"/>
          <c:showSerName val="0"/>
          <c:showPercent val="0"/>
          <c:showBubbleSize val="0"/>
        </c:dLbls>
        <c:gapWidth val="150"/>
        <c:shape val="cylinder"/>
        <c:axId val="257181568"/>
        <c:axId val="257183104"/>
        <c:axId val="0"/>
      </c:bar3DChart>
      <c:catAx>
        <c:axId val="257181568"/>
        <c:scaling>
          <c:orientation val="minMax"/>
        </c:scaling>
        <c:delete val="0"/>
        <c:axPos val="b"/>
        <c:majorTickMark val="out"/>
        <c:minorTickMark val="none"/>
        <c:tickLblPos val="nextTo"/>
        <c:txPr>
          <a:bodyPr/>
          <a:lstStyle/>
          <a:p>
            <a:pPr>
              <a:defRPr sz="600" b="1"/>
            </a:pPr>
            <a:endParaRPr lang="ru-RU"/>
          </a:p>
        </c:txPr>
        <c:crossAx val="257183104"/>
        <c:crosses val="autoZero"/>
        <c:auto val="1"/>
        <c:lblAlgn val="ctr"/>
        <c:lblOffset val="100"/>
        <c:noMultiLvlLbl val="0"/>
      </c:catAx>
      <c:valAx>
        <c:axId val="257183104"/>
        <c:scaling>
          <c:orientation val="minMax"/>
        </c:scaling>
        <c:delete val="0"/>
        <c:axPos val="l"/>
        <c:majorGridlines/>
        <c:numFmt formatCode="0%" sourceLinked="1"/>
        <c:majorTickMark val="out"/>
        <c:minorTickMark val="none"/>
        <c:tickLblPos val="nextTo"/>
        <c:crossAx val="257181568"/>
        <c:crosses val="autoZero"/>
        <c:crossBetween val="between"/>
      </c:valAx>
    </c:plotArea>
    <c:legend>
      <c:legendPos val="b"/>
      <c:layout>
        <c:manualLayout>
          <c:xMode val="edge"/>
          <c:yMode val="edge"/>
          <c:x val="0.30570501603966171"/>
          <c:y val="0.93268185226846645"/>
          <c:w val="0.40872885680956544"/>
          <c:h val="6.7318062298568238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3650793650793648E-2"/>
          <c:w val="0.88579286964129489"/>
          <c:h val="0.71631421072365953"/>
        </c:manualLayout>
      </c:layout>
      <c:bar3DChart>
        <c:barDir val="col"/>
        <c:grouping val="clustered"/>
        <c:varyColors val="0"/>
        <c:ser>
          <c:idx val="0"/>
          <c:order val="0"/>
          <c:tx>
            <c:strRef>
              <c:f>Лист1!$B$1</c:f>
              <c:strCache>
                <c:ptCount val="1"/>
                <c:pt idx="0">
                  <c:v>QNR A</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c:v>
                </c:pt>
                <c:pt idx="1">
                  <c:v>0</c:v>
                </c:pt>
                <c:pt idx="2">
                  <c:v>0.2</c:v>
                </c:pt>
                <c:pt idx="3">
                  <c:v>0.2</c:v>
                </c:pt>
                <c:pt idx="4">
                  <c:v>0.2</c:v>
                </c:pt>
                <c:pt idx="5">
                  <c:v>0.2</c:v>
                </c:pt>
                <c:pt idx="6">
                  <c:v>0.2</c:v>
                </c:pt>
                <c:pt idx="7">
                  <c:v>0.2</c:v>
                </c:pt>
                <c:pt idx="8">
                  <c:v>0.2</c:v>
                </c:pt>
                <c:pt idx="9">
                  <c:v>0.2</c:v>
                </c:pt>
                <c:pt idx="10">
                  <c:v>0</c:v>
                </c:pt>
                <c:pt idx="11">
                  <c:v>0</c:v>
                </c:pt>
                <c:pt idx="12">
                  <c:v>0</c:v>
                </c:pt>
                <c:pt idx="13">
                  <c:v>0</c:v>
                </c:pt>
                <c:pt idx="14">
                  <c:v>1</c:v>
                </c:pt>
              </c:numCache>
            </c:numRef>
          </c:val>
        </c:ser>
        <c:ser>
          <c:idx val="1"/>
          <c:order val="1"/>
          <c:tx>
            <c:strRef>
              <c:f>Лист1!$C$1</c:f>
              <c:strCache>
                <c:ptCount val="1"/>
                <c:pt idx="0">
                  <c:v>QepA</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c:v>
                </c:pt>
                <c:pt idx="1">
                  <c:v>0.4</c:v>
                </c:pt>
                <c:pt idx="2">
                  <c:v>0.6</c:v>
                </c:pt>
                <c:pt idx="3">
                  <c:v>0.6</c:v>
                </c:pt>
                <c:pt idx="4">
                  <c:v>0.6</c:v>
                </c:pt>
                <c:pt idx="5">
                  <c:v>0.4</c:v>
                </c:pt>
                <c:pt idx="6">
                  <c:v>0.6</c:v>
                </c:pt>
                <c:pt idx="7">
                  <c:v>0.6</c:v>
                </c:pt>
                <c:pt idx="8">
                  <c:v>0.6</c:v>
                </c:pt>
                <c:pt idx="9">
                  <c:v>1</c:v>
                </c:pt>
                <c:pt idx="10">
                  <c:v>0.8</c:v>
                </c:pt>
                <c:pt idx="11">
                  <c:v>1</c:v>
                </c:pt>
                <c:pt idx="12">
                  <c:v>1</c:v>
                </c:pt>
                <c:pt idx="13">
                  <c:v>1</c:v>
                </c:pt>
                <c:pt idx="14">
                  <c:v>1</c:v>
                </c:pt>
              </c:numCache>
            </c:numRef>
          </c:val>
        </c:ser>
        <c:ser>
          <c:idx val="2"/>
          <c:order val="2"/>
          <c:tx>
            <c:strRef>
              <c:f>Лист1!$D$1</c:f>
              <c:strCache>
                <c:ptCount val="1"/>
                <c:pt idx="0">
                  <c:v>AAC(6')-Ib-cr</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Лист1!$D$2:$D$16</c:f>
              <c:numCache>
                <c:formatCode>0%</c:formatCode>
                <c:ptCount val="15"/>
                <c:pt idx="0">
                  <c:v>0</c:v>
                </c:pt>
                <c:pt idx="1">
                  <c:v>0.67</c:v>
                </c:pt>
                <c:pt idx="2">
                  <c:v>0.67</c:v>
                </c:pt>
                <c:pt idx="3">
                  <c:v>0.33</c:v>
                </c:pt>
                <c:pt idx="4">
                  <c:v>0.67</c:v>
                </c:pt>
                <c:pt idx="5">
                  <c:v>0.67</c:v>
                </c:pt>
                <c:pt idx="6">
                  <c:v>0.67</c:v>
                </c:pt>
                <c:pt idx="7">
                  <c:v>0</c:v>
                </c:pt>
                <c:pt idx="8">
                  <c:v>0.33</c:v>
                </c:pt>
                <c:pt idx="9">
                  <c:v>0.67</c:v>
                </c:pt>
                <c:pt idx="10">
                  <c:v>0.67</c:v>
                </c:pt>
                <c:pt idx="11">
                  <c:v>0.33</c:v>
                </c:pt>
                <c:pt idx="12">
                  <c:v>0</c:v>
                </c:pt>
                <c:pt idx="13">
                  <c:v>0.67</c:v>
                </c:pt>
                <c:pt idx="14">
                  <c:v>1</c:v>
                </c:pt>
              </c:numCache>
            </c:numRef>
          </c:val>
        </c:ser>
        <c:dLbls>
          <c:showLegendKey val="0"/>
          <c:showVal val="0"/>
          <c:showCatName val="0"/>
          <c:showSerName val="0"/>
          <c:showPercent val="0"/>
          <c:showBubbleSize val="0"/>
        </c:dLbls>
        <c:gapWidth val="150"/>
        <c:shape val="cylinder"/>
        <c:axId val="260154496"/>
        <c:axId val="260156032"/>
        <c:axId val="0"/>
      </c:bar3DChart>
      <c:catAx>
        <c:axId val="260154496"/>
        <c:scaling>
          <c:orientation val="minMax"/>
        </c:scaling>
        <c:delete val="0"/>
        <c:axPos val="b"/>
        <c:majorTickMark val="out"/>
        <c:minorTickMark val="none"/>
        <c:tickLblPos val="nextTo"/>
        <c:txPr>
          <a:bodyPr/>
          <a:lstStyle/>
          <a:p>
            <a:pPr>
              <a:defRPr sz="600" b="1"/>
            </a:pPr>
            <a:endParaRPr lang="ru-RU"/>
          </a:p>
        </c:txPr>
        <c:crossAx val="260156032"/>
        <c:crosses val="autoZero"/>
        <c:auto val="1"/>
        <c:lblAlgn val="ctr"/>
        <c:lblOffset val="100"/>
        <c:noMultiLvlLbl val="0"/>
      </c:catAx>
      <c:valAx>
        <c:axId val="260156032"/>
        <c:scaling>
          <c:orientation val="minMax"/>
        </c:scaling>
        <c:delete val="0"/>
        <c:axPos val="l"/>
        <c:majorGridlines/>
        <c:numFmt formatCode="0%" sourceLinked="1"/>
        <c:majorTickMark val="out"/>
        <c:minorTickMark val="none"/>
        <c:tickLblPos val="nextTo"/>
        <c:crossAx val="260154496"/>
        <c:crosses val="autoZero"/>
        <c:crossBetween val="between"/>
      </c:valAx>
    </c:plotArea>
    <c:legend>
      <c:legendPos val="b"/>
      <c:layout>
        <c:manualLayout>
          <c:xMode val="edge"/>
          <c:yMode val="edge"/>
          <c:x val="0.30285779381743955"/>
          <c:y val="0.93268185226846645"/>
          <c:w val="0.41092337416156316"/>
          <c:h val="6.7318147731533565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6858359957401494E-2"/>
          <c:w val="0.88579286964129489"/>
          <c:h val="0.67842888648503596"/>
        </c:manualLayout>
      </c:layout>
      <c:bar3DChart>
        <c:barDir val="col"/>
        <c:grouping val="clustered"/>
        <c:varyColors val="0"/>
        <c:ser>
          <c:idx val="0"/>
          <c:order val="0"/>
          <c:tx>
            <c:strRef>
              <c:f>Лист1!$B$1</c:f>
              <c:strCache>
                <c:ptCount val="1"/>
                <c:pt idx="0">
                  <c:v>CTX-M+TEM</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0.33</c:v>
                </c:pt>
                <c:pt idx="1">
                  <c:v>0.33</c:v>
                </c:pt>
                <c:pt idx="2">
                  <c:v>0.67</c:v>
                </c:pt>
                <c:pt idx="3">
                  <c:v>0.67</c:v>
                </c:pt>
                <c:pt idx="4">
                  <c:v>0.67</c:v>
                </c:pt>
                <c:pt idx="5">
                  <c:v>0.67</c:v>
                </c:pt>
                <c:pt idx="6">
                  <c:v>0.67</c:v>
                </c:pt>
                <c:pt idx="7">
                  <c:v>0.67</c:v>
                </c:pt>
                <c:pt idx="8">
                  <c:v>0.67</c:v>
                </c:pt>
                <c:pt idx="9">
                  <c:v>0.67</c:v>
                </c:pt>
                <c:pt idx="10">
                  <c:v>0.67</c:v>
                </c:pt>
                <c:pt idx="11">
                  <c:v>0.67</c:v>
                </c:pt>
                <c:pt idx="12">
                  <c:v>0.33</c:v>
                </c:pt>
                <c:pt idx="13">
                  <c:v>1</c:v>
                </c:pt>
                <c:pt idx="14">
                  <c:v>1</c:v>
                </c:pt>
              </c:numCache>
            </c:numRef>
          </c:val>
        </c:ser>
        <c:ser>
          <c:idx val="1"/>
          <c:order val="1"/>
          <c:tx>
            <c:strRef>
              <c:f>Лист1!$C$1</c:f>
              <c:strCache>
                <c:ptCount val="1"/>
                <c:pt idx="0">
                  <c:v>βЛРС+гени до фторхінолонів</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c:v>
                </c:pt>
                <c:pt idx="1">
                  <c:v>1</c:v>
                </c:pt>
                <c:pt idx="2">
                  <c:v>0.5</c:v>
                </c:pt>
                <c:pt idx="3">
                  <c:v>0.5</c:v>
                </c:pt>
                <c:pt idx="4">
                  <c:v>0.5</c:v>
                </c:pt>
                <c:pt idx="5">
                  <c:v>0.5</c:v>
                </c:pt>
                <c:pt idx="6">
                  <c:v>0.5</c:v>
                </c:pt>
                <c:pt idx="7">
                  <c:v>0.5</c:v>
                </c:pt>
                <c:pt idx="8">
                  <c:v>0.5</c:v>
                </c:pt>
                <c:pt idx="9">
                  <c:v>0.5</c:v>
                </c:pt>
                <c:pt idx="10">
                  <c:v>1</c:v>
                </c:pt>
                <c:pt idx="11">
                  <c:v>1</c:v>
                </c:pt>
                <c:pt idx="12">
                  <c:v>1</c:v>
                </c:pt>
                <c:pt idx="13">
                  <c:v>1</c:v>
                </c:pt>
                <c:pt idx="14">
                  <c:v>1</c:v>
                </c:pt>
              </c:numCache>
            </c:numRef>
          </c:val>
        </c:ser>
        <c:dLbls>
          <c:showLegendKey val="0"/>
          <c:showVal val="0"/>
          <c:showCatName val="0"/>
          <c:showSerName val="0"/>
          <c:showPercent val="0"/>
          <c:showBubbleSize val="0"/>
        </c:dLbls>
        <c:gapWidth val="150"/>
        <c:shape val="cylinder"/>
        <c:axId val="258473344"/>
        <c:axId val="260121728"/>
        <c:axId val="0"/>
      </c:bar3DChart>
      <c:catAx>
        <c:axId val="258473344"/>
        <c:scaling>
          <c:orientation val="minMax"/>
        </c:scaling>
        <c:delete val="0"/>
        <c:axPos val="b"/>
        <c:majorTickMark val="out"/>
        <c:minorTickMark val="none"/>
        <c:tickLblPos val="nextTo"/>
        <c:txPr>
          <a:bodyPr/>
          <a:lstStyle/>
          <a:p>
            <a:pPr>
              <a:defRPr sz="600" b="1"/>
            </a:pPr>
            <a:endParaRPr lang="ru-RU"/>
          </a:p>
        </c:txPr>
        <c:crossAx val="260121728"/>
        <c:crosses val="autoZero"/>
        <c:auto val="1"/>
        <c:lblAlgn val="ctr"/>
        <c:lblOffset val="100"/>
        <c:noMultiLvlLbl val="0"/>
      </c:catAx>
      <c:valAx>
        <c:axId val="260121728"/>
        <c:scaling>
          <c:orientation val="minMax"/>
        </c:scaling>
        <c:delete val="0"/>
        <c:axPos val="l"/>
        <c:majorGridlines/>
        <c:numFmt formatCode="0%" sourceLinked="1"/>
        <c:majorTickMark val="out"/>
        <c:minorTickMark val="none"/>
        <c:tickLblPos val="nextTo"/>
        <c:crossAx val="258473344"/>
        <c:crosses val="autoZero"/>
        <c:crossBetween val="between"/>
      </c:valAx>
    </c:plotArea>
    <c:legend>
      <c:legendPos val="b"/>
      <c:layout>
        <c:manualLayout>
          <c:xMode val="edge"/>
          <c:yMode val="edge"/>
          <c:x val="0.21556248177311169"/>
          <c:y val="0.93268185226846645"/>
          <c:w val="0.59745807815689711"/>
          <c:h val="6.7318025396953168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2434383202099736E-2"/>
          <c:y val="2.7474665985590951E-2"/>
          <c:w val="0.93756561679790029"/>
          <c:h val="0.68730861767279094"/>
        </c:manualLayout>
      </c:layout>
      <c:bar3DChart>
        <c:barDir val="col"/>
        <c:grouping val="clustered"/>
        <c:varyColors val="0"/>
        <c:ser>
          <c:idx val="0"/>
          <c:order val="0"/>
          <c:tx>
            <c:strRef>
              <c:f>Лист1!$B$1</c:f>
              <c:strCache>
                <c:ptCount val="1"/>
                <c:pt idx="0">
                  <c:v>І група</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Лист1!$B$2:$B$16</c:f>
              <c:numCache>
                <c:formatCode>0%</c:formatCode>
                <c:ptCount val="15"/>
                <c:pt idx="0">
                  <c:v>0.12</c:v>
                </c:pt>
                <c:pt idx="1">
                  <c:v>0.42</c:v>
                </c:pt>
                <c:pt idx="2">
                  <c:v>0.57999999999999996</c:v>
                </c:pt>
                <c:pt idx="3">
                  <c:v>0.65</c:v>
                </c:pt>
                <c:pt idx="4">
                  <c:v>0.69</c:v>
                </c:pt>
                <c:pt idx="5">
                  <c:v>0.69</c:v>
                </c:pt>
                <c:pt idx="6">
                  <c:v>0.62</c:v>
                </c:pt>
                <c:pt idx="7">
                  <c:v>0.57999999999999996</c:v>
                </c:pt>
                <c:pt idx="8">
                  <c:v>0.57999999999999996</c:v>
                </c:pt>
                <c:pt idx="9">
                  <c:v>0.65</c:v>
                </c:pt>
                <c:pt idx="10">
                  <c:v>0.69</c:v>
                </c:pt>
                <c:pt idx="11">
                  <c:v>0.73</c:v>
                </c:pt>
                <c:pt idx="12">
                  <c:v>0.54</c:v>
                </c:pt>
                <c:pt idx="13">
                  <c:v>0.77</c:v>
                </c:pt>
                <c:pt idx="14">
                  <c:v>0.96</c:v>
                </c:pt>
              </c:numCache>
            </c:numRef>
          </c:val>
        </c:ser>
        <c:ser>
          <c:idx val="1"/>
          <c:order val="1"/>
          <c:tx>
            <c:strRef>
              <c:f>Лист1!$C$1</c:f>
              <c:strCache>
                <c:ptCount val="1"/>
                <c:pt idx="0">
                  <c:v>ІІ група</c:v>
                </c:pt>
              </c:strCache>
            </c:strRef>
          </c:tx>
          <c:invertIfNegative val="0"/>
          <c:cat>
            <c:strRef>
              <c:f>Лист1!$A$2:$A$16</c:f>
              <c:strCache>
                <c:ptCount val="15"/>
                <c:pt idx="0">
                  <c:v>ампіциллін</c:v>
                </c:pt>
                <c:pt idx="1">
                  <c:v>амоксіциллін/клавуланат</c:v>
                </c:pt>
                <c:pt idx="2">
                  <c:v>цефотаксім</c:v>
                </c:pt>
                <c:pt idx="3">
                  <c:v>цефтріаксон</c:v>
                </c:pt>
                <c:pt idx="4">
                  <c:v>цефіпім</c:v>
                </c:pt>
                <c:pt idx="5">
                  <c:v>амікацин</c:v>
                </c:pt>
                <c:pt idx="6">
                  <c:v>гентаміцин</c:v>
                </c:pt>
                <c:pt idx="7">
                  <c:v>ципрофлоксацин</c:v>
                </c:pt>
                <c:pt idx="8">
                  <c:v>левофлоксацин</c:v>
                </c:pt>
                <c:pt idx="9">
                  <c:v>ко-трімоксазол</c:v>
                </c:pt>
                <c:pt idx="10">
                  <c:v>фосфоміцин</c:v>
                </c:pt>
                <c:pt idx="11">
                  <c:v>нітрофурантоїн</c:v>
                </c:pt>
                <c:pt idx="12">
                  <c:v>фурамаг</c:v>
                </c:pt>
                <c:pt idx="13">
                  <c:v>нітроксолін</c:v>
                </c:pt>
                <c:pt idx="14">
                  <c:v>меропенем</c:v>
                </c:pt>
              </c:strCache>
            </c:strRef>
          </c:cat>
          <c:val>
            <c:numRef>
              <c:f>Лист1!$C$2:$C$16</c:f>
              <c:numCache>
                <c:formatCode>0%</c:formatCode>
                <c:ptCount val="15"/>
                <c:pt idx="0">
                  <c:v>0</c:v>
                </c:pt>
                <c:pt idx="1">
                  <c:v>0.4</c:v>
                </c:pt>
                <c:pt idx="2">
                  <c:v>0.5</c:v>
                </c:pt>
                <c:pt idx="3">
                  <c:v>0.4</c:v>
                </c:pt>
                <c:pt idx="4">
                  <c:v>0.4</c:v>
                </c:pt>
                <c:pt idx="5">
                  <c:v>0.6</c:v>
                </c:pt>
                <c:pt idx="6">
                  <c:v>0.5</c:v>
                </c:pt>
                <c:pt idx="7">
                  <c:v>0.2</c:v>
                </c:pt>
                <c:pt idx="8">
                  <c:v>0.3</c:v>
                </c:pt>
                <c:pt idx="9">
                  <c:v>0.6</c:v>
                </c:pt>
                <c:pt idx="10">
                  <c:v>0.9</c:v>
                </c:pt>
                <c:pt idx="11">
                  <c:v>0.4</c:v>
                </c:pt>
                <c:pt idx="12">
                  <c:v>0.5</c:v>
                </c:pt>
                <c:pt idx="13">
                  <c:v>0.8</c:v>
                </c:pt>
                <c:pt idx="14">
                  <c:v>1</c:v>
                </c:pt>
              </c:numCache>
            </c:numRef>
          </c:val>
        </c:ser>
        <c:dLbls>
          <c:showLegendKey val="0"/>
          <c:showVal val="0"/>
          <c:showCatName val="0"/>
          <c:showSerName val="0"/>
          <c:showPercent val="0"/>
          <c:showBubbleSize val="0"/>
        </c:dLbls>
        <c:gapWidth val="150"/>
        <c:shape val="cylinder"/>
        <c:axId val="260396928"/>
        <c:axId val="260398464"/>
        <c:axId val="0"/>
      </c:bar3DChart>
      <c:catAx>
        <c:axId val="260396928"/>
        <c:scaling>
          <c:orientation val="minMax"/>
        </c:scaling>
        <c:delete val="0"/>
        <c:axPos val="b"/>
        <c:numFmt formatCode="General" sourceLinked="0"/>
        <c:majorTickMark val="out"/>
        <c:minorTickMark val="none"/>
        <c:tickLblPos val="nextTo"/>
        <c:txPr>
          <a:bodyPr/>
          <a:lstStyle/>
          <a:p>
            <a:pPr>
              <a:defRPr sz="600" b="1"/>
            </a:pPr>
            <a:endParaRPr lang="ru-RU"/>
          </a:p>
        </c:txPr>
        <c:crossAx val="260398464"/>
        <c:crosses val="autoZero"/>
        <c:auto val="1"/>
        <c:lblAlgn val="ctr"/>
        <c:lblOffset val="100"/>
        <c:noMultiLvlLbl val="0"/>
      </c:catAx>
      <c:valAx>
        <c:axId val="260398464"/>
        <c:scaling>
          <c:orientation val="minMax"/>
        </c:scaling>
        <c:delete val="0"/>
        <c:axPos val="l"/>
        <c:majorGridlines/>
        <c:numFmt formatCode="0%" sourceLinked="1"/>
        <c:majorTickMark val="out"/>
        <c:minorTickMark val="none"/>
        <c:tickLblPos val="nextTo"/>
        <c:txPr>
          <a:bodyPr/>
          <a:lstStyle/>
          <a:p>
            <a:pPr>
              <a:defRPr sz="800"/>
            </a:pPr>
            <a:endParaRPr lang="ru-RU"/>
          </a:p>
        </c:txPr>
        <c:crossAx val="260396928"/>
        <c:crosses val="autoZero"/>
        <c:crossBetween val="between"/>
      </c:valAx>
    </c:plotArea>
    <c:legend>
      <c:legendPos val="b"/>
      <c:layout>
        <c:manualLayout>
          <c:xMode val="edge"/>
          <c:yMode val="edge"/>
          <c:x val="0.40810713764946049"/>
          <c:y val="0.93161453776611258"/>
          <c:w val="0.18378572470107904"/>
          <c:h val="6.8385462233887431E-2"/>
        </c:manualLayout>
      </c:layout>
      <c:overlay val="0"/>
      <c:txPr>
        <a:bodyPr/>
        <a:lstStyle/>
        <a:p>
          <a:pPr>
            <a:defRPr sz="800" b="1"/>
          </a:pPr>
          <a:endParaRPr lang="ru-RU"/>
        </a:p>
      </c:txPr>
    </c:legend>
    <c:plotVisOnly val="1"/>
    <c:dispBlanksAs val="gap"/>
    <c:showDLblsOverMax val="0"/>
  </c:chart>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5.7887685914260717E-2"/>
          <c:y val="5.5202139804062036E-2"/>
          <c:w val="0.92590861038203554"/>
          <c:h val="0.74460960886790029"/>
        </c:manualLayout>
      </c:layout>
      <c:bar3DChart>
        <c:barDir val="col"/>
        <c:grouping val="clustered"/>
        <c:varyColors val="0"/>
        <c:ser>
          <c:idx val="0"/>
          <c:order val="0"/>
          <c:tx>
            <c:strRef>
              <c:f>Лист1!$B$1</c:f>
              <c:strCache>
                <c:ptCount val="1"/>
                <c:pt idx="0">
                  <c:v>тривалість АБТ</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Лист1!$B$2:$B$4</c:f>
              <c:numCache>
                <c:formatCode>General</c:formatCode>
                <c:ptCount val="3"/>
                <c:pt idx="0">
                  <c:v>8.6</c:v>
                </c:pt>
                <c:pt idx="1">
                  <c:v>10.199999999999999</c:v>
                </c:pt>
                <c:pt idx="2">
                  <c:v>7.9</c:v>
                </c:pt>
              </c:numCache>
            </c:numRef>
          </c:val>
        </c:ser>
        <c:dLbls>
          <c:showLegendKey val="0"/>
          <c:showVal val="1"/>
          <c:showCatName val="0"/>
          <c:showSerName val="0"/>
          <c:showPercent val="0"/>
          <c:showBubbleSize val="0"/>
        </c:dLbls>
        <c:gapWidth val="150"/>
        <c:shape val="box"/>
        <c:axId val="260415872"/>
        <c:axId val="260417408"/>
        <c:axId val="0"/>
      </c:bar3DChart>
      <c:catAx>
        <c:axId val="260415872"/>
        <c:scaling>
          <c:orientation val="minMax"/>
        </c:scaling>
        <c:delete val="0"/>
        <c:axPos val="b"/>
        <c:numFmt formatCode="General" sourceLinked="0"/>
        <c:majorTickMark val="out"/>
        <c:minorTickMark val="none"/>
        <c:tickLblPos val="nextTo"/>
        <c:crossAx val="260417408"/>
        <c:crosses val="autoZero"/>
        <c:auto val="1"/>
        <c:lblAlgn val="ctr"/>
        <c:lblOffset val="100"/>
        <c:noMultiLvlLbl val="0"/>
      </c:catAx>
      <c:valAx>
        <c:axId val="260417408"/>
        <c:scaling>
          <c:orientation val="minMax"/>
        </c:scaling>
        <c:delete val="0"/>
        <c:axPos val="l"/>
        <c:majorGridlines/>
        <c:numFmt formatCode="General" sourceLinked="1"/>
        <c:majorTickMark val="out"/>
        <c:minorTickMark val="none"/>
        <c:tickLblPos val="nextTo"/>
        <c:crossAx val="260415872"/>
        <c:crosses val="autoZero"/>
        <c:crossBetween val="between"/>
      </c:valAx>
    </c:plotArea>
    <c:legend>
      <c:legendPos val="b"/>
      <c:layout>
        <c:manualLayout>
          <c:xMode val="edge"/>
          <c:yMode val="edge"/>
          <c:x val="0.39598498104403618"/>
          <c:y val="0.9148673667987236"/>
          <c:w val="0.22952063283756197"/>
          <c:h val="8.5132605655591595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5.7887685914260717E-2"/>
          <c:y val="5.4783948499166867E-2"/>
          <c:w val="0.92822342519685042"/>
          <c:h val="0.7466267871939678"/>
        </c:manualLayout>
      </c:layout>
      <c:bar3DChart>
        <c:barDir val="col"/>
        <c:grouping val="clustered"/>
        <c:varyColors val="0"/>
        <c:ser>
          <c:idx val="0"/>
          <c:order val="0"/>
          <c:tx>
            <c:strRef>
              <c:f>Лист1!$B$1</c:f>
              <c:strCache>
                <c:ptCount val="1"/>
                <c:pt idx="0">
                  <c:v>тривалість АБТ</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General</c:formatCode>
                <c:ptCount val="2"/>
                <c:pt idx="0">
                  <c:v>8.8000000000000007</c:v>
                </c:pt>
                <c:pt idx="1">
                  <c:v>10.6</c:v>
                </c:pt>
              </c:numCache>
            </c:numRef>
          </c:val>
        </c:ser>
        <c:dLbls>
          <c:showLegendKey val="0"/>
          <c:showVal val="1"/>
          <c:showCatName val="0"/>
          <c:showSerName val="0"/>
          <c:showPercent val="0"/>
          <c:showBubbleSize val="0"/>
        </c:dLbls>
        <c:gapWidth val="150"/>
        <c:shape val="box"/>
        <c:axId val="264721152"/>
        <c:axId val="264723840"/>
        <c:axId val="0"/>
      </c:bar3DChart>
      <c:catAx>
        <c:axId val="264721152"/>
        <c:scaling>
          <c:orientation val="minMax"/>
        </c:scaling>
        <c:delete val="0"/>
        <c:axPos val="b"/>
        <c:numFmt formatCode="General" sourceLinked="0"/>
        <c:majorTickMark val="out"/>
        <c:minorTickMark val="none"/>
        <c:tickLblPos val="nextTo"/>
        <c:crossAx val="264723840"/>
        <c:crosses val="autoZero"/>
        <c:auto val="1"/>
        <c:lblAlgn val="ctr"/>
        <c:lblOffset val="100"/>
        <c:noMultiLvlLbl val="0"/>
      </c:catAx>
      <c:valAx>
        <c:axId val="264723840"/>
        <c:scaling>
          <c:orientation val="minMax"/>
        </c:scaling>
        <c:delete val="0"/>
        <c:axPos val="l"/>
        <c:majorGridlines/>
        <c:numFmt formatCode="General" sourceLinked="1"/>
        <c:majorTickMark val="out"/>
        <c:minorTickMark val="none"/>
        <c:tickLblPos val="nextTo"/>
        <c:crossAx val="264721152"/>
        <c:crosses val="autoZero"/>
        <c:crossBetween val="between"/>
      </c:valAx>
    </c:plotArea>
    <c:legend>
      <c:legendPos val="b"/>
      <c:layout>
        <c:manualLayout>
          <c:xMode val="edge"/>
          <c:yMode val="edge"/>
          <c:x val="0.39598498104403618"/>
          <c:y val="0.89576372069307031"/>
          <c:w val="0.22952063283756197"/>
          <c:h val="8.4487672042970696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тривалість АБТ</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хворі з генами резистентності</c:v>
                </c:pt>
                <c:pt idx="1">
                  <c:v>хворі без генів резистентності</c:v>
                </c:pt>
              </c:strCache>
            </c:strRef>
          </c:cat>
          <c:val>
            <c:numRef>
              <c:f>Лист1!$B$2:$B$3</c:f>
              <c:numCache>
                <c:formatCode>General</c:formatCode>
                <c:ptCount val="2"/>
                <c:pt idx="0">
                  <c:v>10.5</c:v>
                </c:pt>
                <c:pt idx="1">
                  <c:v>8.4</c:v>
                </c:pt>
              </c:numCache>
            </c:numRef>
          </c:val>
        </c:ser>
        <c:dLbls>
          <c:showLegendKey val="0"/>
          <c:showVal val="1"/>
          <c:showCatName val="0"/>
          <c:showSerName val="0"/>
          <c:showPercent val="0"/>
          <c:showBubbleSize val="0"/>
        </c:dLbls>
        <c:gapWidth val="150"/>
        <c:shape val="box"/>
        <c:axId val="244796416"/>
        <c:axId val="244799360"/>
        <c:axId val="0"/>
      </c:bar3DChart>
      <c:catAx>
        <c:axId val="244796416"/>
        <c:scaling>
          <c:orientation val="minMax"/>
        </c:scaling>
        <c:delete val="0"/>
        <c:axPos val="b"/>
        <c:numFmt formatCode="General" sourceLinked="0"/>
        <c:majorTickMark val="out"/>
        <c:minorTickMark val="none"/>
        <c:tickLblPos val="nextTo"/>
        <c:crossAx val="244799360"/>
        <c:crosses val="autoZero"/>
        <c:auto val="1"/>
        <c:lblAlgn val="ctr"/>
        <c:lblOffset val="100"/>
        <c:noMultiLvlLbl val="0"/>
      </c:catAx>
      <c:valAx>
        <c:axId val="244799360"/>
        <c:scaling>
          <c:orientation val="minMax"/>
        </c:scaling>
        <c:delete val="0"/>
        <c:axPos val="l"/>
        <c:majorGridlines/>
        <c:numFmt formatCode="General" sourceLinked="1"/>
        <c:majorTickMark val="out"/>
        <c:minorTickMark val="none"/>
        <c:tickLblPos val="nextTo"/>
        <c:crossAx val="244796416"/>
        <c:crosses val="autoZero"/>
        <c:crossBetween val="between"/>
      </c:valAx>
    </c:plotArea>
    <c:legend>
      <c:legendPos val="b"/>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661453776611257"/>
          <c:y val="4.656084656084656E-2"/>
          <c:w val="0.84554990522018081"/>
          <c:h val="0.78209857101195679"/>
        </c:manualLayout>
      </c:layout>
      <c:bar3DChart>
        <c:barDir val="bar"/>
        <c:grouping val="percentStacked"/>
        <c:varyColors val="0"/>
        <c:ser>
          <c:idx val="0"/>
          <c:order val="0"/>
          <c:tx>
            <c:strRef>
              <c:f>Лист1!$B$1</c:f>
              <c:strCache>
                <c:ptCount val="1"/>
                <c:pt idx="0">
                  <c:v>blaCTX-M</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Лист1!$B$2:$B$3</c:f>
              <c:numCache>
                <c:formatCode>0%</c:formatCode>
                <c:ptCount val="2"/>
                <c:pt idx="0">
                  <c:v>0.1</c:v>
                </c:pt>
                <c:pt idx="1">
                  <c:v>0.13</c:v>
                </c:pt>
              </c:numCache>
            </c:numRef>
          </c:val>
        </c:ser>
        <c:ser>
          <c:idx val="1"/>
          <c:order val="1"/>
          <c:tx>
            <c:strRef>
              <c:f>Лист1!$C$1</c:f>
              <c:strCache>
                <c:ptCount val="1"/>
                <c:pt idx="0">
                  <c:v>blaTEM</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Лист1!$C$2:$C$3</c:f>
              <c:numCache>
                <c:formatCode>0%</c:formatCode>
                <c:ptCount val="2"/>
                <c:pt idx="0">
                  <c:v>0.1</c:v>
                </c:pt>
                <c:pt idx="1">
                  <c:v>0.13</c:v>
                </c:pt>
              </c:numCache>
            </c:numRef>
          </c:val>
        </c:ser>
        <c:ser>
          <c:idx val="2"/>
          <c:order val="2"/>
          <c:tx>
            <c:strRef>
              <c:f>Лист1!$D$1</c:f>
              <c:strCache>
                <c:ptCount val="1"/>
                <c:pt idx="0">
                  <c:v>blaSHV</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Лист1!$D$2:$D$3</c:f>
              <c:numCache>
                <c:formatCode>0%</c:formatCode>
                <c:ptCount val="2"/>
                <c:pt idx="0">
                  <c:v>0.08</c:v>
                </c:pt>
                <c:pt idx="1">
                  <c:v>0.06</c:v>
                </c:pt>
              </c:numCache>
            </c:numRef>
          </c:val>
        </c:ser>
        <c:ser>
          <c:idx val="3"/>
          <c:order val="3"/>
          <c:tx>
            <c:strRef>
              <c:f>Лист1!$E$1</c:f>
              <c:strCache>
                <c:ptCount val="1"/>
                <c:pt idx="0">
                  <c:v>QnrA</c:v>
                </c:pt>
              </c:strCache>
            </c:strRef>
          </c:tx>
          <c:invertIfNegative val="0"/>
          <c:dLbls>
            <c:dLbl>
              <c:idx val="1"/>
              <c:delete val="1"/>
            </c:dLbl>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Лист1!$E$2:$E$3</c:f>
              <c:numCache>
                <c:formatCode>0%</c:formatCode>
                <c:ptCount val="2"/>
                <c:pt idx="0">
                  <c:v>0.06</c:v>
                </c:pt>
                <c:pt idx="1">
                  <c:v>0</c:v>
                </c:pt>
              </c:numCache>
            </c:numRef>
          </c:val>
        </c:ser>
        <c:ser>
          <c:idx val="4"/>
          <c:order val="4"/>
          <c:tx>
            <c:strRef>
              <c:f>Лист1!$F$1</c:f>
              <c:strCache>
                <c:ptCount val="1"/>
                <c:pt idx="0">
                  <c:v>AAC(6 ')-Ib-cr</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Лист1!$F$2:$F$3</c:f>
              <c:numCache>
                <c:formatCode>0%</c:formatCode>
                <c:ptCount val="2"/>
                <c:pt idx="0">
                  <c:v>0.01</c:v>
                </c:pt>
                <c:pt idx="1">
                  <c:v>0.06</c:v>
                </c:pt>
              </c:numCache>
            </c:numRef>
          </c:val>
        </c:ser>
        <c:ser>
          <c:idx val="5"/>
          <c:order val="5"/>
          <c:tx>
            <c:strRef>
              <c:f>Лист1!$G$1</c:f>
              <c:strCache>
                <c:ptCount val="1"/>
                <c:pt idx="0">
                  <c:v>QepA</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Лист1!$A$2:$A$3</c:f>
              <c:strCache>
                <c:ptCount val="2"/>
                <c:pt idx="0">
                  <c:v>І група</c:v>
                </c:pt>
                <c:pt idx="1">
                  <c:v>ІІ група</c:v>
                </c:pt>
              </c:strCache>
            </c:strRef>
          </c:cat>
          <c:val>
            <c:numRef>
              <c:f>Лист1!$G$2:$G$3</c:f>
              <c:numCache>
                <c:formatCode>0%</c:formatCode>
                <c:ptCount val="2"/>
                <c:pt idx="0">
                  <c:v>0.04</c:v>
                </c:pt>
                <c:pt idx="1">
                  <c:v>0.13</c:v>
                </c:pt>
              </c:numCache>
            </c:numRef>
          </c:val>
        </c:ser>
        <c:dLbls>
          <c:showLegendKey val="0"/>
          <c:showVal val="1"/>
          <c:showCatName val="0"/>
          <c:showSerName val="0"/>
          <c:showPercent val="0"/>
          <c:showBubbleSize val="0"/>
        </c:dLbls>
        <c:gapWidth val="150"/>
        <c:shape val="cylinder"/>
        <c:axId val="254420864"/>
        <c:axId val="254422400"/>
        <c:axId val="0"/>
      </c:bar3DChart>
      <c:catAx>
        <c:axId val="254420864"/>
        <c:scaling>
          <c:orientation val="minMax"/>
        </c:scaling>
        <c:delete val="0"/>
        <c:axPos val="l"/>
        <c:majorTickMark val="out"/>
        <c:minorTickMark val="none"/>
        <c:tickLblPos val="nextTo"/>
        <c:crossAx val="254422400"/>
        <c:crosses val="autoZero"/>
        <c:auto val="1"/>
        <c:lblAlgn val="ctr"/>
        <c:lblOffset val="100"/>
        <c:noMultiLvlLbl val="0"/>
      </c:catAx>
      <c:valAx>
        <c:axId val="254422400"/>
        <c:scaling>
          <c:orientation val="minMax"/>
        </c:scaling>
        <c:delete val="0"/>
        <c:axPos val="b"/>
        <c:majorGridlines/>
        <c:numFmt formatCode="0%" sourceLinked="1"/>
        <c:majorTickMark val="out"/>
        <c:minorTickMark val="none"/>
        <c:tickLblPos val="nextTo"/>
        <c:crossAx val="254420864"/>
        <c:crosses val="autoZero"/>
        <c:crossBetween val="between"/>
      </c:valAx>
    </c:plotArea>
    <c:legend>
      <c:legendPos val="b"/>
      <c:layout>
        <c:manualLayout>
          <c:xMode val="edge"/>
          <c:yMode val="edge"/>
          <c:x val="0.11859962817147857"/>
          <c:y val="0.93268185226846645"/>
          <c:w val="0.80731900699912507"/>
          <c:h val="6.7318231244774276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9.2592592592592587E-3"/>
          <c:y val="2.8799871835998435E-2"/>
          <c:w val="0.97685185185185186"/>
          <c:h val="0.80835737865380219"/>
        </c:manualLayout>
      </c:layout>
      <c:pie3DChart>
        <c:varyColors val="1"/>
        <c:ser>
          <c:idx val="0"/>
          <c:order val="0"/>
          <c:tx>
            <c:strRef>
              <c:f>Лист1!$B$1</c:f>
              <c:strCache>
                <c:ptCount val="1"/>
                <c:pt idx="0">
                  <c:v>Продажи</c:v>
                </c:pt>
              </c:strCache>
            </c:strRef>
          </c:tx>
          <c:explosion val="25"/>
          <c:dLbls>
            <c:spPr>
              <a:noFill/>
              <a:ln>
                <a:noFill/>
              </a:ln>
              <a:effectLst/>
            </c:spPr>
            <c:txPr>
              <a:bodyPr/>
              <a:lstStyle/>
              <a:p>
                <a:pPr>
                  <a:defRPr b="1"/>
                </a:pPr>
                <a:endParaRPr lang="ru-RU"/>
              </a:p>
            </c:tx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ерадикація збудника +</c:v>
                </c:pt>
                <c:pt idx="1">
                  <c:v>ерадикація збудника -</c:v>
                </c:pt>
              </c:strCache>
            </c:strRef>
          </c:cat>
          <c:val>
            <c:numRef>
              <c:f>Лист1!$B$2:$B$3</c:f>
              <c:numCache>
                <c:formatCode>0%</c:formatCode>
                <c:ptCount val="2"/>
                <c:pt idx="0">
                  <c:v>0.76200000000000001</c:v>
                </c:pt>
                <c:pt idx="1">
                  <c:v>0.24</c:v>
                </c:pt>
              </c:numCache>
            </c:numRef>
          </c:val>
        </c:ser>
        <c:dLbls>
          <c:dLblPos val="bestFit"/>
          <c:showLegendKey val="0"/>
          <c:showVal val="1"/>
          <c:showCatName val="0"/>
          <c:showSerName val="0"/>
          <c:showPercent val="0"/>
          <c:showBubbleSize val="0"/>
          <c:showLeaderLines val="1"/>
        </c:dLbls>
      </c:pie3DChart>
    </c:plotArea>
    <c:legend>
      <c:legendPos val="b"/>
      <c:overlay val="0"/>
      <c:txPr>
        <a:bodyPr/>
        <a:lstStyle/>
        <a:p>
          <a:pPr>
            <a:defRPr b="1"/>
          </a:pPr>
          <a:endParaRPr lang="ru-RU"/>
        </a:p>
      </c:txPr>
    </c:legend>
    <c:plotVisOnly val="1"/>
    <c:dispBlanksAs val="gap"/>
    <c:showDLblsOverMax val="0"/>
  </c:chart>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3281204432779237E-2"/>
          <c:y val="5.2286526434540473E-2"/>
          <c:w val="0.92031259113444153"/>
          <c:h val="0.77085189763638162"/>
        </c:manualLayout>
      </c:layout>
      <c:bar3DChart>
        <c:barDir val="col"/>
        <c:grouping val="percentStacked"/>
        <c:varyColors val="0"/>
        <c:ser>
          <c:idx val="0"/>
          <c:order val="0"/>
          <c:tx>
            <c:strRef>
              <c:f>Лист1!$B$1</c:f>
              <c:strCache>
                <c:ptCount val="1"/>
                <c:pt idx="0">
                  <c:v>ерадикація збудника +</c:v>
                </c:pt>
              </c:strCache>
            </c:strRef>
          </c:tx>
          <c:invertIfNegative val="0"/>
          <c:dLbls>
            <c:dLbl>
              <c:idx val="0"/>
              <c:layout>
                <c:manualLayout>
                  <c:x val="4.6296296296296294E-3"/>
                  <c:y val="0"/>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0"/>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0.80800000000000005</c:v>
                </c:pt>
                <c:pt idx="1">
                  <c:v>0.65600000000000003</c:v>
                </c:pt>
              </c:numCache>
            </c:numRef>
          </c:val>
        </c:ser>
        <c:ser>
          <c:idx val="1"/>
          <c:order val="1"/>
          <c:tx>
            <c:strRef>
              <c:f>Лист1!$C$1</c:f>
              <c:strCache>
                <c:ptCount val="1"/>
                <c:pt idx="0">
                  <c:v>ерадикація збудника -</c:v>
                </c:pt>
              </c:strCache>
            </c:strRef>
          </c:tx>
          <c:invertIfNegative val="0"/>
          <c:dLbls>
            <c:dLbl>
              <c:idx val="0"/>
              <c:layout>
                <c:manualLayout>
                  <c:x val="1.3888888888888888E-2"/>
                  <c:y val="-3.4369758660079057E-17"/>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888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0.192</c:v>
                </c:pt>
                <c:pt idx="1">
                  <c:v>0.34399999999999997</c:v>
                </c:pt>
              </c:numCache>
            </c:numRef>
          </c:val>
        </c:ser>
        <c:dLbls>
          <c:showLegendKey val="0"/>
          <c:showVal val="1"/>
          <c:showCatName val="0"/>
          <c:showSerName val="0"/>
          <c:showPercent val="0"/>
          <c:showBubbleSize val="0"/>
        </c:dLbls>
        <c:gapWidth val="150"/>
        <c:shape val="cylinder"/>
        <c:axId val="252762368"/>
        <c:axId val="245366784"/>
        <c:axId val="0"/>
      </c:bar3DChart>
      <c:catAx>
        <c:axId val="252762368"/>
        <c:scaling>
          <c:orientation val="minMax"/>
        </c:scaling>
        <c:delete val="0"/>
        <c:axPos val="b"/>
        <c:numFmt formatCode="General" sourceLinked="0"/>
        <c:majorTickMark val="out"/>
        <c:minorTickMark val="none"/>
        <c:tickLblPos val="nextTo"/>
        <c:txPr>
          <a:bodyPr/>
          <a:lstStyle/>
          <a:p>
            <a:pPr>
              <a:defRPr sz="1000"/>
            </a:pPr>
            <a:endParaRPr lang="ru-RU"/>
          </a:p>
        </c:txPr>
        <c:crossAx val="245366784"/>
        <c:crosses val="autoZero"/>
        <c:auto val="1"/>
        <c:lblAlgn val="ctr"/>
        <c:lblOffset val="100"/>
        <c:noMultiLvlLbl val="0"/>
      </c:catAx>
      <c:valAx>
        <c:axId val="245366784"/>
        <c:scaling>
          <c:orientation val="minMax"/>
        </c:scaling>
        <c:delete val="0"/>
        <c:axPos val="l"/>
        <c:majorGridlines/>
        <c:numFmt formatCode="0%" sourceLinked="1"/>
        <c:majorTickMark val="out"/>
        <c:minorTickMark val="none"/>
        <c:tickLblPos val="nextTo"/>
        <c:txPr>
          <a:bodyPr/>
          <a:lstStyle/>
          <a:p>
            <a:pPr>
              <a:defRPr sz="800"/>
            </a:pPr>
            <a:endParaRPr lang="ru-RU"/>
          </a:p>
        </c:txPr>
        <c:crossAx val="252762368"/>
        <c:crosses val="autoZero"/>
        <c:crossBetween val="between"/>
      </c:valAx>
    </c:plotArea>
    <c:legend>
      <c:legendPos val="b"/>
      <c:layout>
        <c:manualLayout>
          <c:xMode val="edge"/>
          <c:yMode val="edge"/>
          <c:x val="0.20389125838436861"/>
          <c:y val="0.91148891413358091"/>
          <c:w val="0.61873596529600472"/>
          <c:h val="8.8510899479768146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7271164589600345E-2"/>
          <c:w val="0.89736694371536896"/>
          <c:h val="0.78984025256404622"/>
        </c:manualLayout>
      </c:layout>
      <c:bar3DChart>
        <c:barDir val="col"/>
        <c:grouping val="percentStacked"/>
        <c:varyColors val="0"/>
        <c:ser>
          <c:idx val="0"/>
          <c:order val="0"/>
          <c:tx>
            <c:strRef>
              <c:f>Лист1!$B$1</c:f>
              <c:strCache>
                <c:ptCount val="1"/>
                <c:pt idx="0">
                  <c:v>ерадикація збудника +</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Лист1!$B$2:$B$4</c:f>
              <c:numCache>
                <c:formatCode>0%</c:formatCode>
                <c:ptCount val="3"/>
                <c:pt idx="0">
                  <c:v>0.75</c:v>
                </c:pt>
                <c:pt idx="1">
                  <c:v>0.78</c:v>
                </c:pt>
                <c:pt idx="2">
                  <c:v>0.75</c:v>
                </c:pt>
              </c:numCache>
            </c:numRef>
          </c:val>
        </c:ser>
        <c:ser>
          <c:idx val="1"/>
          <c:order val="1"/>
          <c:tx>
            <c:strRef>
              <c:f>Лист1!$C$1</c:f>
              <c:strCache>
                <c:ptCount val="1"/>
                <c:pt idx="0">
                  <c:v>ерадикація збудника -</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Лист1!$C$2:$C$4</c:f>
              <c:numCache>
                <c:formatCode>0%</c:formatCode>
                <c:ptCount val="3"/>
                <c:pt idx="0">
                  <c:v>0.25</c:v>
                </c:pt>
                <c:pt idx="1">
                  <c:v>0.22</c:v>
                </c:pt>
                <c:pt idx="2">
                  <c:v>0.25</c:v>
                </c:pt>
              </c:numCache>
            </c:numRef>
          </c:val>
        </c:ser>
        <c:dLbls>
          <c:showLegendKey val="0"/>
          <c:showVal val="1"/>
          <c:showCatName val="0"/>
          <c:showSerName val="0"/>
          <c:showPercent val="0"/>
          <c:showBubbleSize val="0"/>
        </c:dLbls>
        <c:gapWidth val="150"/>
        <c:shape val="cylinder"/>
        <c:axId val="245413376"/>
        <c:axId val="245414912"/>
        <c:axId val="0"/>
      </c:bar3DChart>
      <c:catAx>
        <c:axId val="245413376"/>
        <c:scaling>
          <c:orientation val="minMax"/>
        </c:scaling>
        <c:delete val="0"/>
        <c:axPos val="b"/>
        <c:numFmt formatCode="General" sourceLinked="0"/>
        <c:majorTickMark val="out"/>
        <c:minorTickMark val="none"/>
        <c:tickLblPos val="nextTo"/>
        <c:crossAx val="245414912"/>
        <c:crosses val="autoZero"/>
        <c:auto val="1"/>
        <c:lblAlgn val="ctr"/>
        <c:lblOffset val="100"/>
        <c:noMultiLvlLbl val="0"/>
      </c:catAx>
      <c:valAx>
        <c:axId val="245414912"/>
        <c:scaling>
          <c:orientation val="minMax"/>
        </c:scaling>
        <c:delete val="0"/>
        <c:axPos val="l"/>
        <c:majorGridlines/>
        <c:numFmt formatCode="0%" sourceLinked="1"/>
        <c:majorTickMark val="out"/>
        <c:minorTickMark val="none"/>
        <c:tickLblPos val="nextTo"/>
        <c:crossAx val="245413376"/>
        <c:crosses val="autoZero"/>
        <c:crossBetween val="between"/>
      </c:valAx>
    </c:plotArea>
    <c:legend>
      <c:legendPos val="b"/>
      <c:layout>
        <c:manualLayout>
          <c:xMode val="edge"/>
          <c:yMode val="edge"/>
          <c:x val="0.20852088801399826"/>
          <c:y val="0.93268185226846645"/>
          <c:w val="0.61873596529600472"/>
          <c:h val="6.7318356180697508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4114537766112565E-2"/>
          <c:y val="3.6192198729588392E-2"/>
          <c:w val="0.90662620297462815"/>
          <c:h val="0.78335610107094455"/>
        </c:manualLayout>
      </c:layout>
      <c:bar3DChart>
        <c:barDir val="col"/>
        <c:grouping val="percentStacked"/>
        <c:varyColors val="0"/>
        <c:ser>
          <c:idx val="0"/>
          <c:order val="0"/>
          <c:tx>
            <c:strRef>
              <c:f>Лист1!$B$1</c:f>
              <c:strCache>
                <c:ptCount val="1"/>
                <c:pt idx="0">
                  <c:v>ерадикація збудника +</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хворі з генами резистентності</c:v>
                </c:pt>
                <c:pt idx="1">
                  <c:v>хворі без генів рез-ті</c:v>
                </c:pt>
              </c:strCache>
            </c:strRef>
          </c:cat>
          <c:val>
            <c:numRef>
              <c:f>Лист1!$B$2:$B$3</c:f>
              <c:numCache>
                <c:formatCode>0%</c:formatCode>
                <c:ptCount val="2"/>
                <c:pt idx="0">
                  <c:v>0.52</c:v>
                </c:pt>
                <c:pt idx="1">
                  <c:v>0.73</c:v>
                </c:pt>
              </c:numCache>
            </c:numRef>
          </c:val>
        </c:ser>
        <c:ser>
          <c:idx val="1"/>
          <c:order val="1"/>
          <c:tx>
            <c:strRef>
              <c:f>Лист1!$C$1</c:f>
              <c:strCache>
                <c:ptCount val="1"/>
                <c:pt idx="0">
                  <c:v>ерадикація збудника -</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хворі з генами резистентності</c:v>
                </c:pt>
                <c:pt idx="1">
                  <c:v>хворі без генів рез-ті</c:v>
                </c:pt>
              </c:strCache>
            </c:strRef>
          </c:cat>
          <c:val>
            <c:numRef>
              <c:f>Лист1!$C$2:$C$3</c:f>
              <c:numCache>
                <c:formatCode>0%</c:formatCode>
                <c:ptCount val="2"/>
                <c:pt idx="0">
                  <c:v>0.48</c:v>
                </c:pt>
                <c:pt idx="1">
                  <c:v>0.27</c:v>
                </c:pt>
              </c:numCache>
            </c:numRef>
          </c:val>
        </c:ser>
        <c:dLbls>
          <c:showLegendKey val="0"/>
          <c:showVal val="1"/>
          <c:showCatName val="0"/>
          <c:showSerName val="0"/>
          <c:showPercent val="0"/>
          <c:showBubbleSize val="0"/>
        </c:dLbls>
        <c:gapWidth val="150"/>
        <c:shape val="cylinder"/>
        <c:axId val="245486336"/>
        <c:axId val="245487872"/>
        <c:axId val="0"/>
      </c:bar3DChart>
      <c:catAx>
        <c:axId val="245486336"/>
        <c:scaling>
          <c:orientation val="minMax"/>
        </c:scaling>
        <c:delete val="0"/>
        <c:axPos val="b"/>
        <c:numFmt formatCode="General" sourceLinked="0"/>
        <c:majorTickMark val="out"/>
        <c:minorTickMark val="none"/>
        <c:tickLblPos val="nextTo"/>
        <c:crossAx val="245487872"/>
        <c:crosses val="autoZero"/>
        <c:auto val="1"/>
        <c:lblAlgn val="ctr"/>
        <c:lblOffset val="100"/>
        <c:noMultiLvlLbl val="0"/>
      </c:catAx>
      <c:valAx>
        <c:axId val="245487872"/>
        <c:scaling>
          <c:orientation val="minMax"/>
        </c:scaling>
        <c:delete val="0"/>
        <c:axPos val="l"/>
        <c:majorGridlines/>
        <c:numFmt formatCode="0%" sourceLinked="1"/>
        <c:majorTickMark val="out"/>
        <c:minorTickMark val="none"/>
        <c:tickLblPos val="nextTo"/>
        <c:crossAx val="245486336"/>
        <c:crosses val="autoZero"/>
        <c:crossBetween val="between"/>
      </c:valAx>
    </c:plotArea>
    <c:legend>
      <c:legendPos val="b"/>
      <c:layout>
        <c:manualLayout>
          <c:xMode val="edge"/>
          <c:yMode val="edge"/>
          <c:x val="0.24815981335666376"/>
          <c:y val="0.93268185226846645"/>
          <c:w val="0.53851377952755908"/>
          <c:h val="6.7318195415230417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2540463692038495E-2"/>
          <c:y val="2.6357284093318355E-2"/>
          <c:w val="0.91588546223388745"/>
          <c:h val="0.815969050431402"/>
        </c:manualLayout>
      </c:layout>
      <c:bar3DChart>
        <c:barDir val="col"/>
        <c:grouping val="clustered"/>
        <c:varyColors val="0"/>
        <c:ser>
          <c:idx val="0"/>
          <c:order val="0"/>
          <c:tx>
            <c:strRef>
              <c:f>Лист1!$B$1</c:f>
              <c:strCache>
                <c:ptCount val="1"/>
                <c:pt idx="0">
                  <c:v>хворі з генами резистентності</c:v>
                </c:pt>
              </c:strCache>
            </c:strRef>
          </c:tx>
          <c:invertIfNegative val="0"/>
          <c:dLbls>
            <c:dLbl>
              <c:idx val="0"/>
              <c:layout>
                <c:manualLayout>
                  <c:x val="0"/>
                  <c:y val="-2.635486304290758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2.196238586908965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Лист1!$B$2:$B$3</c:f>
              <c:numCache>
                <c:formatCode>0%</c:formatCode>
                <c:ptCount val="2"/>
                <c:pt idx="0">
                  <c:v>0.61</c:v>
                </c:pt>
                <c:pt idx="1">
                  <c:v>0.25</c:v>
                </c:pt>
              </c:numCache>
            </c:numRef>
          </c:val>
        </c:ser>
        <c:ser>
          <c:idx val="1"/>
          <c:order val="1"/>
          <c:tx>
            <c:strRef>
              <c:f>Лист1!$C$1</c:f>
              <c:strCache>
                <c:ptCount val="1"/>
                <c:pt idx="0">
                  <c:v>хворі без генів рез-ті</c:v>
                </c:pt>
              </c:strCache>
            </c:strRef>
          </c:tx>
          <c:invertIfNegative val="0"/>
          <c:dLbls>
            <c:dLbl>
              <c:idx val="0"/>
              <c:layout>
                <c:manualLayout>
                  <c:x val="4.2437781360066642E-17"/>
                  <c:y val="-2.635486304290758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3148148148148147E-3"/>
                  <c:y val="-2.635486304290758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 група</c:v>
                </c:pt>
                <c:pt idx="1">
                  <c:v>ІІ група</c:v>
                </c:pt>
              </c:strCache>
            </c:strRef>
          </c:cat>
          <c:val>
            <c:numRef>
              <c:f>Лист1!$C$2:$C$3</c:f>
              <c:numCache>
                <c:formatCode>0%</c:formatCode>
                <c:ptCount val="2"/>
                <c:pt idx="0">
                  <c:v>0.9</c:v>
                </c:pt>
                <c:pt idx="1">
                  <c:v>0.79</c:v>
                </c:pt>
              </c:numCache>
            </c:numRef>
          </c:val>
        </c:ser>
        <c:dLbls>
          <c:showLegendKey val="0"/>
          <c:showVal val="1"/>
          <c:showCatName val="0"/>
          <c:showSerName val="0"/>
          <c:showPercent val="0"/>
          <c:showBubbleSize val="0"/>
        </c:dLbls>
        <c:gapWidth val="150"/>
        <c:shape val="cylinder"/>
        <c:axId val="245465088"/>
        <c:axId val="245466624"/>
        <c:axId val="0"/>
      </c:bar3DChart>
      <c:catAx>
        <c:axId val="245465088"/>
        <c:scaling>
          <c:orientation val="minMax"/>
        </c:scaling>
        <c:delete val="0"/>
        <c:axPos val="b"/>
        <c:numFmt formatCode="General" sourceLinked="0"/>
        <c:majorTickMark val="out"/>
        <c:minorTickMark val="none"/>
        <c:tickLblPos val="nextTo"/>
        <c:crossAx val="245466624"/>
        <c:crosses val="autoZero"/>
        <c:auto val="1"/>
        <c:lblAlgn val="ctr"/>
        <c:lblOffset val="100"/>
        <c:noMultiLvlLbl val="0"/>
      </c:catAx>
      <c:valAx>
        <c:axId val="245466624"/>
        <c:scaling>
          <c:orientation val="minMax"/>
        </c:scaling>
        <c:delete val="0"/>
        <c:axPos val="l"/>
        <c:majorGridlines/>
        <c:numFmt formatCode="0%" sourceLinked="1"/>
        <c:majorTickMark val="out"/>
        <c:minorTickMark val="none"/>
        <c:tickLblPos val="nextTo"/>
        <c:crossAx val="245465088"/>
        <c:crosses val="autoZero"/>
        <c:crossBetween val="between"/>
      </c:valAx>
    </c:plotArea>
    <c:legend>
      <c:legendPos val="b"/>
      <c:layout>
        <c:manualLayout>
          <c:xMode val="edge"/>
          <c:yMode val="edge"/>
          <c:x val="0.17182651647710703"/>
          <c:y val="0.93268185226846645"/>
          <c:w val="0.68693040974044917"/>
          <c:h val="6.7318027764586494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4.886717014660151E-2"/>
          <c:w val="0.89736694371536896"/>
          <c:h val="0.78274467690650174"/>
        </c:manualLayout>
      </c:layout>
      <c:bar3DChart>
        <c:barDir val="col"/>
        <c:grouping val="percentStacked"/>
        <c:varyColors val="0"/>
        <c:ser>
          <c:idx val="0"/>
          <c:order val="0"/>
          <c:tx>
            <c:strRef>
              <c:f>Лист1!$B$1</c:f>
              <c:strCache>
                <c:ptCount val="1"/>
                <c:pt idx="0">
                  <c:v>ерадикація збудника +</c:v>
                </c:pt>
              </c:strCache>
            </c:strRef>
          </c:tx>
          <c:invertIfNegative val="0"/>
          <c:dLbls>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Лист1!$B$2:$B$4</c:f>
              <c:numCache>
                <c:formatCode>0%</c:formatCode>
                <c:ptCount val="3"/>
                <c:pt idx="0">
                  <c:v>0.44</c:v>
                </c:pt>
                <c:pt idx="1">
                  <c:v>0.5</c:v>
                </c:pt>
                <c:pt idx="2">
                  <c:v>0.57999999999999996</c:v>
                </c:pt>
              </c:numCache>
            </c:numRef>
          </c:val>
        </c:ser>
        <c:ser>
          <c:idx val="1"/>
          <c:order val="1"/>
          <c:tx>
            <c:strRef>
              <c:f>Лист1!$C$1</c:f>
              <c:strCache>
                <c:ptCount val="1"/>
                <c:pt idx="0">
                  <c:v>ерадикація збудника - </c:v>
                </c:pt>
              </c:strCache>
            </c:strRef>
          </c:tx>
          <c:invertIfNegative val="0"/>
          <c:dLbls>
            <c:dLbl>
              <c:idx val="2"/>
              <c:layout>
                <c:manualLayout>
                  <c:x val="1.620370370370362E-2"/>
                  <c:y val="-4.0717328758576908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група А</c:v>
                </c:pt>
                <c:pt idx="1">
                  <c:v>група В</c:v>
                </c:pt>
                <c:pt idx="2">
                  <c:v>група С</c:v>
                </c:pt>
              </c:strCache>
            </c:strRef>
          </c:cat>
          <c:val>
            <c:numRef>
              <c:f>Лист1!$C$2:$C$4</c:f>
              <c:numCache>
                <c:formatCode>0%</c:formatCode>
                <c:ptCount val="3"/>
                <c:pt idx="0">
                  <c:v>0.56000000000000005</c:v>
                </c:pt>
                <c:pt idx="1">
                  <c:v>0.5</c:v>
                </c:pt>
                <c:pt idx="2">
                  <c:v>0.42</c:v>
                </c:pt>
              </c:numCache>
            </c:numRef>
          </c:val>
        </c:ser>
        <c:dLbls>
          <c:showLegendKey val="0"/>
          <c:showVal val="1"/>
          <c:showCatName val="0"/>
          <c:showSerName val="0"/>
          <c:showPercent val="0"/>
          <c:showBubbleSize val="0"/>
        </c:dLbls>
        <c:gapWidth val="150"/>
        <c:shape val="cylinder"/>
        <c:axId val="251649024"/>
        <c:axId val="253100800"/>
        <c:axId val="0"/>
      </c:bar3DChart>
      <c:catAx>
        <c:axId val="251649024"/>
        <c:scaling>
          <c:orientation val="minMax"/>
        </c:scaling>
        <c:delete val="0"/>
        <c:axPos val="b"/>
        <c:numFmt formatCode="General" sourceLinked="0"/>
        <c:majorTickMark val="out"/>
        <c:minorTickMark val="none"/>
        <c:tickLblPos val="nextTo"/>
        <c:crossAx val="253100800"/>
        <c:crosses val="autoZero"/>
        <c:auto val="1"/>
        <c:lblAlgn val="ctr"/>
        <c:lblOffset val="100"/>
        <c:noMultiLvlLbl val="0"/>
      </c:catAx>
      <c:valAx>
        <c:axId val="253100800"/>
        <c:scaling>
          <c:orientation val="minMax"/>
        </c:scaling>
        <c:delete val="0"/>
        <c:axPos val="l"/>
        <c:majorGridlines/>
        <c:numFmt formatCode="0%" sourceLinked="1"/>
        <c:majorTickMark val="out"/>
        <c:minorTickMark val="none"/>
        <c:tickLblPos val="nextTo"/>
        <c:crossAx val="251649024"/>
        <c:crosses val="autoZero"/>
        <c:crossBetween val="between"/>
      </c:valAx>
    </c:plotArea>
    <c:legend>
      <c:legendPos val="b"/>
      <c:layout>
        <c:manualLayout>
          <c:xMode val="edge"/>
          <c:yMode val="edge"/>
          <c:x val="0.20504173957421989"/>
          <c:y val="0.92077709036370459"/>
          <c:w val="0.62569444444444444"/>
          <c:h val="7.5171927718830578E-2"/>
        </c:manualLayout>
      </c:layout>
      <c:overlay val="0"/>
      <c:txPr>
        <a:bodyPr/>
        <a:lstStyle/>
        <a:p>
          <a:pPr>
            <a:defRPr b="1"/>
          </a:pPr>
          <a:endParaRPr lang="ru-RU"/>
        </a:p>
      </c:txPr>
    </c:legend>
    <c:plotVisOnly val="1"/>
    <c:dispBlanksAs val="gap"/>
    <c:showDLblsOverMax val="0"/>
  </c:chart>
  <c:externalData r:id="rId2">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виявлення генів </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Лист1!$B$2:$B$4</c:f>
              <c:numCache>
                <c:formatCode>0%</c:formatCode>
                <c:ptCount val="3"/>
                <c:pt idx="0">
                  <c:v>0.42</c:v>
                </c:pt>
                <c:pt idx="1">
                  <c:v>0.44</c:v>
                </c:pt>
                <c:pt idx="2">
                  <c:v>0.4</c:v>
                </c:pt>
              </c:numCache>
            </c:numRef>
          </c:val>
        </c:ser>
        <c:ser>
          <c:idx val="1"/>
          <c:order val="1"/>
          <c:tx>
            <c:strRef>
              <c:f>Лист1!$C$1</c:f>
              <c:strCache>
                <c:ptCount val="1"/>
                <c:pt idx="0">
                  <c:v>генів не виявлено</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Лист1!$C$2:$C$4</c:f>
              <c:numCache>
                <c:formatCode>0%</c:formatCode>
                <c:ptCount val="3"/>
                <c:pt idx="0">
                  <c:v>0.57999999999999996</c:v>
                </c:pt>
                <c:pt idx="1">
                  <c:v>0.56000000000000005</c:v>
                </c:pt>
                <c:pt idx="2">
                  <c:v>0.6</c:v>
                </c:pt>
              </c:numCache>
            </c:numRef>
          </c:val>
        </c:ser>
        <c:dLbls>
          <c:showLegendKey val="0"/>
          <c:showVal val="1"/>
          <c:showCatName val="0"/>
          <c:showSerName val="0"/>
          <c:showPercent val="0"/>
          <c:showBubbleSize val="0"/>
        </c:dLbls>
        <c:gapWidth val="150"/>
        <c:shape val="cylinder"/>
        <c:axId val="253548032"/>
        <c:axId val="253549568"/>
        <c:axId val="0"/>
      </c:bar3DChart>
      <c:catAx>
        <c:axId val="253548032"/>
        <c:scaling>
          <c:orientation val="minMax"/>
        </c:scaling>
        <c:delete val="0"/>
        <c:axPos val="b"/>
        <c:majorTickMark val="out"/>
        <c:minorTickMark val="none"/>
        <c:tickLblPos val="nextTo"/>
        <c:crossAx val="253549568"/>
        <c:crosses val="autoZero"/>
        <c:auto val="1"/>
        <c:lblAlgn val="ctr"/>
        <c:lblOffset val="100"/>
        <c:noMultiLvlLbl val="0"/>
      </c:catAx>
      <c:valAx>
        <c:axId val="253549568"/>
        <c:scaling>
          <c:orientation val="minMax"/>
        </c:scaling>
        <c:delete val="0"/>
        <c:axPos val="l"/>
        <c:majorGridlines/>
        <c:numFmt formatCode="0%" sourceLinked="1"/>
        <c:majorTickMark val="out"/>
        <c:minorTickMark val="none"/>
        <c:tickLblPos val="nextTo"/>
        <c:crossAx val="253548032"/>
        <c:crosses val="autoZero"/>
        <c:crossBetween val="between"/>
      </c:valAx>
    </c:plotArea>
    <c:legend>
      <c:legendPos val="b"/>
      <c:layout>
        <c:manualLayout>
          <c:xMode val="edge"/>
          <c:yMode val="edge"/>
          <c:x val="0.2697222222222222"/>
          <c:y val="0.93268185226846645"/>
          <c:w val="0.46055555555555555"/>
          <c:h val="6.7318297166135146E-2"/>
        </c:manualLayout>
      </c:layout>
      <c:overlay val="0"/>
    </c:legend>
    <c:plotVisOnly val="1"/>
    <c:dispBlanksAs val="gap"/>
    <c:showDLblsOverMax val="0"/>
  </c:chart>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ХП</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Лист1!$B$2:$B$4</c:f>
              <c:numCache>
                <c:formatCode>0%</c:formatCode>
                <c:ptCount val="3"/>
                <c:pt idx="0">
                  <c:v>0.14299999999999999</c:v>
                </c:pt>
                <c:pt idx="1">
                  <c:v>0.48299999999999998</c:v>
                </c:pt>
                <c:pt idx="2">
                  <c:v>0.433</c:v>
                </c:pt>
              </c:numCache>
            </c:numRef>
          </c:val>
        </c:ser>
        <c:ser>
          <c:idx val="1"/>
          <c:order val="1"/>
          <c:tx>
            <c:strRef>
              <c:f>Лист1!$C$1</c:f>
              <c:strCache>
                <c:ptCount val="1"/>
                <c:pt idx="0">
                  <c:v>ХП+ЦД</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Лист1!$C$2:$C$4</c:f>
              <c:numCache>
                <c:formatCode>0%</c:formatCode>
                <c:ptCount val="3"/>
                <c:pt idx="0">
                  <c:v>0.8</c:v>
                </c:pt>
                <c:pt idx="1">
                  <c:v>0.33300000000000002</c:v>
                </c:pt>
                <c:pt idx="2">
                  <c:v>0.4</c:v>
                </c:pt>
              </c:numCache>
            </c:numRef>
          </c:val>
        </c:ser>
        <c:dLbls>
          <c:showLegendKey val="0"/>
          <c:showVal val="1"/>
          <c:showCatName val="0"/>
          <c:showSerName val="0"/>
          <c:showPercent val="0"/>
          <c:showBubbleSize val="0"/>
        </c:dLbls>
        <c:gapWidth val="150"/>
        <c:shape val="cylinder"/>
        <c:axId val="254280448"/>
        <c:axId val="254281984"/>
        <c:axId val="0"/>
      </c:bar3DChart>
      <c:catAx>
        <c:axId val="254280448"/>
        <c:scaling>
          <c:orientation val="minMax"/>
        </c:scaling>
        <c:delete val="0"/>
        <c:axPos val="b"/>
        <c:majorTickMark val="out"/>
        <c:minorTickMark val="none"/>
        <c:tickLblPos val="nextTo"/>
        <c:crossAx val="254281984"/>
        <c:crosses val="autoZero"/>
        <c:auto val="1"/>
        <c:lblAlgn val="ctr"/>
        <c:lblOffset val="100"/>
        <c:noMultiLvlLbl val="0"/>
      </c:catAx>
      <c:valAx>
        <c:axId val="254281984"/>
        <c:scaling>
          <c:orientation val="minMax"/>
        </c:scaling>
        <c:delete val="0"/>
        <c:axPos val="l"/>
        <c:majorGridlines/>
        <c:numFmt formatCode="0%" sourceLinked="1"/>
        <c:majorTickMark val="out"/>
        <c:minorTickMark val="none"/>
        <c:tickLblPos val="nextTo"/>
        <c:crossAx val="254280448"/>
        <c:crosses val="autoZero"/>
        <c:crossBetween val="between"/>
      </c:valAx>
    </c:plotArea>
    <c:legend>
      <c:legendPos val="b"/>
      <c:layout>
        <c:manualLayout>
          <c:xMode val="edge"/>
          <c:yMode val="edge"/>
          <c:x val="0.40486803732866727"/>
          <c:y val="0.89988455955899493"/>
          <c:w val="0.19026374307378244"/>
          <c:h val="8.4063106735505461E-2"/>
        </c:manualLayout>
      </c:layout>
      <c:overlay val="0"/>
    </c:legend>
    <c:plotVisOnly val="1"/>
    <c:dispBlanksAs val="gap"/>
    <c:showDLblsOverMax val="0"/>
  </c:chart>
  <c:externalData r:id="rId2">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7170093321668132E-2"/>
          <c:y val="4.9875311720698257E-2"/>
          <c:w val="0.91357064741907257"/>
          <c:h val="0.77280660723268113"/>
        </c:manualLayout>
      </c:layout>
      <c:bar3DChart>
        <c:barDir val="col"/>
        <c:grouping val="clustered"/>
        <c:varyColors val="0"/>
        <c:ser>
          <c:idx val="0"/>
          <c:order val="0"/>
          <c:tx>
            <c:strRef>
              <c:f>Лист1!$B$1</c:f>
              <c:strCache>
                <c:ptCount val="1"/>
                <c:pt idx="0">
                  <c:v>до лікування</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Лист1!$B$2:$B$4</c:f>
              <c:numCache>
                <c:formatCode>0%</c:formatCode>
                <c:ptCount val="3"/>
                <c:pt idx="0">
                  <c:v>0.25</c:v>
                </c:pt>
                <c:pt idx="1">
                  <c:v>0.24</c:v>
                </c:pt>
                <c:pt idx="2">
                  <c:v>0.28000000000000003</c:v>
                </c:pt>
              </c:numCache>
            </c:numRef>
          </c:val>
        </c:ser>
        <c:ser>
          <c:idx val="1"/>
          <c:order val="1"/>
          <c:tx>
            <c:strRef>
              <c:f>Лист1!$C$1</c:f>
              <c:strCache>
                <c:ptCount val="1"/>
                <c:pt idx="0">
                  <c:v>після лікування</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Лист1!$C$2:$C$4</c:f>
              <c:numCache>
                <c:formatCode>0%</c:formatCode>
                <c:ptCount val="3"/>
                <c:pt idx="0">
                  <c:v>0.17</c:v>
                </c:pt>
                <c:pt idx="1">
                  <c:v>0.2</c:v>
                </c:pt>
                <c:pt idx="2">
                  <c:v>0.12</c:v>
                </c:pt>
              </c:numCache>
            </c:numRef>
          </c:val>
        </c:ser>
        <c:dLbls>
          <c:showLegendKey val="0"/>
          <c:showVal val="1"/>
          <c:showCatName val="0"/>
          <c:showSerName val="0"/>
          <c:showPercent val="0"/>
          <c:showBubbleSize val="0"/>
        </c:dLbls>
        <c:gapWidth val="150"/>
        <c:shape val="cylinder"/>
        <c:axId val="255102976"/>
        <c:axId val="255104512"/>
        <c:axId val="0"/>
      </c:bar3DChart>
      <c:catAx>
        <c:axId val="255102976"/>
        <c:scaling>
          <c:orientation val="minMax"/>
        </c:scaling>
        <c:delete val="0"/>
        <c:axPos val="b"/>
        <c:majorTickMark val="out"/>
        <c:minorTickMark val="none"/>
        <c:tickLblPos val="nextTo"/>
        <c:crossAx val="255104512"/>
        <c:crosses val="autoZero"/>
        <c:auto val="1"/>
        <c:lblAlgn val="ctr"/>
        <c:lblOffset val="100"/>
        <c:noMultiLvlLbl val="0"/>
      </c:catAx>
      <c:valAx>
        <c:axId val="255104512"/>
        <c:scaling>
          <c:orientation val="minMax"/>
        </c:scaling>
        <c:delete val="0"/>
        <c:axPos val="l"/>
        <c:majorGridlines/>
        <c:numFmt formatCode="0%" sourceLinked="1"/>
        <c:majorTickMark val="out"/>
        <c:minorTickMark val="none"/>
        <c:tickLblPos val="nextTo"/>
        <c:crossAx val="255102976"/>
        <c:crosses val="autoZero"/>
        <c:crossBetween val="between"/>
      </c:valAx>
    </c:plotArea>
    <c:legend>
      <c:legendPos val="b"/>
      <c:layout>
        <c:manualLayout>
          <c:xMode val="edge"/>
          <c:yMode val="edge"/>
          <c:x val="0.30597459171770192"/>
          <c:y val="0.93268185226846645"/>
          <c:w val="0.39268044619422571"/>
          <c:h val="6.731804734338187E-2"/>
        </c:manualLayout>
      </c:layout>
      <c:overlay val="0"/>
    </c:legend>
    <c:plotVisOnly val="1"/>
    <c:dispBlanksAs val="gap"/>
    <c:showDLblsOverMax val="0"/>
  </c:chart>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8.8744167395742202E-2"/>
          <c:y val="3.0110269972948175E-2"/>
          <c:w val="0.9019965733449985"/>
          <c:h val="0.79988460664499761"/>
        </c:manualLayout>
      </c:layout>
      <c:bar3DChart>
        <c:barDir val="col"/>
        <c:grouping val="clustered"/>
        <c:varyColors val="0"/>
        <c:ser>
          <c:idx val="0"/>
          <c:order val="0"/>
          <c:tx>
            <c:strRef>
              <c:f>Лист1!$B$1</c:f>
              <c:strCache>
                <c:ptCount val="1"/>
                <c:pt idx="0">
                  <c:v>ХП</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Лист1!$B$2:$B$4</c:f>
              <c:numCache>
                <c:formatCode>0%</c:formatCode>
                <c:ptCount val="3"/>
                <c:pt idx="0">
                  <c:v>0</c:v>
                </c:pt>
                <c:pt idx="1">
                  <c:v>0.17</c:v>
                </c:pt>
                <c:pt idx="2">
                  <c:v>7.0000000000000007E-2</c:v>
                </c:pt>
              </c:numCache>
            </c:numRef>
          </c:val>
        </c:ser>
        <c:ser>
          <c:idx val="1"/>
          <c:order val="1"/>
          <c:tx>
            <c:strRef>
              <c:f>Лист1!$C$1</c:f>
              <c:strCache>
                <c:ptCount val="1"/>
                <c:pt idx="0">
                  <c:v>ХП+ЦД</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Лист1!$C$2:$C$4</c:f>
              <c:numCache>
                <c:formatCode>0%</c:formatCode>
                <c:ptCount val="3"/>
                <c:pt idx="0">
                  <c:v>0.4</c:v>
                </c:pt>
                <c:pt idx="1">
                  <c:v>0.25</c:v>
                </c:pt>
                <c:pt idx="2">
                  <c:v>0.3</c:v>
                </c:pt>
              </c:numCache>
            </c:numRef>
          </c:val>
        </c:ser>
        <c:dLbls>
          <c:showLegendKey val="0"/>
          <c:showVal val="1"/>
          <c:showCatName val="0"/>
          <c:showSerName val="0"/>
          <c:showPercent val="0"/>
          <c:showBubbleSize val="0"/>
        </c:dLbls>
        <c:gapWidth val="150"/>
        <c:shape val="cylinder"/>
        <c:axId val="254389248"/>
        <c:axId val="254403328"/>
        <c:axId val="0"/>
      </c:bar3DChart>
      <c:catAx>
        <c:axId val="254389248"/>
        <c:scaling>
          <c:orientation val="minMax"/>
        </c:scaling>
        <c:delete val="0"/>
        <c:axPos val="b"/>
        <c:majorTickMark val="out"/>
        <c:minorTickMark val="none"/>
        <c:tickLblPos val="nextTo"/>
        <c:crossAx val="254403328"/>
        <c:crosses val="autoZero"/>
        <c:auto val="1"/>
        <c:lblAlgn val="ctr"/>
        <c:lblOffset val="100"/>
        <c:noMultiLvlLbl val="0"/>
      </c:catAx>
      <c:valAx>
        <c:axId val="254403328"/>
        <c:scaling>
          <c:orientation val="minMax"/>
        </c:scaling>
        <c:delete val="0"/>
        <c:axPos val="l"/>
        <c:majorGridlines/>
        <c:numFmt formatCode="0%" sourceLinked="1"/>
        <c:majorTickMark val="out"/>
        <c:minorTickMark val="none"/>
        <c:tickLblPos val="nextTo"/>
        <c:crossAx val="254389248"/>
        <c:crosses val="autoZero"/>
        <c:crossBetween val="between"/>
      </c:valAx>
    </c:plotArea>
    <c:legend>
      <c:legendPos val="b"/>
      <c:layout>
        <c:manualLayout>
          <c:xMode val="edge"/>
          <c:yMode val="edge"/>
          <c:x val="0.40933562992125982"/>
          <c:y val="0.91282111066104188"/>
          <c:w val="0.19026374307378244"/>
          <c:h val="8.5132639295561932E-2"/>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2.3121558815031716E-2"/>
          <c:y val="2.1771917329429288E-2"/>
          <c:w val="0.95144587343630493"/>
          <c:h val="0.80052988037299355"/>
        </c:manualLayout>
      </c:layout>
      <c:pie3DChart>
        <c:varyColors val="1"/>
        <c:ser>
          <c:idx val="0"/>
          <c:order val="0"/>
          <c:tx>
            <c:strRef>
              <c:f>Лист1!$B$1</c:f>
              <c:strCache>
                <c:ptCount val="1"/>
                <c:pt idx="0">
                  <c:v>Продажи</c:v>
                </c:pt>
              </c:strCache>
            </c:strRef>
          </c:tx>
          <c:explosion val="25"/>
          <c:dLbls>
            <c:dLbl>
              <c:idx val="4"/>
              <c:layout>
                <c:manualLayout>
                  <c:x val="3.1803772147699944E-2"/>
                  <c:y val="-3.1066867042051794E-2"/>
                </c:manualLayout>
              </c:layout>
              <c:dLblPos val="bestFit"/>
              <c:showLegendKey val="0"/>
              <c:showVal val="1"/>
              <c:showCatName val="0"/>
              <c:showSerName val="0"/>
              <c:showPercent val="0"/>
              <c:showBubbleSize val="0"/>
            </c:dLbl>
            <c:txPr>
              <a:bodyPr/>
              <a:lstStyle/>
              <a:p>
                <a:pPr>
                  <a:defRPr b="1"/>
                </a:pPr>
                <a:endParaRPr lang="ru-RU"/>
              </a:p>
            </c:txPr>
            <c:dLblPos val="bestFit"/>
            <c:showLegendKey val="0"/>
            <c:showVal val="1"/>
            <c:showCatName val="0"/>
            <c:showSerName val="0"/>
            <c:showPercent val="0"/>
            <c:showBubbleSize val="0"/>
            <c:showLeaderLines val="1"/>
          </c:dLbls>
          <c:cat>
            <c:strRef>
              <c:f>Лист1!$A$2:$A$12</c:f>
              <c:strCache>
                <c:ptCount val="11"/>
                <c:pt idx="0">
                  <c:v>E.coli</c:v>
                </c:pt>
                <c:pt idx="1">
                  <c:v>K.pneumoniae</c:v>
                </c:pt>
                <c:pt idx="2">
                  <c:v>P.mirabilis</c:v>
                </c:pt>
                <c:pt idx="3">
                  <c:v>P.aeruginosa</c:v>
                </c:pt>
                <c:pt idx="4">
                  <c:v>Serratia spp.</c:v>
                </c:pt>
                <c:pt idx="5">
                  <c:v>E.cloacae</c:v>
                </c:pt>
                <c:pt idx="6">
                  <c:v>Enterococci spp.</c:v>
                </c:pt>
                <c:pt idx="7">
                  <c:v>Staphylococci spp.</c:v>
                </c:pt>
                <c:pt idx="8">
                  <c:v>Corynebacterium</c:v>
                </c:pt>
                <c:pt idx="9">
                  <c:v>Streptococcus spp.</c:v>
                </c:pt>
                <c:pt idx="10">
                  <c:v>Candida</c:v>
                </c:pt>
              </c:strCache>
            </c:strRef>
          </c:cat>
          <c:val>
            <c:numRef>
              <c:f>Лист1!$B$2:$B$12</c:f>
              <c:numCache>
                <c:formatCode>0%</c:formatCode>
                <c:ptCount val="11"/>
                <c:pt idx="0">
                  <c:v>0.442</c:v>
                </c:pt>
                <c:pt idx="1">
                  <c:v>7.4999999999999997E-2</c:v>
                </c:pt>
                <c:pt idx="2">
                  <c:v>6.7000000000000004E-2</c:v>
                </c:pt>
                <c:pt idx="3">
                  <c:v>6.7000000000000004E-2</c:v>
                </c:pt>
                <c:pt idx="4">
                  <c:v>1.7000000000000001E-2</c:v>
                </c:pt>
                <c:pt idx="5">
                  <c:v>8.0000000000000002E-3</c:v>
                </c:pt>
                <c:pt idx="6">
                  <c:v>0.14199999999999999</c:v>
                </c:pt>
                <c:pt idx="7">
                  <c:v>0.1</c:v>
                </c:pt>
                <c:pt idx="8">
                  <c:v>3.3000000000000002E-2</c:v>
                </c:pt>
                <c:pt idx="9">
                  <c:v>8.0000000000000002E-3</c:v>
                </c:pt>
                <c:pt idx="10">
                  <c:v>4.2000000000000003E-2</c:v>
                </c:pt>
              </c:numCache>
            </c:numRef>
          </c:val>
        </c:ser>
        <c:dLbls>
          <c:dLblPos val="bestFit"/>
          <c:showLegendKey val="0"/>
          <c:showVal val="1"/>
          <c:showCatName val="0"/>
          <c:showSerName val="0"/>
          <c:showPercent val="0"/>
          <c:showBubbleSize val="0"/>
          <c:showLeaderLines val="1"/>
        </c:dLbls>
      </c:pie3DChart>
    </c:plotArea>
    <c:legend>
      <c:legendPos val="b"/>
      <c:layout>
        <c:manualLayout>
          <c:xMode val="edge"/>
          <c:yMode val="edge"/>
          <c:x val="9.7536082889012402E-3"/>
          <c:y val="0.8769925744206597"/>
          <c:w val="0.98975704337535841"/>
          <c:h val="0.11888825951030241"/>
        </c:manualLayout>
      </c:layout>
      <c:overlay val="0"/>
      <c:txPr>
        <a:bodyPr/>
        <a:lstStyle/>
        <a:p>
          <a:pPr>
            <a:defRPr sz="700" b="1"/>
          </a:pPr>
          <a:endParaRPr lang="ru-RU"/>
        </a:p>
      </c:txPr>
    </c:legend>
    <c:plotVisOnly val="1"/>
    <c:dispBlanksAs val="gap"/>
    <c:showDLblsOverMax val="0"/>
  </c:chart>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7.7170093321668132E-2"/>
          <c:y val="3.148608887721438E-2"/>
          <c:w val="0.90894101778944303"/>
          <c:h val="0.78558344556353332"/>
        </c:manualLayout>
      </c:layout>
      <c:bar3DChart>
        <c:barDir val="col"/>
        <c:grouping val="clustered"/>
        <c:varyColors val="0"/>
        <c:ser>
          <c:idx val="0"/>
          <c:order val="0"/>
          <c:tx>
            <c:strRef>
              <c:f>Лист1!$B$1</c:f>
              <c:strCache>
                <c:ptCount val="1"/>
                <c:pt idx="0">
                  <c:v>виявлення βЛРС</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Лист1!$B$2:$B$4</c:f>
              <c:numCache>
                <c:formatCode>0%</c:formatCode>
                <c:ptCount val="3"/>
                <c:pt idx="0">
                  <c:v>0.08</c:v>
                </c:pt>
                <c:pt idx="1">
                  <c:v>0.12</c:v>
                </c:pt>
                <c:pt idx="2">
                  <c:v>0.12</c:v>
                </c:pt>
              </c:numCache>
            </c:numRef>
          </c:val>
        </c:ser>
        <c:ser>
          <c:idx val="1"/>
          <c:order val="1"/>
          <c:tx>
            <c:strRef>
              <c:f>Лист1!$C$1</c:f>
              <c:strCache>
                <c:ptCount val="1"/>
                <c:pt idx="0">
                  <c:v>виявлення генів рез-ті до фторхінолонів</c:v>
                </c:pt>
              </c:strCache>
            </c:strRef>
          </c:tx>
          <c:invertIfNegative val="0"/>
          <c:dLbls>
            <c:txPr>
              <a:bodyPr/>
              <a:lstStyle/>
              <a:p>
                <a:pPr>
                  <a:defRPr b="1"/>
                </a:pPr>
                <a:endParaRPr lang="ru-RU"/>
              </a:p>
            </c:txPr>
            <c:showLegendKey val="0"/>
            <c:showVal val="1"/>
            <c:showCatName val="0"/>
            <c:showSerName val="0"/>
            <c:showPercent val="0"/>
            <c:showBubbleSize val="0"/>
            <c:showLeaderLines val="0"/>
          </c:dLbls>
          <c:cat>
            <c:strRef>
              <c:f>Лист1!$A$2:$A$4</c:f>
              <c:strCache>
                <c:ptCount val="3"/>
                <c:pt idx="0">
                  <c:v>група А</c:v>
                </c:pt>
                <c:pt idx="1">
                  <c:v>група В</c:v>
                </c:pt>
                <c:pt idx="2">
                  <c:v>група С</c:v>
                </c:pt>
              </c:strCache>
            </c:strRef>
          </c:cat>
          <c:val>
            <c:numRef>
              <c:f>Лист1!$C$2:$C$4</c:f>
              <c:numCache>
                <c:formatCode>0%</c:formatCode>
                <c:ptCount val="3"/>
                <c:pt idx="0">
                  <c:v>0.09</c:v>
                </c:pt>
                <c:pt idx="1">
                  <c:v>0.08</c:v>
                </c:pt>
                <c:pt idx="2">
                  <c:v>0</c:v>
                </c:pt>
              </c:numCache>
            </c:numRef>
          </c:val>
        </c:ser>
        <c:dLbls>
          <c:showLegendKey val="0"/>
          <c:showVal val="1"/>
          <c:showCatName val="0"/>
          <c:showSerName val="0"/>
          <c:showPercent val="0"/>
          <c:showBubbleSize val="0"/>
        </c:dLbls>
        <c:gapWidth val="150"/>
        <c:shape val="cylinder"/>
        <c:axId val="256207104"/>
        <c:axId val="256212992"/>
        <c:axId val="0"/>
      </c:bar3DChart>
      <c:catAx>
        <c:axId val="256207104"/>
        <c:scaling>
          <c:orientation val="minMax"/>
        </c:scaling>
        <c:delete val="0"/>
        <c:axPos val="b"/>
        <c:majorTickMark val="out"/>
        <c:minorTickMark val="none"/>
        <c:tickLblPos val="nextTo"/>
        <c:crossAx val="256212992"/>
        <c:crosses val="autoZero"/>
        <c:auto val="1"/>
        <c:lblAlgn val="ctr"/>
        <c:lblOffset val="100"/>
        <c:noMultiLvlLbl val="0"/>
      </c:catAx>
      <c:valAx>
        <c:axId val="256212992"/>
        <c:scaling>
          <c:orientation val="minMax"/>
        </c:scaling>
        <c:delete val="0"/>
        <c:axPos val="l"/>
        <c:majorGridlines/>
        <c:numFmt formatCode="0%" sourceLinked="1"/>
        <c:majorTickMark val="out"/>
        <c:minorTickMark val="none"/>
        <c:tickLblPos val="nextTo"/>
        <c:crossAx val="256207104"/>
        <c:crosses val="autoZero"/>
        <c:crossBetween val="between"/>
      </c:valAx>
    </c:plotArea>
    <c:legend>
      <c:legendPos val="b"/>
      <c:layout>
        <c:manualLayout>
          <c:xMode val="edge"/>
          <c:yMode val="edge"/>
          <c:x val="0.13618748177311168"/>
          <c:y val="0.93268185226846645"/>
          <c:w val="0.72762485418489353"/>
          <c:h val="6.7318319464337931E-2"/>
        </c:manualLayout>
      </c:layout>
      <c:overlay val="0"/>
    </c:legend>
    <c:plotVisOnly val="1"/>
    <c:dispBlanksAs val="gap"/>
    <c:showDLblsOverMax val="0"/>
  </c:chart>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1805555555555555"/>
          <c:y val="2.913078648003848E-3"/>
          <c:w val="0.74667760279965012"/>
          <c:h val="0.87529619545220394"/>
        </c:manualLayout>
      </c:layout>
      <c:pie3DChart>
        <c:varyColors val="1"/>
        <c:ser>
          <c:idx val="0"/>
          <c:order val="0"/>
          <c:tx>
            <c:strRef>
              <c:f>Лист1!$B$1</c:f>
              <c:strCache>
                <c:ptCount val="1"/>
                <c:pt idx="0">
                  <c:v>Продажи</c:v>
                </c:pt>
              </c:strCache>
            </c:strRef>
          </c:tx>
          <c:explosion val="25"/>
          <c:dLbls>
            <c:dLbl>
              <c:idx val="3"/>
              <c:layout>
                <c:manualLayout>
                  <c:x val="2.4069699620880722E-2"/>
                  <c:y val="6.0219922292030152E-2"/>
                </c:manualLayout>
              </c:layout>
              <c:dLblPos val="bestFit"/>
              <c:showLegendKey val="0"/>
              <c:showVal val="1"/>
              <c:showCatName val="0"/>
              <c:showSerName val="0"/>
              <c:showPercent val="0"/>
              <c:showBubbleSize val="0"/>
            </c:dLbl>
            <c:txPr>
              <a:bodyPr/>
              <a:lstStyle/>
              <a:p>
                <a:pPr>
                  <a:defRPr sz="1000" b="1"/>
                </a:pPr>
                <a:endParaRPr lang="ru-RU"/>
              </a:p>
            </c:txPr>
            <c:dLblPos val="bestFit"/>
            <c:showLegendKey val="0"/>
            <c:showVal val="1"/>
            <c:showCatName val="0"/>
            <c:showSerName val="0"/>
            <c:showPercent val="0"/>
            <c:showBubbleSize val="0"/>
            <c:showLeaderLines val="1"/>
          </c:dLbls>
          <c:cat>
            <c:strRef>
              <c:f>Лист1!$A$2:$A$5</c:f>
              <c:strCache>
                <c:ptCount val="4"/>
                <c:pt idx="0">
                  <c:v>бактерії з плазмідними генами</c:v>
                </c:pt>
                <c:pt idx="1">
                  <c:v>QepA, blaTEM і blaCTX-M</c:v>
                </c:pt>
                <c:pt idx="2">
                  <c:v>blaTEM і blaCTX-M</c:v>
                </c:pt>
                <c:pt idx="3">
                  <c:v>blaSHV і QnrА</c:v>
                </c:pt>
              </c:strCache>
            </c:strRef>
          </c:cat>
          <c:val>
            <c:numRef>
              <c:f>Лист1!$B$2:$B$5</c:f>
              <c:numCache>
                <c:formatCode>0%</c:formatCode>
                <c:ptCount val="4"/>
                <c:pt idx="0">
                  <c:v>0.76700000000000002</c:v>
                </c:pt>
                <c:pt idx="1">
                  <c:v>6.7000000000000004E-2</c:v>
                </c:pt>
                <c:pt idx="2">
                  <c:v>0.13300000000000001</c:v>
                </c:pt>
                <c:pt idx="3">
                  <c:v>3.3000000000000002E-2</c:v>
                </c:pt>
              </c:numCache>
            </c:numRef>
          </c:val>
        </c:ser>
        <c:dLbls>
          <c:dLblPos val="bestFit"/>
          <c:showLegendKey val="0"/>
          <c:showVal val="1"/>
          <c:showCatName val="0"/>
          <c:showSerName val="0"/>
          <c:showPercent val="0"/>
          <c:showBubbleSize val="0"/>
          <c:showLeaderLines val="1"/>
        </c:dLbls>
      </c:pie3DChart>
    </c:plotArea>
    <c:legend>
      <c:legendPos val="b"/>
      <c:layout>
        <c:manualLayout>
          <c:xMode val="edge"/>
          <c:yMode val="edge"/>
          <c:x val="5.7928696412948384E-3"/>
          <c:y val="0.87677660253456613"/>
          <c:w val="0.97915500145815104"/>
          <c:h val="0.1232235155347679"/>
        </c:manualLayout>
      </c:layout>
      <c:overlay val="0"/>
      <c:txPr>
        <a:bodyPr/>
        <a:lstStyle/>
        <a:p>
          <a:pPr>
            <a:defRPr sz="800" b="1"/>
          </a:pPr>
          <a:endParaRPr lang="ru-RU"/>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3.0231644650689928E-2"/>
          <c:w val="0.92429261446485855"/>
          <c:h val="0.77972398665876408"/>
        </c:manualLayout>
      </c:layout>
      <c:bar3DChart>
        <c:barDir val="col"/>
        <c:grouping val="percentStacked"/>
        <c:varyColors val="0"/>
        <c:ser>
          <c:idx val="0"/>
          <c:order val="0"/>
          <c:tx>
            <c:strRef>
              <c:f>Лист1!$B$1</c:f>
              <c:strCache>
                <c:ptCount val="1"/>
                <c:pt idx="0">
                  <c:v>лихорадка</c:v>
                </c:pt>
              </c:strCache>
            </c:strRef>
          </c:tx>
          <c:invertIfNegative val="0"/>
          <c:dLbls>
            <c:dLbl>
              <c:idx val="0"/>
              <c:layout>
                <c:manualLayout>
                  <c:x val="4.6296296296296294E-3"/>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Лист1!$B$2:$B$3</c:f>
              <c:numCache>
                <c:formatCode>0%</c:formatCode>
                <c:ptCount val="2"/>
                <c:pt idx="0">
                  <c:v>0.47099999999999997</c:v>
                </c:pt>
                <c:pt idx="1">
                  <c:v>0.54800000000000004</c:v>
                </c:pt>
              </c:numCache>
            </c:numRef>
          </c:val>
        </c:ser>
        <c:ser>
          <c:idx val="1"/>
          <c:order val="1"/>
          <c:tx>
            <c:strRef>
              <c:f>Лист1!$C$1</c:f>
              <c:strCache>
                <c:ptCount val="1"/>
                <c:pt idx="0">
                  <c:v>синдром інтоксикації</c:v>
                </c:pt>
              </c:strCache>
            </c:strRef>
          </c:tx>
          <c:invertIfNegative val="0"/>
          <c:dLbls>
            <c:dLbl>
              <c:idx val="0"/>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3888888888888888E-2"/>
                  <c:y val="-1.363032825952970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Лист1!$C$2:$C$3</c:f>
              <c:numCache>
                <c:formatCode>0%</c:formatCode>
                <c:ptCount val="2"/>
                <c:pt idx="0">
                  <c:v>1</c:v>
                </c:pt>
                <c:pt idx="1">
                  <c:v>1</c:v>
                </c:pt>
              </c:numCache>
            </c:numRef>
          </c:val>
        </c:ser>
        <c:ser>
          <c:idx val="2"/>
          <c:order val="2"/>
          <c:tx>
            <c:strRef>
              <c:f>Лист1!$D$1</c:f>
              <c:strCache>
                <c:ptCount val="1"/>
                <c:pt idx="0">
                  <c:v>больовий синдром</c:v>
                </c:pt>
              </c:strCache>
            </c:strRef>
          </c:tx>
          <c:invertIfNegative val="0"/>
          <c:dLbls>
            <c:dLbl>
              <c:idx val="0"/>
              <c:layout>
                <c:manualLayout>
                  <c:x val="4.6296296296296294E-3"/>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6296296296296294E-3"/>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Лист1!$D$2:$D$3</c:f>
              <c:numCache>
                <c:formatCode>0%</c:formatCode>
                <c:ptCount val="2"/>
                <c:pt idx="0">
                  <c:v>0.85299999999999998</c:v>
                </c:pt>
                <c:pt idx="1">
                  <c:v>0.94499999999999995</c:v>
                </c:pt>
              </c:numCache>
            </c:numRef>
          </c:val>
        </c:ser>
        <c:ser>
          <c:idx val="3"/>
          <c:order val="3"/>
          <c:tx>
            <c:strRef>
              <c:f>Лист1!$E$1</c:f>
              <c:strCache>
                <c:ptCount val="1"/>
                <c:pt idx="0">
                  <c:v>дизурія</c:v>
                </c:pt>
              </c:strCache>
            </c:strRef>
          </c:tx>
          <c:invertIfNegative val="0"/>
          <c:dLbls>
            <c:dLbl>
              <c:idx val="0"/>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3.1277675844435755E-17"/>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Лист1!$E$2:$E$3</c:f>
              <c:numCache>
                <c:formatCode>0%</c:formatCode>
                <c:ptCount val="2"/>
                <c:pt idx="0">
                  <c:v>0.52900000000000003</c:v>
                </c:pt>
                <c:pt idx="1">
                  <c:v>0.46600000000000003</c:v>
                </c:pt>
              </c:numCache>
            </c:numRef>
          </c:val>
        </c:ser>
        <c:dLbls>
          <c:showLegendKey val="0"/>
          <c:showVal val="1"/>
          <c:showCatName val="0"/>
          <c:showSerName val="0"/>
          <c:showPercent val="0"/>
          <c:showBubbleSize val="0"/>
        </c:dLbls>
        <c:gapWidth val="150"/>
        <c:shape val="cylinder"/>
        <c:axId val="254779776"/>
        <c:axId val="254781312"/>
        <c:axId val="0"/>
      </c:bar3DChart>
      <c:catAx>
        <c:axId val="254779776"/>
        <c:scaling>
          <c:orientation val="minMax"/>
        </c:scaling>
        <c:delete val="0"/>
        <c:axPos val="b"/>
        <c:numFmt formatCode="General" sourceLinked="0"/>
        <c:majorTickMark val="out"/>
        <c:minorTickMark val="none"/>
        <c:tickLblPos val="nextTo"/>
        <c:txPr>
          <a:bodyPr/>
          <a:lstStyle/>
          <a:p>
            <a:pPr>
              <a:defRPr sz="800" b="1"/>
            </a:pPr>
            <a:endParaRPr lang="ru-RU"/>
          </a:p>
        </c:txPr>
        <c:crossAx val="254781312"/>
        <c:crosses val="autoZero"/>
        <c:auto val="1"/>
        <c:lblAlgn val="ctr"/>
        <c:lblOffset val="100"/>
        <c:noMultiLvlLbl val="0"/>
      </c:catAx>
      <c:valAx>
        <c:axId val="25478131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4779776"/>
        <c:crosses val="autoZero"/>
        <c:crossBetween val="between"/>
      </c:valAx>
    </c:plotArea>
    <c:legend>
      <c:legendPos val="b"/>
      <c:layout>
        <c:manualLayout>
          <c:xMode val="edge"/>
          <c:yMode val="edge"/>
          <c:x val="0.1818737241178186"/>
          <c:y val="0.89919647416086645"/>
          <c:w val="0.6362523694954797"/>
          <c:h val="0.10080349404109733"/>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5.3175123942840477E-2"/>
          <c:y val="5.4594752492303993E-2"/>
          <c:w val="0.90911891221930596"/>
          <c:h val="0.71442702598787111"/>
        </c:manualLayout>
      </c:layout>
      <c:bar3DChart>
        <c:barDir val="col"/>
        <c:grouping val="percentStacked"/>
        <c:varyColors val="0"/>
        <c:ser>
          <c:idx val="0"/>
          <c:order val="0"/>
          <c:tx>
            <c:strRef>
              <c:f>Лист1!$B$1</c:f>
              <c:strCache>
                <c:ptCount val="1"/>
                <c:pt idx="0">
                  <c:v>лейкоцитурія +</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Лист1!$B$2:$B$3</c:f>
              <c:numCache>
                <c:formatCode>0%</c:formatCode>
                <c:ptCount val="2"/>
                <c:pt idx="0">
                  <c:v>0.70899999999999996</c:v>
                </c:pt>
                <c:pt idx="1">
                  <c:v>0.85</c:v>
                </c:pt>
              </c:numCache>
            </c:numRef>
          </c:val>
        </c:ser>
        <c:ser>
          <c:idx val="1"/>
          <c:order val="1"/>
          <c:tx>
            <c:strRef>
              <c:f>Лист1!$C$1</c:f>
              <c:strCache>
                <c:ptCount val="1"/>
                <c:pt idx="0">
                  <c:v>лейкоцитурія -</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група А</c:v>
                </c:pt>
                <c:pt idx="1">
                  <c:v>група В</c:v>
                </c:pt>
              </c:strCache>
            </c:strRef>
          </c:cat>
          <c:val>
            <c:numRef>
              <c:f>Лист1!$C$2:$C$3</c:f>
              <c:numCache>
                <c:formatCode>0%</c:formatCode>
                <c:ptCount val="2"/>
                <c:pt idx="0">
                  <c:v>0.28999999999999998</c:v>
                </c:pt>
                <c:pt idx="1">
                  <c:v>0.15</c:v>
                </c:pt>
              </c:numCache>
            </c:numRef>
          </c:val>
        </c:ser>
        <c:dLbls>
          <c:showLegendKey val="0"/>
          <c:showVal val="1"/>
          <c:showCatName val="0"/>
          <c:showSerName val="0"/>
          <c:showPercent val="0"/>
          <c:showBubbleSize val="0"/>
        </c:dLbls>
        <c:gapWidth val="150"/>
        <c:shape val="cylinder"/>
        <c:axId val="254881152"/>
        <c:axId val="254895232"/>
        <c:axId val="0"/>
      </c:bar3DChart>
      <c:catAx>
        <c:axId val="254881152"/>
        <c:scaling>
          <c:orientation val="minMax"/>
        </c:scaling>
        <c:delete val="0"/>
        <c:axPos val="b"/>
        <c:numFmt formatCode="General" sourceLinked="0"/>
        <c:majorTickMark val="out"/>
        <c:minorTickMark val="none"/>
        <c:tickLblPos val="nextTo"/>
        <c:txPr>
          <a:bodyPr/>
          <a:lstStyle/>
          <a:p>
            <a:pPr>
              <a:defRPr sz="800" b="1"/>
            </a:pPr>
            <a:endParaRPr lang="ru-RU"/>
          </a:p>
        </c:txPr>
        <c:crossAx val="254895232"/>
        <c:crosses val="autoZero"/>
        <c:auto val="1"/>
        <c:lblAlgn val="ctr"/>
        <c:lblOffset val="100"/>
        <c:noMultiLvlLbl val="0"/>
      </c:catAx>
      <c:valAx>
        <c:axId val="254895232"/>
        <c:scaling>
          <c:orientation val="minMax"/>
        </c:scaling>
        <c:delete val="0"/>
        <c:axPos val="l"/>
        <c:majorGridlines/>
        <c:numFmt formatCode="0%" sourceLinked="1"/>
        <c:majorTickMark val="out"/>
        <c:minorTickMark val="none"/>
        <c:tickLblPos val="nextTo"/>
        <c:txPr>
          <a:bodyPr/>
          <a:lstStyle/>
          <a:p>
            <a:pPr>
              <a:defRPr sz="800"/>
            </a:pPr>
            <a:endParaRPr lang="ru-RU"/>
          </a:p>
        </c:txPr>
        <c:crossAx val="254881152"/>
        <c:crosses val="autoZero"/>
        <c:crossBetween val="between"/>
      </c:valAx>
    </c:plotArea>
    <c:legend>
      <c:legendPos val="b"/>
      <c:layout>
        <c:manualLayout>
          <c:xMode val="edge"/>
          <c:yMode val="edge"/>
          <c:x val="0.23046041119860017"/>
          <c:y val="0.90632743219181333"/>
          <c:w val="0.53444954797317001"/>
          <c:h val="9.3672681152364476E-2"/>
        </c:manualLayout>
      </c:layout>
      <c:overlay val="0"/>
      <c:txPr>
        <a:bodyPr/>
        <a:lstStyle/>
        <a:p>
          <a:pPr>
            <a:defRPr sz="800"/>
          </a:pPr>
          <a:endParaRPr lang="ru-RU"/>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6.2434383202099736E-2"/>
          <c:y val="7.5748265099635295E-2"/>
          <c:w val="0.91357866724992709"/>
          <c:h val="0.71307787139824774"/>
        </c:manualLayout>
      </c:layout>
      <c:bar3DChart>
        <c:barDir val="col"/>
        <c:grouping val="percentStacked"/>
        <c:varyColors val="0"/>
        <c:ser>
          <c:idx val="0"/>
          <c:order val="0"/>
          <c:tx>
            <c:strRef>
              <c:f>Лист1!$B$1</c:f>
              <c:strCache>
                <c:ptCount val="1"/>
                <c:pt idx="0">
                  <c:v>виявлення генів резистентності</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І ст. акт-ті ХП</c:v>
                </c:pt>
                <c:pt idx="1">
                  <c:v>ІІ ст. акт-ті ХП</c:v>
                </c:pt>
                <c:pt idx="2">
                  <c:v>ІІІ ст. акт-ті ХП</c:v>
                </c:pt>
              </c:strCache>
            </c:strRef>
          </c:cat>
          <c:val>
            <c:numRef>
              <c:f>Лист1!$B$2:$B$4</c:f>
              <c:numCache>
                <c:formatCode>0%</c:formatCode>
                <c:ptCount val="3"/>
                <c:pt idx="0">
                  <c:v>0.85</c:v>
                </c:pt>
                <c:pt idx="1">
                  <c:v>0.186</c:v>
                </c:pt>
                <c:pt idx="2">
                  <c:v>0.45200000000000001</c:v>
                </c:pt>
              </c:numCache>
            </c:numRef>
          </c:val>
        </c:ser>
        <c:ser>
          <c:idx val="1"/>
          <c:order val="1"/>
          <c:tx>
            <c:strRef>
              <c:f>Лист1!$C$1</c:f>
              <c:strCache>
                <c:ptCount val="1"/>
                <c:pt idx="0">
                  <c:v>генів не виявлено</c:v>
                </c:pt>
              </c:strCache>
            </c:strRef>
          </c:tx>
          <c:invertIfNegative val="0"/>
          <c:dLbls>
            <c:spPr>
              <a:noFill/>
              <a:ln>
                <a:noFill/>
              </a:ln>
              <a:effectLst/>
            </c:spPr>
            <c:txPr>
              <a:bodyPr/>
              <a:lstStyle/>
              <a:p>
                <a:pPr>
                  <a:defRPr sz="8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І ст. акт-ті ХП</c:v>
                </c:pt>
                <c:pt idx="1">
                  <c:v>ІІ ст. акт-ті ХП</c:v>
                </c:pt>
                <c:pt idx="2">
                  <c:v>ІІІ ст. акт-ті ХП</c:v>
                </c:pt>
              </c:strCache>
            </c:strRef>
          </c:cat>
          <c:val>
            <c:numRef>
              <c:f>Лист1!$C$2:$C$4</c:f>
              <c:numCache>
                <c:formatCode>0%</c:formatCode>
                <c:ptCount val="3"/>
                <c:pt idx="0">
                  <c:v>0.15</c:v>
                </c:pt>
                <c:pt idx="1">
                  <c:v>0.81</c:v>
                </c:pt>
                <c:pt idx="2">
                  <c:v>0.55000000000000004</c:v>
                </c:pt>
              </c:numCache>
            </c:numRef>
          </c:val>
        </c:ser>
        <c:dLbls>
          <c:showLegendKey val="0"/>
          <c:showVal val="1"/>
          <c:showCatName val="0"/>
          <c:showSerName val="0"/>
          <c:showPercent val="0"/>
          <c:showBubbleSize val="0"/>
        </c:dLbls>
        <c:gapWidth val="150"/>
        <c:shape val="cylinder"/>
        <c:axId val="254921728"/>
        <c:axId val="254968576"/>
        <c:axId val="0"/>
      </c:bar3DChart>
      <c:catAx>
        <c:axId val="254921728"/>
        <c:scaling>
          <c:orientation val="minMax"/>
        </c:scaling>
        <c:delete val="0"/>
        <c:axPos val="b"/>
        <c:numFmt formatCode="General" sourceLinked="0"/>
        <c:majorTickMark val="out"/>
        <c:minorTickMark val="none"/>
        <c:tickLblPos val="nextTo"/>
        <c:txPr>
          <a:bodyPr/>
          <a:lstStyle/>
          <a:p>
            <a:pPr>
              <a:defRPr sz="800" b="1"/>
            </a:pPr>
            <a:endParaRPr lang="ru-RU"/>
          </a:p>
        </c:txPr>
        <c:crossAx val="254968576"/>
        <c:crosses val="autoZero"/>
        <c:auto val="1"/>
        <c:lblAlgn val="ctr"/>
        <c:lblOffset val="100"/>
        <c:noMultiLvlLbl val="0"/>
      </c:catAx>
      <c:valAx>
        <c:axId val="254968576"/>
        <c:scaling>
          <c:orientation val="minMax"/>
        </c:scaling>
        <c:delete val="0"/>
        <c:axPos val="l"/>
        <c:majorGridlines/>
        <c:numFmt formatCode="0%" sourceLinked="1"/>
        <c:majorTickMark val="out"/>
        <c:minorTickMark val="none"/>
        <c:tickLblPos val="nextTo"/>
        <c:txPr>
          <a:bodyPr/>
          <a:lstStyle/>
          <a:p>
            <a:pPr>
              <a:defRPr sz="800"/>
            </a:pPr>
            <a:endParaRPr lang="ru-RU"/>
          </a:p>
        </c:txPr>
        <c:crossAx val="254921728"/>
        <c:crosses val="autoZero"/>
        <c:crossBetween val="between"/>
      </c:valAx>
    </c:plotArea>
    <c:legend>
      <c:legendPos val="b"/>
      <c:layout>
        <c:manualLayout>
          <c:xMode val="edge"/>
          <c:yMode val="edge"/>
          <c:x val="0.24510024788568097"/>
          <c:y val="0.89273517814811743"/>
          <c:w val="0.50979950422863807"/>
          <c:h val="8.9387351543235613E-2"/>
        </c:manualLayout>
      </c:layout>
      <c:overlay val="0"/>
      <c:txPr>
        <a:bodyPr/>
        <a:lstStyle/>
        <a:p>
          <a:pPr>
            <a:defRPr sz="800"/>
          </a:pPr>
          <a:endParaRPr lang="ru-RU"/>
        </a:p>
      </c:txPr>
    </c:legend>
    <c:plotVisOnly val="1"/>
    <c:dispBlanksAs val="gap"/>
    <c:showDLblsOverMax val="0"/>
  </c:chart>
  <c:externalData r:id="rId2">
    <c:autoUpdate val="0"/>
  </c:externalData>
  <c:userShapes r:id="rId3"/>
</c:chartSpace>
</file>

<file path=word/diagrams/_rels/data10.xml.rels><?xml version="1.0" encoding="UTF-8" standalone="yes"?>
<Relationships xmlns="http://schemas.openxmlformats.org/package/2006/relationships"><Relationship Id="rId3" Type="http://schemas.openxmlformats.org/officeDocument/2006/relationships/image" Target="../media/image34.png"/><Relationship Id="rId2" Type="http://schemas.openxmlformats.org/officeDocument/2006/relationships/image" Target="../media/image33.png"/><Relationship Id="rId1" Type="http://schemas.openxmlformats.org/officeDocument/2006/relationships/image" Target="../media/image32.png"/><Relationship Id="rId4" Type="http://schemas.openxmlformats.org/officeDocument/2006/relationships/image" Target="../media/image35.png"/></Relationships>
</file>

<file path=word/diagrams/_rels/data11.xml.rels><?xml version="1.0" encoding="UTF-8" standalone="yes"?>
<Relationships xmlns="http://schemas.openxmlformats.org/package/2006/relationships"><Relationship Id="rId3" Type="http://schemas.openxmlformats.org/officeDocument/2006/relationships/image" Target="../media/image38.png"/><Relationship Id="rId2" Type="http://schemas.openxmlformats.org/officeDocument/2006/relationships/image" Target="../media/image37.png"/><Relationship Id="rId1" Type="http://schemas.openxmlformats.org/officeDocument/2006/relationships/image" Target="../media/image36.png"/><Relationship Id="rId4" Type="http://schemas.openxmlformats.org/officeDocument/2006/relationships/image" Target="../media/image39.png"/></Relationships>
</file>

<file path=word/diagrams/_rels/data12.xml.rels><?xml version="1.0" encoding="UTF-8" standalone="yes"?>
<Relationships xmlns="http://schemas.openxmlformats.org/package/2006/relationships"><Relationship Id="rId3" Type="http://schemas.openxmlformats.org/officeDocument/2006/relationships/image" Target="../media/image42.png"/><Relationship Id="rId2" Type="http://schemas.openxmlformats.org/officeDocument/2006/relationships/image" Target="../media/image41.png"/><Relationship Id="rId1" Type="http://schemas.openxmlformats.org/officeDocument/2006/relationships/image" Target="../media/image40.png"/><Relationship Id="rId4" Type="http://schemas.openxmlformats.org/officeDocument/2006/relationships/image" Target="../media/image43.png"/></Relationships>
</file>

<file path=word/diagrams/_rels/data13.xml.rels><?xml version="1.0" encoding="UTF-8" standalone="yes"?>
<Relationships xmlns="http://schemas.openxmlformats.org/package/2006/relationships"><Relationship Id="rId3" Type="http://schemas.openxmlformats.org/officeDocument/2006/relationships/image" Target="../media/image46.png"/><Relationship Id="rId2" Type="http://schemas.openxmlformats.org/officeDocument/2006/relationships/image" Target="../media/image45.png"/><Relationship Id="rId1" Type="http://schemas.openxmlformats.org/officeDocument/2006/relationships/image" Target="../media/image44.png"/><Relationship Id="rId4" Type="http://schemas.openxmlformats.org/officeDocument/2006/relationships/image" Target="../media/image47.png"/></Relationships>
</file>

<file path=word/diagrams/_rels/data14.xml.rels><?xml version="1.0" encoding="UTF-8" standalone="yes"?>
<Relationships xmlns="http://schemas.openxmlformats.org/package/2006/relationships"><Relationship Id="rId3" Type="http://schemas.openxmlformats.org/officeDocument/2006/relationships/image" Target="../media/image50.png"/><Relationship Id="rId2" Type="http://schemas.openxmlformats.org/officeDocument/2006/relationships/image" Target="../media/image49.png"/><Relationship Id="rId1" Type="http://schemas.openxmlformats.org/officeDocument/2006/relationships/image" Target="../media/image48.png"/></Relationships>
</file>

<file path=word/diagrams/_rels/data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diagrams/_rels/data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4.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 Id="rId4" Type="http://schemas.openxmlformats.org/officeDocument/2006/relationships/image" Target="../media/image12.png"/></Relationships>
</file>

<file path=word/diagrams/_rels/data5.xml.rels><?xml version="1.0" encoding="UTF-8" standalone="yes"?>
<Relationships xmlns="http://schemas.openxmlformats.org/package/2006/relationships"><Relationship Id="rId3" Type="http://schemas.openxmlformats.org/officeDocument/2006/relationships/image" Target="../media/image15.png"/><Relationship Id="rId2" Type="http://schemas.openxmlformats.org/officeDocument/2006/relationships/image" Target="../media/image14.png"/><Relationship Id="rId1" Type="http://schemas.openxmlformats.org/officeDocument/2006/relationships/image" Target="../media/image13.png"/></Relationships>
</file>

<file path=word/diagrams/_rels/data6.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png"/></Relationships>
</file>

<file path=word/diagrams/_rels/data7.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21.png"/><Relationship Id="rId1" Type="http://schemas.openxmlformats.org/officeDocument/2006/relationships/image" Target="../media/image20.png"/><Relationship Id="rId4" Type="http://schemas.openxmlformats.org/officeDocument/2006/relationships/image" Target="../media/image23.png"/></Relationships>
</file>

<file path=word/diagrams/_rels/data8.xml.rels><?xml version="1.0" encoding="UTF-8" standalone="yes"?>
<Relationships xmlns="http://schemas.openxmlformats.org/package/2006/relationships"><Relationship Id="rId3" Type="http://schemas.openxmlformats.org/officeDocument/2006/relationships/image" Target="../media/image26.png"/><Relationship Id="rId2" Type="http://schemas.openxmlformats.org/officeDocument/2006/relationships/image" Target="../media/image25.png"/><Relationship Id="rId1" Type="http://schemas.openxmlformats.org/officeDocument/2006/relationships/image" Target="../media/image24.png"/><Relationship Id="rId4" Type="http://schemas.openxmlformats.org/officeDocument/2006/relationships/image" Target="../media/image27.png"/></Relationships>
</file>

<file path=word/diagrams/_rels/data9.xml.rels><?xml version="1.0" encoding="UTF-8" standalone="yes"?>
<Relationships xmlns="http://schemas.openxmlformats.org/package/2006/relationships"><Relationship Id="rId3" Type="http://schemas.openxmlformats.org/officeDocument/2006/relationships/image" Target="../media/image30.png"/><Relationship Id="rId2" Type="http://schemas.openxmlformats.org/officeDocument/2006/relationships/image" Target="../media/image29.png"/><Relationship Id="rId1" Type="http://schemas.openxmlformats.org/officeDocument/2006/relationships/image" Target="../media/image28.png"/><Relationship Id="rId4" Type="http://schemas.openxmlformats.org/officeDocument/2006/relationships/image" Target="../media/image31.png"/></Relationships>
</file>

<file path=word/diagrams/_rels/drawing10.xml.rels><?xml version="1.0" encoding="UTF-8" standalone="yes"?>
<Relationships xmlns="http://schemas.openxmlformats.org/package/2006/relationships"><Relationship Id="rId3" Type="http://schemas.openxmlformats.org/officeDocument/2006/relationships/image" Target="../media/image34.png"/><Relationship Id="rId2" Type="http://schemas.openxmlformats.org/officeDocument/2006/relationships/image" Target="../media/image33.png"/><Relationship Id="rId1" Type="http://schemas.openxmlformats.org/officeDocument/2006/relationships/image" Target="../media/image32.png"/><Relationship Id="rId4" Type="http://schemas.openxmlformats.org/officeDocument/2006/relationships/image" Target="../media/image35.png"/></Relationships>
</file>

<file path=word/diagrams/_rels/drawing11.xml.rels><?xml version="1.0" encoding="UTF-8" standalone="yes"?>
<Relationships xmlns="http://schemas.openxmlformats.org/package/2006/relationships"><Relationship Id="rId3" Type="http://schemas.openxmlformats.org/officeDocument/2006/relationships/image" Target="../media/image38.png"/><Relationship Id="rId2" Type="http://schemas.openxmlformats.org/officeDocument/2006/relationships/image" Target="../media/image37.png"/><Relationship Id="rId1" Type="http://schemas.openxmlformats.org/officeDocument/2006/relationships/image" Target="../media/image36.png"/><Relationship Id="rId4" Type="http://schemas.openxmlformats.org/officeDocument/2006/relationships/image" Target="../media/image39.png"/></Relationships>
</file>

<file path=word/diagrams/_rels/drawing12.xml.rels><?xml version="1.0" encoding="UTF-8" standalone="yes"?>
<Relationships xmlns="http://schemas.openxmlformats.org/package/2006/relationships"><Relationship Id="rId3" Type="http://schemas.openxmlformats.org/officeDocument/2006/relationships/image" Target="../media/image42.png"/><Relationship Id="rId2" Type="http://schemas.openxmlformats.org/officeDocument/2006/relationships/image" Target="../media/image41.png"/><Relationship Id="rId1" Type="http://schemas.openxmlformats.org/officeDocument/2006/relationships/image" Target="../media/image40.png"/><Relationship Id="rId4" Type="http://schemas.openxmlformats.org/officeDocument/2006/relationships/image" Target="../media/image43.png"/></Relationships>
</file>

<file path=word/diagrams/_rels/drawing13.xml.rels><?xml version="1.0" encoding="UTF-8" standalone="yes"?>
<Relationships xmlns="http://schemas.openxmlformats.org/package/2006/relationships"><Relationship Id="rId3" Type="http://schemas.openxmlformats.org/officeDocument/2006/relationships/image" Target="../media/image46.png"/><Relationship Id="rId2" Type="http://schemas.openxmlformats.org/officeDocument/2006/relationships/image" Target="../media/image45.png"/><Relationship Id="rId1" Type="http://schemas.openxmlformats.org/officeDocument/2006/relationships/image" Target="../media/image44.png"/><Relationship Id="rId4" Type="http://schemas.openxmlformats.org/officeDocument/2006/relationships/image" Target="../media/image47.png"/></Relationships>
</file>

<file path=word/diagrams/_rels/drawing14.xml.rels><?xml version="1.0" encoding="UTF-8" standalone="yes"?>
<Relationships xmlns="http://schemas.openxmlformats.org/package/2006/relationships"><Relationship Id="rId3" Type="http://schemas.openxmlformats.org/officeDocument/2006/relationships/image" Target="../media/image50.png"/><Relationship Id="rId2" Type="http://schemas.openxmlformats.org/officeDocument/2006/relationships/image" Target="../media/image49.png"/><Relationship Id="rId1" Type="http://schemas.openxmlformats.org/officeDocument/2006/relationships/image" Target="../media/image48.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diagrams/_rels/drawing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4.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 Id="rId4" Type="http://schemas.openxmlformats.org/officeDocument/2006/relationships/image" Target="../media/image12.png"/></Relationships>
</file>

<file path=word/diagrams/_rels/drawing5.xml.rels><?xml version="1.0" encoding="UTF-8" standalone="yes"?>
<Relationships xmlns="http://schemas.openxmlformats.org/package/2006/relationships"><Relationship Id="rId3" Type="http://schemas.openxmlformats.org/officeDocument/2006/relationships/image" Target="../media/image15.png"/><Relationship Id="rId2" Type="http://schemas.openxmlformats.org/officeDocument/2006/relationships/image" Target="../media/image14.png"/><Relationship Id="rId1" Type="http://schemas.openxmlformats.org/officeDocument/2006/relationships/image" Target="../media/image13.png"/></Relationships>
</file>

<file path=word/diagrams/_rels/drawing6.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png"/></Relationships>
</file>

<file path=word/diagrams/_rels/drawing7.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21.png"/><Relationship Id="rId1" Type="http://schemas.openxmlformats.org/officeDocument/2006/relationships/image" Target="../media/image20.png"/><Relationship Id="rId4" Type="http://schemas.openxmlformats.org/officeDocument/2006/relationships/image" Target="../media/image23.png"/></Relationships>
</file>

<file path=word/diagrams/_rels/drawing8.xml.rels><?xml version="1.0" encoding="UTF-8" standalone="yes"?>
<Relationships xmlns="http://schemas.openxmlformats.org/package/2006/relationships"><Relationship Id="rId3" Type="http://schemas.openxmlformats.org/officeDocument/2006/relationships/image" Target="../media/image26.png"/><Relationship Id="rId2" Type="http://schemas.openxmlformats.org/officeDocument/2006/relationships/image" Target="../media/image25.png"/><Relationship Id="rId1" Type="http://schemas.openxmlformats.org/officeDocument/2006/relationships/image" Target="../media/image24.png"/><Relationship Id="rId4" Type="http://schemas.openxmlformats.org/officeDocument/2006/relationships/image" Target="../media/image27.png"/></Relationships>
</file>

<file path=word/diagrams/_rels/drawing9.xml.rels><?xml version="1.0" encoding="UTF-8" standalone="yes"?>
<Relationships xmlns="http://schemas.openxmlformats.org/package/2006/relationships"><Relationship Id="rId3" Type="http://schemas.openxmlformats.org/officeDocument/2006/relationships/image" Target="../media/image30.png"/><Relationship Id="rId2" Type="http://schemas.openxmlformats.org/officeDocument/2006/relationships/image" Target="../media/image29.png"/><Relationship Id="rId1" Type="http://schemas.openxmlformats.org/officeDocument/2006/relationships/image" Target="../media/image28.png"/><Relationship Id="rId4" Type="http://schemas.openxmlformats.org/officeDocument/2006/relationships/image" Target="../media/image3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57C26C-1818-49E0-8182-BA85FC4D42D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75BF2871-8D1D-4666-8A56-6432C0B46C2F}">
      <dgm:prSet phldrT="[Текст]"/>
      <dgm:spPr/>
      <dgm:t>
        <a:bodyPr/>
        <a:lstStyle/>
        <a:p>
          <a:r>
            <a:rPr lang="ru-RU" dirty="0" smtClean="0"/>
            <a:t>Хворі ХП </a:t>
          </a:r>
          <a:endParaRPr lang="en-US" dirty="0" smtClean="0"/>
        </a:p>
        <a:p>
          <a:r>
            <a:rPr lang="ru-RU" dirty="0" smtClean="0"/>
            <a:t>(</a:t>
          </a:r>
          <a:r>
            <a:rPr lang="en-US" dirty="0" smtClean="0"/>
            <a:t>n=105</a:t>
          </a:r>
          <a:r>
            <a:rPr lang="ru-RU" dirty="0" smtClean="0"/>
            <a:t>)</a:t>
          </a:r>
          <a:endParaRPr lang="ru-RU" dirty="0"/>
        </a:p>
      </dgm:t>
    </dgm:pt>
    <dgm:pt modelId="{02ED904C-D119-4FC8-8BF2-25A50E84A419}" type="parTrans" cxnId="{4DF6B72A-686A-47B1-B011-68768C510C90}">
      <dgm:prSet/>
      <dgm:spPr/>
      <dgm:t>
        <a:bodyPr/>
        <a:lstStyle/>
        <a:p>
          <a:endParaRPr lang="ru-RU"/>
        </a:p>
      </dgm:t>
    </dgm:pt>
    <dgm:pt modelId="{5B4C8D55-D724-43E3-8D9A-51DC2DF984DA}" type="sibTrans" cxnId="{4DF6B72A-686A-47B1-B011-68768C510C90}">
      <dgm:prSet/>
      <dgm:spPr/>
      <dgm:t>
        <a:bodyPr/>
        <a:lstStyle/>
        <a:p>
          <a:endParaRPr lang="ru-RU"/>
        </a:p>
      </dgm:t>
    </dgm:pt>
    <dgm:pt modelId="{4D1095F7-5F81-4344-B525-D40C176B5B14}">
      <dgm:prSet phldrT="[Текст]"/>
      <dgm:spPr/>
      <dgm:t>
        <a:bodyPr/>
        <a:lstStyle/>
        <a:p>
          <a:r>
            <a:rPr lang="ru-RU" dirty="0" smtClean="0"/>
            <a:t>Лікування 1</a:t>
          </a:r>
        </a:p>
        <a:p>
          <a:r>
            <a:rPr lang="ru-RU" dirty="0" smtClean="0"/>
            <a:t>(</a:t>
          </a:r>
          <a:r>
            <a:rPr lang="en-US" dirty="0" smtClean="0"/>
            <a:t>n=</a:t>
          </a:r>
          <a:r>
            <a:rPr lang="uk-UA" dirty="0" smtClean="0"/>
            <a:t>40</a:t>
          </a:r>
          <a:r>
            <a:rPr lang="ru-RU" dirty="0" smtClean="0"/>
            <a:t>)</a:t>
          </a:r>
          <a:endParaRPr lang="ru-RU" dirty="0"/>
        </a:p>
      </dgm:t>
    </dgm:pt>
    <dgm:pt modelId="{5A770D1D-A295-41BD-9C70-6C9EBE5EF672}" type="parTrans" cxnId="{9863DBAF-1159-4894-A7B2-25BC90010FA0}">
      <dgm:prSet/>
      <dgm:spPr/>
      <dgm:t>
        <a:bodyPr/>
        <a:lstStyle/>
        <a:p>
          <a:endParaRPr lang="ru-RU"/>
        </a:p>
      </dgm:t>
    </dgm:pt>
    <dgm:pt modelId="{8204D0B0-1EAA-4018-A7BC-EF83635558A3}" type="sibTrans" cxnId="{9863DBAF-1159-4894-A7B2-25BC90010FA0}">
      <dgm:prSet/>
      <dgm:spPr/>
      <dgm:t>
        <a:bodyPr/>
        <a:lstStyle/>
        <a:p>
          <a:endParaRPr lang="ru-RU"/>
        </a:p>
      </dgm:t>
    </dgm:pt>
    <dgm:pt modelId="{084C3E7D-D5A4-4FC2-9B79-933B67459B3A}">
      <dgm:prSet phldrT="[Текст]"/>
      <dgm:spPr/>
      <dgm:t>
        <a:bodyPr/>
        <a:lstStyle/>
        <a:p>
          <a:r>
            <a:rPr lang="ru-RU" dirty="0" err="1" smtClean="0"/>
            <a:t>фторхінолони</a:t>
          </a:r>
          <a:r>
            <a:rPr lang="ru-RU" dirty="0" smtClean="0"/>
            <a:t> (</a:t>
          </a:r>
          <a:r>
            <a:rPr lang="ru-RU" dirty="0" err="1" smtClean="0"/>
            <a:t>левофлоксацин</a:t>
          </a:r>
          <a:r>
            <a:rPr lang="ru-RU" dirty="0" smtClean="0"/>
            <a:t>) 500 мг на добу у вигляді в/в </a:t>
          </a:r>
          <a:r>
            <a:rPr lang="ru-RU" dirty="0" err="1" smtClean="0"/>
            <a:t>инфузій</a:t>
          </a:r>
          <a:endParaRPr lang="ru-RU" dirty="0"/>
        </a:p>
      </dgm:t>
    </dgm:pt>
    <dgm:pt modelId="{455A940F-3B7F-49FD-B77E-21FEB30AEFCA}" type="parTrans" cxnId="{D4335566-0DA7-4060-AA0A-B4950C9B1CAC}">
      <dgm:prSet/>
      <dgm:spPr/>
      <dgm:t>
        <a:bodyPr/>
        <a:lstStyle/>
        <a:p>
          <a:endParaRPr lang="ru-RU"/>
        </a:p>
      </dgm:t>
    </dgm:pt>
    <dgm:pt modelId="{DD8C1AAB-1739-4513-8A09-F289E28141EC}" type="sibTrans" cxnId="{D4335566-0DA7-4060-AA0A-B4950C9B1CAC}">
      <dgm:prSet/>
      <dgm:spPr/>
      <dgm:t>
        <a:bodyPr/>
        <a:lstStyle/>
        <a:p>
          <a:endParaRPr lang="ru-RU"/>
        </a:p>
      </dgm:t>
    </dgm:pt>
    <dgm:pt modelId="{4481D936-A09D-4B1D-B974-307DFF850948}">
      <dgm:prSet phldrT="[Текст]"/>
      <dgm:spPr/>
      <dgm:t>
        <a:bodyPr/>
        <a:lstStyle/>
        <a:p>
          <a:r>
            <a:rPr lang="ru-RU" dirty="0" smtClean="0"/>
            <a:t>Лікування 3</a:t>
          </a:r>
          <a:endParaRPr lang="en-US" dirty="0" smtClean="0"/>
        </a:p>
        <a:p>
          <a:r>
            <a:rPr lang="ru-RU" dirty="0" smtClean="0"/>
            <a:t>(</a:t>
          </a:r>
          <a:r>
            <a:rPr lang="en-US" dirty="0" smtClean="0"/>
            <a:t>n=</a:t>
          </a:r>
          <a:r>
            <a:rPr lang="uk-UA" dirty="0" smtClean="0"/>
            <a:t>23</a:t>
          </a:r>
          <a:r>
            <a:rPr lang="ru-RU" dirty="0" smtClean="0"/>
            <a:t>)</a:t>
          </a:r>
          <a:endParaRPr lang="ru-RU" dirty="0"/>
        </a:p>
      </dgm:t>
    </dgm:pt>
    <dgm:pt modelId="{A9E22ED0-771F-4EE1-824D-2F1BD6978AC6}" type="parTrans" cxnId="{A056CC2D-2A9B-415C-8ED4-8DE1BE56F9A3}">
      <dgm:prSet/>
      <dgm:spPr/>
      <dgm:t>
        <a:bodyPr/>
        <a:lstStyle/>
        <a:p>
          <a:endParaRPr lang="ru-RU"/>
        </a:p>
      </dgm:t>
    </dgm:pt>
    <dgm:pt modelId="{6B7B59F9-778C-473E-96AE-F71EB8D685AF}" type="sibTrans" cxnId="{A056CC2D-2A9B-415C-8ED4-8DE1BE56F9A3}">
      <dgm:prSet/>
      <dgm:spPr/>
      <dgm:t>
        <a:bodyPr/>
        <a:lstStyle/>
        <a:p>
          <a:endParaRPr lang="ru-RU"/>
        </a:p>
      </dgm:t>
    </dgm:pt>
    <dgm:pt modelId="{22112114-D639-4747-82C6-089BE4B8D002}">
      <dgm:prSet phldrT="[Текст]"/>
      <dgm:spPr/>
      <dgm:t>
        <a:bodyPr/>
        <a:lstStyle/>
        <a:p>
          <a:r>
            <a:rPr lang="ru-RU" dirty="0" smtClean="0"/>
            <a:t>комбінація </a:t>
          </a:r>
          <a:r>
            <a:rPr lang="ru-RU" dirty="0" err="1" smtClean="0"/>
            <a:t>фторхінолонів</a:t>
          </a:r>
          <a:r>
            <a:rPr lang="ru-RU" dirty="0" smtClean="0"/>
            <a:t> і цефалоспоринів</a:t>
          </a:r>
          <a:endParaRPr lang="ru-RU" dirty="0"/>
        </a:p>
      </dgm:t>
    </dgm:pt>
    <dgm:pt modelId="{85974B9D-C70A-486F-8D6F-60623F2B9617}" type="parTrans" cxnId="{D6B82492-36C5-4B29-B06A-0249693F5216}">
      <dgm:prSet/>
      <dgm:spPr/>
      <dgm:t>
        <a:bodyPr/>
        <a:lstStyle/>
        <a:p>
          <a:endParaRPr lang="ru-RU"/>
        </a:p>
      </dgm:t>
    </dgm:pt>
    <dgm:pt modelId="{7BD3EF3B-CBC5-4105-BF18-E9ECAFAB48F5}" type="sibTrans" cxnId="{D6B82492-36C5-4B29-B06A-0249693F5216}">
      <dgm:prSet/>
      <dgm:spPr/>
      <dgm:t>
        <a:bodyPr/>
        <a:lstStyle/>
        <a:p>
          <a:endParaRPr lang="ru-RU"/>
        </a:p>
      </dgm:t>
    </dgm:pt>
    <dgm:pt modelId="{3EDE982A-794B-4F60-9A10-8AAA3D1E378A}">
      <dgm:prSet/>
      <dgm:spPr/>
      <dgm:t>
        <a:bodyPr/>
        <a:lstStyle/>
        <a:p>
          <a:r>
            <a:rPr lang="ru-RU" dirty="0" smtClean="0"/>
            <a:t>Лікування 2</a:t>
          </a:r>
          <a:endParaRPr lang="en-US" dirty="0" smtClean="0"/>
        </a:p>
        <a:p>
          <a:r>
            <a:rPr lang="ru-RU" dirty="0" smtClean="0"/>
            <a:t>(</a:t>
          </a:r>
          <a:r>
            <a:rPr lang="en-US" dirty="0" smtClean="0"/>
            <a:t>n=</a:t>
          </a:r>
          <a:r>
            <a:rPr lang="uk-UA" dirty="0" smtClean="0"/>
            <a:t>42</a:t>
          </a:r>
          <a:r>
            <a:rPr lang="ru-RU" dirty="0" smtClean="0"/>
            <a:t>)</a:t>
          </a:r>
          <a:endParaRPr lang="en-US" dirty="0" smtClean="0"/>
        </a:p>
      </dgm:t>
    </dgm:pt>
    <dgm:pt modelId="{849A4B8B-39D0-42E3-86D1-169424B4C3CC}" type="parTrans" cxnId="{5E284906-CC53-4C0A-A4DA-F79DEB994FAF}">
      <dgm:prSet/>
      <dgm:spPr/>
      <dgm:t>
        <a:bodyPr/>
        <a:lstStyle/>
        <a:p>
          <a:endParaRPr lang="ru-RU"/>
        </a:p>
      </dgm:t>
    </dgm:pt>
    <dgm:pt modelId="{8E1105BE-06D0-4B2C-857D-244AC6A4D54D}" type="sibTrans" cxnId="{5E284906-CC53-4C0A-A4DA-F79DEB994FAF}">
      <dgm:prSet/>
      <dgm:spPr/>
      <dgm:t>
        <a:bodyPr/>
        <a:lstStyle/>
        <a:p>
          <a:endParaRPr lang="ru-RU"/>
        </a:p>
      </dgm:t>
    </dgm:pt>
    <dgm:pt modelId="{B12D6546-7B81-463C-8450-8D6373D1365D}">
      <dgm:prSet/>
      <dgm:spPr/>
      <dgm:t>
        <a:bodyPr/>
        <a:lstStyle/>
        <a:p>
          <a:r>
            <a:rPr lang="ru-RU" smtClean="0"/>
            <a:t>цефалоспорини (цефтріаксон, цефіпім) 2 г/д у вигляді в/в ин</a:t>
          </a:r>
          <a:r>
            <a:rPr lang="ru-RU" smtClean="0">
              <a:latin typeface="Times New Roman"/>
              <a:cs typeface="Times New Roman"/>
            </a:rPr>
            <a:t>'</a:t>
          </a:r>
          <a:r>
            <a:rPr lang="ru-RU" smtClean="0"/>
            <a:t>єкцій</a:t>
          </a:r>
          <a:endParaRPr lang="ru-RU" dirty="0" smtClean="0"/>
        </a:p>
      </dgm:t>
    </dgm:pt>
    <dgm:pt modelId="{7A10CC79-7DBB-4421-9CF2-47F75FA346E7}" type="parTrans" cxnId="{820C8DB7-43BF-4668-831F-7DBA113330E7}">
      <dgm:prSet/>
      <dgm:spPr/>
      <dgm:t>
        <a:bodyPr/>
        <a:lstStyle/>
        <a:p>
          <a:endParaRPr lang="ru-RU"/>
        </a:p>
      </dgm:t>
    </dgm:pt>
    <dgm:pt modelId="{C8215FCE-39EA-438A-BBEC-E793FEAB8167}" type="sibTrans" cxnId="{820C8DB7-43BF-4668-831F-7DBA113330E7}">
      <dgm:prSet/>
      <dgm:spPr/>
      <dgm:t>
        <a:bodyPr/>
        <a:lstStyle/>
        <a:p>
          <a:endParaRPr lang="ru-RU"/>
        </a:p>
      </dgm:t>
    </dgm:pt>
    <dgm:pt modelId="{648F2183-69A3-4223-8FA6-4582571035A5}" type="pres">
      <dgm:prSet presAssocID="{A057C26C-1818-49E0-8182-BA85FC4D42DF}" presName="hierChild1" presStyleCnt="0">
        <dgm:presLayoutVars>
          <dgm:chPref val="1"/>
          <dgm:dir/>
          <dgm:animOne val="branch"/>
          <dgm:animLvl val="lvl"/>
          <dgm:resizeHandles/>
        </dgm:presLayoutVars>
      </dgm:prSet>
      <dgm:spPr/>
      <dgm:t>
        <a:bodyPr/>
        <a:lstStyle/>
        <a:p>
          <a:endParaRPr lang="ru-RU"/>
        </a:p>
      </dgm:t>
    </dgm:pt>
    <dgm:pt modelId="{AABCDAED-1DBB-4D4F-B905-571361824F32}" type="pres">
      <dgm:prSet presAssocID="{75BF2871-8D1D-4666-8A56-6432C0B46C2F}" presName="hierRoot1" presStyleCnt="0"/>
      <dgm:spPr/>
    </dgm:pt>
    <dgm:pt modelId="{12F5EE23-71C7-4B99-9634-48DCECA4C51E}" type="pres">
      <dgm:prSet presAssocID="{75BF2871-8D1D-4666-8A56-6432C0B46C2F}" presName="composite" presStyleCnt="0"/>
      <dgm:spPr/>
    </dgm:pt>
    <dgm:pt modelId="{2E30BD78-2D98-4D71-BBA7-22A3AAB2AD0D}" type="pres">
      <dgm:prSet presAssocID="{75BF2871-8D1D-4666-8A56-6432C0B46C2F}" presName="background" presStyleLbl="node0" presStyleIdx="0" presStyleCnt="1"/>
      <dgm:spPr/>
    </dgm:pt>
    <dgm:pt modelId="{2C4D72C2-754F-4074-B1EE-2E0A04A1AF16}" type="pres">
      <dgm:prSet presAssocID="{75BF2871-8D1D-4666-8A56-6432C0B46C2F}" presName="text" presStyleLbl="fgAcc0" presStyleIdx="0" presStyleCnt="1">
        <dgm:presLayoutVars>
          <dgm:chPref val="3"/>
        </dgm:presLayoutVars>
      </dgm:prSet>
      <dgm:spPr/>
      <dgm:t>
        <a:bodyPr/>
        <a:lstStyle/>
        <a:p>
          <a:endParaRPr lang="ru-RU"/>
        </a:p>
      </dgm:t>
    </dgm:pt>
    <dgm:pt modelId="{F536B130-FF15-4BE2-A190-3B08B2984710}" type="pres">
      <dgm:prSet presAssocID="{75BF2871-8D1D-4666-8A56-6432C0B46C2F}" presName="hierChild2" presStyleCnt="0"/>
      <dgm:spPr/>
    </dgm:pt>
    <dgm:pt modelId="{58129387-6008-4799-A356-CD3824553920}" type="pres">
      <dgm:prSet presAssocID="{5A770D1D-A295-41BD-9C70-6C9EBE5EF672}" presName="Name10" presStyleLbl="parChTrans1D2" presStyleIdx="0" presStyleCnt="3"/>
      <dgm:spPr/>
      <dgm:t>
        <a:bodyPr/>
        <a:lstStyle/>
        <a:p>
          <a:endParaRPr lang="ru-RU"/>
        </a:p>
      </dgm:t>
    </dgm:pt>
    <dgm:pt modelId="{0278DA9D-05BD-48D4-8041-0942416FBB7B}" type="pres">
      <dgm:prSet presAssocID="{4D1095F7-5F81-4344-B525-D40C176B5B14}" presName="hierRoot2" presStyleCnt="0"/>
      <dgm:spPr/>
    </dgm:pt>
    <dgm:pt modelId="{16EC9242-0376-4C0B-8DC3-3DF555CE8D32}" type="pres">
      <dgm:prSet presAssocID="{4D1095F7-5F81-4344-B525-D40C176B5B14}" presName="composite2" presStyleCnt="0"/>
      <dgm:spPr/>
    </dgm:pt>
    <dgm:pt modelId="{07E1B8FB-00FA-4D3B-BB3D-0D337414EA68}" type="pres">
      <dgm:prSet presAssocID="{4D1095F7-5F81-4344-B525-D40C176B5B14}" presName="background2" presStyleLbl="node2" presStyleIdx="0" presStyleCnt="3"/>
      <dgm:spPr/>
    </dgm:pt>
    <dgm:pt modelId="{F5A41877-B734-448D-9746-80D093B184BF}" type="pres">
      <dgm:prSet presAssocID="{4D1095F7-5F81-4344-B525-D40C176B5B14}" presName="text2" presStyleLbl="fgAcc2" presStyleIdx="0" presStyleCnt="3">
        <dgm:presLayoutVars>
          <dgm:chPref val="3"/>
        </dgm:presLayoutVars>
      </dgm:prSet>
      <dgm:spPr/>
      <dgm:t>
        <a:bodyPr/>
        <a:lstStyle/>
        <a:p>
          <a:endParaRPr lang="ru-RU"/>
        </a:p>
      </dgm:t>
    </dgm:pt>
    <dgm:pt modelId="{6FDAFB68-FDBE-4B1F-A41A-E4C72EB38B82}" type="pres">
      <dgm:prSet presAssocID="{4D1095F7-5F81-4344-B525-D40C176B5B14}" presName="hierChild3" presStyleCnt="0"/>
      <dgm:spPr/>
    </dgm:pt>
    <dgm:pt modelId="{8F8717D3-720B-41F4-B48D-7E29673ABFA3}" type="pres">
      <dgm:prSet presAssocID="{455A940F-3B7F-49FD-B77E-21FEB30AEFCA}" presName="Name17" presStyleLbl="parChTrans1D3" presStyleIdx="0" presStyleCnt="3"/>
      <dgm:spPr/>
      <dgm:t>
        <a:bodyPr/>
        <a:lstStyle/>
        <a:p>
          <a:endParaRPr lang="ru-RU"/>
        </a:p>
      </dgm:t>
    </dgm:pt>
    <dgm:pt modelId="{89BD64B5-A13E-4D6F-87C7-5B489AB2C6B9}" type="pres">
      <dgm:prSet presAssocID="{084C3E7D-D5A4-4FC2-9B79-933B67459B3A}" presName="hierRoot3" presStyleCnt="0"/>
      <dgm:spPr/>
    </dgm:pt>
    <dgm:pt modelId="{CD815E09-70BC-4F8E-98C9-53EDBDEDB0B4}" type="pres">
      <dgm:prSet presAssocID="{084C3E7D-D5A4-4FC2-9B79-933B67459B3A}" presName="composite3" presStyleCnt="0"/>
      <dgm:spPr/>
    </dgm:pt>
    <dgm:pt modelId="{C98D1FC5-11C2-4DDE-B852-66D3A7BCA877}" type="pres">
      <dgm:prSet presAssocID="{084C3E7D-D5A4-4FC2-9B79-933B67459B3A}" presName="background3" presStyleLbl="node3" presStyleIdx="0" presStyleCnt="3"/>
      <dgm:spPr/>
    </dgm:pt>
    <dgm:pt modelId="{5D979B89-99CD-4D44-A046-BF38A1A00646}" type="pres">
      <dgm:prSet presAssocID="{084C3E7D-D5A4-4FC2-9B79-933B67459B3A}" presName="text3" presStyleLbl="fgAcc3" presStyleIdx="0" presStyleCnt="3">
        <dgm:presLayoutVars>
          <dgm:chPref val="3"/>
        </dgm:presLayoutVars>
      </dgm:prSet>
      <dgm:spPr/>
      <dgm:t>
        <a:bodyPr/>
        <a:lstStyle/>
        <a:p>
          <a:endParaRPr lang="ru-RU"/>
        </a:p>
      </dgm:t>
    </dgm:pt>
    <dgm:pt modelId="{49231FB6-A60F-4A93-B42F-78FC073EAF60}" type="pres">
      <dgm:prSet presAssocID="{084C3E7D-D5A4-4FC2-9B79-933B67459B3A}" presName="hierChild4" presStyleCnt="0"/>
      <dgm:spPr/>
    </dgm:pt>
    <dgm:pt modelId="{4FB001FE-2119-4CCA-956D-2C5064E9D307}" type="pres">
      <dgm:prSet presAssocID="{849A4B8B-39D0-42E3-86D1-169424B4C3CC}" presName="Name10" presStyleLbl="parChTrans1D2" presStyleIdx="1" presStyleCnt="3"/>
      <dgm:spPr/>
      <dgm:t>
        <a:bodyPr/>
        <a:lstStyle/>
        <a:p>
          <a:endParaRPr lang="ru-RU"/>
        </a:p>
      </dgm:t>
    </dgm:pt>
    <dgm:pt modelId="{D36ECC8A-B1A6-4C9C-BF3E-1929CE1E657C}" type="pres">
      <dgm:prSet presAssocID="{3EDE982A-794B-4F60-9A10-8AAA3D1E378A}" presName="hierRoot2" presStyleCnt="0"/>
      <dgm:spPr/>
    </dgm:pt>
    <dgm:pt modelId="{3E89588C-CEDC-4B20-9F69-E84D3D240D42}" type="pres">
      <dgm:prSet presAssocID="{3EDE982A-794B-4F60-9A10-8AAA3D1E378A}" presName="composite2" presStyleCnt="0"/>
      <dgm:spPr/>
    </dgm:pt>
    <dgm:pt modelId="{1F869268-A367-445D-A29E-9C56898BF71C}" type="pres">
      <dgm:prSet presAssocID="{3EDE982A-794B-4F60-9A10-8AAA3D1E378A}" presName="background2" presStyleLbl="node2" presStyleIdx="1" presStyleCnt="3"/>
      <dgm:spPr/>
    </dgm:pt>
    <dgm:pt modelId="{D22B07B3-80D0-4C78-BE7B-2533ADFBE507}" type="pres">
      <dgm:prSet presAssocID="{3EDE982A-794B-4F60-9A10-8AAA3D1E378A}" presName="text2" presStyleLbl="fgAcc2" presStyleIdx="1" presStyleCnt="3" custLinFactNeighborX="-10470" custLinFactNeighborY="-13349">
        <dgm:presLayoutVars>
          <dgm:chPref val="3"/>
        </dgm:presLayoutVars>
      </dgm:prSet>
      <dgm:spPr/>
      <dgm:t>
        <a:bodyPr/>
        <a:lstStyle/>
        <a:p>
          <a:endParaRPr lang="ru-RU"/>
        </a:p>
      </dgm:t>
    </dgm:pt>
    <dgm:pt modelId="{E9656933-175C-4904-AE85-8A04CA2E129E}" type="pres">
      <dgm:prSet presAssocID="{3EDE982A-794B-4F60-9A10-8AAA3D1E378A}" presName="hierChild3" presStyleCnt="0"/>
      <dgm:spPr/>
    </dgm:pt>
    <dgm:pt modelId="{FD654E12-A660-432D-AF7B-C8B7404AE398}" type="pres">
      <dgm:prSet presAssocID="{7A10CC79-7DBB-4421-9CF2-47F75FA346E7}" presName="Name17" presStyleLbl="parChTrans1D3" presStyleIdx="1" presStyleCnt="3"/>
      <dgm:spPr/>
      <dgm:t>
        <a:bodyPr/>
        <a:lstStyle/>
        <a:p>
          <a:endParaRPr lang="ru-RU"/>
        </a:p>
      </dgm:t>
    </dgm:pt>
    <dgm:pt modelId="{DA05AF32-4DC1-44B0-999E-5303BBCD7FC8}" type="pres">
      <dgm:prSet presAssocID="{B12D6546-7B81-463C-8450-8D6373D1365D}" presName="hierRoot3" presStyleCnt="0"/>
      <dgm:spPr/>
    </dgm:pt>
    <dgm:pt modelId="{316A53C7-4515-4B6B-88A2-E3D86E06EA1C}" type="pres">
      <dgm:prSet presAssocID="{B12D6546-7B81-463C-8450-8D6373D1365D}" presName="composite3" presStyleCnt="0"/>
      <dgm:spPr/>
    </dgm:pt>
    <dgm:pt modelId="{A718CDA5-0F0F-4C86-A94F-1396E66D2FDE}" type="pres">
      <dgm:prSet presAssocID="{B12D6546-7B81-463C-8450-8D6373D1365D}" presName="background3" presStyleLbl="node3" presStyleIdx="1" presStyleCnt="3"/>
      <dgm:spPr/>
    </dgm:pt>
    <dgm:pt modelId="{F744A385-5288-41F8-8859-6F9186916774}" type="pres">
      <dgm:prSet presAssocID="{B12D6546-7B81-463C-8450-8D6373D1365D}" presName="text3" presStyleLbl="fgAcc3" presStyleIdx="1" presStyleCnt="3">
        <dgm:presLayoutVars>
          <dgm:chPref val="3"/>
        </dgm:presLayoutVars>
      </dgm:prSet>
      <dgm:spPr/>
      <dgm:t>
        <a:bodyPr/>
        <a:lstStyle/>
        <a:p>
          <a:endParaRPr lang="ru-RU"/>
        </a:p>
      </dgm:t>
    </dgm:pt>
    <dgm:pt modelId="{08E2F172-AF7D-43CC-8A49-16A3F599192A}" type="pres">
      <dgm:prSet presAssocID="{B12D6546-7B81-463C-8450-8D6373D1365D}" presName="hierChild4" presStyleCnt="0"/>
      <dgm:spPr/>
    </dgm:pt>
    <dgm:pt modelId="{60111EA1-E9F7-4E6E-A6AD-BF4B6F6014A9}" type="pres">
      <dgm:prSet presAssocID="{A9E22ED0-771F-4EE1-824D-2F1BD6978AC6}" presName="Name10" presStyleLbl="parChTrans1D2" presStyleIdx="2" presStyleCnt="3"/>
      <dgm:spPr/>
      <dgm:t>
        <a:bodyPr/>
        <a:lstStyle/>
        <a:p>
          <a:endParaRPr lang="ru-RU"/>
        </a:p>
      </dgm:t>
    </dgm:pt>
    <dgm:pt modelId="{8F85F2CE-7962-4C9A-8B83-964BD187C043}" type="pres">
      <dgm:prSet presAssocID="{4481D936-A09D-4B1D-B974-307DFF850948}" presName="hierRoot2" presStyleCnt="0"/>
      <dgm:spPr/>
    </dgm:pt>
    <dgm:pt modelId="{6611A22A-45C2-4FDB-8129-B87B415A109A}" type="pres">
      <dgm:prSet presAssocID="{4481D936-A09D-4B1D-B974-307DFF850948}" presName="composite2" presStyleCnt="0"/>
      <dgm:spPr/>
    </dgm:pt>
    <dgm:pt modelId="{BF82237C-5BE0-4805-AC9E-6151786B008B}" type="pres">
      <dgm:prSet presAssocID="{4481D936-A09D-4B1D-B974-307DFF850948}" presName="background2" presStyleLbl="node2" presStyleIdx="2" presStyleCnt="3"/>
      <dgm:spPr/>
    </dgm:pt>
    <dgm:pt modelId="{A0B6D704-D53A-4F68-B659-FCFD5DB0F844}" type="pres">
      <dgm:prSet presAssocID="{4481D936-A09D-4B1D-B974-307DFF850948}" presName="text2" presStyleLbl="fgAcc2" presStyleIdx="2" presStyleCnt="3">
        <dgm:presLayoutVars>
          <dgm:chPref val="3"/>
        </dgm:presLayoutVars>
      </dgm:prSet>
      <dgm:spPr/>
      <dgm:t>
        <a:bodyPr/>
        <a:lstStyle/>
        <a:p>
          <a:endParaRPr lang="ru-RU"/>
        </a:p>
      </dgm:t>
    </dgm:pt>
    <dgm:pt modelId="{DC691F10-6F02-4588-AA85-AFEC07652DF9}" type="pres">
      <dgm:prSet presAssocID="{4481D936-A09D-4B1D-B974-307DFF850948}" presName="hierChild3" presStyleCnt="0"/>
      <dgm:spPr/>
    </dgm:pt>
    <dgm:pt modelId="{F2470A77-064C-41D0-9815-FEE5D597EBF4}" type="pres">
      <dgm:prSet presAssocID="{85974B9D-C70A-486F-8D6F-60623F2B9617}" presName="Name17" presStyleLbl="parChTrans1D3" presStyleIdx="2" presStyleCnt="3"/>
      <dgm:spPr/>
      <dgm:t>
        <a:bodyPr/>
        <a:lstStyle/>
        <a:p>
          <a:endParaRPr lang="ru-RU"/>
        </a:p>
      </dgm:t>
    </dgm:pt>
    <dgm:pt modelId="{615A4D7B-880F-4F4D-98AF-CD6C88A2EA4F}" type="pres">
      <dgm:prSet presAssocID="{22112114-D639-4747-82C6-089BE4B8D002}" presName="hierRoot3" presStyleCnt="0"/>
      <dgm:spPr/>
    </dgm:pt>
    <dgm:pt modelId="{86E2C7FB-3B26-4C3C-BBDD-AECFCDF73059}" type="pres">
      <dgm:prSet presAssocID="{22112114-D639-4747-82C6-089BE4B8D002}" presName="composite3" presStyleCnt="0"/>
      <dgm:spPr/>
    </dgm:pt>
    <dgm:pt modelId="{34F61900-C64F-4741-B2C2-5C2B534795D8}" type="pres">
      <dgm:prSet presAssocID="{22112114-D639-4747-82C6-089BE4B8D002}" presName="background3" presStyleLbl="node3" presStyleIdx="2" presStyleCnt="3"/>
      <dgm:spPr/>
    </dgm:pt>
    <dgm:pt modelId="{EF8E3A49-BD92-4A90-AA38-7BC9AFF80231}" type="pres">
      <dgm:prSet presAssocID="{22112114-D639-4747-82C6-089BE4B8D002}" presName="text3" presStyleLbl="fgAcc3" presStyleIdx="2" presStyleCnt="3">
        <dgm:presLayoutVars>
          <dgm:chPref val="3"/>
        </dgm:presLayoutVars>
      </dgm:prSet>
      <dgm:spPr/>
      <dgm:t>
        <a:bodyPr/>
        <a:lstStyle/>
        <a:p>
          <a:endParaRPr lang="ru-RU"/>
        </a:p>
      </dgm:t>
    </dgm:pt>
    <dgm:pt modelId="{4C5696A6-0ED4-4423-A5EE-99CDA0422F30}" type="pres">
      <dgm:prSet presAssocID="{22112114-D639-4747-82C6-089BE4B8D002}" presName="hierChild4" presStyleCnt="0"/>
      <dgm:spPr/>
    </dgm:pt>
  </dgm:ptLst>
  <dgm:cxnLst>
    <dgm:cxn modelId="{0EBC4FCF-BA19-4C80-9FD4-61EB9AAA5EE8}" type="presOf" srcId="{A057C26C-1818-49E0-8182-BA85FC4D42DF}" destId="{648F2183-69A3-4223-8FA6-4582571035A5}" srcOrd="0" destOrd="0" presId="urn:microsoft.com/office/officeart/2005/8/layout/hierarchy1"/>
    <dgm:cxn modelId="{5A0CF153-21A1-4C75-B385-8EBDB780BEAB}" type="presOf" srcId="{084C3E7D-D5A4-4FC2-9B79-933B67459B3A}" destId="{5D979B89-99CD-4D44-A046-BF38A1A00646}" srcOrd="0" destOrd="0" presId="urn:microsoft.com/office/officeart/2005/8/layout/hierarchy1"/>
    <dgm:cxn modelId="{C4CCE962-B622-4E9B-BBE1-0DF715D46271}" type="presOf" srcId="{4D1095F7-5F81-4344-B525-D40C176B5B14}" destId="{F5A41877-B734-448D-9746-80D093B184BF}" srcOrd="0" destOrd="0" presId="urn:microsoft.com/office/officeart/2005/8/layout/hierarchy1"/>
    <dgm:cxn modelId="{D4335566-0DA7-4060-AA0A-B4950C9B1CAC}" srcId="{4D1095F7-5F81-4344-B525-D40C176B5B14}" destId="{084C3E7D-D5A4-4FC2-9B79-933B67459B3A}" srcOrd="0" destOrd="0" parTransId="{455A940F-3B7F-49FD-B77E-21FEB30AEFCA}" sibTransId="{DD8C1AAB-1739-4513-8A09-F289E28141EC}"/>
    <dgm:cxn modelId="{2065294E-FA60-47CD-A3E2-88CBE93387D3}" type="presOf" srcId="{849A4B8B-39D0-42E3-86D1-169424B4C3CC}" destId="{4FB001FE-2119-4CCA-956D-2C5064E9D307}" srcOrd="0" destOrd="0" presId="urn:microsoft.com/office/officeart/2005/8/layout/hierarchy1"/>
    <dgm:cxn modelId="{E14C1220-1928-45C7-9C86-8E8A954EC2C0}" type="presOf" srcId="{455A940F-3B7F-49FD-B77E-21FEB30AEFCA}" destId="{8F8717D3-720B-41F4-B48D-7E29673ABFA3}" srcOrd="0" destOrd="0" presId="urn:microsoft.com/office/officeart/2005/8/layout/hierarchy1"/>
    <dgm:cxn modelId="{4B2759B7-A1A9-4A4E-8B54-B83EF74E314F}" type="presOf" srcId="{22112114-D639-4747-82C6-089BE4B8D002}" destId="{EF8E3A49-BD92-4A90-AA38-7BC9AFF80231}" srcOrd="0" destOrd="0" presId="urn:microsoft.com/office/officeart/2005/8/layout/hierarchy1"/>
    <dgm:cxn modelId="{D6B82492-36C5-4B29-B06A-0249693F5216}" srcId="{4481D936-A09D-4B1D-B974-307DFF850948}" destId="{22112114-D639-4747-82C6-089BE4B8D002}" srcOrd="0" destOrd="0" parTransId="{85974B9D-C70A-486F-8D6F-60623F2B9617}" sibTransId="{7BD3EF3B-CBC5-4105-BF18-E9ECAFAB48F5}"/>
    <dgm:cxn modelId="{9863DBAF-1159-4894-A7B2-25BC90010FA0}" srcId="{75BF2871-8D1D-4666-8A56-6432C0B46C2F}" destId="{4D1095F7-5F81-4344-B525-D40C176B5B14}" srcOrd="0" destOrd="0" parTransId="{5A770D1D-A295-41BD-9C70-6C9EBE5EF672}" sibTransId="{8204D0B0-1EAA-4018-A7BC-EF83635558A3}"/>
    <dgm:cxn modelId="{F068DC3A-F5FD-40A1-9279-8CC58464FC77}" type="presOf" srcId="{85974B9D-C70A-486F-8D6F-60623F2B9617}" destId="{F2470A77-064C-41D0-9815-FEE5D597EBF4}" srcOrd="0" destOrd="0" presId="urn:microsoft.com/office/officeart/2005/8/layout/hierarchy1"/>
    <dgm:cxn modelId="{A056CC2D-2A9B-415C-8ED4-8DE1BE56F9A3}" srcId="{75BF2871-8D1D-4666-8A56-6432C0B46C2F}" destId="{4481D936-A09D-4B1D-B974-307DFF850948}" srcOrd="2" destOrd="0" parTransId="{A9E22ED0-771F-4EE1-824D-2F1BD6978AC6}" sibTransId="{6B7B59F9-778C-473E-96AE-F71EB8D685AF}"/>
    <dgm:cxn modelId="{CD576A55-7943-435D-A2A2-B6EC418BB56F}" type="presOf" srcId="{B12D6546-7B81-463C-8450-8D6373D1365D}" destId="{F744A385-5288-41F8-8859-6F9186916774}" srcOrd="0" destOrd="0" presId="urn:microsoft.com/office/officeart/2005/8/layout/hierarchy1"/>
    <dgm:cxn modelId="{C64EB46C-2D6C-4D2B-B697-5AD35F121661}" type="presOf" srcId="{5A770D1D-A295-41BD-9C70-6C9EBE5EF672}" destId="{58129387-6008-4799-A356-CD3824553920}" srcOrd="0" destOrd="0" presId="urn:microsoft.com/office/officeart/2005/8/layout/hierarchy1"/>
    <dgm:cxn modelId="{283DC92B-4CC0-49D1-8BDA-D0A29182457C}" type="presOf" srcId="{7A10CC79-7DBB-4421-9CF2-47F75FA346E7}" destId="{FD654E12-A660-432D-AF7B-C8B7404AE398}" srcOrd="0" destOrd="0" presId="urn:microsoft.com/office/officeart/2005/8/layout/hierarchy1"/>
    <dgm:cxn modelId="{A8FEE11C-D42E-42DF-A594-26D18294F870}" type="presOf" srcId="{75BF2871-8D1D-4666-8A56-6432C0B46C2F}" destId="{2C4D72C2-754F-4074-B1EE-2E0A04A1AF16}" srcOrd="0" destOrd="0" presId="urn:microsoft.com/office/officeart/2005/8/layout/hierarchy1"/>
    <dgm:cxn modelId="{CBEF3AFF-7D16-444D-BA0B-CA3ABE868C1F}" type="presOf" srcId="{3EDE982A-794B-4F60-9A10-8AAA3D1E378A}" destId="{D22B07B3-80D0-4C78-BE7B-2533ADFBE507}" srcOrd="0" destOrd="0" presId="urn:microsoft.com/office/officeart/2005/8/layout/hierarchy1"/>
    <dgm:cxn modelId="{820C8DB7-43BF-4668-831F-7DBA113330E7}" srcId="{3EDE982A-794B-4F60-9A10-8AAA3D1E378A}" destId="{B12D6546-7B81-463C-8450-8D6373D1365D}" srcOrd="0" destOrd="0" parTransId="{7A10CC79-7DBB-4421-9CF2-47F75FA346E7}" sibTransId="{C8215FCE-39EA-438A-BBEC-E793FEAB8167}"/>
    <dgm:cxn modelId="{4DF6B72A-686A-47B1-B011-68768C510C90}" srcId="{A057C26C-1818-49E0-8182-BA85FC4D42DF}" destId="{75BF2871-8D1D-4666-8A56-6432C0B46C2F}" srcOrd="0" destOrd="0" parTransId="{02ED904C-D119-4FC8-8BF2-25A50E84A419}" sibTransId="{5B4C8D55-D724-43E3-8D9A-51DC2DF984DA}"/>
    <dgm:cxn modelId="{D9CC1CD0-1AFB-42BB-BBBC-0A4AA40171CD}" type="presOf" srcId="{A9E22ED0-771F-4EE1-824D-2F1BD6978AC6}" destId="{60111EA1-E9F7-4E6E-A6AD-BF4B6F6014A9}" srcOrd="0" destOrd="0" presId="urn:microsoft.com/office/officeart/2005/8/layout/hierarchy1"/>
    <dgm:cxn modelId="{5E284906-CC53-4C0A-A4DA-F79DEB994FAF}" srcId="{75BF2871-8D1D-4666-8A56-6432C0B46C2F}" destId="{3EDE982A-794B-4F60-9A10-8AAA3D1E378A}" srcOrd="1" destOrd="0" parTransId="{849A4B8B-39D0-42E3-86D1-169424B4C3CC}" sibTransId="{8E1105BE-06D0-4B2C-857D-244AC6A4D54D}"/>
    <dgm:cxn modelId="{814113E0-BE08-43A8-BAF5-16330C11C263}" type="presOf" srcId="{4481D936-A09D-4B1D-B974-307DFF850948}" destId="{A0B6D704-D53A-4F68-B659-FCFD5DB0F844}" srcOrd="0" destOrd="0" presId="urn:microsoft.com/office/officeart/2005/8/layout/hierarchy1"/>
    <dgm:cxn modelId="{229F47F6-8BA4-40EF-8E83-18F3861B591B}" type="presParOf" srcId="{648F2183-69A3-4223-8FA6-4582571035A5}" destId="{AABCDAED-1DBB-4D4F-B905-571361824F32}" srcOrd="0" destOrd="0" presId="urn:microsoft.com/office/officeart/2005/8/layout/hierarchy1"/>
    <dgm:cxn modelId="{ECE14755-2FD5-4049-95FF-A0FC284671DB}" type="presParOf" srcId="{AABCDAED-1DBB-4D4F-B905-571361824F32}" destId="{12F5EE23-71C7-4B99-9634-48DCECA4C51E}" srcOrd="0" destOrd="0" presId="urn:microsoft.com/office/officeart/2005/8/layout/hierarchy1"/>
    <dgm:cxn modelId="{761BEDE4-6E07-4938-BC44-699350B8DF02}" type="presParOf" srcId="{12F5EE23-71C7-4B99-9634-48DCECA4C51E}" destId="{2E30BD78-2D98-4D71-BBA7-22A3AAB2AD0D}" srcOrd="0" destOrd="0" presId="urn:microsoft.com/office/officeart/2005/8/layout/hierarchy1"/>
    <dgm:cxn modelId="{3ED491F2-B0D5-468D-BA24-F7979047E8E9}" type="presParOf" srcId="{12F5EE23-71C7-4B99-9634-48DCECA4C51E}" destId="{2C4D72C2-754F-4074-B1EE-2E0A04A1AF16}" srcOrd="1" destOrd="0" presId="urn:microsoft.com/office/officeart/2005/8/layout/hierarchy1"/>
    <dgm:cxn modelId="{82E1F256-F854-489E-8593-5AAC70245726}" type="presParOf" srcId="{AABCDAED-1DBB-4D4F-B905-571361824F32}" destId="{F536B130-FF15-4BE2-A190-3B08B2984710}" srcOrd="1" destOrd="0" presId="urn:microsoft.com/office/officeart/2005/8/layout/hierarchy1"/>
    <dgm:cxn modelId="{80888B12-1D53-41C4-A7E4-DE63394A75AB}" type="presParOf" srcId="{F536B130-FF15-4BE2-A190-3B08B2984710}" destId="{58129387-6008-4799-A356-CD3824553920}" srcOrd="0" destOrd="0" presId="urn:microsoft.com/office/officeart/2005/8/layout/hierarchy1"/>
    <dgm:cxn modelId="{C73E0B2A-B47C-4AD2-AD04-A2B4C0309FAA}" type="presParOf" srcId="{F536B130-FF15-4BE2-A190-3B08B2984710}" destId="{0278DA9D-05BD-48D4-8041-0942416FBB7B}" srcOrd="1" destOrd="0" presId="urn:microsoft.com/office/officeart/2005/8/layout/hierarchy1"/>
    <dgm:cxn modelId="{B1C0786D-06DD-43EA-B667-77A259CED00E}" type="presParOf" srcId="{0278DA9D-05BD-48D4-8041-0942416FBB7B}" destId="{16EC9242-0376-4C0B-8DC3-3DF555CE8D32}" srcOrd="0" destOrd="0" presId="urn:microsoft.com/office/officeart/2005/8/layout/hierarchy1"/>
    <dgm:cxn modelId="{03ACA738-A4B6-4964-91B6-52F038C52847}" type="presParOf" srcId="{16EC9242-0376-4C0B-8DC3-3DF555CE8D32}" destId="{07E1B8FB-00FA-4D3B-BB3D-0D337414EA68}" srcOrd="0" destOrd="0" presId="urn:microsoft.com/office/officeart/2005/8/layout/hierarchy1"/>
    <dgm:cxn modelId="{3B813A77-0095-48C0-8499-AD37E09DE95C}" type="presParOf" srcId="{16EC9242-0376-4C0B-8DC3-3DF555CE8D32}" destId="{F5A41877-B734-448D-9746-80D093B184BF}" srcOrd="1" destOrd="0" presId="urn:microsoft.com/office/officeart/2005/8/layout/hierarchy1"/>
    <dgm:cxn modelId="{CA7BA665-021E-4634-9121-B6007898D372}" type="presParOf" srcId="{0278DA9D-05BD-48D4-8041-0942416FBB7B}" destId="{6FDAFB68-FDBE-4B1F-A41A-E4C72EB38B82}" srcOrd="1" destOrd="0" presId="urn:microsoft.com/office/officeart/2005/8/layout/hierarchy1"/>
    <dgm:cxn modelId="{0898D031-EADC-49B2-BFE9-694188CD6AFE}" type="presParOf" srcId="{6FDAFB68-FDBE-4B1F-A41A-E4C72EB38B82}" destId="{8F8717D3-720B-41F4-B48D-7E29673ABFA3}" srcOrd="0" destOrd="0" presId="urn:microsoft.com/office/officeart/2005/8/layout/hierarchy1"/>
    <dgm:cxn modelId="{E12E88D1-7630-44A0-B8E4-6FD74AB2C83D}" type="presParOf" srcId="{6FDAFB68-FDBE-4B1F-A41A-E4C72EB38B82}" destId="{89BD64B5-A13E-4D6F-87C7-5B489AB2C6B9}" srcOrd="1" destOrd="0" presId="urn:microsoft.com/office/officeart/2005/8/layout/hierarchy1"/>
    <dgm:cxn modelId="{563C987D-CEDA-43A0-832C-5C5C02CE5E41}" type="presParOf" srcId="{89BD64B5-A13E-4D6F-87C7-5B489AB2C6B9}" destId="{CD815E09-70BC-4F8E-98C9-53EDBDEDB0B4}" srcOrd="0" destOrd="0" presId="urn:microsoft.com/office/officeart/2005/8/layout/hierarchy1"/>
    <dgm:cxn modelId="{FC5F7947-0105-4DF2-9DC2-6D395C4FEB29}" type="presParOf" srcId="{CD815E09-70BC-4F8E-98C9-53EDBDEDB0B4}" destId="{C98D1FC5-11C2-4DDE-B852-66D3A7BCA877}" srcOrd="0" destOrd="0" presId="urn:microsoft.com/office/officeart/2005/8/layout/hierarchy1"/>
    <dgm:cxn modelId="{DDFDE9AD-37BD-43F2-9C97-D3DABAD728F6}" type="presParOf" srcId="{CD815E09-70BC-4F8E-98C9-53EDBDEDB0B4}" destId="{5D979B89-99CD-4D44-A046-BF38A1A00646}" srcOrd="1" destOrd="0" presId="urn:microsoft.com/office/officeart/2005/8/layout/hierarchy1"/>
    <dgm:cxn modelId="{BD08A3F1-E60A-4458-A78A-03A61A20C240}" type="presParOf" srcId="{89BD64B5-A13E-4D6F-87C7-5B489AB2C6B9}" destId="{49231FB6-A60F-4A93-B42F-78FC073EAF60}" srcOrd="1" destOrd="0" presId="urn:microsoft.com/office/officeart/2005/8/layout/hierarchy1"/>
    <dgm:cxn modelId="{DFB0F2D8-BA56-47DD-873D-CD60B67E4901}" type="presParOf" srcId="{F536B130-FF15-4BE2-A190-3B08B2984710}" destId="{4FB001FE-2119-4CCA-956D-2C5064E9D307}" srcOrd="2" destOrd="0" presId="urn:microsoft.com/office/officeart/2005/8/layout/hierarchy1"/>
    <dgm:cxn modelId="{DB4EE730-0CAF-4F5B-8F7C-FB3F6018D1E2}" type="presParOf" srcId="{F536B130-FF15-4BE2-A190-3B08B2984710}" destId="{D36ECC8A-B1A6-4C9C-BF3E-1929CE1E657C}" srcOrd="3" destOrd="0" presId="urn:microsoft.com/office/officeart/2005/8/layout/hierarchy1"/>
    <dgm:cxn modelId="{B9A9BFC6-A593-48BC-A3CB-A03C544CC66D}" type="presParOf" srcId="{D36ECC8A-B1A6-4C9C-BF3E-1929CE1E657C}" destId="{3E89588C-CEDC-4B20-9F69-E84D3D240D42}" srcOrd="0" destOrd="0" presId="urn:microsoft.com/office/officeart/2005/8/layout/hierarchy1"/>
    <dgm:cxn modelId="{439CDD7D-A533-4388-9EEA-2A015E29CC22}" type="presParOf" srcId="{3E89588C-CEDC-4B20-9F69-E84D3D240D42}" destId="{1F869268-A367-445D-A29E-9C56898BF71C}" srcOrd="0" destOrd="0" presId="urn:microsoft.com/office/officeart/2005/8/layout/hierarchy1"/>
    <dgm:cxn modelId="{D06D6564-53CD-44D9-8B75-0B3FC62CE78B}" type="presParOf" srcId="{3E89588C-CEDC-4B20-9F69-E84D3D240D42}" destId="{D22B07B3-80D0-4C78-BE7B-2533ADFBE507}" srcOrd="1" destOrd="0" presId="urn:microsoft.com/office/officeart/2005/8/layout/hierarchy1"/>
    <dgm:cxn modelId="{5060678E-151D-4A7D-9744-867DB2FE23D0}" type="presParOf" srcId="{D36ECC8A-B1A6-4C9C-BF3E-1929CE1E657C}" destId="{E9656933-175C-4904-AE85-8A04CA2E129E}" srcOrd="1" destOrd="0" presId="urn:microsoft.com/office/officeart/2005/8/layout/hierarchy1"/>
    <dgm:cxn modelId="{5086BA7D-8C6E-495A-B188-990119E41C19}" type="presParOf" srcId="{E9656933-175C-4904-AE85-8A04CA2E129E}" destId="{FD654E12-A660-432D-AF7B-C8B7404AE398}" srcOrd="0" destOrd="0" presId="urn:microsoft.com/office/officeart/2005/8/layout/hierarchy1"/>
    <dgm:cxn modelId="{ED249AB3-0A55-4551-AFB3-C9C2B70CF24C}" type="presParOf" srcId="{E9656933-175C-4904-AE85-8A04CA2E129E}" destId="{DA05AF32-4DC1-44B0-999E-5303BBCD7FC8}" srcOrd="1" destOrd="0" presId="urn:microsoft.com/office/officeart/2005/8/layout/hierarchy1"/>
    <dgm:cxn modelId="{C7B081FB-23EA-403A-AB33-F34FA209487D}" type="presParOf" srcId="{DA05AF32-4DC1-44B0-999E-5303BBCD7FC8}" destId="{316A53C7-4515-4B6B-88A2-E3D86E06EA1C}" srcOrd="0" destOrd="0" presId="urn:microsoft.com/office/officeart/2005/8/layout/hierarchy1"/>
    <dgm:cxn modelId="{F46B720D-D8C7-44CA-A4A7-C7F4C4E0A4AC}" type="presParOf" srcId="{316A53C7-4515-4B6B-88A2-E3D86E06EA1C}" destId="{A718CDA5-0F0F-4C86-A94F-1396E66D2FDE}" srcOrd="0" destOrd="0" presId="urn:microsoft.com/office/officeart/2005/8/layout/hierarchy1"/>
    <dgm:cxn modelId="{E5CF7218-F3E1-4A12-A296-74728FABBBEB}" type="presParOf" srcId="{316A53C7-4515-4B6B-88A2-E3D86E06EA1C}" destId="{F744A385-5288-41F8-8859-6F9186916774}" srcOrd="1" destOrd="0" presId="urn:microsoft.com/office/officeart/2005/8/layout/hierarchy1"/>
    <dgm:cxn modelId="{3A853FED-7525-40A7-BA82-9A9CF677E45B}" type="presParOf" srcId="{DA05AF32-4DC1-44B0-999E-5303BBCD7FC8}" destId="{08E2F172-AF7D-43CC-8A49-16A3F599192A}" srcOrd="1" destOrd="0" presId="urn:microsoft.com/office/officeart/2005/8/layout/hierarchy1"/>
    <dgm:cxn modelId="{A2504EF7-5CF4-4B26-8368-F82629AAF4AD}" type="presParOf" srcId="{F536B130-FF15-4BE2-A190-3B08B2984710}" destId="{60111EA1-E9F7-4E6E-A6AD-BF4B6F6014A9}" srcOrd="4" destOrd="0" presId="urn:microsoft.com/office/officeart/2005/8/layout/hierarchy1"/>
    <dgm:cxn modelId="{C33E9673-D46C-41E7-9597-81374C386443}" type="presParOf" srcId="{F536B130-FF15-4BE2-A190-3B08B2984710}" destId="{8F85F2CE-7962-4C9A-8B83-964BD187C043}" srcOrd="5" destOrd="0" presId="urn:microsoft.com/office/officeart/2005/8/layout/hierarchy1"/>
    <dgm:cxn modelId="{1348188D-6994-4598-9C83-A77BD54D744C}" type="presParOf" srcId="{8F85F2CE-7962-4C9A-8B83-964BD187C043}" destId="{6611A22A-45C2-4FDB-8129-B87B415A109A}" srcOrd="0" destOrd="0" presId="urn:microsoft.com/office/officeart/2005/8/layout/hierarchy1"/>
    <dgm:cxn modelId="{EAEA7C09-6767-4D98-89F5-C3072EEBF4F5}" type="presParOf" srcId="{6611A22A-45C2-4FDB-8129-B87B415A109A}" destId="{BF82237C-5BE0-4805-AC9E-6151786B008B}" srcOrd="0" destOrd="0" presId="urn:microsoft.com/office/officeart/2005/8/layout/hierarchy1"/>
    <dgm:cxn modelId="{0FD6AD34-0791-4F61-9C6B-417D22ED3CF9}" type="presParOf" srcId="{6611A22A-45C2-4FDB-8129-B87B415A109A}" destId="{A0B6D704-D53A-4F68-B659-FCFD5DB0F844}" srcOrd="1" destOrd="0" presId="urn:microsoft.com/office/officeart/2005/8/layout/hierarchy1"/>
    <dgm:cxn modelId="{96B26C53-DC38-4564-A94F-3C4F3842033F}" type="presParOf" srcId="{8F85F2CE-7962-4C9A-8B83-964BD187C043}" destId="{DC691F10-6F02-4588-AA85-AFEC07652DF9}" srcOrd="1" destOrd="0" presId="urn:microsoft.com/office/officeart/2005/8/layout/hierarchy1"/>
    <dgm:cxn modelId="{F85EFE25-458E-4CB4-AF89-19584F3366D5}" type="presParOf" srcId="{DC691F10-6F02-4588-AA85-AFEC07652DF9}" destId="{F2470A77-064C-41D0-9815-FEE5D597EBF4}" srcOrd="0" destOrd="0" presId="urn:microsoft.com/office/officeart/2005/8/layout/hierarchy1"/>
    <dgm:cxn modelId="{81B89DB6-C2AE-403F-8BA2-120FD1D9FAE1}" type="presParOf" srcId="{DC691F10-6F02-4588-AA85-AFEC07652DF9}" destId="{615A4D7B-880F-4F4D-98AF-CD6C88A2EA4F}" srcOrd="1" destOrd="0" presId="urn:microsoft.com/office/officeart/2005/8/layout/hierarchy1"/>
    <dgm:cxn modelId="{6A2D9042-99A0-45FA-9F37-15D67BE23BBD}" type="presParOf" srcId="{615A4D7B-880F-4F4D-98AF-CD6C88A2EA4F}" destId="{86E2C7FB-3B26-4C3C-BBDD-AECFCDF73059}" srcOrd="0" destOrd="0" presId="urn:microsoft.com/office/officeart/2005/8/layout/hierarchy1"/>
    <dgm:cxn modelId="{A8FF62EA-1976-4EC5-A5C3-5374B7B5C851}" type="presParOf" srcId="{86E2C7FB-3B26-4C3C-BBDD-AECFCDF73059}" destId="{34F61900-C64F-4741-B2C2-5C2B534795D8}" srcOrd="0" destOrd="0" presId="urn:microsoft.com/office/officeart/2005/8/layout/hierarchy1"/>
    <dgm:cxn modelId="{D96BFA70-95D0-4400-9AEA-85E43FC695C0}" type="presParOf" srcId="{86E2C7FB-3B26-4C3C-BBDD-AECFCDF73059}" destId="{EF8E3A49-BD92-4A90-AA38-7BC9AFF80231}" srcOrd="1" destOrd="0" presId="urn:microsoft.com/office/officeart/2005/8/layout/hierarchy1"/>
    <dgm:cxn modelId="{C03DFE2E-F6B7-4099-BEC1-D3E0CF991D3D}" type="presParOf" srcId="{615A4D7B-880F-4F4D-98AF-CD6C88A2EA4F}" destId="{4C5696A6-0ED4-4423-A5EE-99CDA0422F30}"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0F76AA7-9D8F-4F96-B0B9-E37A2215CE09}"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050FBEC2-97FC-4530-83F7-FA4770D1DC00}">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2B644CAD-4273-46FC-B014-6978A84D125B}" type="parTrans" cxnId="{42FCD737-EB04-4178-B8FF-3CA9216DF68A}">
      <dgm:prSet/>
      <dgm:spPr/>
      <dgm:t>
        <a:bodyPr/>
        <a:lstStyle/>
        <a:p>
          <a:endParaRPr lang="ru-RU"/>
        </a:p>
      </dgm:t>
    </dgm:pt>
    <dgm:pt modelId="{6C83A391-2233-4E36-AFA7-CEF4FD2C147D}" type="sibTrans" cxnId="{42FCD737-EB04-4178-B8FF-3CA9216DF68A}">
      <dgm:prSet/>
      <dgm:spPr/>
      <dgm:t>
        <a:bodyPr/>
        <a:lstStyle/>
        <a:p>
          <a:endParaRPr lang="ru-RU"/>
        </a:p>
      </dgm:t>
    </dgm:pt>
    <dgm:pt modelId="{1647864F-FDA8-4DCF-A9F0-2899A2BA03CB}">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A51B7BAE-1959-4762-AB9B-88A90F807562}" type="parTrans" cxnId="{9855D541-B253-49BA-B205-4BF382E64291}">
      <dgm:prSet/>
      <dgm:spPr/>
      <dgm:t>
        <a:bodyPr/>
        <a:lstStyle/>
        <a:p>
          <a:endParaRPr lang="ru-RU"/>
        </a:p>
      </dgm:t>
    </dgm:pt>
    <dgm:pt modelId="{66221A71-5933-4CEB-B26D-86B21753C202}" type="sibTrans" cxnId="{9855D541-B253-49BA-B205-4BF382E64291}">
      <dgm:prSet/>
      <dgm:spPr/>
      <dgm:t>
        <a:bodyPr/>
        <a:lstStyle/>
        <a:p>
          <a:endParaRPr lang="ru-RU"/>
        </a:p>
      </dgm:t>
    </dgm:pt>
    <dgm:pt modelId="{FA2A90B1-AA22-40F3-A660-4775F8478234}">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F0B9F3AC-016D-4EF4-A858-56AEDF12D36E}" type="parTrans" cxnId="{1ACD926B-F096-4201-BAE5-CB0DE734D3A5}">
      <dgm:prSet/>
      <dgm:spPr/>
      <dgm:t>
        <a:bodyPr/>
        <a:lstStyle/>
        <a:p>
          <a:endParaRPr lang="ru-RU"/>
        </a:p>
      </dgm:t>
    </dgm:pt>
    <dgm:pt modelId="{A3D9DE58-837F-4BB1-AB3C-70146AE3FB49}" type="sibTrans" cxnId="{1ACD926B-F096-4201-BAE5-CB0DE734D3A5}">
      <dgm:prSet/>
      <dgm:spPr/>
      <dgm:t>
        <a:bodyPr/>
        <a:lstStyle/>
        <a:p>
          <a:endParaRPr lang="ru-RU"/>
        </a:p>
      </dgm:t>
    </dgm:pt>
    <dgm:pt modelId="{15269F23-E42E-46F2-8DDF-24B822984D67}">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D1DD7146-1650-47A8-97D9-0CF64B298515}" type="parTrans" cxnId="{69D62DA4-CBBF-42CC-B9DE-8002E9A9059D}">
      <dgm:prSet/>
      <dgm:spPr/>
      <dgm:t>
        <a:bodyPr/>
        <a:lstStyle/>
        <a:p>
          <a:endParaRPr lang="ru-RU"/>
        </a:p>
      </dgm:t>
    </dgm:pt>
    <dgm:pt modelId="{A741EAC0-554A-45F6-AC05-E332E9706050}" type="sibTrans" cxnId="{69D62DA4-CBBF-42CC-B9DE-8002E9A9059D}">
      <dgm:prSet/>
      <dgm:spPr/>
      <dgm:t>
        <a:bodyPr/>
        <a:lstStyle/>
        <a:p>
          <a:endParaRPr lang="ru-RU"/>
        </a:p>
      </dgm:t>
    </dgm:pt>
    <dgm:pt modelId="{EF7FC162-E288-4A9D-9C2C-A72D7FECE25B}" type="pres">
      <dgm:prSet presAssocID="{30F76AA7-9D8F-4F96-B0B9-E37A2215CE09}" presName="diagram" presStyleCnt="0">
        <dgm:presLayoutVars>
          <dgm:dir/>
          <dgm:resizeHandles val="exact"/>
        </dgm:presLayoutVars>
      </dgm:prSet>
      <dgm:spPr/>
      <dgm:t>
        <a:bodyPr/>
        <a:lstStyle/>
        <a:p>
          <a:endParaRPr lang="ru-RU"/>
        </a:p>
      </dgm:t>
    </dgm:pt>
    <dgm:pt modelId="{870885B3-5CB4-4D11-B800-901BE50138D2}" type="pres">
      <dgm:prSet presAssocID="{050FBEC2-97FC-4530-83F7-FA4770D1DC00}" presName="node" presStyleLbl="node1" presStyleIdx="0" presStyleCnt="4">
        <dgm:presLayoutVars>
          <dgm:bulletEnabled val="1"/>
        </dgm:presLayoutVars>
      </dgm:prSet>
      <dgm:spPr>
        <a:prstGeom prst="rect">
          <a:avLst/>
        </a:prstGeom>
      </dgm:spPr>
      <dgm:t>
        <a:bodyPr/>
        <a:lstStyle/>
        <a:p>
          <a:endParaRPr lang="ru-RU"/>
        </a:p>
      </dgm:t>
    </dgm:pt>
    <dgm:pt modelId="{1F97BCAD-F12E-4D7B-8B8A-FA05ABE04680}" type="pres">
      <dgm:prSet presAssocID="{6C83A391-2233-4E36-AFA7-CEF4FD2C147D}" presName="sibTrans" presStyleCnt="0"/>
      <dgm:spPr/>
    </dgm:pt>
    <dgm:pt modelId="{571D6471-EBE5-45D4-A45E-A7B5ABBBE8A8}" type="pres">
      <dgm:prSet presAssocID="{1647864F-FDA8-4DCF-A9F0-2899A2BA03CB}" presName="node" presStyleLbl="node1" presStyleIdx="1" presStyleCnt="4">
        <dgm:presLayoutVars>
          <dgm:bulletEnabled val="1"/>
        </dgm:presLayoutVars>
      </dgm:prSet>
      <dgm:spPr>
        <a:prstGeom prst="rect">
          <a:avLst/>
        </a:prstGeom>
      </dgm:spPr>
      <dgm:t>
        <a:bodyPr/>
        <a:lstStyle/>
        <a:p>
          <a:endParaRPr lang="ru-RU"/>
        </a:p>
      </dgm:t>
    </dgm:pt>
    <dgm:pt modelId="{3F508584-B509-4D58-A102-EB7F6B64CDDF}" type="pres">
      <dgm:prSet presAssocID="{66221A71-5933-4CEB-B26D-86B21753C202}" presName="sibTrans" presStyleCnt="0"/>
      <dgm:spPr/>
    </dgm:pt>
    <dgm:pt modelId="{1ABE4624-43A5-4990-AEBA-CA5B7579AD64}" type="pres">
      <dgm:prSet presAssocID="{FA2A90B1-AA22-40F3-A660-4775F8478234}" presName="node" presStyleLbl="node1" presStyleIdx="2" presStyleCnt="4">
        <dgm:presLayoutVars>
          <dgm:bulletEnabled val="1"/>
        </dgm:presLayoutVars>
      </dgm:prSet>
      <dgm:spPr>
        <a:prstGeom prst="rect">
          <a:avLst/>
        </a:prstGeom>
      </dgm:spPr>
      <dgm:t>
        <a:bodyPr/>
        <a:lstStyle/>
        <a:p>
          <a:endParaRPr lang="ru-RU"/>
        </a:p>
      </dgm:t>
    </dgm:pt>
    <dgm:pt modelId="{333DB5E6-9E7C-4978-865F-85A28F1A95F6}" type="pres">
      <dgm:prSet presAssocID="{A3D9DE58-837F-4BB1-AB3C-70146AE3FB49}" presName="sibTrans" presStyleCnt="0"/>
      <dgm:spPr/>
    </dgm:pt>
    <dgm:pt modelId="{62C80E34-267A-4511-8B07-C7C8E2596A86}" type="pres">
      <dgm:prSet presAssocID="{15269F23-E42E-46F2-8DDF-24B822984D67}" presName="node" presStyleLbl="node1" presStyleIdx="3" presStyleCnt="4">
        <dgm:presLayoutVars>
          <dgm:bulletEnabled val="1"/>
        </dgm:presLayoutVars>
      </dgm:prSet>
      <dgm:spPr>
        <a:prstGeom prst="rect">
          <a:avLst/>
        </a:prstGeom>
      </dgm:spPr>
      <dgm:t>
        <a:bodyPr/>
        <a:lstStyle/>
        <a:p>
          <a:endParaRPr lang="ru-RU"/>
        </a:p>
      </dgm:t>
    </dgm:pt>
  </dgm:ptLst>
  <dgm:cxnLst>
    <dgm:cxn modelId="{69D62DA4-CBBF-42CC-B9DE-8002E9A9059D}" srcId="{30F76AA7-9D8F-4F96-B0B9-E37A2215CE09}" destId="{15269F23-E42E-46F2-8DDF-24B822984D67}" srcOrd="3" destOrd="0" parTransId="{D1DD7146-1650-47A8-97D9-0CF64B298515}" sibTransId="{A741EAC0-554A-45F6-AC05-E332E9706050}"/>
    <dgm:cxn modelId="{9855D541-B253-49BA-B205-4BF382E64291}" srcId="{30F76AA7-9D8F-4F96-B0B9-E37A2215CE09}" destId="{1647864F-FDA8-4DCF-A9F0-2899A2BA03CB}" srcOrd="1" destOrd="0" parTransId="{A51B7BAE-1959-4762-AB9B-88A90F807562}" sibTransId="{66221A71-5933-4CEB-B26D-86B21753C202}"/>
    <dgm:cxn modelId="{2DE494E6-9D66-40C8-BEE4-4AF1104D8087}" type="presOf" srcId="{050FBEC2-97FC-4530-83F7-FA4770D1DC00}" destId="{870885B3-5CB4-4D11-B800-901BE50138D2}" srcOrd="0" destOrd="0" presId="urn:microsoft.com/office/officeart/2005/8/layout/default"/>
    <dgm:cxn modelId="{42FCD737-EB04-4178-B8FF-3CA9216DF68A}" srcId="{30F76AA7-9D8F-4F96-B0B9-E37A2215CE09}" destId="{050FBEC2-97FC-4530-83F7-FA4770D1DC00}" srcOrd="0" destOrd="0" parTransId="{2B644CAD-4273-46FC-B014-6978A84D125B}" sibTransId="{6C83A391-2233-4E36-AFA7-CEF4FD2C147D}"/>
    <dgm:cxn modelId="{A107941C-B52A-4234-9F14-8FE540A0F6DA}" type="presOf" srcId="{FA2A90B1-AA22-40F3-A660-4775F8478234}" destId="{1ABE4624-43A5-4990-AEBA-CA5B7579AD64}" srcOrd="0" destOrd="0" presId="urn:microsoft.com/office/officeart/2005/8/layout/default"/>
    <dgm:cxn modelId="{955EA538-5857-4A3C-9DB3-0FCF694CF3E9}" type="presOf" srcId="{30F76AA7-9D8F-4F96-B0B9-E37A2215CE09}" destId="{EF7FC162-E288-4A9D-9C2C-A72D7FECE25B}" srcOrd="0" destOrd="0" presId="urn:microsoft.com/office/officeart/2005/8/layout/default"/>
    <dgm:cxn modelId="{EDAD68CB-ABFA-4E81-A3B8-C030A62EA972}" type="presOf" srcId="{1647864F-FDA8-4DCF-A9F0-2899A2BA03CB}" destId="{571D6471-EBE5-45D4-A45E-A7B5ABBBE8A8}" srcOrd="0" destOrd="0" presId="urn:microsoft.com/office/officeart/2005/8/layout/default"/>
    <dgm:cxn modelId="{1ACD926B-F096-4201-BAE5-CB0DE734D3A5}" srcId="{30F76AA7-9D8F-4F96-B0B9-E37A2215CE09}" destId="{FA2A90B1-AA22-40F3-A660-4775F8478234}" srcOrd="2" destOrd="0" parTransId="{F0B9F3AC-016D-4EF4-A858-56AEDF12D36E}" sibTransId="{A3D9DE58-837F-4BB1-AB3C-70146AE3FB49}"/>
    <dgm:cxn modelId="{452AD9D7-42D0-4A2E-830D-809CB5F52207}" type="presOf" srcId="{15269F23-E42E-46F2-8DDF-24B822984D67}" destId="{62C80E34-267A-4511-8B07-C7C8E2596A86}" srcOrd="0" destOrd="0" presId="urn:microsoft.com/office/officeart/2005/8/layout/default"/>
    <dgm:cxn modelId="{FA191C71-C137-48C6-AC04-E924A620391B}" type="presParOf" srcId="{EF7FC162-E288-4A9D-9C2C-A72D7FECE25B}" destId="{870885B3-5CB4-4D11-B800-901BE50138D2}" srcOrd="0" destOrd="0" presId="urn:microsoft.com/office/officeart/2005/8/layout/default"/>
    <dgm:cxn modelId="{4F156845-48BE-47D0-80F0-8D37FCE6D457}" type="presParOf" srcId="{EF7FC162-E288-4A9D-9C2C-A72D7FECE25B}" destId="{1F97BCAD-F12E-4D7B-8B8A-FA05ABE04680}" srcOrd="1" destOrd="0" presId="urn:microsoft.com/office/officeart/2005/8/layout/default"/>
    <dgm:cxn modelId="{00781C83-5FFD-4C67-955A-E3466883CBED}" type="presParOf" srcId="{EF7FC162-E288-4A9D-9C2C-A72D7FECE25B}" destId="{571D6471-EBE5-45D4-A45E-A7B5ABBBE8A8}" srcOrd="2" destOrd="0" presId="urn:microsoft.com/office/officeart/2005/8/layout/default"/>
    <dgm:cxn modelId="{7D6B2596-1308-4B9A-929A-BDA4A84E82A7}" type="presParOf" srcId="{EF7FC162-E288-4A9D-9C2C-A72D7FECE25B}" destId="{3F508584-B509-4D58-A102-EB7F6B64CDDF}" srcOrd="3" destOrd="0" presId="urn:microsoft.com/office/officeart/2005/8/layout/default"/>
    <dgm:cxn modelId="{CFBAE724-5453-4374-B091-F7F7EC275C43}" type="presParOf" srcId="{EF7FC162-E288-4A9D-9C2C-A72D7FECE25B}" destId="{1ABE4624-43A5-4990-AEBA-CA5B7579AD64}" srcOrd="4" destOrd="0" presId="urn:microsoft.com/office/officeart/2005/8/layout/default"/>
    <dgm:cxn modelId="{CED4F685-84CE-498B-B3D1-49731E99FC4C}" type="presParOf" srcId="{EF7FC162-E288-4A9D-9C2C-A72D7FECE25B}" destId="{333DB5E6-9E7C-4978-865F-85A28F1A95F6}" srcOrd="5" destOrd="0" presId="urn:microsoft.com/office/officeart/2005/8/layout/default"/>
    <dgm:cxn modelId="{81E57B13-7716-45F2-9888-CC38B6ACC1DD}" type="presParOf" srcId="{EF7FC162-E288-4A9D-9C2C-A72D7FECE25B}" destId="{62C80E34-267A-4511-8B07-C7C8E2596A86}" srcOrd="6" destOrd="0" presId="urn:microsoft.com/office/officeart/2005/8/layout/default"/>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7A6813A0-B63A-4582-9A7E-9038FE2D5616}"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046578F1-E7EC-43F2-BA82-81E3E47F78F9}">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BC2E697A-4005-468E-A74C-42DE75E9CC42}" type="parTrans" cxnId="{8A35314B-C12E-464F-8BC1-2261DC024FBB}">
      <dgm:prSet/>
      <dgm:spPr/>
      <dgm:t>
        <a:bodyPr/>
        <a:lstStyle/>
        <a:p>
          <a:endParaRPr lang="ru-RU"/>
        </a:p>
      </dgm:t>
    </dgm:pt>
    <dgm:pt modelId="{EC1FDFCB-497D-4233-89CA-F40ABADF9006}" type="sibTrans" cxnId="{8A35314B-C12E-464F-8BC1-2261DC024FBB}">
      <dgm:prSet/>
      <dgm:spPr/>
      <dgm:t>
        <a:bodyPr/>
        <a:lstStyle/>
        <a:p>
          <a:endParaRPr lang="ru-RU"/>
        </a:p>
      </dgm:t>
    </dgm:pt>
    <dgm:pt modelId="{C6E3C46A-D7F8-4CC3-A8C8-EE8AE80DF98A}">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C7B3FECE-F5B2-4BFA-A42B-97258C7238FF}" type="parTrans" cxnId="{DF386BE4-184F-47F4-AE60-C3A38E87B607}">
      <dgm:prSet/>
      <dgm:spPr/>
      <dgm:t>
        <a:bodyPr/>
        <a:lstStyle/>
        <a:p>
          <a:endParaRPr lang="ru-RU"/>
        </a:p>
      </dgm:t>
    </dgm:pt>
    <dgm:pt modelId="{02ED6E63-AF0B-470C-B217-54FA6B6E9C93}" type="sibTrans" cxnId="{DF386BE4-184F-47F4-AE60-C3A38E87B607}">
      <dgm:prSet/>
      <dgm:spPr/>
      <dgm:t>
        <a:bodyPr/>
        <a:lstStyle/>
        <a:p>
          <a:endParaRPr lang="ru-RU"/>
        </a:p>
      </dgm:t>
    </dgm:pt>
    <dgm:pt modelId="{891DF04F-C254-412A-8AD7-BCCF7B95EA9B}">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239FE9DC-1734-471E-8374-B394D6FEB221}" type="parTrans" cxnId="{13784DA8-F103-46FD-967D-F0B0232EA864}">
      <dgm:prSet/>
      <dgm:spPr/>
      <dgm:t>
        <a:bodyPr/>
        <a:lstStyle/>
        <a:p>
          <a:endParaRPr lang="ru-RU"/>
        </a:p>
      </dgm:t>
    </dgm:pt>
    <dgm:pt modelId="{C0D38A92-5C80-4738-8F4E-49DB4ABBDE21}" type="sibTrans" cxnId="{13784DA8-F103-46FD-967D-F0B0232EA864}">
      <dgm:prSet/>
      <dgm:spPr/>
      <dgm:t>
        <a:bodyPr/>
        <a:lstStyle/>
        <a:p>
          <a:endParaRPr lang="ru-RU"/>
        </a:p>
      </dgm:t>
    </dgm:pt>
    <dgm:pt modelId="{0862DE24-B2A4-4F68-BA23-A19CD3D3A520}">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54C796F5-FCEB-429C-81EA-C19B9495E748}" type="parTrans" cxnId="{E0A92E39-6D7A-4D0F-8FBB-F192A3BC9F0E}">
      <dgm:prSet/>
      <dgm:spPr/>
      <dgm:t>
        <a:bodyPr/>
        <a:lstStyle/>
        <a:p>
          <a:endParaRPr lang="ru-RU"/>
        </a:p>
      </dgm:t>
    </dgm:pt>
    <dgm:pt modelId="{B2CD9DF4-101E-4CAA-8699-BE6AD54BC9D7}" type="sibTrans" cxnId="{E0A92E39-6D7A-4D0F-8FBB-F192A3BC9F0E}">
      <dgm:prSet/>
      <dgm:spPr/>
      <dgm:t>
        <a:bodyPr/>
        <a:lstStyle/>
        <a:p>
          <a:endParaRPr lang="ru-RU"/>
        </a:p>
      </dgm:t>
    </dgm:pt>
    <dgm:pt modelId="{459987BB-8FE0-454E-88DE-39C4B713DB6C}" type="pres">
      <dgm:prSet presAssocID="{7A6813A0-B63A-4582-9A7E-9038FE2D5616}" presName="diagram" presStyleCnt="0">
        <dgm:presLayoutVars>
          <dgm:dir/>
          <dgm:resizeHandles val="exact"/>
        </dgm:presLayoutVars>
      </dgm:prSet>
      <dgm:spPr/>
      <dgm:t>
        <a:bodyPr/>
        <a:lstStyle/>
        <a:p>
          <a:endParaRPr lang="ru-RU"/>
        </a:p>
      </dgm:t>
    </dgm:pt>
    <dgm:pt modelId="{18FAB6F6-CE0B-4E8E-BBCC-BE7B314E661C}" type="pres">
      <dgm:prSet presAssocID="{046578F1-E7EC-43F2-BA82-81E3E47F78F9}" presName="node" presStyleLbl="node1" presStyleIdx="0" presStyleCnt="4">
        <dgm:presLayoutVars>
          <dgm:bulletEnabled val="1"/>
        </dgm:presLayoutVars>
      </dgm:prSet>
      <dgm:spPr>
        <a:prstGeom prst="rect">
          <a:avLst/>
        </a:prstGeom>
      </dgm:spPr>
      <dgm:t>
        <a:bodyPr/>
        <a:lstStyle/>
        <a:p>
          <a:endParaRPr lang="ru-RU"/>
        </a:p>
      </dgm:t>
    </dgm:pt>
    <dgm:pt modelId="{DFD66FF6-4A35-4FFA-8551-53F001DA6800}" type="pres">
      <dgm:prSet presAssocID="{EC1FDFCB-497D-4233-89CA-F40ABADF9006}" presName="sibTrans" presStyleCnt="0"/>
      <dgm:spPr/>
    </dgm:pt>
    <dgm:pt modelId="{9D2E6714-F10D-4F5F-8E36-E98EA1509FE8}" type="pres">
      <dgm:prSet presAssocID="{C6E3C46A-D7F8-4CC3-A8C8-EE8AE80DF98A}" presName="node" presStyleLbl="node1" presStyleIdx="1" presStyleCnt="4">
        <dgm:presLayoutVars>
          <dgm:bulletEnabled val="1"/>
        </dgm:presLayoutVars>
      </dgm:prSet>
      <dgm:spPr>
        <a:prstGeom prst="rect">
          <a:avLst/>
        </a:prstGeom>
      </dgm:spPr>
      <dgm:t>
        <a:bodyPr/>
        <a:lstStyle/>
        <a:p>
          <a:endParaRPr lang="ru-RU"/>
        </a:p>
      </dgm:t>
    </dgm:pt>
    <dgm:pt modelId="{23580542-3616-4CF7-B2B6-597733393933}" type="pres">
      <dgm:prSet presAssocID="{02ED6E63-AF0B-470C-B217-54FA6B6E9C93}" presName="sibTrans" presStyleCnt="0"/>
      <dgm:spPr/>
    </dgm:pt>
    <dgm:pt modelId="{216ACC62-D2E5-45BF-A76A-D00AA3D0A496}" type="pres">
      <dgm:prSet presAssocID="{891DF04F-C254-412A-8AD7-BCCF7B95EA9B}" presName="node" presStyleLbl="node1" presStyleIdx="2" presStyleCnt="4">
        <dgm:presLayoutVars>
          <dgm:bulletEnabled val="1"/>
        </dgm:presLayoutVars>
      </dgm:prSet>
      <dgm:spPr>
        <a:prstGeom prst="rect">
          <a:avLst/>
        </a:prstGeom>
      </dgm:spPr>
      <dgm:t>
        <a:bodyPr/>
        <a:lstStyle/>
        <a:p>
          <a:endParaRPr lang="ru-RU"/>
        </a:p>
      </dgm:t>
    </dgm:pt>
    <dgm:pt modelId="{87D7D81F-6289-4D43-8D4D-A5518C87249F}" type="pres">
      <dgm:prSet presAssocID="{C0D38A92-5C80-4738-8F4E-49DB4ABBDE21}" presName="sibTrans" presStyleCnt="0"/>
      <dgm:spPr/>
    </dgm:pt>
    <dgm:pt modelId="{77819D55-3A83-480E-B031-0D2A20918B0B}" type="pres">
      <dgm:prSet presAssocID="{0862DE24-B2A4-4F68-BA23-A19CD3D3A520}" presName="node" presStyleLbl="node1" presStyleIdx="3" presStyleCnt="4">
        <dgm:presLayoutVars>
          <dgm:bulletEnabled val="1"/>
        </dgm:presLayoutVars>
      </dgm:prSet>
      <dgm:spPr>
        <a:prstGeom prst="rect">
          <a:avLst/>
        </a:prstGeom>
      </dgm:spPr>
      <dgm:t>
        <a:bodyPr/>
        <a:lstStyle/>
        <a:p>
          <a:endParaRPr lang="ru-RU"/>
        </a:p>
      </dgm:t>
    </dgm:pt>
  </dgm:ptLst>
  <dgm:cxnLst>
    <dgm:cxn modelId="{BD1D3FBF-D9E3-4750-8C0B-DFB49B4E3F86}" type="presOf" srcId="{C6E3C46A-D7F8-4CC3-A8C8-EE8AE80DF98A}" destId="{9D2E6714-F10D-4F5F-8E36-E98EA1509FE8}" srcOrd="0" destOrd="0" presId="urn:microsoft.com/office/officeart/2005/8/layout/default"/>
    <dgm:cxn modelId="{DF386BE4-184F-47F4-AE60-C3A38E87B607}" srcId="{7A6813A0-B63A-4582-9A7E-9038FE2D5616}" destId="{C6E3C46A-D7F8-4CC3-A8C8-EE8AE80DF98A}" srcOrd="1" destOrd="0" parTransId="{C7B3FECE-F5B2-4BFA-A42B-97258C7238FF}" sibTransId="{02ED6E63-AF0B-470C-B217-54FA6B6E9C93}"/>
    <dgm:cxn modelId="{9E34BD41-4329-48B6-B14E-E0204C95263F}" type="presOf" srcId="{046578F1-E7EC-43F2-BA82-81E3E47F78F9}" destId="{18FAB6F6-CE0B-4E8E-BBCC-BE7B314E661C}" srcOrd="0" destOrd="0" presId="urn:microsoft.com/office/officeart/2005/8/layout/default"/>
    <dgm:cxn modelId="{2C17AE91-F26E-4EA4-9B78-E276427A1187}" type="presOf" srcId="{891DF04F-C254-412A-8AD7-BCCF7B95EA9B}" destId="{216ACC62-D2E5-45BF-A76A-D00AA3D0A496}" srcOrd="0" destOrd="0" presId="urn:microsoft.com/office/officeart/2005/8/layout/default"/>
    <dgm:cxn modelId="{E0A92E39-6D7A-4D0F-8FBB-F192A3BC9F0E}" srcId="{7A6813A0-B63A-4582-9A7E-9038FE2D5616}" destId="{0862DE24-B2A4-4F68-BA23-A19CD3D3A520}" srcOrd="3" destOrd="0" parTransId="{54C796F5-FCEB-429C-81EA-C19B9495E748}" sibTransId="{B2CD9DF4-101E-4CAA-8699-BE6AD54BC9D7}"/>
    <dgm:cxn modelId="{8A35314B-C12E-464F-8BC1-2261DC024FBB}" srcId="{7A6813A0-B63A-4582-9A7E-9038FE2D5616}" destId="{046578F1-E7EC-43F2-BA82-81E3E47F78F9}" srcOrd="0" destOrd="0" parTransId="{BC2E697A-4005-468E-A74C-42DE75E9CC42}" sibTransId="{EC1FDFCB-497D-4233-89CA-F40ABADF9006}"/>
    <dgm:cxn modelId="{5BD49684-25D2-4FFE-97B1-577972FEE257}" type="presOf" srcId="{0862DE24-B2A4-4F68-BA23-A19CD3D3A520}" destId="{77819D55-3A83-480E-B031-0D2A20918B0B}" srcOrd="0" destOrd="0" presId="urn:microsoft.com/office/officeart/2005/8/layout/default"/>
    <dgm:cxn modelId="{B9D8C842-3A4A-4085-A697-6503B242A1B4}" type="presOf" srcId="{7A6813A0-B63A-4582-9A7E-9038FE2D5616}" destId="{459987BB-8FE0-454E-88DE-39C4B713DB6C}" srcOrd="0" destOrd="0" presId="urn:microsoft.com/office/officeart/2005/8/layout/default"/>
    <dgm:cxn modelId="{13784DA8-F103-46FD-967D-F0B0232EA864}" srcId="{7A6813A0-B63A-4582-9A7E-9038FE2D5616}" destId="{891DF04F-C254-412A-8AD7-BCCF7B95EA9B}" srcOrd="2" destOrd="0" parTransId="{239FE9DC-1734-471E-8374-B394D6FEB221}" sibTransId="{C0D38A92-5C80-4738-8F4E-49DB4ABBDE21}"/>
    <dgm:cxn modelId="{203B5462-473D-4FBA-BDA7-916D524950C0}" type="presParOf" srcId="{459987BB-8FE0-454E-88DE-39C4B713DB6C}" destId="{18FAB6F6-CE0B-4E8E-BBCC-BE7B314E661C}" srcOrd="0" destOrd="0" presId="urn:microsoft.com/office/officeart/2005/8/layout/default"/>
    <dgm:cxn modelId="{809F9553-4327-4B94-94FB-B6C72C12AEFB}" type="presParOf" srcId="{459987BB-8FE0-454E-88DE-39C4B713DB6C}" destId="{DFD66FF6-4A35-4FFA-8551-53F001DA6800}" srcOrd="1" destOrd="0" presId="urn:microsoft.com/office/officeart/2005/8/layout/default"/>
    <dgm:cxn modelId="{CFAC6557-50C7-4EA2-9491-E1CEBC3FDBC0}" type="presParOf" srcId="{459987BB-8FE0-454E-88DE-39C4B713DB6C}" destId="{9D2E6714-F10D-4F5F-8E36-E98EA1509FE8}" srcOrd="2" destOrd="0" presId="urn:microsoft.com/office/officeart/2005/8/layout/default"/>
    <dgm:cxn modelId="{F7A6D4C7-274E-494C-91E8-747670E08CB3}" type="presParOf" srcId="{459987BB-8FE0-454E-88DE-39C4B713DB6C}" destId="{23580542-3616-4CF7-B2B6-597733393933}" srcOrd="3" destOrd="0" presId="urn:microsoft.com/office/officeart/2005/8/layout/default"/>
    <dgm:cxn modelId="{39C5E115-608C-4DB2-BADA-776EB5F2C611}" type="presParOf" srcId="{459987BB-8FE0-454E-88DE-39C4B713DB6C}" destId="{216ACC62-D2E5-45BF-A76A-D00AA3D0A496}" srcOrd="4" destOrd="0" presId="urn:microsoft.com/office/officeart/2005/8/layout/default"/>
    <dgm:cxn modelId="{2AFCB232-6220-4355-A613-E90B75CDC9E0}" type="presParOf" srcId="{459987BB-8FE0-454E-88DE-39C4B713DB6C}" destId="{87D7D81F-6289-4D43-8D4D-A5518C87249F}" srcOrd="5" destOrd="0" presId="urn:microsoft.com/office/officeart/2005/8/layout/default"/>
    <dgm:cxn modelId="{852865FC-A2FA-4B40-BDE8-7FD005D29CF4}" type="presParOf" srcId="{459987BB-8FE0-454E-88DE-39C4B713DB6C}" destId="{77819D55-3A83-480E-B031-0D2A20918B0B}" srcOrd="6" destOrd="0" presId="urn:microsoft.com/office/officeart/2005/8/layout/default"/>
  </dgm:cxnLst>
  <dgm:bg/>
  <dgm:whole/>
  <dgm:extLst>
    <a:ext uri="http://schemas.microsoft.com/office/drawing/2008/diagram">
      <dsp:dataModelExt xmlns:dsp="http://schemas.microsoft.com/office/drawing/2008/diagram" relId="rId10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13832EEB-7A18-4589-B56D-1CB335DDB2BB}"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889C5007-3F5F-4886-929C-96C3EB1E27CB}">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971A71CB-43FB-4255-A962-B9EACA2E2717}" type="parTrans" cxnId="{B002F592-10D7-4524-9C5C-E177ADF44334}">
      <dgm:prSet/>
      <dgm:spPr/>
      <dgm:t>
        <a:bodyPr/>
        <a:lstStyle/>
        <a:p>
          <a:endParaRPr lang="ru-RU"/>
        </a:p>
      </dgm:t>
    </dgm:pt>
    <dgm:pt modelId="{96BDB571-7CEB-49ED-8A98-B2CAE4B9B681}" type="sibTrans" cxnId="{B002F592-10D7-4524-9C5C-E177ADF44334}">
      <dgm:prSet/>
      <dgm:spPr/>
      <dgm:t>
        <a:bodyPr/>
        <a:lstStyle/>
        <a:p>
          <a:endParaRPr lang="ru-RU"/>
        </a:p>
      </dgm:t>
    </dgm:pt>
    <dgm:pt modelId="{7B33E28F-046E-4FC8-B91D-132F1541408D}">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4025B300-B019-4A21-99A8-919287B88C30}" type="parTrans" cxnId="{330BEDC5-D6ED-4F7D-B24F-8BAD338C796C}">
      <dgm:prSet/>
      <dgm:spPr/>
      <dgm:t>
        <a:bodyPr/>
        <a:lstStyle/>
        <a:p>
          <a:endParaRPr lang="ru-RU"/>
        </a:p>
      </dgm:t>
    </dgm:pt>
    <dgm:pt modelId="{FE922AF8-9670-4252-8B49-8A6078DF6F32}" type="sibTrans" cxnId="{330BEDC5-D6ED-4F7D-B24F-8BAD338C796C}">
      <dgm:prSet/>
      <dgm:spPr/>
      <dgm:t>
        <a:bodyPr/>
        <a:lstStyle/>
        <a:p>
          <a:endParaRPr lang="ru-RU"/>
        </a:p>
      </dgm:t>
    </dgm:pt>
    <dgm:pt modelId="{21A721F0-398E-4382-ACD0-28FC2B8D964D}">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A8F32794-441B-4CCA-996D-8C4E403263B5}" type="parTrans" cxnId="{52CE4858-EFA5-4308-9D2F-0B2FD36E4A12}">
      <dgm:prSet/>
      <dgm:spPr/>
      <dgm:t>
        <a:bodyPr/>
        <a:lstStyle/>
        <a:p>
          <a:endParaRPr lang="ru-RU"/>
        </a:p>
      </dgm:t>
    </dgm:pt>
    <dgm:pt modelId="{EFB057A1-76D6-4D32-B1BA-64CB837F5D48}" type="sibTrans" cxnId="{52CE4858-EFA5-4308-9D2F-0B2FD36E4A12}">
      <dgm:prSet/>
      <dgm:spPr/>
      <dgm:t>
        <a:bodyPr/>
        <a:lstStyle/>
        <a:p>
          <a:endParaRPr lang="ru-RU"/>
        </a:p>
      </dgm:t>
    </dgm:pt>
    <dgm:pt modelId="{7025A584-4EE8-4E67-B50D-BAE29EF272EF}">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E979D295-5208-4E5B-A5E3-A722F50F30C8}" type="parTrans" cxnId="{9BB33D98-652F-421A-B3C3-8541F83CBA23}">
      <dgm:prSet/>
      <dgm:spPr/>
      <dgm:t>
        <a:bodyPr/>
        <a:lstStyle/>
        <a:p>
          <a:endParaRPr lang="ru-RU"/>
        </a:p>
      </dgm:t>
    </dgm:pt>
    <dgm:pt modelId="{CD29FE0C-BBAF-4CF9-807C-6D0CB8D4A789}" type="sibTrans" cxnId="{9BB33D98-652F-421A-B3C3-8541F83CBA23}">
      <dgm:prSet/>
      <dgm:spPr/>
      <dgm:t>
        <a:bodyPr/>
        <a:lstStyle/>
        <a:p>
          <a:endParaRPr lang="ru-RU"/>
        </a:p>
      </dgm:t>
    </dgm:pt>
    <dgm:pt modelId="{433674A3-CEF0-4E4B-87F2-B23B682C3BB5}" type="pres">
      <dgm:prSet presAssocID="{13832EEB-7A18-4589-B56D-1CB335DDB2BB}" presName="diagram" presStyleCnt="0">
        <dgm:presLayoutVars>
          <dgm:dir/>
          <dgm:resizeHandles val="exact"/>
        </dgm:presLayoutVars>
      </dgm:prSet>
      <dgm:spPr/>
      <dgm:t>
        <a:bodyPr/>
        <a:lstStyle/>
        <a:p>
          <a:endParaRPr lang="ru-RU"/>
        </a:p>
      </dgm:t>
    </dgm:pt>
    <dgm:pt modelId="{9F4FD374-F99F-4AEB-80B2-3A0C630521FD}" type="pres">
      <dgm:prSet presAssocID="{889C5007-3F5F-4886-929C-96C3EB1E27CB}" presName="node" presStyleLbl="node1" presStyleIdx="0" presStyleCnt="4">
        <dgm:presLayoutVars>
          <dgm:bulletEnabled val="1"/>
        </dgm:presLayoutVars>
      </dgm:prSet>
      <dgm:spPr>
        <a:prstGeom prst="rect">
          <a:avLst/>
        </a:prstGeom>
      </dgm:spPr>
      <dgm:t>
        <a:bodyPr/>
        <a:lstStyle/>
        <a:p>
          <a:endParaRPr lang="ru-RU"/>
        </a:p>
      </dgm:t>
    </dgm:pt>
    <dgm:pt modelId="{10565731-C0F1-4420-85FA-7AC2077E2C12}" type="pres">
      <dgm:prSet presAssocID="{96BDB571-7CEB-49ED-8A98-B2CAE4B9B681}" presName="sibTrans" presStyleCnt="0"/>
      <dgm:spPr/>
    </dgm:pt>
    <dgm:pt modelId="{B8A66C98-8EC4-449D-A37D-6A42962C8DEA}" type="pres">
      <dgm:prSet presAssocID="{7B33E28F-046E-4FC8-B91D-132F1541408D}" presName="node" presStyleLbl="node1" presStyleIdx="1" presStyleCnt="4">
        <dgm:presLayoutVars>
          <dgm:bulletEnabled val="1"/>
        </dgm:presLayoutVars>
      </dgm:prSet>
      <dgm:spPr>
        <a:prstGeom prst="rect">
          <a:avLst/>
        </a:prstGeom>
      </dgm:spPr>
      <dgm:t>
        <a:bodyPr/>
        <a:lstStyle/>
        <a:p>
          <a:endParaRPr lang="ru-RU"/>
        </a:p>
      </dgm:t>
    </dgm:pt>
    <dgm:pt modelId="{DE396412-8506-4EFE-9844-6D5957D87DAC}" type="pres">
      <dgm:prSet presAssocID="{FE922AF8-9670-4252-8B49-8A6078DF6F32}" presName="sibTrans" presStyleCnt="0"/>
      <dgm:spPr/>
    </dgm:pt>
    <dgm:pt modelId="{B5D92B1C-3CF5-40ED-AD56-0B2AB08E2FC3}" type="pres">
      <dgm:prSet presAssocID="{21A721F0-398E-4382-ACD0-28FC2B8D964D}" presName="node" presStyleLbl="node1" presStyleIdx="2" presStyleCnt="4">
        <dgm:presLayoutVars>
          <dgm:bulletEnabled val="1"/>
        </dgm:presLayoutVars>
      </dgm:prSet>
      <dgm:spPr>
        <a:prstGeom prst="rect">
          <a:avLst/>
        </a:prstGeom>
      </dgm:spPr>
      <dgm:t>
        <a:bodyPr/>
        <a:lstStyle/>
        <a:p>
          <a:endParaRPr lang="ru-RU"/>
        </a:p>
      </dgm:t>
    </dgm:pt>
    <dgm:pt modelId="{5A8C6243-706E-464A-9487-80820282F447}" type="pres">
      <dgm:prSet presAssocID="{EFB057A1-76D6-4D32-B1BA-64CB837F5D48}" presName="sibTrans" presStyleCnt="0"/>
      <dgm:spPr/>
    </dgm:pt>
    <dgm:pt modelId="{3B116A8A-82A7-4585-A3F7-194769843BC1}" type="pres">
      <dgm:prSet presAssocID="{7025A584-4EE8-4E67-B50D-BAE29EF272EF}" presName="node" presStyleLbl="node1" presStyleIdx="3" presStyleCnt="4">
        <dgm:presLayoutVars>
          <dgm:bulletEnabled val="1"/>
        </dgm:presLayoutVars>
      </dgm:prSet>
      <dgm:spPr>
        <a:prstGeom prst="rect">
          <a:avLst/>
        </a:prstGeom>
      </dgm:spPr>
      <dgm:t>
        <a:bodyPr/>
        <a:lstStyle/>
        <a:p>
          <a:endParaRPr lang="ru-RU"/>
        </a:p>
      </dgm:t>
    </dgm:pt>
  </dgm:ptLst>
  <dgm:cxnLst>
    <dgm:cxn modelId="{28C6F492-FAF5-417D-960C-3BF45D4BBE4A}" type="presOf" srcId="{7025A584-4EE8-4E67-B50D-BAE29EF272EF}" destId="{3B116A8A-82A7-4585-A3F7-194769843BC1}" srcOrd="0" destOrd="0" presId="urn:microsoft.com/office/officeart/2005/8/layout/default"/>
    <dgm:cxn modelId="{1137C934-5135-4816-BEE2-88D7065796D5}" type="presOf" srcId="{13832EEB-7A18-4589-B56D-1CB335DDB2BB}" destId="{433674A3-CEF0-4E4B-87F2-B23B682C3BB5}" srcOrd="0" destOrd="0" presId="urn:microsoft.com/office/officeart/2005/8/layout/default"/>
    <dgm:cxn modelId="{CA0A340A-76EC-405C-A387-A9007BF8B3F8}" type="presOf" srcId="{889C5007-3F5F-4886-929C-96C3EB1E27CB}" destId="{9F4FD374-F99F-4AEB-80B2-3A0C630521FD}" srcOrd="0" destOrd="0" presId="urn:microsoft.com/office/officeart/2005/8/layout/default"/>
    <dgm:cxn modelId="{3AE73FD1-6C8B-4F3E-B4B2-FBEBBE99A11B}" type="presOf" srcId="{7B33E28F-046E-4FC8-B91D-132F1541408D}" destId="{B8A66C98-8EC4-449D-A37D-6A42962C8DEA}" srcOrd="0" destOrd="0" presId="urn:microsoft.com/office/officeart/2005/8/layout/default"/>
    <dgm:cxn modelId="{330BEDC5-D6ED-4F7D-B24F-8BAD338C796C}" srcId="{13832EEB-7A18-4589-B56D-1CB335DDB2BB}" destId="{7B33E28F-046E-4FC8-B91D-132F1541408D}" srcOrd="1" destOrd="0" parTransId="{4025B300-B019-4A21-99A8-919287B88C30}" sibTransId="{FE922AF8-9670-4252-8B49-8A6078DF6F32}"/>
    <dgm:cxn modelId="{9BB3E741-6A5B-4585-9C2B-FBE0BB338FB7}" type="presOf" srcId="{21A721F0-398E-4382-ACD0-28FC2B8D964D}" destId="{B5D92B1C-3CF5-40ED-AD56-0B2AB08E2FC3}" srcOrd="0" destOrd="0" presId="urn:microsoft.com/office/officeart/2005/8/layout/default"/>
    <dgm:cxn modelId="{52CE4858-EFA5-4308-9D2F-0B2FD36E4A12}" srcId="{13832EEB-7A18-4589-B56D-1CB335DDB2BB}" destId="{21A721F0-398E-4382-ACD0-28FC2B8D964D}" srcOrd="2" destOrd="0" parTransId="{A8F32794-441B-4CCA-996D-8C4E403263B5}" sibTransId="{EFB057A1-76D6-4D32-B1BA-64CB837F5D48}"/>
    <dgm:cxn modelId="{B002F592-10D7-4524-9C5C-E177ADF44334}" srcId="{13832EEB-7A18-4589-B56D-1CB335DDB2BB}" destId="{889C5007-3F5F-4886-929C-96C3EB1E27CB}" srcOrd="0" destOrd="0" parTransId="{971A71CB-43FB-4255-A962-B9EACA2E2717}" sibTransId="{96BDB571-7CEB-49ED-8A98-B2CAE4B9B681}"/>
    <dgm:cxn modelId="{9BB33D98-652F-421A-B3C3-8541F83CBA23}" srcId="{13832EEB-7A18-4589-B56D-1CB335DDB2BB}" destId="{7025A584-4EE8-4E67-B50D-BAE29EF272EF}" srcOrd="3" destOrd="0" parTransId="{E979D295-5208-4E5B-A5E3-A722F50F30C8}" sibTransId="{CD29FE0C-BBAF-4CF9-807C-6D0CB8D4A789}"/>
    <dgm:cxn modelId="{299D6142-CDE3-4546-98F8-DE04B94C8A60}" type="presParOf" srcId="{433674A3-CEF0-4E4B-87F2-B23B682C3BB5}" destId="{9F4FD374-F99F-4AEB-80B2-3A0C630521FD}" srcOrd="0" destOrd="0" presId="urn:microsoft.com/office/officeart/2005/8/layout/default"/>
    <dgm:cxn modelId="{81E6B516-9550-4B46-B5E4-C5DA38FCAACB}" type="presParOf" srcId="{433674A3-CEF0-4E4B-87F2-B23B682C3BB5}" destId="{10565731-C0F1-4420-85FA-7AC2077E2C12}" srcOrd="1" destOrd="0" presId="urn:microsoft.com/office/officeart/2005/8/layout/default"/>
    <dgm:cxn modelId="{191B3514-1A3A-4496-97CB-59BC3BA77169}" type="presParOf" srcId="{433674A3-CEF0-4E4B-87F2-B23B682C3BB5}" destId="{B8A66C98-8EC4-449D-A37D-6A42962C8DEA}" srcOrd="2" destOrd="0" presId="urn:microsoft.com/office/officeart/2005/8/layout/default"/>
    <dgm:cxn modelId="{22F0B03D-AE95-40BD-98BB-D4738A9BD093}" type="presParOf" srcId="{433674A3-CEF0-4E4B-87F2-B23B682C3BB5}" destId="{DE396412-8506-4EFE-9844-6D5957D87DAC}" srcOrd="3" destOrd="0" presId="urn:microsoft.com/office/officeart/2005/8/layout/default"/>
    <dgm:cxn modelId="{AFEAA939-154F-4DC4-B8C4-2FF06EC57499}" type="presParOf" srcId="{433674A3-CEF0-4E4B-87F2-B23B682C3BB5}" destId="{B5D92B1C-3CF5-40ED-AD56-0B2AB08E2FC3}" srcOrd="4" destOrd="0" presId="urn:microsoft.com/office/officeart/2005/8/layout/default"/>
    <dgm:cxn modelId="{B124C3D2-74E3-415E-A472-3CCAF17EE558}" type="presParOf" srcId="{433674A3-CEF0-4E4B-87F2-B23B682C3BB5}" destId="{5A8C6243-706E-464A-9487-80820282F447}" srcOrd="5" destOrd="0" presId="urn:microsoft.com/office/officeart/2005/8/layout/default"/>
    <dgm:cxn modelId="{DFAFA84F-B292-4E03-AE35-9131EA884F2A}" type="presParOf" srcId="{433674A3-CEF0-4E4B-87F2-B23B682C3BB5}" destId="{3B116A8A-82A7-4585-A3F7-194769843BC1}" srcOrd="6" destOrd="0" presId="urn:microsoft.com/office/officeart/2005/8/layout/default"/>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1E1832F6-B4F5-4257-9A33-33EED3C704D0}"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C01731FC-F94E-4BEB-9A00-6B98F6A9E70E}">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6E209963-D74A-4761-8880-00870823105C}" type="parTrans" cxnId="{D656A1EE-09D4-4FC3-BB66-543CE00375B6}">
      <dgm:prSet/>
      <dgm:spPr/>
      <dgm:t>
        <a:bodyPr/>
        <a:lstStyle/>
        <a:p>
          <a:endParaRPr lang="ru-RU"/>
        </a:p>
      </dgm:t>
    </dgm:pt>
    <dgm:pt modelId="{2CD59F76-FC51-4758-8BE5-1DD156AEB138}" type="sibTrans" cxnId="{D656A1EE-09D4-4FC3-BB66-543CE00375B6}">
      <dgm:prSet/>
      <dgm:spPr/>
      <dgm:t>
        <a:bodyPr/>
        <a:lstStyle/>
        <a:p>
          <a:endParaRPr lang="ru-RU"/>
        </a:p>
      </dgm:t>
    </dgm:pt>
    <dgm:pt modelId="{D9CB8BCC-23D7-4359-AA30-8D533B0BF8D4}">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133B0D46-79CB-49A0-8E46-DF1F7692E712}" type="parTrans" cxnId="{22BD9E07-7381-4A61-B4E6-8091D0BA8575}">
      <dgm:prSet/>
      <dgm:spPr/>
      <dgm:t>
        <a:bodyPr/>
        <a:lstStyle/>
        <a:p>
          <a:endParaRPr lang="ru-RU"/>
        </a:p>
      </dgm:t>
    </dgm:pt>
    <dgm:pt modelId="{A312E393-BC97-4D2F-B3BF-932A147B31DF}" type="sibTrans" cxnId="{22BD9E07-7381-4A61-B4E6-8091D0BA8575}">
      <dgm:prSet/>
      <dgm:spPr/>
      <dgm:t>
        <a:bodyPr/>
        <a:lstStyle/>
        <a:p>
          <a:endParaRPr lang="ru-RU"/>
        </a:p>
      </dgm:t>
    </dgm:pt>
    <dgm:pt modelId="{9108F584-5920-47CF-A305-126839665002}">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941DBEA8-4B2A-4A67-8449-AA4F5FEBEF8E}" type="parTrans" cxnId="{72B2B4FF-8F6A-4BE0-8A3D-E4CB18820898}">
      <dgm:prSet/>
      <dgm:spPr/>
      <dgm:t>
        <a:bodyPr/>
        <a:lstStyle/>
        <a:p>
          <a:endParaRPr lang="ru-RU"/>
        </a:p>
      </dgm:t>
    </dgm:pt>
    <dgm:pt modelId="{EBC7DA5C-FB91-4752-BFB6-7B4C2172BE67}" type="sibTrans" cxnId="{72B2B4FF-8F6A-4BE0-8A3D-E4CB18820898}">
      <dgm:prSet/>
      <dgm:spPr/>
      <dgm:t>
        <a:bodyPr/>
        <a:lstStyle/>
        <a:p>
          <a:endParaRPr lang="ru-RU"/>
        </a:p>
      </dgm:t>
    </dgm:pt>
    <dgm:pt modelId="{2388DBDC-B7E8-40E7-A4DC-9683BECD8A97}">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A45F0F2D-7FBB-4B88-8510-24D2C07A6917}" type="parTrans" cxnId="{D4BAFA48-FC6E-4CD0-BF73-C79C1778BE11}">
      <dgm:prSet/>
      <dgm:spPr/>
      <dgm:t>
        <a:bodyPr/>
        <a:lstStyle/>
        <a:p>
          <a:endParaRPr lang="ru-RU"/>
        </a:p>
      </dgm:t>
    </dgm:pt>
    <dgm:pt modelId="{D8CA847F-11BE-4379-BDD4-64F1F4C68548}" type="sibTrans" cxnId="{D4BAFA48-FC6E-4CD0-BF73-C79C1778BE11}">
      <dgm:prSet/>
      <dgm:spPr/>
      <dgm:t>
        <a:bodyPr/>
        <a:lstStyle/>
        <a:p>
          <a:endParaRPr lang="ru-RU"/>
        </a:p>
      </dgm:t>
    </dgm:pt>
    <dgm:pt modelId="{65982742-1563-4C4F-9AAC-E55F42AD25E8}" type="pres">
      <dgm:prSet presAssocID="{1E1832F6-B4F5-4257-9A33-33EED3C704D0}" presName="diagram" presStyleCnt="0">
        <dgm:presLayoutVars>
          <dgm:dir/>
          <dgm:resizeHandles val="exact"/>
        </dgm:presLayoutVars>
      </dgm:prSet>
      <dgm:spPr/>
      <dgm:t>
        <a:bodyPr/>
        <a:lstStyle/>
        <a:p>
          <a:endParaRPr lang="ru-RU"/>
        </a:p>
      </dgm:t>
    </dgm:pt>
    <dgm:pt modelId="{7307691F-9696-4F28-8EDA-156BE9B89322}" type="pres">
      <dgm:prSet presAssocID="{C01731FC-F94E-4BEB-9A00-6B98F6A9E70E}" presName="node" presStyleLbl="node1" presStyleIdx="0" presStyleCnt="4">
        <dgm:presLayoutVars>
          <dgm:bulletEnabled val="1"/>
        </dgm:presLayoutVars>
      </dgm:prSet>
      <dgm:spPr>
        <a:prstGeom prst="rect">
          <a:avLst/>
        </a:prstGeom>
      </dgm:spPr>
      <dgm:t>
        <a:bodyPr/>
        <a:lstStyle/>
        <a:p>
          <a:endParaRPr lang="ru-RU"/>
        </a:p>
      </dgm:t>
    </dgm:pt>
    <dgm:pt modelId="{4321ACC3-3E80-4AA3-B924-7C088A1376F9}" type="pres">
      <dgm:prSet presAssocID="{2CD59F76-FC51-4758-8BE5-1DD156AEB138}" presName="sibTrans" presStyleCnt="0"/>
      <dgm:spPr/>
    </dgm:pt>
    <dgm:pt modelId="{0FA42033-1EAD-42E2-81CC-FAD0F7AF6248}" type="pres">
      <dgm:prSet presAssocID="{D9CB8BCC-23D7-4359-AA30-8D533B0BF8D4}" presName="node" presStyleLbl="node1" presStyleIdx="1" presStyleCnt="4">
        <dgm:presLayoutVars>
          <dgm:bulletEnabled val="1"/>
        </dgm:presLayoutVars>
      </dgm:prSet>
      <dgm:spPr>
        <a:prstGeom prst="rect">
          <a:avLst/>
        </a:prstGeom>
      </dgm:spPr>
      <dgm:t>
        <a:bodyPr/>
        <a:lstStyle/>
        <a:p>
          <a:endParaRPr lang="ru-RU"/>
        </a:p>
      </dgm:t>
    </dgm:pt>
    <dgm:pt modelId="{A5B48F49-560D-4B26-AA4A-6EA6EE3069E1}" type="pres">
      <dgm:prSet presAssocID="{A312E393-BC97-4D2F-B3BF-932A147B31DF}" presName="sibTrans" presStyleCnt="0"/>
      <dgm:spPr/>
    </dgm:pt>
    <dgm:pt modelId="{A774086F-3E88-4001-9898-3BF61056481E}" type="pres">
      <dgm:prSet presAssocID="{9108F584-5920-47CF-A305-126839665002}" presName="node" presStyleLbl="node1" presStyleIdx="2" presStyleCnt="4">
        <dgm:presLayoutVars>
          <dgm:bulletEnabled val="1"/>
        </dgm:presLayoutVars>
      </dgm:prSet>
      <dgm:spPr>
        <a:prstGeom prst="rect">
          <a:avLst/>
        </a:prstGeom>
      </dgm:spPr>
      <dgm:t>
        <a:bodyPr/>
        <a:lstStyle/>
        <a:p>
          <a:endParaRPr lang="ru-RU"/>
        </a:p>
      </dgm:t>
    </dgm:pt>
    <dgm:pt modelId="{F7096EF7-78C8-4227-983F-44AE7DFB0673}" type="pres">
      <dgm:prSet presAssocID="{EBC7DA5C-FB91-4752-BFB6-7B4C2172BE67}" presName="sibTrans" presStyleCnt="0"/>
      <dgm:spPr/>
    </dgm:pt>
    <dgm:pt modelId="{EA19975F-2999-487F-AA4F-5A9DCE269EE6}" type="pres">
      <dgm:prSet presAssocID="{2388DBDC-B7E8-40E7-A4DC-9683BECD8A97}" presName="node" presStyleLbl="node1" presStyleIdx="3" presStyleCnt="4">
        <dgm:presLayoutVars>
          <dgm:bulletEnabled val="1"/>
        </dgm:presLayoutVars>
      </dgm:prSet>
      <dgm:spPr>
        <a:prstGeom prst="rect">
          <a:avLst/>
        </a:prstGeom>
      </dgm:spPr>
      <dgm:t>
        <a:bodyPr/>
        <a:lstStyle/>
        <a:p>
          <a:endParaRPr lang="ru-RU"/>
        </a:p>
      </dgm:t>
    </dgm:pt>
  </dgm:ptLst>
  <dgm:cxnLst>
    <dgm:cxn modelId="{81F42BB9-6F03-4364-856C-CC8154B5C87A}" type="presOf" srcId="{9108F584-5920-47CF-A305-126839665002}" destId="{A774086F-3E88-4001-9898-3BF61056481E}" srcOrd="0" destOrd="0" presId="urn:microsoft.com/office/officeart/2005/8/layout/default"/>
    <dgm:cxn modelId="{22BD9E07-7381-4A61-B4E6-8091D0BA8575}" srcId="{1E1832F6-B4F5-4257-9A33-33EED3C704D0}" destId="{D9CB8BCC-23D7-4359-AA30-8D533B0BF8D4}" srcOrd="1" destOrd="0" parTransId="{133B0D46-79CB-49A0-8E46-DF1F7692E712}" sibTransId="{A312E393-BC97-4D2F-B3BF-932A147B31DF}"/>
    <dgm:cxn modelId="{D656A1EE-09D4-4FC3-BB66-543CE00375B6}" srcId="{1E1832F6-B4F5-4257-9A33-33EED3C704D0}" destId="{C01731FC-F94E-4BEB-9A00-6B98F6A9E70E}" srcOrd="0" destOrd="0" parTransId="{6E209963-D74A-4761-8880-00870823105C}" sibTransId="{2CD59F76-FC51-4758-8BE5-1DD156AEB138}"/>
    <dgm:cxn modelId="{A791FA77-79F4-4675-9F6A-C12E6D988296}" type="presOf" srcId="{1E1832F6-B4F5-4257-9A33-33EED3C704D0}" destId="{65982742-1563-4C4F-9AAC-E55F42AD25E8}" srcOrd="0" destOrd="0" presId="urn:microsoft.com/office/officeart/2005/8/layout/default"/>
    <dgm:cxn modelId="{C7147103-2E8D-4CE1-9F1F-A6076808B54C}" type="presOf" srcId="{2388DBDC-B7E8-40E7-A4DC-9683BECD8A97}" destId="{EA19975F-2999-487F-AA4F-5A9DCE269EE6}" srcOrd="0" destOrd="0" presId="urn:microsoft.com/office/officeart/2005/8/layout/default"/>
    <dgm:cxn modelId="{3EFA422E-748F-455E-889C-24BCD7B81500}" type="presOf" srcId="{C01731FC-F94E-4BEB-9A00-6B98F6A9E70E}" destId="{7307691F-9696-4F28-8EDA-156BE9B89322}" srcOrd="0" destOrd="0" presId="urn:microsoft.com/office/officeart/2005/8/layout/default"/>
    <dgm:cxn modelId="{A1A649F6-D25B-4AC7-ADC9-0C663CBCA0E2}" type="presOf" srcId="{D9CB8BCC-23D7-4359-AA30-8D533B0BF8D4}" destId="{0FA42033-1EAD-42E2-81CC-FAD0F7AF6248}" srcOrd="0" destOrd="0" presId="urn:microsoft.com/office/officeart/2005/8/layout/default"/>
    <dgm:cxn modelId="{72B2B4FF-8F6A-4BE0-8A3D-E4CB18820898}" srcId="{1E1832F6-B4F5-4257-9A33-33EED3C704D0}" destId="{9108F584-5920-47CF-A305-126839665002}" srcOrd="2" destOrd="0" parTransId="{941DBEA8-4B2A-4A67-8449-AA4F5FEBEF8E}" sibTransId="{EBC7DA5C-FB91-4752-BFB6-7B4C2172BE67}"/>
    <dgm:cxn modelId="{D4BAFA48-FC6E-4CD0-BF73-C79C1778BE11}" srcId="{1E1832F6-B4F5-4257-9A33-33EED3C704D0}" destId="{2388DBDC-B7E8-40E7-A4DC-9683BECD8A97}" srcOrd="3" destOrd="0" parTransId="{A45F0F2D-7FBB-4B88-8510-24D2C07A6917}" sibTransId="{D8CA847F-11BE-4379-BDD4-64F1F4C68548}"/>
    <dgm:cxn modelId="{24DEC63A-628E-4E7E-9CA8-76DC220ACD9A}" type="presParOf" srcId="{65982742-1563-4C4F-9AAC-E55F42AD25E8}" destId="{7307691F-9696-4F28-8EDA-156BE9B89322}" srcOrd="0" destOrd="0" presId="urn:microsoft.com/office/officeart/2005/8/layout/default"/>
    <dgm:cxn modelId="{CDA392E6-98A2-44C1-86B1-F2486A19A13E}" type="presParOf" srcId="{65982742-1563-4C4F-9AAC-E55F42AD25E8}" destId="{4321ACC3-3E80-4AA3-B924-7C088A1376F9}" srcOrd="1" destOrd="0" presId="urn:microsoft.com/office/officeart/2005/8/layout/default"/>
    <dgm:cxn modelId="{0491258B-45DA-4C1A-8BAB-C53ACE7BF441}" type="presParOf" srcId="{65982742-1563-4C4F-9AAC-E55F42AD25E8}" destId="{0FA42033-1EAD-42E2-81CC-FAD0F7AF6248}" srcOrd="2" destOrd="0" presId="urn:microsoft.com/office/officeart/2005/8/layout/default"/>
    <dgm:cxn modelId="{52A7CF44-53C1-4622-9AC2-EF6630463832}" type="presParOf" srcId="{65982742-1563-4C4F-9AAC-E55F42AD25E8}" destId="{A5B48F49-560D-4B26-AA4A-6EA6EE3069E1}" srcOrd="3" destOrd="0" presId="urn:microsoft.com/office/officeart/2005/8/layout/default"/>
    <dgm:cxn modelId="{07E23911-AC35-47EF-824F-C343D495FAAF}" type="presParOf" srcId="{65982742-1563-4C4F-9AAC-E55F42AD25E8}" destId="{A774086F-3E88-4001-9898-3BF61056481E}" srcOrd="4" destOrd="0" presId="urn:microsoft.com/office/officeart/2005/8/layout/default"/>
    <dgm:cxn modelId="{E31B45CE-552B-4373-B498-BDFA339721CD}" type="presParOf" srcId="{65982742-1563-4C4F-9AAC-E55F42AD25E8}" destId="{F7096EF7-78C8-4227-983F-44AE7DFB0673}" srcOrd="5" destOrd="0" presId="urn:microsoft.com/office/officeart/2005/8/layout/default"/>
    <dgm:cxn modelId="{42FA22E7-13E5-4443-9ED8-85E2EFED086C}" type="presParOf" srcId="{65982742-1563-4C4F-9AAC-E55F42AD25E8}" destId="{EA19975F-2999-487F-AA4F-5A9DCE269EE6}" srcOrd="6" destOrd="0" presId="urn:microsoft.com/office/officeart/2005/8/layout/default"/>
  </dgm:cxnLst>
  <dgm:bg/>
  <dgm:whole/>
  <dgm:extLst>
    <a:ext uri="http://schemas.microsoft.com/office/drawing/2008/diagram">
      <dsp:dataModelExt xmlns:dsp="http://schemas.microsoft.com/office/drawing/2008/diagram" relId="rId113"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B3C345E0-146B-4231-803A-D30D8213A385}" type="doc">
      <dgm:prSet loTypeId="urn:microsoft.com/office/officeart/2005/8/layout/default" loCatId="list" qsTypeId="urn:microsoft.com/office/officeart/2005/8/quickstyle/simple4" qsCatId="simple" csTypeId="urn:microsoft.com/office/officeart/2005/8/colors/accent1_2" csCatId="accent1" phldr="1"/>
      <dgm:spPr/>
      <dgm:t>
        <a:bodyPr/>
        <a:lstStyle/>
        <a:p>
          <a:endParaRPr lang="ru-RU"/>
        </a:p>
      </dgm:t>
    </dgm:pt>
    <dgm:pt modelId="{C64F4851-E712-4E13-8019-9ACFA5A18FDD}">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97B0804E-F3B7-4C20-B755-8C1ECAC3F214}" type="parTrans" cxnId="{EB1896FC-91FB-4AA6-97AD-5F561B8340E1}">
      <dgm:prSet/>
      <dgm:spPr/>
      <dgm:t>
        <a:bodyPr/>
        <a:lstStyle/>
        <a:p>
          <a:endParaRPr lang="ru-RU"/>
        </a:p>
      </dgm:t>
    </dgm:pt>
    <dgm:pt modelId="{3CD6DE66-50E0-4FAE-A07E-8343161775F0}" type="sibTrans" cxnId="{EB1896FC-91FB-4AA6-97AD-5F561B8340E1}">
      <dgm:prSet/>
      <dgm:spPr/>
      <dgm:t>
        <a:bodyPr/>
        <a:lstStyle/>
        <a:p>
          <a:endParaRPr lang="ru-RU"/>
        </a:p>
      </dgm:t>
    </dgm:pt>
    <dgm:pt modelId="{80598A9E-CF40-45E9-940C-9FA3DB8EBA37}">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D9A8A7ED-6E12-4B1D-9C03-9AB61240133A}" type="parTrans" cxnId="{5941F252-689A-4002-AD35-F8C5A0947EDE}">
      <dgm:prSet/>
      <dgm:spPr/>
      <dgm:t>
        <a:bodyPr/>
        <a:lstStyle/>
        <a:p>
          <a:endParaRPr lang="ru-RU"/>
        </a:p>
      </dgm:t>
    </dgm:pt>
    <dgm:pt modelId="{BC9F0E37-A57F-4616-AA8A-C65962A5F34C}" type="sibTrans" cxnId="{5941F252-689A-4002-AD35-F8C5A0947EDE}">
      <dgm:prSet/>
      <dgm:spPr/>
      <dgm:t>
        <a:bodyPr/>
        <a:lstStyle/>
        <a:p>
          <a:endParaRPr lang="ru-RU"/>
        </a:p>
      </dgm:t>
    </dgm:pt>
    <dgm:pt modelId="{99E62E5E-2B9B-4F6D-B606-C164506C525B}">
      <dgm:prSet phldrT="[Текст]"/>
      <dgm:spPr>
        <a:xfrm>
          <a:off x="1062508" y="1723161"/>
          <a:ext cx="3361382" cy="1475541"/>
        </a:xfr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382B1BEC-13E9-420F-87E9-75070E9249DA}" type="parTrans" cxnId="{6A139A95-0FC2-4BE7-8855-40F3354F9350}">
      <dgm:prSet/>
      <dgm:spPr/>
      <dgm:t>
        <a:bodyPr/>
        <a:lstStyle/>
        <a:p>
          <a:endParaRPr lang="ru-RU"/>
        </a:p>
      </dgm:t>
    </dgm:pt>
    <dgm:pt modelId="{67AF1AD6-092D-4AF2-A7C7-8D7E3923BE21}" type="sibTrans" cxnId="{6A139A95-0FC2-4BE7-8855-40F3354F9350}">
      <dgm:prSet/>
      <dgm:spPr/>
      <dgm:t>
        <a:bodyPr/>
        <a:lstStyle/>
        <a:p>
          <a:endParaRPr lang="ru-RU"/>
        </a:p>
      </dgm:t>
    </dgm:pt>
    <dgm:pt modelId="{EDAAEEA9-D487-4C7A-BF41-B3D884AC02EE}" type="pres">
      <dgm:prSet presAssocID="{B3C345E0-146B-4231-803A-D30D8213A385}" presName="diagram" presStyleCnt="0">
        <dgm:presLayoutVars>
          <dgm:dir/>
          <dgm:resizeHandles val="exact"/>
        </dgm:presLayoutVars>
      </dgm:prSet>
      <dgm:spPr/>
      <dgm:t>
        <a:bodyPr/>
        <a:lstStyle/>
        <a:p>
          <a:endParaRPr lang="ru-RU"/>
        </a:p>
      </dgm:t>
    </dgm:pt>
    <dgm:pt modelId="{D9724A8D-6337-4B36-B0DA-2C54B270FDCC}" type="pres">
      <dgm:prSet presAssocID="{C64F4851-E712-4E13-8019-9ACFA5A18FDD}" presName="node" presStyleLbl="node1" presStyleIdx="0" presStyleCnt="3">
        <dgm:presLayoutVars>
          <dgm:bulletEnabled val="1"/>
        </dgm:presLayoutVars>
      </dgm:prSet>
      <dgm:spPr>
        <a:prstGeom prst="rect">
          <a:avLst/>
        </a:prstGeom>
      </dgm:spPr>
      <dgm:t>
        <a:bodyPr/>
        <a:lstStyle/>
        <a:p>
          <a:endParaRPr lang="ru-RU"/>
        </a:p>
      </dgm:t>
    </dgm:pt>
    <dgm:pt modelId="{3DB08DE0-3BE1-4C2B-BCA2-23F8C3AA49BE}" type="pres">
      <dgm:prSet presAssocID="{3CD6DE66-50E0-4FAE-A07E-8343161775F0}" presName="sibTrans" presStyleCnt="0"/>
      <dgm:spPr/>
    </dgm:pt>
    <dgm:pt modelId="{54844BFD-7FF7-45A4-AAD5-B2E8F73C5EC6}" type="pres">
      <dgm:prSet presAssocID="{80598A9E-CF40-45E9-940C-9FA3DB8EBA37}" presName="node" presStyleLbl="node1" presStyleIdx="1" presStyleCnt="3">
        <dgm:presLayoutVars>
          <dgm:bulletEnabled val="1"/>
        </dgm:presLayoutVars>
      </dgm:prSet>
      <dgm:spPr>
        <a:prstGeom prst="rect">
          <a:avLst/>
        </a:prstGeom>
      </dgm:spPr>
      <dgm:t>
        <a:bodyPr/>
        <a:lstStyle/>
        <a:p>
          <a:endParaRPr lang="ru-RU"/>
        </a:p>
      </dgm:t>
    </dgm:pt>
    <dgm:pt modelId="{BF353BE1-A44A-4E16-A54B-5E4103C9F0CD}" type="pres">
      <dgm:prSet presAssocID="{BC9F0E37-A57F-4616-AA8A-C65962A5F34C}" presName="sibTrans" presStyleCnt="0"/>
      <dgm:spPr/>
    </dgm:pt>
    <dgm:pt modelId="{479CBA73-78CB-44E5-8357-B92E9E420D5F}" type="pres">
      <dgm:prSet presAssocID="{99E62E5E-2B9B-4F6D-B606-C164506C525B}" presName="node" presStyleLbl="node1" presStyleIdx="2" presStyleCnt="3" custScaleX="136684">
        <dgm:presLayoutVars>
          <dgm:bulletEnabled val="1"/>
        </dgm:presLayoutVars>
      </dgm:prSet>
      <dgm:spPr>
        <a:prstGeom prst="rect">
          <a:avLst/>
        </a:prstGeom>
      </dgm:spPr>
      <dgm:t>
        <a:bodyPr/>
        <a:lstStyle/>
        <a:p>
          <a:endParaRPr lang="ru-RU"/>
        </a:p>
      </dgm:t>
    </dgm:pt>
  </dgm:ptLst>
  <dgm:cxnLst>
    <dgm:cxn modelId="{F68EE28E-C4B6-4192-853D-6C600B00D6C5}" type="presOf" srcId="{80598A9E-CF40-45E9-940C-9FA3DB8EBA37}" destId="{54844BFD-7FF7-45A4-AAD5-B2E8F73C5EC6}" srcOrd="0" destOrd="0" presId="urn:microsoft.com/office/officeart/2005/8/layout/default"/>
    <dgm:cxn modelId="{6A139A95-0FC2-4BE7-8855-40F3354F9350}" srcId="{B3C345E0-146B-4231-803A-D30D8213A385}" destId="{99E62E5E-2B9B-4F6D-B606-C164506C525B}" srcOrd="2" destOrd="0" parTransId="{382B1BEC-13E9-420F-87E9-75070E9249DA}" sibTransId="{67AF1AD6-092D-4AF2-A7C7-8D7E3923BE21}"/>
    <dgm:cxn modelId="{2ECA29B9-9E5C-4753-90CF-A0C7916A97AD}" type="presOf" srcId="{B3C345E0-146B-4231-803A-D30D8213A385}" destId="{EDAAEEA9-D487-4C7A-BF41-B3D884AC02EE}" srcOrd="0" destOrd="0" presId="urn:microsoft.com/office/officeart/2005/8/layout/default"/>
    <dgm:cxn modelId="{41B1D892-14D2-423F-8CF3-3EC1CE846E7E}" type="presOf" srcId="{99E62E5E-2B9B-4F6D-B606-C164506C525B}" destId="{479CBA73-78CB-44E5-8357-B92E9E420D5F}" srcOrd="0" destOrd="0" presId="urn:microsoft.com/office/officeart/2005/8/layout/default"/>
    <dgm:cxn modelId="{3026F586-064E-46F1-AD7E-844AEA83AB20}" type="presOf" srcId="{C64F4851-E712-4E13-8019-9ACFA5A18FDD}" destId="{D9724A8D-6337-4B36-B0DA-2C54B270FDCC}" srcOrd="0" destOrd="0" presId="urn:microsoft.com/office/officeart/2005/8/layout/default"/>
    <dgm:cxn modelId="{5941F252-689A-4002-AD35-F8C5A0947EDE}" srcId="{B3C345E0-146B-4231-803A-D30D8213A385}" destId="{80598A9E-CF40-45E9-940C-9FA3DB8EBA37}" srcOrd="1" destOrd="0" parTransId="{D9A8A7ED-6E12-4B1D-9C03-9AB61240133A}" sibTransId="{BC9F0E37-A57F-4616-AA8A-C65962A5F34C}"/>
    <dgm:cxn modelId="{EB1896FC-91FB-4AA6-97AD-5F561B8340E1}" srcId="{B3C345E0-146B-4231-803A-D30D8213A385}" destId="{C64F4851-E712-4E13-8019-9ACFA5A18FDD}" srcOrd="0" destOrd="0" parTransId="{97B0804E-F3B7-4C20-B755-8C1ECAC3F214}" sibTransId="{3CD6DE66-50E0-4FAE-A07E-8343161775F0}"/>
    <dgm:cxn modelId="{2112F5AE-A4F5-4DCA-98C8-5097471F2F7C}" type="presParOf" srcId="{EDAAEEA9-D487-4C7A-BF41-B3D884AC02EE}" destId="{D9724A8D-6337-4B36-B0DA-2C54B270FDCC}" srcOrd="0" destOrd="0" presId="urn:microsoft.com/office/officeart/2005/8/layout/default"/>
    <dgm:cxn modelId="{0613F3DE-00AD-4DE5-A18B-3EE2FA9CFA67}" type="presParOf" srcId="{EDAAEEA9-D487-4C7A-BF41-B3D884AC02EE}" destId="{3DB08DE0-3BE1-4C2B-BCA2-23F8C3AA49BE}" srcOrd="1" destOrd="0" presId="urn:microsoft.com/office/officeart/2005/8/layout/default"/>
    <dgm:cxn modelId="{97B79D9B-28B6-4F25-832A-E20B094634D7}" type="presParOf" srcId="{EDAAEEA9-D487-4C7A-BF41-B3D884AC02EE}" destId="{54844BFD-7FF7-45A4-AAD5-B2E8F73C5EC6}" srcOrd="2" destOrd="0" presId="urn:microsoft.com/office/officeart/2005/8/layout/default"/>
    <dgm:cxn modelId="{0056067C-7A1C-4AC1-897E-BCEFEF57CF4F}" type="presParOf" srcId="{EDAAEEA9-D487-4C7A-BF41-B3D884AC02EE}" destId="{BF353BE1-A44A-4E16-A54B-5E4103C9F0CD}" srcOrd="3" destOrd="0" presId="urn:microsoft.com/office/officeart/2005/8/layout/default"/>
    <dgm:cxn modelId="{A316B73C-E6DC-4474-9BE4-6F4E5509CC97}" type="presParOf" srcId="{EDAAEEA9-D487-4C7A-BF41-B3D884AC02EE}" destId="{479CBA73-78CB-44E5-8357-B92E9E420D5F}" srcOrd="4" destOrd="0" presId="urn:microsoft.com/office/officeart/2005/8/layout/default"/>
  </dgm:cxnLst>
  <dgm:bg/>
  <dgm:whole/>
  <dgm:extLst>
    <a:ext uri="http://schemas.microsoft.com/office/drawing/2008/diagram">
      <dsp:dataModelExt xmlns:dsp="http://schemas.microsoft.com/office/drawing/2008/diagram" relId="rId1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EB7D8D2-55BC-4078-991C-BD440E39BF9C}"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FB924574-181D-47D0-A328-84021E3B10E8}">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1609D9B8-A8AA-4E7D-A5A4-240AEF34AFF9}" type="parTrans" cxnId="{44AB2260-A0EC-4BFD-BD80-963CFC4FAAB5}">
      <dgm:prSet/>
      <dgm:spPr/>
      <dgm:t>
        <a:bodyPr/>
        <a:lstStyle/>
        <a:p>
          <a:endParaRPr lang="ru-RU"/>
        </a:p>
      </dgm:t>
    </dgm:pt>
    <dgm:pt modelId="{2ECD34FD-E9D9-4E44-B3F9-142B5C1C872F}" type="sibTrans" cxnId="{44AB2260-A0EC-4BFD-BD80-963CFC4FAAB5}">
      <dgm:prSet/>
      <dgm:spPr/>
      <dgm:t>
        <a:bodyPr/>
        <a:lstStyle/>
        <a:p>
          <a:endParaRPr lang="ru-RU"/>
        </a:p>
      </dgm:t>
    </dgm:pt>
    <dgm:pt modelId="{60C95423-624F-4A7C-BD59-58F57D7D5AB9}">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90275E3B-20C2-4177-86A5-089435BEBD79}" type="parTrans" cxnId="{3A37B399-5B41-4E29-AEB1-274830424E3B}">
      <dgm:prSet/>
      <dgm:spPr/>
      <dgm:t>
        <a:bodyPr/>
        <a:lstStyle/>
        <a:p>
          <a:endParaRPr lang="ru-RU"/>
        </a:p>
      </dgm:t>
    </dgm:pt>
    <dgm:pt modelId="{D69A5694-3C33-44DC-957A-F88B1A0559F4}" type="sibTrans" cxnId="{3A37B399-5B41-4E29-AEB1-274830424E3B}">
      <dgm:prSet/>
      <dgm:spPr/>
      <dgm:t>
        <a:bodyPr/>
        <a:lstStyle/>
        <a:p>
          <a:endParaRPr lang="ru-RU"/>
        </a:p>
      </dgm:t>
    </dgm:pt>
    <dgm:pt modelId="{4B1BE2CD-A4CC-4DF6-A944-872C1A0FD7C6}">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4AB7A7AB-44E7-40EA-849C-39E5EA65BE34}" type="parTrans" cxnId="{EDF4FB0F-0842-469C-977C-F9E767B228B8}">
      <dgm:prSet/>
      <dgm:spPr/>
      <dgm:t>
        <a:bodyPr/>
        <a:lstStyle/>
        <a:p>
          <a:endParaRPr lang="ru-RU"/>
        </a:p>
      </dgm:t>
    </dgm:pt>
    <dgm:pt modelId="{A9983192-0B8B-47C0-8B20-31CE75F43561}" type="sibTrans" cxnId="{EDF4FB0F-0842-469C-977C-F9E767B228B8}">
      <dgm:prSet/>
      <dgm:spPr/>
      <dgm:t>
        <a:bodyPr/>
        <a:lstStyle/>
        <a:p>
          <a:endParaRPr lang="ru-RU"/>
        </a:p>
      </dgm:t>
    </dgm:pt>
    <dgm:pt modelId="{A03F8A45-A93A-484D-A246-B8868FE33080}">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99F4C14F-B5AF-4722-B356-2F2535EE3B17}" type="parTrans" cxnId="{EFFAA3DD-C486-4A3F-BC46-60F804C04CA9}">
      <dgm:prSet/>
      <dgm:spPr/>
      <dgm:t>
        <a:bodyPr/>
        <a:lstStyle/>
        <a:p>
          <a:endParaRPr lang="ru-RU"/>
        </a:p>
      </dgm:t>
    </dgm:pt>
    <dgm:pt modelId="{7F4C544B-6597-43F5-8D59-7C769140BDA2}" type="sibTrans" cxnId="{EFFAA3DD-C486-4A3F-BC46-60F804C04CA9}">
      <dgm:prSet/>
      <dgm:spPr/>
      <dgm:t>
        <a:bodyPr/>
        <a:lstStyle/>
        <a:p>
          <a:endParaRPr lang="ru-RU"/>
        </a:p>
      </dgm:t>
    </dgm:pt>
    <dgm:pt modelId="{736C1E28-1300-4011-80DA-BB1D10C80074}" type="pres">
      <dgm:prSet presAssocID="{8EB7D8D2-55BC-4078-991C-BD440E39BF9C}" presName="diagram" presStyleCnt="0">
        <dgm:presLayoutVars>
          <dgm:dir/>
          <dgm:resizeHandles val="exact"/>
        </dgm:presLayoutVars>
      </dgm:prSet>
      <dgm:spPr/>
      <dgm:t>
        <a:bodyPr/>
        <a:lstStyle/>
        <a:p>
          <a:endParaRPr lang="ru-RU"/>
        </a:p>
      </dgm:t>
    </dgm:pt>
    <dgm:pt modelId="{125B8386-6C89-4AEF-9CA5-8E9F315AF212}" type="pres">
      <dgm:prSet presAssocID="{FB924574-181D-47D0-A328-84021E3B10E8}" presName="node" presStyleLbl="node1" presStyleIdx="0" presStyleCnt="4">
        <dgm:presLayoutVars>
          <dgm:bulletEnabled val="1"/>
        </dgm:presLayoutVars>
      </dgm:prSet>
      <dgm:spPr>
        <a:prstGeom prst="rect">
          <a:avLst/>
        </a:prstGeom>
      </dgm:spPr>
      <dgm:t>
        <a:bodyPr/>
        <a:lstStyle/>
        <a:p>
          <a:endParaRPr lang="ru-RU"/>
        </a:p>
      </dgm:t>
    </dgm:pt>
    <dgm:pt modelId="{5E84B282-8F95-406C-A06F-68B14ED2E11C}" type="pres">
      <dgm:prSet presAssocID="{2ECD34FD-E9D9-4E44-B3F9-142B5C1C872F}" presName="sibTrans" presStyleCnt="0"/>
      <dgm:spPr/>
    </dgm:pt>
    <dgm:pt modelId="{24E6FA99-41F3-448A-BADA-B378026209BF}" type="pres">
      <dgm:prSet presAssocID="{60C95423-624F-4A7C-BD59-58F57D7D5AB9}" presName="node" presStyleLbl="node1" presStyleIdx="1" presStyleCnt="4">
        <dgm:presLayoutVars>
          <dgm:bulletEnabled val="1"/>
        </dgm:presLayoutVars>
      </dgm:prSet>
      <dgm:spPr>
        <a:prstGeom prst="rect">
          <a:avLst/>
        </a:prstGeom>
      </dgm:spPr>
      <dgm:t>
        <a:bodyPr/>
        <a:lstStyle/>
        <a:p>
          <a:endParaRPr lang="ru-RU"/>
        </a:p>
      </dgm:t>
    </dgm:pt>
    <dgm:pt modelId="{7A4137E0-B4C7-462F-AA6C-60FF1F0C5803}" type="pres">
      <dgm:prSet presAssocID="{D69A5694-3C33-44DC-957A-F88B1A0559F4}" presName="sibTrans" presStyleCnt="0"/>
      <dgm:spPr/>
    </dgm:pt>
    <dgm:pt modelId="{685819D9-B611-41C3-9A0D-A8DBCE599698}" type="pres">
      <dgm:prSet presAssocID="{4B1BE2CD-A4CC-4DF6-A944-872C1A0FD7C6}" presName="node" presStyleLbl="node1" presStyleIdx="2" presStyleCnt="4">
        <dgm:presLayoutVars>
          <dgm:bulletEnabled val="1"/>
        </dgm:presLayoutVars>
      </dgm:prSet>
      <dgm:spPr>
        <a:prstGeom prst="rect">
          <a:avLst/>
        </a:prstGeom>
      </dgm:spPr>
      <dgm:t>
        <a:bodyPr/>
        <a:lstStyle/>
        <a:p>
          <a:endParaRPr lang="ru-RU"/>
        </a:p>
      </dgm:t>
    </dgm:pt>
    <dgm:pt modelId="{4DD44ED0-B30B-4976-A97D-05E0089CD309}" type="pres">
      <dgm:prSet presAssocID="{A9983192-0B8B-47C0-8B20-31CE75F43561}" presName="sibTrans" presStyleCnt="0"/>
      <dgm:spPr/>
    </dgm:pt>
    <dgm:pt modelId="{C59B98D7-39FD-4871-AF74-A865A6C6ED3C}" type="pres">
      <dgm:prSet presAssocID="{A03F8A45-A93A-484D-A246-B8868FE33080}" presName="node" presStyleLbl="node1" presStyleIdx="3" presStyleCnt="4">
        <dgm:presLayoutVars>
          <dgm:bulletEnabled val="1"/>
        </dgm:presLayoutVars>
      </dgm:prSet>
      <dgm:spPr>
        <a:prstGeom prst="rect">
          <a:avLst/>
        </a:prstGeom>
      </dgm:spPr>
      <dgm:t>
        <a:bodyPr/>
        <a:lstStyle/>
        <a:p>
          <a:endParaRPr lang="ru-RU"/>
        </a:p>
      </dgm:t>
    </dgm:pt>
  </dgm:ptLst>
  <dgm:cxnLst>
    <dgm:cxn modelId="{EDF4FB0F-0842-469C-977C-F9E767B228B8}" srcId="{8EB7D8D2-55BC-4078-991C-BD440E39BF9C}" destId="{4B1BE2CD-A4CC-4DF6-A944-872C1A0FD7C6}" srcOrd="2" destOrd="0" parTransId="{4AB7A7AB-44E7-40EA-849C-39E5EA65BE34}" sibTransId="{A9983192-0B8B-47C0-8B20-31CE75F43561}"/>
    <dgm:cxn modelId="{81B0EEFB-FA81-4B0F-B504-8C2106443503}" type="presOf" srcId="{60C95423-624F-4A7C-BD59-58F57D7D5AB9}" destId="{24E6FA99-41F3-448A-BADA-B378026209BF}" srcOrd="0" destOrd="0" presId="urn:microsoft.com/office/officeart/2005/8/layout/default"/>
    <dgm:cxn modelId="{46D0A165-4530-45BC-B079-79FECC3D0C1A}" type="presOf" srcId="{4B1BE2CD-A4CC-4DF6-A944-872C1A0FD7C6}" destId="{685819D9-B611-41C3-9A0D-A8DBCE599698}" srcOrd="0" destOrd="0" presId="urn:microsoft.com/office/officeart/2005/8/layout/default"/>
    <dgm:cxn modelId="{A3F19415-FF33-45AD-8CFD-F560A69F6C65}" type="presOf" srcId="{8EB7D8D2-55BC-4078-991C-BD440E39BF9C}" destId="{736C1E28-1300-4011-80DA-BB1D10C80074}" srcOrd="0" destOrd="0" presId="urn:microsoft.com/office/officeart/2005/8/layout/default"/>
    <dgm:cxn modelId="{8AD2FFEF-4B14-4775-A113-11847773EDBB}" type="presOf" srcId="{A03F8A45-A93A-484D-A246-B8868FE33080}" destId="{C59B98D7-39FD-4871-AF74-A865A6C6ED3C}" srcOrd="0" destOrd="0" presId="urn:microsoft.com/office/officeart/2005/8/layout/default"/>
    <dgm:cxn modelId="{D9471CF7-B946-4318-897A-F5AC6C28DAA5}" type="presOf" srcId="{FB924574-181D-47D0-A328-84021E3B10E8}" destId="{125B8386-6C89-4AEF-9CA5-8E9F315AF212}" srcOrd="0" destOrd="0" presId="urn:microsoft.com/office/officeart/2005/8/layout/default"/>
    <dgm:cxn modelId="{44AB2260-A0EC-4BFD-BD80-963CFC4FAAB5}" srcId="{8EB7D8D2-55BC-4078-991C-BD440E39BF9C}" destId="{FB924574-181D-47D0-A328-84021E3B10E8}" srcOrd="0" destOrd="0" parTransId="{1609D9B8-A8AA-4E7D-A5A4-240AEF34AFF9}" sibTransId="{2ECD34FD-E9D9-4E44-B3F9-142B5C1C872F}"/>
    <dgm:cxn modelId="{3A37B399-5B41-4E29-AEB1-274830424E3B}" srcId="{8EB7D8D2-55BC-4078-991C-BD440E39BF9C}" destId="{60C95423-624F-4A7C-BD59-58F57D7D5AB9}" srcOrd="1" destOrd="0" parTransId="{90275E3B-20C2-4177-86A5-089435BEBD79}" sibTransId="{D69A5694-3C33-44DC-957A-F88B1A0559F4}"/>
    <dgm:cxn modelId="{EFFAA3DD-C486-4A3F-BC46-60F804C04CA9}" srcId="{8EB7D8D2-55BC-4078-991C-BD440E39BF9C}" destId="{A03F8A45-A93A-484D-A246-B8868FE33080}" srcOrd="3" destOrd="0" parTransId="{99F4C14F-B5AF-4722-B356-2F2535EE3B17}" sibTransId="{7F4C544B-6597-43F5-8D59-7C769140BDA2}"/>
    <dgm:cxn modelId="{DB2D7578-6B39-4EDB-8024-3048CD2C6922}" type="presParOf" srcId="{736C1E28-1300-4011-80DA-BB1D10C80074}" destId="{125B8386-6C89-4AEF-9CA5-8E9F315AF212}" srcOrd="0" destOrd="0" presId="urn:microsoft.com/office/officeart/2005/8/layout/default"/>
    <dgm:cxn modelId="{652D6C7A-ACAE-4A6D-85EC-6F46D1A198A4}" type="presParOf" srcId="{736C1E28-1300-4011-80DA-BB1D10C80074}" destId="{5E84B282-8F95-406C-A06F-68B14ED2E11C}" srcOrd="1" destOrd="0" presId="urn:microsoft.com/office/officeart/2005/8/layout/default"/>
    <dgm:cxn modelId="{9D4C0CF8-4B7C-47A9-A4BF-8A6F4DDAAB21}" type="presParOf" srcId="{736C1E28-1300-4011-80DA-BB1D10C80074}" destId="{24E6FA99-41F3-448A-BADA-B378026209BF}" srcOrd="2" destOrd="0" presId="urn:microsoft.com/office/officeart/2005/8/layout/default"/>
    <dgm:cxn modelId="{E2325C63-D496-4156-90F5-17843E2C7051}" type="presParOf" srcId="{736C1E28-1300-4011-80DA-BB1D10C80074}" destId="{7A4137E0-B4C7-462F-AA6C-60FF1F0C5803}" srcOrd="3" destOrd="0" presId="urn:microsoft.com/office/officeart/2005/8/layout/default"/>
    <dgm:cxn modelId="{C35ECDD3-C374-4DA2-97DB-D47560CC57B8}" type="presParOf" srcId="{736C1E28-1300-4011-80DA-BB1D10C80074}" destId="{685819D9-B611-41C3-9A0D-A8DBCE599698}" srcOrd="4" destOrd="0" presId="urn:microsoft.com/office/officeart/2005/8/layout/default"/>
    <dgm:cxn modelId="{E3185F25-C043-48AC-9B57-9B6359E9E7D5}" type="presParOf" srcId="{736C1E28-1300-4011-80DA-BB1D10C80074}" destId="{4DD44ED0-B30B-4976-A97D-05E0089CD309}" srcOrd="5" destOrd="0" presId="urn:microsoft.com/office/officeart/2005/8/layout/default"/>
    <dgm:cxn modelId="{69D6D223-7E79-485D-8EE5-4875B9DB9E28}" type="presParOf" srcId="{736C1E28-1300-4011-80DA-BB1D10C80074}" destId="{C59B98D7-39FD-4871-AF74-A865A6C6ED3C}" srcOrd="6" destOrd="0" presId="urn:microsoft.com/office/officeart/2005/8/layout/default"/>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17C3922-8FA4-4E40-B044-8F5B3140D45A}"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071C3FC8-AFE7-4288-BB59-DD46BE5D2E98}">
      <dgm:prSet phldrT="[Текст]"/>
      <dgm:spPr>
        <a:xfrm>
          <a:off x="669" y="169456"/>
          <a:ext cx="2611933" cy="1567160"/>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046250D2-F752-48AD-AD07-D46AE52D4C6B}" type="parTrans" cxnId="{C156240F-154F-4B6E-8D24-B74118D830E0}">
      <dgm:prSet/>
      <dgm:spPr/>
      <dgm:t>
        <a:bodyPr/>
        <a:lstStyle/>
        <a:p>
          <a:endParaRPr lang="ru-RU"/>
        </a:p>
      </dgm:t>
    </dgm:pt>
    <dgm:pt modelId="{B09250DF-EB3E-4803-AA5C-4C4E811B96DC}" type="sibTrans" cxnId="{C156240F-154F-4B6E-8D24-B74118D830E0}">
      <dgm:prSet/>
      <dgm:spPr/>
      <dgm:t>
        <a:bodyPr/>
        <a:lstStyle/>
        <a:p>
          <a:endParaRPr lang="ru-RU"/>
        </a:p>
      </dgm:t>
    </dgm:pt>
    <dgm:pt modelId="{CE241B7E-4D95-4380-9B85-66CAC5325629}">
      <dgm:prSet phldrT="[Текст]"/>
      <dgm:spPr>
        <a:xfrm>
          <a:off x="2873796" y="169456"/>
          <a:ext cx="2611933" cy="1567160"/>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F2C1709A-A0FE-4234-AA37-265D349C465D}" type="parTrans" cxnId="{6A8A3DD8-FA43-4C91-ADD5-381408185810}">
      <dgm:prSet/>
      <dgm:spPr/>
      <dgm:t>
        <a:bodyPr/>
        <a:lstStyle/>
        <a:p>
          <a:endParaRPr lang="ru-RU"/>
        </a:p>
      </dgm:t>
    </dgm:pt>
    <dgm:pt modelId="{C191E07C-862F-4958-82AE-B980C9B54845}" type="sibTrans" cxnId="{6A8A3DD8-FA43-4C91-ADD5-381408185810}">
      <dgm:prSet/>
      <dgm:spPr/>
      <dgm:t>
        <a:bodyPr/>
        <a:lstStyle/>
        <a:p>
          <a:endParaRPr lang="ru-RU"/>
        </a:p>
      </dgm:t>
    </dgm:pt>
    <dgm:pt modelId="{030BDA7F-DA19-412F-8525-1846D4B0BFFD}" type="pres">
      <dgm:prSet presAssocID="{117C3922-8FA4-4E40-B044-8F5B3140D45A}" presName="diagram" presStyleCnt="0">
        <dgm:presLayoutVars>
          <dgm:dir/>
          <dgm:resizeHandles val="exact"/>
        </dgm:presLayoutVars>
      </dgm:prSet>
      <dgm:spPr/>
      <dgm:t>
        <a:bodyPr/>
        <a:lstStyle/>
        <a:p>
          <a:endParaRPr lang="ru-RU"/>
        </a:p>
      </dgm:t>
    </dgm:pt>
    <dgm:pt modelId="{EC89727E-4246-4B76-89EB-D6468BC92A67}" type="pres">
      <dgm:prSet presAssocID="{071C3FC8-AFE7-4288-BB59-DD46BE5D2E98}" presName="node" presStyleLbl="node1" presStyleIdx="0" presStyleCnt="2">
        <dgm:presLayoutVars>
          <dgm:bulletEnabled val="1"/>
        </dgm:presLayoutVars>
      </dgm:prSet>
      <dgm:spPr>
        <a:prstGeom prst="rect">
          <a:avLst/>
        </a:prstGeom>
      </dgm:spPr>
      <dgm:t>
        <a:bodyPr/>
        <a:lstStyle/>
        <a:p>
          <a:endParaRPr lang="ru-RU"/>
        </a:p>
      </dgm:t>
    </dgm:pt>
    <dgm:pt modelId="{809B6151-2569-4C5F-824C-97AC9BBAF20A}" type="pres">
      <dgm:prSet presAssocID="{B09250DF-EB3E-4803-AA5C-4C4E811B96DC}" presName="sibTrans" presStyleCnt="0"/>
      <dgm:spPr/>
    </dgm:pt>
    <dgm:pt modelId="{A0D15F95-8533-4D63-8612-160B4853B7AF}" type="pres">
      <dgm:prSet presAssocID="{CE241B7E-4D95-4380-9B85-66CAC5325629}" presName="node" presStyleLbl="node1" presStyleIdx="1" presStyleCnt="2">
        <dgm:presLayoutVars>
          <dgm:bulletEnabled val="1"/>
        </dgm:presLayoutVars>
      </dgm:prSet>
      <dgm:spPr>
        <a:prstGeom prst="rect">
          <a:avLst/>
        </a:prstGeom>
      </dgm:spPr>
      <dgm:t>
        <a:bodyPr/>
        <a:lstStyle/>
        <a:p>
          <a:endParaRPr lang="ru-RU"/>
        </a:p>
      </dgm:t>
    </dgm:pt>
  </dgm:ptLst>
  <dgm:cxnLst>
    <dgm:cxn modelId="{0E64CADA-6E74-4920-A700-C06F949F1639}" type="presOf" srcId="{CE241B7E-4D95-4380-9B85-66CAC5325629}" destId="{A0D15F95-8533-4D63-8612-160B4853B7AF}" srcOrd="0" destOrd="0" presId="urn:microsoft.com/office/officeart/2005/8/layout/default"/>
    <dgm:cxn modelId="{6A8A3DD8-FA43-4C91-ADD5-381408185810}" srcId="{117C3922-8FA4-4E40-B044-8F5B3140D45A}" destId="{CE241B7E-4D95-4380-9B85-66CAC5325629}" srcOrd="1" destOrd="0" parTransId="{F2C1709A-A0FE-4234-AA37-265D349C465D}" sibTransId="{C191E07C-862F-4958-82AE-B980C9B54845}"/>
    <dgm:cxn modelId="{AAAA6920-3ECB-4EDA-8B95-F92EAEABF36B}" type="presOf" srcId="{117C3922-8FA4-4E40-B044-8F5B3140D45A}" destId="{030BDA7F-DA19-412F-8525-1846D4B0BFFD}" srcOrd="0" destOrd="0" presId="urn:microsoft.com/office/officeart/2005/8/layout/default"/>
    <dgm:cxn modelId="{C156240F-154F-4B6E-8D24-B74118D830E0}" srcId="{117C3922-8FA4-4E40-B044-8F5B3140D45A}" destId="{071C3FC8-AFE7-4288-BB59-DD46BE5D2E98}" srcOrd="0" destOrd="0" parTransId="{046250D2-F752-48AD-AD07-D46AE52D4C6B}" sibTransId="{B09250DF-EB3E-4803-AA5C-4C4E811B96DC}"/>
    <dgm:cxn modelId="{538B2A56-9560-477D-B599-9B1DF90B80A3}" type="presOf" srcId="{071C3FC8-AFE7-4288-BB59-DD46BE5D2E98}" destId="{EC89727E-4246-4B76-89EB-D6468BC92A67}" srcOrd="0" destOrd="0" presId="urn:microsoft.com/office/officeart/2005/8/layout/default"/>
    <dgm:cxn modelId="{A4FDC8E9-B049-4F9B-9F34-64CBD63EF48E}" type="presParOf" srcId="{030BDA7F-DA19-412F-8525-1846D4B0BFFD}" destId="{EC89727E-4246-4B76-89EB-D6468BC92A67}" srcOrd="0" destOrd="0" presId="urn:microsoft.com/office/officeart/2005/8/layout/default"/>
    <dgm:cxn modelId="{74454AA1-F2DA-4260-B36E-42F0700A15C9}" type="presParOf" srcId="{030BDA7F-DA19-412F-8525-1846D4B0BFFD}" destId="{809B6151-2569-4C5F-824C-97AC9BBAF20A}" srcOrd="1" destOrd="0" presId="urn:microsoft.com/office/officeart/2005/8/layout/default"/>
    <dgm:cxn modelId="{60202D34-92CD-40E4-8D78-16B0D22269D9}" type="presParOf" srcId="{030BDA7F-DA19-412F-8525-1846D4B0BFFD}" destId="{A0D15F95-8533-4D63-8612-160B4853B7AF}" srcOrd="2" destOrd="0" presId="urn:microsoft.com/office/officeart/2005/8/layout/default"/>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A7DCD40-9057-46E6-88BB-DEA76D397814}"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F9F2044A-4734-416C-97C1-6241A2751D4D}">
      <dgm:prSet phldrT="[Текст]"/>
      <dgm:spPr>
        <a:xfrm>
          <a:off x="431036" y="1434"/>
          <a:ext cx="2202060" cy="1321236"/>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224E9AB4-BCE1-4064-BDE0-1404833DD280}" type="parTrans" cxnId="{E82F9C76-3B80-4EA3-BD5F-3F21FB7C3EDF}">
      <dgm:prSet/>
      <dgm:spPr/>
      <dgm:t>
        <a:bodyPr/>
        <a:lstStyle/>
        <a:p>
          <a:endParaRPr lang="ru-RU"/>
        </a:p>
      </dgm:t>
    </dgm:pt>
    <dgm:pt modelId="{A6DDB695-9662-413E-BA8B-04FAC2B2B411}" type="sibTrans" cxnId="{E82F9C76-3B80-4EA3-BD5F-3F21FB7C3EDF}">
      <dgm:prSet/>
      <dgm:spPr/>
      <dgm:t>
        <a:bodyPr/>
        <a:lstStyle/>
        <a:p>
          <a:endParaRPr lang="ru-RU"/>
        </a:p>
      </dgm:t>
    </dgm:pt>
    <dgm:pt modelId="{00790327-5195-4192-9A36-6A6CFBB631EC}">
      <dgm:prSet phldrT="[Текст]"/>
      <dgm:spPr>
        <a:xfrm>
          <a:off x="2853303" y="1434"/>
          <a:ext cx="2202060" cy="1321236"/>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E56F43D7-49AC-494C-BE62-2EDCB64E1F8A}" type="parTrans" cxnId="{5CBEEC62-71F5-4170-8986-B5AACC6472C5}">
      <dgm:prSet/>
      <dgm:spPr/>
      <dgm:t>
        <a:bodyPr/>
        <a:lstStyle/>
        <a:p>
          <a:endParaRPr lang="ru-RU"/>
        </a:p>
      </dgm:t>
    </dgm:pt>
    <dgm:pt modelId="{ABAC1B4D-F7A9-4DB7-97A6-2D41E4C0D7C6}" type="sibTrans" cxnId="{5CBEEC62-71F5-4170-8986-B5AACC6472C5}">
      <dgm:prSet/>
      <dgm:spPr/>
      <dgm:t>
        <a:bodyPr/>
        <a:lstStyle/>
        <a:p>
          <a:endParaRPr lang="ru-RU"/>
        </a:p>
      </dgm:t>
    </dgm:pt>
    <dgm:pt modelId="{44C1547B-3083-45D4-8B6D-620A42FAF214}">
      <dgm:prSet/>
      <dgm:spPr>
        <a:xfrm>
          <a:off x="431036" y="1542877"/>
          <a:ext cx="2202060" cy="1321236"/>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BD10FF83-441E-4A0C-8AE8-DD17E09FC2E0}" type="parTrans" cxnId="{B209622E-F2AE-409F-B5E4-3253C0201352}">
      <dgm:prSet/>
      <dgm:spPr/>
      <dgm:t>
        <a:bodyPr/>
        <a:lstStyle/>
        <a:p>
          <a:endParaRPr lang="ru-RU"/>
        </a:p>
      </dgm:t>
    </dgm:pt>
    <dgm:pt modelId="{9E83596A-F241-4221-A930-036FCD108BD1}" type="sibTrans" cxnId="{B209622E-F2AE-409F-B5E4-3253C0201352}">
      <dgm:prSet/>
      <dgm:spPr/>
      <dgm:t>
        <a:bodyPr/>
        <a:lstStyle/>
        <a:p>
          <a:endParaRPr lang="ru-RU"/>
        </a:p>
      </dgm:t>
    </dgm:pt>
    <dgm:pt modelId="{BB476F8D-D8E6-4A13-87A4-737C8FAC8591}">
      <dgm:prSet/>
      <dgm:spPr>
        <a:xfrm>
          <a:off x="2853303" y="1542877"/>
          <a:ext cx="2202060" cy="1321236"/>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6CBD90F8-010C-4644-BD4A-0765E0D6EDD2}" type="parTrans" cxnId="{BA812CFB-589D-4926-90F2-DFC5CDA79DD4}">
      <dgm:prSet/>
      <dgm:spPr/>
      <dgm:t>
        <a:bodyPr/>
        <a:lstStyle/>
        <a:p>
          <a:endParaRPr lang="ru-RU"/>
        </a:p>
      </dgm:t>
    </dgm:pt>
    <dgm:pt modelId="{370E4F8A-FAAB-413C-9279-37BE47157ADB}" type="sibTrans" cxnId="{BA812CFB-589D-4926-90F2-DFC5CDA79DD4}">
      <dgm:prSet/>
      <dgm:spPr/>
      <dgm:t>
        <a:bodyPr/>
        <a:lstStyle/>
        <a:p>
          <a:endParaRPr lang="ru-RU"/>
        </a:p>
      </dgm:t>
    </dgm:pt>
    <dgm:pt modelId="{DF5F754A-F922-46FF-83C7-954E19906C68}" type="pres">
      <dgm:prSet presAssocID="{1A7DCD40-9057-46E6-88BB-DEA76D397814}" presName="diagram" presStyleCnt="0">
        <dgm:presLayoutVars>
          <dgm:dir/>
          <dgm:resizeHandles val="exact"/>
        </dgm:presLayoutVars>
      </dgm:prSet>
      <dgm:spPr/>
      <dgm:t>
        <a:bodyPr/>
        <a:lstStyle/>
        <a:p>
          <a:endParaRPr lang="ru-RU"/>
        </a:p>
      </dgm:t>
    </dgm:pt>
    <dgm:pt modelId="{76B3D0F7-CB0F-4722-B869-9780A77212CE}" type="pres">
      <dgm:prSet presAssocID="{F9F2044A-4734-416C-97C1-6241A2751D4D}" presName="node" presStyleLbl="node1" presStyleIdx="0" presStyleCnt="4">
        <dgm:presLayoutVars>
          <dgm:bulletEnabled val="1"/>
        </dgm:presLayoutVars>
      </dgm:prSet>
      <dgm:spPr>
        <a:prstGeom prst="rect">
          <a:avLst/>
        </a:prstGeom>
      </dgm:spPr>
      <dgm:t>
        <a:bodyPr/>
        <a:lstStyle/>
        <a:p>
          <a:endParaRPr lang="ru-RU"/>
        </a:p>
      </dgm:t>
    </dgm:pt>
    <dgm:pt modelId="{8D3EE095-8D08-46CC-BC3D-98538254969D}" type="pres">
      <dgm:prSet presAssocID="{A6DDB695-9662-413E-BA8B-04FAC2B2B411}" presName="sibTrans" presStyleCnt="0"/>
      <dgm:spPr/>
    </dgm:pt>
    <dgm:pt modelId="{2DDBE040-1BC6-459C-BD72-4674BD134636}" type="pres">
      <dgm:prSet presAssocID="{00790327-5195-4192-9A36-6A6CFBB631EC}" presName="node" presStyleLbl="node1" presStyleIdx="1" presStyleCnt="4">
        <dgm:presLayoutVars>
          <dgm:bulletEnabled val="1"/>
        </dgm:presLayoutVars>
      </dgm:prSet>
      <dgm:spPr>
        <a:prstGeom prst="rect">
          <a:avLst/>
        </a:prstGeom>
      </dgm:spPr>
      <dgm:t>
        <a:bodyPr/>
        <a:lstStyle/>
        <a:p>
          <a:endParaRPr lang="ru-RU"/>
        </a:p>
      </dgm:t>
    </dgm:pt>
    <dgm:pt modelId="{45A6B163-053D-407E-B424-DD378A2DC048}" type="pres">
      <dgm:prSet presAssocID="{ABAC1B4D-F7A9-4DB7-97A6-2D41E4C0D7C6}" presName="sibTrans" presStyleCnt="0"/>
      <dgm:spPr/>
    </dgm:pt>
    <dgm:pt modelId="{322B89D2-96FF-4F26-AAF9-52A9F98DFD96}" type="pres">
      <dgm:prSet presAssocID="{44C1547B-3083-45D4-8B6D-620A42FAF214}" presName="node" presStyleLbl="node1" presStyleIdx="2" presStyleCnt="4">
        <dgm:presLayoutVars>
          <dgm:bulletEnabled val="1"/>
        </dgm:presLayoutVars>
      </dgm:prSet>
      <dgm:spPr>
        <a:prstGeom prst="rect">
          <a:avLst/>
        </a:prstGeom>
      </dgm:spPr>
      <dgm:t>
        <a:bodyPr/>
        <a:lstStyle/>
        <a:p>
          <a:endParaRPr lang="ru-RU"/>
        </a:p>
      </dgm:t>
    </dgm:pt>
    <dgm:pt modelId="{619918B2-C06A-4668-8E5B-B074F88682D0}" type="pres">
      <dgm:prSet presAssocID="{9E83596A-F241-4221-A930-036FCD108BD1}" presName="sibTrans" presStyleCnt="0"/>
      <dgm:spPr/>
    </dgm:pt>
    <dgm:pt modelId="{9CB9A3D9-9BFB-46A4-81CE-1680423DBECA}" type="pres">
      <dgm:prSet presAssocID="{BB476F8D-D8E6-4A13-87A4-737C8FAC8591}" presName="node" presStyleLbl="node1" presStyleIdx="3" presStyleCnt="4">
        <dgm:presLayoutVars>
          <dgm:bulletEnabled val="1"/>
        </dgm:presLayoutVars>
      </dgm:prSet>
      <dgm:spPr>
        <a:prstGeom prst="rect">
          <a:avLst/>
        </a:prstGeom>
      </dgm:spPr>
      <dgm:t>
        <a:bodyPr/>
        <a:lstStyle/>
        <a:p>
          <a:endParaRPr lang="ru-RU"/>
        </a:p>
      </dgm:t>
    </dgm:pt>
  </dgm:ptLst>
  <dgm:cxnLst>
    <dgm:cxn modelId="{E4F5AB47-3921-41D5-99CB-926956D43341}" type="presOf" srcId="{F9F2044A-4734-416C-97C1-6241A2751D4D}" destId="{76B3D0F7-CB0F-4722-B869-9780A77212CE}" srcOrd="0" destOrd="0" presId="urn:microsoft.com/office/officeart/2005/8/layout/default"/>
    <dgm:cxn modelId="{BA812CFB-589D-4926-90F2-DFC5CDA79DD4}" srcId="{1A7DCD40-9057-46E6-88BB-DEA76D397814}" destId="{BB476F8D-D8E6-4A13-87A4-737C8FAC8591}" srcOrd="3" destOrd="0" parTransId="{6CBD90F8-010C-4644-BD4A-0765E0D6EDD2}" sibTransId="{370E4F8A-FAAB-413C-9279-37BE47157ADB}"/>
    <dgm:cxn modelId="{B209622E-F2AE-409F-B5E4-3253C0201352}" srcId="{1A7DCD40-9057-46E6-88BB-DEA76D397814}" destId="{44C1547B-3083-45D4-8B6D-620A42FAF214}" srcOrd="2" destOrd="0" parTransId="{BD10FF83-441E-4A0C-8AE8-DD17E09FC2E0}" sibTransId="{9E83596A-F241-4221-A930-036FCD108BD1}"/>
    <dgm:cxn modelId="{5806379F-2217-43D5-ABA0-026542329BCA}" type="presOf" srcId="{44C1547B-3083-45D4-8B6D-620A42FAF214}" destId="{322B89D2-96FF-4F26-AAF9-52A9F98DFD96}" srcOrd="0" destOrd="0" presId="urn:microsoft.com/office/officeart/2005/8/layout/default"/>
    <dgm:cxn modelId="{E785F3B6-8957-4AE9-8308-A4F626075942}" type="presOf" srcId="{1A7DCD40-9057-46E6-88BB-DEA76D397814}" destId="{DF5F754A-F922-46FF-83C7-954E19906C68}" srcOrd="0" destOrd="0" presId="urn:microsoft.com/office/officeart/2005/8/layout/default"/>
    <dgm:cxn modelId="{ED2C7527-586E-473E-A13A-BE956AD3BA91}" type="presOf" srcId="{00790327-5195-4192-9A36-6A6CFBB631EC}" destId="{2DDBE040-1BC6-459C-BD72-4674BD134636}" srcOrd="0" destOrd="0" presId="urn:microsoft.com/office/officeart/2005/8/layout/default"/>
    <dgm:cxn modelId="{E82F9C76-3B80-4EA3-BD5F-3F21FB7C3EDF}" srcId="{1A7DCD40-9057-46E6-88BB-DEA76D397814}" destId="{F9F2044A-4734-416C-97C1-6241A2751D4D}" srcOrd="0" destOrd="0" parTransId="{224E9AB4-BCE1-4064-BDE0-1404833DD280}" sibTransId="{A6DDB695-9662-413E-BA8B-04FAC2B2B411}"/>
    <dgm:cxn modelId="{7A0DAD0C-470B-4A9B-813D-7D233F3FD84A}" type="presOf" srcId="{BB476F8D-D8E6-4A13-87A4-737C8FAC8591}" destId="{9CB9A3D9-9BFB-46A4-81CE-1680423DBECA}" srcOrd="0" destOrd="0" presId="urn:microsoft.com/office/officeart/2005/8/layout/default"/>
    <dgm:cxn modelId="{5CBEEC62-71F5-4170-8986-B5AACC6472C5}" srcId="{1A7DCD40-9057-46E6-88BB-DEA76D397814}" destId="{00790327-5195-4192-9A36-6A6CFBB631EC}" srcOrd="1" destOrd="0" parTransId="{E56F43D7-49AC-494C-BE62-2EDCB64E1F8A}" sibTransId="{ABAC1B4D-F7A9-4DB7-97A6-2D41E4C0D7C6}"/>
    <dgm:cxn modelId="{16250D2D-BA6D-4A47-89EB-C12F0F4F11A9}" type="presParOf" srcId="{DF5F754A-F922-46FF-83C7-954E19906C68}" destId="{76B3D0F7-CB0F-4722-B869-9780A77212CE}" srcOrd="0" destOrd="0" presId="urn:microsoft.com/office/officeart/2005/8/layout/default"/>
    <dgm:cxn modelId="{7694E4E6-5F82-4F72-9008-F9F8DB49B157}" type="presParOf" srcId="{DF5F754A-F922-46FF-83C7-954E19906C68}" destId="{8D3EE095-8D08-46CC-BC3D-98538254969D}" srcOrd="1" destOrd="0" presId="urn:microsoft.com/office/officeart/2005/8/layout/default"/>
    <dgm:cxn modelId="{B494D317-3D3A-467C-8E96-DFD2B91D1C66}" type="presParOf" srcId="{DF5F754A-F922-46FF-83C7-954E19906C68}" destId="{2DDBE040-1BC6-459C-BD72-4674BD134636}" srcOrd="2" destOrd="0" presId="urn:microsoft.com/office/officeart/2005/8/layout/default"/>
    <dgm:cxn modelId="{A1398167-86A2-4541-B123-E076AC48F24B}" type="presParOf" srcId="{DF5F754A-F922-46FF-83C7-954E19906C68}" destId="{45A6B163-053D-407E-B424-DD378A2DC048}" srcOrd="3" destOrd="0" presId="urn:microsoft.com/office/officeart/2005/8/layout/default"/>
    <dgm:cxn modelId="{940A1CF7-8FE2-4E9A-8B9D-5B1766FC7B7A}" type="presParOf" srcId="{DF5F754A-F922-46FF-83C7-954E19906C68}" destId="{322B89D2-96FF-4F26-AAF9-52A9F98DFD96}" srcOrd="4" destOrd="0" presId="urn:microsoft.com/office/officeart/2005/8/layout/default"/>
    <dgm:cxn modelId="{64622FE1-4056-4512-878B-AB63B3DF464B}" type="presParOf" srcId="{DF5F754A-F922-46FF-83C7-954E19906C68}" destId="{619918B2-C06A-4668-8E5B-B074F88682D0}" srcOrd="5" destOrd="0" presId="urn:microsoft.com/office/officeart/2005/8/layout/default"/>
    <dgm:cxn modelId="{21F026F6-7AC3-480D-8D61-677ACCD5B2A6}" type="presParOf" srcId="{DF5F754A-F922-46FF-83C7-954E19906C68}" destId="{9CB9A3D9-9BFB-46A4-81CE-1680423DBECA}" srcOrd="6" destOrd="0" presId="urn:microsoft.com/office/officeart/2005/8/layout/default"/>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38F6832-C9E5-4119-89B4-8780FA5E95D8}"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D6601EBD-789A-4CF7-ABE2-58BADE69FBE0}">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E08F7AEB-7FCD-470E-B2F9-E4C31140EA07}" type="parTrans" cxnId="{0B6D7C12-7995-49FB-9F08-FA2ED4D67C50}">
      <dgm:prSet/>
      <dgm:spPr/>
      <dgm:t>
        <a:bodyPr/>
        <a:lstStyle/>
        <a:p>
          <a:endParaRPr lang="ru-RU"/>
        </a:p>
      </dgm:t>
    </dgm:pt>
    <dgm:pt modelId="{085A3516-8895-49CE-B5A2-FB4298653E70}" type="sibTrans" cxnId="{0B6D7C12-7995-49FB-9F08-FA2ED4D67C50}">
      <dgm:prSet/>
      <dgm:spPr/>
      <dgm:t>
        <a:bodyPr/>
        <a:lstStyle/>
        <a:p>
          <a:endParaRPr lang="ru-RU"/>
        </a:p>
      </dgm:t>
    </dgm:pt>
    <dgm:pt modelId="{C8F60DDD-D492-4F28-AC39-89A1B062526E}">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0C34DAD0-4C4D-4A6A-AB4C-0DFC2D2C849C}" type="parTrans" cxnId="{6ED0C3AF-88BC-4B36-AF3A-F4003FCA1230}">
      <dgm:prSet/>
      <dgm:spPr/>
      <dgm:t>
        <a:bodyPr/>
        <a:lstStyle/>
        <a:p>
          <a:endParaRPr lang="ru-RU"/>
        </a:p>
      </dgm:t>
    </dgm:pt>
    <dgm:pt modelId="{8AAE249D-9A85-4F44-ABFF-F8D1F7BCD59B}" type="sibTrans" cxnId="{6ED0C3AF-88BC-4B36-AF3A-F4003FCA1230}">
      <dgm:prSet/>
      <dgm:spPr/>
      <dgm:t>
        <a:bodyPr/>
        <a:lstStyle/>
        <a:p>
          <a:endParaRPr lang="ru-RU"/>
        </a:p>
      </dgm:t>
    </dgm:pt>
    <dgm:pt modelId="{4DBFBA7D-C1BF-41B9-9015-6BAAC469836A}">
      <dgm:prSet phldrT="[Текст]"/>
      <dgm:spPr>
        <a:xfrm>
          <a:off x="151358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7E2B251E-4C3E-447B-810B-1BCFFE735166}" type="parTrans" cxnId="{834044CB-B246-4E49-8F39-16638BA297BA}">
      <dgm:prSet/>
      <dgm:spPr/>
      <dgm:t>
        <a:bodyPr/>
        <a:lstStyle/>
        <a:p>
          <a:endParaRPr lang="ru-RU"/>
        </a:p>
      </dgm:t>
    </dgm:pt>
    <dgm:pt modelId="{352EC458-0C6F-4581-8840-ABC87383F37F}" type="sibTrans" cxnId="{834044CB-B246-4E49-8F39-16638BA297BA}">
      <dgm:prSet/>
      <dgm:spPr/>
      <dgm:t>
        <a:bodyPr/>
        <a:lstStyle/>
        <a:p>
          <a:endParaRPr lang="ru-RU"/>
        </a:p>
      </dgm:t>
    </dgm:pt>
    <dgm:pt modelId="{08D0658F-6520-4BAA-882D-29A55541658F}" type="pres">
      <dgm:prSet presAssocID="{338F6832-C9E5-4119-89B4-8780FA5E95D8}" presName="diagram" presStyleCnt="0">
        <dgm:presLayoutVars>
          <dgm:dir/>
          <dgm:resizeHandles val="exact"/>
        </dgm:presLayoutVars>
      </dgm:prSet>
      <dgm:spPr/>
      <dgm:t>
        <a:bodyPr/>
        <a:lstStyle/>
        <a:p>
          <a:endParaRPr lang="ru-RU"/>
        </a:p>
      </dgm:t>
    </dgm:pt>
    <dgm:pt modelId="{E83092F6-2D10-418C-BE87-C3C3084F35AD}" type="pres">
      <dgm:prSet presAssocID="{D6601EBD-789A-4CF7-ABE2-58BADE69FBE0}" presName="node" presStyleLbl="node1" presStyleIdx="0" presStyleCnt="3">
        <dgm:presLayoutVars>
          <dgm:bulletEnabled val="1"/>
        </dgm:presLayoutVars>
      </dgm:prSet>
      <dgm:spPr>
        <a:prstGeom prst="rect">
          <a:avLst/>
        </a:prstGeom>
      </dgm:spPr>
      <dgm:t>
        <a:bodyPr/>
        <a:lstStyle/>
        <a:p>
          <a:endParaRPr lang="ru-RU"/>
        </a:p>
      </dgm:t>
    </dgm:pt>
    <dgm:pt modelId="{3B498ABE-5618-43AF-AFED-894F3344A059}" type="pres">
      <dgm:prSet presAssocID="{085A3516-8895-49CE-B5A2-FB4298653E70}" presName="sibTrans" presStyleCnt="0"/>
      <dgm:spPr/>
    </dgm:pt>
    <dgm:pt modelId="{57679520-E1EA-42E0-897C-C0195BED761D}" type="pres">
      <dgm:prSet presAssocID="{C8F60DDD-D492-4F28-AC39-89A1B062526E}" presName="node" presStyleLbl="node1" presStyleIdx="1" presStyleCnt="3">
        <dgm:presLayoutVars>
          <dgm:bulletEnabled val="1"/>
        </dgm:presLayoutVars>
      </dgm:prSet>
      <dgm:spPr>
        <a:prstGeom prst="rect">
          <a:avLst/>
        </a:prstGeom>
      </dgm:spPr>
      <dgm:t>
        <a:bodyPr/>
        <a:lstStyle/>
        <a:p>
          <a:endParaRPr lang="ru-RU"/>
        </a:p>
      </dgm:t>
    </dgm:pt>
    <dgm:pt modelId="{54074AB7-9748-4657-8D31-363D1CA2B97D}" type="pres">
      <dgm:prSet presAssocID="{8AAE249D-9A85-4F44-ABFF-F8D1F7BCD59B}" presName="sibTrans" presStyleCnt="0"/>
      <dgm:spPr/>
    </dgm:pt>
    <dgm:pt modelId="{72474F24-CC88-4677-B48A-C72A6D5D4933}" type="pres">
      <dgm:prSet presAssocID="{4DBFBA7D-C1BF-41B9-9015-6BAAC469836A}" presName="node" presStyleLbl="node1" presStyleIdx="2" presStyleCnt="3">
        <dgm:presLayoutVars>
          <dgm:bulletEnabled val="1"/>
        </dgm:presLayoutVars>
      </dgm:prSet>
      <dgm:spPr>
        <a:prstGeom prst="rect">
          <a:avLst/>
        </a:prstGeom>
      </dgm:spPr>
      <dgm:t>
        <a:bodyPr/>
        <a:lstStyle/>
        <a:p>
          <a:endParaRPr lang="ru-RU"/>
        </a:p>
      </dgm:t>
    </dgm:pt>
  </dgm:ptLst>
  <dgm:cxnLst>
    <dgm:cxn modelId="{15F83572-B41C-42B6-B8B1-6D739736B1D9}" type="presOf" srcId="{C8F60DDD-D492-4F28-AC39-89A1B062526E}" destId="{57679520-E1EA-42E0-897C-C0195BED761D}" srcOrd="0" destOrd="0" presId="urn:microsoft.com/office/officeart/2005/8/layout/default"/>
    <dgm:cxn modelId="{D1C0F020-4835-49F0-A11F-65C9ED474152}" type="presOf" srcId="{D6601EBD-789A-4CF7-ABE2-58BADE69FBE0}" destId="{E83092F6-2D10-418C-BE87-C3C3084F35AD}" srcOrd="0" destOrd="0" presId="urn:microsoft.com/office/officeart/2005/8/layout/default"/>
    <dgm:cxn modelId="{6ED0C3AF-88BC-4B36-AF3A-F4003FCA1230}" srcId="{338F6832-C9E5-4119-89B4-8780FA5E95D8}" destId="{C8F60DDD-D492-4F28-AC39-89A1B062526E}" srcOrd="1" destOrd="0" parTransId="{0C34DAD0-4C4D-4A6A-AB4C-0DFC2D2C849C}" sibTransId="{8AAE249D-9A85-4F44-ABFF-F8D1F7BCD59B}"/>
    <dgm:cxn modelId="{0B6D7C12-7995-49FB-9F08-FA2ED4D67C50}" srcId="{338F6832-C9E5-4119-89B4-8780FA5E95D8}" destId="{D6601EBD-789A-4CF7-ABE2-58BADE69FBE0}" srcOrd="0" destOrd="0" parTransId="{E08F7AEB-7FCD-470E-B2F9-E4C31140EA07}" sibTransId="{085A3516-8895-49CE-B5A2-FB4298653E70}"/>
    <dgm:cxn modelId="{834044CB-B246-4E49-8F39-16638BA297BA}" srcId="{338F6832-C9E5-4119-89B4-8780FA5E95D8}" destId="{4DBFBA7D-C1BF-41B9-9015-6BAAC469836A}" srcOrd="2" destOrd="0" parTransId="{7E2B251E-4C3E-447B-810B-1BCFFE735166}" sibTransId="{352EC458-0C6F-4581-8840-ABC87383F37F}"/>
    <dgm:cxn modelId="{1594B020-FBFF-4FB4-A2BC-45AC1F3296A1}" type="presOf" srcId="{4DBFBA7D-C1BF-41B9-9015-6BAAC469836A}" destId="{72474F24-CC88-4677-B48A-C72A6D5D4933}" srcOrd="0" destOrd="0" presId="urn:microsoft.com/office/officeart/2005/8/layout/default"/>
    <dgm:cxn modelId="{3E5B14EC-04AD-4172-94CA-B459041DC657}" type="presOf" srcId="{338F6832-C9E5-4119-89B4-8780FA5E95D8}" destId="{08D0658F-6520-4BAA-882D-29A55541658F}" srcOrd="0" destOrd="0" presId="urn:microsoft.com/office/officeart/2005/8/layout/default"/>
    <dgm:cxn modelId="{D78C8C58-57A8-497D-A3F0-F5CAAEAE3194}" type="presParOf" srcId="{08D0658F-6520-4BAA-882D-29A55541658F}" destId="{E83092F6-2D10-418C-BE87-C3C3084F35AD}" srcOrd="0" destOrd="0" presId="urn:microsoft.com/office/officeart/2005/8/layout/default"/>
    <dgm:cxn modelId="{36707410-E80D-46F3-BBD2-B2CA9A18AA46}" type="presParOf" srcId="{08D0658F-6520-4BAA-882D-29A55541658F}" destId="{3B498ABE-5618-43AF-AFED-894F3344A059}" srcOrd="1" destOrd="0" presId="urn:microsoft.com/office/officeart/2005/8/layout/default"/>
    <dgm:cxn modelId="{092AA374-6A02-40C5-9098-D86E82F41B19}" type="presParOf" srcId="{08D0658F-6520-4BAA-882D-29A55541658F}" destId="{57679520-E1EA-42E0-897C-C0195BED761D}" srcOrd="2" destOrd="0" presId="urn:microsoft.com/office/officeart/2005/8/layout/default"/>
    <dgm:cxn modelId="{E4955596-0835-4AD1-B015-4EAF86315F13}" type="presParOf" srcId="{08D0658F-6520-4BAA-882D-29A55541658F}" destId="{54074AB7-9748-4657-8D31-363D1CA2B97D}" srcOrd="3" destOrd="0" presId="urn:microsoft.com/office/officeart/2005/8/layout/default"/>
    <dgm:cxn modelId="{1C484617-EBC7-4F00-ABE9-2B9EEA72DB3E}" type="presParOf" srcId="{08D0658F-6520-4BAA-882D-29A55541658F}" destId="{72474F24-CC88-4677-B48A-C72A6D5D4933}" srcOrd="4" destOrd="0" presId="urn:microsoft.com/office/officeart/2005/8/layout/default"/>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1D03AA0-1B7C-4D97-8649-3ED9D85B52FF}" type="doc">
      <dgm:prSet loTypeId="urn:microsoft.com/office/officeart/2005/8/layout/default" loCatId="list" qsTypeId="urn:microsoft.com/office/officeart/2005/8/quickstyle/simple4" qsCatId="simple" csTypeId="urn:microsoft.com/office/officeart/2005/8/colors/accent1_2" csCatId="accent1" phldr="1"/>
      <dgm:spPr/>
      <dgm:t>
        <a:bodyPr/>
        <a:lstStyle/>
        <a:p>
          <a:endParaRPr lang="ru-RU"/>
        </a:p>
      </dgm:t>
    </dgm:pt>
    <dgm:pt modelId="{85CC4BCD-9E65-4F90-8E9A-AF8B20B0EE34}">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20E8A4FE-5A67-4026-8887-4F599B630B26}" type="parTrans" cxnId="{71D63F57-2E35-46CA-82EC-C831D3A42FF2}">
      <dgm:prSet/>
      <dgm:spPr/>
      <dgm:t>
        <a:bodyPr/>
        <a:lstStyle/>
        <a:p>
          <a:endParaRPr lang="ru-RU"/>
        </a:p>
      </dgm:t>
    </dgm:pt>
    <dgm:pt modelId="{0EFC8EC3-2962-4A2C-BAF9-63EC5CD911F2}" type="sibTrans" cxnId="{71D63F57-2E35-46CA-82EC-C831D3A42FF2}">
      <dgm:prSet/>
      <dgm:spPr/>
      <dgm:t>
        <a:bodyPr/>
        <a:lstStyle/>
        <a:p>
          <a:endParaRPr lang="ru-RU"/>
        </a:p>
      </dgm:t>
    </dgm:pt>
    <dgm:pt modelId="{ACCDC1EB-F741-4599-8D2B-53F3CC29A7ED}">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F372E0E1-C286-4B3D-B99C-AB07AF1516B1}" type="parTrans" cxnId="{4BAB2D28-EC14-4144-ABB3-A8D3F2CDB83C}">
      <dgm:prSet/>
      <dgm:spPr/>
      <dgm:t>
        <a:bodyPr/>
        <a:lstStyle/>
        <a:p>
          <a:endParaRPr lang="ru-RU"/>
        </a:p>
      </dgm:t>
    </dgm:pt>
    <dgm:pt modelId="{A9E7A883-406E-48AA-AEE1-DE267099D2DD}" type="sibTrans" cxnId="{4BAB2D28-EC14-4144-ABB3-A8D3F2CDB83C}">
      <dgm:prSet/>
      <dgm:spPr/>
      <dgm:t>
        <a:bodyPr/>
        <a:lstStyle/>
        <a:p>
          <a:endParaRPr lang="ru-RU"/>
        </a:p>
      </dgm:t>
    </dgm:pt>
    <dgm:pt modelId="{ED8B1F0B-39B2-4AC8-9A9D-E12061AB6C47}">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5FC9D3C2-A15F-4111-B554-424A90A9701C}" type="parTrans" cxnId="{98DEEFFD-BE6C-4EF8-948D-7B14BB0A9CAF}">
      <dgm:prSet/>
      <dgm:spPr/>
      <dgm:t>
        <a:bodyPr/>
        <a:lstStyle/>
        <a:p>
          <a:endParaRPr lang="ru-RU"/>
        </a:p>
      </dgm:t>
    </dgm:pt>
    <dgm:pt modelId="{C23F3894-7B71-455D-8034-7E1FAC1275DD}" type="sibTrans" cxnId="{98DEEFFD-BE6C-4EF8-948D-7B14BB0A9CAF}">
      <dgm:prSet/>
      <dgm:spPr/>
      <dgm:t>
        <a:bodyPr/>
        <a:lstStyle/>
        <a:p>
          <a:endParaRPr lang="ru-RU"/>
        </a:p>
      </dgm:t>
    </dgm:pt>
    <dgm:pt modelId="{45C91333-16BE-44C6-91D6-B954B9EE54C6}">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1F95A571-9250-43A3-A0ED-2BBBDF4047F9}" type="parTrans" cxnId="{1E2E459E-A3F1-45DD-9BD6-E54527A32B80}">
      <dgm:prSet/>
      <dgm:spPr/>
      <dgm:t>
        <a:bodyPr/>
        <a:lstStyle/>
        <a:p>
          <a:endParaRPr lang="ru-RU"/>
        </a:p>
      </dgm:t>
    </dgm:pt>
    <dgm:pt modelId="{DA3E986F-E688-432A-A310-7D5B2C6B52A0}" type="sibTrans" cxnId="{1E2E459E-A3F1-45DD-9BD6-E54527A32B80}">
      <dgm:prSet/>
      <dgm:spPr/>
      <dgm:t>
        <a:bodyPr/>
        <a:lstStyle/>
        <a:p>
          <a:endParaRPr lang="ru-RU"/>
        </a:p>
      </dgm:t>
    </dgm:pt>
    <dgm:pt modelId="{6090CC02-5A21-4B89-B9FE-B36D762C6E9A}" type="pres">
      <dgm:prSet presAssocID="{01D03AA0-1B7C-4D97-8649-3ED9D85B52FF}" presName="diagram" presStyleCnt="0">
        <dgm:presLayoutVars>
          <dgm:dir/>
          <dgm:resizeHandles val="exact"/>
        </dgm:presLayoutVars>
      </dgm:prSet>
      <dgm:spPr/>
      <dgm:t>
        <a:bodyPr/>
        <a:lstStyle/>
        <a:p>
          <a:endParaRPr lang="ru-RU"/>
        </a:p>
      </dgm:t>
    </dgm:pt>
    <dgm:pt modelId="{98D3FF30-50CD-4C77-BE10-A40641CB2242}" type="pres">
      <dgm:prSet presAssocID="{85CC4BCD-9E65-4F90-8E9A-AF8B20B0EE34}" presName="node" presStyleLbl="node1" presStyleIdx="0" presStyleCnt="4">
        <dgm:presLayoutVars>
          <dgm:bulletEnabled val="1"/>
        </dgm:presLayoutVars>
      </dgm:prSet>
      <dgm:spPr>
        <a:prstGeom prst="rect">
          <a:avLst/>
        </a:prstGeom>
      </dgm:spPr>
      <dgm:t>
        <a:bodyPr/>
        <a:lstStyle/>
        <a:p>
          <a:endParaRPr lang="ru-RU"/>
        </a:p>
      </dgm:t>
    </dgm:pt>
    <dgm:pt modelId="{34080AC5-CA21-4AB6-B543-82B17DEEE81E}" type="pres">
      <dgm:prSet presAssocID="{0EFC8EC3-2962-4A2C-BAF9-63EC5CD911F2}" presName="sibTrans" presStyleCnt="0"/>
      <dgm:spPr/>
    </dgm:pt>
    <dgm:pt modelId="{717A6010-66D6-4744-B5F5-1DE264EC162A}" type="pres">
      <dgm:prSet presAssocID="{ACCDC1EB-F741-4599-8D2B-53F3CC29A7ED}" presName="node" presStyleLbl="node1" presStyleIdx="1" presStyleCnt="4">
        <dgm:presLayoutVars>
          <dgm:bulletEnabled val="1"/>
        </dgm:presLayoutVars>
      </dgm:prSet>
      <dgm:spPr>
        <a:prstGeom prst="rect">
          <a:avLst/>
        </a:prstGeom>
      </dgm:spPr>
      <dgm:t>
        <a:bodyPr/>
        <a:lstStyle/>
        <a:p>
          <a:endParaRPr lang="ru-RU"/>
        </a:p>
      </dgm:t>
    </dgm:pt>
    <dgm:pt modelId="{271E823A-8DDD-4862-A16A-6A593403D166}" type="pres">
      <dgm:prSet presAssocID="{A9E7A883-406E-48AA-AEE1-DE267099D2DD}" presName="sibTrans" presStyleCnt="0"/>
      <dgm:spPr/>
    </dgm:pt>
    <dgm:pt modelId="{D454588D-C816-489F-8EB5-984BF3D3C4D5}" type="pres">
      <dgm:prSet presAssocID="{ED8B1F0B-39B2-4AC8-9A9D-E12061AB6C47}" presName="node" presStyleLbl="node1" presStyleIdx="2" presStyleCnt="4">
        <dgm:presLayoutVars>
          <dgm:bulletEnabled val="1"/>
        </dgm:presLayoutVars>
      </dgm:prSet>
      <dgm:spPr>
        <a:prstGeom prst="rect">
          <a:avLst/>
        </a:prstGeom>
      </dgm:spPr>
      <dgm:t>
        <a:bodyPr/>
        <a:lstStyle/>
        <a:p>
          <a:endParaRPr lang="ru-RU"/>
        </a:p>
      </dgm:t>
    </dgm:pt>
    <dgm:pt modelId="{D81240D6-47A5-4724-8319-A3D44DB6663E}" type="pres">
      <dgm:prSet presAssocID="{C23F3894-7B71-455D-8034-7E1FAC1275DD}" presName="sibTrans" presStyleCnt="0"/>
      <dgm:spPr/>
    </dgm:pt>
    <dgm:pt modelId="{0ED16B8A-6C1F-43E0-A2B3-A15F5B45B1B5}" type="pres">
      <dgm:prSet presAssocID="{45C91333-16BE-44C6-91D6-B954B9EE54C6}" presName="node" presStyleLbl="node1" presStyleIdx="3" presStyleCnt="4">
        <dgm:presLayoutVars>
          <dgm:bulletEnabled val="1"/>
        </dgm:presLayoutVars>
      </dgm:prSet>
      <dgm:spPr>
        <a:prstGeom prst="rect">
          <a:avLst/>
        </a:prstGeom>
      </dgm:spPr>
      <dgm:t>
        <a:bodyPr/>
        <a:lstStyle/>
        <a:p>
          <a:endParaRPr lang="ru-RU"/>
        </a:p>
      </dgm:t>
    </dgm:pt>
  </dgm:ptLst>
  <dgm:cxnLst>
    <dgm:cxn modelId="{68593D77-E7AA-4CAD-8C32-30E572981DE7}" type="presOf" srcId="{01D03AA0-1B7C-4D97-8649-3ED9D85B52FF}" destId="{6090CC02-5A21-4B89-B9FE-B36D762C6E9A}" srcOrd="0" destOrd="0" presId="urn:microsoft.com/office/officeart/2005/8/layout/default"/>
    <dgm:cxn modelId="{7A2C5C53-33D4-43B9-A4C4-4D19F87ABCBA}" type="presOf" srcId="{85CC4BCD-9E65-4F90-8E9A-AF8B20B0EE34}" destId="{98D3FF30-50CD-4C77-BE10-A40641CB2242}" srcOrd="0" destOrd="0" presId="urn:microsoft.com/office/officeart/2005/8/layout/default"/>
    <dgm:cxn modelId="{6B5C36D6-46D4-48D6-909F-B5481954292A}" type="presOf" srcId="{ACCDC1EB-F741-4599-8D2B-53F3CC29A7ED}" destId="{717A6010-66D6-4744-B5F5-1DE264EC162A}" srcOrd="0" destOrd="0" presId="urn:microsoft.com/office/officeart/2005/8/layout/default"/>
    <dgm:cxn modelId="{A3FB9C0D-C5E4-4AD9-8DC2-C538CE3DB3C8}" type="presOf" srcId="{ED8B1F0B-39B2-4AC8-9A9D-E12061AB6C47}" destId="{D454588D-C816-489F-8EB5-984BF3D3C4D5}" srcOrd="0" destOrd="0" presId="urn:microsoft.com/office/officeart/2005/8/layout/default"/>
    <dgm:cxn modelId="{71D63F57-2E35-46CA-82EC-C831D3A42FF2}" srcId="{01D03AA0-1B7C-4D97-8649-3ED9D85B52FF}" destId="{85CC4BCD-9E65-4F90-8E9A-AF8B20B0EE34}" srcOrd="0" destOrd="0" parTransId="{20E8A4FE-5A67-4026-8887-4F599B630B26}" sibTransId="{0EFC8EC3-2962-4A2C-BAF9-63EC5CD911F2}"/>
    <dgm:cxn modelId="{786020C3-27FF-482B-96F9-CD8D11767D1D}" type="presOf" srcId="{45C91333-16BE-44C6-91D6-B954B9EE54C6}" destId="{0ED16B8A-6C1F-43E0-A2B3-A15F5B45B1B5}" srcOrd="0" destOrd="0" presId="urn:microsoft.com/office/officeart/2005/8/layout/default"/>
    <dgm:cxn modelId="{98DEEFFD-BE6C-4EF8-948D-7B14BB0A9CAF}" srcId="{01D03AA0-1B7C-4D97-8649-3ED9D85B52FF}" destId="{ED8B1F0B-39B2-4AC8-9A9D-E12061AB6C47}" srcOrd="2" destOrd="0" parTransId="{5FC9D3C2-A15F-4111-B554-424A90A9701C}" sibTransId="{C23F3894-7B71-455D-8034-7E1FAC1275DD}"/>
    <dgm:cxn modelId="{4BAB2D28-EC14-4144-ABB3-A8D3F2CDB83C}" srcId="{01D03AA0-1B7C-4D97-8649-3ED9D85B52FF}" destId="{ACCDC1EB-F741-4599-8D2B-53F3CC29A7ED}" srcOrd="1" destOrd="0" parTransId="{F372E0E1-C286-4B3D-B99C-AB07AF1516B1}" sibTransId="{A9E7A883-406E-48AA-AEE1-DE267099D2DD}"/>
    <dgm:cxn modelId="{1E2E459E-A3F1-45DD-9BD6-E54527A32B80}" srcId="{01D03AA0-1B7C-4D97-8649-3ED9D85B52FF}" destId="{45C91333-16BE-44C6-91D6-B954B9EE54C6}" srcOrd="3" destOrd="0" parTransId="{1F95A571-9250-43A3-A0ED-2BBBDF4047F9}" sibTransId="{DA3E986F-E688-432A-A310-7D5B2C6B52A0}"/>
    <dgm:cxn modelId="{01D99D6C-3314-4D7A-8574-A547318ECDFA}" type="presParOf" srcId="{6090CC02-5A21-4B89-B9FE-B36D762C6E9A}" destId="{98D3FF30-50CD-4C77-BE10-A40641CB2242}" srcOrd="0" destOrd="0" presId="urn:microsoft.com/office/officeart/2005/8/layout/default"/>
    <dgm:cxn modelId="{E2095A41-3688-40B3-AC2E-6F931E2F628D}" type="presParOf" srcId="{6090CC02-5A21-4B89-B9FE-B36D762C6E9A}" destId="{34080AC5-CA21-4AB6-B543-82B17DEEE81E}" srcOrd="1" destOrd="0" presId="urn:microsoft.com/office/officeart/2005/8/layout/default"/>
    <dgm:cxn modelId="{57687498-F9DE-4491-9312-BFDFBE74F444}" type="presParOf" srcId="{6090CC02-5A21-4B89-B9FE-B36D762C6E9A}" destId="{717A6010-66D6-4744-B5F5-1DE264EC162A}" srcOrd="2" destOrd="0" presId="urn:microsoft.com/office/officeart/2005/8/layout/default"/>
    <dgm:cxn modelId="{19517F23-5E79-4720-A295-473E980488D9}" type="presParOf" srcId="{6090CC02-5A21-4B89-B9FE-B36D762C6E9A}" destId="{271E823A-8DDD-4862-A16A-6A593403D166}" srcOrd="3" destOrd="0" presId="urn:microsoft.com/office/officeart/2005/8/layout/default"/>
    <dgm:cxn modelId="{02157EAD-5288-48E8-AE39-BABCFE3C8BD4}" type="presParOf" srcId="{6090CC02-5A21-4B89-B9FE-B36D762C6E9A}" destId="{D454588D-C816-489F-8EB5-984BF3D3C4D5}" srcOrd="4" destOrd="0" presId="urn:microsoft.com/office/officeart/2005/8/layout/default"/>
    <dgm:cxn modelId="{449AA646-FA72-4D50-B64C-078AD4652031}" type="presParOf" srcId="{6090CC02-5A21-4B89-B9FE-B36D762C6E9A}" destId="{D81240D6-47A5-4724-8319-A3D44DB6663E}" srcOrd="5" destOrd="0" presId="urn:microsoft.com/office/officeart/2005/8/layout/default"/>
    <dgm:cxn modelId="{1C419504-9A5B-4F5C-B211-4B2EA98775C9}" type="presParOf" srcId="{6090CC02-5A21-4B89-B9FE-B36D762C6E9A}" destId="{0ED16B8A-6C1F-43E0-A2B3-A15F5B45B1B5}" srcOrd="6" destOrd="0" presId="urn:microsoft.com/office/officeart/2005/8/layout/default"/>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700F980-0A1B-4146-82D9-9F12455B91F6}" type="doc">
      <dgm:prSet loTypeId="urn:microsoft.com/office/officeart/2005/8/layout/default" loCatId="list" qsTypeId="urn:microsoft.com/office/officeart/2005/8/quickstyle/simple4" qsCatId="simple" csTypeId="urn:microsoft.com/office/officeart/2005/8/colors/accent1_2" csCatId="accent1" phldr="1"/>
      <dgm:spPr/>
      <dgm:t>
        <a:bodyPr/>
        <a:lstStyle/>
        <a:p>
          <a:endParaRPr lang="ru-RU"/>
        </a:p>
      </dgm:t>
    </dgm:pt>
    <dgm:pt modelId="{EED29458-3B92-4D71-987A-26E8A5D00BD2}">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B3997A6F-15C6-4DAA-989D-D09752DDE983}" type="parTrans" cxnId="{A16E184E-9DDF-4159-8DCA-A7F4B2A7FC26}">
      <dgm:prSet/>
      <dgm:spPr/>
      <dgm:t>
        <a:bodyPr/>
        <a:lstStyle/>
        <a:p>
          <a:endParaRPr lang="ru-RU"/>
        </a:p>
      </dgm:t>
    </dgm:pt>
    <dgm:pt modelId="{05A3A26E-4565-46EF-B21E-A571626F0315}" type="sibTrans" cxnId="{A16E184E-9DDF-4159-8DCA-A7F4B2A7FC26}">
      <dgm:prSet/>
      <dgm:spPr/>
      <dgm:t>
        <a:bodyPr/>
        <a:lstStyle/>
        <a:p>
          <a:endParaRPr lang="ru-RU"/>
        </a:p>
      </dgm:t>
    </dgm:pt>
    <dgm:pt modelId="{8122CFBC-6288-4E3C-8EA2-C9F9D2758CCF}">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530558A0-38EA-450D-A46D-8CF576D70437}" type="parTrans" cxnId="{E08E02D6-AFF5-4AAA-9C1F-EC543C740A0D}">
      <dgm:prSet/>
      <dgm:spPr/>
      <dgm:t>
        <a:bodyPr/>
        <a:lstStyle/>
        <a:p>
          <a:endParaRPr lang="ru-RU"/>
        </a:p>
      </dgm:t>
    </dgm:pt>
    <dgm:pt modelId="{772652AA-0F74-4FB3-95AA-C2BD26996CAA}" type="sibTrans" cxnId="{E08E02D6-AFF5-4AAA-9C1F-EC543C740A0D}">
      <dgm:prSet/>
      <dgm:spPr/>
      <dgm:t>
        <a:bodyPr/>
        <a:lstStyle/>
        <a:p>
          <a:endParaRPr lang="ru-RU"/>
        </a:p>
      </dgm:t>
    </dgm:pt>
    <dgm:pt modelId="{D16F62C6-7C96-4C97-8D58-19E085B1249A}">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9864EB3D-EF8F-4954-886E-9B75E62A5E58}" type="parTrans" cxnId="{491CA641-D2CF-4476-AC72-6229C096725F}">
      <dgm:prSet/>
      <dgm:spPr/>
      <dgm:t>
        <a:bodyPr/>
        <a:lstStyle/>
        <a:p>
          <a:endParaRPr lang="ru-RU"/>
        </a:p>
      </dgm:t>
    </dgm:pt>
    <dgm:pt modelId="{48594E64-3CD0-4EC0-BA69-B1882378D163}" type="sibTrans" cxnId="{491CA641-D2CF-4476-AC72-6229C096725F}">
      <dgm:prSet/>
      <dgm:spPr/>
      <dgm:t>
        <a:bodyPr/>
        <a:lstStyle/>
        <a:p>
          <a:endParaRPr lang="ru-RU"/>
        </a:p>
      </dgm:t>
    </dgm:pt>
    <dgm:pt modelId="{4D49F07A-C457-45A8-9F05-E0E8103B8E7C}">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Times New Roman"/>
            <a:ea typeface="+mn-ea"/>
            <a:cs typeface="+mn-cs"/>
          </a:endParaRPr>
        </a:p>
      </dgm:t>
    </dgm:pt>
    <dgm:pt modelId="{14C2A417-124E-41D8-9A65-E923FEF6EDDD}" type="parTrans" cxnId="{7F286FB1-7982-40E7-B048-9E33A5DACDE6}">
      <dgm:prSet/>
      <dgm:spPr/>
      <dgm:t>
        <a:bodyPr/>
        <a:lstStyle/>
        <a:p>
          <a:endParaRPr lang="ru-RU"/>
        </a:p>
      </dgm:t>
    </dgm:pt>
    <dgm:pt modelId="{90B4BB45-94F9-4056-98BC-6D36DCC975F6}" type="sibTrans" cxnId="{7F286FB1-7982-40E7-B048-9E33A5DACDE6}">
      <dgm:prSet/>
      <dgm:spPr/>
      <dgm:t>
        <a:bodyPr/>
        <a:lstStyle/>
        <a:p>
          <a:endParaRPr lang="ru-RU"/>
        </a:p>
      </dgm:t>
    </dgm:pt>
    <dgm:pt modelId="{4BF9E420-2BC7-4F05-963B-63B883138C0D}" type="pres">
      <dgm:prSet presAssocID="{4700F980-0A1B-4146-82D9-9F12455B91F6}" presName="diagram" presStyleCnt="0">
        <dgm:presLayoutVars>
          <dgm:dir/>
          <dgm:resizeHandles val="exact"/>
        </dgm:presLayoutVars>
      </dgm:prSet>
      <dgm:spPr/>
      <dgm:t>
        <a:bodyPr/>
        <a:lstStyle/>
        <a:p>
          <a:endParaRPr lang="ru-RU"/>
        </a:p>
      </dgm:t>
    </dgm:pt>
    <dgm:pt modelId="{9A0A5ACA-1B68-4556-8DD1-C207A70656DA}" type="pres">
      <dgm:prSet presAssocID="{EED29458-3B92-4D71-987A-26E8A5D00BD2}" presName="node" presStyleLbl="node1" presStyleIdx="0" presStyleCnt="4">
        <dgm:presLayoutVars>
          <dgm:bulletEnabled val="1"/>
        </dgm:presLayoutVars>
      </dgm:prSet>
      <dgm:spPr>
        <a:prstGeom prst="rect">
          <a:avLst/>
        </a:prstGeom>
      </dgm:spPr>
      <dgm:t>
        <a:bodyPr/>
        <a:lstStyle/>
        <a:p>
          <a:endParaRPr lang="ru-RU"/>
        </a:p>
      </dgm:t>
    </dgm:pt>
    <dgm:pt modelId="{0AA91E40-556B-43B0-9D03-086643FB8266}" type="pres">
      <dgm:prSet presAssocID="{05A3A26E-4565-46EF-B21E-A571626F0315}" presName="sibTrans" presStyleCnt="0"/>
      <dgm:spPr/>
    </dgm:pt>
    <dgm:pt modelId="{C9F46C44-1F9D-47AC-8F2C-8EE09B8A54D3}" type="pres">
      <dgm:prSet presAssocID="{8122CFBC-6288-4E3C-8EA2-C9F9D2758CCF}" presName="node" presStyleLbl="node1" presStyleIdx="1" presStyleCnt="4">
        <dgm:presLayoutVars>
          <dgm:bulletEnabled val="1"/>
        </dgm:presLayoutVars>
      </dgm:prSet>
      <dgm:spPr>
        <a:prstGeom prst="rect">
          <a:avLst/>
        </a:prstGeom>
      </dgm:spPr>
      <dgm:t>
        <a:bodyPr/>
        <a:lstStyle/>
        <a:p>
          <a:endParaRPr lang="ru-RU"/>
        </a:p>
      </dgm:t>
    </dgm:pt>
    <dgm:pt modelId="{A9138DED-A39F-4EB1-9250-619434830AD1}" type="pres">
      <dgm:prSet presAssocID="{772652AA-0F74-4FB3-95AA-C2BD26996CAA}" presName="sibTrans" presStyleCnt="0"/>
      <dgm:spPr/>
    </dgm:pt>
    <dgm:pt modelId="{E0E76FB5-33CF-4346-A37B-953F5CF2C9F5}" type="pres">
      <dgm:prSet presAssocID="{D16F62C6-7C96-4C97-8D58-19E085B1249A}" presName="node" presStyleLbl="node1" presStyleIdx="2" presStyleCnt="4">
        <dgm:presLayoutVars>
          <dgm:bulletEnabled val="1"/>
        </dgm:presLayoutVars>
      </dgm:prSet>
      <dgm:spPr>
        <a:prstGeom prst="rect">
          <a:avLst/>
        </a:prstGeom>
      </dgm:spPr>
      <dgm:t>
        <a:bodyPr/>
        <a:lstStyle/>
        <a:p>
          <a:endParaRPr lang="ru-RU"/>
        </a:p>
      </dgm:t>
    </dgm:pt>
    <dgm:pt modelId="{6BFA123C-09DD-45E8-A1D6-A0F3C54DC2A0}" type="pres">
      <dgm:prSet presAssocID="{48594E64-3CD0-4EC0-BA69-B1882378D163}" presName="sibTrans" presStyleCnt="0"/>
      <dgm:spPr/>
    </dgm:pt>
    <dgm:pt modelId="{773B904E-E86F-4F9A-ABF4-2CC48C236A2A}" type="pres">
      <dgm:prSet presAssocID="{4D49F07A-C457-45A8-9F05-E0E8103B8E7C}" presName="node" presStyleLbl="node1" presStyleIdx="3" presStyleCnt="4">
        <dgm:presLayoutVars>
          <dgm:bulletEnabled val="1"/>
        </dgm:presLayoutVars>
      </dgm:prSet>
      <dgm:spPr>
        <a:prstGeom prst="rect">
          <a:avLst/>
        </a:prstGeom>
      </dgm:spPr>
      <dgm:t>
        <a:bodyPr/>
        <a:lstStyle/>
        <a:p>
          <a:endParaRPr lang="ru-RU"/>
        </a:p>
      </dgm:t>
    </dgm:pt>
  </dgm:ptLst>
  <dgm:cxnLst>
    <dgm:cxn modelId="{7F286FB1-7982-40E7-B048-9E33A5DACDE6}" srcId="{4700F980-0A1B-4146-82D9-9F12455B91F6}" destId="{4D49F07A-C457-45A8-9F05-E0E8103B8E7C}" srcOrd="3" destOrd="0" parTransId="{14C2A417-124E-41D8-9A65-E923FEF6EDDD}" sibTransId="{90B4BB45-94F9-4056-98BC-6D36DCC975F6}"/>
    <dgm:cxn modelId="{491CA641-D2CF-4476-AC72-6229C096725F}" srcId="{4700F980-0A1B-4146-82D9-9F12455B91F6}" destId="{D16F62C6-7C96-4C97-8D58-19E085B1249A}" srcOrd="2" destOrd="0" parTransId="{9864EB3D-EF8F-4954-886E-9B75E62A5E58}" sibTransId="{48594E64-3CD0-4EC0-BA69-B1882378D163}"/>
    <dgm:cxn modelId="{DBA244B4-E9E4-4988-BF6C-117377DB6725}" type="presOf" srcId="{4D49F07A-C457-45A8-9F05-E0E8103B8E7C}" destId="{773B904E-E86F-4F9A-ABF4-2CC48C236A2A}" srcOrd="0" destOrd="0" presId="urn:microsoft.com/office/officeart/2005/8/layout/default"/>
    <dgm:cxn modelId="{688640EA-9FB4-4488-8824-8FD2235C6DFF}" type="presOf" srcId="{EED29458-3B92-4D71-987A-26E8A5D00BD2}" destId="{9A0A5ACA-1B68-4556-8DD1-C207A70656DA}" srcOrd="0" destOrd="0" presId="urn:microsoft.com/office/officeart/2005/8/layout/default"/>
    <dgm:cxn modelId="{2292CC05-4BF5-4D1D-833D-71907844257C}" type="presOf" srcId="{4700F980-0A1B-4146-82D9-9F12455B91F6}" destId="{4BF9E420-2BC7-4F05-963B-63B883138C0D}" srcOrd="0" destOrd="0" presId="urn:microsoft.com/office/officeart/2005/8/layout/default"/>
    <dgm:cxn modelId="{7225CED6-E2E7-4F33-878D-DA25DA56FB4E}" type="presOf" srcId="{D16F62C6-7C96-4C97-8D58-19E085B1249A}" destId="{E0E76FB5-33CF-4346-A37B-953F5CF2C9F5}" srcOrd="0" destOrd="0" presId="urn:microsoft.com/office/officeart/2005/8/layout/default"/>
    <dgm:cxn modelId="{A16E184E-9DDF-4159-8DCA-A7F4B2A7FC26}" srcId="{4700F980-0A1B-4146-82D9-9F12455B91F6}" destId="{EED29458-3B92-4D71-987A-26E8A5D00BD2}" srcOrd="0" destOrd="0" parTransId="{B3997A6F-15C6-4DAA-989D-D09752DDE983}" sibTransId="{05A3A26E-4565-46EF-B21E-A571626F0315}"/>
    <dgm:cxn modelId="{7617893B-3C69-4BD8-BD54-FE2BF39FB9CD}" type="presOf" srcId="{8122CFBC-6288-4E3C-8EA2-C9F9D2758CCF}" destId="{C9F46C44-1F9D-47AC-8F2C-8EE09B8A54D3}" srcOrd="0" destOrd="0" presId="urn:microsoft.com/office/officeart/2005/8/layout/default"/>
    <dgm:cxn modelId="{E08E02D6-AFF5-4AAA-9C1F-EC543C740A0D}" srcId="{4700F980-0A1B-4146-82D9-9F12455B91F6}" destId="{8122CFBC-6288-4E3C-8EA2-C9F9D2758CCF}" srcOrd="1" destOrd="0" parTransId="{530558A0-38EA-450D-A46D-8CF576D70437}" sibTransId="{772652AA-0F74-4FB3-95AA-C2BD26996CAA}"/>
    <dgm:cxn modelId="{1F0F109E-FD04-491D-A23D-8B714A765F64}" type="presParOf" srcId="{4BF9E420-2BC7-4F05-963B-63B883138C0D}" destId="{9A0A5ACA-1B68-4556-8DD1-C207A70656DA}" srcOrd="0" destOrd="0" presId="urn:microsoft.com/office/officeart/2005/8/layout/default"/>
    <dgm:cxn modelId="{0B7276F0-AA20-4521-88E1-0CFEAE088621}" type="presParOf" srcId="{4BF9E420-2BC7-4F05-963B-63B883138C0D}" destId="{0AA91E40-556B-43B0-9D03-086643FB8266}" srcOrd="1" destOrd="0" presId="urn:microsoft.com/office/officeart/2005/8/layout/default"/>
    <dgm:cxn modelId="{811152A5-D5FC-4F27-970B-14A5E20025F6}" type="presParOf" srcId="{4BF9E420-2BC7-4F05-963B-63B883138C0D}" destId="{C9F46C44-1F9D-47AC-8F2C-8EE09B8A54D3}" srcOrd="2" destOrd="0" presId="urn:microsoft.com/office/officeart/2005/8/layout/default"/>
    <dgm:cxn modelId="{A8020025-6FC3-43BC-B732-0DD5C19E5D2D}" type="presParOf" srcId="{4BF9E420-2BC7-4F05-963B-63B883138C0D}" destId="{A9138DED-A39F-4EB1-9250-619434830AD1}" srcOrd="3" destOrd="0" presId="urn:microsoft.com/office/officeart/2005/8/layout/default"/>
    <dgm:cxn modelId="{E306600C-F03C-40B7-8E42-33DBB78A393B}" type="presParOf" srcId="{4BF9E420-2BC7-4F05-963B-63B883138C0D}" destId="{E0E76FB5-33CF-4346-A37B-953F5CF2C9F5}" srcOrd="4" destOrd="0" presId="urn:microsoft.com/office/officeart/2005/8/layout/default"/>
    <dgm:cxn modelId="{431C8B53-AC7E-4AF6-BEF5-4274A19EB6EA}" type="presParOf" srcId="{4BF9E420-2BC7-4F05-963B-63B883138C0D}" destId="{6BFA123C-09DD-45E8-A1D6-A0F3C54DC2A0}" srcOrd="5" destOrd="0" presId="urn:microsoft.com/office/officeart/2005/8/layout/default"/>
    <dgm:cxn modelId="{38B9637F-F34B-466C-950C-06F5B99F0269}" type="presParOf" srcId="{4BF9E420-2BC7-4F05-963B-63B883138C0D}" destId="{773B904E-E86F-4F9A-ABF4-2CC48C236A2A}" srcOrd="6" destOrd="0" presId="urn:microsoft.com/office/officeart/2005/8/layout/default"/>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C258BA93-84B9-44ED-92EB-83FF290A6AC6}"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B3A48F86-9235-4EA0-B681-F32C25E376C7}">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D2F83586-2867-42F0-84A4-B0D8FB8620C8}" type="parTrans" cxnId="{5CE1258B-EE76-420E-8181-027CEC2D45BE}">
      <dgm:prSet/>
      <dgm:spPr/>
      <dgm:t>
        <a:bodyPr/>
        <a:lstStyle/>
        <a:p>
          <a:endParaRPr lang="ru-RU"/>
        </a:p>
      </dgm:t>
    </dgm:pt>
    <dgm:pt modelId="{6E2CA500-36EB-4338-8E6D-2A9FB58C112E}" type="sibTrans" cxnId="{5CE1258B-EE76-420E-8181-027CEC2D45BE}">
      <dgm:prSet/>
      <dgm:spPr/>
      <dgm:t>
        <a:bodyPr/>
        <a:lstStyle/>
        <a:p>
          <a:endParaRPr lang="ru-RU"/>
        </a:p>
      </dgm:t>
    </dgm:pt>
    <dgm:pt modelId="{B0D8EFDF-8FD9-452D-8CE8-5B109EFB8467}">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4CA86155-238F-48B6-BCFB-D4C84AF0A7FE}" type="parTrans" cxnId="{9D83DA2D-2C30-405E-8894-1A1359E156E9}">
      <dgm:prSet/>
      <dgm:spPr/>
      <dgm:t>
        <a:bodyPr/>
        <a:lstStyle/>
        <a:p>
          <a:endParaRPr lang="ru-RU"/>
        </a:p>
      </dgm:t>
    </dgm:pt>
    <dgm:pt modelId="{58AA7BFD-5BD2-435F-9B86-6A4607A211F4}" type="sibTrans" cxnId="{9D83DA2D-2C30-405E-8894-1A1359E156E9}">
      <dgm:prSet/>
      <dgm:spPr/>
      <dgm:t>
        <a:bodyPr/>
        <a:lstStyle/>
        <a:p>
          <a:endParaRPr lang="ru-RU"/>
        </a:p>
      </dgm:t>
    </dgm:pt>
    <dgm:pt modelId="{57370231-473E-43DE-8DAF-D1E4220CD75E}">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3F50CA92-98C6-4B3E-B644-6237E82D8088}" type="parTrans" cxnId="{E8F62CA4-DC8A-47F3-A523-3EDBED2CC22B}">
      <dgm:prSet/>
      <dgm:spPr/>
      <dgm:t>
        <a:bodyPr/>
        <a:lstStyle/>
        <a:p>
          <a:endParaRPr lang="ru-RU"/>
        </a:p>
      </dgm:t>
    </dgm:pt>
    <dgm:pt modelId="{660F288C-CCFB-412C-8DA2-651CAF28D962}" type="sibTrans" cxnId="{E8F62CA4-DC8A-47F3-A523-3EDBED2CC22B}">
      <dgm:prSet/>
      <dgm:spPr/>
      <dgm:t>
        <a:bodyPr/>
        <a:lstStyle/>
        <a:p>
          <a:endParaRPr lang="ru-RU"/>
        </a:p>
      </dgm:t>
    </dgm:pt>
    <dgm:pt modelId="{5228B8A8-70B8-4294-B2F9-57979FC3C70D}">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EDAE516F-428E-4165-97D6-FEFD96FE7979}" type="parTrans" cxnId="{7AB9CD14-AC1D-4671-870C-003F4A8C51E7}">
      <dgm:prSet/>
      <dgm:spPr/>
      <dgm:t>
        <a:bodyPr/>
        <a:lstStyle/>
        <a:p>
          <a:endParaRPr lang="ru-RU"/>
        </a:p>
      </dgm:t>
    </dgm:pt>
    <dgm:pt modelId="{593B7F5D-CFB9-407C-AA8F-01D12CA5455C}" type="sibTrans" cxnId="{7AB9CD14-AC1D-4671-870C-003F4A8C51E7}">
      <dgm:prSet/>
      <dgm:spPr/>
      <dgm:t>
        <a:bodyPr/>
        <a:lstStyle/>
        <a:p>
          <a:endParaRPr lang="ru-RU"/>
        </a:p>
      </dgm:t>
    </dgm:pt>
    <dgm:pt modelId="{FA7929BD-7F16-4341-87B6-4653D3912AFC}" type="pres">
      <dgm:prSet presAssocID="{C258BA93-84B9-44ED-92EB-83FF290A6AC6}" presName="diagram" presStyleCnt="0">
        <dgm:presLayoutVars>
          <dgm:dir/>
          <dgm:resizeHandles val="exact"/>
        </dgm:presLayoutVars>
      </dgm:prSet>
      <dgm:spPr/>
      <dgm:t>
        <a:bodyPr/>
        <a:lstStyle/>
        <a:p>
          <a:endParaRPr lang="ru-RU"/>
        </a:p>
      </dgm:t>
    </dgm:pt>
    <dgm:pt modelId="{CFD3F2A7-FC9D-4669-BEC3-CD6A99610ADF}" type="pres">
      <dgm:prSet presAssocID="{B3A48F86-9235-4EA0-B681-F32C25E376C7}" presName="node" presStyleLbl="node1" presStyleIdx="0" presStyleCnt="4">
        <dgm:presLayoutVars>
          <dgm:bulletEnabled val="1"/>
        </dgm:presLayoutVars>
      </dgm:prSet>
      <dgm:spPr>
        <a:prstGeom prst="rect">
          <a:avLst/>
        </a:prstGeom>
      </dgm:spPr>
      <dgm:t>
        <a:bodyPr/>
        <a:lstStyle/>
        <a:p>
          <a:endParaRPr lang="ru-RU"/>
        </a:p>
      </dgm:t>
    </dgm:pt>
    <dgm:pt modelId="{C0F23F4C-2B75-4B16-9638-EEE5C8A25963}" type="pres">
      <dgm:prSet presAssocID="{6E2CA500-36EB-4338-8E6D-2A9FB58C112E}" presName="sibTrans" presStyleCnt="0"/>
      <dgm:spPr/>
    </dgm:pt>
    <dgm:pt modelId="{6CED8E3F-524F-4C0C-9799-3B6D7584D8CE}" type="pres">
      <dgm:prSet presAssocID="{B0D8EFDF-8FD9-452D-8CE8-5B109EFB8467}" presName="node" presStyleLbl="node1" presStyleIdx="1" presStyleCnt="4">
        <dgm:presLayoutVars>
          <dgm:bulletEnabled val="1"/>
        </dgm:presLayoutVars>
      </dgm:prSet>
      <dgm:spPr>
        <a:prstGeom prst="rect">
          <a:avLst/>
        </a:prstGeom>
      </dgm:spPr>
      <dgm:t>
        <a:bodyPr/>
        <a:lstStyle/>
        <a:p>
          <a:endParaRPr lang="ru-RU"/>
        </a:p>
      </dgm:t>
    </dgm:pt>
    <dgm:pt modelId="{611C5626-EBFE-4044-905E-FCB18F8EC031}" type="pres">
      <dgm:prSet presAssocID="{58AA7BFD-5BD2-435F-9B86-6A4607A211F4}" presName="sibTrans" presStyleCnt="0"/>
      <dgm:spPr/>
    </dgm:pt>
    <dgm:pt modelId="{BACBF52A-EAFE-4C29-8C96-A4053873FBC3}" type="pres">
      <dgm:prSet presAssocID="{57370231-473E-43DE-8DAF-D1E4220CD75E}" presName="node" presStyleLbl="node1" presStyleIdx="2" presStyleCnt="4">
        <dgm:presLayoutVars>
          <dgm:bulletEnabled val="1"/>
        </dgm:presLayoutVars>
      </dgm:prSet>
      <dgm:spPr>
        <a:prstGeom prst="rect">
          <a:avLst/>
        </a:prstGeom>
      </dgm:spPr>
      <dgm:t>
        <a:bodyPr/>
        <a:lstStyle/>
        <a:p>
          <a:endParaRPr lang="ru-RU"/>
        </a:p>
      </dgm:t>
    </dgm:pt>
    <dgm:pt modelId="{779047D6-549F-4BD7-BBA5-7893B26FB136}" type="pres">
      <dgm:prSet presAssocID="{660F288C-CCFB-412C-8DA2-651CAF28D962}" presName="sibTrans" presStyleCnt="0"/>
      <dgm:spPr/>
    </dgm:pt>
    <dgm:pt modelId="{9D8EB361-402E-4CD6-9285-72770AB24C24}" type="pres">
      <dgm:prSet presAssocID="{5228B8A8-70B8-4294-B2F9-57979FC3C70D}" presName="node" presStyleLbl="node1" presStyleIdx="3" presStyleCnt="4">
        <dgm:presLayoutVars>
          <dgm:bulletEnabled val="1"/>
        </dgm:presLayoutVars>
      </dgm:prSet>
      <dgm:spPr>
        <a:prstGeom prst="rect">
          <a:avLst/>
        </a:prstGeom>
      </dgm:spPr>
      <dgm:t>
        <a:bodyPr/>
        <a:lstStyle/>
        <a:p>
          <a:endParaRPr lang="ru-RU"/>
        </a:p>
      </dgm:t>
    </dgm:pt>
  </dgm:ptLst>
  <dgm:cxnLst>
    <dgm:cxn modelId="{E8F62CA4-DC8A-47F3-A523-3EDBED2CC22B}" srcId="{C258BA93-84B9-44ED-92EB-83FF290A6AC6}" destId="{57370231-473E-43DE-8DAF-D1E4220CD75E}" srcOrd="2" destOrd="0" parTransId="{3F50CA92-98C6-4B3E-B644-6237E82D8088}" sibTransId="{660F288C-CCFB-412C-8DA2-651CAF28D962}"/>
    <dgm:cxn modelId="{9D83DA2D-2C30-405E-8894-1A1359E156E9}" srcId="{C258BA93-84B9-44ED-92EB-83FF290A6AC6}" destId="{B0D8EFDF-8FD9-452D-8CE8-5B109EFB8467}" srcOrd="1" destOrd="0" parTransId="{4CA86155-238F-48B6-BCFB-D4C84AF0A7FE}" sibTransId="{58AA7BFD-5BD2-435F-9B86-6A4607A211F4}"/>
    <dgm:cxn modelId="{B20FB94C-D132-422B-92C3-E128D3B7D408}" type="presOf" srcId="{B3A48F86-9235-4EA0-B681-F32C25E376C7}" destId="{CFD3F2A7-FC9D-4669-BEC3-CD6A99610ADF}" srcOrd="0" destOrd="0" presId="urn:microsoft.com/office/officeart/2005/8/layout/default"/>
    <dgm:cxn modelId="{329F00CD-ECE9-4BF0-8EEE-A60EBEC7559E}" type="presOf" srcId="{B0D8EFDF-8FD9-452D-8CE8-5B109EFB8467}" destId="{6CED8E3F-524F-4C0C-9799-3B6D7584D8CE}" srcOrd="0" destOrd="0" presId="urn:microsoft.com/office/officeart/2005/8/layout/default"/>
    <dgm:cxn modelId="{DF892DDE-B434-4168-9BA5-A4ECF8F590D2}" type="presOf" srcId="{5228B8A8-70B8-4294-B2F9-57979FC3C70D}" destId="{9D8EB361-402E-4CD6-9285-72770AB24C24}" srcOrd="0" destOrd="0" presId="urn:microsoft.com/office/officeart/2005/8/layout/default"/>
    <dgm:cxn modelId="{5CE1258B-EE76-420E-8181-027CEC2D45BE}" srcId="{C258BA93-84B9-44ED-92EB-83FF290A6AC6}" destId="{B3A48F86-9235-4EA0-B681-F32C25E376C7}" srcOrd="0" destOrd="0" parTransId="{D2F83586-2867-42F0-84A4-B0D8FB8620C8}" sibTransId="{6E2CA500-36EB-4338-8E6D-2A9FB58C112E}"/>
    <dgm:cxn modelId="{E05D4FA9-DDC7-4171-82C6-7F3DC09D3E4A}" type="presOf" srcId="{57370231-473E-43DE-8DAF-D1E4220CD75E}" destId="{BACBF52A-EAFE-4C29-8C96-A4053873FBC3}" srcOrd="0" destOrd="0" presId="urn:microsoft.com/office/officeart/2005/8/layout/default"/>
    <dgm:cxn modelId="{AD7DA55E-4117-4537-AE03-CEEB33062275}" type="presOf" srcId="{C258BA93-84B9-44ED-92EB-83FF290A6AC6}" destId="{FA7929BD-7F16-4341-87B6-4653D3912AFC}" srcOrd="0" destOrd="0" presId="urn:microsoft.com/office/officeart/2005/8/layout/default"/>
    <dgm:cxn modelId="{7AB9CD14-AC1D-4671-870C-003F4A8C51E7}" srcId="{C258BA93-84B9-44ED-92EB-83FF290A6AC6}" destId="{5228B8A8-70B8-4294-B2F9-57979FC3C70D}" srcOrd="3" destOrd="0" parTransId="{EDAE516F-428E-4165-97D6-FEFD96FE7979}" sibTransId="{593B7F5D-CFB9-407C-AA8F-01D12CA5455C}"/>
    <dgm:cxn modelId="{0D068DA1-78D2-47AB-9F60-CA693DABE187}" type="presParOf" srcId="{FA7929BD-7F16-4341-87B6-4653D3912AFC}" destId="{CFD3F2A7-FC9D-4669-BEC3-CD6A99610ADF}" srcOrd="0" destOrd="0" presId="urn:microsoft.com/office/officeart/2005/8/layout/default"/>
    <dgm:cxn modelId="{324BE416-1EA9-401F-BF65-52F5A0938600}" type="presParOf" srcId="{FA7929BD-7F16-4341-87B6-4653D3912AFC}" destId="{C0F23F4C-2B75-4B16-9638-EEE5C8A25963}" srcOrd="1" destOrd="0" presId="urn:microsoft.com/office/officeart/2005/8/layout/default"/>
    <dgm:cxn modelId="{8A7A021C-511E-4477-BF00-D37B2419DD6F}" type="presParOf" srcId="{FA7929BD-7F16-4341-87B6-4653D3912AFC}" destId="{6CED8E3F-524F-4C0C-9799-3B6D7584D8CE}" srcOrd="2" destOrd="0" presId="urn:microsoft.com/office/officeart/2005/8/layout/default"/>
    <dgm:cxn modelId="{7037A41F-AF11-4C64-A2B7-DF4E44597DA1}" type="presParOf" srcId="{FA7929BD-7F16-4341-87B6-4653D3912AFC}" destId="{611C5626-EBFE-4044-905E-FCB18F8EC031}" srcOrd="3" destOrd="0" presId="urn:microsoft.com/office/officeart/2005/8/layout/default"/>
    <dgm:cxn modelId="{BD743B7B-72A8-4947-88E1-A5201463B9CB}" type="presParOf" srcId="{FA7929BD-7F16-4341-87B6-4653D3912AFC}" destId="{BACBF52A-EAFE-4C29-8C96-A4053873FBC3}" srcOrd="4" destOrd="0" presId="urn:microsoft.com/office/officeart/2005/8/layout/default"/>
    <dgm:cxn modelId="{40212E67-F777-4B27-80FD-20A38E395D25}" type="presParOf" srcId="{FA7929BD-7F16-4341-87B6-4653D3912AFC}" destId="{779047D6-549F-4BD7-BBA5-7893B26FB136}" srcOrd="5" destOrd="0" presId="urn:microsoft.com/office/officeart/2005/8/layout/default"/>
    <dgm:cxn modelId="{15FA6A6E-EEA9-4E4C-A183-FD53003B9CAF}" type="presParOf" srcId="{FA7929BD-7F16-4341-87B6-4653D3912AFC}" destId="{9D8EB361-402E-4CD6-9285-72770AB24C24}" srcOrd="6" destOrd="0" presId="urn:microsoft.com/office/officeart/2005/8/layout/default"/>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C8B2EDAA-DBC8-458A-BEAF-01383CF62BAE}" type="doc">
      <dgm:prSet loTypeId="urn:microsoft.com/office/officeart/2005/8/layout/default" loCatId="list" qsTypeId="urn:microsoft.com/office/officeart/2005/8/quickstyle/simple3" qsCatId="simple" csTypeId="urn:microsoft.com/office/officeart/2005/8/colors/accent1_2" csCatId="accent1" phldr="1"/>
      <dgm:spPr/>
      <dgm:t>
        <a:bodyPr/>
        <a:lstStyle/>
        <a:p>
          <a:endParaRPr lang="ru-RU"/>
        </a:p>
      </dgm:t>
    </dgm:pt>
    <dgm:pt modelId="{EF9D82D9-B0A2-4F17-98F1-9F70DC3906F5}">
      <dgm:prSet phldrT="[Текст]"/>
      <dgm:spPr>
        <a:xfrm>
          <a:off x="161002" y="1696"/>
          <a:ext cx="2459235" cy="1475541"/>
        </a:xfr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F96655C2-751D-47D2-8EA0-39B77B3506B7}" type="parTrans" cxnId="{A0D47FEE-750D-4CC5-91CE-BBA13890CE5F}">
      <dgm:prSet/>
      <dgm:spPr/>
      <dgm:t>
        <a:bodyPr/>
        <a:lstStyle/>
        <a:p>
          <a:endParaRPr lang="ru-RU"/>
        </a:p>
      </dgm:t>
    </dgm:pt>
    <dgm:pt modelId="{47C1D696-4EBD-4A92-921F-D8C73F0550FA}" type="sibTrans" cxnId="{A0D47FEE-750D-4CC5-91CE-BBA13890CE5F}">
      <dgm:prSet/>
      <dgm:spPr/>
      <dgm:t>
        <a:bodyPr/>
        <a:lstStyle/>
        <a:p>
          <a:endParaRPr lang="ru-RU"/>
        </a:p>
      </dgm:t>
    </dgm:pt>
    <dgm:pt modelId="{95BDBF28-776E-4FE0-8431-59F9B48F79CE}">
      <dgm:prSet phldrT="[Текст]"/>
      <dgm:spPr>
        <a:xfrm>
          <a:off x="2866161" y="1696"/>
          <a:ext cx="2459235" cy="1475541"/>
        </a:xfr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183F849C-C028-422B-84AE-0F94B207468B}" type="parTrans" cxnId="{06A5D8FC-E6A7-40A8-A47B-D3229BDF7E00}">
      <dgm:prSet/>
      <dgm:spPr/>
      <dgm:t>
        <a:bodyPr/>
        <a:lstStyle/>
        <a:p>
          <a:endParaRPr lang="ru-RU"/>
        </a:p>
      </dgm:t>
    </dgm:pt>
    <dgm:pt modelId="{B22C5336-EA64-4ADF-886D-E4B025B0692A}" type="sibTrans" cxnId="{06A5D8FC-E6A7-40A8-A47B-D3229BDF7E00}">
      <dgm:prSet/>
      <dgm:spPr/>
      <dgm:t>
        <a:bodyPr/>
        <a:lstStyle/>
        <a:p>
          <a:endParaRPr lang="ru-RU"/>
        </a:p>
      </dgm:t>
    </dgm:pt>
    <dgm:pt modelId="{E5657189-EAF0-40E7-8800-57178CC03230}">
      <dgm:prSet phldrT="[Текст]"/>
      <dgm:spPr>
        <a:xfrm>
          <a:off x="161002" y="1723161"/>
          <a:ext cx="2459235" cy="1475541"/>
        </a:xfr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BE25D8C6-A141-4444-960B-987D011EECF7}" type="parTrans" cxnId="{43EA3FCF-6D9F-472B-B752-3A1B8979E48A}">
      <dgm:prSet/>
      <dgm:spPr/>
      <dgm:t>
        <a:bodyPr/>
        <a:lstStyle/>
        <a:p>
          <a:endParaRPr lang="ru-RU"/>
        </a:p>
      </dgm:t>
    </dgm:pt>
    <dgm:pt modelId="{13DF78B1-0CDE-47FA-959C-9F3C9983FC5B}" type="sibTrans" cxnId="{43EA3FCF-6D9F-472B-B752-3A1B8979E48A}">
      <dgm:prSet/>
      <dgm:spPr/>
      <dgm:t>
        <a:bodyPr/>
        <a:lstStyle/>
        <a:p>
          <a:endParaRPr lang="ru-RU"/>
        </a:p>
      </dgm:t>
    </dgm:pt>
    <dgm:pt modelId="{D141B371-DC92-4823-ADEF-712CF2574D6A}">
      <dgm:prSet phldrT="[Текст]"/>
      <dgm:spPr>
        <a:xfrm>
          <a:off x="2866161" y="1723161"/>
          <a:ext cx="2459235" cy="1475541"/>
        </a:xfr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a:solidFill>
              <a:sysClr val="windowText" lastClr="000000"/>
            </a:solidFill>
            <a:latin typeface="Times New Roman"/>
            <a:ea typeface="+mn-ea"/>
            <a:cs typeface="+mn-cs"/>
          </a:endParaRPr>
        </a:p>
      </dgm:t>
    </dgm:pt>
    <dgm:pt modelId="{D5E9FDBB-6F7A-4FC3-B782-0C085AC6FE24}" type="parTrans" cxnId="{E19DC310-4DD3-4F2B-9A74-F8BE7BE90F3B}">
      <dgm:prSet/>
      <dgm:spPr/>
      <dgm:t>
        <a:bodyPr/>
        <a:lstStyle/>
        <a:p>
          <a:endParaRPr lang="ru-RU"/>
        </a:p>
      </dgm:t>
    </dgm:pt>
    <dgm:pt modelId="{DA9F6B91-C96E-4FB8-ACEF-56A1123AC1DA}" type="sibTrans" cxnId="{E19DC310-4DD3-4F2B-9A74-F8BE7BE90F3B}">
      <dgm:prSet/>
      <dgm:spPr/>
      <dgm:t>
        <a:bodyPr/>
        <a:lstStyle/>
        <a:p>
          <a:endParaRPr lang="ru-RU"/>
        </a:p>
      </dgm:t>
    </dgm:pt>
    <dgm:pt modelId="{7FEC1B4E-C285-4A5C-9291-360E314D62C1}" type="pres">
      <dgm:prSet presAssocID="{C8B2EDAA-DBC8-458A-BEAF-01383CF62BAE}" presName="diagram" presStyleCnt="0">
        <dgm:presLayoutVars>
          <dgm:dir/>
          <dgm:resizeHandles val="exact"/>
        </dgm:presLayoutVars>
      </dgm:prSet>
      <dgm:spPr/>
      <dgm:t>
        <a:bodyPr/>
        <a:lstStyle/>
        <a:p>
          <a:endParaRPr lang="ru-RU"/>
        </a:p>
      </dgm:t>
    </dgm:pt>
    <dgm:pt modelId="{AA7BCB06-E87B-46D9-B4DF-530E8BC4C507}" type="pres">
      <dgm:prSet presAssocID="{EF9D82D9-B0A2-4F17-98F1-9F70DC3906F5}" presName="node" presStyleLbl="node1" presStyleIdx="0" presStyleCnt="4">
        <dgm:presLayoutVars>
          <dgm:bulletEnabled val="1"/>
        </dgm:presLayoutVars>
      </dgm:prSet>
      <dgm:spPr>
        <a:prstGeom prst="rect">
          <a:avLst/>
        </a:prstGeom>
      </dgm:spPr>
      <dgm:t>
        <a:bodyPr/>
        <a:lstStyle/>
        <a:p>
          <a:endParaRPr lang="ru-RU"/>
        </a:p>
      </dgm:t>
    </dgm:pt>
    <dgm:pt modelId="{22CB6747-2770-4C0A-80BB-F927891348B9}" type="pres">
      <dgm:prSet presAssocID="{47C1D696-4EBD-4A92-921F-D8C73F0550FA}" presName="sibTrans" presStyleCnt="0"/>
      <dgm:spPr/>
    </dgm:pt>
    <dgm:pt modelId="{54390CA5-241F-4681-B63D-79ADFDFF74B3}" type="pres">
      <dgm:prSet presAssocID="{95BDBF28-776E-4FE0-8431-59F9B48F79CE}" presName="node" presStyleLbl="node1" presStyleIdx="1" presStyleCnt="4">
        <dgm:presLayoutVars>
          <dgm:bulletEnabled val="1"/>
        </dgm:presLayoutVars>
      </dgm:prSet>
      <dgm:spPr>
        <a:prstGeom prst="rect">
          <a:avLst/>
        </a:prstGeom>
      </dgm:spPr>
      <dgm:t>
        <a:bodyPr/>
        <a:lstStyle/>
        <a:p>
          <a:endParaRPr lang="ru-RU"/>
        </a:p>
      </dgm:t>
    </dgm:pt>
    <dgm:pt modelId="{9D664E4F-AED6-424D-9573-F7A09B3976B4}" type="pres">
      <dgm:prSet presAssocID="{B22C5336-EA64-4ADF-886D-E4B025B0692A}" presName="sibTrans" presStyleCnt="0"/>
      <dgm:spPr/>
    </dgm:pt>
    <dgm:pt modelId="{2A3C5D29-AADB-43EF-8172-F74D583949FE}" type="pres">
      <dgm:prSet presAssocID="{E5657189-EAF0-40E7-8800-57178CC03230}" presName="node" presStyleLbl="node1" presStyleIdx="2" presStyleCnt="4">
        <dgm:presLayoutVars>
          <dgm:bulletEnabled val="1"/>
        </dgm:presLayoutVars>
      </dgm:prSet>
      <dgm:spPr>
        <a:prstGeom prst="rect">
          <a:avLst/>
        </a:prstGeom>
      </dgm:spPr>
      <dgm:t>
        <a:bodyPr/>
        <a:lstStyle/>
        <a:p>
          <a:endParaRPr lang="ru-RU"/>
        </a:p>
      </dgm:t>
    </dgm:pt>
    <dgm:pt modelId="{F6C6161D-734F-4EBB-9B51-11961A949FD7}" type="pres">
      <dgm:prSet presAssocID="{13DF78B1-0CDE-47FA-959C-9F3C9983FC5B}" presName="sibTrans" presStyleCnt="0"/>
      <dgm:spPr/>
    </dgm:pt>
    <dgm:pt modelId="{68AAB54E-3CCF-40B5-88F6-4153C57DCBCD}" type="pres">
      <dgm:prSet presAssocID="{D141B371-DC92-4823-ADEF-712CF2574D6A}" presName="node" presStyleLbl="node1" presStyleIdx="3" presStyleCnt="4">
        <dgm:presLayoutVars>
          <dgm:bulletEnabled val="1"/>
        </dgm:presLayoutVars>
      </dgm:prSet>
      <dgm:spPr>
        <a:prstGeom prst="rect">
          <a:avLst/>
        </a:prstGeom>
      </dgm:spPr>
      <dgm:t>
        <a:bodyPr/>
        <a:lstStyle/>
        <a:p>
          <a:endParaRPr lang="ru-RU"/>
        </a:p>
      </dgm:t>
    </dgm:pt>
  </dgm:ptLst>
  <dgm:cxnLst>
    <dgm:cxn modelId="{43EA3FCF-6D9F-472B-B752-3A1B8979E48A}" srcId="{C8B2EDAA-DBC8-458A-BEAF-01383CF62BAE}" destId="{E5657189-EAF0-40E7-8800-57178CC03230}" srcOrd="2" destOrd="0" parTransId="{BE25D8C6-A141-4444-960B-987D011EECF7}" sibTransId="{13DF78B1-0CDE-47FA-959C-9F3C9983FC5B}"/>
    <dgm:cxn modelId="{2326826C-6748-4519-8FD3-B94A7A0C65B5}" type="presOf" srcId="{C8B2EDAA-DBC8-458A-BEAF-01383CF62BAE}" destId="{7FEC1B4E-C285-4A5C-9291-360E314D62C1}" srcOrd="0" destOrd="0" presId="urn:microsoft.com/office/officeart/2005/8/layout/default"/>
    <dgm:cxn modelId="{88D7F64A-A66C-4014-8A3D-8DB7FDB5C264}" type="presOf" srcId="{95BDBF28-776E-4FE0-8431-59F9B48F79CE}" destId="{54390CA5-241F-4681-B63D-79ADFDFF74B3}" srcOrd="0" destOrd="0" presId="urn:microsoft.com/office/officeart/2005/8/layout/default"/>
    <dgm:cxn modelId="{A0D47FEE-750D-4CC5-91CE-BBA13890CE5F}" srcId="{C8B2EDAA-DBC8-458A-BEAF-01383CF62BAE}" destId="{EF9D82D9-B0A2-4F17-98F1-9F70DC3906F5}" srcOrd="0" destOrd="0" parTransId="{F96655C2-751D-47D2-8EA0-39B77B3506B7}" sibTransId="{47C1D696-4EBD-4A92-921F-D8C73F0550FA}"/>
    <dgm:cxn modelId="{E19DC310-4DD3-4F2B-9A74-F8BE7BE90F3B}" srcId="{C8B2EDAA-DBC8-458A-BEAF-01383CF62BAE}" destId="{D141B371-DC92-4823-ADEF-712CF2574D6A}" srcOrd="3" destOrd="0" parTransId="{D5E9FDBB-6F7A-4FC3-B782-0C085AC6FE24}" sibTransId="{DA9F6B91-C96E-4FB8-ACEF-56A1123AC1DA}"/>
    <dgm:cxn modelId="{FF3424D4-E4C0-4FC0-AAA9-06165C28FE76}" type="presOf" srcId="{D141B371-DC92-4823-ADEF-712CF2574D6A}" destId="{68AAB54E-3CCF-40B5-88F6-4153C57DCBCD}" srcOrd="0" destOrd="0" presId="urn:microsoft.com/office/officeart/2005/8/layout/default"/>
    <dgm:cxn modelId="{06A5D8FC-E6A7-40A8-A47B-D3229BDF7E00}" srcId="{C8B2EDAA-DBC8-458A-BEAF-01383CF62BAE}" destId="{95BDBF28-776E-4FE0-8431-59F9B48F79CE}" srcOrd="1" destOrd="0" parTransId="{183F849C-C028-422B-84AE-0F94B207468B}" sibTransId="{B22C5336-EA64-4ADF-886D-E4B025B0692A}"/>
    <dgm:cxn modelId="{BF600D11-6906-4135-8160-1807CEF833F8}" type="presOf" srcId="{EF9D82D9-B0A2-4F17-98F1-9F70DC3906F5}" destId="{AA7BCB06-E87B-46D9-B4DF-530E8BC4C507}" srcOrd="0" destOrd="0" presId="urn:microsoft.com/office/officeart/2005/8/layout/default"/>
    <dgm:cxn modelId="{B6B9408E-9934-49A3-B34A-2140452D0FB2}" type="presOf" srcId="{E5657189-EAF0-40E7-8800-57178CC03230}" destId="{2A3C5D29-AADB-43EF-8172-F74D583949FE}" srcOrd="0" destOrd="0" presId="urn:microsoft.com/office/officeart/2005/8/layout/default"/>
    <dgm:cxn modelId="{BA2D2DBE-28E1-49FB-83A1-C4617EC834BA}" type="presParOf" srcId="{7FEC1B4E-C285-4A5C-9291-360E314D62C1}" destId="{AA7BCB06-E87B-46D9-B4DF-530E8BC4C507}" srcOrd="0" destOrd="0" presId="urn:microsoft.com/office/officeart/2005/8/layout/default"/>
    <dgm:cxn modelId="{6EC59643-D408-41E3-AA65-F1ABC4635EF2}" type="presParOf" srcId="{7FEC1B4E-C285-4A5C-9291-360E314D62C1}" destId="{22CB6747-2770-4C0A-80BB-F927891348B9}" srcOrd="1" destOrd="0" presId="urn:microsoft.com/office/officeart/2005/8/layout/default"/>
    <dgm:cxn modelId="{40C663D8-5AE6-4BA7-923E-8B0F4473DD57}" type="presParOf" srcId="{7FEC1B4E-C285-4A5C-9291-360E314D62C1}" destId="{54390CA5-241F-4681-B63D-79ADFDFF74B3}" srcOrd="2" destOrd="0" presId="urn:microsoft.com/office/officeart/2005/8/layout/default"/>
    <dgm:cxn modelId="{D19F7758-E6C5-403A-99B0-96CFFDC182C8}" type="presParOf" srcId="{7FEC1B4E-C285-4A5C-9291-360E314D62C1}" destId="{9D664E4F-AED6-424D-9573-F7A09B3976B4}" srcOrd="3" destOrd="0" presId="urn:microsoft.com/office/officeart/2005/8/layout/default"/>
    <dgm:cxn modelId="{7A74576A-62B0-4997-97D1-772DAF0C736E}" type="presParOf" srcId="{7FEC1B4E-C285-4A5C-9291-360E314D62C1}" destId="{2A3C5D29-AADB-43EF-8172-F74D583949FE}" srcOrd="4" destOrd="0" presId="urn:microsoft.com/office/officeart/2005/8/layout/default"/>
    <dgm:cxn modelId="{A862A226-47E4-479A-AC06-F43B89CECC49}" type="presParOf" srcId="{7FEC1B4E-C285-4A5C-9291-360E314D62C1}" destId="{F6C6161D-734F-4EBB-9B51-11961A949FD7}" srcOrd="5" destOrd="0" presId="urn:microsoft.com/office/officeart/2005/8/layout/default"/>
    <dgm:cxn modelId="{A0F00847-68B7-48D1-8A52-B9A4F5DC22BE}" type="presParOf" srcId="{7FEC1B4E-C285-4A5C-9291-360E314D62C1}" destId="{68AAB54E-3CCF-40B5-88F6-4153C57DCBCD}" srcOrd="6" destOrd="0" presId="urn:microsoft.com/office/officeart/2005/8/layout/default"/>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470A77-064C-41D0-9815-FEE5D597EBF4}">
      <dsp:nvSpPr>
        <dsp:cNvPr id="0" name=""/>
        <dsp:cNvSpPr/>
      </dsp:nvSpPr>
      <dsp:spPr>
        <a:xfrm>
          <a:off x="4596542" y="2238653"/>
          <a:ext cx="91440" cy="416818"/>
        </a:xfrm>
        <a:custGeom>
          <a:avLst/>
          <a:gdLst/>
          <a:ahLst/>
          <a:cxnLst/>
          <a:rect l="0" t="0" r="0" b="0"/>
          <a:pathLst>
            <a:path>
              <a:moveTo>
                <a:pt x="45720" y="0"/>
              </a:moveTo>
              <a:lnTo>
                <a:pt x="45720" y="4168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111EA1-E9F7-4E6E-A6AD-BF4B6F6014A9}">
      <dsp:nvSpPr>
        <dsp:cNvPr id="0" name=""/>
        <dsp:cNvSpPr/>
      </dsp:nvSpPr>
      <dsp:spPr>
        <a:xfrm>
          <a:off x="2890591" y="911762"/>
          <a:ext cx="1751671" cy="416818"/>
        </a:xfrm>
        <a:custGeom>
          <a:avLst/>
          <a:gdLst/>
          <a:ahLst/>
          <a:cxnLst/>
          <a:rect l="0" t="0" r="0" b="0"/>
          <a:pathLst>
            <a:path>
              <a:moveTo>
                <a:pt x="0" y="0"/>
              </a:moveTo>
              <a:lnTo>
                <a:pt x="0" y="284049"/>
              </a:lnTo>
              <a:lnTo>
                <a:pt x="1751671" y="284049"/>
              </a:lnTo>
              <a:lnTo>
                <a:pt x="1751671" y="41681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654E12-A660-432D-AF7B-C8B7404AE398}">
      <dsp:nvSpPr>
        <dsp:cNvPr id="0" name=""/>
        <dsp:cNvSpPr/>
      </dsp:nvSpPr>
      <dsp:spPr>
        <a:xfrm>
          <a:off x="2740536" y="2117167"/>
          <a:ext cx="150054" cy="538303"/>
        </a:xfrm>
        <a:custGeom>
          <a:avLst/>
          <a:gdLst/>
          <a:ahLst/>
          <a:cxnLst/>
          <a:rect l="0" t="0" r="0" b="0"/>
          <a:pathLst>
            <a:path>
              <a:moveTo>
                <a:pt x="0" y="0"/>
              </a:moveTo>
              <a:lnTo>
                <a:pt x="0" y="405535"/>
              </a:lnTo>
              <a:lnTo>
                <a:pt x="150054" y="405535"/>
              </a:lnTo>
              <a:lnTo>
                <a:pt x="150054" y="5383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B001FE-2119-4CCA-956D-2C5064E9D307}">
      <dsp:nvSpPr>
        <dsp:cNvPr id="0" name=""/>
        <dsp:cNvSpPr/>
      </dsp:nvSpPr>
      <dsp:spPr>
        <a:xfrm>
          <a:off x="2740536" y="911762"/>
          <a:ext cx="150054" cy="295332"/>
        </a:xfrm>
        <a:custGeom>
          <a:avLst/>
          <a:gdLst/>
          <a:ahLst/>
          <a:cxnLst/>
          <a:rect l="0" t="0" r="0" b="0"/>
          <a:pathLst>
            <a:path>
              <a:moveTo>
                <a:pt x="150054" y="0"/>
              </a:moveTo>
              <a:lnTo>
                <a:pt x="150054" y="162563"/>
              </a:lnTo>
              <a:lnTo>
                <a:pt x="0" y="162563"/>
              </a:lnTo>
              <a:lnTo>
                <a:pt x="0" y="2953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8717D3-720B-41F4-B48D-7E29673ABFA3}">
      <dsp:nvSpPr>
        <dsp:cNvPr id="0" name=""/>
        <dsp:cNvSpPr/>
      </dsp:nvSpPr>
      <dsp:spPr>
        <a:xfrm>
          <a:off x="1093199" y="2238653"/>
          <a:ext cx="91440" cy="416818"/>
        </a:xfrm>
        <a:custGeom>
          <a:avLst/>
          <a:gdLst/>
          <a:ahLst/>
          <a:cxnLst/>
          <a:rect l="0" t="0" r="0" b="0"/>
          <a:pathLst>
            <a:path>
              <a:moveTo>
                <a:pt x="45720" y="0"/>
              </a:moveTo>
              <a:lnTo>
                <a:pt x="45720" y="4168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8129387-6008-4799-A356-CD3824553920}">
      <dsp:nvSpPr>
        <dsp:cNvPr id="0" name=""/>
        <dsp:cNvSpPr/>
      </dsp:nvSpPr>
      <dsp:spPr>
        <a:xfrm>
          <a:off x="1138919" y="911762"/>
          <a:ext cx="1751671" cy="416818"/>
        </a:xfrm>
        <a:custGeom>
          <a:avLst/>
          <a:gdLst/>
          <a:ahLst/>
          <a:cxnLst/>
          <a:rect l="0" t="0" r="0" b="0"/>
          <a:pathLst>
            <a:path>
              <a:moveTo>
                <a:pt x="1751671" y="0"/>
              </a:moveTo>
              <a:lnTo>
                <a:pt x="1751671" y="284049"/>
              </a:lnTo>
              <a:lnTo>
                <a:pt x="0" y="284049"/>
              </a:lnTo>
              <a:lnTo>
                <a:pt x="0" y="41681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30BD78-2D98-4D71-BBA7-22A3AAB2AD0D}">
      <dsp:nvSpPr>
        <dsp:cNvPr id="0" name=""/>
        <dsp:cNvSpPr/>
      </dsp:nvSpPr>
      <dsp:spPr>
        <a:xfrm>
          <a:off x="2173998" y="1689"/>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4D72C2-754F-4074-B1EE-2E0A04A1AF16}">
      <dsp:nvSpPr>
        <dsp:cNvPr id="0" name=""/>
        <dsp:cNvSpPr/>
      </dsp:nvSpPr>
      <dsp:spPr>
        <a:xfrm>
          <a:off x="2333241" y="152969"/>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smtClean="0"/>
            <a:t>Хворі ХП </a:t>
          </a:r>
          <a:endParaRPr lang="en-US" sz="1200" kern="1200" dirty="0" smtClean="0"/>
        </a:p>
        <a:p>
          <a:pPr lvl="0" algn="ctr" defTabSz="533400">
            <a:lnSpc>
              <a:spcPct val="90000"/>
            </a:lnSpc>
            <a:spcBef>
              <a:spcPct val="0"/>
            </a:spcBef>
            <a:spcAft>
              <a:spcPct val="35000"/>
            </a:spcAft>
          </a:pPr>
          <a:r>
            <a:rPr lang="ru-RU" sz="1200" kern="1200" dirty="0" smtClean="0"/>
            <a:t>(</a:t>
          </a:r>
          <a:r>
            <a:rPr lang="en-US" sz="1200" kern="1200" dirty="0" smtClean="0"/>
            <a:t>n=105</a:t>
          </a:r>
          <a:r>
            <a:rPr lang="ru-RU" sz="1200" kern="1200" dirty="0" smtClean="0"/>
            <a:t>)</a:t>
          </a:r>
          <a:endParaRPr lang="ru-RU" sz="1200" kern="1200" dirty="0"/>
        </a:p>
      </dsp:txBody>
      <dsp:txXfrm>
        <a:off x="2359896" y="179624"/>
        <a:ext cx="1379875" cy="856762"/>
      </dsp:txXfrm>
    </dsp:sp>
    <dsp:sp modelId="{07E1B8FB-00FA-4D3B-BB3D-0D337414EA68}">
      <dsp:nvSpPr>
        <dsp:cNvPr id="0" name=""/>
        <dsp:cNvSpPr/>
      </dsp:nvSpPr>
      <dsp:spPr>
        <a:xfrm>
          <a:off x="422327" y="1328580"/>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5A41877-B734-448D-9746-80D093B184BF}">
      <dsp:nvSpPr>
        <dsp:cNvPr id="0" name=""/>
        <dsp:cNvSpPr/>
      </dsp:nvSpPr>
      <dsp:spPr>
        <a:xfrm>
          <a:off x="581569" y="1479860"/>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smtClean="0"/>
            <a:t>Лікування 1</a:t>
          </a:r>
        </a:p>
        <a:p>
          <a:pPr lvl="0" algn="ctr" defTabSz="533400">
            <a:lnSpc>
              <a:spcPct val="90000"/>
            </a:lnSpc>
            <a:spcBef>
              <a:spcPct val="0"/>
            </a:spcBef>
            <a:spcAft>
              <a:spcPct val="35000"/>
            </a:spcAft>
          </a:pPr>
          <a:r>
            <a:rPr lang="ru-RU" sz="1200" kern="1200" dirty="0" smtClean="0"/>
            <a:t>(</a:t>
          </a:r>
          <a:r>
            <a:rPr lang="en-US" sz="1200" kern="1200" dirty="0" smtClean="0"/>
            <a:t>n=</a:t>
          </a:r>
          <a:r>
            <a:rPr lang="uk-UA" sz="1200" kern="1200" dirty="0" smtClean="0"/>
            <a:t>40</a:t>
          </a:r>
          <a:r>
            <a:rPr lang="ru-RU" sz="1200" kern="1200" dirty="0" smtClean="0"/>
            <a:t>)</a:t>
          </a:r>
          <a:endParaRPr lang="ru-RU" sz="1200" kern="1200" dirty="0"/>
        </a:p>
      </dsp:txBody>
      <dsp:txXfrm>
        <a:off x="608224" y="1506515"/>
        <a:ext cx="1379875" cy="856762"/>
      </dsp:txXfrm>
    </dsp:sp>
    <dsp:sp modelId="{C98D1FC5-11C2-4DDE-B852-66D3A7BCA877}">
      <dsp:nvSpPr>
        <dsp:cNvPr id="0" name=""/>
        <dsp:cNvSpPr/>
      </dsp:nvSpPr>
      <dsp:spPr>
        <a:xfrm>
          <a:off x="422327" y="2655471"/>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979B89-99CD-4D44-A046-BF38A1A00646}">
      <dsp:nvSpPr>
        <dsp:cNvPr id="0" name=""/>
        <dsp:cNvSpPr/>
      </dsp:nvSpPr>
      <dsp:spPr>
        <a:xfrm>
          <a:off x="581569" y="2806751"/>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err="1" smtClean="0"/>
            <a:t>фторхінолони</a:t>
          </a:r>
          <a:r>
            <a:rPr lang="ru-RU" sz="1200" kern="1200" dirty="0" smtClean="0"/>
            <a:t> (</a:t>
          </a:r>
          <a:r>
            <a:rPr lang="ru-RU" sz="1200" kern="1200" dirty="0" err="1" smtClean="0"/>
            <a:t>левофлоксацин</a:t>
          </a:r>
          <a:r>
            <a:rPr lang="ru-RU" sz="1200" kern="1200" dirty="0" smtClean="0"/>
            <a:t>) 500 мг на добу у вигляді в/в </a:t>
          </a:r>
          <a:r>
            <a:rPr lang="ru-RU" sz="1200" kern="1200" dirty="0" err="1" smtClean="0"/>
            <a:t>инфузій</a:t>
          </a:r>
          <a:endParaRPr lang="ru-RU" sz="1200" kern="1200" dirty="0"/>
        </a:p>
      </dsp:txBody>
      <dsp:txXfrm>
        <a:off x="608224" y="2833406"/>
        <a:ext cx="1379875" cy="856762"/>
      </dsp:txXfrm>
    </dsp:sp>
    <dsp:sp modelId="{1F869268-A367-445D-A29E-9C56898BF71C}">
      <dsp:nvSpPr>
        <dsp:cNvPr id="0" name=""/>
        <dsp:cNvSpPr/>
      </dsp:nvSpPr>
      <dsp:spPr>
        <a:xfrm>
          <a:off x="2023943" y="1207094"/>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22B07B3-80D0-4C78-BE7B-2533ADFBE507}">
      <dsp:nvSpPr>
        <dsp:cNvPr id="0" name=""/>
        <dsp:cNvSpPr/>
      </dsp:nvSpPr>
      <dsp:spPr>
        <a:xfrm>
          <a:off x="2183186" y="1358375"/>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smtClean="0"/>
            <a:t>Лікування 2</a:t>
          </a:r>
          <a:endParaRPr lang="en-US" sz="1200" kern="1200" dirty="0" smtClean="0"/>
        </a:p>
        <a:p>
          <a:pPr lvl="0" algn="ctr" defTabSz="533400">
            <a:lnSpc>
              <a:spcPct val="90000"/>
            </a:lnSpc>
            <a:spcBef>
              <a:spcPct val="0"/>
            </a:spcBef>
            <a:spcAft>
              <a:spcPct val="35000"/>
            </a:spcAft>
          </a:pPr>
          <a:r>
            <a:rPr lang="ru-RU" sz="1200" kern="1200" dirty="0" smtClean="0"/>
            <a:t>(</a:t>
          </a:r>
          <a:r>
            <a:rPr lang="en-US" sz="1200" kern="1200" dirty="0" smtClean="0"/>
            <a:t>n=</a:t>
          </a:r>
          <a:r>
            <a:rPr lang="uk-UA" sz="1200" kern="1200" dirty="0" smtClean="0"/>
            <a:t>42</a:t>
          </a:r>
          <a:r>
            <a:rPr lang="ru-RU" sz="1200" kern="1200" dirty="0" smtClean="0"/>
            <a:t>)</a:t>
          </a:r>
          <a:endParaRPr lang="en-US" sz="1200" kern="1200" dirty="0" smtClean="0"/>
        </a:p>
      </dsp:txBody>
      <dsp:txXfrm>
        <a:off x="2209841" y="1385030"/>
        <a:ext cx="1379875" cy="856762"/>
      </dsp:txXfrm>
    </dsp:sp>
    <dsp:sp modelId="{A718CDA5-0F0F-4C86-A94F-1396E66D2FDE}">
      <dsp:nvSpPr>
        <dsp:cNvPr id="0" name=""/>
        <dsp:cNvSpPr/>
      </dsp:nvSpPr>
      <dsp:spPr>
        <a:xfrm>
          <a:off x="2173998" y="2655471"/>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44A385-5288-41F8-8859-6F9186916774}">
      <dsp:nvSpPr>
        <dsp:cNvPr id="0" name=""/>
        <dsp:cNvSpPr/>
      </dsp:nvSpPr>
      <dsp:spPr>
        <a:xfrm>
          <a:off x="2333241" y="2806751"/>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smtClean="0"/>
            <a:t>цефалоспорини (цефтріаксон, цефіпім) 2 г/д у вигляді в/в ин</a:t>
          </a:r>
          <a:r>
            <a:rPr lang="ru-RU" sz="1200" kern="1200" smtClean="0">
              <a:latin typeface="Times New Roman"/>
              <a:cs typeface="Times New Roman"/>
            </a:rPr>
            <a:t>'</a:t>
          </a:r>
          <a:r>
            <a:rPr lang="ru-RU" sz="1200" kern="1200" smtClean="0"/>
            <a:t>єкцій</a:t>
          </a:r>
          <a:endParaRPr lang="ru-RU" sz="1200" kern="1200" dirty="0" smtClean="0"/>
        </a:p>
      </dsp:txBody>
      <dsp:txXfrm>
        <a:off x="2359896" y="2833406"/>
        <a:ext cx="1379875" cy="856762"/>
      </dsp:txXfrm>
    </dsp:sp>
    <dsp:sp modelId="{BF82237C-5BE0-4805-AC9E-6151786B008B}">
      <dsp:nvSpPr>
        <dsp:cNvPr id="0" name=""/>
        <dsp:cNvSpPr/>
      </dsp:nvSpPr>
      <dsp:spPr>
        <a:xfrm>
          <a:off x="3925669" y="1328580"/>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B6D704-D53A-4F68-B659-FCFD5DB0F844}">
      <dsp:nvSpPr>
        <dsp:cNvPr id="0" name=""/>
        <dsp:cNvSpPr/>
      </dsp:nvSpPr>
      <dsp:spPr>
        <a:xfrm>
          <a:off x="4084912" y="1479860"/>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smtClean="0"/>
            <a:t>Лікування 3</a:t>
          </a:r>
          <a:endParaRPr lang="en-US" sz="1200" kern="1200" dirty="0" smtClean="0"/>
        </a:p>
        <a:p>
          <a:pPr lvl="0" algn="ctr" defTabSz="533400">
            <a:lnSpc>
              <a:spcPct val="90000"/>
            </a:lnSpc>
            <a:spcBef>
              <a:spcPct val="0"/>
            </a:spcBef>
            <a:spcAft>
              <a:spcPct val="35000"/>
            </a:spcAft>
          </a:pPr>
          <a:r>
            <a:rPr lang="ru-RU" sz="1200" kern="1200" dirty="0" smtClean="0"/>
            <a:t>(</a:t>
          </a:r>
          <a:r>
            <a:rPr lang="en-US" sz="1200" kern="1200" dirty="0" smtClean="0"/>
            <a:t>n=</a:t>
          </a:r>
          <a:r>
            <a:rPr lang="uk-UA" sz="1200" kern="1200" dirty="0" smtClean="0"/>
            <a:t>23</a:t>
          </a:r>
          <a:r>
            <a:rPr lang="ru-RU" sz="1200" kern="1200" dirty="0" smtClean="0"/>
            <a:t>)</a:t>
          </a:r>
          <a:endParaRPr lang="ru-RU" sz="1200" kern="1200" dirty="0"/>
        </a:p>
      </dsp:txBody>
      <dsp:txXfrm>
        <a:off x="4111567" y="1506515"/>
        <a:ext cx="1379875" cy="856762"/>
      </dsp:txXfrm>
    </dsp:sp>
    <dsp:sp modelId="{34F61900-C64F-4741-B2C2-5C2B534795D8}">
      <dsp:nvSpPr>
        <dsp:cNvPr id="0" name=""/>
        <dsp:cNvSpPr/>
      </dsp:nvSpPr>
      <dsp:spPr>
        <a:xfrm>
          <a:off x="3925669" y="2655471"/>
          <a:ext cx="1433185" cy="91007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F8E3A49-BD92-4A90-AA38-7BC9AFF80231}">
      <dsp:nvSpPr>
        <dsp:cNvPr id="0" name=""/>
        <dsp:cNvSpPr/>
      </dsp:nvSpPr>
      <dsp:spPr>
        <a:xfrm>
          <a:off x="4084912" y="2806751"/>
          <a:ext cx="1433185" cy="91007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dirty="0" smtClean="0"/>
            <a:t>комбінація </a:t>
          </a:r>
          <a:r>
            <a:rPr lang="ru-RU" sz="1200" kern="1200" dirty="0" err="1" smtClean="0"/>
            <a:t>фторхінолонів</a:t>
          </a:r>
          <a:r>
            <a:rPr lang="ru-RU" sz="1200" kern="1200" dirty="0" smtClean="0"/>
            <a:t> і цефалоспоринів</a:t>
          </a:r>
          <a:endParaRPr lang="ru-RU" sz="1200" kern="1200" dirty="0"/>
        </a:p>
      </dsp:txBody>
      <dsp:txXfrm>
        <a:off x="4111567" y="2833406"/>
        <a:ext cx="1379875" cy="85676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0885B3-5CB4-4D11-B800-901BE50138D2}">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571D6471-EBE5-45D4-A45E-A7B5ABBBE8A8}">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1ABE4624-43A5-4990-AEBA-CA5B7579AD64}">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62C80E34-267A-4511-8B07-C7C8E2596A86}">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FAB6F6-CE0B-4E8E-BBCC-BE7B314E661C}">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9D2E6714-F10D-4F5F-8E36-E98EA1509FE8}">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216ACC62-D2E5-45BF-A76A-D00AA3D0A496}">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77819D55-3A83-480E-B031-0D2A20918B0B}">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4FD374-F99F-4AEB-80B2-3A0C630521FD}">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B8A66C98-8EC4-449D-A37D-6A42962C8DEA}">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B5D92B1C-3CF5-40ED-AD56-0B2AB08E2FC3}">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3B116A8A-82A7-4585-A3F7-194769843BC1}">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07691F-9696-4F28-8EDA-156BE9B89322}">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0FA42033-1EAD-42E2-81CC-FAD0F7AF6248}">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A774086F-3E88-4001-9898-3BF61056481E}">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EA19975F-2999-487F-AA4F-5A9DCE269EE6}">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724A8D-6337-4B36-B0DA-2C54B270FDCC}">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61002" y="1696"/>
        <a:ext cx="2459235" cy="1475541"/>
      </dsp:txXfrm>
    </dsp:sp>
    <dsp:sp modelId="{54844BFD-7FF7-45A4-AAD5-B2E8F73C5EC6}">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2866161" y="1696"/>
        <a:ext cx="2459235" cy="1475541"/>
      </dsp:txXfrm>
    </dsp:sp>
    <dsp:sp modelId="{479CBA73-78CB-44E5-8357-B92E9E420D5F}">
      <dsp:nvSpPr>
        <dsp:cNvPr id="0" name=""/>
        <dsp:cNvSpPr/>
      </dsp:nvSpPr>
      <dsp:spPr>
        <a:xfrm>
          <a:off x="1062508" y="1723161"/>
          <a:ext cx="3361382" cy="1475541"/>
        </a:xfrm>
        <a:prstGeom prst="rect">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062508" y="1723161"/>
        <a:ext cx="3361382" cy="14755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5B8386-6C89-4AEF-9CA5-8E9F315AF212}">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24E6FA99-41F3-448A-BADA-B378026209BF}">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685819D9-B611-41C3-9A0D-A8DBCE599698}">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C59B98D7-39FD-4871-AF74-A865A6C6ED3C}">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89727E-4246-4B76-89EB-D6468BC92A67}">
      <dsp:nvSpPr>
        <dsp:cNvPr id="0" name=""/>
        <dsp:cNvSpPr/>
      </dsp:nvSpPr>
      <dsp:spPr>
        <a:xfrm>
          <a:off x="669" y="169456"/>
          <a:ext cx="2611933" cy="1567160"/>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669" y="169456"/>
        <a:ext cx="2611933" cy="1567160"/>
      </dsp:txXfrm>
    </dsp:sp>
    <dsp:sp modelId="{A0D15F95-8533-4D63-8612-160B4853B7AF}">
      <dsp:nvSpPr>
        <dsp:cNvPr id="0" name=""/>
        <dsp:cNvSpPr/>
      </dsp:nvSpPr>
      <dsp:spPr>
        <a:xfrm>
          <a:off x="2873796" y="169456"/>
          <a:ext cx="2611933" cy="1567160"/>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73796" y="169456"/>
        <a:ext cx="2611933" cy="156716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B3D0F7-CB0F-4722-B869-9780A77212CE}">
      <dsp:nvSpPr>
        <dsp:cNvPr id="0" name=""/>
        <dsp:cNvSpPr/>
      </dsp:nvSpPr>
      <dsp:spPr>
        <a:xfrm>
          <a:off x="431036" y="1434"/>
          <a:ext cx="2202060" cy="1321236"/>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0030" tIns="240030" rIns="240030" bIns="240030" numCol="1" spcCol="1270" anchor="ctr" anchorCtr="0">
          <a:noAutofit/>
        </a:bodyPr>
        <a:lstStyle/>
        <a:p>
          <a:pPr lvl="0" algn="ctr" defTabSz="2800350">
            <a:lnSpc>
              <a:spcPct val="90000"/>
            </a:lnSpc>
            <a:spcBef>
              <a:spcPct val="0"/>
            </a:spcBef>
            <a:spcAft>
              <a:spcPct val="35000"/>
            </a:spcAft>
          </a:pPr>
          <a:endParaRPr lang="ru-RU" sz="6300" kern="1200">
            <a:solidFill>
              <a:sysClr val="windowText" lastClr="000000"/>
            </a:solidFill>
            <a:latin typeface="Times New Roman"/>
            <a:ea typeface="+mn-ea"/>
            <a:cs typeface="+mn-cs"/>
          </a:endParaRPr>
        </a:p>
      </dsp:txBody>
      <dsp:txXfrm>
        <a:off x="431036" y="1434"/>
        <a:ext cx="2202060" cy="1321236"/>
      </dsp:txXfrm>
    </dsp:sp>
    <dsp:sp modelId="{2DDBE040-1BC6-459C-BD72-4674BD134636}">
      <dsp:nvSpPr>
        <dsp:cNvPr id="0" name=""/>
        <dsp:cNvSpPr/>
      </dsp:nvSpPr>
      <dsp:spPr>
        <a:xfrm>
          <a:off x="2853303" y="1434"/>
          <a:ext cx="2202060" cy="1321236"/>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0030" tIns="240030" rIns="240030" bIns="240030" numCol="1" spcCol="1270" anchor="ctr" anchorCtr="0">
          <a:noAutofit/>
        </a:bodyPr>
        <a:lstStyle/>
        <a:p>
          <a:pPr lvl="0" algn="ctr" defTabSz="2800350">
            <a:lnSpc>
              <a:spcPct val="90000"/>
            </a:lnSpc>
            <a:spcBef>
              <a:spcPct val="0"/>
            </a:spcBef>
            <a:spcAft>
              <a:spcPct val="35000"/>
            </a:spcAft>
          </a:pPr>
          <a:endParaRPr lang="ru-RU" sz="6300" kern="1200">
            <a:solidFill>
              <a:sysClr val="windowText" lastClr="000000"/>
            </a:solidFill>
            <a:latin typeface="Times New Roman"/>
            <a:ea typeface="+mn-ea"/>
            <a:cs typeface="+mn-cs"/>
          </a:endParaRPr>
        </a:p>
      </dsp:txBody>
      <dsp:txXfrm>
        <a:off x="2853303" y="1434"/>
        <a:ext cx="2202060" cy="1321236"/>
      </dsp:txXfrm>
    </dsp:sp>
    <dsp:sp modelId="{322B89D2-96FF-4F26-AAF9-52A9F98DFD96}">
      <dsp:nvSpPr>
        <dsp:cNvPr id="0" name=""/>
        <dsp:cNvSpPr/>
      </dsp:nvSpPr>
      <dsp:spPr>
        <a:xfrm>
          <a:off x="431036" y="1542877"/>
          <a:ext cx="2202060" cy="1321236"/>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0030" tIns="240030" rIns="240030" bIns="240030" numCol="1" spcCol="1270" anchor="ctr" anchorCtr="0">
          <a:noAutofit/>
        </a:bodyPr>
        <a:lstStyle/>
        <a:p>
          <a:pPr lvl="0" algn="ctr" defTabSz="2800350">
            <a:lnSpc>
              <a:spcPct val="90000"/>
            </a:lnSpc>
            <a:spcBef>
              <a:spcPct val="0"/>
            </a:spcBef>
            <a:spcAft>
              <a:spcPct val="35000"/>
            </a:spcAft>
          </a:pPr>
          <a:endParaRPr lang="ru-RU" sz="6300" kern="1200">
            <a:solidFill>
              <a:sysClr val="windowText" lastClr="000000"/>
            </a:solidFill>
            <a:latin typeface="Times New Roman"/>
            <a:ea typeface="+mn-ea"/>
            <a:cs typeface="+mn-cs"/>
          </a:endParaRPr>
        </a:p>
      </dsp:txBody>
      <dsp:txXfrm>
        <a:off x="431036" y="1542877"/>
        <a:ext cx="2202060" cy="1321236"/>
      </dsp:txXfrm>
    </dsp:sp>
    <dsp:sp modelId="{9CB9A3D9-9BFB-46A4-81CE-1680423DBECA}">
      <dsp:nvSpPr>
        <dsp:cNvPr id="0" name=""/>
        <dsp:cNvSpPr/>
      </dsp:nvSpPr>
      <dsp:spPr>
        <a:xfrm>
          <a:off x="2853303" y="1542877"/>
          <a:ext cx="2202060" cy="1321236"/>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0030" tIns="240030" rIns="240030" bIns="240030" numCol="1" spcCol="1270" anchor="ctr" anchorCtr="0">
          <a:noAutofit/>
        </a:bodyPr>
        <a:lstStyle/>
        <a:p>
          <a:pPr lvl="0" algn="ctr" defTabSz="2800350">
            <a:lnSpc>
              <a:spcPct val="90000"/>
            </a:lnSpc>
            <a:spcBef>
              <a:spcPct val="0"/>
            </a:spcBef>
            <a:spcAft>
              <a:spcPct val="35000"/>
            </a:spcAft>
          </a:pPr>
          <a:endParaRPr lang="ru-RU" sz="6300" kern="1200">
            <a:solidFill>
              <a:sysClr val="windowText" lastClr="000000"/>
            </a:solidFill>
            <a:latin typeface="Times New Roman"/>
            <a:ea typeface="+mn-ea"/>
            <a:cs typeface="+mn-cs"/>
          </a:endParaRPr>
        </a:p>
      </dsp:txBody>
      <dsp:txXfrm>
        <a:off x="2853303" y="1542877"/>
        <a:ext cx="2202060" cy="132123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3092F6-2D10-418C-BE87-C3C3084F35AD}">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57679520-E1EA-42E0-897C-C0195BED761D}">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72474F24-CC88-4677-B48A-C72A6D5D4933}">
      <dsp:nvSpPr>
        <dsp:cNvPr id="0" name=""/>
        <dsp:cNvSpPr/>
      </dsp:nvSpPr>
      <dsp:spPr>
        <a:xfrm>
          <a:off x="151358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513582" y="1723161"/>
        <a:ext cx="2459235" cy="147554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D3FF30-50CD-4C77-BE10-A40641CB2242}">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61002" y="1696"/>
        <a:ext cx="2459235" cy="1475541"/>
      </dsp:txXfrm>
    </dsp:sp>
    <dsp:sp modelId="{717A6010-66D6-4744-B5F5-1DE264EC162A}">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2866161" y="1696"/>
        <a:ext cx="2459235" cy="1475541"/>
      </dsp:txXfrm>
    </dsp:sp>
    <dsp:sp modelId="{D454588D-C816-489F-8EB5-984BF3D3C4D5}">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61002" y="1723161"/>
        <a:ext cx="2459235" cy="1475541"/>
      </dsp:txXfrm>
    </dsp:sp>
    <dsp:sp modelId="{0ED16B8A-6C1F-43E0-A2B3-A15F5B45B1B5}">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2866161" y="1723161"/>
        <a:ext cx="2459235" cy="147554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0A5ACA-1B68-4556-8DD1-C207A70656DA}">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61002" y="1696"/>
        <a:ext cx="2459235" cy="1475541"/>
      </dsp:txXfrm>
    </dsp:sp>
    <dsp:sp modelId="{C9F46C44-1F9D-47AC-8F2C-8EE09B8A54D3}">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2866161" y="1696"/>
        <a:ext cx="2459235" cy="1475541"/>
      </dsp:txXfrm>
    </dsp:sp>
    <dsp:sp modelId="{E0E76FB5-33CF-4346-A37B-953F5CF2C9F5}">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161002" y="1723161"/>
        <a:ext cx="2459235" cy="1475541"/>
      </dsp:txXfrm>
    </dsp:sp>
    <dsp:sp modelId="{773B904E-E86F-4F9A-ABF4-2CC48C236A2A}">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 lastClr="FFFFFF"/>
            </a:solidFill>
            <a:latin typeface="Times New Roman"/>
            <a:ea typeface="+mn-ea"/>
            <a:cs typeface="+mn-cs"/>
          </a:endParaRPr>
        </a:p>
      </dsp:txBody>
      <dsp:txXfrm>
        <a:off x="2866161" y="1723161"/>
        <a:ext cx="2459235" cy="147554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D3F2A7-FC9D-4669-BEC3-CD6A99610ADF}">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6CED8E3F-524F-4C0C-9799-3B6D7584D8CE}">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BACBF52A-EAFE-4C29-8C96-A4053873FBC3}">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9D8EB361-402E-4CD6-9285-72770AB24C24}">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7BCB06-E87B-46D9-B4DF-530E8BC4C507}">
      <dsp:nvSpPr>
        <dsp:cNvPr id="0" name=""/>
        <dsp:cNvSpPr/>
      </dsp:nvSpPr>
      <dsp:spPr>
        <a:xfrm>
          <a:off x="161002" y="1696"/>
          <a:ext cx="2459235" cy="1475541"/>
        </a:xfrm>
        <a:prstGeom prst="rect">
          <a:avLst/>
        </a:prstGeom>
        <a:blipFill rotWithShape="0">
          <a:blip xmlns:r="http://schemas.openxmlformats.org/officeDocument/2006/relationships" r:embed="rId1"/>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696"/>
        <a:ext cx="2459235" cy="1475541"/>
      </dsp:txXfrm>
    </dsp:sp>
    <dsp:sp modelId="{54390CA5-241F-4681-B63D-79ADFDFF74B3}">
      <dsp:nvSpPr>
        <dsp:cNvPr id="0" name=""/>
        <dsp:cNvSpPr/>
      </dsp:nvSpPr>
      <dsp:spPr>
        <a:xfrm>
          <a:off x="2866161" y="1696"/>
          <a:ext cx="2459235" cy="1475541"/>
        </a:xfrm>
        <a:prstGeom prst="rect">
          <a:avLst/>
        </a:prstGeom>
        <a:blipFill rotWithShape="0">
          <a:blip xmlns:r="http://schemas.openxmlformats.org/officeDocument/2006/relationships" r:embed="rId2"/>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696"/>
        <a:ext cx="2459235" cy="1475541"/>
      </dsp:txXfrm>
    </dsp:sp>
    <dsp:sp modelId="{2A3C5D29-AADB-43EF-8172-F74D583949FE}">
      <dsp:nvSpPr>
        <dsp:cNvPr id="0" name=""/>
        <dsp:cNvSpPr/>
      </dsp:nvSpPr>
      <dsp:spPr>
        <a:xfrm>
          <a:off x="161002" y="1723161"/>
          <a:ext cx="2459235" cy="1475541"/>
        </a:xfrm>
        <a:prstGeom prst="rect">
          <a:avLst/>
        </a:prstGeom>
        <a:blipFill rotWithShape="0">
          <a:blip xmlns:r="http://schemas.openxmlformats.org/officeDocument/2006/relationships" r:embed="rId3"/>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161002" y="1723161"/>
        <a:ext cx="2459235" cy="1475541"/>
      </dsp:txXfrm>
    </dsp:sp>
    <dsp:sp modelId="{68AAB54E-3CCF-40B5-88F6-4153C57DCBCD}">
      <dsp:nvSpPr>
        <dsp:cNvPr id="0" name=""/>
        <dsp:cNvSpPr/>
      </dsp:nvSpPr>
      <dsp:spPr>
        <a:xfrm>
          <a:off x="2866161" y="1723161"/>
          <a:ext cx="2459235" cy="1475541"/>
        </a:xfrm>
        <a:prstGeom prst="rect">
          <a:avLst/>
        </a:prstGeom>
        <a:blipFill rotWithShape="0">
          <a:blip xmlns:r="http://schemas.openxmlformats.org/officeDocument/2006/relationships" r:embed="rId4"/>
          <a:stretch>
            <a:fillRect/>
          </a:stretch>
        </a:blip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ru-RU" sz="6500" kern="1200">
            <a:solidFill>
              <a:sysClr val="windowText" lastClr="000000"/>
            </a:solidFill>
            <a:latin typeface="Times New Roman"/>
            <a:ea typeface="+mn-ea"/>
            <a:cs typeface="+mn-cs"/>
          </a:endParaRPr>
        </a:p>
      </dsp:txBody>
      <dsp:txXfrm>
        <a:off x="2866161" y="1723161"/>
        <a:ext cx="2459235" cy="147554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0.2324</cdr:x>
      <cdr:y>0.07057</cdr:y>
    </cdr:from>
    <cdr:to>
      <cdr:x>0.3439</cdr:x>
      <cdr:y>0.19637</cdr:y>
    </cdr:to>
    <cdr:sp macro="" textlink="">
      <cdr:nvSpPr>
        <cdr:cNvPr id="2" name="Поле 1"/>
        <cdr:cNvSpPr txBox="1"/>
      </cdr:nvSpPr>
      <cdr:spPr>
        <a:xfrm xmlns:a="http://schemas.openxmlformats.org/drawingml/2006/main">
          <a:off x="1275024" y="148099"/>
          <a:ext cx="611734" cy="26401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r>
            <a:rPr lang="ru-RU" sz="1100" b="1" baseline="30000">
              <a:latin typeface="Calibri"/>
              <a:cs typeface="Calibri"/>
            </a:rPr>
            <a:t>*</a:t>
          </a:r>
          <a:endParaRPr lang="ru-RU" sz="1100" b="1">
            <a:latin typeface="+mn-lt"/>
          </a:endParaRPr>
        </a:p>
      </cdr:txBody>
    </cdr:sp>
  </cdr:relSizeAnchor>
  <cdr:relSizeAnchor xmlns:cdr="http://schemas.openxmlformats.org/drawingml/2006/chartDrawing">
    <cdr:from>
      <cdr:x>0.46009</cdr:x>
      <cdr:y>0.07057</cdr:y>
    </cdr:from>
    <cdr:to>
      <cdr:x>0.56573</cdr:x>
      <cdr:y>0.20251</cdr:y>
    </cdr:to>
    <cdr:sp macro="" textlink="">
      <cdr:nvSpPr>
        <cdr:cNvPr id="3" name="Поле 2"/>
        <cdr:cNvSpPr txBox="1"/>
      </cdr:nvSpPr>
      <cdr:spPr>
        <a:xfrm xmlns:a="http://schemas.openxmlformats.org/drawingml/2006/main">
          <a:off x="2524237" y="148106"/>
          <a:ext cx="579584" cy="2768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r>
            <a:rPr lang="ru-RU" sz="1100" b="1" baseline="30000">
              <a:latin typeface="Calibri"/>
              <a:cs typeface="Calibri"/>
            </a:rPr>
            <a:t>**</a:t>
          </a:r>
          <a:endParaRPr lang="ru-RU" sz="1100" b="1">
            <a:latin typeface="+mn-lt"/>
          </a:endParaRPr>
        </a:p>
      </cdr:txBody>
    </cdr:sp>
  </cdr:relSizeAnchor>
  <cdr:relSizeAnchor xmlns:cdr="http://schemas.openxmlformats.org/drawingml/2006/chartDrawing">
    <cdr:from>
      <cdr:x>0.69718</cdr:x>
      <cdr:y>0.0583</cdr:y>
    </cdr:from>
    <cdr:to>
      <cdr:x>0.79695</cdr:x>
      <cdr:y>0.19637</cdr:y>
    </cdr:to>
    <cdr:sp macro="" textlink="">
      <cdr:nvSpPr>
        <cdr:cNvPr id="4" name="Поле 3"/>
        <cdr:cNvSpPr txBox="1"/>
      </cdr:nvSpPr>
      <cdr:spPr>
        <a:xfrm xmlns:a="http://schemas.openxmlformats.org/drawingml/2006/main">
          <a:off x="3825019" y="122360"/>
          <a:ext cx="547379" cy="28976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r>
            <a:rPr lang="ru-RU" sz="1100" b="1" baseline="30000">
              <a:latin typeface="Calibri"/>
              <a:cs typeface="Calibri"/>
            </a:rPr>
            <a:t>***</a:t>
          </a:r>
          <a:endParaRPr lang="ru-RU" sz="1100" b="1">
            <a:latin typeface="+mn-lt"/>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0.58569</cdr:x>
      <cdr:y>0.06291</cdr:y>
    </cdr:from>
    <cdr:to>
      <cdr:x>0.62273</cdr:x>
      <cdr:y>0.16671</cdr:y>
    </cdr:to>
    <cdr:sp macro="" textlink="">
      <cdr:nvSpPr>
        <cdr:cNvPr id="2" name="Поле 1"/>
        <cdr:cNvSpPr txBox="1"/>
      </cdr:nvSpPr>
      <cdr:spPr>
        <a:xfrm xmlns:a="http://schemas.openxmlformats.org/drawingml/2006/main">
          <a:off x="3258355" y="128789"/>
          <a:ext cx="206062" cy="21250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Calibri"/>
              <a:cs typeface="Calibri"/>
            </a:rPr>
            <a:t>*</a:t>
          </a:r>
          <a:endParaRPr lang="ru-RU" sz="1100" b="1"/>
        </a:p>
      </cdr:txBody>
    </cdr:sp>
  </cdr:relSizeAnchor>
  <cdr:relSizeAnchor xmlns:cdr="http://schemas.openxmlformats.org/drawingml/2006/chartDrawing">
    <cdr:from>
      <cdr:x>0.75353</cdr:x>
      <cdr:y>0.06291</cdr:y>
    </cdr:from>
    <cdr:to>
      <cdr:x>0.80215</cdr:x>
      <cdr:y>0.173</cdr:y>
    </cdr:to>
    <cdr:sp macro="" textlink="">
      <cdr:nvSpPr>
        <cdr:cNvPr id="3" name="Поле 2"/>
        <cdr:cNvSpPr txBox="1"/>
      </cdr:nvSpPr>
      <cdr:spPr>
        <a:xfrm xmlns:a="http://schemas.openxmlformats.org/drawingml/2006/main">
          <a:off x="4192073" y="128790"/>
          <a:ext cx="270456" cy="22538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Calibri"/>
              <a:cs typeface="Calibri"/>
            </a:rPr>
            <a:t>**</a:t>
          </a:r>
          <a:endParaRPr lang="ru-RU" sz="1100" b="1"/>
        </a:p>
      </cdr:txBody>
    </cdr:sp>
  </cdr:relSizeAnchor>
</c:userShapes>
</file>

<file path=word/drawings/drawing3.xml><?xml version="1.0" encoding="utf-8"?>
<c:userShapes xmlns:c="http://schemas.openxmlformats.org/drawingml/2006/chart">
  <cdr:relSizeAnchor xmlns:cdr="http://schemas.openxmlformats.org/drawingml/2006/chartDrawing">
    <cdr:from>
      <cdr:x>0.30752</cdr:x>
      <cdr:y>0.07024</cdr:y>
    </cdr:from>
    <cdr:to>
      <cdr:x>0.40611</cdr:x>
      <cdr:y>0.2174</cdr:y>
    </cdr:to>
    <cdr:sp macro="" textlink="">
      <cdr:nvSpPr>
        <cdr:cNvPr id="2" name="Поле 1"/>
        <cdr:cNvSpPr txBox="1"/>
      </cdr:nvSpPr>
      <cdr:spPr>
        <a:xfrm xmlns:a="http://schemas.openxmlformats.org/drawingml/2006/main">
          <a:off x="1687156" y="135235"/>
          <a:ext cx="540905" cy="28333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0.63263</cdr:x>
      <cdr:y>0.04667</cdr:y>
    </cdr:from>
    <cdr:to>
      <cdr:x>0.72535</cdr:x>
      <cdr:y>0.18668</cdr:y>
    </cdr:to>
    <cdr:sp macro="" textlink="">
      <cdr:nvSpPr>
        <cdr:cNvPr id="2" name="Поле 1"/>
        <cdr:cNvSpPr txBox="1"/>
      </cdr:nvSpPr>
      <cdr:spPr>
        <a:xfrm xmlns:a="http://schemas.openxmlformats.org/drawingml/2006/main">
          <a:off x="3470856" y="90152"/>
          <a:ext cx="508699" cy="2704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dr:relSizeAnchor xmlns:cdr="http://schemas.openxmlformats.org/drawingml/2006/chartDrawing">
    <cdr:from>
      <cdr:x>0.32629</cdr:x>
      <cdr:y>0.06001</cdr:y>
    </cdr:from>
    <cdr:to>
      <cdr:x>0.42019</cdr:x>
      <cdr:y>0.19668</cdr:y>
    </cdr:to>
    <cdr:sp macro="" textlink="">
      <cdr:nvSpPr>
        <cdr:cNvPr id="3" name="Поле 2"/>
        <cdr:cNvSpPr txBox="1"/>
      </cdr:nvSpPr>
      <cdr:spPr>
        <a:xfrm xmlns:a="http://schemas.openxmlformats.org/drawingml/2006/main">
          <a:off x="1790144" y="115916"/>
          <a:ext cx="515173" cy="26400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0.31925</cdr:x>
      <cdr:y>0.06384</cdr:y>
    </cdr:from>
    <cdr:to>
      <cdr:x>0.41315</cdr:x>
      <cdr:y>0.17935</cdr:y>
    </cdr:to>
    <cdr:sp macro="" textlink="">
      <cdr:nvSpPr>
        <cdr:cNvPr id="2" name="Поле 1"/>
        <cdr:cNvSpPr txBox="1"/>
      </cdr:nvSpPr>
      <cdr:spPr>
        <a:xfrm xmlns:a="http://schemas.openxmlformats.org/drawingml/2006/main">
          <a:off x="1751512" y="135231"/>
          <a:ext cx="515173" cy="24469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dr:relSizeAnchor xmlns:cdr="http://schemas.openxmlformats.org/drawingml/2006/chartDrawing">
    <cdr:from>
      <cdr:x>0.62911</cdr:x>
      <cdr:y>0.06384</cdr:y>
    </cdr:from>
    <cdr:to>
      <cdr:x>0.72418</cdr:x>
      <cdr:y>0.19151</cdr:y>
    </cdr:to>
    <cdr:sp macro="" textlink="">
      <cdr:nvSpPr>
        <cdr:cNvPr id="3" name="Поле 2"/>
        <cdr:cNvSpPr txBox="1"/>
      </cdr:nvSpPr>
      <cdr:spPr>
        <a:xfrm xmlns:a="http://schemas.openxmlformats.org/drawingml/2006/main">
          <a:off x="3451543" y="135230"/>
          <a:ext cx="521592" cy="27045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0.31925</cdr:x>
      <cdr:y>0.07121</cdr:y>
    </cdr:from>
    <cdr:to>
      <cdr:x>0.41549</cdr:x>
      <cdr:y>0.22334</cdr:y>
    </cdr:to>
    <cdr:sp macro="" textlink="">
      <cdr:nvSpPr>
        <cdr:cNvPr id="2" name="Поле 1"/>
        <cdr:cNvSpPr txBox="1"/>
      </cdr:nvSpPr>
      <cdr:spPr>
        <a:xfrm xmlns:a="http://schemas.openxmlformats.org/drawingml/2006/main">
          <a:off x="1751525" y="141669"/>
          <a:ext cx="528011" cy="30265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dr:relSizeAnchor xmlns:cdr="http://schemas.openxmlformats.org/drawingml/2006/chartDrawing">
    <cdr:from>
      <cdr:x>0.62911</cdr:x>
      <cdr:y>0.06473</cdr:y>
    </cdr:from>
    <cdr:to>
      <cdr:x>0.723</cdr:x>
      <cdr:y>0.21039</cdr:y>
    </cdr:to>
    <cdr:sp macro="" textlink="">
      <cdr:nvSpPr>
        <cdr:cNvPr id="3" name="Поле 2"/>
        <cdr:cNvSpPr txBox="1"/>
      </cdr:nvSpPr>
      <cdr:spPr>
        <a:xfrm xmlns:a="http://schemas.openxmlformats.org/drawingml/2006/main">
          <a:off x="3451551" y="128783"/>
          <a:ext cx="515118" cy="28978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mn-lt"/>
            </a:rPr>
            <a:t>р</a:t>
          </a:r>
          <a:r>
            <a:rPr lang="ru-RU" sz="1100" b="1">
              <a:latin typeface="+mn-lt"/>
              <a:cs typeface="Times New Roman"/>
            </a:rPr>
            <a:t>≤0,05</a:t>
          </a:r>
          <a:endParaRPr lang="ru-RU" sz="1100" b="1">
            <a:latin typeface="+mn-lt"/>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0.17958</cdr:x>
      <cdr:y>0.57461</cdr:y>
    </cdr:from>
    <cdr:to>
      <cdr:x>0.22887</cdr:x>
      <cdr:y>0.65708</cdr:y>
    </cdr:to>
    <cdr:sp macro="" textlink="">
      <cdr:nvSpPr>
        <cdr:cNvPr id="2" name="Поле 1"/>
        <cdr:cNvSpPr txBox="1"/>
      </cdr:nvSpPr>
      <cdr:spPr>
        <a:xfrm xmlns:a="http://schemas.openxmlformats.org/drawingml/2006/main">
          <a:off x="985234" y="1390918"/>
          <a:ext cx="270456" cy="19962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Calibri"/>
              <a:cs typeface="Calibri"/>
            </a:rPr>
            <a:t>*</a:t>
          </a:r>
          <a:endParaRPr lang="ru-RU" sz="1100" b="1"/>
        </a:p>
      </cdr:txBody>
    </cdr:sp>
  </cdr:relSizeAnchor>
  <cdr:relSizeAnchor xmlns:cdr="http://schemas.openxmlformats.org/drawingml/2006/chartDrawing">
    <cdr:from>
      <cdr:x>0.36854</cdr:x>
      <cdr:y>0.53471</cdr:y>
    </cdr:from>
    <cdr:to>
      <cdr:x>0.41901</cdr:x>
      <cdr:y>0.61718</cdr:y>
    </cdr:to>
    <cdr:sp macro="" textlink="">
      <cdr:nvSpPr>
        <cdr:cNvPr id="3" name="Поле 2"/>
        <cdr:cNvSpPr txBox="1"/>
      </cdr:nvSpPr>
      <cdr:spPr>
        <a:xfrm xmlns:a="http://schemas.openxmlformats.org/drawingml/2006/main">
          <a:off x="2021984" y="1294326"/>
          <a:ext cx="276896" cy="19962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Calibri"/>
              <a:cs typeface="Calibri"/>
            </a:rPr>
            <a:t>**</a:t>
          </a:r>
          <a:endParaRPr lang="ru-RU" sz="1100" b="1"/>
        </a:p>
      </cdr:txBody>
    </cdr:sp>
  </cdr:relSizeAnchor>
  <cdr:relSizeAnchor xmlns:cdr="http://schemas.openxmlformats.org/drawingml/2006/chartDrawing">
    <cdr:from>
      <cdr:x>0.57277</cdr:x>
      <cdr:y>0.52673</cdr:y>
    </cdr:from>
    <cdr:to>
      <cdr:x>0.61972</cdr:x>
      <cdr:y>0.6358</cdr:y>
    </cdr:to>
    <cdr:sp macro="" textlink="">
      <cdr:nvSpPr>
        <cdr:cNvPr id="4" name="Поле 3"/>
        <cdr:cNvSpPr txBox="1"/>
      </cdr:nvSpPr>
      <cdr:spPr>
        <a:xfrm xmlns:a="http://schemas.openxmlformats.org/drawingml/2006/main">
          <a:off x="3142444" y="1275007"/>
          <a:ext cx="257578" cy="26401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b="1">
              <a:latin typeface="Times New Roman"/>
              <a:cs typeface="Times New Roman"/>
            </a:rPr>
            <a:t>#</a:t>
          </a:r>
          <a:endParaRPr lang="ru-RU" sz="1100" b="1"/>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15</TotalTime>
  <Pages>175</Pages>
  <Words>37492</Words>
  <Characters>213708</Characters>
  <Application>Microsoft Office Word</Application>
  <DocSecurity>0</DocSecurity>
  <Lines>1780</Lines>
  <Paragraphs>501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250699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777</cp:lastModifiedBy>
  <cp:revision>7</cp:revision>
  <cp:lastPrinted>2015-06-18T20:13:00Z</cp:lastPrinted>
  <dcterms:created xsi:type="dcterms:W3CDTF">2015-11-09T20:29:00Z</dcterms:created>
  <dcterms:modified xsi:type="dcterms:W3CDTF">2015-11-09T20:46:00Z</dcterms:modified>
</cp:coreProperties>
</file>