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6CC" w:rsidRDefault="00851AD0">
      <w:pPr>
        <w:spacing w:after="135" w:line="240" w:lineRule="auto"/>
        <w:ind w:left="0" w:right="141" w:firstLine="0"/>
        <w:jc w:val="right"/>
      </w:pPr>
      <w:r>
        <w:rPr>
          <w:b/>
          <w:sz w:val="24"/>
        </w:rPr>
        <w:t>ISSN 2312-7007</w:t>
      </w:r>
    </w:p>
    <w:p w:rsidR="006266CC" w:rsidRDefault="00851AD0" w:rsidP="00851AD0">
      <w:pPr>
        <w:numPr>
          <w:ilvl w:val="0"/>
          <w:numId w:val="1"/>
        </w:numPr>
        <w:spacing w:after="15"/>
        <w:ind w:right="2"/>
      </w:pPr>
      <w:r>
        <w:rPr>
          <w:sz w:val="18"/>
        </w:rPr>
        <w:t>Превентивная иммобилизация в</w:t>
      </w:r>
      <w:r>
        <w:rPr>
          <w:sz w:val="18"/>
        </w:rPr>
        <w:t xml:space="preserve"> системе лечения больных с политравмой / Г. В. Гайко, А. Н. Костюк, А. Н. Косяков [и др.] // Политравма. – 2009. – №2. – С. 5–12.</w:t>
      </w:r>
    </w:p>
    <w:p w:rsidR="006266CC" w:rsidRPr="00D138DA" w:rsidRDefault="00851AD0" w:rsidP="00851AD0">
      <w:pPr>
        <w:numPr>
          <w:ilvl w:val="0"/>
          <w:numId w:val="1"/>
        </w:numPr>
        <w:spacing w:after="15"/>
        <w:ind w:right="2"/>
        <w:rPr>
          <w:lang w:val="en-US"/>
        </w:rPr>
      </w:pPr>
      <w:r w:rsidRPr="00D138DA">
        <w:rPr>
          <w:sz w:val="18"/>
          <w:lang w:val="en-US"/>
        </w:rPr>
        <w:t>Knegt C. Applicability of the trimodal distribution of trauma deaths in a Level I trauma centre in the Netherlands with a popu</w:t>
      </w:r>
      <w:r w:rsidRPr="00D138DA">
        <w:rPr>
          <w:sz w:val="18"/>
          <w:lang w:val="en-US"/>
        </w:rPr>
        <w:t>lation of mainly blunt trauma / C. Knegt, S. A. G. Meylaerts1, L. P. H. Leenen // Injury. – 2008. – Vol.39, № 9. – P. 993–1000.</w:t>
      </w:r>
    </w:p>
    <w:p w:rsidR="006266CC" w:rsidRDefault="00851AD0" w:rsidP="00851AD0">
      <w:pPr>
        <w:numPr>
          <w:ilvl w:val="0"/>
          <w:numId w:val="1"/>
        </w:numPr>
        <w:spacing w:after="259"/>
        <w:ind w:right="2"/>
      </w:pPr>
      <w:r w:rsidRPr="00D138DA">
        <w:rPr>
          <w:sz w:val="18"/>
          <w:lang w:val="en-US"/>
        </w:rPr>
        <w:t xml:space="preserve">Nespoli A. I traumi addominali complessi: opzioni terapeutiche / A. Nespoli, L. Gianotti // Ann. </w:t>
      </w:r>
      <w:r>
        <w:rPr>
          <w:sz w:val="18"/>
        </w:rPr>
        <w:t>Ital. Chir. – 2005. – Vol. 76, №2. – P. 115–117.</w:t>
      </w:r>
    </w:p>
    <w:p w:rsidR="006266CC" w:rsidRDefault="00851AD0">
      <w:pPr>
        <w:spacing w:after="15"/>
        <w:ind w:left="278" w:right="2" w:firstLine="0"/>
      </w:pPr>
      <w:r>
        <w:rPr>
          <w:sz w:val="18"/>
        </w:rPr>
        <w:t>Надійшла 01.07.2014 року.</w:t>
      </w:r>
    </w:p>
    <w:tbl>
      <w:tblPr>
        <w:tblStyle w:val="TableGrid"/>
        <w:tblpPr w:vertAnchor="text" w:horzAnchor="margin" w:tblpY="-8194"/>
        <w:tblOverlap w:val="never"/>
        <w:tblW w:w="9649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9649"/>
      </w:tblGrid>
      <w:tr w:rsidR="006266CC">
        <w:tc>
          <w:tcPr>
            <w:tcW w:w="9647" w:type="dxa"/>
            <w:tcBorders>
              <w:top w:val="nil"/>
              <w:left w:val="nil"/>
              <w:bottom w:val="nil"/>
              <w:right w:val="nil"/>
            </w:tcBorders>
          </w:tcPr>
          <w:p w:rsidR="006266CC" w:rsidRDefault="00851AD0">
            <w:pPr>
              <w:spacing w:after="40" w:line="240" w:lineRule="auto"/>
              <w:ind w:left="0" w:right="0" w:firstLine="0"/>
              <w:jc w:val="left"/>
            </w:pPr>
            <w:r>
              <w:rPr>
                <w:sz w:val="18"/>
              </w:rPr>
              <w:t>УДК 616.37-002-036.11</w:t>
            </w:r>
          </w:p>
          <w:p w:rsidR="006266CC" w:rsidRDefault="00851AD0">
            <w:pPr>
              <w:spacing w:after="32" w:line="221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ПЕРЕГЛЯД КЛАСИФІКАЦІЇ ГОСТРОГО ПАНКРЕАТИТУ, ЩО БУЛА ПРИЙНЯТА В АТЛАНТІ, ІНТЕРНАЦІОНАЛЬНИМ КОНСЕНСУСОМ У 2012 Р.</w:t>
            </w:r>
          </w:p>
          <w:p w:rsidR="006266CC" w:rsidRDefault="00851AD0">
            <w:pPr>
              <w:spacing w:after="31" w:line="240" w:lineRule="auto"/>
              <w:ind w:left="43" w:right="0" w:firstLine="0"/>
            </w:pPr>
            <w:r>
              <w:rPr>
                <w:b/>
                <w:sz w:val="22"/>
              </w:rPr>
              <w:t>О. Ю. Усенко, І. А. Криворучко, В. М. Копчак, Н. М. Гончарова, С. М. Балака, С. М. Тесленко,</w:t>
            </w:r>
          </w:p>
          <w:p w:rsidR="006266CC" w:rsidRDefault="00851AD0">
            <w:pPr>
              <w:spacing w:after="27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С. А. Андреєщев</w:t>
            </w:r>
          </w:p>
          <w:p w:rsidR="006266CC" w:rsidRDefault="00851AD0">
            <w:pPr>
              <w:spacing w:after="27" w:line="240" w:lineRule="auto"/>
              <w:ind w:left="0" w:right="0" w:firstLine="0"/>
              <w:jc w:val="center"/>
            </w:pPr>
            <w:r>
              <w:rPr>
                <w:sz w:val="22"/>
              </w:rPr>
              <w:t>Національний інститут хірургії та т</w:t>
            </w:r>
            <w:r>
              <w:rPr>
                <w:sz w:val="22"/>
              </w:rPr>
              <w:t>рансплантології ім. О.О.Шалімова НАМН України</w:t>
            </w:r>
          </w:p>
          <w:p w:rsidR="006266CC" w:rsidRDefault="00851AD0">
            <w:pPr>
              <w:spacing w:after="271" w:line="240" w:lineRule="auto"/>
              <w:ind w:left="0" w:right="0" w:firstLine="0"/>
              <w:jc w:val="center"/>
            </w:pPr>
            <w:r>
              <w:rPr>
                <w:sz w:val="22"/>
              </w:rPr>
              <w:t>Харківський національний медичний університет МОЗ України</w:t>
            </w:r>
          </w:p>
          <w:p w:rsidR="006266CC" w:rsidRDefault="00851AD0">
            <w:pPr>
              <w:spacing w:after="32" w:line="221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ПЕРЕСМОТР КЛАССИФИКАЦИИ ОСТРОГО ПАНКРЕАТИТА, КОТОРАЯ БЫЛА ПРИНЯТА В АТЛАНТЕ, ИНТЕРНАЦИОНАЛЬНЫМ КОНСЕНСУСОМ В 2012 Г.</w:t>
            </w:r>
          </w:p>
          <w:p w:rsidR="006266CC" w:rsidRDefault="00851AD0">
            <w:pPr>
              <w:spacing w:after="31" w:line="240" w:lineRule="auto"/>
              <w:ind w:left="72" w:right="0" w:firstLine="0"/>
            </w:pPr>
            <w:r>
              <w:rPr>
                <w:b/>
                <w:sz w:val="22"/>
              </w:rPr>
              <w:t>А. Ю. Усенко, И. А. Криворучко, В. М. Копчак, Н. Н. Гончарова, С. Н. Балака, С. Н. Тесленко,</w:t>
            </w:r>
          </w:p>
          <w:p w:rsidR="006266CC" w:rsidRDefault="00851AD0">
            <w:pPr>
              <w:spacing w:after="27" w:line="240" w:lineRule="auto"/>
              <w:ind w:left="0" w:right="0" w:firstLine="0"/>
              <w:jc w:val="center"/>
            </w:pPr>
            <w:r>
              <w:rPr>
                <w:b/>
                <w:sz w:val="22"/>
              </w:rPr>
              <w:t>С. А. Андреещев</w:t>
            </w:r>
          </w:p>
          <w:p w:rsidR="006266CC" w:rsidRDefault="00851AD0">
            <w:pPr>
              <w:spacing w:after="27" w:line="240" w:lineRule="auto"/>
              <w:ind w:left="0" w:right="0" w:firstLine="0"/>
              <w:jc w:val="center"/>
            </w:pPr>
            <w:r>
              <w:rPr>
                <w:sz w:val="22"/>
              </w:rPr>
              <w:t>Национальній институт хирургии и трансплантологии им. А.А.Шалимова НАМН Украины</w:t>
            </w:r>
          </w:p>
          <w:p w:rsidR="006266CC" w:rsidRDefault="00851AD0">
            <w:pPr>
              <w:spacing w:after="271" w:line="240" w:lineRule="auto"/>
              <w:ind w:left="0" w:right="0" w:firstLine="0"/>
              <w:jc w:val="center"/>
            </w:pPr>
            <w:r>
              <w:rPr>
                <w:sz w:val="22"/>
              </w:rPr>
              <w:t>Харковский национальный медицинский университет МЗ Украины</w:t>
            </w:r>
          </w:p>
          <w:p w:rsidR="006266CC" w:rsidRPr="00D138DA" w:rsidRDefault="00851AD0">
            <w:pPr>
              <w:spacing w:after="32" w:line="221" w:lineRule="auto"/>
              <w:ind w:left="0" w:right="0" w:firstLine="0"/>
              <w:jc w:val="center"/>
              <w:rPr>
                <w:lang w:val="en-US"/>
              </w:rPr>
            </w:pPr>
            <w:r w:rsidRPr="00D138DA">
              <w:rPr>
                <w:b/>
                <w:sz w:val="22"/>
                <w:lang w:val="en-US"/>
              </w:rPr>
              <w:t>THE REVI</w:t>
            </w:r>
            <w:r w:rsidRPr="00D138DA">
              <w:rPr>
                <w:b/>
                <w:sz w:val="22"/>
                <w:lang w:val="en-US"/>
              </w:rPr>
              <w:t xml:space="preserve">SED </w:t>
            </w:r>
            <w:r>
              <w:rPr>
                <w:b/>
                <w:sz w:val="22"/>
              </w:rPr>
              <w:t>А</w:t>
            </w:r>
            <w:r w:rsidRPr="00D138DA">
              <w:rPr>
                <w:b/>
                <w:sz w:val="22"/>
                <w:lang w:val="en-US"/>
              </w:rPr>
              <w:t>TLANTA CLASSIFICATION OF ACUTE PANCREATITIS INTERNATIONAL CONSENSUS IN 2012</w:t>
            </w:r>
          </w:p>
          <w:p w:rsidR="006266CC" w:rsidRPr="00D138DA" w:rsidRDefault="00851AD0">
            <w:pPr>
              <w:spacing w:after="28" w:line="221" w:lineRule="auto"/>
              <w:ind w:left="0" w:right="2" w:firstLine="0"/>
              <w:jc w:val="center"/>
              <w:rPr>
                <w:lang w:val="en-US"/>
              </w:rPr>
            </w:pPr>
            <w:r w:rsidRPr="00D138DA">
              <w:rPr>
                <w:b/>
                <w:sz w:val="22"/>
                <w:lang w:val="en-US"/>
              </w:rPr>
              <w:t>O. Yu. Usenko, I. A. Kryvoruchko, V. M. Kopchak, N. M. Honcharova, S. M. Balaka, S. N. Teslenko, S. A. Andrei</w:t>
            </w:r>
            <w:r>
              <w:rPr>
                <w:b/>
                <w:sz w:val="22"/>
              </w:rPr>
              <w:t>е</w:t>
            </w:r>
            <w:r w:rsidRPr="00D138DA">
              <w:rPr>
                <w:b/>
                <w:sz w:val="22"/>
                <w:lang w:val="en-US"/>
              </w:rPr>
              <w:t>shchev</w:t>
            </w:r>
          </w:p>
          <w:p w:rsidR="006266CC" w:rsidRPr="00D138DA" w:rsidRDefault="00851AD0">
            <w:pPr>
              <w:spacing w:after="27" w:line="240" w:lineRule="auto"/>
              <w:ind w:left="0" w:right="0" w:firstLine="0"/>
              <w:jc w:val="center"/>
              <w:rPr>
                <w:lang w:val="en-US"/>
              </w:rPr>
            </w:pPr>
            <w:r w:rsidRPr="00D138DA">
              <w:rPr>
                <w:sz w:val="22"/>
                <w:lang w:val="en-US"/>
              </w:rPr>
              <w:t>Shalimov national institute Institute of surgery and trans</w:t>
            </w:r>
            <w:r w:rsidRPr="00D138DA">
              <w:rPr>
                <w:sz w:val="22"/>
                <w:lang w:val="en-US"/>
              </w:rPr>
              <w:t>plantology NAMS of Ukraine</w:t>
            </w:r>
          </w:p>
          <w:p w:rsidR="006266CC" w:rsidRPr="00D138DA" w:rsidRDefault="00851AD0">
            <w:pPr>
              <w:spacing w:after="172" w:line="240" w:lineRule="auto"/>
              <w:ind w:left="0" w:right="0" w:firstLine="0"/>
              <w:jc w:val="center"/>
              <w:rPr>
                <w:lang w:val="en-US"/>
              </w:rPr>
            </w:pPr>
            <w:r w:rsidRPr="00D138DA">
              <w:rPr>
                <w:sz w:val="22"/>
                <w:lang w:val="en-US"/>
              </w:rPr>
              <w:t>Kharkiv National Medical University MH of Ukraine</w:t>
            </w:r>
          </w:p>
          <w:p w:rsidR="006266CC" w:rsidRDefault="00851AD0">
            <w:pPr>
              <w:spacing w:after="22" w:line="217" w:lineRule="auto"/>
              <w:ind w:left="0" w:right="1" w:firstLine="283"/>
            </w:pPr>
            <w:r>
              <w:rPr>
                <w:b/>
                <w:i/>
                <w:sz w:val="18"/>
              </w:rPr>
              <w:t>Резюме.</w:t>
            </w:r>
            <w:r>
              <w:rPr>
                <w:sz w:val="18"/>
              </w:rPr>
              <w:t xml:space="preserve"> На симпозіумі в Атланті в 1992 році була запропонована загальна універсальна класифікація гострого панкреатиту, яка була прийнятна світовим медичним товариством до практичного використання. Численні дослідження дозволили поліпшити уявлення про патофізіоло</w:t>
            </w:r>
            <w:r>
              <w:rPr>
                <w:sz w:val="18"/>
              </w:rPr>
              <w:t>гію гострого панкреатиту, органну недостатність, а також про вдосконалення методів неінвазивної і інвазивної візуалізації та лікування, що призвело до необхідності перегляду класифікації Атланти. Веб-консультації були проведені з 2007 року. В 2012 році бул</w:t>
            </w:r>
            <w:r>
              <w:rPr>
                <w:sz w:val="18"/>
              </w:rPr>
              <w:t>о опубліковано остаточні висновки.</w:t>
            </w:r>
          </w:p>
          <w:p w:rsidR="006266CC" w:rsidRDefault="00851AD0">
            <w:pPr>
              <w:spacing w:line="240" w:lineRule="auto"/>
              <w:ind w:left="283" w:right="0" w:firstLine="0"/>
              <w:jc w:val="left"/>
            </w:pPr>
            <w:r>
              <w:rPr>
                <w:b/>
                <w:i/>
                <w:sz w:val="18"/>
              </w:rPr>
              <w:t>Ключові слова: гострий панкреатит, класифікація, діагностика.</w:t>
            </w:r>
          </w:p>
          <w:p w:rsidR="006266CC" w:rsidRDefault="00851AD0">
            <w:pPr>
              <w:spacing w:after="20" w:line="218" w:lineRule="auto"/>
              <w:ind w:left="0" w:right="3" w:firstLine="283"/>
            </w:pPr>
            <w:r>
              <w:rPr>
                <w:b/>
                <w:i/>
                <w:sz w:val="18"/>
              </w:rPr>
              <w:t>Резюме.</w:t>
            </w:r>
            <w:r>
              <w:rPr>
                <w:sz w:val="18"/>
              </w:rPr>
              <w:t xml:space="preserve"> На симпозиуме в Атланте в 1992 году была предложена универсальная классификация острого панкреатита, которая была принята мировым медицинским обществом</w:t>
            </w:r>
            <w:r>
              <w:rPr>
                <w:sz w:val="18"/>
              </w:rPr>
              <w:t xml:space="preserve"> к практическому использованию. Многочисленные исследования позволили улучшить представления о патофизиологии острого панкреатита, полиорганной недостаточности, а также о совершенствовании методов неинвазивной и инвазивной визуализации и лечения, что приве</w:t>
            </w:r>
            <w:r>
              <w:rPr>
                <w:sz w:val="18"/>
              </w:rPr>
              <w:t>ло к необходимости пересмотра просмотра классификации Атланты.</w:t>
            </w:r>
          </w:p>
          <w:p w:rsidR="006266CC" w:rsidRDefault="00851AD0">
            <w:pPr>
              <w:spacing w:after="17" w:line="240" w:lineRule="auto"/>
              <w:ind w:left="0" w:right="0" w:firstLine="0"/>
              <w:jc w:val="left"/>
            </w:pPr>
            <w:r>
              <w:rPr>
                <w:sz w:val="18"/>
              </w:rPr>
              <w:t>Веб-консультации были проведены с 2007 году. В 2012 году были опубликованы окончательные выводы.</w:t>
            </w:r>
          </w:p>
          <w:p w:rsidR="006266CC" w:rsidRDefault="00851AD0">
            <w:pPr>
              <w:spacing w:after="19" w:line="240" w:lineRule="auto"/>
              <w:ind w:left="283" w:right="0" w:firstLine="0"/>
              <w:jc w:val="left"/>
            </w:pPr>
            <w:r>
              <w:rPr>
                <w:b/>
                <w:i/>
                <w:sz w:val="18"/>
              </w:rPr>
              <w:t>Ключевые слова: острый панкреатит, классификация, диагностика.</w:t>
            </w:r>
          </w:p>
          <w:p w:rsidR="006266CC" w:rsidRDefault="00851AD0">
            <w:pPr>
              <w:spacing w:after="0" w:line="276" w:lineRule="auto"/>
              <w:ind w:left="0" w:right="0" w:firstLine="283"/>
            </w:pPr>
            <w:r w:rsidRPr="00D138DA">
              <w:rPr>
                <w:b/>
                <w:i/>
                <w:sz w:val="18"/>
                <w:lang w:val="en-US"/>
              </w:rPr>
              <w:t>Summary.</w:t>
            </w:r>
            <w:r w:rsidRPr="00D138DA">
              <w:rPr>
                <w:sz w:val="18"/>
                <w:lang w:val="en-US"/>
              </w:rPr>
              <w:t xml:space="preserve"> The symposium in Atlanta in 1992 was proposed general-purpose classification of acute pancreatitis, which was acceptable worldwide medical societies to practical use. Numerous studies have improved our understanding of the pathophysiology of acute pancrea</w:t>
            </w:r>
            <w:r w:rsidRPr="00D138DA">
              <w:rPr>
                <w:sz w:val="18"/>
                <w:lang w:val="en-US"/>
              </w:rPr>
              <w:t xml:space="preserve">titis, organ failure, as well as improving methods of noninvasive and invasive imaging, leading to the need to revise the classification view of Atlanta. A web-based consultation was undertaken in 2007 to ensure wide participation of pancreatologists. </w:t>
            </w:r>
            <w:r>
              <w:rPr>
                <w:sz w:val="18"/>
              </w:rPr>
              <w:t>In 2</w:t>
            </w:r>
            <w:r>
              <w:rPr>
                <w:sz w:val="18"/>
              </w:rPr>
              <w:t>012 was published a final</w:t>
            </w:r>
          </w:p>
        </w:tc>
      </w:tr>
    </w:tbl>
    <w:p w:rsidR="006266CC" w:rsidRDefault="00851AD0">
      <w:pPr>
        <w:spacing w:after="15"/>
        <w:ind w:right="2" w:firstLine="0"/>
      </w:pPr>
      <w:r>
        <w:rPr>
          <w:sz w:val="18"/>
        </w:rPr>
        <w:t>conclusion.</w:t>
      </w:r>
    </w:p>
    <w:p w:rsidR="006266CC" w:rsidRPr="00D138DA" w:rsidRDefault="00851AD0">
      <w:pPr>
        <w:spacing w:after="223"/>
        <w:ind w:left="278" w:right="-15" w:hanging="10"/>
        <w:jc w:val="left"/>
        <w:rPr>
          <w:lang w:val="en-US"/>
        </w:rPr>
      </w:pPr>
      <w:r w:rsidRPr="00D138DA">
        <w:rPr>
          <w:b/>
          <w:i/>
          <w:sz w:val="18"/>
          <w:lang w:val="en-US"/>
        </w:rPr>
        <w:t>Key words: acute pancreatitis, classification, diagnosis.</w:t>
      </w:r>
    </w:p>
    <w:p w:rsidR="006266CC" w:rsidRDefault="00851AD0">
      <w:r>
        <w:t>Як</w:t>
      </w:r>
      <w:r w:rsidRPr="00D138DA">
        <w:rPr>
          <w:lang w:val="en-US"/>
        </w:rPr>
        <w:t xml:space="preserve"> </w:t>
      </w:r>
      <w:r>
        <w:t>відомо</w:t>
      </w:r>
      <w:r w:rsidRPr="00D138DA">
        <w:rPr>
          <w:lang w:val="en-US"/>
        </w:rPr>
        <w:t xml:space="preserve">, </w:t>
      </w:r>
      <w:r>
        <w:t>на</w:t>
      </w:r>
      <w:r w:rsidRPr="00D138DA">
        <w:rPr>
          <w:lang w:val="en-US"/>
        </w:rPr>
        <w:t xml:space="preserve"> </w:t>
      </w:r>
      <w:r>
        <w:t>симпозіумі</w:t>
      </w:r>
      <w:r w:rsidRPr="00D138DA">
        <w:rPr>
          <w:lang w:val="en-US"/>
        </w:rPr>
        <w:t xml:space="preserve"> </w:t>
      </w:r>
      <w:r>
        <w:t>в</w:t>
      </w:r>
      <w:r w:rsidRPr="00D138DA">
        <w:rPr>
          <w:lang w:val="en-US"/>
        </w:rPr>
        <w:t xml:space="preserve"> </w:t>
      </w:r>
      <w:r>
        <w:t>Атланті</w:t>
      </w:r>
      <w:r w:rsidRPr="00D138DA">
        <w:rPr>
          <w:lang w:val="en-US"/>
        </w:rPr>
        <w:t xml:space="preserve"> </w:t>
      </w:r>
      <w:r>
        <w:t>в</w:t>
      </w:r>
      <w:r w:rsidRPr="00D138DA">
        <w:rPr>
          <w:lang w:val="en-US"/>
        </w:rPr>
        <w:t xml:space="preserve"> 1992 </w:t>
      </w:r>
      <w:r>
        <w:t>році</w:t>
      </w:r>
      <w:r w:rsidRPr="00D138DA">
        <w:rPr>
          <w:lang w:val="en-US"/>
        </w:rPr>
        <w:t xml:space="preserve"> </w:t>
      </w:r>
      <w:r>
        <w:t>була</w:t>
      </w:r>
      <w:r w:rsidRPr="00D138DA">
        <w:rPr>
          <w:lang w:val="en-US"/>
        </w:rPr>
        <w:t xml:space="preserve"> </w:t>
      </w:r>
      <w:r>
        <w:t>запропонувана</w:t>
      </w:r>
      <w:r w:rsidRPr="00D138DA">
        <w:rPr>
          <w:lang w:val="en-US"/>
        </w:rPr>
        <w:t xml:space="preserve"> </w:t>
      </w:r>
      <w:r>
        <w:t>загальна</w:t>
      </w:r>
      <w:r w:rsidRPr="00D138DA">
        <w:rPr>
          <w:lang w:val="en-US"/>
        </w:rPr>
        <w:t xml:space="preserve"> </w:t>
      </w:r>
      <w:r>
        <w:t>універсальна</w:t>
      </w:r>
      <w:r w:rsidRPr="00D138DA">
        <w:rPr>
          <w:lang w:val="en-US"/>
        </w:rPr>
        <w:t xml:space="preserve"> </w:t>
      </w:r>
      <w:r>
        <w:t>класифікація</w:t>
      </w:r>
      <w:r w:rsidRPr="00D138DA">
        <w:rPr>
          <w:lang w:val="en-US"/>
        </w:rPr>
        <w:t xml:space="preserve"> </w:t>
      </w:r>
      <w:r>
        <w:t>ГП</w:t>
      </w:r>
      <w:r w:rsidRPr="00D138DA">
        <w:rPr>
          <w:lang w:val="en-US"/>
        </w:rPr>
        <w:t xml:space="preserve">, </w:t>
      </w:r>
      <w:r>
        <w:t>яка</w:t>
      </w:r>
      <w:r w:rsidRPr="00D138DA">
        <w:rPr>
          <w:lang w:val="en-US"/>
        </w:rPr>
        <w:t xml:space="preserve"> </w:t>
      </w:r>
      <w:r>
        <w:t>була</w:t>
      </w:r>
      <w:r w:rsidRPr="00D138DA">
        <w:rPr>
          <w:lang w:val="en-US"/>
        </w:rPr>
        <w:t xml:space="preserve"> </w:t>
      </w:r>
      <w:r>
        <w:t>призначена</w:t>
      </w:r>
      <w:r w:rsidRPr="00D138DA">
        <w:rPr>
          <w:lang w:val="en-US"/>
        </w:rPr>
        <w:t xml:space="preserve"> </w:t>
      </w:r>
      <w:r>
        <w:t>для</w:t>
      </w:r>
      <w:r w:rsidRPr="00D138DA">
        <w:rPr>
          <w:lang w:val="en-US"/>
        </w:rPr>
        <w:t xml:space="preserve"> </w:t>
      </w:r>
      <w:r>
        <w:t>полегшення</w:t>
      </w:r>
      <w:r w:rsidRPr="00D138DA">
        <w:rPr>
          <w:lang w:val="en-US"/>
        </w:rPr>
        <w:t xml:space="preserve"> </w:t>
      </w:r>
      <w:r>
        <w:t>розуміння</w:t>
      </w:r>
      <w:r w:rsidRPr="00D138DA">
        <w:rPr>
          <w:lang w:val="en-US"/>
        </w:rPr>
        <w:t xml:space="preserve"> </w:t>
      </w:r>
      <w:r>
        <w:t>і</w:t>
      </w:r>
      <w:r w:rsidRPr="00D138DA">
        <w:rPr>
          <w:lang w:val="en-US"/>
        </w:rPr>
        <w:t xml:space="preserve"> </w:t>
      </w:r>
      <w:r>
        <w:t>кореляц</w:t>
      </w:r>
      <w:r>
        <w:t>ії</w:t>
      </w:r>
      <w:r w:rsidRPr="00D138DA">
        <w:rPr>
          <w:lang w:val="en-US"/>
        </w:rPr>
        <w:t xml:space="preserve"> </w:t>
      </w:r>
      <w:r>
        <w:t>результатів</w:t>
      </w:r>
      <w:r w:rsidRPr="00D138DA">
        <w:rPr>
          <w:lang w:val="en-US"/>
        </w:rPr>
        <w:t xml:space="preserve">, </w:t>
      </w:r>
      <w:r>
        <w:t>що</w:t>
      </w:r>
      <w:r w:rsidRPr="00D138DA">
        <w:rPr>
          <w:lang w:val="en-US"/>
        </w:rPr>
        <w:t xml:space="preserve"> </w:t>
      </w:r>
      <w:r>
        <w:t>були</w:t>
      </w:r>
      <w:r w:rsidRPr="00D138DA">
        <w:rPr>
          <w:lang w:val="en-US"/>
        </w:rPr>
        <w:t xml:space="preserve"> </w:t>
      </w:r>
      <w:r>
        <w:t>встановлені</w:t>
      </w:r>
      <w:r w:rsidRPr="00D138DA">
        <w:rPr>
          <w:lang w:val="en-US"/>
        </w:rPr>
        <w:t xml:space="preserve"> </w:t>
      </w:r>
      <w:r>
        <w:t>щодо</w:t>
      </w:r>
      <w:r w:rsidRPr="00D138DA">
        <w:rPr>
          <w:lang w:val="en-US"/>
        </w:rPr>
        <w:t xml:space="preserve"> </w:t>
      </w:r>
      <w:r>
        <w:t>захворювання</w:t>
      </w:r>
      <w:r w:rsidRPr="00D138DA">
        <w:rPr>
          <w:lang w:val="en-US"/>
        </w:rPr>
        <w:t xml:space="preserve"> </w:t>
      </w:r>
      <w:r>
        <w:t>гастроентерологами</w:t>
      </w:r>
      <w:r w:rsidRPr="00D138DA">
        <w:rPr>
          <w:lang w:val="en-US"/>
        </w:rPr>
        <w:t xml:space="preserve">, </w:t>
      </w:r>
      <w:r>
        <w:t>патологоанатомами</w:t>
      </w:r>
      <w:r w:rsidRPr="00D138DA">
        <w:rPr>
          <w:lang w:val="en-US"/>
        </w:rPr>
        <w:t xml:space="preserve">, </w:t>
      </w:r>
      <w:r>
        <w:t>рентгенологами</w:t>
      </w:r>
      <w:r w:rsidRPr="00D138DA">
        <w:rPr>
          <w:lang w:val="en-US"/>
        </w:rPr>
        <w:t xml:space="preserve"> </w:t>
      </w:r>
      <w:r>
        <w:t>і</w:t>
      </w:r>
      <w:r w:rsidRPr="00D138DA">
        <w:rPr>
          <w:lang w:val="en-US"/>
        </w:rPr>
        <w:t xml:space="preserve"> </w:t>
      </w:r>
      <w:r>
        <w:t>хірургами</w:t>
      </w:r>
      <w:r w:rsidRPr="00D138DA">
        <w:rPr>
          <w:lang w:val="en-US"/>
        </w:rPr>
        <w:t xml:space="preserve"> [1]. </w:t>
      </w:r>
      <w:r>
        <w:t>Незважаючи на те, що класифікація ГП у 1992 р. була прийнятна світовим медичним товариством до практичного використання, деякі визн</w:t>
      </w:r>
      <w:r>
        <w:t>ачення її не були достатньо точними. Численні дослідження, що дозволили поліпшити наші уявлення про патофізіологію органної недостатності та некротичного панкреатиту, також як і вдосконалення методів неінвазивної і інвазивної візуалізації, потребувало пере</w:t>
      </w:r>
      <w:r>
        <w:t>гляду класифікації Атланти інтернаціональним консенсусом в 2012 році [2].</w:t>
      </w:r>
    </w:p>
    <w:p w:rsidR="006266CC" w:rsidRDefault="00851AD0">
      <w:r>
        <w:rPr>
          <w:b/>
        </w:rPr>
        <w:t>Діагностика та визначення форм ГП.</w:t>
      </w:r>
      <w:r>
        <w:t xml:space="preserve"> Постановка діагнозу гострого панкреатиту вимагає наявності двох з трьох представлених чинників: 1) біль в животі, характерний для ГП (гострий почат</w:t>
      </w:r>
      <w:r>
        <w:t>ок постійного, інтенсивного болю в надчеревній ділянці, що віддає в поперек); 2) підвищення концентрації ліпази (або амілази) сироватки крові як мінімум в 3 рази вище за норму; 3) характерні ознаки для ГП, виявлені за допомогою контрастної посиленої КТ, МР</w:t>
      </w:r>
      <w:r>
        <w:t>Т і УЗІ органів черевної порожнини. При встановлені діагнозу ГП на підставі клініки захворювання і підвищення концентрації панкреатичних ензимів більш, ніж в три рази, виконання контрастно посиленої КТ на етапі госпіталізації пацієнта є обов’язковим тільки</w:t>
      </w:r>
      <w:r>
        <w:t xml:space="preserve"> у відділеннях реанімації і інтенсивної терапії (ВРІТ).</w:t>
      </w:r>
    </w:p>
    <w:p w:rsidR="006266CC" w:rsidRDefault="00851AD0">
      <w:r>
        <w:t>ГП пропонується підрозділяти на 2 типи: інтерстиціальний набряковий панкреатит і некротичний панкреатит ( додаток  1).</w:t>
      </w:r>
    </w:p>
    <w:p w:rsidR="006266CC" w:rsidRDefault="00851AD0">
      <w:r>
        <w:t>Інтерстиціальний набряковий панкреатит. У більшості пацієнтів, які страждають ГП,</w:t>
      </w:r>
      <w:r>
        <w:t xml:space="preserve"> відмічається тотальне або рідше - вогнищеве збільшення підшлункової залози унаслідок запального набряку. При контрастно посиленій КТ підшлункової залози відмічаються ознаки запального процесу: відносне </w:t>
      </w:r>
      <w:r>
        <w:lastRenderedPageBreak/>
        <w:t>гомогенне посилення паренхіми і помірна нечіткість пе</w:t>
      </w:r>
      <w:r>
        <w:t>рипанкреатичної клітковини (рис. 1).</w:t>
      </w:r>
    </w:p>
    <w:p w:rsidR="006266CC" w:rsidRDefault="00851AD0">
      <w:r>
        <w:t>Некротичний панкреатит. У 5-10% хворих розвивається некроз паренхіми підшлункової залози і навколишньої клітковини. Найчастіше зустрічається спільний некроз підшлункової залози і заочеревинної клітковини, рідше - ізольо</w:t>
      </w:r>
      <w:r>
        <w:t>ваний некроз паренхіми залози або навколишньої клітковини (рис. 2) . Порушення перфузії залози і ознаки перипакреатичного некрозу формуються на протязі декількох днів, що пояснює відсутність характерних змін при контрастно посиленій КТ в ці строки дослідже</w:t>
      </w:r>
      <w:r>
        <w:t>ння. Протягом перших декількох днів захворювання при контрастно посиленій КТ може відмічатися негомогенність паренхіми підшлункової залози, що свідчить про можливий розвиток захворювання, а саме – відмежування зон некрозу або їх злиття. Паренхіма підшлунко</w:t>
      </w:r>
      <w:r>
        <w:t>вої залози, яка через 1 тиждень від початку захворювання не накопичує контрасту при КТ, може вважатися зоною некрозу. При ізольованому некрозі перипанкреатичної клітковини паренхіма підшлункової залози може виглядати як</w:t>
      </w:r>
    </w:p>
    <w:p w:rsidR="006266CC" w:rsidRDefault="00851AD0">
      <w:pPr>
        <w:spacing w:after="175" w:line="240" w:lineRule="auto"/>
        <w:ind w:left="821" w:right="0" w:firstLine="0"/>
        <w:jc w:val="left"/>
      </w:pPr>
      <w:r>
        <w:rPr>
          <w:noProof/>
        </w:rPr>
        <w:drawing>
          <wp:inline distT="0" distB="0" distL="0" distR="0">
            <wp:extent cx="1990344" cy="1725168"/>
            <wp:effectExtent l="0" t="0" r="0" b="0"/>
            <wp:docPr id="26079" name="Picture 260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79" name="Picture 2607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90344" cy="1725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6CC" w:rsidRDefault="00851AD0">
      <w:pPr>
        <w:spacing w:after="349"/>
        <w:ind w:right="3" w:firstLine="259"/>
      </w:pPr>
      <w:r>
        <w:rPr>
          <w:b/>
          <w:sz w:val="18"/>
        </w:rPr>
        <w:t>Рис. 1. КТ хворого на інтерстиціал</w:t>
      </w:r>
      <w:r>
        <w:rPr>
          <w:b/>
          <w:sz w:val="18"/>
        </w:rPr>
        <w:t>ьний набряковий панкреатит: гомогеннее посилення паренхіми залози (стрілка) з нормальною перипанкреатичною клітковиною</w:t>
      </w:r>
    </w:p>
    <w:p w:rsidR="006266CC" w:rsidRDefault="00851AD0">
      <w:pPr>
        <w:ind w:firstLine="0"/>
      </w:pPr>
      <w:r>
        <w:t>при інтерстиціальному набряковому панкреатиті не дивлячись на те, що в навколишній клітковині часто розвивається некроз .</w:t>
      </w:r>
    </w:p>
    <w:p w:rsidR="006266CC" w:rsidRDefault="00851AD0">
      <w:r>
        <w:t>Інфікований панкреатичний некроз. Панкреатичний і перипанкреатичний некроз може інфікуватися або залишатися стерильним. В більшості досліджень, які були присвячені цьому питанню, не було виявлено абсолютної залежності між масштабами розповсюджненості некро</w:t>
      </w:r>
      <w:r>
        <w:t>зу, ризиком інфікування і тривалістю клінічної картини. Відомо, що інфікування вогнищ панкреонекрозу рідко зустрічається протягом першого тижня захворювання. Діагностика гострого інфікованого некротичного панкреатиту вкрай дуже важлива для визначення показ</w:t>
      </w:r>
      <w:r>
        <w:t xml:space="preserve">ань до проведення антибактеріальної терапії і хірургічного втручання. Припустити розвиток інфікування вогнищ некрозу можна передбачити за наявності газу в підшлунковій залозі або в перипанкреатичній клітковині при контрастно посиленій КТ (рис. 3), а також </w:t>
      </w:r>
      <w:r>
        <w:t>шляхом виконання черезшкірної тонкоголковій пункції під контролем візуальних методів діагностики з подальшою бактеріоскопією і бактеріологічним дослідженням. Класифікація Атланти (1992 р.) трактувала термін «панкреатичний абсцес» як «локальне скупчення гні</w:t>
      </w:r>
      <w:r>
        <w:t xml:space="preserve">йного матеріалу без значимого некротичного матеріалу». Це зустрічається украй </w:t>
      </w:r>
      <w:r>
        <w:lastRenderedPageBreak/>
        <w:t>рідко, що призводить до плутанини і некоректного використання цієї термінології, тому термін «панкреатичний абсцес» в переглянутій класифікації 2012 року не використовується.</w:t>
      </w:r>
    </w:p>
    <w:p w:rsidR="006266CC" w:rsidRDefault="00851AD0">
      <w:r>
        <w:rPr>
          <w:b/>
        </w:rPr>
        <w:t>Уск</w:t>
      </w:r>
      <w:r>
        <w:rPr>
          <w:b/>
        </w:rPr>
        <w:t xml:space="preserve">ладнення гострого панкреатиту: </w:t>
      </w:r>
      <w:r>
        <w:t xml:space="preserve">Визначення органної недостатності. Для визначення наявності органної недостатності експерти рекомендують оцінювати функцію трьох систем: дихальної, серцево-судинної, а також функцію нирок. Органна недостатність – це значення </w:t>
      </w:r>
      <w:r>
        <w:t>2 або більше для однієї з цих трьох систем з використанням системи шкали Marshall: респіраторної, реальної, кардіоваскулярної. Як свідчать дані експертів, що приймали участь у дослідженнях [2], модифікована шкала Marshall краще шкали SOFA (ClinCalc.com), я</w:t>
      </w:r>
      <w:r>
        <w:t>ка часто використовується у ВРІТ та враховує використання інотропної і респіраторної підтримки хворих.</w:t>
      </w:r>
    </w:p>
    <w:p w:rsidR="006266CC" w:rsidRDefault="00851AD0">
      <w:r>
        <w:t>Визначення локальних ускладнень. Локальними ускладненнями ГП є гостре перипанкреатичне рідинне скупчення, псевдокиста підшлункової залози, гостре постнек</w:t>
      </w:r>
      <w:r>
        <w:t>ротичне скупчення і відмежоване вогнище панкреонекрозу. Морфологічні особливості цих локальних ускладнень детально описані нижче (див. визначення панкреатичних і перипанкреатичних скупчень). Інші локальні ускладнення ГП включають порушення спорожнення шлун</w:t>
      </w:r>
      <w:r>
        <w:t>ка, тромбоз селезінкової та ворітної вен і некроз ободової кишки.</w:t>
      </w:r>
    </w:p>
    <w:p w:rsidR="006266CC" w:rsidRDefault="00851AD0">
      <w:r>
        <w:t>Визначення системних ускладнень. Загострення вже наявних захворювань, таких як атеросклероз коронарних артерій або хронічна легенева патологія, що виникає на тлі</w:t>
      </w:r>
    </w:p>
    <w:p w:rsidR="006266CC" w:rsidRDefault="00851AD0">
      <w:pPr>
        <w:spacing w:after="156" w:line="240" w:lineRule="auto"/>
        <w:ind w:left="624" w:right="0" w:firstLine="0"/>
        <w:jc w:val="left"/>
      </w:pPr>
      <w:r>
        <w:rPr>
          <w:noProof/>
        </w:rPr>
        <w:drawing>
          <wp:inline distT="0" distB="0" distL="0" distR="0">
            <wp:extent cx="1905000" cy="1737360"/>
            <wp:effectExtent l="0" t="0" r="0" b="0"/>
            <wp:docPr id="26083" name="Picture 260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83" name="Picture 2608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173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6CC" w:rsidRDefault="00851AD0">
      <w:pPr>
        <w:spacing w:after="26"/>
        <w:ind w:left="327" w:right="3" w:hanging="221"/>
      </w:pPr>
      <w:r>
        <w:rPr>
          <w:b/>
          <w:sz w:val="18"/>
        </w:rPr>
        <w:t>Рис. 2. КТ хворого на некротичний панкреатит: зони, де не накопичується контраст, поєднуються з зонами</w:t>
      </w:r>
    </w:p>
    <w:p w:rsidR="006266CC" w:rsidRDefault="00851AD0">
      <w:pPr>
        <w:spacing w:after="166" w:line="244" w:lineRule="auto"/>
        <w:ind w:left="31" w:right="-15" w:hanging="10"/>
        <w:jc w:val="center"/>
      </w:pPr>
      <w:r>
        <w:rPr>
          <w:b/>
          <w:sz w:val="18"/>
        </w:rPr>
        <w:t>некрозу та інфільтрації перипанкреатичної клітковини ( стрілка )</w:t>
      </w:r>
    </w:p>
    <w:p w:rsidR="006266CC" w:rsidRDefault="00851AD0">
      <w:pPr>
        <w:ind w:firstLine="0"/>
      </w:pPr>
      <w:r>
        <w:t>розвитку ГП, відноситься до системних ускладнень. Консенсус пропонує проводити диференці</w:t>
      </w:r>
      <w:r>
        <w:t>ацію між органною недостатністю, що персистує або є постійною, та іншими системними ускладненнями, які є ускладненнями хронічних захворювань.</w:t>
      </w:r>
    </w:p>
    <w:p w:rsidR="006266CC" w:rsidRDefault="00851AD0">
      <w:r>
        <w:rPr>
          <w:b/>
        </w:rPr>
        <w:t xml:space="preserve">Фази перебігу і тяжкість гострого панкреатиту. </w:t>
      </w:r>
      <w:r>
        <w:t xml:space="preserve">Розрізняють дві фази перебігу ГП, які супроводжуються двома піками </w:t>
      </w:r>
      <w:r>
        <w:t>летальності: рання і пізня. За ранньої фазою, яка зазвичай триває протягом першого тижня, йде друга фаза, протяжність якої може бути тижні і місяці.</w:t>
      </w:r>
    </w:p>
    <w:p w:rsidR="006266CC" w:rsidRDefault="00851AD0">
      <w:r>
        <w:t>Рання фаза ГП. У ранню фазу системні порушення, які спостерігаються, є результатом відповіді на локальне по</w:t>
      </w:r>
      <w:r>
        <w:t xml:space="preserve">шкодження підшлункової залози. Ця фаза зазвичай закінчується до кінця першого тижня, але також може відзначатися протягом другого тижня. Каскад цитокінових реакцій, який активується </w:t>
      </w:r>
      <w:r>
        <w:lastRenderedPageBreak/>
        <w:t>запаленням підшлункової залози, клінічно проявляється як синдром системної</w:t>
      </w:r>
      <w:r>
        <w:t xml:space="preserve"> запальної відповіді (ССЗВ). При розвитку ССЗВ підвищується ризик розвитку органної недостатності. Тяжкість перебігу ГП протягом першого тижня визначається в основному наявністю і тривалістю органної недостатності, яка до 48 годин описується як «транзиторн</w:t>
      </w:r>
      <w:r>
        <w:t>а органна недостатність», а більше 48 годин - як «постійна органна недостатність». Незважаючи на те, що локальні ускладнення можуть бути виявлені під час ранньої фази, вони не визначають тяжкість стану і можуть бути не пов’язані з поширенням некрозу протяг</w:t>
      </w:r>
      <w:r>
        <w:t>ом перших кількох днів захворювання. Крім того, розвиток морфологічних змін не перебуває у лінійній залежності від тяжкості органної недостатності. Саме визначення ступеня тяжкості (середня тяжкість або тяжка) ГП залежить від наявності та тривалості органн</w:t>
      </w:r>
      <w:r>
        <w:t>ої недостатності.</w:t>
      </w:r>
    </w:p>
    <w:p w:rsidR="006266CC" w:rsidRDefault="00851AD0">
      <w:pPr>
        <w:spacing w:after="339"/>
      </w:pPr>
      <w:r>
        <w:t>Пізня фаза ГП. Пізня фаза характеризується наявністю ознак системного запалення або локальних ускладнень і, згідно з визначеннями, вона зустрічається тільки у пацієнтів із середньої тяжкості і тяжким ГП. У більшості хворих ло-</w:t>
      </w:r>
    </w:p>
    <w:p w:rsidR="006266CC" w:rsidRDefault="00851AD0">
      <w:pPr>
        <w:spacing w:after="103" w:line="240" w:lineRule="auto"/>
        <w:ind w:left="898" w:right="0" w:firstLine="0"/>
        <w:jc w:val="left"/>
      </w:pPr>
      <w:r>
        <w:rPr>
          <w:noProof/>
        </w:rPr>
        <w:drawing>
          <wp:inline distT="0" distB="0" distL="0" distR="0">
            <wp:extent cx="1981200" cy="1743456"/>
            <wp:effectExtent l="0" t="0" r="0" b="0"/>
            <wp:docPr id="26088" name="Picture 260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88" name="Picture 2608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743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6CC" w:rsidRDefault="00851AD0">
      <w:pPr>
        <w:spacing w:after="41" w:line="244" w:lineRule="auto"/>
        <w:ind w:left="31" w:right="-15" w:hanging="10"/>
        <w:jc w:val="center"/>
      </w:pPr>
      <w:r>
        <w:rPr>
          <w:b/>
          <w:sz w:val="18"/>
        </w:rPr>
        <w:t>Рис. 3.</w:t>
      </w:r>
    </w:p>
    <w:p w:rsidR="006266CC" w:rsidRDefault="00851AD0">
      <w:pPr>
        <w:ind w:firstLine="0"/>
      </w:pPr>
      <w:r>
        <w:t>к</w:t>
      </w:r>
      <w:r>
        <w:t>альні ускладнення розвиваються під час другої фази.</w:t>
      </w:r>
    </w:p>
    <w:p w:rsidR="006266CC" w:rsidRDefault="00851AD0">
      <w:r>
        <w:t>Визначення тяжкості гострого панкреатиту. Класифікація, яку було запропоновано [2], передбачає виділення трьох ступенів тяжкості ГП: помірної, середнього ступеня і тяжкою та включає визначення транзиторно</w:t>
      </w:r>
      <w:r>
        <w:t>ї органної недостатності, постійної органної недостатності, а також наявність локальних або системних ускладнень (додаток 1 і 2). Транзиторна (персистуюча) органна недостатність триває до 48 годин, а постійна - понад 48 годин. Локальні ускладнення включают</w:t>
      </w:r>
      <w:r>
        <w:t>ь в себе перипанкреатичні рідинні скупчення, гострі некротичні рідинні скупчення (додаток 1), в той час як системні ускладнення при цьому можуть бути також зумовлені загостренням хронічної соматичної патології.</w:t>
      </w:r>
    </w:p>
    <w:p w:rsidR="006266CC" w:rsidRDefault="00851AD0">
      <w:r>
        <w:t>Легкий ГП характеризується відсутністю органн</w:t>
      </w:r>
      <w:r>
        <w:t>ої недостатності і системних ускладнень. Пацієнти з цією формою зазвичай не потребують складних інструментальних методів візуалізації, а летальність при цій формі практично відсутня, тому більшість хворих виписуються під час перебігу ранньої фази захворюва</w:t>
      </w:r>
      <w:r>
        <w:t>ння.</w:t>
      </w:r>
    </w:p>
    <w:p w:rsidR="006266CC" w:rsidRDefault="00851AD0">
      <w:r>
        <w:t>Панкреатит середнього ступеня тяжкості. Панкреатит середнього ступеня характеризується наявністю транзиторної органної недостатності або наявністю локальних чи системних ускладнень при відсутності органної недостатності. Прикладом цієї клінічної форми ГП є</w:t>
      </w:r>
      <w:r>
        <w:t xml:space="preserve"> перипанкреатичні скупчення </w:t>
      </w:r>
      <w:r>
        <w:lastRenderedPageBreak/>
        <w:t>рідини, що призводить до постійного болю в животі, лейкоцитозу і лихоманки та не дозволяє харчуватися per os. Проявами системного ускладнення при цьому є загострення коронарної хвороби або хронічних захворювань легенів, яке спро</w:t>
      </w:r>
      <w:r>
        <w:t>воковано ГП. При панкреатиті середнього ступеня тяжкості одужання може настати як без хірургічного втручання, так й хворим може знадобитися хірургічне втручання у разі поширеного стерильного некрозу без органної недостатності.</w:t>
      </w:r>
    </w:p>
    <w:p w:rsidR="006266CC" w:rsidRDefault="00851AD0">
      <w:r>
        <w:rPr>
          <w:b/>
        </w:rPr>
        <w:t>Тяжкий ГП.</w:t>
      </w:r>
      <w:r>
        <w:t xml:space="preserve"> Тяжкий ГП характер</w:t>
      </w:r>
      <w:r>
        <w:t>изується транзиторною або постійною органною недостатністю, яка розвивається в ранній фазі, сприяє активації цитокінового каскаду, що призводить до ССЗВ, наявність якого є чинником підвищеного ризику виникнення поліорганної недостатності. У пацієнтів з тра</w:t>
      </w:r>
      <w:r>
        <w:t>нзиторною органною недостатністю зазвичай розвиваються локальні ускладнення. При цьому, якщо у хворих на ГП органна недостатність розвивається протягом декількох днів від початку захворювання, прогнозується летальність з імовірністю 36-50%. Інфікування вог</w:t>
      </w:r>
      <w:r>
        <w:t>нищ некрозу у хворих з персистуючою органною недостатністю пов’язано з украй високою летальністю (до 80%).</w:t>
      </w:r>
    </w:p>
    <w:p w:rsidR="006266CC" w:rsidRDefault="00851AD0">
      <w:r>
        <w:t>Протягом ранньої фази тяжкість перебігу захворювання у хворих на тяжкий ГП може бути переглянута. Тимчасові відрізки, через які необхідно проводити п</w:t>
      </w:r>
      <w:r>
        <w:t>овторну оцінку тяжкості захворювання, це 24, 48 годин і 7 днів від моменту госпіталізації в клініку. У той час, як локальні ускладнення можуть бути ідентифіковані в перебігу ранньої фази, зазвичай немає необхідності в їх документальному підтвердженні протя</w:t>
      </w:r>
      <w:r>
        <w:t>гом першого тижня. По-перше, наявність і поширення панкреатичного і перипанкреатичного некрозів не може бути достовірно визначено за допомогою інструментальних методів діагностики протягом перших кількох днів захворювання. При необхідності цим хворим можна</w:t>
      </w:r>
      <w:r>
        <w:t xml:space="preserve"> виконати контрастно посилену КТ через 5-7 днів після госпіталізації (яке буде найбільш достовірним в ці терміни) для оцінки наявності та поширення некрозу. По-друге, поширеність морфологічних змін і некрозів не прямо пропорційно тяжкості органної недостат</w:t>
      </w:r>
      <w:r>
        <w:t>ності. По-третє, навіть якщо за допомогою інструментальних методів діагностики вдається виявити наявність перипанкреатичних рідинних скупчень або панкреонекрозу, це не потребує суттєвої зміни лікувальної тактики.</w:t>
      </w:r>
    </w:p>
    <w:p w:rsidR="006266CC" w:rsidRDefault="00851AD0">
      <w:r>
        <w:t>При середньому ступені тяжкості і тяжкому п</w:t>
      </w:r>
      <w:r>
        <w:t>анкреатиті в пізній фазі локальні ускладнення виникають частіше, хоча у деяких хворих на транзиторну органну недостатність одужання може настати без локальних ускладнень. Наявність інфекції в області некрозів є маркером підвищеного ризику летального резуль</w:t>
      </w:r>
      <w:r>
        <w:t>тату, але інфікований некроз без персистуючої органної недостатності, має менший рівень летальності, ніж інфікований некроз з персистуючою органною недостатністю, що розвивається у хворих. При цьому важливо розрізняти різні морфологічні особливості локальн</w:t>
      </w:r>
      <w:r>
        <w:t>их ускладнень, тому що ці ускладнення можуть потребувати різних підходів хірургічного лікування для запобігання загибелі хворого. Пацієнти із ГП середньої тяжкості і тяжким повинні бути описані більш точно і ранжовані для клінічного ведення за характером (</w:t>
      </w:r>
      <w:r>
        <w:t xml:space="preserve">відсутність, стерильне або інфіковане), кількості рідинних утворень </w:t>
      </w:r>
      <w:r>
        <w:lastRenderedPageBreak/>
        <w:t>(одиничне або множинні) і клінічних їх проявів (додатки 1 і 2).</w:t>
      </w:r>
    </w:p>
    <w:p w:rsidR="006266CC" w:rsidRDefault="00851AD0">
      <w:r>
        <w:rPr>
          <w:b/>
        </w:rPr>
        <w:t xml:space="preserve">Визначення панкреатичних і перипанкреатичних скупчень. </w:t>
      </w:r>
      <w:r>
        <w:t>Класифікацією ГП, яку переглянуто, визначена важлива різниця між скуп</w:t>
      </w:r>
      <w:r>
        <w:t>ченнями, які складаються тільки з рідини і скупченями, які виникають з некрозу і містять некротичний компонент (можуть також містити різну кількість рідини).</w:t>
      </w:r>
    </w:p>
    <w:p w:rsidR="006266CC" w:rsidRDefault="00851AD0">
      <w:r>
        <w:t>Гостре перипанкреатичне рідинне скупчення. Рідинне скупчення зазвичай розвивається в ранню фазу па</w:t>
      </w:r>
      <w:r>
        <w:t>нкреатиту. При контрастно посиленій КТ ГПРС не мають стінки, воно гомогенне, відмежоване фасциальними структурами ретроперитонеальної клітковини і можуть бути як поодинокими, так й множинними (рис. 4). Більшість ГПРС залишаються стерильними і зазвичай розс</w:t>
      </w:r>
      <w:r>
        <w:t>моктуються спонтанно без хірургічного втручання. Якщо ці скупчення існують більше 4 тижнів, є велика ймовірність виникнення панкреатичної псевдокісти, незважаючи на те, що ГПРС є рідкісним ускладненням ГП [2].</w:t>
      </w:r>
    </w:p>
    <w:p w:rsidR="006266CC" w:rsidRDefault="00851AD0">
      <w:pPr>
        <w:spacing w:after="272"/>
      </w:pPr>
      <w:r>
        <w:t xml:space="preserve">Панкреатична псевдокіста. Термін панкреатична </w:t>
      </w:r>
      <w:r>
        <w:t>псевдокіста відноситься специфічно до гострого рідинного скупчення в періпанкреатичній клітковині (рідко вона може бути частково або повністю інтрапанкреатичною). Панкреатична псевдокіста оточена добре обмеженою стінкою і не містить твердих частинок. Діагн</w:t>
      </w:r>
      <w:r>
        <w:t>оз зазвичай ставиться на підставі описаних морфологічних критеріїв. Вміст її, як правило, з високим рівнем амілази. Вважається, що панкреатична псевдокіста утворюється в результаті розриву головної панкреатичної протоки або його інтрапанкреатичних гілок бе</w:t>
      </w:r>
      <w:r>
        <w:t>з утворення панкреатичного паренхиматозного некрозу. Якщо порожнина містить явні некротичні маси, то термін псевдокіста не повинен бути використаний [2], тому, що у наведених рекомендаціях патогенез псевдокісти експертами розглядається не як результат їх р</w:t>
      </w:r>
      <w:r>
        <w:t>озвитку після виникнення гострого постнекротичного скупчення рідини у хворих на ГП. Хоча контрастно посилена КТ використовується найбільш часто для діагностики псевдокіст, ЯМРТ або ультрасонографія можуть знадобитися для підтвердження</w:t>
      </w:r>
    </w:p>
    <w:p w:rsidR="006266CC" w:rsidRDefault="00851AD0">
      <w:pPr>
        <w:spacing w:after="199" w:line="240" w:lineRule="auto"/>
        <w:ind w:left="787" w:right="0" w:firstLine="0"/>
        <w:jc w:val="left"/>
      </w:pPr>
      <w:r>
        <w:rPr>
          <w:noProof/>
        </w:rPr>
        <w:drawing>
          <wp:inline distT="0" distB="0" distL="0" distR="0">
            <wp:extent cx="2036064" cy="1990344"/>
            <wp:effectExtent l="0" t="0" r="0" b="0"/>
            <wp:docPr id="26215" name="Picture 26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15" name="Picture 2621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36064" cy="1990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66CC" w:rsidRDefault="00851AD0">
      <w:pPr>
        <w:spacing w:after="26"/>
        <w:ind w:left="427" w:right="3" w:hanging="173"/>
      </w:pPr>
      <w:r>
        <w:rPr>
          <w:b/>
          <w:sz w:val="18"/>
        </w:rPr>
        <w:t xml:space="preserve">Рис. 4. КТ хворого </w:t>
      </w:r>
      <w:r>
        <w:rPr>
          <w:b/>
          <w:sz w:val="18"/>
        </w:rPr>
        <w:t>на інфікований панкреонекроз на рідинне перипанкреатичне скупчення (стрілка)</w:t>
      </w:r>
    </w:p>
    <w:p w:rsidR="006266CC" w:rsidRDefault="00851AD0">
      <w:pPr>
        <w:ind w:firstLine="0"/>
      </w:pPr>
      <w:r>
        <w:t>наявності або відсутності твердих частинок в її порожнині.</w:t>
      </w:r>
    </w:p>
    <w:p w:rsidR="006266CC" w:rsidRDefault="00851AD0">
      <w:r>
        <w:t xml:space="preserve">Однією із сучасних концепцій розвитку псевдокісти є концепція її виникнення внаслідок гострого некротичного панкреатиту </w:t>
      </w:r>
      <w:r>
        <w:t xml:space="preserve">як результат специфічного </w:t>
      </w:r>
      <w:r>
        <w:lastRenderedPageBreak/>
        <w:t>механізму «роз’єднанної протоки», при якому ізольований некроз паренхіми шийки або тіла ізолюється від життєздатної дистальної ділянки підшлункової залози, але ці дослідження повинні бути продовжені для отримання доказів.</w:t>
      </w:r>
    </w:p>
    <w:p w:rsidR="006266CC" w:rsidRDefault="00851AD0">
      <w:r>
        <w:t>Гостре п</w:t>
      </w:r>
      <w:r>
        <w:t>остнекротичне скупчення рідини. Протягом перших 4 тижнів скупчення, що містить різну кількість рідини і некротичної тканини, називається гострим постнекротичним скупченням рідини, що виникає при некротичному панкреатиті (некроз підшлункової залози або пери</w:t>
      </w:r>
      <w:r>
        <w:t>панкреатичних тканин) і містить некротичну тканину. При контрастно посиленій КТ перипанкреатичні і некротичні скупчення в залозі містять різну кількість твердого некротичного матеріалу і рідини та можуть бути множинним і багатокамерним. Гостре постнекротич</w:t>
      </w:r>
      <w:r>
        <w:t>не скупчення рідини може бути пов’язано з розривом головної панкреатичної протоки в ділянці некрозу паренхіми. Протягом першого тижня захворювання можуть виникнути значні труднощі при диференціації гострого перипанкреатичного рідинного скупчення від гостро</w:t>
      </w:r>
      <w:r>
        <w:t xml:space="preserve">го постнекротичного скупчення рідини. Після першого тижня різниця між цими двома важливими типами скупчень стає ясною, оскільки на цій стадії перипанкреатичне скупчення пов’язане, насамперед, з панкреатичними паренхіматозними некрозами і може бути названо </w:t>
      </w:r>
      <w:r>
        <w:t>гострим постнекротичним скупченням рідини, а не гострим перипанкреатичним рідинним скупченням. ЯМРТ, черезшкірна ультрасонографія або ендоскопічна ультрасонографія є корисними для підтвердження наявності щільного вмісту в цих скупченнях.</w:t>
      </w:r>
    </w:p>
    <w:p w:rsidR="006266CC" w:rsidRDefault="00851AD0">
      <w:r>
        <w:t>Відмежоване вогнищ</w:t>
      </w:r>
      <w:r>
        <w:t>е панкреонекрозу. ВВП складаються з некротичних тканин з щільною стінкою з реактивно запаленої гранулематозної тканини - це зріле, інкапсульоване скупчення панкреатичного або перипанкреатичного некрозу і може бути відмежоване добре розвиненою запальною сті</w:t>
      </w:r>
      <w:r>
        <w:t>нкою. Зазвичай дозрівання його стінки вимагає більш 4 тижнів після приступу некротичного панкреатиту. Раніше для позначення цього явища використовувалися різні терміни: організований панкреатичний некроз, некрома, панкреатична секвестрація, псевдокіста, по</w:t>
      </w:r>
      <w:r>
        <w:t>в’язана з панкреонекрозом, підгострий панкреонекроз. ВВП походить з некротизованої паренхіми і/або некротизованих перипанкреатичних тканин, він може бути інфікованим, множинним, виявлятися в місці найбільш віддаленої, дистально розташованої ділянки підшлун</w:t>
      </w:r>
      <w:r>
        <w:t>кової залози. При контрастно посиленій КТ не можна точно відрізнити твердий вміст від рідкого, що може призвести до невірного диференціального діагнозу з псевдокістою, тому в цьому випадку можуть бути корисними застосування ЯМРТ, трансабдомінальної ультрас</w:t>
      </w:r>
      <w:r>
        <w:t>онографії або ендосонографії. Виявлення наявності або відсутності сполучення з протоками підшлункової залози не є важливими для ВВП, хоча визначення такого сполучення є значним при виборі тактики лікування.</w:t>
      </w:r>
    </w:p>
    <w:p w:rsidR="006266CC" w:rsidRDefault="00851AD0">
      <w:pPr>
        <w:spacing w:after="231"/>
      </w:pPr>
      <w:r>
        <w:t>Інфікування гострого постнекротичного скупчення р</w:t>
      </w:r>
      <w:r>
        <w:t>ідини або відмежованого вогнища панкреонекрозу може бути запідозрено за клінічними ознаками або наявності газу в скупченні, виявленого при контраст посиленій КТ. Цей газ, поза просвіту порожнистих органів, знаходиться в ділянці некрозів. При цьому можуть т</w:t>
      </w:r>
      <w:r>
        <w:t xml:space="preserve">акож візуалізуватися рівні рідини/газу </w:t>
      </w:r>
      <w:r>
        <w:lastRenderedPageBreak/>
        <w:t>залежно від їх обсягу. У разі сумнівів необхідно виконати тонкоголкову пункцію з бактеріологічним дослідженням аспірату, хоча в деяких дослідженнях можна обійтися і без неї, особливо якщо черезшкірне дренування є част</w:t>
      </w:r>
      <w:r>
        <w:t>иною лікувального алгоритму.</w:t>
      </w:r>
    </w:p>
    <w:p w:rsidR="006266CC" w:rsidRDefault="00851AD0">
      <w:pPr>
        <w:spacing w:after="22"/>
        <w:ind w:left="297" w:right="-15" w:hanging="10"/>
        <w:jc w:val="left"/>
      </w:pPr>
      <w:r>
        <w:rPr>
          <w:b/>
        </w:rPr>
        <w:t>Висновок</w:t>
      </w:r>
    </w:p>
    <w:p w:rsidR="006266CC" w:rsidRDefault="00851AD0">
      <w:pPr>
        <w:spacing w:after="231" w:line="246" w:lineRule="auto"/>
        <w:ind w:left="10" w:right="-1" w:hanging="10"/>
        <w:jc w:val="right"/>
      </w:pPr>
      <w:r>
        <w:t>Класифікація, що наводиться, переглядає й удосконалює термінологію ГП, яку було прийнято в Атланті у 1992 р. Важливою особливістю її є розуміння того, що ГП є динамічним процесом, а тяжкість стану пацієнта може змінюва</w:t>
      </w:r>
      <w:r>
        <w:t xml:space="preserve">тися в процесі лікування. У ранній фазі захворювання тяжкість стану зумовлена ССЗВ або органною недостатністю. Якщо в ранній фазі не відзначено органної недостатності та локальних або системних ускладнень, захворювання вважається легкого ступеня тяжкості. </w:t>
      </w:r>
      <w:r>
        <w:t>Середнього ступеня тяжкості ГП вважається, якщо розвинулися локальні або системні ускладнення і не було органної недостатності. При розвитку транзиторної або постійної органної недостатності ГП є тяжким і пов’язаний з високим рівнем летальності. Точний опи</w:t>
      </w:r>
      <w:r>
        <w:t>с локальних ускладнень, включаючи наявність рідини або некрозів в підшлунковій залозі або навколо її, час прогресування захворювання і наявність або відсутність інфекції допоможе поліпшити диференціювання пацієнтів як для лікування в спеціалізованих центра</w:t>
      </w:r>
      <w:r>
        <w:t>х, так і для проведення клінічних досліджень.</w:t>
      </w:r>
    </w:p>
    <w:p w:rsidR="006266CC" w:rsidRDefault="00851AD0">
      <w:pPr>
        <w:spacing w:after="22"/>
        <w:ind w:left="297" w:right="-15" w:hanging="10"/>
        <w:jc w:val="left"/>
      </w:pPr>
      <w:r>
        <w:rPr>
          <w:b/>
        </w:rPr>
        <w:t>Література.</w:t>
      </w:r>
    </w:p>
    <w:p w:rsidR="006266CC" w:rsidRDefault="00851AD0" w:rsidP="00851AD0">
      <w:pPr>
        <w:numPr>
          <w:ilvl w:val="0"/>
          <w:numId w:val="2"/>
        </w:numPr>
        <w:spacing w:after="15"/>
        <w:ind w:right="2"/>
      </w:pPr>
      <w:r w:rsidRPr="00D138DA">
        <w:rPr>
          <w:sz w:val="18"/>
          <w:lang w:val="en-US"/>
        </w:rPr>
        <w:t xml:space="preserve">A clinically based classification system for acute pancreatitis. Summary of the International Symposium on Acute Pancreatitis, Atlanta, Ga, September 11 through 13, 1992./ </w:t>
      </w:r>
      <w:r>
        <w:rPr>
          <w:sz w:val="18"/>
        </w:rPr>
        <w:t>Bradley E.L. 3rd.// Arch. Surg. – 1993. – Vol. 128 (5). – P. 586–590.</w:t>
      </w:r>
    </w:p>
    <w:p w:rsidR="006266CC" w:rsidRDefault="00851AD0" w:rsidP="00851AD0">
      <w:pPr>
        <w:numPr>
          <w:ilvl w:val="0"/>
          <w:numId w:val="2"/>
        </w:numPr>
        <w:spacing w:after="210"/>
        <w:ind w:right="2"/>
      </w:pPr>
      <w:r w:rsidRPr="00D138DA">
        <w:rPr>
          <w:sz w:val="18"/>
          <w:lang w:val="en-US"/>
        </w:rPr>
        <w:t>Peter A. Banks</w:t>
      </w:r>
      <w:r w:rsidRPr="00D138DA">
        <w:rPr>
          <w:sz w:val="18"/>
          <w:lang w:val="en-US"/>
        </w:rPr>
        <w:t xml:space="preserve">. Acute Pancreatitis Classification Working Group Classification of acute pancreatitis—2012: revision of the Atlanta classification and definitions by international consensus / Peter A. Banks, Thomas L. Bollen, Christos Dervenis, Hein G. Gooszen, Colin D. </w:t>
      </w:r>
      <w:r w:rsidRPr="00D138DA">
        <w:rPr>
          <w:sz w:val="18"/>
          <w:lang w:val="en-US"/>
        </w:rPr>
        <w:t xml:space="preserve">Johnson, Michael G. Sarr,.Gregory G. Tsiotos, Santhi Swaroop Vege // Gut. </w:t>
      </w:r>
      <w:r>
        <w:rPr>
          <w:rFonts w:ascii="Segoe UI Symbol" w:eastAsia="Segoe UI Symbol" w:hAnsi="Segoe UI Symbol" w:cs="Segoe UI Symbol"/>
          <w:sz w:val="18"/>
        </w:rPr>
        <w:t></w:t>
      </w:r>
      <w:r>
        <w:rPr>
          <w:sz w:val="18"/>
        </w:rPr>
        <w:t xml:space="preserve"> 2013. </w:t>
      </w:r>
      <w:r>
        <w:rPr>
          <w:rFonts w:ascii="Segoe UI Symbol" w:eastAsia="Segoe UI Symbol" w:hAnsi="Segoe UI Symbol" w:cs="Segoe UI Symbol"/>
          <w:sz w:val="18"/>
        </w:rPr>
        <w:t></w:t>
      </w:r>
      <w:r>
        <w:rPr>
          <w:sz w:val="18"/>
        </w:rPr>
        <w:t xml:space="preserve"> Vol. 62. </w:t>
      </w:r>
      <w:r>
        <w:rPr>
          <w:rFonts w:ascii="Segoe UI Symbol" w:eastAsia="Segoe UI Symbol" w:hAnsi="Segoe UI Symbol" w:cs="Segoe UI Symbol"/>
          <w:sz w:val="18"/>
        </w:rPr>
        <w:t></w:t>
      </w:r>
      <w:r>
        <w:rPr>
          <w:sz w:val="18"/>
        </w:rPr>
        <w:t xml:space="preserve"> P.102–111.</w:t>
      </w:r>
    </w:p>
    <w:p w:rsidR="006266CC" w:rsidRDefault="00851AD0">
      <w:pPr>
        <w:spacing w:after="26"/>
        <w:ind w:left="288" w:right="3" w:hanging="10"/>
      </w:pPr>
      <w:r>
        <w:rPr>
          <w:b/>
          <w:sz w:val="18"/>
        </w:rPr>
        <w:t>Додаток 1</w:t>
      </w:r>
    </w:p>
    <w:p w:rsidR="006266CC" w:rsidRDefault="00851AD0">
      <w:pPr>
        <w:spacing w:after="15"/>
        <w:ind w:left="278" w:right="2" w:firstLine="0"/>
      </w:pPr>
      <w:r>
        <w:rPr>
          <w:sz w:val="18"/>
        </w:rPr>
        <w:t>Переглянуті визначення ГП:</w:t>
      </w:r>
    </w:p>
    <w:p w:rsidR="006266CC" w:rsidRDefault="00851AD0" w:rsidP="00851AD0">
      <w:pPr>
        <w:numPr>
          <w:ilvl w:val="0"/>
          <w:numId w:val="3"/>
        </w:numPr>
        <w:spacing w:after="15"/>
        <w:ind w:right="2"/>
      </w:pPr>
      <w:r>
        <w:rPr>
          <w:sz w:val="18"/>
        </w:rPr>
        <w:t>Інтерстиціальний набряковий панкреатит - гостре запалення паренхіми підшлункової залози і перипанкреатичної клітк</w:t>
      </w:r>
      <w:r>
        <w:rPr>
          <w:sz w:val="18"/>
        </w:rPr>
        <w:t xml:space="preserve">овини, але без видимих </w:t>
      </w:r>
      <w:r>
        <w:rPr>
          <w:rFonts w:ascii="Courier New" w:eastAsia="Courier New" w:hAnsi="Courier New" w:cs="Courier New"/>
          <w:sz w:val="18"/>
        </w:rPr>
        <w:t xml:space="preserve">  </w:t>
      </w:r>
      <w:r>
        <w:rPr>
          <w:sz w:val="18"/>
        </w:rPr>
        <w:t>ознак панкреонекрозу.</w:t>
      </w:r>
    </w:p>
    <w:p w:rsidR="006266CC" w:rsidRDefault="00851AD0">
      <w:pPr>
        <w:spacing w:after="15"/>
        <w:ind w:right="2"/>
      </w:pPr>
      <w:r>
        <w:rPr>
          <w:sz w:val="18"/>
        </w:rPr>
        <w:t>КТ-критерії: a. контрастування паренхіми підшлункової залози (при в/в введенні контрасту); b. немає ознак перипанкреатичного некрозу.</w:t>
      </w:r>
    </w:p>
    <w:p w:rsidR="006266CC" w:rsidRDefault="00851AD0" w:rsidP="00851AD0">
      <w:pPr>
        <w:numPr>
          <w:ilvl w:val="0"/>
          <w:numId w:val="3"/>
        </w:numPr>
        <w:spacing w:after="15"/>
        <w:ind w:right="2"/>
      </w:pPr>
      <w:r>
        <w:rPr>
          <w:sz w:val="18"/>
        </w:rPr>
        <w:t>Некротический панкреатит - запалення, пов’язане з некрозом підшлункової залози та/або перипанкреатичної клітковини.</w:t>
      </w:r>
    </w:p>
    <w:p w:rsidR="006266CC" w:rsidRDefault="00851AD0">
      <w:pPr>
        <w:spacing w:after="15"/>
        <w:ind w:right="2"/>
      </w:pPr>
      <w:r>
        <w:rPr>
          <w:sz w:val="18"/>
        </w:rPr>
        <w:t>КТ-критерії: a. відсутність контрастування паренхіми підшлункової залози (при в / в введенні контрасту); b. наявність перипанкреатичного нек</w:t>
      </w:r>
      <w:r>
        <w:rPr>
          <w:sz w:val="18"/>
        </w:rPr>
        <w:t>розу (див. нижче гостре постнекротичне скупчення рідини і відмежоване вогнище панкреонекрозу).</w:t>
      </w:r>
    </w:p>
    <w:p w:rsidR="006266CC" w:rsidRDefault="00851AD0" w:rsidP="00851AD0">
      <w:pPr>
        <w:numPr>
          <w:ilvl w:val="0"/>
          <w:numId w:val="3"/>
        </w:numPr>
        <w:spacing w:after="15"/>
        <w:ind w:right="2"/>
      </w:pPr>
      <w:r>
        <w:rPr>
          <w:sz w:val="18"/>
        </w:rPr>
        <w:lastRenderedPageBreak/>
        <w:t>Гостре перипанкреатичне рідинне скупчення пов’язано з інтерстиціальним панкреатитом при відсутності некрозів. Цей термін застосовується тільки до перипанкреатичн</w:t>
      </w:r>
      <w:r>
        <w:rPr>
          <w:sz w:val="18"/>
        </w:rPr>
        <w:t>их скупчень, спостерігається протягом перших 4 тижнів після нападу інтерстиціального панкреатиту і без ознак розвитку псевдокісти.</w:t>
      </w:r>
    </w:p>
    <w:p w:rsidR="006266CC" w:rsidRDefault="00851AD0">
      <w:pPr>
        <w:spacing w:after="15"/>
        <w:ind w:right="2"/>
      </w:pPr>
      <w:r>
        <w:rPr>
          <w:sz w:val="18"/>
        </w:rPr>
        <w:t>КТ-критерії: a. зустрічається при інтерстиціальному панкреатиті; b. гомогенні скупчення з щільністю рідинної структури; c. об</w:t>
      </w:r>
      <w:r>
        <w:rPr>
          <w:sz w:val="18"/>
        </w:rPr>
        <w:t>межені нормальною перипанкреатичною клітковиною; d. прилягають до підшлунковій залози (не інтрапанкреатичне розташування).</w:t>
      </w:r>
    </w:p>
    <w:p w:rsidR="006266CC" w:rsidRDefault="00851AD0" w:rsidP="00851AD0">
      <w:pPr>
        <w:numPr>
          <w:ilvl w:val="0"/>
          <w:numId w:val="3"/>
        </w:numPr>
        <w:spacing w:after="15"/>
        <w:ind w:right="2"/>
      </w:pPr>
      <w:r>
        <w:rPr>
          <w:sz w:val="18"/>
        </w:rPr>
        <w:t>Псевдокіста підшлункової залози - інкапсульоване скупчення рідини з добре визначеною запальною стінкою зазвичай розташоване поза орга</w:t>
      </w:r>
      <w:r>
        <w:rPr>
          <w:sz w:val="18"/>
        </w:rPr>
        <w:t>ном мінімальним об’ємом або відсутністю некротичної тканини. Зазвичай зустрічається через 4 і більше тижнів від початку гострого інтерстиціального набрякового панкреатиту.</w:t>
      </w:r>
    </w:p>
    <w:p w:rsidR="006266CC" w:rsidRDefault="00851AD0">
      <w:pPr>
        <w:spacing w:after="15"/>
        <w:ind w:right="2"/>
      </w:pPr>
      <w:r>
        <w:rPr>
          <w:sz w:val="18"/>
        </w:rPr>
        <w:t>КТ-критерії: a. добре відмежована, зазвичай овальна або кругла; b. гомогенна щільніс</w:t>
      </w:r>
      <w:r>
        <w:rPr>
          <w:sz w:val="18"/>
        </w:rPr>
        <w:t>ть рідини; c. немає щільних компонентів; d. добре відмежована стінка;</w:t>
      </w:r>
    </w:p>
    <w:p w:rsidR="006266CC" w:rsidRDefault="00851AD0">
      <w:pPr>
        <w:spacing w:after="15"/>
        <w:ind w:right="2"/>
      </w:pPr>
      <w:r>
        <w:rPr>
          <w:sz w:val="18"/>
        </w:rPr>
        <w:t>e. дозрівання зазвичай триває більше 4 тижнів після нападу ГП.</w:t>
      </w:r>
    </w:p>
    <w:p w:rsidR="006266CC" w:rsidRDefault="00851AD0" w:rsidP="00851AD0">
      <w:pPr>
        <w:numPr>
          <w:ilvl w:val="0"/>
          <w:numId w:val="4"/>
        </w:numPr>
        <w:spacing w:after="15"/>
        <w:ind w:right="2"/>
      </w:pPr>
      <w:r>
        <w:rPr>
          <w:sz w:val="18"/>
        </w:rPr>
        <w:t>Гостре постнекротичне скупчення рідини - скупчення, що містить різну кількість рідини і некротичного детриту, пов’язане з п</w:t>
      </w:r>
      <w:r>
        <w:rPr>
          <w:sz w:val="18"/>
        </w:rPr>
        <w:t>анкреонекрозом. Некроз може втягувати паренхіму ПЗ або навколишню клітковину.</w:t>
      </w:r>
    </w:p>
    <w:p w:rsidR="006266CC" w:rsidRDefault="00851AD0">
      <w:pPr>
        <w:spacing w:after="15"/>
        <w:ind w:right="2"/>
      </w:pPr>
      <w:r>
        <w:rPr>
          <w:sz w:val="18"/>
        </w:rPr>
        <w:t>КТ-критерії: a. зустрічається тільки при гострому панкреонекрозі; b. гетерогенне і нерідинної щільності, що відрізняється в різних областях (іноді гомогенне на початку захворюван</w:t>
      </w:r>
      <w:r>
        <w:rPr>
          <w:sz w:val="18"/>
        </w:rPr>
        <w:t>ня); c. немає стінки; d. локалізація - інтрапанкреатична або екстрапанкреатична.</w:t>
      </w:r>
    </w:p>
    <w:p w:rsidR="006266CC" w:rsidRDefault="00851AD0" w:rsidP="00851AD0">
      <w:pPr>
        <w:numPr>
          <w:ilvl w:val="0"/>
          <w:numId w:val="4"/>
        </w:numPr>
        <w:spacing w:after="15"/>
        <w:ind w:right="2"/>
      </w:pPr>
      <w:r>
        <w:rPr>
          <w:sz w:val="18"/>
        </w:rPr>
        <w:t>Відмежоване вогнище панкреонекрозу - дозріле, інкапсульоване скупчення панкреатичного і періпанкреатического некрозу, яке має добре відмежовану запальну стінку. Відмежоване во</w:t>
      </w:r>
      <w:r>
        <w:rPr>
          <w:sz w:val="18"/>
        </w:rPr>
        <w:t>гнище панкреонекрозу, як правило, зустрічається через 4 і більше тижнів після нападу некротичного панкреатиту.</w:t>
      </w:r>
    </w:p>
    <w:p w:rsidR="006266CC" w:rsidRDefault="00851AD0">
      <w:pPr>
        <w:spacing w:after="1671"/>
        <w:ind w:right="2"/>
      </w:pPr>
      <w:r>
        <w:rPr>
          <w:sz w:val="18"/>
        </w:rPr>
        <w:t>КТ-критерії: a. гетерогенне з щільністю рідини і тканин з різним рівнем в різних ділянках (деякі можуть виглядати гомогенним); b. добре відмежова</w:t>
      </w:r>
      <w:r>
        <w:rPr>
          <w:sz w:val="18"/>
        </w:rPr>
        <w:t>на стінка, яка повністю його відмежовує; c. локалізація - інтра- та/або екстрапанкреатично; d. дозріває зазвичай протягом 4 тижнів після нападу гострого некротичного панкреатиту.</w:t>
      </w:r>
    </w:p>
    <w:p w:rsidR="006266CC" w:rsidRDefault="00851AD0">
      <w:pPr>
        <w:spacing w:after="15"/>
        <w:ind w:right="2" w:firstLine="0"/>
      </w:pPr>
      <w:r>
        <w:rPr>
          <w:sz w:val="18"/>
        </w:rPr>
        <w:t>УДК 616.37-002+616-07+616.24-002</w:t>
      </w:r>
    </w:p>
    <w:p w:rsidR="006266CC" w:rsidRDefault="00851AD0">
      <w:pPr>
        <w:spacing w:after="26"/>
        <w:ind w:left="288" w:right="3" w:hanging="10"/>
      </w:pPr>
      <w:r>
        <w:rPr>
          <w:b/>
          <w:sz w:val="18"/>
        </w:rPr>
        <w:t>Додаток 2</w:t>
      </w:r>
    </w:p>
    <w:p w:rsidR="006266CC" w:rsidRDefault="00851AD0" w:rsidP="00851AD0">
      <w:pPr>
        <w:numPr>
          <w:ilvl w:val="0"/>
          <w:numId w:val="5"/>
        </w:numPr>
        <w:spacing w:after="15"/>
        <w:ind w:right="2"/>
      </w:pPr>
      <w:r>
        <w:rPr>
          <w:sz w:val="18"/>
        </w:rPr>
        <w:t>Легкий ГП: a. немає органної недостатності; b. немає локальних або системних ускладнень.</w:t>
      </w:r>
    </w:p>
    <w:p w:rsidR="006266CC" w:rsidRDefault="00851AD0" w:rsidP="00851AD0">
      <w:pPr>
        <w:numPr>
          <w:ilvl w:val="0"/>
          <w:numId w:val="5"/>
        </w:numPr>
        <w:spacing w:after="15"/>
        <w:ind w:right="2"/>
      </w:pPr>
      <w:r>
        <w:rPr>
          <w:sz w:val="18"/>
        </w:rPr>
        <w:t>Середнього ступеня тяжкості ГП: a. органна недостатність ліквідується на протязі 48 годин, коли починається органна недостатність; b. локальні або системні ускладнення</w:t>
      </w:r>
      <w:r>
        <w:rPr>
          <w:sz w:val="18"/>
        </w:rPr>
        <w:t xml:space="preserve"> без персистуючої органної недостатності;</w:t>
      </w:r>
    </w:p>
    <w:p w:rsidR="006266CC" w:rsidRDefault="00851AD0" w:rsidP="00851AD0">
      <w:pPr>
        <w:numPr>
          <w:ilvl w:val="0"/>
          <w:numId w:val="5"/>
        </w:numPr>
        <w:spacing w:after="15" w:line="246" w:lineRule="auto"/>
        <w:ind w:right="2"/>
      </w:pPr>
      <w:r>
        <w:rPr>
          <w:sz w:val="18"/>
        </w:rPr>
        <w:t>Тяжкий ГП: a. персистуюча органна недостатність (&gt; 48 год.);</w:t>
      </w:r>
    </w:p>
    <w:p w:rsidR="006266CC" w:rsidRDefault="00851AD0">
      <w:pPr>
        <w:spacing w:after="398"/>
        <w:ind w:right="2" w:firstLine="0"/>
      </w:pPr>
      <w:r>
        <w:rPr>
          <w:sz w:val="18"/>
        </w:rPr>
        <w:t>i. моноорганна недостатність; ii. поліорганна недостатність.</w:t>
      </w:r>
    </w:p>
    <w:p w:rsidR="006266CC" w:rsidRPr="00D138DA" w:rsidRDefault="00851AD0">
      <w:pPr>
        <w:spacing w:after="15"/>
        <w:ind w:left="278" w:right="2" w:firstLine="0"/>
        <w:rPr>
          <w:lang w:val="en-US"/>
        </w:rPr>
      </w:pPr>
      <w:bookmarkStart w:id="0" w:name="_GoBack"/>
      <w:bookmarkEnd w:id="0"/>
      <w:r>
        <w:rPr>
          <w:sz w:val="18"/>
        </w:rPr>
        <w:t>Надійшла</w:t>
      </w:r>
      <w:r w:rsidRPr="00D138DA">
        <w:rPr>
          <w:sz w:val="18"/>
          <w:lang w:val="en-US"/>
        </w:rPr>
        <w:t xml:space="preserve"> 01.07.2014 </w:t>
      </w:r>
      <w:r>
        <w:rPr>
          <w:sz w:val="18"/>
        </w:rPr>
        <w:t>року</w:t>
      </w:r>
      <w:r w:rsidRPr="00D138DA">
        <w:rPr>
          <w:sz w:val="18"/>
          <w:lang w:val="en-US"/>
        </w:rPr>
        <w:t>.</w:t>
      </w:r>
    </w:p>
    <w:p w:rsidR="006266CC" w:rsidRPr="00D138DA" w:rsidRDefault="006266CC">
      <w:pPr>
        <w:rPr>
          <w:lang w:val="en-US"/>
        </w:rPr>
        <w:sectPr w:rsidR="006266CC" w:rsidRPr="00D138DA">
          <w:footerReference w:type="even" r:id="rId11"/>
          <w:footerReference w:type="default" r:id="rId12"/>
          <w:footerReference w:type="first" r:id="rId13"/>
          <w:type w:val="continuous"/>
          <w:pgSz w:w="11900" w:h="16840"/>
          <w:pgMar w:top="1129" w:right="1113" w:bottom="1031" w:left="1133" w:header="720" w:footer="720" w:gutter="0"/>
          <w:cols w:num="2" w:space="216"/>
        </w:sectPr>
      </w:pPr>
    </w:p>
    <w:p w:rsidR="006266CC" w:rsidRDefault="006266CC" w:rsidP="00D138DA">
      <w:pPr>
        <w:spacing w:after="202"/>
        <w:ind w:right="-15"/>
        <w:jc w:val="left"/>
      </w:pPr>
    </w:p>
    <w:sectPr w:rsidR="006266CC" w:rsidSect="00D138DA">
      <w:footerReference w:type="even" r:id="rId14"/>
      <w:footerReference w:type="default" r:id="rId15"/>
      <w:footerReference w:type="first" r:id="rId16"/>
      <w:type w:val="continuous"/>
      <w:pgSz w:w="11900" w:h="16840"/>
      <w:pgMar w:top="1129" w:right="1113" w:bottom="1137" w:left="1133" w:header="720" w:footer="720" w:gutter="0"/>
      <w:cols w:num="2" w:space="22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1AD0" w:rsidRDefault="00851AD0">
      <w:pPr>
        <w:spacing w:after="0" w:line="240" w:lineRule="auto"/>
      </w:pPr>
      <w:r>
        <w:separator/>
      </w:r>
    </w:p>
  </w:endnote>
  <w:endnote w:type="continuationSeparator" w:id="0">
    <w:p w:rsidR="00851AD0" w:rsidRDefault="00851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</w:pPr>
    <w:r>
      <w:fldChar w:fldCharType="begin"/>
    </w:r>
    <w:r>
      <w:instrText xml:space="preserve"> PAGE   \* MERGEFORMAT </w:instrText>
    </w:r>
    <w:r>
      <w:fldChar w:fldCharType="separate"/>
    </w:r>
    <w:r w:rsidR="00D138DA" w:rsidRPr="00D138DA">
      <w:rPr>
        <w:b/>
        <w:noProof/>
        <w:sz w:val="24"/>
      </w:rPr>
      <w:t>4</w:t>
    </w:r>
    <w:r>
      <w:rPr>
        <w:b/>
        <w:sz w:val="24"/>
      </w:rPr>
      <w:fldChar w:fldCharType="end"/>
    </w:r>
    <w:r>
      <w:rPr>
        <w:b/>
        <w:sz w:val="24"/>
      </w:rPr>
      <w:tab/>
    </w:r>
    <w:r>
      <w:rPr>
        <w:sz w:val="18"/>
      </w:rPr>
      <w:t xml:space="preserve">«Архів клінічної медицини»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  <w:jc w:val="center"/>
    </w:pPr>
    <w:r>
      <w:rPr>
        <w:sz w:val="18"/>
      </w:rPr>
      <w:t>№ 2 (20) - 2014, частина ІІ</w:t>
    </w:r>
    <w:r>
      <w:rPr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138DA" w:rsidRPr="00D138DA">
      <w:rPr>
        <w:b/>
        <w:noProof/>
        <w:sz w:val="24"/>
      </w:rPr>
      <w:t>5</w:t>
    </w:r>
    <w:r>
      <w:rPr>
        <w:b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4"/>
      </w:rPr>
      <w:t>6</w:t>
    </w:r>
    <w:r>
      <w:rPr>
        <w:b/>
        <w:sz w:val="24"/>
      </w:rPr>
      <w:fldChar w:fldCharType="end"/>
    </w:r>
    <w:r>
      <w:rPr>
        <w:b/>
        <w:sz w:val="24"/>
      </w:rPr>
      <w:tab/>
    </w:r>
    <w:r>
      <w:rPr>
        <w:sz w:val="18"/>
      </w:rPr>
      <w:t xml:space="preserve">«Архів клінічної медицини»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</w:pPr>
    <w:r>
      <w:fldChar w:fldCharType="begin"/>
    </w:r>
    <w:r>
      <w:instrText xml:space="preserve"> PAGE   \* M</w:instrText>
    </w:r>
    <w:r>
      <w:instrText xml:space="preserve">ERGEFORMAT </w:instrText>
    </w:r>
    <w:r>
      <w:fldChar w:fldCharType="separate"/>
    </w:r>
    <w:r w:rsidR="00D138DA" w:rsidRPr="00D138DA">
      <w:rPr>
        <w:b/>
        <w:noProof/>
        <w:sz w:val="24"/>
      </w:rPr>
      <w:t>26</w:t>
    </w:r>
    <w:r>
      <w:rPr>
        <w:b/>
        <w:sz w:val="24"/>
      </w:rPr>
      <w:fldChar w:fldCharType="end"/>
    </w:r>
    <w:r>
      <w:rPr>
        <w:b/>
        <w:sz w:val="24"/>
      </w:rPr>
      <w:tab/>
    </w:r>
    <w:r>
      <w:rPr>
        <w:sz w:val="18"/>
      </w:rPr>
      <w:t xml:space="preserve">«Архів клінічної медицини»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  <w:jc w:val="center"/>
    </w:pPr>
    <w:r>
      <w:rPr>
        <w:sz w:val="18"/>
      </w:rPr>
      <w:t>№ 2 (20) - 2014, частина ІІ</w:t>
    </w:r>
    <w:r>
      <w:rPr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138DA" w:rsidRPr="00D138DA">
      <w:rPr>
        <w:b/>
        <w:noProof/>
        <w:sz w:val="24"/>
      </w:rPr>
      <w:t>25</w:t>
    </w:r>
    <w:r>
      <w:rPr>
        <w:b/>
        <w:sz w:val="24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6CC" w:rsidRDefault="00851AD0">
    <w:pPr>
      <w:spacing w:after="0" w:line="240" w:lineRule="auto"/>
      <w:ind w:left="0" w:right="0" w:firstLine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b/>
        <w:sz w:val="24"/>
      </w:rPr>
      <w:t>6</w:t>
    </w:r>
    <w:r>
      <w:rPr>
        <w:b/>
        <w:sz w:val="24"/>
      </w:rPr>
      <w:fldChar w:fldCharType="end"/>
    </w:r>
    <w:r>
      <w:rPr>
        <w:b/>
        <w:sz w:val="24"/>
      </w:rPr>
      <w:tab/>
    </w:r>
    <w:r>
      <w:rPr>
        <w:sz w:val="18"/>
      </w:rPr>
      <w:t xml:space="preserve">«Архів клінічної медицини»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1AD0" w:rsidRDefault="00851AD0">
      <w:pPr>
        <w:spacing w:after="0" w:line="240" w:lineRule="auto"/>
      </w:pPr>
      <w:r>
        <w:separator/>
      </w:r>
    </w:p>
  </w:footnote>
  <w:footnote w:type="continuationSeparator" w:id="0">
    <w:p w:rsidR="00851AD0" w:rsidRDefault="00851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97244"/>
    <w:multiLevelType w:val="hybridMultilevel"/>
    <w:tmpl w:val="E654C71C"/>
    <w:lvl w:ilvl="0" w:tplc="20A00A3E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CEA334C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59F6BBA0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754686A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16A5D3C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96657FC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71AD3C8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29D652D4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6147592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83F4E7C"/>
    <w:multiLevelType w:val="hybridMultilevel"/>
    <w:tmpl w:val="55CCE442"/>
    <w:lvl w:ilvl="0" w:tplc="52644BBA">
      <w:start w:val="5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36F740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952CDEA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702A7A2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87D2F53E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0DDABF5E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376B0BA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900E356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64CA632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F430B3E"/>
    <w:multiLevelType w:val="hybridMultilevel"/>
    <w:tmpl w:val="117C3404"/>
    <w:lvl w:ilvl="0" w:tplc="DBDC1F24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A929246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DBA06AE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B54B542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9ECA48E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A669DC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D300F46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405C7152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49CA6F8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FF9724C"/>
    <w:multiLevelType w:val="hybridMultilevel"/>
    <w:tmpl w:val="26D07C08"/>
    <w:lvl w:ilvl="0" w:tplc="DAEAD666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E26F54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DC617C4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8825DCA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958C968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EE2A64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F2272DE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1EECF64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E74DCC0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140311D"/>
    <w:multiLevelType w:val="hybridMultilevel"/>
    <w:tmpl w:val="D904F674"/>
    <w:lvl w:ilvl="0" w:tplc="5A4A259E">
      <w:start w:val="1"/>
      <w:numFmt w:val="decimal"/>
      <w:lvlText w:val="%1."/>
      <w:lvlJc w:val="left"/>
      <w:pPr>
        <w:ind w:left="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9640236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81025DA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480D8E4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C605E60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2522B8E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34AAA7C6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9DE7CC0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72BE62CC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6CC"/>
    <w:rsid w:val="006266CC"/>
    <w:rsid w:val="00851AD0"/>
    <w:rsid w:val="00D13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CAF8576-2FA5-4CD4-AB4A-204E90312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4" w:line="228" w:lineRule="auto"/>
      <w:ind w:left="4" w:right="6" w:firstLine="273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before="466" w:after="0" w:line="240" w:lineRule="auto"/>
      <w:jc w:val="right"/>
      <w:outlineLvl w:val="0"/>
    </w:pPr>
    <w:rPr>
      <w:rFonts w:ascii="Calibri" w:eastAsia="Calibri" w:hAnsi="Calibri" w:cs="Calibri"/>
      <w:b/>
      <w:i/>
      <w:color w:val="000000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Calibri" w:eastAsia="Calibri" w:hAnsi="Calibri" w:cs="Calibri"/>
      <w:b/>
      <w:i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3932</Words>
  <Characters>22418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Святослав Балака</dc:creator>
  <cp:keywords/>
  <cp:lastModifiedBy>Святослав Балака</cp:lastModifiedBy>
  <cp:revision>2</cp:revision>
  <dcterms:created xsi:type="dcterms:W3CDTF">2014-11-25T21:50:00Z</dcterms:created>
  <dcterms:modified xsi:type="dcterms:W3CDTF">2014-11-25T21:50:00Z</dcterms:modified>
</cp:coreProperties>
</file>