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0B0" w:rsidRPr="007172CF" w:rsidRDefault="008110B0" w:rsidP="007172CF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172CF">
        <w:rPr>
          <w:rFonts w:ascii="Times New Roman" w:hAnsi="Times New Roman" w:cs="Times New Roman"/>
          <w:bCs/>
          <w:sz w:val="28"/>
          <w:szCs w:val="28"/>
        </w:rPr>
        <w:t>УДК 613:371.77.24:371.806.2</w:t>
      </w:r>
    </w:p>
    <w:p w:rsidR="008110B0" w:rsidRP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8110B0" w:rsidRPr="008110B0" w:rsidRDefault="008110B0" w:rsidP="007172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0B0">
        <w:rPr>
          <w:rFonts w:ascii="Times New Roman" w:hAnsi="Times New Roman" w:cs="Times New Roman"/>
          <w:b/>
          <w:bCs/>
          <w:sz w:val="28"/>
          <w:szCs w:val="28"/>
        </w:rPr>
        <w:t>Особенности умственной работоспособности будущих специалистов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0B0">
        <w:rPr>
          <w:rFonts w:ascii="Times New Roman" w:hAnsi="Times New Roman" w:cs="Times New Roman"/>
          <w:b/>
          <w:bCs/>
          <w:sz w:val="28"/>
          <w:szCs w:val="28"/>
        </w:rPr>
        <w:t>в области физической культуры и спорта</w:t>
      </w:r>
    </w:p>
    <w:p w:rsidR="008110B0" w:rsidRPr="008110B0" w:rsidRDefault="008110B0" w:rsidP="007172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Подригало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ед.н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проф., Дашкевич С.А.,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к.мед.н</w:t>
      </w:r>
      <w:proofErr w:type="spellEnd"/>
      <w:r>
        <w:rPr>
          <w:rFonts w:ascii="Times New Roman" w:hAnsi="Times New Roman" w:cs="Times New Roman"/>
          <w:sz w:val="28"/>
          <w:szCs w:val="28"/>
        </w:rPr>
        <w:t>., доц., Ровная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к.биол.н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доц., Сокол К.М.,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к.мед.н</w:t>
      </w:r>
      <w:proofErr w:type="spellEnd"/>
      <w:r>
        <w:rPr>
          <w:rFonts w:ascii="Times New Roman" w:hAnsi="Times New Roman" w:cs="Times New Roman"/>
          <w:sz w:val="28"/>
          <w:szCs w:val="28"/>
        </w:rPr>
        <w:t>., проф., Попова А.В. Харьковская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государственная академия физической культуры, Харьковский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национальный педагогический университет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Г.С.Сковороды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172CF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Харьковский национальный медицинский университет, г. Харьков, Украина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Оптимизация подготовки в современной высшей школе базируется на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повышении эффективности обучения, важным условием которого является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высокий уровень умственной и физической работоспособности студентов,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обусловленный множество</w:t>
      </w:r>
      <w:r w:rsidR="007172CF">
        <w:rPr>
          <w:rFonts w:ascii="Times New Roman" w:hAnsi="Times New Roman" w:cs="Times New Roman"/>
          <w:sz w:val="28"/>
          <w:szCs w:val="28"/>
        </w:rPr>
        <w:t>м факторов [1]. Активная учебно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</w:rPr>
        <w:t>производственная и познавательная деятельность учащейся молодежи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протекает в условиях объективно существующих противоречий, наиболее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существенным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которых является большой объем материала для усвоения и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дефицит времени [2]. Повышенные требования к организации обучения в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высшей школе приводят к снижению работоспособности и стойкости к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психоэмоциональному нагрузкам, возрастанию нервно-психического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напряжения, повышают вероятность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донозологических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расстройств [3].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Сложившаяся ситуация важность требует исследования факторов,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обеспечивающих оптимальное функциональное состояние студентов в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процессе обучения, что и обусловило актуальность данной работы.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качестве материалов использованы результаты обследования 40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студентов, будущих специалистов в области физической культуры (30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юношей, 10 девушек) в возрасте 21-22 года. Изучена недельная динамика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умственной работоспособности (УР) с помощью корректурной пробы (КП)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Анфимову, счетной таблицы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Крепелина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(СТК)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теппинг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теста (</w:t>
      </w:r>
      <w:proofErr w:type="gramStart"/>
      <w:r>
        <w:rPr>
          <w:rFonts w:ascii="Times New Roman" w:hAnsi="Times New Roman" w:cs="Times New Roman"/>
          <w:sz w:val="28"/>
          <w:szCs w:val="28"/>
        </w:rPr>
        <w:t>ТТ</w:t>
      </w:r>
      <w:proofErr w:type="gramEnd"/>
      <w:r>
        <w:rPr>
          <w:rFonts w:ascii="Times New Roman" w:hAnsi="Times New Roman" w:cs="Times New Roman"/>
          <w:sz w:val="28"/>
          <w:szCs w:val="28"/>
        </w:rPr>
        <w:t>) по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Ильину [4]. </w:t>
      </w:r>
      <w:r>
        <w:rPr>
          <w:rFonts w:ascii="Times New Roman" w:hAnsi="Times New Roman" w:cs="Times New Roman"/>
          <w:sz w:val="28"/>
          <w:szCs w:val="28"/>
        </w:rPr>
        <w:lastRenderedPageBreak/>
        <w:t>Статистическая обработка проведена с помощью методов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вариационной статистики.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результатов КП показал, что объем и продуктивность УР имели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тенденцию к повышению в динамике рабочего дня и существенно снижались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концу недели, что позволяет считать 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близкими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общепринятым (табл.1).</w:t>
      </w:r>
    </w:p>
    <w:p w:rsidR="00AF1D6C" w:rsidRPr="007172CF" w:rsidRDefault="00AF1D6C" w:rsidP="007172CF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172CF">
        <w:rPr>
          <w:rFonts w:ascii="Times New Roman" w:hAnsi="Times New Roman" w:cs="Times New Roman"/>
          <w:b/>
          <w:bCs/>
          <w:sz w:val="24"/>
          <w:szCs w:val="24"/>
        </w:rPr>
        <w:t>Таблица 1.</w:t>
      </w:r>
    </w:p>
    <w:p w:rsidR="00AF1D6C" w:rsidRPr="007172CF" w:rsidRDefault="00AF1D6C" w:rsidP="007172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72CF">
        <w:rPr>
          <w:rFonts w:ascii="Times New Roman" w:hAnsi="Times New Roman" w:cs="Times New Roman"/>
          <w:b/>
          <w:bCs/>
          <w:sz w:val="24"/>
          <w:szCs w:val="24"/>
        </w:rPr>
        <w:t>Показатели умственной работоспособности студентов</w:t>
      </w:r>
      <w:r w:rsidR="007172CF" w:rsidRPr="007172C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7172CF">
        <w:rPr>
          <w:rFonts w:ascii="Times New Roman" w:hAnsi="Times New Roman" w:cs="Times New Roman"/>
          <w:b/>
          <w:bCs/>
          <w:sz w:val="24"/>
          <w:szCs w:val="24"/>
        </w:rPr>
        <w:t>по данным корректурной</w:t>
      </w:r>
      <w:r w:rsidR="007172C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7172CF">
        <w:rPr>
          <w:rFonts w:ascii="Times New Roman" w:hAnsi="Times New Roman" w:cs="Times New Roman"/>
          <w:b/>
          <w:bCs/>
          <w:sz w:val="24"/>
          <w:szCs w:val="24"/>
        </w:rPr>
        <w:t>пробы</w:t>
      </w:r>
    </w:p>
    <w:tbl>
      <w:tblPr>
        <w:tblStyle w:val="a3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417"/>
        <w:gridCol w:w="1418"/>
        <w:gridCol w:w="1417"/>
        <w:gridCol w:w="1560"/>
        <w:gridCol w:w="1417"/>
      </w:tblGrid>
      <w:tr w:rsidR="00AF1D6C" w:rsidTr="007172CF">
        <w:trPr>
          <w:trHeight w:val="406"/>
        </w:trPr>
        <w:tc>
          <w:tcPr>
            <w:tcW w:w="1418" w:type="dxa"/>
            <w:vMerge w:val="restart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2835" w:type="dxa"/>
            <w:gridSpan w:val="2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835" w:type="dxa"/>
            <w:gridSpan w:val="2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AF1D6C" w:rsidTr="007172CF">
        <w:trPr>
          <w:trHeight w:val="553"/>
        </w:trPr>
        <w:tc>
          <w:tcPr>
            <w:tcW w:w="1418" w:type="dxa"/>
            <w:vMerge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 xml:space="preserve"> пара</w:t>
            </w:r>
          </w:p>
        </w:tc>
        <w:tc>
          <w:tcPr>
            <w:tcW w:w="1417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1418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 xml:space="preserve"> пара</w:t>
            </w:r>
          </w:p>
        </w:tc>
        <w:tc>
          <w:tcPr>
            <w:tcW w:w="1417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 xml:space="preserve"> пара</w:t>
            </w:r>
          </w:p>
        </w:tc>
        <w:tc>
          <w:tcPr>
            <w:tcW w:w="1560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 xml:space="preserve"> пара</w:t>
            </w:r>
          </w:p>
        </w:tc>
        <w:tc>
          <w:tcPr>
            <w:tcW w:w="1417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 xml:space="preserve"> пара</w:t>
            </w:r>
          </w:p>
        </w:tc>
      </w:tr>
      <w:tr w:rsidR="00AF1D6C" w:rsidTr="007172CF">
        <w:trPr>
          <w:trHeight w:val="651"/>
        </w:trPr>
        <w:tc>
          <w:tcPr>
            <w:tcW w:w="1418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Знаки</w:t>
            </w:r>
          </w:p>
        </w:tc>
        <w:tc>
          <w:tcPr>
            <w:tcW w:w="1418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428,6±16,3</w:t>
            </w:r>
          </w:p>
        </w:tc>
        <w:tc>
          <w:tcPr>
            <w:tcW w:w="1417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443,3±28,</w:t>
            </w:r>
            <w:r w:rsidRPr="00FC5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$</w:t>
            </w:r>
          </w:p>
        </w:tc>
        <w:tc>
          <w:tcPr>
            <w:tcW w:w="1418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450,8±21,3</w:t>
            </w:r>
          </w:p>
        </w:tc>
        <w:tc>
          <w:tcPr>
            <w:tcW w:w="1417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476,7±31,3</w:t>
            </w:r>
          </w:p>
        </w:tc>
        <w:tc>
          <w:tcPr>
            <w:tcW w:w="1560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357,1±16,0*</w:t>
            </w:r>
          </w:p>
        </w:tc>
        <w:tc>
          <w:tcPr>
            <w:tcW w:w="1417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368,2±18,0*</w:t>
            </w:r>
          </w:p>
        </w:tc>
      </w:tr>
      <w:tr w:rsidR="00AF1D6C" w:rsidTr="007172CF">
        <w:trPr>
          <w:trHeight w:val="274"/>
        </w:trPr>
        <w:tc>
          <w:tcPr>
            <w:tcW w:w="1418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Ошибки</w:t>
            </w:r>
          </w:p>
        </w:tc>
        <w:tc>
          <w:tcPr>
            <w:tcW w:w="1418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6,3±0,3</w:t>
            </w:r>
          </w:p>
        </w:tc>
        <w:tc>
          <w:tcPr>
            <w:tcW w:w="1417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4,9±0,3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°</w:t>
            </w:r>
          </w:p>
        </w:tc>
        <w:tc>
          <w:tcPr>
            <w:tcW w:w="1418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9,1±0,7*</w:t>
            </w:r>
          </w:p>
        </w:tc>
        <w:tc>
          <w:tcPr>
            <w:tcW w:w="1417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7,5±0,5*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°</w:t>
            </w:r>
          </w:p>
        </w:tc>
        <w:tc>
          <w:tcPr>
            <w:tcW w:w="1560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2,4±0,1**</w:t>
            </w:r>
          </w:p>
        </w:tc>
        <w:tc>
          <w:tcPr>
            <w:tcW w:w="1417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3,9±0,2*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°</w:t>
            </w:r>
          </w:p>
        </w:tc>
      </w:tr>
      <w:tr w:rsidR="00AF1D6C" w:rsidTr="007172CF">
        <w:trPr>
          <w:trHeight w:val="274"/>
        </w:trPr>
        <w:tc>
          <w:tcPr>
            <w:tcW w:w="1418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Точность</w:t>
            </w:r>
          </w:p>
        </w:tc>
        <w:tc>
          <w:tcPr>
            <w:tcW w:w="1418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0,90±0,02</w:t>
            </w:r>
          </w:p>
        </w:tc>
        <w:tc>
          <w:tcPr>
            <w:tcW w:w="1417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0,92±0,02</w:t>
            </w:r>
          </w:p>
        </w:tc>
        <w:tc>
          <w:tcPr>
            <w:tcW w:w="1418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0,85±0,03*</w:t>
            </w:r>
          </w:p>
        </w:tc>
        <w:tc>
          <w:tcPr>
            <w:tcW w:w="1417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0,89±0,02*</w:t>
            </w:r>
          </w:p>
        </w:tc>
        <w:tc>
          <w:tcPr>
            <w:tcW w:w="1560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0,96±0,01*</w:t>
            </w:r>
          </w:p>
        </w:tc>
        <w:tc>
          <w:tcPr>
            <w:tcW w:w="1417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0,92±0,01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°</w:t>
            </w:r>
          </w:p>
        </w:tc>
      </w:tr>
      <w:tr w:rsidR="00AF1D6C" w:rsidTr="007172CF">
        <w:trPr>
          <w:trHeight w:val="285"/>
        </w:trPr>
        <w:tc>
          <w:tcPr>
            <w:tcW w:w="1418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Продуктив</w:t>
            </w:r>
            <w:proofErr w:type="spellEnd"/>
            <w:r w:rsidR="007172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proofErr w:type="gramEnd"/>
          </w:p>
        </w:tc>
        <w:tc>
          <w:tcPr>
            <w:tcW w:w="1418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386,9±19,3</w:t>
            </w:r>
          </w:p>
        </w:tc>
        <w:tc>
          <w:tcPr>
            <w:tcW w:w="1417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409,3±31,4</w:t>
            </w:r>
          </w:p>
        </w:tc>
        <w:tc>
          <w:tcPr>
            <w:tcW w:w="1418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387,4±27,2</w:t>
            </w:r>
          </w:p>
        </w:tc>
        <w:tc>
          <w:tcPr>
            <w:tcW w:w="1417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426,7±34,2</w:t>
            </w:r>
          </w:p>
        </w:tc>
        <w:tc>
          <w:tcPr>
            <w:tcW w:w="1560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343,4±13,9*</w:t>
            </w:r>
          </w:p>
        </w:tc>
        <w:tc>
          <w:tcPr>
            <w:tcW w:w="1417" w:type="dxa"/>
            <w:vAlign w:val="center"/>
          </w:tcPr>
          <w:p w:rsidR="00AF1D6C" w:rsidRPr="00FC5302" w:rsidRDefault="00AF1D6C" w:rsidP="007172CF">
            <w:pPr>
              <w:autoSpaceDE w:val="0"/>
              <w:autoSpaceDN w:val="0"/>
              <w:adjustRightInd w:val="0"/>
              <w:spacing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02">
              <w:rPr>
                <w:rFonts w:ascii="Times New Roman" w:hAnsi="Times New Roman" w:cs="Times New Roman"/>
                <w:sz w:val="24"/>
                <w:szCs w:val="24"/>
              </w:rPr>
              <w:t>338,6±13,3*</w:t>
            </w:r>
          </w:p>
        </w:tc>
      </w:tr>
    </w:tbl>
    <w:p w:rsidR="007172CF" w:rsidRDefault="007172CF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F1D6C" w:rsidRDefault="00AF1D6C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отличия достоверны в динамике недели (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&lt;0,05);</w:t>
      </w:r>
    </w:p>
    <w:p w:rsidR="00AF1D6C" w:rsidRDefault="00AF1D6C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отличия достоверны в динамике недели (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&lt;0,001); -</w:t>
      </w:r>
    </w:p>
    <w:p w:rsidR="00AF1D6C" w:rsidRDefault="00AF1D6C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отличия достоверны в динамике рабочего дня (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&lt;0,05);</w:t>
      </w:r>
    </w:p>
    <w:p w:rsidR="00AF1D6C" w:rsidRDefault="00AF1D6C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тоже время количество ошибок и точность работы, не имели стойкой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тенденции, эти критерии колебались, снижаясь в среду (</w:t>
      </w:r>
      <w:proofErr w:type="gramStart"/>
      <w:r>
        <w:rPr>
          <w:rFonts w:ascii="Times New Roman" w:hAnsi="Times New Roman" w:cs="Times New Roman"/>
          <w:sz w:val="28"/>
          <w:szCs w:val="28"/>
        </w:rPr>
        <w:t>СР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восстанавливаясь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</w:t>
      </w:r>
      <w:r w:rsidR="00F25B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исходного уровня в пятницу (ПТ).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Анализ недельной динамики УР свидетельствовал о негативной динамике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количественных и позитивной качественных показателей, но результирующий</w:t>
      </w:r>
      <w:r w:rsidR="00F25B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показатель - продуктивность также имела негативные тенденции к концу</w:t>
      </w:r>
      <w:r w:rsidR="00F25B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недели.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может свидетельствовать о формировании умственного утомления, а</w:t>
      </w:r>
      <w:r w:rsidR="00F25B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несогласованность показателей, их разнонаправленные изменения</w:t>
      </w:r>
      <w:r w:rsidR="00F25B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иллюстрируют нестабильность работы.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ТТ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позволяет оценить силу и лабильность нервной системы,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причем снижение количества поставленных точек в динамике пробы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свидетельствует о недостаточной функциональной стойкости нервно-</w:t>
      </w:r>
      <w:r>
        <w:rPr>
          <w:rFonts w:ascii="Times New Roman" w:hAnsi="Times New Roman" w:cs="Times New Roman"/>
          <w:sz w:val="28"/>
          <w:szCs w:val="28"/>
        </w:rPr>
        <w:lastRenderedPageBreak/>
        <w:t>мышечного аппарата и нарастающем влиянии утомления [4]. Полученные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результаты (табл. 2) подтверждают, что в конце недели сила нервных процессов</w:t>
      </w:r>
      <w:r w:rsidR="00F25B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возрастала при тенденции к снижению их лабильности. В динамике недели по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результатам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ТТ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лабильность нервной системы имела тенденцию к снижению, а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сила, наоборот, повышалась.</w:t>
      </w:r>
    </w:p>
    <w:p w:rsidR="00F25B70" w:rsidRPr="007172CF" w:rsidRDefault="008110B0" w:rsidP="007172C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Полученные данные могут быть пояснены наличием охранительного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торможения, то есть снижением возможности нервной системы быстро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анализировать информацию, поэтому возможно возрастание лабильности при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низком темпе работы.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Таблица 2.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Показатели умственной работоспособности студентов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данным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теппинг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-теста</w:t>
      </w: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829"/>
        <w:gridCol w:w="15"/>
        <w:gridCol w:w="1261"/>
        <w:gridCol w:w="1276"/>
        <w:gridCol w:w="1432"/>
        <w:gridCol w:w="1275"/>
        <w:gridCol w:w="1252"/>
        <w:gridCol w:w="1407"/>
      </w:tblGrid>
      <w:tr w:rsidR="00B52C4E" w:rsidTr="007172CF">
        <w:trPr>
          <w:trHeight w:val="244"/>
        </w:trPr>
        <w:tc>
          <w:tcPr>
            <w:tcW w:w="1829" w:type="dxa"/>
            <w:vMerge w:val="restart"/>
            <w:vAlign w:val="center"/>
          </w:tcPr>
          <w:p w:rsidR="00B52C4E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2552" w:type="dxa"/>
            <w:gridSpan w:val="3"/>
            <w:vAlign w:val="center"/>
          </w:tcPr>
          <w:p w:rsidR="00B52C4E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2707" w:type="dxa"/>
            <w:gridSpan w:val="2"/>
            <w:vAlign w:val="center"/>
          </w:tcPr>
          <w:p w:rsidR="00B52C4E" w:rsidRPr="00B52C4E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659" w:type="dxa"/>
            <w:gridSpan w:val="2"/>
            <w:vAlign w:val="center"/>
          </w:tcPr>
          <w:p w:rsidR="00B52C4E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</w:tr>
      <w:tr w:rsidR="00D90B1C" w:rsidTr="007172CF">
        <w:trPr>
          <w:trHeight w:val="244"/>
        </w:trPr>
        <w:tc>
          <w:tcPr>
            <w:tcW w:w="1829" w:type="dxa"/>
            <w:vMerge/>
            <w:vAlign w:val="center"/>
          </w:tcPr>
          <w:p w:rsidR="00D90B1C" w:rsidRDefault="00D90B1C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пара</w:t>
            </w:r>
          </w:p>
        </w:tc>
        <w:tc>
          <w:tcPr>
            <w:tcW w:w="1276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 пара</w:t>
            </w:r>
          </w:p>
        </w:tc>
        <w:tc>
          <w:tcPr>
            <w:tcW w:w="1432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пара</w:t>
            </w:r>
          </w:p>
        </w:tc>
        <w:tc>
          <w:tcPr>
            <w:tcW w:w="1275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 пара</w:t>
            </w:r>
          </w:p>
        </w:tc>
        <w:tc>
          <w:tcPr>
            <w:tcW w:w="1252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пара</w:t>
            </w:r>
          </w:p>
        </w:tc>
        <w:tc>
          <w:tcPr>
            <w:tcW w:w="1407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 пара</w:t>
            </w:r>
          </w:p>
        </w:tc>
      </w:tr>
      <w:tr w:rsidR="00D90B1C" w:rsidTr="007172CF">
        <w:tc>
          <w:tcPr>
            <w:tcW w:w="1829" w:type="dxa"/>
            <w:vAlign w:val="center"/>
          </w:tcPr>
          <w:p w:rsidR="00B52C4E" w:rsidRDefault="00B52C4E" w:rsidP="00717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Лабильность</w:t>
            </w:r>
          </w:p>
          <w:p w:rsidR="00B52C4E" w:rsidRDefault="00B52C4E" w:rsidP="00717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н.с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(правая</w:t>
            </w:r>
            <w:proofErr w:type="gramEnd"/>
          </w:p>
          <w:p w:rsidR="00D90B1C" w:rsidRPr="007172CF" w:rsidRDefault="00B52C4E" w:rsidP="00717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рука)</w:t>
            </w:r>
          </w:p>
        </w:tc>
        <w:tc>
          <w:tcPr>
            <w:tcW w:w="1276" w:type="dxa"/>
            <w:gridSpan w:val="2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230,6±8,0</w:t>
            </w:r>
          </w:p>
        </w:tc>
        <w:tc>
          <w:tcPr>
            <w:tcW w:w="1276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240,2±9,0</w:t>
            </w:r>
          </w:p>
        </w:tc>
        <w:tc>
          <w:tcPr>
            <w:tcW w:w="1432" w:type="dxa"/>
            <w:vAlign w:val="center"/>
          </w:tcPr>
          <w:p w:rsidR="00D90B1C" w:rsidRPr="007172CF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245,5±10,</w:t>
            </w:r>
            <w:r w:rsidR="007172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75" w:type="dxa"/>
            <w:vAlign w:val="center"/>
          </w:tcPr>
          <w:p w:rsidR="00D90B1C" w:rsidRPr="007172CF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</w:rPr>
            </w:pPr>
            <w:r w:rsidRPr="007172C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245,8±9,0</w:t>
            </w:r>
          </w:p>
        </w:tc>
        <w:tc>
          <w:tcPr>
            <w:tcW w:w="1252" w:type="dxa"/>
            <w:vAlign w:val="center"/>
          </w:tcPr>
          <w:p w:rsidR="00D90B1C" w:rsidRPr="007172CF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</w:rPr>
            </w:pPr>
            <w:r w:rsidRPr="007172C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221,9±13,7</w:t>
            </w:r>
          </w:p>
        </w:tc>
        <w:tc>
          <w:tcPr>
            <w:tcW w:w="1407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219,9±10,0</w:t>
            </w:r>
          </w:p>
        </w:tc>
      </w:tr>
      <w:tr w:rsidR="00D90B1C" w:rsidTr="007172CF">
        <w:tc>
          <w:tcPr>
            <w:tcW w:w="1829" w:type="dxa"/>
            <w:vAlign w:val="center"/>
          </w:tcPr>
          <w:p w:rsidR="00B52C4E" w:rsidRDefault="00B52C4E" w:rsidP="00717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0B1C" w:rsidRDefault="00B52C4E" w:rsidP="00717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(правая рука</w:t>
            </w:r>
            <w:proofErr w:type="gramEnd"/>
          </w:p>
        </w:tc>
        <w:tc>
          <w:tcPr>
            <w:tcW w:w="1276" w:type="dxa"/>
            <w:gridSpan w:val="2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0,86±0,02</w:t>
            </w:r>
          </w:p>
        </w:tc>
        <w:tc>
          <w:tcPr>
            <w:tcW w:w="1276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0,86±0,02</w:t>
            </w:r>
          </w:p>
        </w:tc>
        <w:tc>
          <w:tcPr>
            <w:tcW w:w="1432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0,85±0,01</w:t>
            </w:r>
          </w:p>
        </w:tc>
        <w:tc>
          <w:tcPr>
            <w:tcW w:w="1275" w:type="dxa"/>
            <w:vAlign w:val="center"/>
          </w:tcPr>
          <w:p w:rsidR="00D90B1C" w:rsidRPr="007172CF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</w:rPr>
            </w:pPr>
            <w:r w:rsidRPr="007172C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0,85±0,01</w:t>
            </w:r>
          </w:p>
        </w:tc>
        <w:tc>
          <w:tcPr>
            <w:tcW w:w="1252" w:type="dxa"/>
            <w:vAlign w:val="center"/>
          </w:tcPr>
          <w:p w:rsidR="00D90B1C" w:rsidRPr="007172CF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</w:rPr>
            </w:pPr>
            <w:r w:rsidRPr="007172C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0,96±0,03</w:t>
            </w:r>
          </w:p>
        </w:tc>
        <w:tc>
          <w:tcPr>
            <w:tcW w:w="1407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0,92±0,03</w:t>
            </w:r>
          </w:p>
        </w:tc>
      </w:tr>
      <w:tr w:rsidR="00D90B1C" w:rsidTr="007172CF">
        <w:tc>
          <w:tcPr>
            <w:tcW w:w="1844" w:type="dxa"/>
            <w:gridSpan w:val="2"/>
            <w:vAlign w:val="center"/>
          </w:tcPr>
          <w:p w:rsidR="00B52C4E" w:rsidRDefault="00B52C4E" w:rsidP="00717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Лабильность</w:t>
            </w:r>
          </w:p>
          <w:p w:rsidR="00B52C4E" w:rsidRDefault="00B52C4E" w:rsidP="00717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н.с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(левая</w:t>
            </w:r>
            <w:proofErr w:type="gramEnd"/>
          </w:p>
          <w:p w:rsidR="00D90B1C" w:rsidRPr="007172CF" w:rsidRDefault="00B52C4E" w:rsidP="00717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рука)</w:t>
            </w:r>
          </w:p>
        </w:tc>
        <w:tc>
          <w:tcPr>
            <w:tcW w:w="1261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205,1±7,6</w:t>
            </w:r>
          </w:p>
        </w:tc>
        <w:tc>
          <w:tcPr>
            <w:tcW w:w="1276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205,8±8,7</w:t>
            </w:r>
          </w:p>
        </w:tc>
        <w:tc>
          <w:tcPr>
            <w:tcW w:w="1432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213,5±7,7</w:t>
            </w:r>
          </w:p>
        </w:tc>
        <w:tc>
          <w:tcPr>
            <w:tcW w:w="1275" w:type="dxa"/>
            <w:vAlign w:val="center"/>
          </w:tcPr>
          <w:p w:rsidR="00D90B1C" w:rsidRPr="007172CF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</w:rPr>
            </w:pPr>
            <w:r w:rsidRPr="007172C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4±8,6 187</w:t>
            </w:r>
          </w:p>
        </w:tc>
        <w:tc>
          <w:tcPr>
            <w:tcW w:w="1252" w:type="dxa"/>
            <w:vAlign w:val="center"/>
          </w:tcPr>
          <w:p w:rsidR="00D90B1C" w:rsidRPr="007172CF" w:rsidRDefault="007172CF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  <w:lang w:val="uk-UA"/>
              </w:rPr>
            </w:pPr>
            <w:r w:rsidRPr="007172C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187,1±12,</w:t>
            </w:r>
          </w:p>
        </w:tc>
        <w:tc>
          <w:tcPr>
            <w:tcW w:w="1407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177,5±10,5</w:t>
            </w:r>
          </w:p>
        </w:tc>
      </w:tr>
      <w:tr w:rsidR="00D90B1C" w:rsidTr="007172CF">
        <w:tc>
          <w:tcPr>
            <w:tcW w:w="1829" w:type="dxa"/>
            <w:vAlign w:val="center"/>
          </w:tcPr>
          <w:p w:rsidR="00B52C4E" w:rsidRDefault="00B52C4E" w:rsidP="00717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0B1C" w:rsidRDefault="00B52C4E" w:rsidP="00717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(левая рука</w:t>
            </w:r>
            <w:proofErr w:type="gramEnd"/>
          </w:p>
        </w:tc>
        <w:tc>
          <w:tcPr>
            <w:tcW w:w="1276" w:type="dxa"/>
            <w:gridSpan w:val="2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0,83±0,01</w:t>
            </w:r>
          </w:p>
        </w:tc>
        <w:tc>
          <w:tcPr>
            <w:tcW w:w="1276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0,84±0,01</w:t>
            </w:r>
          </w:p>
        </w:tc>
        <w:tc>
          <w:tcPr>
            <w:tcW w:w="1432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0,89±0,02</w:t>
            </w:r>
          </w:p>
        </w:tc>
        <w:tc>
          <w:tcPr>
            <w:tcW w:w="1275" w:type="dxa"/>
            <w:vAlign w:val="center"/>
          </w:tcPr>
          <w:p w:rsidR="00D90B1C" w:rsidRPr="007172CF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  <w:lang w:val="en-US"/>
              </w:rPr>
            </w:pPr>
            <w:r w:rsidRPr="007172C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0,89±0,02</w:t>
            </w:r>
          </w:p>
        </w:tc>
        <w:tc>
          <w:tcPr>
            <w:tcW w:w="1252" w:type="dxa"/>
            <w:vAlign w:val="center"/>
          </w:tcPr>
          <w:p w:rsidR="00D90B1C" w:rsidRPr="007172CF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</w:rPr>
            </w:pPr>
            <w:r w:rsidRPr="007172C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0,98±0,03</w:t>
            </w:r>
          </w:p>
        </w:tc>
        <w:tc>
          <w:tcPr>
            <w:tcW w:w="1407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0,92±0,02</w:t>
            </w:r>
          </w:p>
        </w:tc>
      </w:tr>
      <w:tr w:rsidR="00D90B1C" w:rsidTr="007172CF">
        <w:tc>
          <w:tcPr>
            <w:tcW w:w="1829" w:type="dxa"/>
            <w:vAlign w:val="center"/>
          </w:tcPr>
          <w:p w:rsidR="00B52C4E" w:rsidRDefault="00B52C4E" w:rsidP="00717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</w:t>
            </w:r>
          </w:p>
          <w:p w:rsidR="00D90B1C" w:rsidRPr="007172CF" w:rsidRDefault="00B52C4E" w:rsidP="00717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асимметрии</w:t>
            </w:r>
          </w:p>
        </w:tc>
        <w:tc>
          <w:tcPr>
            <w:tcW w:w="1276" w:type="dxa"/>
            <w:gridSpan w:val="2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0,89±0,02</w:t>
            </w:r>
          </w:p>
        </w:tc>
        <w:tc>
          <w:tcPr>
            <w:tcW w:w="1276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0,89±0,02</w:t>
            </w:r>
          </w:p>
        </w:tc>
        <w:tc>
          <w:tcPr>
            <w:tcW w:w="1432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0,90±0,03</w:t>
            </w:r>
          </w:p>
        </w:tc>
        <w:tc>
          <w:tcPr>
            <w:tcW w:w="1275" w:type="dxa"/>
            <w:vAlign w:val="center"/>
          </w:tcPr>
          <w:p w:rsidR="00D90B1C" w:rsidRPr="007172CF" w:rsidRDefault="007172CF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0,91±0,03</w:t>
            </w:r>
          </w:p>
        </w:tc>
        <w:tc>
          <w:tcPr>
            <w:tcW w:w="1252" w:type="dxa"/>
            <w:vAlign w:val="center"/>
          </w:tcPr>
          <w:p w:rsidR="00D90B1C" w:rsidRPr="007172CF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</w:rPr>
            </w:pPr>
            <w:r w:rsidRPr="007172C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0,78±0,01</w:t>
            </w:r>
          </w:p>
        </w:tc>
        <w:tc>
          <w:tcPr>
            <w:tcW w:w="1407" w:type="dxa"/>
            <w:vAlign w:val="center"/>
          </w:tcPr>
          <w:p w:rsidR="00D90B1C" w:rsidRDefault="00B52C4E" w:rsidP="007172CF">
            <w:pPr>
              <w:autoSpaceDE w:val="0"/>
              <w:autoSpaceDN w:val="0"/>
              <w:adjustRightInd w:val="0"/>
              <w:spacing w:line="360" w:lineRule="auto"/>
              <w:ind w:left="-108"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0,79±0,01</w:t>
            </w:r>
          </w:p>
        </w:tc>
      </w:tr>
    </w:tbl>
    <w:p w:rsidR="007172CF" w:rsidRDefault="007172CF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отличия достоверны в динамике недели (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&lt;0,05);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отличия достоверны в динамике рабочего дня (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&lt;0,05);</w:t>
      </w:r>
    </w:p>
    <w:p w:rsidR="007172CF" w:rsidRDefault="007172CF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анализе сумм чисел в динамике дня установлено, что количество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просчитанных пар чисел имело тенденцию к снижению, а в динамике недели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было достаточно стабильно, без существенных отличий между днями (табл.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3). </w:t>
      </w:r>
      <w:r>
        <w:rPr>
          <w:rFonts w:ascii="Times New Roman" w:hAnsi="Times New Roman" w:cs="Times New Roman"/>
          <w:sz w:val="28"/>
          <w:szCs w:val="28"/>
        </w:rPr>
        <w:lastRenderedPageBreak/>
        <w:t>Количество ошибок достоверно возрастало в динамике дня в понедельник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пятницу, а в среду было стабильно высоким.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интерес сопоставление результатов отдельных проб. Так,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результаты КП отражают стабильное состояние УР в интервале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СР с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постепенным снижением во второй половине недели. Это позволяет оценить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 как иллюстрацию постепенного формирования этапа выраженного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утомления, в пользу чего свидетельствует как уменьшение объема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выполненной работы, так и увеличение количества ошибок.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</w:t>
      </w:r>
      <w:proofErr w:type="gramStart"/>
      <w:r>
        <w:rPr>
          <w:rFonts w:ascii="Times New Roman" w:hAnsi="Times New Roman" w:cs="Times New Roman"/>
          <w:sz w:val="28"/>
          <w:szCs w:val="28"/>
        </w:rPr>
        <w:t>ТТ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наиболее стабильны с тенденцией к увеличению, так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показатели силы на протяжении периода исследования практически не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изменялись, а лабильность постепенно уменьшалась, что отражает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увеличение стойкости, причем более выраженной для правой руки.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Существенные проявления асимметрии должны быть оценены как признак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постепенного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донозологического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состояния.</w:t>
      </w:r>
    </w:p>
    <w:p w:rsidR="008110B0" w:rsidRPr="00AF1D6C" w:rsidRDefault="008110B0" w:rsidP="007172CF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F1D6C">
        <w:rPr>
          <w:rFonts w:ascii="Times New Roman" w:hAnsi="Times New Roman" w:cs="Times New Roman"/>
          <w:b/>
          <w:bCs/>
          <w:sz w:val="28"/>
          <w:szCs w:val="28"/>
        </w:rPr>
        <w:t>Таблица 3.</w:t>
      </w:r>
    </w:p>
    <w:p w:rsidR="008110B0" w:rsidRPr="00AF1D6C" w:rsidRDefault="008110B0" w:rsidP="007172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1D6C">
        <w:rPr>
          <w:rFonts w:ascii="Times New Roman" w:hAnsi="Times New Roman" w:cs="Times New Roman"/>
          <w:b/>
          <w:bCs/>
          <w:sz w:val="28"/>
          <w:szCs w:val="28"/>
        </w:rPr>
        <w:t>Показатели умственной работоспособности студентов</w:t>
      </w:r>
    </w:p>
    <w:p w:rsidR="008110B0" w:rsidRPr="00AF1D6C" w:rsidRDefault="008110B0" w:rsidP="007172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1D6C">
        <w:rPr>
          <w:rFonts w:ascii="Times New Roman" w:hAnsi="Times New Roman" w:cs="Times New Roman"/>
          <w:b/>
          <w:bCs/>
          <w:sz w:val="28"/>
          <w:szCs w:val="28"/>
        </w:rPr>
        <w:t xml:space="preserve">по данным счета по </w:t>
      </w:r>
      <w:proofErr w:type="spellStart"/>
      <w:r w:rsidRPr="00AF1D6C">
        <w:rPr>
          <w:rFonts w:ascii="Times New Roman" w:hAnsi="Times New Roman" w:cs="Times New Roman"/>
          <w:b/>
          <w:bCs/>
          <w:sz w:val="28"/>
          <w:szCs w:val="28"/>
        </w:rPr>
        <w:t>Крепелину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6"/>
        <w:gridCol w:w="1530"/>
        <w:gridCol w:w="1428"/>
        <w:gridCol w:w="1336"/>
        <w:gridCol w:w="1294"/>
        <w:gridCol w:w="1349"/>
        <w:gridCol w:w="1540"/>
      </w:tblGrid>
      <w:tr w:rsidR="007172CF" w:rsidTr="007172CF">
        <w:tc>
          <w:tcPr>
            <w:tcW w:w="1376" w:type="dxa"/>
            <w:vMerge w:val="restart"/>
            <w:vAlign w:val="center"/>
          </w:tcPr>
          <w:p w:rsidR="007172CF" w:rsidRPr="00AF1D6C" w:rsidRDefault="007172CF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2958" w:type="dxa"/>
            <w:gridSpan w:val="2"/>
            <w:vAlign w:val="center"/>
          </w:tcPr>
          <w:p w:rsidR="007172CF" w:rsidRPr="00AF1D6C" w:rsidRDefault="007172CF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</w:t>
            </w: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льник</w:t>
            </w:r>
          </w:p>
        </w:tc>
        <w:tc>
          <w:tcPr>
            <w:tcW w:w="2630" w:type="dxa"/>
            <w:gridSpan w:val="2"/>
            <w:vAlign w:val="center"/>
          </w:tcPr>
          <w:p w:rsidR="007172CF" w:rsidRPr="00AF1D6C" w:rsidRDefault="007172CF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889" w:type="dxa"/>
            <w:gridSpan w:val="2"/>
            <w:vAlign w:val="center"/>
          </w:tcPr>
          <w:p w:rsidR="007172CF" w:rsidRPr="00AF1D6C" w:rsidRDefault="007172CF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7172CF" w:rsidTr="007172CF">
        <w:tc>
          <w:tcPr>
            <w:tcW w:w="1376" w:type="dxa"/>
            <w:vMerge/>
            <w:vAlign w:val="center"/>
          </w:tcPr>
          <w:p w:rsidR="007172CF" w:rsidRPr="00AF1D6C" w:rsidRDefault="007172CF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7172CF" w:rsidRPr="00AF1D6C" w:rsidRDefault="007172CF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1428" w:type="dxa"/>
            <w:vAlign w:val="center"/>
          </w:tcPr>
          <w:p w:rsidR="007172CF" w:rsidRPr="00AF1D6C" w:rsidRDefault="007172CF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1336" w:type="dxa"/>
            <w:vAlign w:val="center"/>
          </w:tcPr>
          <w:p w:rsidR="007172CF" w:rsidRPr="00AF1D6C" w:rsidRDefault="007172CF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1294" w:type="dxa"/>
            <w:vAlign w:val="center"/>
          </w:tcPr>
          <w:p w:rsidR="007172CF" w:rsidRPr="00AF1D6C" w:rsidRDefault="007172CF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1349" w:type="dxa"/>
            <w:vAlign w:val="center"/>
          </w:tcPr>
          <w:p w:rsidR="007172CF" w:rsidRPr="00AF1D6C" w:rsidRDefault="007172CF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1540" w:type="dxa"/>
            <w:vAlign w:val="center"/>
          </w:tcPr>
          <w:p w:rsidR="007172CF" w:rsidRPr="00AF1D6C" w:rsidRDefault="007172CF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</w:tr>
      <w:tr w:rsidR="00AF1D6C" w:rsidTr="007172CF">
        <w:tc>
          <w:tcPr>
            <w:tcW w:w="1376" w:type="dxa"/>
            <w:vAlign w:val="center"/>
          </w:tcPr>
          <w:p w:rsidR="00AF1D6C" w:rsidRPr="00AF1D6C" w:rsidRDefault="00AF1D6C" w:rsidP="00717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Пары чисел</w:t>
            </w:r>
          </w:p>
        </w:tc>
        <w:tc>
          <w:tcPr>
            <w:tcW w:w="1530" w:type="dxa"/>
            <w:vAlign w:val="center"/>
          </w:tcPr>
          <w:p w:rsidR="00AF1D6C" w:rsidRPr="00AF1D6C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105,2±6,8</w:t>
            </w:r>
          </w:p>
        </w:tc>
        <w:tc>
          <w:tcPr>
            <w:tcW w:w="1428" w:type="dxa"/>
            <w:vAlign w:val="center"/>
          </w:tcPr>
          <w:p w:rsidR="00AF1D6C" w:rsidRPr="00AF1D6C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84,8±11,8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°</w:t>
            </w:r>
          </w:p>
        </w:tc>
        <w:tc>
          <w:tcPr>
            <w:tcW w:w="1336" w:type="dxa"/>
            <w:vAlign w:val="center"/>
          </w:tcPr>
          <w:p w:rsidR="00AF1D6C" w:rsidRPr="00AF1D6C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97,5±8,5</w:t>
            </w:r>
          </w:p>
        </w:tc>
        <w:tc>
          <w:tcPr>
            <w:tcW w:w="1294" w:type="dxa"/>
            <w:vAlign w:val="center"/>
          </w:tcPr>
          <w:p w:rsidR="00AF1D6C" w:rsidRPr="00AF1D6C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82,8±9,5</w:t>
            </w:r>
          </w:p>
        </w:tc>
        <w:tc>
          <w:tcPr>
            <w:tcW w:w="1349" w:type="dxa"/>
            <w:vAlign w:val="center"/>
          </w:tcPr>
          <w:p w:rsidR="00AF1D6C" w:rsidRPr="00AF1D6C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105,1±7,7</w:t>
            </w:r>
          </w:p>
        </w:tc>
        <w:tc>
          <w:tcPr>
            <w:tcW w:w="1540" w:type="dxa"/>
            <w:vAlign w:val="center"/>
          </w:tcPr>
          <w:p w:rsidR="00AF1D6C" w:rsidRPr="00AF1D6C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95,2±4,8</w:t>
            </w:r>
          </w:p>
        </w:tc>
      </w:tr>
      <w:tr w:rsidR="00AF1D6C" w:rsidTr="007172CF">
        <w:tc>
          <w:tcPr>
            <w:tcW w:w="1376" w:type="dxa"/>
            <w:vAlign w:val="center"/>
          </w:tcPr>
          <w:p w:rsidR="00AF1D6C" w:rsidRPr="00AF1D6C" w:rsidRDefault="00AF1D6C" w:rsidP="00717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Ошибки</w:t>
            </w:r>
          </w:p>
        </w:tc>
        <w:tc>
          <w:tcPr>
            <w:tcW w:w="1530" w:type="dxa"/>
            <w:vAlign w:val="center"/>
          </w:tcPr>
          <w:p w:rsidR="00AF1D6C" w:rsidRPr="00AF1D6C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0,14±0,01</w:t>
            </w:r>
          </w:p>
        </w:tc>
        <w:tc>
          <w:tcPr>
            <w:tcW w:w="1428" w:type="dxa"/>
            <w:vAlign w:val="center"/>
          </w:tcPr>
          <w:p w:rsidR="00AF1D6C" w:rsidRPr="00AF1D6C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1,10±0,06**</w:t>
            </w:r>
          </w:p>
        </w:tc>
        <w:tc>
          <w:tcPr>
            <w:tcW w:w="1336" w:type="dxa"/>
            <w:vAlign w:val="center"/>
          </w:tcPr>
          <w:p w:rsidR="00AF1D6C" w:rsidRPr="00AF1D6C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1,12±0,04*</w:t>
            </w:r>
          </w:p>
        </w:tc>
        <w:tc>
          <w:tcPr>
            <w:tcW w:w="1294" w:type="dxa"/>
            <w:vAlign w:val="center"/>
          </w:tcPr>
          <w:p w:rsidR="00AF1D6C" w:rsidRPr="00AF1D6C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1,23±0,05</w:t>
            </w:r>
          </w:p>
        </w:tc>
        <w:tc>
          <w:tcPr>
            <w:tcW w:w="1349" w:type="dxa"/>
            <w:vAlign w:val="center"/>
          </w:tcPr>
          <w:p w:rsidR="00AF1D6C" w:rsidRPr="00AF1D6C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0,33±0,01*</w:t>
            </w:r>
          </w:p>
        </w:tc>
        <w:tc>
          <w:tcPr>
            <w:tcW w:w="1540" w:type="dxa"/>
            <w:vAlign w:val="center"/>
          </w:tcPr>
          <w:p w:rsidR="00AF1D6C" w:rsidRPr="00AF1D6C" w:rsidRDefault="00AF1D6C" w:rsidP="007172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1,30±0,01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°</w:t>
            </w:r>
            <w:r w:rsidRPr="00AF1D6C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</w:tbl>
    <w:p w:rsidR="007172CF" w:rsidRDefault="007172CF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отличия достоверны в динамике недели (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&lt;0,05);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отличия достоверны в динамике недели (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&lt;0,001); -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отличия достоверны в динамике рабочего дня (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&lt;0,05);</w:t>
      </w:r>
    </w:p>
    <w:p w:rsidR="007172CF" w:rsidRDefault="007172CF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</w:t>
      </w:r>
      <w:proofErr w:type="gramStart"/>
      <w:r>
        <w:rPr>
          <w:rFonts w:ascii="Times New Roman" w:hAnsi="Times New Roman" w:cs="Times New Roman"/>
          <w:sz w:val="28"/>
          <w:szCs w:val="28"/>
        </w:rPr>
        <w:t>ТТ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свидетельствуют, что в конце недели разница между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показателями лабильность правой и левой рук максимальна, то есть на фоне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падения работоспособности увеличивается асимметрия. Учитывая то, что у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большинства людей ведущая правая рука, установленное максимальное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снижение результатов левой должно быть оценено как попытка системы,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поставленной в неблагоприятные условия достичь успеха за счет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упрощения работы (в данном контексте – исключения более слабого звена).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неожиданными явились результаты СТК, которые в недельном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цикле уменьшались в интервале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СР и увеличивались от СР до ПТ. Такие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 изменения наблюдались в динамике учебного дня, что должно быть оценено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доказательство формирования выраженного утомления (уменьшение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объема и ухудшение точности дозированной работы).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результаты всех проведенных проб, независимо от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оцененных временных циклов, должны быть оценены как отражение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формирования утомления, причем это доказывается как динамикой объема,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 и изменением точности работы. Состояние УР в данном случае должно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 определено как неудовлетворительное, поскольку исходный уровень -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низкий, наблюдаются асимметрия и разнонаправленные изменения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показателей. Наличие разнонаправленных изменений позволяет говорить о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 очаговом утомлении, возникающем вследствие перегрузки системы,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основным признаком которого считается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неэкономность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функционирования.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Отдельные звенья функционируют по разным механизмам, что на фоне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низкого исходного уровня системы должно быть оценено как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неудовлетворительное состояние и отражение формирования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донозологии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предположение может быть иллюстрировано и тем, что субъективно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подавляющее большинство обследованных оценивали свое состояние как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неудовлетворительное, а характер жалоб позволяет предполагать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переутомление. То есть, состояние УР в этом случае выступает как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индикатор функционального состояния, отражает разбалансированность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регуляции, что также является признаком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донозологии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>. Результаты в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недельном цикле также подтверждают эти предположения - система,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функционирующая на низком уровне, жертвует успешностью и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результативностью ради стабильности и упрощения работы.</w:t>
      </w:r>
    </w:p>
    <w:p w:rsidR="007172CF" w:rsidRDefault="007172CF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Бекмансуров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Бильданова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В.Р. Умственная работоспособность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интегративный тест паспорта здоровья //</w:t>
      </w:r>
      <w:proofErr w:type="gramStart"/>
      <w:r>
        <w:rPr>
          <w:rFonts w:ascii="Times New Roman" w:hAnsi="Times New Roman" w:cs="Times New Roman"/>
          <w:sz w:val="28"/>
          <w:szCs w:val="28"/>
        </w:rPr>
        <w:t>Психолого-педагогическое</w:t>
      </w:r>
      <w:proofErr w:type="gramEnd"/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сопровождение образовательного процесса. Рег. сб. науч. тр. - 3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>., 2006. -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55-59.</w:t>
      </w:r>
    </w:p>
    <w:p w:rsidR="008110B0" w:rsidRPr="007172CF" w:rsidRDefault="007172CF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2. Шуган Т.Б.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Зм</w:t>
      </w:r>
      <w:r>
        <w:rPr>
          <w:rFonts w:ascii="Times New Roman" w:hAnsi="Times New Roman" w:cs="Times New Roman"/>
          <w:sz w:val="28"/>
          <w:szCs w:val="28"/>
          <w:lang w:val="uk-UA"/>
        </w:rPr>
        <w:t>ен</w:t>
      </w:r>
      <w:proofErr w:type="spellEnd"/>
      <w:r>
        <w:rPr>
          <w:rFonts w:ascii="Times New Roman" w:hAnsi="Times New Roman" w:cs="Times New Roman"/>
          <w:sz w:val="28"/>
          <w:szCs w:val="28"/>
        </w:rPr>
        <w:t>ш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розумово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працездатност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тренованих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</w:p>
    <w:p w:rsidR="008110B0" w:rsidRDefault="007172CF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нетренованих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юнаюв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Start"/>
      <w:r w:rsidR="008110B0">
        <w:rPr>
          <w:rFonts w:ascii="Times New Roman" w:hAnsi="Times New Roman" w:cs="Times New Roman"/>
          <w:sz w:val="28"/>
          <w:szCs w:val="28"/>
        </w:rPr>
        <w:t>зних</w:t>
      </w:r>
      <w:proofErr w:type="spellEnd"/>
      <w:r w:rsidR="00811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10B0">
        <w:rPr>
          <w:rFonts w:ascii="Times New Roman" w:hAnsi="Times New Roman" w:cs="Times New Roman"/>
          <w:sz w:val="28"/>
          <w:szCs w:val="28"/>
        </w:rPr>
        <w:t>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пах</w:t>
      </w:r>
      <w:r w:rsidR="008110B0">
        <w:rPr>
          <w:rFonts w:ascii="Times New Roman" w:hAnsi="Times New Roman" w:cs="Times New Roman"/>
          <w:sz w:val="28"/>
          <w:szCs w:val="28"/>
        </w:rPr>
        <w:t xml:space="preserve"> погоди. // </w:t>
      </w:r>
      <w:proofErr w:type="spellStart"/>
      <w:r w:rsidR="008110B0">
        <w:rPr>
          <w:rFonts w:ascii="Times New Roman" w:hAnsi="Times New Roman" w:cs="Times New Roman"/>
          <w:sz w:val="28"/>
          <w:szCs w:val="28"/>
        </w:rPr>
        <w:t>Науков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110B0">
        <w:rPr>
          <w:rFonts w:ascii="Times New Roman" w:hAnsi="Times New Roman" w:cs="Times New Roman"/>
          <w:sz w:val="28"/>
          <w:szCs w:val="28"/>
        </w:rPr>
        <w:t xml:space="preserve"> записки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Терно</w:t>
      </w:r>
      <w:proofErr w:type="spellEnd"/>
      <w:r w:rsidR="007172CF">
        <w:rPr>
          <w:rFonts w:ascii="Times New Roman" w:hAnsi="Times New Roman" w:cs="Times New Roman"/>
          <w:sz w:val="28"/>
          <w:szCs w:val="28"/>
          <w:lang w:val="uk-UA"/>
        </w:rPr>
        <w:t>пі</w:t>
      </w:r>
      <w:proofErr w:type="spellStart"/>
      <w:r>
        <w:rPr>
          <w:rFonts w:ascii="Times New Roman" w:hAnsi="Times New Roman" w:cs="Times New Roman"/>
          <w:sz w:val="28"/>
          <w:szCs w:val="28"/>
        </w:rPr>
        <w:t>льського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державного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педагоч</w:t>
      </w:r>
      <w:proofErr w:type="spellEnd"/>
      <w:r w:rsidR="007172CF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>ні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верситету</w:t>
      </w:r>
      <w:proofErr w:type="spellEnd"/>
      <w:r>
        <w:rPr>
          <w:rFonts w:ascii="Times New Roman" w:hAnsi="Times New Roman" w:cs="Times New Roman"/>
          <w:sz w:val="28"/>
          <w:szCs w:val="28"/>
        </w:rPr>
        <w:t>. Сер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я: </w:t>
      </w:r>
      <w:proofErr w:type="spellStart"/>
      <w:r>
        <w:rPr>
          <w:rFonts w:ascii="Times New Roman" w:hAnsi="Times New Roman" w:cs="Times New Roman"/>
          <w:sz w:val="28"/>
          <w:szCs w:val="28"/>
        </w:rPr>
        <w:t>Бюлопя</w:t>
      </w:r>
      <w:proofErr w:type="spellEnd"/>
      <w:r>
        <w:rPr>
          <w:rFonts w:ascii="Times New Roman" w:hAnsi="Times New Roman" w:cs="Times New Roman"/>
          <w:sz w:val="28"/>
          <w:szCs w:val="28"/>
        </w:rPr>
        <w:t>. —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1998. — № 2. — С. 86-89.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Грицук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Розумова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втома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студен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>ті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педаго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>гі</w:t>
      </w:r>
      <w:r>
        <w:rPr>
          <w:rFonts w:ascii="Times New Roman" w:hAnsi="Times New Roman" w:cs="Times New Roman"/>
          <w:sz w:val="28"/>
          <w:szCs w:val="28"/>
        </w:rPr>
        <w:t>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ВУЗУ як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психоло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>гі</w:t>
      </w:r>
      <w:r>
        <w:rPr>
          <w:rFonts w:ascii="Times New Roman" w:hAnsi="Times New Roman" w:cs="Times New Roman"/>
          <w:sz w:val="28"/>
          <w:szCs w:val="28"/>
        </w:rPr>
        <w:t>чна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проблема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// В</w:t>
      </w:r>
      <w:proofErr w:type="spellStart"/>
      <w:proofErr w:type="gramEnd"/>
      <w:r w:rsidR="007172CF">
        <w:rPr>
          <w:rFonts w:ascii="Times New Roman" w:hAnsi="Times New Roman" w:cs="Times New Roman"/>
          <w:sz w:val="28"/>
          <w:szCs w:val="28"/>
          <w:lang w:val="uk-UA"/>
        </w:rPr>
        <w:t>іс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>кі</w:t>
      </w:r>
      <w:r>
        <w:rPr>
          <w:rFonts w:ascii="Times New Roman" w:hAnsi="Times New Roman" w:cs="Times New Roman"/>
          <w:sz w:val="28"/>
          <w:szCs w:val="28"/>
        </w:rPr>
        <w:t>вського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нац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>іо</w:t>
      </w:r>
      <w:r>
        <w:rPr>
          <w:rFonts w:ascii="Times New Roman" w:hAnsi="Times New Roman" w:cs="Times New Roman"/>
          <w:sz w:val="28"/>
          <w:szCs w:val="28"/>
        </w:rPr>
        <w:t>нального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педаго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>гі</w:t>
      </w:r>
      <w:r>
        <w:rPr>
          <w:rFonts w:ascii="Times New Roman" w:hAnsi="Times New Roman" w:cs="Times New Roman"/>
          <w:sz w:val="28"/>
          <w:szCs w:val="28"/>
        </w:rPr>
        <w:t>чного</w:t>
      </w:r>
      <w:proofErr w:type="spellEnd"/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>ні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верситету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gramEnd"/>
      <w:r>
        <w:rPr>
          <w:rFonts w:ascii="Times New Roman" w:hAnsi="Times New Roman" w:cs="Times New Roman"/>
          <w:sz w:val="28"/>
          <w:szCs w:val="28"/>
        </w:rPr>
        <w:t>ар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>кі</w:t>
      </w:r>
      <w:proofErr w:type="spellEnd"/>
      <w:r>
        <w:rPr>
          <w:rFonts w:ascii="Times New Roman" w:hAnsi="Times New Roman" w:cs="Times New Roman"/>
          <w:sz w:val="28"/>
          <w:szCs w:val="28"/>
        </w:rPr>
        <w:t>в: ХН</w:t>
      </w:r>
      <w:r w:rsidR="007172CF"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У. - 2011. -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Вип</w:t>
      </w:r>
      <w:proofErr w:type="spellEnd"/>
      <w:r>
        <w:rPr>
          <w:rFonts w:ascii="Times New Roman" w:hAnsi="Times New Roman" w:cs="Times New Roman"/>
          <w:sz w:val="28"/>
          <w:szCs w:val="28"/>
        </w:rPr>
        <w:t>. 41. - С. 56.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Макаренко Н.В. Теоретические основы методики</w:t>
      </w:r>
    </w:p>
    <w:p w:rsidR="008110B0" w:rsidRDefault="008110B0" w:rsidP="007172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профессионального психофизиологического отбора военных специалистов. -</w:t>
      </w:r>
    </w:p>
    <w:p w:rsidR="00900218" w:rsidRDefault="008110B0" w:rsidP="007172CF">
      <w:pPr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Киев, 1996. - 336 с.</w:t>
      </w:r>
    </w:p>
    <w:sectPr w:rsidR="00900218" w:rsidSect="007172C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65C"/>
    <w:rsid w:val="000B062F"/>
    <w:rsid w:val="007172CF"/>
    <w:rsid w:val="008110B0"/>
    <w:rsid w:val="00900218"/>
    <w:rsid w:val="009F165C"/>
    <w:rsid w:val="00AF1D6C"/>
    <w:rsid w:val="00B52C4E"/>
    <w:rsid w:val="00D90B1C"/>
    <w:rsid w:val="00F2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B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B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Соцмед</dc:creator>
  <cp:keywords/>
  <dc:description/>
  <cp:lastModifiedBy>Соцмед</cp:lastModifiedBy>
  <cp:revision>9</cp:revision>
  <dcterms:created xsi:type="dcterms:W3CDTF">2014-11-25T13:15:00Z</dcterms:created>
  <dcterms:modified xsi:type="dcterms:W3CDTF">2014-11-25T14:28:00Z</dcterms:modified>
</cp:coreProperties>
</file>