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685" w:rsidRPr="000169D8" w:rsidRDefault="00900685" w:rsidP="00900685">
      <w:pPr>
        <w:pStyle w:val="1"/>
        <w:tabs>
          <w:tab w:val="left" w:pos="1843"/>
        </w:tabs>
        <w:rPr>
          <w:noProof/>
          <w:sz w:val="26"/>
          <w:szCs w:val="26"/>
          <w:lang w:val="uk-UA"/>
        </w:rPr>
      </w:pPr>
      <w:bookmarkStart w:id="0" w:name="_Toc418761796"/>
      <w:r w:rsidRPr="000169D8">
        <w:rPr>
          <w:noProof/>
          <w:sz w:val="26"/>
          <w:szCs w:val="26"/>
          <w:lang w:val="uk-UA"/>
        </w:rPr>
        <w:t>ЛАБОРАТОРНІ РОБОТИ – ОДИН З НАЙВАЖЛИВІШИХ МЕТОДІВ САМОСТІЙНОЇ ПРАЦІ СТУДЕНТІВ</w:t>
      </w:r>
      <w:r w:rsidRPr="000169D8">
        <w:rPr>
          <w:noProof/>
          <w:sz w:val="26"/>
          <w:szCs w:val="26"/>
          <w:lang w:val="uk-UA"/>
        </w:rPr>
        <w:br/>
      </w:r>
      <w:r w:rsidRPr="000169D8">
        <w:rPr>
          <w:b w:val="0"/>
          <w:i/>
          <w:noProof/>
          <w:sz w:val="26"/>
          <w:szCs w:val="26"/>
          <w:lang w:val="uk-UA"/>
        </w:rPr>
        <w:t>Петюніна В.Н.</w:t>
      </w:r>
      <w:bookmarkEnd w:id="0"/>
    </w:p>
    <w:p w:rsidR="00900685" w:rsidRPr="000169D8" w:rsidRDefault="00900685" w:rsidP="00900685">
      <w:pPr>
        <w:tabs>
          <w:tab w:val="left" w:pos="1843"/>
        </w:tabs>
        <w:jc w:val="center"/>
        <w:rPr>
          <w:rFonts w:ascii="Arial" w:hAnsi="Arial" w:cs="Arial"/>
          <w:sz w:val="26"/>
          <w:szCs w:val="26"/>
          <w:lang w:val="uk-UA"/>
        </w:rPr>
      </w:pPr>
      <w:r w:rsidRPr="000169D8">
        <w:rPr>
          <w:rFonts w:ascii="Arial" w:hAnsi="Arial" w:cs="Arial"/>
          <w:sz w:val="26"/>
          <w:szCs w:val="26"/>
          <w:lang w:val="uk-UA"/>
        </w:rPr>
        <w:t>Харківський національний медичний університет, м. Харків</w:t>
      </w:r>
    </w:p>
    <w:p w:rsidR="00900685" w:rsidRPr="000169D8" w:rsidRDefault="00900685" w:rsidP="00900685">
      <w:pPr>
        <w:pStyle w:val="21"/>
        <w:tabs>
          <w:tab w:val="left" w:pos="1843"/>
        </w:tabs>
        <w:ind w:firstLine="567"/>
        <w:rPr>
          <w:noProof/>
          <w:sz w:val="26"/>
          <w:szCs w:val="26"/>
          <w:lang w:val="uk-UA"/>
        </w:rPr>
      </w:pP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Основою розвитку у студентів ВМНЗ творчих та професійних здібностей виступають практичні методи навчання, насамперед, лабораторні роботи. Їх мета – розширити, поглибити та уточнити теоретичні питання, здобуті на лекціях і під час самостійної роботи, забезпечити формування навичок та вмінь застосовувати знання для розв’язання практичних та теоретичних завдань, а також набуття професійних якостей.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Лабораторні роботи інтегрують теоретично-методичні знання, практичні навички і уміння в єдиному процесі діяльності, яка має дослідницький характер. Цей вид діяльності студентів-медиків дає можливість глибоко і наочно вивчити механізм застосування теоретичного матеріалу, оволодіти важливим для фахівця вмінням інтелектуального проникнення у природні процеси, які досліджуються у лабораторному практикумі.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Основні вимоги, яких ми дотримуємося при організації та проведенні лабораторних робіт:</w:t>
      </w:r>
    </w:p>
    <w:p w:rsidR="00900685" w:rsidRPr="000169D8" w:rsidRDefault="00900685" w:rsidP="00900685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Ретельний підбір, підготовка та відпрацювання методик виконання лабораторних робіт.</w:t>
      </w:r>
    </w:p>
    <w:p w:rsidR="00900685" w:rsidRPr="000169D8" w:rsidRDefault="00900685" w:rsidP="00900685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Контроль теоретичної підготовки та знання ними методики виконання лабораторних робіт. Для контролю готовності використовуємо різні методи: співбесіда, письмовий контроль, тестовий контроль.</w:t>
      </w:r>
    </w:p>
    <w:p w:rsidR="00900685" w:rsidRPr="000169D8" w:rsidRDefault="00900685" w:rsidP="00900685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Контроль умінь студентів правильно користуватися приладдям, яке застосовується при виконанні лабораторних робіт.</w:t>
      </w:r>
    </w:p>
    <w:p w:rsidR="00900685" w:rsidRPr="000169D8" w:rsidRDefault="00900685" w:rsidP="00900685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Відпрацювання навичок по проведенню обробки результатів виконання лабораторних робіт.</w:t>
      </w:r>
    </w:p>
    <w:p w:rsidR="00900685" w:rsidRPr="000169D8" w:rsidRDefault="00900685" w:rsidP="00900685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Контроль дотримання студентами правил безпеки життєдіяльності.</w:t>
      </w:r>
    </w:p>
    <w:p w:rsidR="00900685" w:rsidRPr="000169D8" w:rsidRDefault="00900685" w:rsidP="00900685">
      <w:pPr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Привиття вмінь формувати висновки.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Лабораторними дослідами забезпечені практично усі теми і медичної і біоорганічної хімії. На деяких заняттях студенти проводять демонстраційні досліди («Колігативні властивості», «Одержання та властивості колоїдних розчинів»). Частина лабораторних робіт, наприклад з тем «Об’ємний аналіз», ми проводимо як фронтальні. Під час таких робіт кожен студент має індивідуальне завдання. Деякі роботи носять груповий характер, наприклад, з теми «Кінетика біохімічних реакцій». При виконанні групових робіт розмежовуємо завдання між групами студентів, дбаємо про розширення географії їх завдань та формування навичок.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Під час виконання лабораторних робіт педагог уважно стежить за діями студентів, дотримуванням ними правил техніки безпеки, консультує їх. Завершується лабораторна робота оформленням протоколу і оцінюванням кожного студента шляхом співбесіди. При відпрацюванні окремих тем ми практикуємо також проведення комбінованих лабораторно-практичних занять.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 xml:space="preserve">Лабораторні роботи з біоорганічної химиї виконуємо мікрометодом з метою економії реактивів, а також дотримання безпеки життєдіяльності. З цією ж метою при виконанні лабораторних робіт не застосовуємо хімічні </w:t>
      </w:r>
      <w:r w:rsidRPr="000169D8">
        <w:rPr>
          <w:rFonts w:ascii="Arial" w:hAnsi="Arial" w:cs="Arial"/>
          <w:noProof/>
          <w:sz w:val="26"/>
          <w:szCs w:val="26"/>
          <w:lang w:val="uk-UA"/>
        </w:rPr>
        <w:lastRenderedPageBreak/>
        <w:t>реагенти, які потребують особливих вимог до роботи з ними, або спеціального допуску. На лабораторних заняттях при потребі забезпечуємо студентів захисними окулярами та гумовими рукавичками, які у достатній кількості кафедра придбаває на початок навчального року.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У групах з поглибленим вивченням дисципліни при проведенні лабораторного заняття з методу нейтралізації «Аналіз шлункового соку» застосовуємо метод малих груп. Для цього групу поділяємо на 3 бригади складом 4-5 студентів. Кожна з бригад студентів проводить аналіз однієї з проб шлункового соку: а) з пониженою кислотністю; б) з нормальною кислотністю; в) з підвищеною кислотністю.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Титрування шлункового соку здійснює кожний студент бригади. Результати, отримані кожним студентом, зіставляються, перевіряються у викладача. Визначається студент, який виконав роботу найякісніше. Після виконання експериментальної частини роботи відбувається «круглий стіл», який передбачає обговорювання як теоретичних питань так і експериментальних даних. При цьому поруч з викладачем працює експертна група, створена з числа студентів. Остаточна оцінка за заняття виставляється кожному студенту сумісно викладачем і експертами.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 xml:space="preserve">Відпрацювання лабораторного практикуму студентами першого курсу з медичної та біоорганічної хімії має цінність не тільки як засіб підвищення засвоєння теоретичного матеріалу з цих дисциплін, а й має застосування на клінічних кафедрах. 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noProof/>
          <w:sz w:val="26"/>
          <w:szCs w:val="26"/>
          <w:lang w:val="uk-UA"/>
        </w:rPr>
      </w:pPr>
      <w:r w:rsidRPr="000169D8">
        <w:rPr>
          <w:rFonts w:ascii="Arial" w:hAnsi="Arial" w:cs="Arial"/>
          <w:noProof/>
          <w:sz w:val="26"/>
          <w:szCs w:val="26"/>
          <w:lang w:val="uk-UA"/>
        </w:rPr>
        <w:t>Саме лабораторний практикум дає можливість студентам засвоїти практичні навички, що може бути використано на клінічних кафедрах для розуміння того, як були отримані дані клінічного аналізу у цілях діагностики різних захворювань: дослідження кислотності шлункового соку, рН-метрія, реакція Фелінга на цукор у сечі та крові, йодоформна проба на ацетон у сечі, біуретова реакція на білки та ін.</w:t>
      </w:r>
    </w:p>
    <w:p w:rsidR="00900685" w:rsidRPr="000169D8" w:rsidRDefault="00900685" w:rsidP="00900685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uk-UA"/>
        </w:rPr>
      </w:pPr>
      <w:r>
        <w:rPr>
          <w:rFonts w:ascii="Arial" w:hAnsi="Arial" w:cs="Arial"/>
          <w:sz w:val="26"/>
          <w:szCs w:val="26"/>
          <w:lang w:val="uk-UA"/>
        </w:rPr>
        <w:tab/>
      </w:r>
    </w:p>
    <w:p w:rsidR="00900685" w:rsidRPr="000169D8" w:rsidRDefault="00900685" w:rsidP="00900685">
      <w:pPr>
        <w:tabs>
          <w:tab w:val="left" w:pos="1843"/>
        </w:tabs>
        <w:jc w:val="center"/>
        <w:rPr>
          <w:rFonts w:ascii="Arial" w:hAnsi="Arial" w:cs="Arial"/>
          <w:sz w:val="26"/>
          <w:szCs w:val="26"/>
          <w:lang w:val="uk-UA"/>
        </w:rPr>
      </w:pPr>
      <w:r w:rsidRPr="000169D8">
        <w:rPr>
          <w:rFonts w:ascii="Arial" w:hAnsi="Arial" w:cs="Arial"/>
          <w:sz w:val="26"/>
          <w:szCs w:val="26"/>
          <w:lang w:val="uk-UA"/>
        </w:rPr>
        <w:t>Література</w:t>
      </w:r>
    </w:p>
    <w:p w:rsidR="00900685" w:rsidRPr="000169D8" w:rsidRDefault="00900685" w:rsidP="00900685">
      <w:pPr>
        <w:numPr>
          <w:ilvl w:val="0"/>
          <w:numId w:val="2"/>
        </w:numPr>
        <w:tabs>
          <w:tab w:val="clear" w:pos="720"/>
          <w:tab w:val="num" w:pos="851"/>
          <w:tab w:val="left" w:pos="1843"/>
        </w:tabs>
        <w:ind w:left="0" w:firstLine="567"/>
        <w:jc w:val="both"/>
        <w:rPr>
          <w:rFonts w:ascii="Arial" w:hAnsi="Arial" w:cs="Arial"/>
          <w:sz w:val="26"/>
          <w:szCs w:val="26"/>
          <w:lang w:val="uk-UA"/>
        </w:rPr>
      </w:pPr>
      <w:r w:rsidRPr="000169D8">
        <w:rPr>
          <w:rFonts w:ascii="Arial" w:hAnsi="Arial" w:cs="Arial"/>
          <w:sz w:val="26"/>
          <w:szCs w:val="26"/>
          <w:lang w:val="uk-UA"/>
        </w:rPr>
        <w:t xml:space="preserve">Падалка О.С., </w:t>
      </w:r>
      <w:proofErr w:type="spellStart"/>
      <w:r w:rsidRPr="000169D8">
        <w:rPr>
          <w:rFonts w:ascii="Arial" w:hAnsi="Arial" w:cs="Arial"/>
          <w:sz w:val="26"/>
          <w:szCs w:val="26"/>
          <w:lang w:val="uk-UA"/>
        </w:rPr>
        <w:t>Насимчук</w:t>
      </w:r>
      <w:proofErr w:type="spellEnd"/>
      <w:r w:rsidRPr="000169D8">
        <w:rPr>
          <w:rFonts w:ascii="Arial" w:hAnsi="Arial" w:cs="Arial"/>
          <w:sz w:val="26"/>
          <w:szCs w:val="26"/>
          <w:lang w:val="uk-UA"/>
        </w:rPr>
        <w:t xml:space="preserve"> А.С. та ін. Сучасні педагогічні технології: </w:t>
      </w:r>
      <w:proofErr w:type="spellStart"/>
      <w:r w:rsidRPr="000169D8">
        <w:rPr>
          <w:rFonts w:ascii="Arial" w:hAnsi="Arial" w:cs="Arial"/>
          <w:sz w:val="26"/>
          <w:szCs w:val="26"/>
          <w:lang w:val="uk-UA"/>
        </w:rPr>
        <w:t>Навч.-посіб</w:t>
      </w:r>
      <w:proofErr w:type="spellEnd"/>
      <w:r w:rsidRPr="000169D8">
        <w:rPr>
          <w:rFonts w:ascii="Arial" w:hAnsi="Arial" w:cs="Arial"/>
          <w:sz w:val="26"/>
          <w:szCs w:val="26"/>
          <w:lang w:val="uk-UA"/>
        </w:rPr>
        <w:t>. – К., 2000. – 368 с.</w:t>
      </w:r>
    </w:p>
    <w:p w:rsidR="00900685" w:rsidRPr="000169D8" w:rsidRDefault="00900685" w:rsidP="00900685">
      <w:pPr>
        <w:numPr>
          <w:ilvl w:val="0"/>
          <w:numId w:val="2"/>
        </w:numPr>
        <w:tabs>
          <w:tab w:val="clear" w:pos="720"/>
          <w:tab w:val="num" w:pos="851"/>
          <w:tab w:val="left" w:pos="1843"/>
        </w:tabs>
        <w:ind w:left="0" w:firstLine="567"/>
        <w:jc w:val="both"/>
        <w:rPr>
          <w:rFonts w:ascii="Arial" w:hAnsi="Arial" w:cs="Arial"/>
          <w:sz w:val="26"/>
          <w:szCs w:val="26"/>
          <w:lang w:val="uk-UA"/>
        </w:rPr>
      </w:pPr>
      <w:r w:rsidRPr="000169D8">
        <w:rPr>
          <w:rFonts w:ascii="Arial" w:hAnsi="Arial" w:cs="Arial"/>
          <w:sz w:val="26"/>
          <w:szCs w:val="26"/>
          <w:lang w:val="uk-UA"/>
        </w:rPr>
        <w:t xml:space="preserve">Освітні технології: </w:t>
      </w:r>
      <w:proofErr w:type="spellStart"/>
      <w:r w:rsidRPr="000169D8">
        <w:rPr>
          <w:rFonts w:ascii="Arial" w:hAnsi="Arial" w:cs="Arial"/>
          <w:sz w:val="26"/>
          <w:szCs w:val="26"/>
          <w:lang w:val="uk-UA"/>
        </w:rPr>
        <w:t>Навч.-метод</w:t>
      </w:r>
      <w:proofErr w:type="spellEnd"/>
      <w:r w:rsidRPr="000169D8">
        <w:rPr>
          <w:rFonts w:ascii="Arial" w:hAnsi="Arial" w:cs="Arial"/>
          <w:sz w:val="26"/>
          <w:szCs w:val="26"/>
          <w:lang w:val="uk-UA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uk-UA"/>
        </w:rPr>
        <w:t>посіб</w:t>
      </w:r>
      <w:proofErr w:type="spellEnd"/>
      <w:r w:rsidRPr="000169D8">
        <w:rPr>
          <w:rFonts w:ascii="Arial" w:hAnsi="Arial" w:cs="Arial"/>
          <w:sz w:val="26"/>
          <w:szCs w:val="26"/>
          <w:lang w:val="uk-UA"/>
        </w:rPr>
        <w:t xml:space="preserve">./ За </w:t>
      </w:r>
      <w:proofErr w:type="spellStart"/>
      <w:r w:rsidRPr="000169D8">
        <w:rPr>
          <w:rFonts w:ascii="Arial" w:hAnsi="Arial" w:cs="Arial"/>
          <w:sz w:val="26"/>
          <w:szCs w:val="26"/>
          <w:lang w:val="uk-UA"/>
        </w:rPr>
        <w:t>заг</w:t>
      </w:r>
      <w:proofErr w:type="spellEnd"/>
      <w:r w:rsidRPr="000169D8">
        <w:rPr>
          <w:rFonts w:ascii="Arial" w:hAnsi="Arial" w:cs="Arial"/>
          <w:sz w:val="26"/>
          <w:szCs w:val="26"/>
          <w:lang w:val="uk-UA"/>
        </w:rPr>
        <w:t xml:space="preserve">. ред. О.М. </w:t>
      </w:r>
      <w:proofErr w:type="spellStart"/>
      <w:r w:rsidRPr="000169D8">
        <w:rPr>
          <w:rFonts w:ascii="Arial" w:hAnsi="Arial" w:cs="Arial"/>
          <w:sz w:val="26"/>
          <w:szCs w:val="26"/>
          <w:lang w:val="uk-UA"/>
        </w:rPr>
        <w:t>Пехоти</w:t>
      </w:r>
      <w:proofErr w:type="spellEnd"/>
      <w:r w:rsidRPr="000169D8">
        <w:rPr>
          <w:rFonts w:ascii="Arial" w:hAnsi="Arial" w:cs="Arial"/>
          <w:sz w:val="26"/>
          <w:szCs w:val="26"/>
          <w:lang w:val="uk-UA"/>
        </w:rPr>
        <w:t>. – К., 2001. – 256 с.</w:t>
      </w:r>
    </w:p>
    <w:p w:rsidR="00C11EA2" w:rsidRPr="00900685" w:rsidRDefault="00C11EA2">
      <w:pPr>
        <w:rPr>
          <w:lang w:val="uk-UA"/>
        </w:rPr>
      </w:pPr>
      <w:bookmarkStart w:id="1" w:name="_GoBack"/>
      <w:bookmarkEnd w:id="1"/>
    </w:p>
    <w:sectPr w:rsidR="00C11EA2" w:rsidRPr="009006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36235"/>
    <w:multiLevelType w:val="hybridMultilevel"/>
    <w:tmpl w:val="24A883D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E56052B"/>
    <w:multiLevelType w:val="hybridMultilevel"/>
    <w:tmpl w:val="35F6746C"/>
    <w:lvl w:ilvl="0" w:tplc="2BB63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CF7"/>
    <w:rsid w:val="006D0CF7"/>
    <w:rsid w:val="00900685"/>
    <w:rsid w:val="00C1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6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0068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2"/>
    <w:link w:val="10"/>
    <w:qFormat/>
    <w:rsid w:val="00900685"/>
    <w:pPr>
      <w:jc w:val="center"/>
    </w:pPr>
    <w:rPr>
      <w:rFonts w:ascii="Arial" w:eastAsia="Times New Roman" w:hAnsi="Arial" w:cs="Arial"/>
      <w:color w:val="auto"/>
      <w:sz w:val="24"/>
      <w:szCs w:val="24"/>
      <w:lang w:val="ru-RU"/>
    </w:rPr>
  </w:style>
  <w:style w:type="character" w:customStyle="1" w:styleId="10">
    <w:name w:val="Стиль1 Знак"/>
    <w:link w:val="1"/>
    <w:rsid w:val="00900685"/>
    <w:rPr>
      <w:rFonts w:ascii="Arial" w:eastAsia="Times New Roman" w:hAnsi="Arial" w:cs="Arial"/>
      <w:b/>
      <w:bCs/>
      <w:sz w:val="24"/>
      <w:szCs w:val="24"/>
      <w:lang w:eastAsia="ru-RU"/>
    </w:rPr>
  </w:style>
  <w:style w:type="paragraph" w:customStyle="1" w:styleId="21">
    <w:name w:val="Стиль2"/>
    <w:basedOn w:val="a"/>
    <w:link w:val="22"/>
    <w:qFormat/>
    <w:rsid w:val="00900685"/>
    <w:pPr>
      <w:jc w:val="center"/>
    </w:pPr>
    <w:rPr>
      <w:rFonts w:ascii="Arial" w:hAnsi="Arial" w:cs="Arial"/>
      <w:i/>
      <w:sz w:val="22"/>
      <w:szCs w:val="22"/>
    </w:rPr>
  </w:style>
  <w:style w:type="character" w:customStyle="1" w:styleId="22">
    <w:name w:val="Стиль2 Знак"/>
    <w:link w:val="21"/>
    <w:rsid w:val="00900685"/>
    <w:rPr>
      <w:rFonts w:ascii="Arial" w:eastAsia="Times New Roman" w:hAnsi="Arial" w:cs="Arial"/>
      <w:i/>
      <w:lang w:val="en-US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006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6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0068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2"/>
    <w:link w:val="10"/>
    <w:qFormat/>
    <w:rsid w:val="00900685"/>
    <w:pPr>
      <w:jc w:val="center"/>
    </w:pPr>
    <w:rPr>
      <w:rFonts w:ascii="Arial" w:eastAsia="Times New Roman" w:hAnsi="Arial" w:cs="Arial"/>
      <w:color w:val="auto"/>
      <w:sz w:val="24"/>
      <w:szCs w:val="24"/>
      <w:lang w:val="ru-RU"/>
    </w:rPr>
  </w:style>
  <w:style w:type="character" w:customStyle="1" w:styleId="10">
    <w:name w:val="Стиль1 Знак"/>
    <w:link w:val="1"/>
    <w:rsid w:val="00900685"/>
    <w:rPr>
      <w:rFonts w:ascii="Arial" w:eastAsia="Times New Roman" w:hAnsi="Arial" w:cs="Arial"/>
      <w:b/>
      <w:bCs/>
      <w:sz w:val="24"/>
      <w:szCs w:val="24"/>
      <w:lang w:eastAsia="ru-RU"/>
    </w:rPr>
  </w:style>
  <w:style w:type="paragraph" w:customStyle="1" w:styleId="21">
    <w:name w:val="Стиль2"/>
    <w:basedOn w:val="a"/>
    <w:link w:val="22"/>
    <w:qFormat/>
    <w:rsid w:val="00900685"/>
    <w:pPr>
      <w:jc w:val="center"/>
    </w:pPr>
    <w:rPr>
      <w:rFonts w:ascii="Arial" w:hAnsi="Arial" w:cs="Arial"/>
      <w:i/>
      <w:sz w:val="22"/>
      <w:szCs w:val="22"/>
    </w:rPr>
  </w:style>
  <w:style w:type="character" w:customStyle="1" w:styleId="22">
    <w:name w:val="Стиль2 Знак"/>
    <w:link w:val="21"/>
    <w:rsid w:val="00900685"/>
    <w:rPr>
      <w:rFonts w:ascii="Arial" w:eastAsia="Times New Roman" w:hAnsi="Arial" w:cs="Arial"/>
      <w:i/>
      <w:lang w:val="en-US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006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713</Words>
  <Characters>4068</Characters>
  <Application>Microsoft Office Word</Application>
  <DocSecurity>0</DocSecurity>
  <Lines>33</Lines>
  <Paragraphs>9</Paragraphs>
  <ScaleCrop>false</ScaleCrop>
  <Company/>
  <LinksUpToDate>false</LinksUpToDate>
  <CharactersWithSpaces>4772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mesto1</dc:creator>
  <cp:keywords/>
  <dc:description/>
  <cp:lastModifiedBy>mesto1</cp:lastModifiedBy>
  <cp:revision>2</cp:revision>
  <dcterms:created xsi:type="dcterms:W3CDTF">2015-09-18T13:04:00Z</dcterms:created>
  <dcterms:modified xsi:type="dcterms:W3CDTF">2015-09-18T13:04:00Z</dcterms:modified>
</cp:coreProperties>
</file>