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3C10" w:rsidRPr="00C73C10" w:rsidRDefault="00C73C10" w:rsidP="00C73C10">
      <w:pPr>
        <w:spacing w:after="0" w:line="220" w:lineRule="atLeast"/>
        <w:jc w:val="center"/>
        <w:rPr>
          <w:rFonts w:ascii="Calibri" w:eastAsia="Times New Roman" w:hAnsi="Calibri" w:cs="Times New Roman"/>
          <w:color w:val="000000"/>
          <w:lang w:eastAsia="uk-UA"/>
        </w:rPr>
      </w:pPr>
      <w:r w:rsidRPr="00C73C10">
        <w:rPr>
          <w:rFonts w:ascii="Times New Roman" w:eastAsia="Times New Roman" w:hAnsi="Times New Roman" w:cs="Times New Roman"/>
          <w:b/>
          <w:bCs/>
          <w:color w:val="000000"/>
          <w:sz w:val="28"/>
          <w:szCs w:val="28"/>
          <w:lang w:eastAsia="uk-UA"/>
        </w:rPr>
        <w:t>Горбач Т.В.</w:t>
      </w:r>
      <w:r w:rsidRPr="00C73C10">
        <w:rPr>
          <w:rFonts w:ascii="Times New Roman" w:eastAsia="Times New Roman" w:hAnsi="Times New Roman" w:cs="Times New Roman"/>
          <w:b/>
          <w:bCs/>
          <w:color w:val="000000"/>
          <w:sz w:val="28"/>
          <w:szCs w:val="28"/>
          <w:vertAlign w:val="superscript"/>
          <w:lang w:eastAsia="uk-UA"/>
        </w:rPr>
        <w:t>1</w:t>
      </w:r>
      <w:r w:rsidRPr="00C73C10">
        <w:rPr>
          <w:rFonts w:ascii="Times New Roman" w:eastAsia="Times New Roman" w:hAnsi="Times New Roman" w:cs="Times New Roman"/>
          <w:b/>
          <w:bCs/>
          <w:color w:val="000000"/>
          <w:sz w:val="28"/>
          <w:szCs w:val="28"/>
          <w:lang w:eastAsia="uk-UA"/>
        </w:rPr>
        <w:t>, Денисенко С.А.</w:t>
      </w:r>
      <w:r w:rsidRPr="00C73C10">
        <w:rPr>
          <w:rFonts w:ascii="Times New Roman" w:eastAsia="Times New Roman" w:hAnsi="Times New Roman" w:cs="Times New Roman"/>
          <w:b/>
          <w:bCs/>
          <w:color w:val="000000"/>
          <w:sz w:val="28"/>
          <w:szCs w:val="28"/>
          <w:vertAlign w:val="superscript"/>
          <w:lang w:eastAsia="uk-UA"/>
        </w:rPr>
        <w:t>1</w:t>
      </w:r>
      <w:r w:rsidRPr="00C73C10">
        <w:rPr>
          <w:rFonts w:ascii="Times New Roman" w:eastAsia="Times New Roman" w:hAnsi="Times New Roman" w:cs="Times New Roman"/>
          <w:b/>
          <w:bCs/>
          <w:color w:val="000000"/>
          <w:sz w:val="28"/>
          <w:szCs w:val="28"/>
          <w:lang w:eastAsia="uk-UA"/>
        </w:rPr>
        <w:t>, Жерновая М.Є.</w:t>
      </w:r>
      <w:r w:rsidRPr="00C73C10">
        <w:rPr>
          <w:rFonts w:ascii="Times New Roman" w:eastAsia="Times New Roman" w:hAnsi="Times New Roman" w:cs="Times New Roman"/>
          <w:b/>
          <w:bCs/>
          <w:color w:val="000000"/>
          <w:sz w:val="28"/>
          <w:szCs w:val="28"/>
          <w:vertAlign w:val="superscript"/>
          <w:lang w:eastAsia="uk-UA"/>
        </w:rPr>
        <w:t>2</w:t>
      </w:r>
      <w:r w:rsidRPr="00C73C10">
        <w:rPr>
          <w:rFonts w:ascii="Times New Roman" w:eastAsia="Times New Roman" w:hAnsi="Times New Roman" w:cs="Times New Roman"/>
          <w:b/>
          <w:bCs/>
          <w:color w:val="000000"/>
          <w:sz w:val="28"/>
          <w:szCs w:val="28"/>
          <w:lang w:eastAsia="uk-UA"/>
        </w:rPr>
        <w:t>, Шевченко О.О.</w:t>
      </w:r>
      <w:r w:rsidRPr="00C73C10">
        <w:rPr>
          <w:rFonts w:ascii="Times New Roman" w:eastAsia="Times New Roman" w:hAnsi="Times New Roman" w:cs="Times New Roman"/>
          <w:b/>
          <w:bCs/>
          <w:color w:val="000000"/>
          <w:sz w:val="28"/>
          <w:szCs w:val="28"/>
          <w:vertAlign w:val="superscript"/>
          <w:lang w:eastAsia="uk-UA"/>
        </w:rPr>
        <w:t>1</w:t>
      </w:r>
      <w:r w:rsidRPr="00C73C10">
        <w:rPr>
          <w:rFonts w:ascii="Times New Roman" w:eastAsia="Times New Roman" w:hAnsi="Times New Roman" w:cs="Times New Roman"/>
          <w:b/>
          <w:bCs/>
          <w:color w:val="000000"/>
          <w:sz w:val="28"/>
          <w:szCs w:val="28"/>
          <w:lang w:eastAsia="uk-UA"/>
        </w:rPr>
        <w:t>,</w:t>
      </w:r>
    </w:p>
    <w:p w:rsidR="00C73C10" w:rsidRPr="00C73C10" w:rsidRDefault="00C73C10" w:rsidP="00C73C10">
      <w:pPr>
        <w:spacing w:after="0" w:line="220" w:lineRule="atLeast"/>
        <w:jc w:val="center"/>
        <w:rPr>
          <w:rFonts w:ascii="Calibri" w:eastAsia="Times New Roman" w:hAnsi="Calibri" w:cs="Times New Roman"/>
          <w:color w:val="000000"/>
          <w:lang w:eastAsia="uk-UA"/>
        </w:rPr>
      </w:pPr>
      <w:r w:rsidRPr="00C73C10">
        <w:rPr>
          <w:rFonts w:ascii="Times New Roman" w:eastAsia="Times New Roman" w:hAnsi="Times New Roman" w:cs="Times New Roman"/>
          <w:b/>
          <w:bCs/>
          <w:color w:val="000000"/>
          <w:sz w:val="28"/>
          <w:szCs w:val="28"/>
          <w:lang w:eastAsia="uk-UA"/>
        </w:rPr>
        <w:t> Артюгіна Л.І.</w:t>
      </w:r>
      <w:r w:rsidRPr="00C73C10">
        <w:rPr>
          <w:rFonts w:ascii="Times New Roman" w:eastAsia="Times New Roman" w:hAnsi="Times New Roman" w:cs="Times New Roman"/>
          <w:b/>
          <w:bCs/>
          <w:color w:val="000000"/>
          <w:sz w:val="28"/>
          <w:szCs w:val="28"/>
          <w:vertAlign w:val="superscript"/>
          <w:lang w:eastAsia="uk-UA"/>
        </w:rPr>
        <w:t>1</w:t>
      </w:r>
    </w:p>
    <w:p w:rsidR="00C73C10" w:rsidRPr="00C73C10" w:rsidRDefault="00C73C10" w:rsidP="00C73C10">
      <w:pPr>
        <w:spacing w:after="0" w:line="220" w:lineRule="atLeast"/>
        <w:jc w:val="center"/>
        <w:rPr>
          <w:rFonts w:ascii="Calibri" w:eastAsia="Times New Roman" w:hAnsi="Calibri" w:cs="Times New Roman"/>
          <w:color w:val="000000"/>
          <w:lang w:eastAsia="uk-UA"/>
        </w:rPr>
      </w:pPr>
      <w:r w:rsidRPr="00C73C10">
        <w:rPr>
          <w:rFonts w:ascii="Times New Roman" w:eastAsia="Times New Roman" w:hAnsi="Times New Roman" w:cs="Times New Roman"/>
          <w:i/>
          <w:iCs/>
          <w:color w:val="000000"/>
          <w:sz w:val="28"/>
          <w:szCs w:val="28"/>
          <w:vertAlign w:val="superscript"/>
          <w:lang w:val="ru-RU" w:eastAsia="uk-UA"/>
        </w:rPr>
        <w:t>1</w:t>
      </w:r>
      <w:r w:rsidRPr="00C73C10">
        <w:rPr>
          <w:rFonts w:ascii="Times New Roman" w:eastAsia="Times New Roman" w:hAnsi="Times New Roman" w:cs="Times New Roman"/>
          <w:i/>
          <w:iCs/>
          <w:color w:val="000000"/>
          <w:sz w:val="28"/>
          <w:szCs w:val="28"/>
          <w:lang w:eastAsia="uk-UA"/>
        </w:rPr>
        <w:t>Харківський національний медичний університет (м. Харків)</w:t>
      </w:r>
    </w:p>
    <w:p w:rsidR="00C73C10" w:rsidRPr="00C73C10" w:rsidRDefault="00C73C10" w:rsidP="00C73C10">
      <w:pPr>
        <w:spacing w:after="0" w:line="220" w:lineRule="atLeast"/>
        <w:jc w:val="center"/>
        <w:rPr>
          <w:rFonts w:ascii="Calibri" w:eastAsia="Times New Roman" w:hAnsi="Calibri" w:cs="Times New Roman"/>
          <w:color w:val="000000"/>
          <w:lang w:eastAsia="uk-UA"/>
        </w:rPr>
      </w:pPr>
      <w:r w:rsidRPr="00C73C10">
        <w:rPr>
          <w:rFonts w:ascii="Times New Roman" w:eastAsia="Times New Roman" w:hAnsi="Times New Roman" w:cs="Times New Roman"/>
          <w:i/>
          <w:iCs/>
          <w:color w:val="000000"/>
          <w:sz w:val="28"/>
          <w:szCs w:val="28"/>
          <w:vertAlign w:val="superscript"/>
          <w:lang w:val="ru-RU" w:eastAsia="uk-UA"/>
        </w:rPr>
        <w:t>2</w:t>
      </w:r>
      <w:r w:rsidRPr="00C73C10">
        <w:rPr>
          <w:rFonts w:ascii="Times New Roman" w:eastAsia="Times New Roman" w:hAnsi="Times New Roman" w:cs="Times New Roman"/>
          <w:i/>
          <w:iCs/>
          <w:color w:val="000000"/>
          <w:sz w:val="28"/>
          <w:szCs w:val="28"/>
          <w:lang w:eastAsia="uk-UA"/>
        </w:rPr>
        <w:t>Луганський державний медичний університет</w:t>
      </w:r>
      <w:r w:rsidRPr="00C73C10">
        <w:rPr>
          <w:rFonts w:ascii="Times New Roman" w:eastAsia="Times New Roman" w:hAnsi="Times New Roman" w:cs="Times New Roman"/>
          <w:i/>
          <w:iCs/>
          <w:color w:val="000000"/>
          <w:sz w:val="28"/>
          <w:lang w:eastAsia="uk-UA"/>
        </w:rPr>
        <w:t> </w:t>
      </w:r>
      <w:r w:rsidRPr="00C73C10">
        <w:rPr>
          <w:rFonts w:ascii="Times New Roman" w:eastAsia="Times New Roman" w:hAnsi="Times New Roman" w:cs="Times New Roman"/>
          <w:i/>
          <w:iCs/>
          <w:color w:val="000000"/>
          <w:sz w:val="28"/>
          <w:szCs w:val="28"/>
          <w:lang w:eastAsia="uk-UA"/>
        </w:rPr>
        <w:t>(м. Рубіжне)</w:t>
      </w:r>
    </w:p>
    <w:p w:rsidR="00C73C10" w:rsidRPr="00C73C10" w:rsidRDefault="00C73C10" w:rsidP="00C73C10">
      <w:pPr>
        <w:spacing w:after="0" w:line="220" w:lineRule="atLeast"/>
        <w:jc w:val="center"/>
        <w:rPr>
          <w:rFonts w:ascii="Calibri" w:eastAsia="Times New Roman" w:hAnsi="Calibri" w:cs="Times New Roman"/>
          <w:color w:val="000000"/>
          <w:lang w:eastAsia="uk-UA"/>
        </w:rPr>
      </w:pPr>
      <w:r w:rsidRPr="00C73C10">
        <w:rPr>
          <w:rFonts w:ascii="Times New Roman" w:eastAsia="Times New Roman" w:hAnsi="Times New Roman" w:cs="Times New Roman"/>
          <w:b/>
          <w:bCs/>
          <w:color w:val="000000"/>
          <w:sz w:val="28"/>
          <w:szCs w:val="28"/>
          <w:lang w:eastAsia="uk-UA"/>
        </w:rPr>
        <w:t>ТРИВАЛИЙ</w:t>
      </w:r>
      <w:r w:rsidRPr="00C73C10">
        <w:rPr>
          <w:rFonts w:ascii="Times New Roman" w:eastAsia="Times New Roman" w:hAnsi="Times New Roman" w:cs="Times New Roman"/>
          <w:b/>
          <w:bCs/>
          <w:color w:val="000000"/>
          <w:sz w:val="28"/>
          <w:lang w:eastAsia="uk-UA"/>
        </w:rPr>
        <w:t> </w:t>
      </w:r>
      <w:r w:rsidRPr="00C73C10">
        <w:rPr>
          <w:rFonts w:ascii="Times New Roman" w:eastAsia="Times New Roman" w:hAnsi="Times New Roman" w:cs="Times New Roman"/>
          <w:b/>
          <w:bCs/>
          <w:color w:val="000000"/>
          <w:sz w:val="28"/>
          <w:szCs w:val="28"/>
          <w:lang w:eastAsia="uk-UA"/>
        </w:rPr>
        <w:t>СУБТОКСИЧНИЙ ВПЛИВ ПОЛІОКСИПРОПІЛЕНГЛІКОЛЮ МОЛЕКУЛЯРНОЇ МАСИ 500 НА МІКРОСОМАЛЬНУ ГІДРОКСИЛЮЮЧУ СИСТЕМУ ГЕПАТОЦИТІВ В ПІДГОСТРОМУ ЕКСПЕРИМЕНТІ</w:t>
      </w:r>
    </w:p>
    <w:p w:rsidR="00C73C10" w:rsidRPr="00C73C10" w:rsidRDefault="00C73C10" w:rsidP="00C73C10">
      <w:pPr>
        <w:spacing w:after="0" w:line="220" w:lineRule="atLeast"/>
        <w:jc w:val="center"/>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8"/>
          <w:szCs w:val="28"/>
          <w:lang w:eastAsia="uk-UA"/>
        </w:rPr>
        <w:t> </w:t>
      </w:r>
    </w:p>
    <w:p w:rsidR="00C73C10" w:rsidRPr="00C73C10" w:rsidRDefault="00C73C10" w:rsidP="00C73C10">
      <w:pPr>
        <w:spacing w:after="0" w:line="220" w:lineRule="atLeast"/>
        <w:jc w:val="both"/>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8"/>
          <w:szCs w:val="28"/>
          <w:lang w:eastAsia="uk-UA"/>
        </w:rPr>
        <w:t>        </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b/>
          <w:bCs/>
          <w:color w:val="000000"/>
          <w:sz w:val="28"/>
          <w:szCs w:val="28"/>
          <w:lang w:eastAsia="uk-UA"/>
        </w:rPr>
        <w:t>Вступ</w:t>
      </w:r>
    </w:p>
    <w:p w:rsidR="00C73C10" w:rsidRPr="00C73C10" w:rsidRDefault="00C73C10" w:rsidP="00C73C10">
      <w:pPr>
        <w:spacing w:after="0" w:line="220" w:lineRule="atLeast"/>
        <w:ind w:firstLine="709"/>
        <w:jc w:val="both"/>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8"/>
          <w:szCs w:val="28"/>
          <w:lang w:eastAsia="uk-UA"/>
        </w:rPr>
        <w:t>Стрімкий розвиток хімічної, нафтопереробної, фармацевтичної, металургійної, машинобудівної й гірничобудівної промисловості, інтенсивна хімізація сільського господарства та використання в побуті великого асортименту хімічних засобів створюють загрозу глобального забруднення навколишнього середовища [1, 2]. Існують багаточисельні приклади інтенсив-ного забруднення виробничих цехів, територій, повітря, водойм і грунту, які свідчать про шкідливий вплив, що може бути нанесений здоров’ю населення й зниженню загальної популяційної резистентності організму. Основними хімічними антропогенними забруднювачами за останні 20 років стали, нафтохімічні й нафтопереробні комбінати, а також підприємства хімії органічного синтезу, об’єм та асортимент продукції яких постійно зростає, що створює реальну загрозу здоров’ю населення [3, 4]. В умовах підвищеного хімічного навантаження на біосферу важливою й актуальною проблемою є рання діагностика екологічно обумовлених патологічних станів і захворювань. Методологічною основою при цьому можуть бути розробка й впровадження в практичну медицину донозологічних скринінгових тестів визначення молекулярної мембранної патології, яка формує ознаки маніфестного перебігу хвороби або патологічного стану [1, 2]. Багаточисельні дослідження свідчать, що критеріально-значущі показники оцінки гомеостатичної функції організму базуються на глибокому вивченні патологічних основ структурно-метаболічних порушень, які виникають в умовах тривалої й скритої субтоксичної дії ксенобіотиків [1, 2]. Відомо, що </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 xml:space="preserve">механізми біологічної дії багатьох груп і класів хімічних сполук (пестициди, гербіциди, альдегіди, кетони, детергенти, окиснювачі, спирти, прості й складні ефіри) у більшій або меншій мірі достатньо добре вивчені. На цьому базується сучасна профілактична медицина й антидотна терапія. Проте, патогенетичні й структурно-метаболічні механізми формування порушень під впливом багатьох класів хімічних сполук залишаються зовсім невивченими. Це в повній мірі відноситься й до поліоксипропіленгліколю молекулярної маси 500, який широко застосовується в різних галузях народного господарства для виробництва, пластмас, пінопластів, поліуретанів, епоксидних смол та ін. [1–4]. Відсутність прогностичної характеристики потенційної безпеки диктує необхідність глибокого вивчення механізмів біологічної дії й розвитку структурно-метаболічних порушень в організмі під впливом тривалої дії субтоксичних доз ксенобіотиків і в першу чергу – зовсім недосліджених. Виходячи з цього, метою дослідження було вивчення впливу тривалих субтоксиних доз поліоксипропіленгліколю молекулярної маси 500 на детоксикаційну функцію </w:t>
      </w:r>
      <w:r w:rsidRPr="00C73C10">
        <w:rPr>
          <w:rFonts w:ascii="Times New Roman" w:eastAsia="Times New Roman" w:hAnsi="Times New Roman" w:cs="Times New Roman"/>
          <w:color w:val="000000"/>
          <w:sz w:val="28"/>
          <w:szCs w:val="28"/>
          <w:lang w:eastAsia="uk-UA"/>
        </w:rPr>
        <w:lastRenderedPageBreak/>
        <w:t>печінки в умовах підгострого експерименту й обґрунтування критеріально-значущих показників порушення гомеостатичної функції.</w:t>
      </w:r>
    </w:p>
    <w:p w:rsidR="00C73C10" w:rsidRPr="00C73C10" w:rsidRDefault="00C73C10" w:rsidP="00C73C10">
      <w:pPr>
        <w:spacing w:after="0" w:line="220" w:lineRule="atLeast"/>
        <w:ind w:firstLine="709"/>
        <w:jc w:val="both"/>
        <w:rPr>
          <w:rFonts w:ascii="Calibri" w:eastAsia="Times New Roman" w:hAnsi="Calibri" w:cs="Times New Roman"/>
          <w:color w:val="000000"/>
          <w:lang w:eastAsia="uk-UA"/>
        </w:rPr>
      </w:pPr>
      <w:r w:rsidRPr="00C73C10">
        <w:rPr>
          <w:rFonts w:ascii="Times New Roman" w:eastAsia="Times New Roman" w:hAnsi="Times New Roman" w:cs="Times New Roman"/>
          <w:b/>
          <w:bCs/>
          <w:color w:val="000000"/>
          <w:sz w:val="28"/>
          <w:szCs w:val="28"/>
          <w:lang w:eastAsia="uk-UA"/>
        </w:rPr>
        <w:t>Матеріали та методи дослідження</w:t>
      </w:r>
    </w:p>
    <w:p w:rsidR="00C73C10" w:rsidRPr="00C73C10" w:rsidRDefault="00C73C10" w:rsidP="00C73C10">
      <w:pPr>
        <w:spacing w:after="0" w:line="220" w:lineRule="atLeast"/>
        <w:ind w:firstLine="709"/>
        <w:jc w:val="both"/>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8"/>
          <w:szCs w:val="28"/>
          <w:lang w:eastAsia="uk-UA"/>
        </w:rPr>
        <w:t>Вибір поліоксипропіленгліколю молекулярної маси 500, що має товарну назву «Лапрол» – Л-502-2-10 було обґрунтовано значними обсягами виробництва, широким контактом з населенням і необхідністю вивчення патохімічних механізмів розвитку структурно-метаболічних порушень під впливом субтоксичних доз ксенобіотика. Л-502-2-10 являє собою олігомер у вигляді в’язкої, прозорої рідини з регламентованими фізики-хімічними властивостями. На основі параметрів гострої токсичності даний ксенобіотик відноситься до помірно токсичних сполук. Середньолетальна доза (ДЛ</w:t>
      </w:r>
      <w:r w:rsidRPr="00C73C10">
        <w:rPr>
          <w:rFonts w:ascii="Times New Roman" w:eastAsia="Times New Roman" w:hAnsi="Times New Roman" w:cs="Times New Roman"/>
          <w:color w:val="000000"/>
          <w:sz w:val="28"/>
          <w:szCs w:val="28"/>
          <w:vertAlign w:val="subscript"/>
          <w:lang w:eastAsia="uk-UA"/>
        </w:rPr>
        <w:t>50</w:t>
      </w:r>
      <w:r w:rsidRPr="00C73C10">
        <w:rPr>
          <w:rFonts w:ascii="Times New Roman" w:eastAsia="Times New Roman" w:hAnsi="Times New Roman" w:cs="Times New Roman"/>
          <w:color w:val="000000"/>
          <w:sz w:val="28"/>
          <w:szCs w:val="28"/>
          <w:lang w:eastAsia="uk-UA"/>
        </w:rPr>
        <w:t>) для білих щурів і мишей була на рівні, відповідно 1,83 і 2,13г/кг маси тварин. Відповідно до програми дослідження в підгострому експерименті застосовувалися 1/10, 1/100 й 1/1000</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ДЛ</w:t>
      </w:r>
      <w:r w:rsidRPr="00C73C10">
        <w:rPr>
          <w:rFonts w:ascii="Times New Roman" w:eastAsia="Times New Roman" w:hAnsi="Times New Roman" w:cs="Times New Roman"/>
          <w:color w:val="000000"/>
          <w:sz w:val="28"/>
          <w:szCs w:val="28"/>
          <w:vertAlign w:val="subscript"/>
          <w:lang w:eastAsia="uk-UA"/>
        </w:rPr>
        <w:t>50</w:t>
      </w:r>
      <w:r w:rsidRPr="00C73C10">
        <w:rPr>
          <w:rFonts w:ascii="Times New Roman" w:eastAsia="Times New Roman" w:hAnsi="Times New Roman" w:cs="Times New Roman"/>
          <w:color w:val="000000"/>
          <w:sz w:val="28"/>
          <w:szCs w:val="28"/>
          <w:lang w:eastAsia="uk-UA"/>
        </w:rPr>
        <w:t>, які вводили білим</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щурам пероральним шляхом за допомогою металевого зонда щоранку протягом 60 діб. Контрольна група тварин отримувала відповідні об’єми питної води. У кожній групі нараховувалося по 10 щурів масою 180–190 г. Експерименти виконувалися при дотриманні вимог «Європейської конвенції про захист хребетних тварин, які використовуються для експериментальних та інших наукових цілей» (Страсбург, 1986). Стан детоксикаційної функції печінки вивчали після тривалої токсифікації тварин на 60 добу експерименту по активності гідроксилюючої монооксигеназної системи </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мікросом гепатоцитів [3–5]. Дослідженню підлягали дві мікросомальні електронно-транспортні системи: НАДФ·Н, що пов’язана з цитохромом Р</w:t>
      </w:r>
      <w:r w:rsidRPr="00C73C10">
        <w:rPr>
          <w:rFonts w:ascii="Times New Roman" w:eastAsia="Times New Roman" w:hAnsi="Times New Roman" w:cs="Times New Roman"/>
          <w:color w:val="000000"/>
          <w:sz w:val="28"/>
          <w:szCs w:val="28"/>
          <w:vertAlign w:val="subscript"/>
          <w:lang w:eastAsia="uk-UA"/>
        </w:rPr>
        <w:t>450</w:t>
      </w:r>
      <w:r w:rsidRPr="00C73C10">
        <w:rPr>
          <w:rFonts w:ascii="Times New Roman" w:eastAsia="Times New Roman" w:hAnsi="Times New Roman" w:cs="Times New Roman"/>
          <w:color w:val="000000"/>
          <w:sz w:val="28"/>
          <w:vertAlign w:val="subscript"/>
          <w:lang w:eastAsia="uk-UA"/>
        </w:rPr>
        <w:t> </w:t>
      </w:r>
      <w:r w:rsidRPr="00C73C10">
        <w:rPr>
          <w:rFonts w:ascii="Times New Roman" w:eastAsia="Times New Roman" w:hAnsi="Times New Roman" w:cs="Times New Roman"/>
          <w:color w:val="000000"/>
          <w:sz w:val="28"/>
          <w:szCs w:val="28"/>
          <w:lang w:eastAsia="uk-UA"/>
        </w:rPr>
        <w:t>в якості термінального ланцюга, і НАД·Н, яка пов’язана з цитохромом</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val="en-US" w:eastAsia="uk-UA"/>
        </w:rPr>
        <w:t>b</w:t>
      </w:r>
      <w:r w:rsidRPr="00C73C10">
        <w:rPr>
          <w:rFonts w:ascii="Times New Roman" w:eastAsia="Times New Roman" w:hAnsi="Times New Roman" w:cs="Times New Roman"/>
          <w:color w:val="000000"/>
          <w:sz w:val="28"/>
          <w:szCs w:val="28"/>
          <w:vertAlign w:val="subscript"/>
          <w:lang w:eastAsia="uk-UA"/>
        </w:rPr>
        <w:t>5</w:t>
      </w:r>
      <w:r w:rsidRPr="00C73C10">
        <w:rPr>
          <w:rFonts w:ascii="Times New Roman" w:eastAsia="Times New Roman" w:hAnsi="Times New Roman" w:cs="Times New Roman"/>
          <w:color w:val="000000"/>
          <w:sz w:val="28"/>
          <w:vertAlign w:val="subscript"/>
          <w:lang w:eastAsia="uk-UA"/>
        </w:rPr>
        <w:t> </w:t>
      </w:r>
      <w:r w:rsidRPr="00C73C10">
        <w:rPr>
          <w:rFonts w:ascii="Times New Roman" w:eastAsia="Times New Roman" w:hAnsi="Times New Roman" w:cs="Times New Roman"/>
          <w:color w:val="000000"/>
          <w:sz w:val="28"/>
          <w:szCs w:val="28"/>
          <w:lang w:eastAsia="uk-UA"/>
        </w:rPr>
        <w:t>в якості акцептора електронів [3, 4]. Оцінювалися при цьому такі параметри мікросомального окислення, як дихальна активність мікросом, вміст цитохромів Р</w:t>
      </w:r>
      <w:r w:rsidRPr="00C73C10">
        <w:rPr>
          <w:rFonts w:ascii="Times New Roman" w:eastAsia="Times New Roman" w:hAnsi="Times New Roman" w:cs="Times New Roman"/>
          <w:color w:val="000000"/>
          <w:sz w:val="28"/>
          <w:szCs w:val="28"/>
          <w:vertAlign w:val="subscript"/>
          <w:lang w:eastAsia="uk-UA"/>
        </w:rPr>
        <w:t>450</w:t>
      </w:r>
      <w:r w:rsidRPr="00C73C10">
        <w:rPr>
          <w:rFonts w:ascii="Times New Roman" w:eastAsia="Times New Roman" w:hAnsi="Times New Roman" w:cs="Times New Roman"/>
          <w:color w:val="000000"/>
          <w:sz w:val="28"/>
          <w:vertAlign w:val="subscript"/>
          <w:lang w:eastAsia="uk-UA"/>
        </w:rPr>
        <w:t> </w:t>
      </w:r>
      <w:r w:rsidRPr="00C73C10">
        <w:rPr>
          <w:rFonts w:ascii="Times New Roman" w:eastAsia="Times New Roman" w:hAnsi="Times New Roman" w:cs="Times New Roman"/>
          <w:color w:val="000000"/>
          <w:sz w:val="28"/>
          <w:szCs w:val="28"/>
          <w:lang w:eastAsia="uk-UA"/>
        </w:rPr>
        <w:t>і</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val="en-US" w:eastAsia="uk-UA"/>
        </w:rPr>
        <w:t>b</w:t>
      </w:r>
      <w:r w:rsidRPr="00C73C10">
        <w:rPr>
          <w:rFonts w:ascii="Times New Roman" w:eastAsia="Times New Roman" w:hAnsi="Times New Roman" w:cs="Times New Roman"/>
          <w:color w:val="000000"/>
          <w:sz w:val="28"/>
          <w:szCs w:val="28"/>
          <w:vertAlign w:val="subscript"/>
          <w:lang w:eastAsia="uk-UA"/>
        </w:rPr>
        <w:t>5</w:t>
      </w:r>
      <w:r w:rsidRPr="00C73C10">
        <w:rPr>
          <w:rFonts w:ascii="Times New Roman" w:eastAsia="Times New Roman" w:hAnsi="Times New Roman" w:cs="Times New Roman"/>
          <w:color w:val="000000"/>
          <w:sz w:val="28"/>
          <w:szCs w:val="28"/>
          <w:lang w:eastAsia="uk-UA"/>
        </w:rPr>
        <w:t>, активність редуктаз. Стан системи мікросомального окислення найбільш повно й об’єктивно може бути оцінений по швидкості метаболізму ксенобіотиків, що віддзеркалює активність як початкових (НАДФ·Н- і НАД·Н- редуктази), так і термінальних (цитохроми Р</w:t>
      </w:r>
      <w:r w:rsidRPr="00C73C10">
        <w:rPr>
          <w:rFonts w:ascii="Times New Roman" w:eastAsia="Times New Roman" w:hAnsi="Times New Roman" w:cs="Times New Roman"/>
          <w:color w:val="000000"/>
          <w:sz w:val="28"/>
          <w:szCs w:val="28"/>
          <w:vertAlign w:val="subscript"/>
          <w:lang w:eastAsia="uk-UA"/>
        </w:rPr>
        <w:t>450</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і</w:t>
      </w:r>
      <w:r w:rsidRPr="00C73C10">
        <w:rPr>
          <w:rFonts w:ascii="Times New Roman" w:eastAsia="Times New Roman" w:hAnsi="Times New Roman" w:cs="Times New Roman"/>
          <w:color w:val="000000"/>
          <w:sz w:val="28"/>
          <w:vertAlign w:val="subscript"/>
          <w:lang w:eastAsia="uk-UA"/>
        </w:rPr>
        <w:t> </w:t>
      </w:r>
      <w:r w:rsidRPr="00C73C10">
        <w:rPr>
          <w:rFonts w:ascii="Times New Roman" w:eastAsia="Times New Roman" w:hAnsi="Times New Roman" w:cs="Times New Roman"/>
          <w:color w:val="000000"/>
          <w:sz w:val="28"/>
          <w:szCs w:val="28"/>
          <w:lang w:val="en-US" w:eastAsia="uk-UA"/>
        </w:rPr>
        <w:t>b</w:t>
      </w:r>
      <w:r w:rsidRPr="00C73C10">
        <w:rPr>
          <w:rFonts w:ascii="Times New Roman" w:eastAsia="Times New Roman" w:hAnsi="Times New Roman" w:cs="Times New Roman"/>
          <w:color w:val="000000"/>
          <w:sz w:val="28"/>
          <w:szCs w:val="28"/>
          <w:vertAlign w:val="subscript"/>
          <w:lang w:eastAsia="uk-UA"/>
        </w:rPr>
        <w:t>5</w:t>
      </w:r>
      <w:r w:rsidRPr="00C73C10">
        <w:rPr>
          <w:rFonts w:ascii="Times New Roman" w:eastAsia="Times New Roman" w:hAnsi="Times New Roman" w:cs="Times New Roman"/>
          <w:color w:val="000000"/>
          <w:sz w:val="28"/>
          <w:szCs w:val="28"/>
          <w:lang w:eastAsia="uk-UA"/>
        </w:rPr>
        <w:t>) ділянок [5–7]. В якості субстрату мікросомальної Р</w:t>
      </w:r>
      <w:r w:rsidRPr="00C73C10">
        <w:rPr>
          <w:rFonts w:ascii="Times New Roman" w:eastAsia="Times New Roman" w:hAnsi="Times New Roman" w:cs="Times New Roman"/>
          <w:color w:val="000000"/>
          <w:sz w:val="28"/>
          <w:szCs w:val="28"/>
          <w:vertAlign w:val="subscript"/>
          <w:lang w:eastAsia="uk-UA"/>
        </w:rPr>
        <w:t>450</w:t>
      </w:r>
      <w:r w:rsidRPr="00C73C10">
        <w:rPr>
          <w:rFonts w:ascii="Times New Roman" w:eastAsia="Times New Roman" w:hAnsi="Times New Roman" w:cs="Times New Roman"/>
          <w:color w:val="000000"/>
          <w:sz w:val="28"/>
          <w:szCs w:val="28"/>
          <w:lang w:eastAsia="uk-UA"/>
        </w:rPr>
        <w:t>-залежної системи використовували р-нітроанізол (ксенобіотик), який підлягає окислювальному деметилюванню з утворенням р-нітрофенолу, що має властивий спектр поглинання в лужному середовищі [5–7]. Стан мікросомального окислення оцінювався по активності ферменту о-деметилази, НАДФ·Н-цитохром с-редуктази, НАД·Н-цитохром с-редуктази, швидкості ендогенного дихання мікросом, швидкості окислення НАДФ·Н, швидкості окислення НАДФ·Н у присутності ЕДТА, швидкості перекисного окислення ліпідів (ПОЛ) і вмісту цитохромів Р</w:t>
      </w:r>
      <w:r w:rsidRPr="00C73C10">
        <w:rPr>
          <w:rFonts w:ascii="Times New Roman" w:eastAsia="Times New Roman" w:hAnsi="Times New Roman" w:cs="Times New Roman"/>
          <w:color w:val="000000"/>
          <w:sz w:val="28"/>
          <w:szCs w:val="28"/>
          <w:vertAlign w:val="subscript"/>
          <w:lang w:eastAsia="uk-UA"/>
        </w:rPr>
        <w:t>450</w:t>
      </w:r>
      <w:r w:rsidRPr="00C73C10">
        <w:rPr>
          <w:rFonts w:ascii="Times New Roman" w:eastAsia="Times New Roman" w:hAnsi="Times New Roman" w:cs="Times New Roman"/>
          <w:color w:val="000000"/>
          <w:sz w:val="28"/>
          <w:vertAlign w:val="subscript"/>
          <w:lang w:eastAsia="uk-UA"/>
        </w:rPr>
        <w:t> </w:t>
      </w:r>
      <w:r w:rsidRPr="00C73C10">
        <w:rPr>
          <w:rFonts w:ascii="Times New Roman" w:eastAsia="Times New Roman" w:hAnsi="Times New Roman" w:cs="Times New Roman"/>
          <w:color w:val="000000"/>
          <w:sz w:val="28"/>
          <w:szCs w:val="28"/>
          <w:lang w:eastAsia="uk-UA"/>
        </w:rPr>
        <w:t>і</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val="en-US" w:eastAsia="uk-UA"/>
        </w:rPr>
        <w:t>b</w:t>
      </w:r>
      <w:r w:rsidRPr="00C73C10">
        <w:rPr>
          <w:rFonts w:ascii="Times New Roman" w:eastAsia="Times New Roman" w:hAnsi="Times New Roman" w:cs="Times New Roman"/>
          <w:color w:val="000000"/>
          <w:sz w:val="28"/>
          <w:szCs w:val="28"/>
          <w:vertAlign w:val="subscript"/>
          <w:lang w:eastAsia="uk-UA"/>
        </w:rPr>
        <w:t>5</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[4–7]. Для статистичної оцінки групових розбіжностей використовували критерій Стьюдента-Фішера.</w:t>
      </w:r>
    </w:p>
    <w:p w:rsidR="00C73C10" w:rsidRPr="00C73C10" w:rsidRDefault="00C73C10" w:rsidP="00C73C10">
      <w:pPr>
        <w:spacing w:after="0" w:line="220" w:lineRule="atLeast"/>
        <w:ind w:firstLine="709"/>
        <w:jc w:val="both"/>
        <w:rPr>
          <w:rFonts w:ascii="Calibri" w:eastAsia="Times New Roman" w:hAnsi="Calibri" w:cs="Times New Roman"/>
          <w:color w:val="000000"/>
          <w:lang w:eastAsia="uk-UA"/>
        </w:rPr>
      </w:pPr>
      <w:r w:rsidRPr="00C73C10">
        <w:rPr>
          <w:rFonts w:ascii="Times New Roman" w:eastAsia="Times New Roman" w:hAnsi="Times New Roman" w:cs="Times New Roman"/>
          <w:b/>
          <w:bCs/>
          <w:color w:val="000000"/>
          <w:sz w:val="28"/>
          <w:szCs w:val="28"/>
          <w:lang w:eastAsia="uk-UA"/>
        </w:rPr>
        <w:t>Результати дослідження та їх обговорення</w:t>
      </w:r>
    </w:p>
    <w:p w:rsidR="00C73C10" w:rsidRPr="00C73C10" w:rsidRDefault="00C73C10" w:rsidP="00C73C10">
      <w:pPr>
        <w:spacing w:after="0" w:line="220" w:lineRule="atLeast"/>
        <w:ind w:firstLine="709"/>
        <w:jc w:val="both"/>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8"/>
          <w:szCs w:val="28"/>
          <w:lang w:eastAsia="uk-UA"/>
        </w:rPr>
        <w:t>Результати дослідження впливу субтоксичних доз Л-502-2-10 показали, що ксенобіотик в 1/10 й 1/100 ДЛ</w:t>
      </w:r>
      <w:r w:rsidRPr="00C73C10">
        <w:rPr>
          <w:rFonts w:ascii="Times New Roman" w:eastAsia="Times New Roman" w:hAnsi="Times New Roman" w:cs="Times New Roman"/>
          <w:color w:val="000000"/>
          <w:sz w:val="28"/>
          <w:szCs w:val="28"/>
          <w:vertAlign w:val="subscript"/>
          <w:lang w:eastAsia="uk-UA"/>
        </w:rPr>
        <w:t>50</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активує ферменти гідроксилюючої монооксигеназної системи мікросом гепатоцитів (табл. 1). Так, було відмічено підвищення активності о-деметилази , на 168,18% й 69,40%, НАДФ·Н-цитохром с-редуктази на 82,30% й 60,61%, а також НАД·Н-цитохром с-редуктази на 86,12% й 16,45%, відповідно під впливом 1/10 й 1/100</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ДЛ</w:t>
      </w:r>
      <w:r w:rsidRPr="00C73C10">
        <w:rPr>
          <w:rFonts w:ascii="Times New Roman" w:eastAsia="Times New Roman" w:hAnsi="Times New Roman" w:cs="Times New Roman"/>
          <w:color w:val="000000"/>
          <w:sz w:val="28"/>
          <w:szCs w:val="28"/>
          <w:vertAlign w:val="subscript"/>
          <w:lang w:eastAsia="uk-UA"/>
        </w:rPr>
        <w:t>50</w:t>
      </w:r>
      <w:r w:rsidRPr="00C73C10">
        <w:rPr>
          <w:rFonts w:ascii="Times New Roman" w:eastAsia="Times New Roman" w:hAnsi="Times New Roman" w:cs="Times New Roman"/>
          <w:color w:val="000000"/>
          <w:sz w:val="28"/>
          <w:szCs w:val="28"/>
          <w:lang w:eastAsia="uk-UA"/>
        </w:rPr>
        <w:t xml:space="preserve">. Як </w:t>
      </w:r>
      <w:r w:rsidRPr="00C73C10">
        <w:rPr>
          <w:rFonts w:ascii="Times New Roman" w:eastAsia="Times New Roman" w:hAnsi="Times New Roman" w:cs="Times New Roman"/>
          <w:color w:val="000000"/>
          <w:sz w:val="28"/>
          <w:szCs w:val="28"/>
          <w:lang w:eastAsia="uk-UA"/>
        </w:rPr>
        <w:lastRenderedPageBreak/>
        <w:t>свідчать отримані дані, Л-502-2-10 суттєво активує систему метаболізуючих ферментів. У таких умовах, це супроводжується прискоренням інактивації токсичних продуктів. Поряд з тим, мікросомальні ферменти здатні перетворювати вихідні субстрати в більш токсичні й біологічно активні сполуки. До небажаних проявів відносяться алергічні реакції, некроз тканин, канцерогенна й мутагенна дія й ін. В 1/1000</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ДЛ</w:t>
      </w:r>
      <w:r w:rsidRPr="00C73C10">
        <w:rPr>
          <w:rFonts w:ascii="Times New Roman" w:eastAsia="Times New Roman" w:hAnsi="Times New Roman" w:cs="Times New Roman"/>
          <w:color w:val="000000"/>
          <w:sz w:val="28"/>
          <w:szCs w:val="28"/>
          <w:vertAlign w:val="subscript"/>
          <w:lang w:eastAsia="uk-UA"/>
        </w:rPr>
        <w:t>50</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ксенобіотик не впливав на о-деметилазну й цитохром с-редуктазну активність.</w:t>
      </w:r>
    </w:p>
    <w:p w:rsidR="00C73C10" w:rsidRPr="00C73C10" w:rsidRDefault="00C73C10" w:rsidP="00C73C10">
      <w:pPr>
        <w:spacing w:after="0" w:line="220" w:lineRule="atLeast"/>
        <w:ind w:firstLine="709"/>
        <w:jc w:val="right"/>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8"/>
          <w:szCs w:val="28"/>
          <w:lang w:eastAsia="uk-UA"/>
        </w:rPr>
        <w:t>Таблиця 1</w:t>
      </w:r>
    </w:p>
    <w:p w:rsidR="00C73C10" w:rsidRPr="00C73C10" w:rsidRDefault="00C73C10" w:rsidP="00C73C10">
      <w:pPr>
        <w:spacing w:after="0" w:line="220" w:lineRule="atLeast"/>
        <w:jc w:val="center"/>
        <w:rPr>
          <w:rFonts w:ascii="Calibri" w:eastAsia="Times New Roman" w:hAnsi="Calibri" w:cs="Times New Roman"/>
          <w:color w:val="000000"/>
          <w:lang w:eastAsia="uk-UA"/>
        </w:rPr>
      </w:pPr>
      <w:r w:rsidRPr="00C73C10">
        <w:rPr>
          <w:rFonts w:ascii="Times New Roman" w:eastAsia="Times New Roman" w:hAnsi="Times New Roman" w:cs="Times New Roman"/>
          <w:b/>
          <w:bCs/>
          <w:color w:val="000000"/>
          <w:sz w:val="28"/>
          <w:szCs w:val="28"/>
          <w:lang w:eastAsia="uk-UA"/>
        </w:rPr>
        <w:t>Вплив субтоксичних доз Л-502-2-10 на</w:t>
      </w:r>
      <w:r w:rsidRPr="00C73C10">
        <w:rPr>
          <w:rFonts w:ascii="Times New Roman" w:eastAsia="Times New Roman" w:hAnsi="Times New Roman" w:cs="Times New Roman"/>
          <w:b/>
          <w:bCs/>
          <w:color w:val="000000"/>
          <w:sz w:val="28"/>
          <w:lang w:eastAsia="uk-UA"/>
        </w:rPr>
        <w:t> </w:t>
      </w:r>
      <w:r w:rsidRPr="00C73C10">
        <w:rPr>
          <w:rFonts w:ascii="Times New Roman" w:eastAsia="Times New Roman" w:hAnsi="Times New Roman" w:cs="Times New Roman"/>
          <w:b/>
          <w:bCs/>
          <w:color w:val="000000"/>
          <w:sz w:val="28"/>
          <w:szCs w:val="28"/>
          <w:lang w:eastAsia="uk-UA"/>
        </w:rPr>
        <w:t>ферментативну активність мікросомальної гідроксилюючої системи гепатоцитів</w:t>
      </w:r>
    </w:p>
    <w:tbl>
      <w:tblPr>
        <w:tblW w:w="9781" w:type="dxa"/>
        <w:tblInd w:w="-147" w:type="dxa"/>
        <w:tblCellMar>
          <w:left w:w="0" w:type="dxa"/>
          <w:right w:w="0" w:type="dxa"/>
        </w:tblCellMar>
        <w:tblLook w:val="04A0"/>
      </w:tblPr>
      <w:tblGrid>
        <w:gridCol w:w="2887"/>
        <w:gridCol w:w="1415"/>
        <w:gridCol w:w="1942"/>
        <w:gridCol w:w="1839"/>
        <w:gridCol w:w="1698"/>
      </w:tblGrid>
      <w:tr w:rsidR="00C73C10" w:rsidRPr="00C73C10" w:rsidTr="00C73C10">
        <w:tc>
          <w:tcPr>
            <w:tcW w:w="2977"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Показники</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Calibri" w:eastAsia="Times New Roman" w:hAnsi="Calibri" w:cs="Times New Roman"/>
                <w:lang w:eastAsia="uk-UA"/>
              </w:rPr>
              <w:t> </w:t>
            </w:r>
          </w:p>
        </w:tc>
        <w:tc>
          <w:tcPr>
            <w:tcW w:w="6804" w:type="dxa"/>
            <w:gridSpan w:val="4"/>
            <w:tcBorders>
              <w:top w:val="single" w:sz="4" w:space="0" w:color="auto"/>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Група спостереження,</w:t>
            </w:r>
            <w:r w:rsidRPr="00C73C10">
              <w:rPr>
                <w:rFonts w:ascii="Times New Roman" w:eastAsia="Times New Roman" w:hAnsi="Times New Roman" w:cs="Times New Roman"/>
                <w:sz w:val="28"/>
                <w:lang w:eastAsia="uk-UA"/>
              </w:rPr>
              <w:t> </w:t>
            </w:r>
            <w:r w:rsidRPr="00C73C10">
              <w:rPr>
                <w:rFonts w:ascii="Times New Roman" w:eastAsia="Times New Roman" w:hAnsi="Times New Roman" w:cs="Times New Roman"/>
                <w:sz w:val="28"/>
                <w:szCs w:val="28"/>
                <w:lang w:val="en-US" w:eastAsia="uk-UA"/>
              </w:rPr>
              <w:t>M</w:t>
            </w:r>
            <w:r w:rsidRPr="00C73C10">
              <w:rPr>
                <w:rFonts w:ascii="Times New Roman" w:eastAsia="Times New Roman" w:hAnsi="Times New Roman" w:cs="Times New Roman"/>
                <w:sz w:val="28"/>
                <w:szCs w:val="28"/>
                <w:lang w:eastAsia="uk-UA"/>
              </w:rPr>
              <w:t>±</w:t>
            </w:r>
            <w:r w:rsidRPr="00C73C10">
              <w:rPr>
                <w:rFonts w:ascii="Times New Roman" w:eastAsia="Times New Roman" w:hAnsi="Times New Roman" w:cs="Times New Roman"/>
                <w:sz w:val="28"/>
                <w:szCs w:val="28"/>
                <w:lang w:val="en-US" w:eastAsia="uk-UA"/>
              </w:rPr>
              <w:t>m</w:t>
            </w:r>
            <w:r w:rsidRPr="00C73C10">
              <w:rPr>
                <w:rFonts w:ascii="Times New Roman" w:eastAsia="Times New Roman" w:hAnsi="Times New Roman" w:cs="Times New Roman"/>
                <w:sz w:val="28"/>
                <w:lang w:eastAsia="uk-UA"/>
              </w:rPr>
              <w:t> </w:t>
            </w:r>
            <w:r w:rsidRPr="00C73C10">
              <w:rPr>
                <w:rFonts w:ascii="Times New Roman" w:eastAsia="Times New Roman" w:hAnsi="Times New Roman" w:cs="Times New Roman"/>
                <w:sz w:val="28"/>
                <w:szCs w:val="28"/>
                <w:lang w:eastAsia="uk-UA"/>
              </w:rPr>
              <w:t>(ДЛ</w:t>
            </w:r>
            <w:r w:rsidRPr="00C73C10">
              <w:rPr>
                <w:rFonts w:ascii="Times New Roman" w:eastAsia="Times New Roman" w:hAnsi="Times New Roman" w:cs="Times New Roman"/>
                <w:sz w:val="28"/>
                <w:szCs w:val="28"/>
                <w:vertAlign w:val="subscript"/>
                <w:lang w:eastAsia="uk-UA"/>
              </w:rPr>
              <w:t>50</w:t>
            </w:r>
            <w:r w:rsidRPr="00C73C10">
              <w:rPr>
                <w:rFonts w:ascii="Times New Roman" w:eastAsia="Times New Roman" w:hAnsi="Times New Roman" w:cs="Times New Roman"/>
                <w:sz w:val="28"/>
                <w:szCs w:val="28"/>
                <w:lang w:eastAsia="uk-UA"/>
              </w:rPr>
              <w:t>)</w:t>
            </w:r>
          </w:p>
        </w:tc>
      </w:tr>
      <w:tr w:rsidR="00C73C10" w:rsidRPr="00C73C10" w:rsidTr="00C73C10">
        <w:tc>
          <w:tcPr>
            <w:tcW w:w="0" w:type="auto"/>
            <w:vMerge/>
            <w:tcBorders>
              <w:top w:val="single" w:sz="4" w:space="0" w:color="auto"/>
              <w:left w:val="single" w:sz="4" w:space="0" w:color="auto"/>
              <w:bottom w:val="single" w:sz="4" w:space="0" w:color="auto"/>
              <w:right w:val="single" w:sz="4" w:space="0" w:color="auto"/>
            </w:tcBorders>
            <w:vAlign w:val="center"/>
            <w:hideMark/>
          </w:tcPr>
          <w:p w:rsidR="00C73C10" w:rsidRPr="00C73C10" w:rsidRDefault="00C73C10" w:rsidP="00C73C10">
            <w:pPr>
              <w:spacing w:after="0" w:line="240" w:lineRule="auto"/>
              <w:rPr>
                <w:rFonts w:ascii="Calibri" w:eastAsia="Times New Roman" w:hAnsi="Calibri" w:cs="Times New Roman"/>
                <w:lang w:eastAsia="uk-UA"/>
              </w:rPr>
            </w:pPr>
          </w:p>
        </w:tc>
        <w:tc>
          <w:tcPr>
            <w:tcW w:w="1418"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ind w:right="-184"/>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Контроль</w:t>
            </w:r>
          </w:p>
          <w:p w:rsidR="00C73C10" w:rsidRPr="00C73C10" w:rsidRDefault="00C73C10" w:rsidP="00C73C10">
            <w:pPr>
              <w:spacing w:after="0" w:line="240" w:lineRule="auto"/>
              <w:ind w:right="-184"/>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w:t>
            </w:r>
            <w:r w:rsidRPr="00C73C10">
              <w:rPr>
                <w:rFonts w:ascii="Times New Roman" w:eastAsia="Times New Roman" w:hAnsi="Times New Roman" w:cs="Times New Roman"/>
                <w:sz w:val="28"/>
                <w:lang w:eastAsia="uk-UA"/>
              </w:rPr>
              <w:t> </w:t>
            </w:r>
            <w:r w:rsidRPr="00C73C10">
              <w:rPr>
                <w:rFonts w:ascii="Times New Roman" w:eastAsia="Times New Roman" w:hAnsi="Times New Roman" w:cs="Times New Roman"/>
                <w:sz w:val="28"/>
                <w:szCs w:val="28"/>
                <w:lang w:val="en-US" w:eastAsia="uk-UA"/>
              </w:rPr>
              <w:t>n</w:t>
            </w:r>
            <w:r w:rsidRPr="00C73C10">
              <w:rPr>
                <w:rFonts w:ascii="Times New Roman" w:eastAsia="Times New Roman" w:hAnsi="Times New Roman" w:cs="Times New Roman"/>
                <w:sz w:val="28"/>
                <w:szCs w:val="28"/>
                <w:lang w:eastAsia="uk-UA"/>
              </w:rPr>
              <w:t>=10)</w:t>
            </w:r>
          </w:p>
        </w:tc>
        <w:tc>
          <w:tcPr>
            <w:tcW w:w="1843"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1/10</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w:t>
            </w:r>
            <w:r w:rsidRPr="00C73C10">
              <w:rPr>
                <w:rFonts w:ascii="Times New Roman" w:eastAsia="Times New Roman" w:hAnsi="Times New Roman" w:cs="Times New Roman"/>
                <w:sz w:val="28"/>
                <w:szCs w:val="28"/>
                <w:lang w:val="en-US" w:eastAsia="uk-UA"/>
              </w:rPr>
              <w:t>n</w:t>
            </w:r>
            <w:r w:rsidRPr="00C73C10">
              <w:rPr>
                <w:rFonts w:ascii="Times New Roman" w:eastAsia="Times New Roman" w:hAnsi="Times New Roman" w:cs="Times New Roman"/>
                <w:sz w:val="28"/>
                <w:szCs w:val="28"/>
                <w:lang w:eastAsia="uk-UA"/>
              </w:rPr>
              <w:t>=10)</w:t>
            </w:r>
          </w:p>
        </w:tc>
        <w:tc>
          <w:tcPr>
            <w:tcW w:w="1842"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1/100</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w:t>
            </w:r>
            <w:r w:rsidRPr="00C73C10">
              <w:rPr>
                <w:rFonts w:ascii="Times New Roman" w:eastAsia="Times New Roman" w:hAnsi="Times New Roman" w:cs="Times New Roman"/>
                <w:sz w:val="28"/>
                <w:szCs w:val="28"/>
                <w:lang w:val="en-US" w:eastAsia="uk-UA"/>
              </w:rPr>
              <w:t>n</w:t>
            </w:r>
            <w:r w:rsidRPr="00C73C10">
              <w:rPr>
                <w:rFonts w:ascii="Times New Roman" w:eastAsia="Times New Roman" w:hAnsi="Times New Roman" w:cs="Times New Roman"/>
                <w:sz w:val="28"/>
                <w:szCs w:val="28"/>
                <w:lang w:eastAsia="uk-UA"/>
              </w:rPr>
              <w:t>=10)</w:t>
            </w:r>
          </w:p>
        </w:tc>
        <w:tc>
          <w:tcPr>
            <w:tcW w:w="1701"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1/1000</w:t>
            </w:r>
          </w:p>
          <w:p w:rsidR="00C73C10" w:rsidRPr="00C73C10" w:rsidRDefault="00C73C10" w:rsidP="00C73C10">
            <w:pPr>
              <w:spacing w:after="0" w:line="240" w:lineRule="auto"/>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val="en-US" w:eastAsia="uk-UA"/>
              </w:rPr>
              <w:t>(n</w:t>
            </w:r>
            <w:r w:rsidRPr="00C73C10">
              <w:rPr>
                <w:rFonts w:ascii="Times New Roman" w:eastAsia="Times New Roman" w:hAnsi="Times New Roman" w:cs="Times New Roman"/>
                <w:sz w:val="28"/>
                <w:szCs w:val="28"/>
                <w:lang w:eastAsia="uk-UA"/>
              </w:rPr>
              <w:t>=10)</w:t>
            </w:r>
          </w:p>
        </w:tc>
      </w:tr>
      <w:tr w:rsidR="00C73C10" w:rsidRPr="00C73C10" w:rsidTr="00C73C10">
        <w:tc>
          <w:tcPr>
            <w:tcW w:w="2977" w:type="dxa"/>
            <w:tcBorders>
              <w:top w:val="nil"/>
              <w:left w:val="single" w:sz="4" w:space="0" w:color="auto"/>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О-деметилаза, </w:t>
            </w:r>
          </w:p>
          <w:p w:rsidR="00C73C10" w:rsidRPr="00C73C10" w:rsidRDefault="00C73C10" w:rsidP="00C73C10">
            <w:pPr>
              <w:spacing w:after="0" w:line="240" w:lineRule="auto"/>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нмоль р-нітрофенолу /</w:t>
            </w:r>
            <w:r w:rsidRPr="00C73C10">
              <w:rPr>
                <w:rFonts w:ascii="Times New Roman" w:eastAsia="Times New Roman" w:hAnsi="Times New Roman" w:cs="Times New Roman"/>
                <w:sz w:val="28"/>
                <w:lang w:eastAsia="uk-UA"/>
              </w:rPr>
              <w:t> </w:t>
            </w:r>
            <w:r w:rsidRPr="00C73C10">
              <w:rPr>
                <w:rFonts w:ascii="Times New Roman" w:eastAsia="Times New Roman" w:hAnsi="Times New Roman" w:cs="Times New Roman"/>
                <w:sz w:val="28"/>
                <w:szCs w:val="28"/>
                <w:lang w:eastAsia="uk-UA"/>
              </w:rPr>
              <w:t>хв мг білка</w:t>
            </w:r>
          </w:p>
        </w:tc>
        <w:tc>
          <w:tcPr>
            <w:tcW w:w="1418"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6,57±0,63</w:t>
            </w:r>
          </w:p>
        </w:tc>
        <w:tc>
          <w:tcPr>
            <w:tcW w:w="1843"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17,62±1,44*</w:t>
            </w:r>
          </w:p>
        </w:tc>
        <w:tc>
          <w:tcPr>
            <w:tcW w:w="1842"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11,13±0,94*</w:t>
            </w:r>
          </w:p>
        </w:tc>
        <w:tc>
          <w:tcPr>
            <w:tcW w:w="1701"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6,93±0,74</w:t>
            </w:r>
          </w:p>
        </w:tc>
      </w:tr>
      <w:tr w:rsidR="00C73C10" w:rsidRPr="00C73C10" w:rsidTr="00C73C10">
        <w:tc>
          <w:tcPr>
            <w:tcW w:w="2977" w:type="dxa"/>
            <w:tcBorders>
              <w:top w:val="nil"/>
              <w:left w:val="single" w:sz="4" w:space="0" w:color="auto"/>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НАДФ·Н-цитохром с-редуктаза, нмоль ци-тохрому с</w:t>
            </w:r>
            <w:r w:rsidRPr="00C73C10">
              <w:rPr>
                <w:rFonts w:ascii="Times New Roman" w:eastAsia="Times New Roman" w:hAnsi="Times New Roman" w:cs="Times New Roman"/>
                <w:sz w:val="28"/>
                <w:lang w:eastAsia="uk-UA"/>
              </w:rPr>
              <w:t> </w:t>
            </w:r>
            <w:r w:rsidRPr="00C73C10">
              <w:rPr>
                <w:rFonts w:ascii="Times New Roman" w:eastAsia="Times New Roman" w:hAnsi="Times New Roman" w:cs="Times New Roman"/>
                <w:sz w:val="28"/>
                <w:szCs w:val="28"/>
                <w:lang w:eastAsia="uk-UA"/>
              </w:rPr>
              <w:t>/хв·мг білка</w:t>
            </w:r>
          </w:p>
        </w:tc>
        <w:tc>
          <w:tcPr>
            <w:tcW w:w="1418"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178,5±14,8</w:t>
            </w:r>
          </w:p>
        </w:tc>
        <w:tc>
          <w:tcPr>
            <w:tcW w:w="1843"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325,42±15,86*</w:t>
            </w:r>
          </w:p>
        </w:tc>
        <w:tc>
          <w:tcPr>
            <w:tcW w:w="1842"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286,7±11,50*</w:t>
            </w:r>
          </w:p>
        </w:tc>
        <w:tc>
          <w:tcPr>
            <w:tcW w:w="1701"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188,6±10,3</w:t>
            </w:r>
          </w:p>
        </w:tc>
      </w:tr>
      <w:tr w:rsidR="00C73C10" w:rsidRPr="00C73C10" w:rsidTr="00C73C10">
        <w:tc>
          <w:tcPr>
            <w:tcW w:w="2977" w:type="dxa"/>
            <w:tcBorders>
              <w:top w:val="nil"/>
              <w:left w:val="single" w:sz="4" w:space="0" w:color="auto"/>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НАД·Н-цитохром с-редуктаза, нмоль ци-тохрому с</w:t>
            </w:r>
            <w:r w:rsidRPr="00C73C10">
              <w:rPr>
                <w:rFonts w:ascii="Times New Roman" w:eastAsia="Times New Roman" w:hAnsi="Times New Roman" w:cs="Times New Roman"/>
                <w:sz w:val="28"/>
                <w:lang w:eastAsia="uk-UA"/>
              </w:rPr>
              <w:t> </w:t>
            </w:r>
            <w:r w:rsidRPr="00C73C10">
              <w:rPr>
                <w:rFonts w:ascii="Times New Roman" w:eastAsia="Times New Roman" w:hAnsi="Times New Roman" w:cs="Times New Roman"/>
                <w:sz w:val="28"/>
                <w:szCs w:val="28"/>
                <w:lang w:eastAsia="uk-UA"/>
              </w:rPr>
              <w:t>/хв·мг білка</w:t>
            </w:r>
          </w:p>
        </w:tc>
        <w:tc>
          <w:tcPr>
            <w:tcW w:w="1418"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845,6±27,4</w:t>
            </w:r>
          </w:p>
        </w:tc>
        <w:tc>
          <w:tcPr>
            <w:tcW w:w="1843"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1573,85±66,38*</w:t>
            </w:r>
          </w:p>
        </w:tc>
        <w:tc>
          <w:tcPr>
            <w:tcW w:w="1842"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984,76±25,63*</w:t>
            </w:r>
          </w:p>
        </w:tc>
        <w:tc>
          <w:tcPr>
            <w:tcW w:w="1701"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169" w:lineRule="atLeast"/>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830,42±31,16</w:t>
            </w:r>
          </w:p>
        </w:tc>
      </w:tr>
    </w:tbl>
    <w:p w:rsidR="00C73C10" w:rsidRPr="00C73C10" w:rsidRDefault="00C73C10" w:rsidP="00C73C10">
      <w:pPr>
        <w:spacing w:after="0" w:line="240" w:lineRule="auto"/>
        <w:jc w:val="both"/>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4"/>
          <w:szCs w:val="24"/>
          <w:lang w:eastAsia="uk-UA"/>
        </w:rPr>
        <w:t>Примітка: * – різниця вірогідна </w:t>
      </w:r>
      <w:r w:rsidRPr="00C73C10">
        <w:rPr>
          <w:rFonts w:ascii="Times New Roman" w:eastAsia="Times New Roman" w:hAnsi="Times New Roman" w:cs="Times New Roman"/>
          <w:color w:val="000000"/>
          <w:sz w:val="24"/>
          <w:szCs w:val="24"/>
          <w:lang w:val="en-US" w:eastAsia="uk-UA"/>
        </w:rPr>
        <w:t>p</w:t>
      </w:r>
      <w:r w:rsidRPr="00C73C10">
        <w:rPr>
          <w:rFonts w:ascii="Times New Roman" w:eastAsia="Times New Roman" w:hAnsi="Times New Roman" w:cs="Times New Roman"/>
          <w:color w:val="000000"/>
          <w:sz w:val="24"/>
          <w:szCs w:val="24"/>
          <w:lang w:eastAsia="uk-UA"/>
        </w:rPr>
        <w:t>&lt;0,05</w:t>
      </w:r>
    </w:p>
    <w:p w:rsidR="00C73C10" w:rsidRPr="00C73C10" w:rsidRDefault="00C73C10" w:rsidP="00C73C10">
      <w:pPr>
        <w:spacing w:after="0" w:line="240" w:lineRule="auto"/>
        <w:jc w:val="center"/>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8"/>
          <w:szCs w:val="28"/>
          <w:lang w:eastAsia="uk-UA"/>
        </w:rPr>
        <w:t> </w:t>
      </w:r>
    </w:p>
    <w:p w:rsidR="00C73C10" w:rsidRPr="00C73C10" w:rsidRDefault="00C73C10" w:rsidP="00C73C10">
      <w:pPr>
        <w:spacing w:after="0" w:line="220" w:lineRule="atLeast"/>
        <w:ind w:firstLine="709"/>
        <w:jc w:val="both"/>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8"/>
          <w:szCs w:val="28"/>
          <w:lang w:eastAsia="uk-UA"/>
        </w:rPr>
        <w:t>Аналіз виявив, що поліоксипропіленгліколь в 1/10 та 1/100 ДЛ</w:t>
      </w:r>
      <w:r w:rsidRPr="00C73C10">
        <w:rPr>
          <w:rFonts w:ascii="Times New Roman" w:eastAsia="Times New Roman" w:hAnsi="Times New Roman" w:cs="Times New Roman"/>
          <w:color w:val="000000"/>
          <w:sz w:val="28"/>
          <w:szCs w:val="28"/>
          <w:vertAlign w:val="subscript"/>
          <w:lang w:eastAsia="uk-UA"/>
        </w:rPr>
        <w:t>50</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підвищує окислення чужорідних сполук ферментативною системою, до якої входить і цитохром Р</w:t>
      </w:r>
      <w:r w:rsidRPr="00C73C10">
        <w:rPr>
          <w:rFonts w:ascii="Times New Roman" w:eastAsia="Times New Roman" w:hAnsi="Times New Roman" w:cs="Times New Roman"/>
          <w:color w:val="000000"/>
          <w:sz w:val="28"/>
          <w:szCs w:val="28"/>
          <w:vertAlign w:val="subscript"/>
          <w:lang w:eastAsia="uk-UA"/>
        </w:rPr>
        <w:t>450</w:t>
      </w:r>
      <w:r w:rsidRPr="00C73C10">
        <w:rPr>
          <w:rFonts w:ascii="Times New Roman" w:eastAsia="Times New Roman" w:hAnsi="Times New Roman" w:cs="Times New Roman"/>
          <w:color w:val="000000"/>
          <w:sz w:val="28"/>
          <w:szCs w:val="28"/>
          <w:lang w:eastAsia="uk-UA"/>
        </w:rPr>
        <w:t>. При цьому, рівень цитохрому Р</w:t>
      </w:r>
      <w:r w:rsidRPr="00C73C10">
        <w:rPr>
          <w:rFonts w:ascii="Times New Roman" w:eastAsia="Times New Roman" w:hAnsi="Times New Roman" w:cs="Times New Roman"/>
          <w:color w:val="000000"/>
          <w:sz w:val="28"/>
          <w:szCs w:val="28"/>
          <w:vertAlign w:val="subscript"/>
          <w:lang w:eastAsia="uk-UA"/>
        </w:rPr>
        <w:t>450</w:t>
      </w:r>
      <w:r w:rsidRPr="00C73C10">
        <w:rPr>
          <w:rFonts w:ascii="Times New Roman" w:eastAsia="Times New Roman" w:hAnsi="Times New Roman" w:cs="Times New Roman"/>
          <w:color w:val="000000"/>
          <w:sz w:val="28"/>
          <w:vertAlign w:val="subscript"/>
          <w:lang w:eastAsia="uk-UA"/>
        </w:rPr>
        <w:t> </w:t>
      </w:r>
      <w:r w:rsidRPr="00C73C10">
        <w:rPr>
          <w:rFonts w:ascii="Times New Roman" w:eastAsia="Times New Roman" w:hAnsi="Times New Roman" w:cs="Times New Roman"/>
          <w:color w:val="000000"/>
          <w:sz w:val="28"/>
          <w:szCs w:val="28"/>
          <w:lang w:eastAsia="uk-UA"/>
        </w:rPr>
        <w:t>підвищувався на 95,85% й 81,29%, а цитохрому</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val="en-US" w:eastAsia="uk-UA"/>
        </w:rPr>
        <w:t>b</w:t>
      </w:r>
      <w:r w:rsidRPr="00C73C10">
        <w:rPr>
          <w:rFonts w:ascii="Times New Roman" w:eastAsia="Times New Roman" w:hAnsi="Times New Roman" w:cs="Times New Roman"/>
          <w:color w:val="000000"/>
          <w:sz w:val="28"/>
          <w:szCs w:val="28"/>
          <w:vertAlign w:val="subscript"/>
          <w:lang w:eastAsia="uk-UA"/>
        </w:rPr>
        <w:t>5</w:t>
      </w:r>
      <w:r w:rsidRPr="00C73C10">
        <w:rPr>
          <w:rFonts w:ascii="Times New Roman" w:eastAsia="Times New Roman" w:hAnsi="Times New Roman" w:cs="Times New Roman"/>
          <w:color w:val="000000"/>
          <w:sz w:val="28"/>
          <w:vertAlign w:val="subscript"/>
          <w:lang w:eastAsia="uk-UA"/>
        </w:rPr>
        <w:t> </w:t>
      </w:r>
      <w:r w:rsidRPr="00C73C10">
        <w:rPr>
          <w:rFonts w:ascii="Times New Roman" w:eastAsia="Times New Roman" w:hAnsi="Times New Roman" w:cs="Times New Roman"/>
          <w:color w:val="000000"/>
          <w:sz w:val="28"/>
          <w:szCs w:val="28"/>
          <w:lang w:eastAsia="uk-UA"/>
        </w:rPr>
        <w:t>– на 88,52% й 38,68%, відповідно в умовах токсифікації 1/10 й 1/100</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ДЛ</w:t>
      </w:r>
      <w:r w:rsidRPr="00C73C10">
        <w:rPr>
          <w:rFonts w:ascii="Times New Roman" w:eastAsia="Times New Roman" w:hAnsi="Times New Roman" w:cs="Times New Roman"/>
          <w:color w:val="000000"/>
          <w:sz w:val="28"/>
          <w:szCs w:val="28"/>
          <w:vertAlign w:val="subscript"/>
          <w:lang w:eastAsia="uk-UA"/>
        </w:rPr>
        <w:t>50</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(табл. 2).</w:t>
      </w:r>
    </w:p>
    <w:p w:rsidR="00C73C10" w:rsidRPr="00C73C10" w:rsidRDefault="00C73C10" w:rsidP="00C73C10">
      <w:pPr>
        <w:spacing w:after="0" w:line="220" w:lineRule="atLeast"/>
        <w:ind w:firstLine="709"/>
        <w:jc w:val="both"/>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8"/>
          <w:szCs w:val="28"/>
          <w:lang w:eastAsia="uk-UA"/>
        </w:rPr>
        <w:t>Експериментальні й клінічні дослідження показали важливу роль цитохромів в індукції хімічними сполуками канцерогенезу, особливо раку легень, сечового міхура, печінки й ін. [1, 2]. Автори переконливо доводять і пов’язують, що хімічний канцерогенез тісно поєднаний з утворенням реактивних метаболітів у реакціях біотрансформації ксенобіотиків та ушкодженням ними критичних генів, до яких відносять гени, що беруть участь у регуляції клітинного росту – онкогени [3, 4]. Тому, баланс активності реакцій активації й детоксикації хімічних сполук, процесів репарації ДНК та елімінації</w:t>
      </w:r>
    </w:p>
    <w:p w:rsidR="00C73C10" w:rsidRPr="00C73C10" w:rsidRDefault="00C73C10" w:rsidP="00C73C10">
      <w:pPr>
        <w:spacing w:after="0" w:line="220" w:lineRule="atLeast"/>
        <w:ind w:firstLine="709"/>
        <w:jc w:val="right"/>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8"/>
          <w:szCs w:val="28"/>
          <w:lang w:eastAsia="uk-UA"/>
        </w:rPr>
        <w:t>Таблиця 2</w:t>
      </w:r>
    </w:p>
    <w:p w:rsidR="00C73C10" w:rsidRPr="00C73C10" w:rsidRDefault="00C73C10" w:rsidP="00C73C10">
      <w:pPr>
        <w:spacing w:after="0" w:line="220" w:lineRule="atLeast"/>
        <w:jc w:val="center"/>
        <w:rPr>
          <w:rFonts w:ascii="Calibri" w:eastAsia="Times New Roman" w:hAnsi="Calibri" w:cs="Times New Roman"/>
          <w:color w:val="000000"/>
          <w:lang w:eastAsia="uk-UA"/>
        </w:rPr>
      </w:pPr>
      <w:r w:rsidRPr="00C73C10">
        <w:rPr>
          <w:rFonts w:ascii="Times New Roman" w:eastAsia="Times New Roman" w:hAnsi="Times New Roman" w:cs="Times New Roman"/>
          <w:b/>
          <w:bCs/>
          <w:color w:val="000000"/>
          <w:sz w:val="28"/>
          <w:szCs w:val="28"/>
          <w:lang w:eastAsia="uk-UA"/>
        </w:rPr>
        <w:t>Тривалий субтоксичний вплив Л-502-2-10 на вміст цитохромів</w:t>
      </w:r>
    </w:p>
    <w:tbl>
      <w:tblPr>
        <w:tblW w:w="9639" w:type="dxa"/>
        <w:tblInd w:w="-5" w:type="dxa"/>
        <w:tblCellMar>
          <w:left w:w="0" w:type="dxa"/>
          <w:right w:w="0" w:type="dxa"/>
        </w:tblCellMar>
        <w:tblLook w:val="04A0"/>
      </w:tblPr>
      <w:tblGrid>
        <w:gridCol w:w="2410"/>
        <w:gridCol w:w="1843"/>
        <w:gridCol w:w="1843"/>
        <w:gridCol w:w="1842"/>
        <w:gridCol w:w="1701"/>
      </w:tblGrid>
      <w:tr w:rsidR="00C73C10" w:rsidRPr="00C73C10" w:rsidTr="00C73C10">
        <w:tc>
          <w:tcPr>
            <w:tcW w:w="2410"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Показники</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Calibri" w:eastAsia="Times New Roman" w:hAnsi="Calibri" w:cs="Times New Roman"/>
                <w:lang w:eastAsia="uk-UA"/>
              </w:rPr>
              <w:t> </w:t>
            </w:r>
          </w:p>
        </w:tc>
        <w:tc>
          <w:tcPr>
            <w:tcW w:w="7229" w:type="dxa"/>
            <w:gridSpan w:val="4"/>
            <w:tcBorders>
              <w:top w:val="single" w:sz="4" w:space="0" w:color="auto"/>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Група спостереження,</w:t>
            </w:r>
            <w:r w:rsidRPr="00C73C10">
              <w:rPr>
                <w:rFonts w:ascii="Times New Roman" w:eastAsia="Times New Roman" w:hAnsi="Times New Roman" w:cs="Times New Roman"/>
                <w:sz w:val="28"/>
                <w:lang w:eastAsia="uk-UA"/>
              </w:rPr>
              <w:t> </w:t>
            </w:r>
            <w:r w:rsidRPr="00C73C10">
              <w:rPr>
                <w:rFonts w:ascii="Times New Roman" w:eastAsia="Times New Roman" w:hAnsi="Times New Roman" w:cs="Times New Roman"/>
                <w:sz w:val="28"/>
                <w:szCs w:val="28"/>
                <w:lang w:val="en-US" w:eastAsia="uk-UA"/>
              </w:rPr>
              <w:t>M</w:t>
            </w:r>
            <w:r w:rsidRPr="00C73C10">
              <w:rPr>
                <w:rFonts w:ascii="Times New Roman" w:eastAsia="Times New Roman" w:hAnsi="Times New Roman" w:cs="Times New Roman"/>
                <w:sz w:val="28"/>
                <w:szCs w:val="28"/>
                <w:lang w:eastAsia="uk-UA"/>
              </w:rPr>
              <w:t>±</w:t>
            </w:r>
            <w:r w:rsidRPr="00C73C10">
              <w:rPr>
                <w:rFonts w:ascii="Times New Roman" w:eastAsia="Times New Roman" w:hAnsi="Times New Roman" w:cs="Times New Roman"/>
                <w:sz w:val="28"/>
                <w:szCs w:val="28"/>
                <w:lang w:val="en-US" w:eastAsia="uk-UA"/>
              </w:rPr>
              <w:t>m</w:t>
            </w:r>
            <w:r w:rsidRPr="00C73C10">
              <w:rPr>
                <w:rFonts w:ascii="Times New Roman" w:eastAsia="Times New Roman" w:hAnsi="Times New Roman" w:cs="Times New Roman"/>
                <w:sz w:val="28"/>
                <w:lang w:eastAsia="uk-UA"/>
              </w:rPr>
              <w:t> </w:t>
            </w:r>
            <w:r w:rsidRPr="00C73C10">
              <w:rPr>
                <w:rFonts w:ascii="Times New Roman" w:eastAsia="Times New Roman" w:hAnsi="Times New Roman" w:cs="Times New Roman"/>
                <w:sz w:val="28"/>
                <w:szCs w:val="28"/>
                <w:lang w:eastAsia="uk-UA"/>
              </w:rPr>
              <w:t>(ДЛ</w:t>
            </w:r>
            <w:r w:rsidRPr="00C73C10">
              <w:rPr>
                <w:rFonts w:ascii="Times New Roman" w:eastAsia="Times New Roman" w:hAnsi="Times New Roman" w:cs="Times New Roman"/>
                <w:sz w:val="28"/>
                <w:szCs w:val="28"/>
                <w:vertAlign w:val="subscript"/>
                <w:lang w:eastAsia="uk-UA"/>
              </w:rPr>
              <w:t>50</w:t>
            </w:r>
            <w:r w:rsidRPr="00C73C10">
              <w:rPr>
                <w:rFonts w:ascii="Times New Roman" w:eastAsia="Times New Roman" w:hAnsi="Times New Roman" w:cs="Times New Roman"/>
                <w:sz w:val="28"/>
                <w:szCs w:val="28"/>
                <w:lang w:eastAsia="uk-UA"/>
              </w:rPr>
              <w:t>)</w:t>
            </w:r>
          </w:p>
        </w:tc>
      </w:tr>
      <w:tr w:rsidR="00C73C10" w:rsidRPr="00C73C10" w:rsidTr="00C73C10">
        <w:tc>
          <w:tcPr>
            <w:tcW w:w="0" w:type="auto"/>
            <w:vMerge/>
            <w:tcBorders>
              <w:top w:val="single" w:sz="4" w:space="0" w:color="auto"/>
              <w:left w:val="single" w:sz="4" w:space="0" w:color="auto"/>
              <w:bottom w:val="single" w:sz="4" w:space="0" w:color="auto"/>
              <w:right w:val="single" w:sz="4" w:space="0" w:color="auto"/>
            </w:tcBorders>
            <w:vAlign w:val="center"/>
            <w:hideMark/>
          </w:tcPr>
          <w:p w:rsidR="00C73C10" w:rsidRPr="00C73C10" w:rsidRDefault="00C73C10" w:rsidP="00C73C10">
            <w:pPr>
              <w:spacing w:after="0" w:line="240" w:lineRule="auto"/>
              <w:rPr>
                <w:rFonts w:ascii="Calibri" w:eastAsia="Times New Roman" w:hAnsi="Calibri" w:cs="Times New Roman"/>
                <w:lang w:eastAsia="uk-UA"/>
              </w:rPr>
            </w:pPr>
          </w:p>
        </w:tc>
        <w:tc>
          <w:tcPr>
            <w:tcW w:w="1843"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ind w:right="-184"/>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Контроль</w:t>
            </w:r>
          </w:p>
          <w:p w:rsidR="00C73C10" w:rsidRPr="00C73C10" w:rsidRDefault="00C73C10" w:rsidP="00C73C10">
            <w:pPr>
              <w:spacing w:after="0" w:line="240" w:lineRule="auto"/>
              <w:ind w:right="-184"/>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w:t>
            </w:r>
            <w:r w:rsidRPr="00C73C10">
              <w:rPr>
                <w:rFonts w:ascii="Times New Roman" w:eastAsia="Times New Roman" w:hAnsi="Times New Roman" w:cs="Times New Roman"/>
                <w:sz w:val="28"/>
                <w:lang w:eastAsia="uk-UA"/>
              </w:rPr>
              <w:t> </w:t>
            </w:r>
            <w:r w:rsidRPr="00C73C10">
              <w:rPr>
                <w:rFonts w:ascii="Times New Roman" w:eastAsia="Times New Roman" w:hAnsi="Times New Roman" w:cs="Times New Roman"/>
                <w:sz w:val="28"/>
                <w:szCs w:val="28"/>
                <w:lang w:val="en-US" w:eastAsia="uk-UA"/>
              </w:rPr>
              <w:t>n</w:t>
            </w:r>
            <w:r w:rsidRPr="00C73C10">
              <w:rPr>
                <w:rFonts w:ascii="Times New Roman" w:eastAsia="Times New Roman" w:hAnsi="Times New Roman" w:cs="Times New Roman"/>
                <w:sz w:val="28"/>
                <w:szCs w:val="28"/>
                <w:lang w:eastAsia="uk-UA"/>
              </w:rPr>
              <w:t>=10)</w:t>
            </w:r>
          </w:p>
        </w:tc>
        <w:tc>
          <w:tcPr>
            <w:tcW w:w="1843"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1/10</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w:t>
            </w:r>
            <w:r w:rsidRPr="00C73C10">
              <w:rPr>
                <w:rFonts w:ascii="Times New Roman" w:eastAsia="Times New Roman" w:hAnsi="Times New Roman" w:cs="Times New Roman"/>
                <w:sz w:val="28"/>
                <w:szCs w:val="28"/>
                <w:lang w:val="en-US" w:eastAsia="uk-UA"/>
              </w:rPr>
              <w:t>n</w:t>
            </w:r>
            <w:r w:rsidRPr="00C73C10">
              <w:rPr>
                <w:rFonts w:ascii="Times New Roman" w:eastAsia="Times New Roman" w:hAnsi="Times New Roman" w:cs="Times New Roman"/>
                <w:sz w:val="28"/>
                <w:szCs w:val="28"/>
                <w:lang w:eastAsia="uk-UA"/>
              </w:rPr>
              <w:t>=10)</w:t>
            </w:r>
          </w:p>
        </w:tc>
        <w:tc>
          <w:tcPr>
            <w:tcW w:w="1842"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1/100</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w:t>
            </w:r>
            <w:r w:rsidRPr="00C73C10">
              <w:rPr>
                <w:rFonts w:ascii="Times New Roman" w:eastAsia="Times New Roman" w:hAnsi="Times New Roman" w:cs="Times New Roman"/>
                <w:sz w:val="28"/>
                <w:szCs w:val="28"/>
                <w:lang w:val="en-US" w:eastAsia="uk-UA"/>
              </w:rPr>
              <w:t>n</w:t>
            </w:r>
            <w:r w:rsidRPr="00C73C10">
              <w:rPr>
                <w:rFonts w:ascii="Times New Roman" w:eastAsia="Times New Roman" w:hAnsi="Times New Roman" w:cs="Times New Roman"/>
                <w:sz w:val="28"/>
                <w:szCs w:val="28"/>
                <w:lang w:eastAsia="uk-UA"/>
              </w:rPr>
              <w:t>=10)</w:t>
            </w:r>
          </w:p>
        </w:tc>
        <w:tc>
          <w:tcPr>
            <w:tcW w:w="1701"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1/1000</w:t>
            </w:r>
          </w:p>
          <w:p w:rsidR="00C73C10" w:rsidRPr="00C73C10" w:rsidRDefault="00C73C10" w:rsidP="00C73C10">
            <w:pPr>
              <w:spacing w:after="0" w:line="240" w:lineRule="auto"/>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val="en-US" w:eastAsia="uk-UA"/>
              </w:rPr>
              <w:t>(n</w:t>
            </w:r>
            <w:r w:rsidRPr="00C73C10">
              <w:rPr>
                <w:rFonts w:ascii="Times New Roman" w:eastAsia="Times New Roman" w:hAnsi="Times New Roman" w:cs="Times New Roman"/>
                <w:sz w:val="28"/>
                <w:szCs w:val="28"/>
                <w:lang w:eastAsia="uk-UA"/>
              </w:rPr>
              <w:t>=10)</w:t>
            </w:r>
          </w:p>
        </w:tc>
      </w:tr>
      <w:tr w:rsidR="00C73C10" w:rsidRPr="00C73C10" w:rsidTr="00C73C10">
        <w:tc>
          <w:tcPr>
            <w:tcW w:w="2410" w:type="dxa"/>
            <w:tcBorders>
              <w:top w:val="nil"/>
              <w:left w:val="single" w:sz="4" w:space="0" w:color="auto"/>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Цитохром в</w:t>
            </w:r>
            <w:r w:rsidRPr="00C73C10">
              <w:rPr>
                <w:rFonts w:ascii="Times New Roman" w:eastAsia="Times New Roman" w:hAnsi="Times New Roman" w:cs="Times New Roman"/>
                <w:sz w:val="28"/>
                <w:szCs w:val="28"/>
                <w:vertAlign w:val="subscript"/>
                <w:lang w:eastAsia="uk-UA"/>
              </w:rPr>
              <w:t>5</w:t>
            </w:r>
            <w:r w:rsidRPr="00C73C10">
              <w:rPr>
                <w:rFonts w:ascii="Times New Roman" w:eastAsia="Times New Roman" w:hAnsi="Times New Roman" w:cs="Times New Roman"/>
                <w:sz w:val="28"/>
                <w:szCs w:val="28"/>
                <w:lang w:eastAsia="uk-UA"/>
              </w:rPr>
              <w:t>,нмоль/мг білка</w:t>
            </w:r>
          </w:p>
        </w:tc>
        <w:tc>
          <w:tcPr>
            <w:tcW w:w="1843"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0,61±0,07</w:t>
            </w:r>
          </w:p>
        </w:tc>
        <w:tc>
          <w:tcPr>
            <w:tcW w:w="1843"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1,15±0,09</w:t>
            </w:r>
          </w:p>
        </w:tc>
        <w:tc>
          <w:tcPr>
            <w:tcW w:w="1842"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0,846±0,06</w:t>
            </w:r>
          </w:p>
        </w:tc>
        <w:tc>
          <w:tcPr>
            <w:tcW w:w="1701"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0,62±0,08</w:t>
            </w:r>
          </w:p>
        </w:tc>
      </w:tr>
      <w:tr w:rsidR="00C73C10" w:rsidRPr="00C73C10" w:rsidTr="00C73C10">
        <w:tc>
          <w:tcPr>
            <w:tcW w:w="2410" w:type="dxa"/>
            <w:tcBorders>
              <w:top w:val="nil"/>
              <w:left w:val="single" w:sz="4" w:space="0" w:color="auto"/>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lastRenderedPageBreak/>
              <w:t>Цитохром Р</w:t>
            </w:r>
            <w:r w:rsidRPr="00C73C10">
              <w:rPr>
                <w:rFonts w:ascii="Times New Roman" w:eastAsia="Times New Roman" w:hAnsi="Times New Roman" w:cs="Times New Roman"/>
                <w:sz w:val="28"/>
                <w:szCs w:val="28"/>
                <w:vertAlign w:val="subscript"/>
                <w:lang w:eastAsia="uk-UA"/>
              </w:rPr>
              <w:t>450</w:t>
            </w:r>
            <w:r w:rsidRPr="00C73C10">
              <w:rPr>
                <w:rFonts w:ascii="Times New Roman" w:eastAsia="Times New Roman" w:hAnsi="Times New Roman" w:cs="Times New Roman"/>
                <w:sz w:val="28"/>
                <w:szCs w:val="28"/>
                <w:lang w:eastAsia="uk-UA"/>
              </w:rPr>
              <w:t>,нмоль/мг білка</w:t>
            </w:r>
          </w:p>
        </w:tc>
        <w:tc>
          <w:tcPr>
            <w:tcW w:w="1843"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0,957±0,08</w:t>
            </w:r>
          </w:p>
        </w:tc>
        <w:tc>
          <w:tcPr>
            <w:tcW w:w="1843"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1,874±0,123</w:t>
            </w:r>
          </w:p>
        </w:tc>
        <w:tc>
          <w:tcPr>
            <w:tcW w:w="1842"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1,735±0,105</w:t>
            </w:r>
          </w:p>
        </w:tc>
        <w:tc>
          <w:tcPr>
            <w:tcW w:w="1701"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0,963±0,07</w:t>
            </w:r>
          </w:p>
        </w:tc>
      </w:tr>
    </w:tbl>
    <w:p w:rsidR="00C73C10" w:rsidRPr="00C73C10" w:rsidRDefault="00C73C10" w:rsidP="00C73C10">
      <w:pPr>
        <w:spacing w:after="0" w:line="240" w:lineRule="auto"/>
        <w:jc w:val="both"/>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4"/>
          <w:szCs w:val="24"/>
          <w:lang w:eastAsia="uk-UA"/>
        </w:rPr>
        <w:t>Примітка: * – різниця вірогідна </w:t>
      </w:r>
      <w:r w:rsidRPr="00C73C10">
        <w:rPr>
          <w:rFonts w:ascii="Times New Roman" w:eastAsia="Times New Roman" w:hAnsi="Times New Roman" w:cs="Times New Roman"/>
          <w:color w:val="000000"/>
          <w:sz w:val="24"/>
          <w:szCs w:val="24"/>
          <w:lang w:val="en-US" w:eastAsia="uk-UA"/>
        </w:rPr>
        <w:t>p</w:t>
      </w:r>
      <w:r w:rsidRPr="00C73C10">
        <w:rPr>
          <w:rFonts w:ascii="Times New Roman" w:eastAsia="Times New Roman" w:hAnsi="Times New Roman" w:cs="Times New Roman"/>
          <w:color w:val="000000"/>
          <w:sz w:val="24"/>
          <w:szCs w:val="24"/>
          <w:lang w:eastAsia="uk-UA"/>
        </w:rPr>
        <w:t>&lt;0,05</w:t>
      </w:r>
    </w:p>
    <w:p w:rsidR="00C73C10" w:rsidRPr="00C73C10" w:rsidRDefault="00C73C10" w:rsidP="00C73C10">
      <w:pPr>
        <w:spacing w:after="0" w:line="220" w:lineRule="atLeast"/>
        <w:jc w:val="both"/>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8"/>
          <w:szCs w:val="28"/>
          <w:lang w:eastAsia="uk-UA"/>
        </w:rPr>
        <w:t> </w:t>
      </w:r>
    </w:p>
    <w:p w:rsidR="00C73C10" w:rsidRPr="00C73C10" w:rsidRDefault="00C73C10" w:rsidP="00C73C10">
      <w:pPr>
        <w:spacing w:after="0" w:line="220" w:lineRule="atLeast"/>
        <w:jc w:val="both"/>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8"/>
          <w:szCs w:val="28"/>
          <w:lang w:eastAsia="uk-UA"/>
        </w:rPr>
        <w:t>клітин з пошкодженим геномом, на їх думку, визначають вірогідність розвитку раку [1–3]. Відомо, що цитохром Р</w:t>
      </w:r>
      <w:r w:rsidRPr="00C73C10">
        <w:rPr>
          <w:rFonts w:ascii="Times New Roman" w:eastAsia="Times New Roman" w:hAnsi="Times New Roman" w:cs="Times New Roman"/>
          <w:color w:val="000000"/>
          <w:sz w:val="28"/>
          <w:szCs w:val="28"/>
          <w:vertAlign w:val="subscript"/>
          <w:lang w:eastAsia="uk-UA"/>
        </w:rPr>
        <w:t>450</w:t>
      </w:r>
      <w:r w:rsidRPr="00C73C10">
        <w:rPr>
          <w:rFonts w:ascii="Times New Roman" w:eastAsia="Times New Roman" w:hAnsi="Times New Roman" w:cs="Times New Roman"/>
          <w:color w:val="000000"/>
          <w:sz w:val="28"/>
          <w:vertAlign w:val="subscript"/>
          <w:lang w:eastAsia="uk-UA"/>
        </w:rPr>
        <w:t> </w:t>
      </w:r>
      <w:r w:rsidRPr="00C73C10">
        <w:rPr>
          <w:rFonts w:ascii="Times New Roman" w:eastAsia="Times New Roman" w:hAnsi="Times New Roman" w:cs="Times New Roman"/>
          <w:color w:val="000000"/>
          <w:sz w:val="28"/>
          <w:szCs w:val="28"/>
          <w:lang w:eastAsia="uk-UA"/>
        </w:rPr>
        <w:t>– мембранозв’язаний інтегральний білок, йому властивий ряд</w:t>
      </w:r>
      <w:r w:rsidRPr="00C73C10">
        <w:rPr>
          <w:rFonts w:ascii="Times New Roman" w:eastAsia="Times New Roman" w:hAnsi="Times New Roman" w:cs="Times New Roman"/>
          <w:color w:val="FF0000"/>
          <w:sz w:val="28"/>
          <w:lang w:eastAsia="uk-UA"/>
        </w:rPr>
        <w:t> </w:t>
      </w:r>
      <w:r w:rsidRPr="00C73C10">
        <w:rPr>
          <w:rFonts w:ascii="Times New Roman" w:eastAsia="Times New Roman" w:hAnsi="Times New Roman" w:cs="Times New Roman"/>
          <w:color w:val="000000"/>
          <w:sz w:val="28"/>
          <w:szCs w:val="28"/>
          <w:lang w:eastAsia="uk-UA"/>
        </w:rPr>
        <w:t>унікальних функцій: окислення й трансформація різних по своїй хімічній струк-турі речовин як ендогенного, так і екзогенного походження – фармпрепаратів, пестицидів, детергентів, солей важких металів, поліциклічних ароматичних вуглеводів, ароматичних амінів, афлотоксинів [3, 4]. У процесі деяких із цих реакцій утворюється значна кількість активних форм кисню – гідроперекисів, перекисів, вільних радикалів, які є промоторними агентами, здатними стимулю-вати проліферацію неопластичних клітин в органах-мішенях. Дослідження виявили, що Л-502-2-10 в 1/10 та 1/100 ДЛ</w:t>
      </w:r>
      <w:r w:rsidRPr="00C73C10">
        <w:rPr>
          <w:rFonts w:ascii="Times New Roman" w:eastAsia="Times New Roman" w:hAnsi="Times New Roman" w:cs="Times New Roman"/>
          <w:color w:val="000000"/>
          <w:sz w:val="28"/>
          <w:szCs w:val="28"/>
          <w:vertAlign w:val="subscript"/>
          <w:lang w:eastAsia="uk-UA"/>
        </w:rPr>
        <w:t>50</w:t>
      </w:r>
      <w:r w:rsidRPr="00C73C10">
        <w:rPr>
          <w:rFonts w:ascii="Times New Roman" w:eastAsia="Times New Roman" w:hAnsi="Times New Roman" w:cs="Times New Roman"/>
          <w:color w:val="000000"/>
          <w:sz w:val="28"/>
          <w:vertAlign w:val="subscript"/>
          <w:lang w:eastAsia="uk-UA"/>
        </w:rPr>
        <w:t> </w:t>
      </w:r>
      <w:r w:rsidRPr="00C73C10">
        <w:rPr>
          <w:rFonts w:ascii="Times New Roman" w:eastAsia="Times New Roman" w:hAnsi="Times New Roman" w:cs="Times New Roman"/>
          <w:color w:val="000000"/>
          <w:sz w:val="28"/>
          <w:szCs w:val="28"/>
          <w:lang w:eastAsia="uk-UA"/>
        </w:rPr>
        <w:t>стимулює швидкість ендогенного дихання, швидкість окислення НАДФ·Н, швидкість окислення НАДФ·Н </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у присутності ЕДТА на тлі значного підвищення процесів ПОЛ (табл. 3).</w:t>
      </w:r>
    </w:p>
    <w:p w:rsidR="00C73C10" w:rsidRPr="00C73C10" w:rsidRDefault="00C73C10" w:rsidP="00C73C10">
      <w:pPr>
        <w:spacing w:after="0" w:line="220" w:lineRule="atLeast"/>
        <w:ind w:firstLine="709"/>
        <w:jc w:val="both"/>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8"/>
          <w:szCs w:val="28"/>
          <w:lang w:eastAsia="uk-UA"/>
        </w:rPr>
        <w:t>Так, швидкість ендогенного дихання зростала на 221,96% й 134,84%, швидкість окислення НАДФ·Н – на 204,37% й 156,87%, швидкість окислення НАДФ·Н у присутності ЕДТА – на 160,36% й 25,81%, швидкість ПОЛ – на 721,73% й 417,39, відповідно під впливом 1/10 й 1/100 ДЛ</w:t>
      </w:r>
      <w:r w:rsidRPr="00C73C10">
        <w:rPr>
          <w:rFonts w:ascii="Times New Roman" w:eastAsia="Times New Roman" w:hAnsi="Times New Roman" w:cs="Times New Roman"/>
          <w:color w:val="000000"/>
          <w:sz w:val="28"/>
          <w:szCs w:val="28"/>
          <w:vertAlign w:val="subscript"/>
          <w:lang w:eastAsia="uk-UA"/>
        </w:rPr>
        <w:t>50</w:t>
      </w:r>
      <w:r w:rsidRPr="00C73C10">
        <w:rPr>
          <w:rFonts w:ascii="Times New Roman" w:eastAsia="Times New Roman" w:hAnsi="Times New Roman" w:cs="Times New Roman"/>
          <w:color w:val="000000"/>
          <w:sz w:val="28"/>
          <w:szCs w:val="28"/>
          <w:lang w:eastAsia="uk-UA"/>
        </w:rPr>
        <w:t>. Ці дані вказують, що система мікросомального окислення, трансформуючі Л-502-2-10, призводить до накопичення реактивних кисневих метаболітів, які здатні пошкоджувати мембрани, клітинні макромолекули (білки, нуклеїнові кислоти й ін.), що є потенційно небезпечним для формування віддалених наслідків, у тому числі мутагенезу, канцерогенезу, атерогенезу, імунологічної недостатності й ін. Недіючою дозою в усіх випадках на детоксикаційну функцію печінки була 1/1000 ДЛ</w:t>
      </w:r>
      <w:r w:rsidRPr="00C73C10">
        <w:rPr>
          <w:rFonts w:ascii="Times New Roman" w:eastAsia="Times New Roman" w:hAnsi="Times New Roman" w:cs="Times New Roman"/>
          <w:color w:val="000000"/>
          <w:sz w:val="28"/>
          <w:szCs w:val="28"/>
          <w:vertAlign w:val="subscript"/>
          <w:lang w:eastAsia="uk-UA"/>
        </w:rPr>
        <w:t>50</w:t>
      </w:r>
      <w:r w:rsidRPr="00C73C10">
        <w:rPr>
          <w:rFonts w:ascii="Times New Roman" w:eastAsia="Times New Roman" w:hAnsi="Times New Roman" w:cs="Times New Roman"/>
          <w:color w:val="000000"/>
          <w:sz w:val="28"/>
          <w:szCs w:val="28"/>
          <w:lang w:eastAsia="uk-UA"/>
        </w:rPr>
        <w:t>.</w:t>
      </w:r>
    </w:p>
    <w:p w:rsidR="00C73C10" w:rsidRPr="00C73C10" w:rsidRDefault="00C73C10" w:rsidP="00C73C10">
      <w:pPr>
        <w:spacing w:after="0" w:line="220" w:lineRule="atLeast"/>
        <w:ind w:firstLine="709"/>
        <w:jc w:val="right"/>
        <w:rPr>
          <w:rFonts w:ascii="Calibri" w:eastAsia="Times New Roman" w:hAnsi="Calibri" w:cs="Times New Roman"/>
          <w:color w:val="000000"/>
          <w:lang w:eastAsia="uk-UA"/>
        </w:rPr>
      </w:pPr>
      <w:r w:rsidRPr="00C73C10">
        <w:rPr>
          <w:rFonts w:ascii="Times New Roman" w:eastAsia="Times New Roman" w:hAnsi="Times New Roman" w:cs="Times New Roman"/>
          <w:b/>
          <w:bCs/>
          <w:color w:val="000000"/>
          <w:sz w:val="28"/>
          <w:szCs w:val="28"/>
          <w:lang w:eastAsia="uk-UA"/>
        </w:rPr>
        <w:t>Таблиця 3</w:t>
      </w:r>
    </w:p>
    <w:p w:rsidR="00C73C10" w:rsidRPr="00C73C10" w:rsidRDefault="00C73C10" w:rsidP="00C73C10">
      <w:pPr>
        <w:spacing w:after="0" w:line="220" w:lineRule="atLeast"/>
        <w:jc w:val="center"/>
        <w:rPr>
          <w:rFonts w:ascii="Calibri" w:eastAsia="Times New Roman" w:hAnsi="Calibri" w:cs="Times New Roman"/>
          <w:color w:val="000000"/>
          <w:lang w:eastAsia="uk-UA"/>
        </w:rPr>
      </w:pPr>
      <w:r w:rsidRPr="00C73C10">
        <w:rPr>
          <w:rFonts w:ascii="Times New Roman" w:eastAsia="Times New Roman" w:hAnsi="Times New Roman" w:cs="Times New Roman"/>
          <w:b/>
          <w:bCs/>
          <w:color w:val="000000"/>
          <w:sz w:val="28"/>
          <w:szCs w:val="28"/>
          <w:lang w:eastAsia="uk-UA"/>
        </w:rPr>
        <w:t>Вплив Л-502-2-10 на споживання мікросомами кисню в умовах тривалої субтоксичної дії</w:t>
      </w:r>
    </w:p>
    <w:tbl>
      <w:tblPr>
        <w:tblW w:w="9639" w:type="dxa"/>
        <w:tblInd w:w="-5" w:type="dxa"/>
        <w:tblCellMar>
          <w:left w:w="0" w:type="dxa"/>
          <w:right w:w="0" w:type="dxa"/>
        </w:tblCellMar>
        <w:tblLook w:val="04A0"/>
      </w:tblPr>
      <w:tblGrid>
        <w:gridCol w:w="3686"/>
        <w:gridCol w:w="1417"/>
        <w:gridCol w:w="1560"/>
        <w:gridCol w:w="1559"/>
        <w:gridCol w:w="1417"/>
      </w:tblGrid>
      <w:tr w:rsidR="00C73C10" w:rsidRPr="00C73C10" w:rsidTr="00C73C10">
        <w:tc>
          <w:tcPr>
            <w:tcW w:w="3686"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Показники</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Calibri" w:eastAsia="Times New Roman" w:hAnsi="Calibri" w:cs="Times New Roman"/>
                <w:lang w:eastAsia="uk-UA"/>
              </w:rPr>
              <w:t> </w:t>
            </w:r>
          </w:p>
        </w:tc>
        <w:tc>
          <w:tcPr>
            <w:tcW w:w="5953" w:type="dxa"/>
            <w:gridSpan w:val="4"/>
            <w:tcBorders>
              <w:top w:val="single" w:sz="4" w:space="0" w:color="auto"/>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Група спостереження,</w:t>
            </w:r>
            <w:r w:rsidRPr="00C73C10">
              <w:rPr>
                <w:rFonts w:ascii="Times New Roman" w:eastAsia="Times New Roman" w:hAnsi="Times New Roman" w:cs="Times New Roman"/>
                <w:sz w:val="28"/>
                <w:lang w:eastAsia="uk-UA"/>
              </w:rPr>
              <w:t> </w:t>
            </w:r>
            <w:r w:rsidRPr="00C73C10">
              <w:rPr>
                <w:rFonts w:ascii="Times New Roman" w:eastAsia="Times New Roman" w:hAnsi="Times New Roman" w:cs="Times New Roman"/>
                <w:sz w:val="28"/>
                <w:szCs w:val="28"/>
                <w:lang w:val="en-US" w:eastAsia="uk-UA"/>
              </w:rPr>
              <w:t>M</w:t>
            </w:r>
            <w:r w:rsidRPr="00C73C10">
              <w:rPr>
                <w:rFonts w:ascii="Times New Roman" w:eastAsia="Times New Roman" w:hAnsi="Times New Roman" w:cs="Times New Roman"/>
                <w:sz w:val="28"/>
                <w:szCs w:val="28"/>
                <w:lang w:eastAsia="uk-UA"/>
              </w:rPr>
              <w:t>±</w:t>
            </w:r>
            <w:r w:rsidRPr="00C73C10">
              <w:rPr>
                <w:rFonts w:ascii="Times New Roman" w:eastAsia="Times New Roman" w:hAnsi="Times New Roman" w:cs="Times New Roman"/>
                <w:sz w:val="28"/>
                <w:szCs w:val="28"/>
                <w:lang w:val="en-US" w:eastAsia="uk-UA"/>
              </w:rPr>
              <w:t>m</w:t>
            </w:r>
            <w:r w:rsidRPr="00C73C10">
              <w:rPr>
                <w:rFonts w:ascii="Times New Roman" w:eastAsia="Times New Roman" w:hAnsi="Times New Roman" w:cs="Times New Roman"/>
                <w:sz w:val="28"/>
                <w:lang w:eastAsia="uk-UA"/>
              </w:rPr>
              <w:t> </w:t>
            </w:r>
            <w:r w:rsidRPr="00C73C10">
              <w:rPr>
                <w:rFonts w:ascii="Times New Roman" w:eastAsia="Times New Roman" w:hAnsi="Times New Roman" w:cs="Times New Roman"/>
                <w:sz w:val="28"/>
                <w:szCs w:val="28"/>
                <w:lang w:eastAsia="uk-UA"/>
              </w:rPr>
              <w:t>(ДЛ</w:t>
            </w:r>
            <w:r w:rsidRPr="00C73C10">
              <w:rPr>
                <w:rFonts w:ascii="Times New Roman" w:eastAsia="Times New Roman" w:hAnsi="Times New Roman" w:cs="Times New Roman"/>
                <w:sz w:val="28"/>
                <w:szCs w:val="28"/>
                <w:vertAlign w:val="subscript"/>
                <w:lang w:eastAsia="uk-UA"/>
              </w:rPr>
              <w:t>50</w:t>
            </w:r>
            <w:r w:rsidRPr="00C73C10">
              <w:rPr>
                <w:rFonts w:ascii="Times New Roman" w:eastAsia="Times New Roman" w:hAnsi="Times New Roman" w:cs="Times New Roman"/>
                <w:sz w:val="28"/>
                <w:szCs w:val="28"/>
                <w:lang w:eastAsia="uk-UA"/>
              </w:rPr>
              <w:t>)</w:t>
            </w:r>
          </w:p>
        </w:tc>
      </w:tr>
      <w:tr w:rsidR="00C73C10" w:rsidRPr="00C73C10" w:rsidTr="00C73C10">
        <w:tc>
          <w:tcPr>
            <w:tcW w:w="0" w:type="auto"/>
            <w:vMerge/>
            <w:tcBorders>
              <w:top w:val="single" w:sz="4" w:space="0" w:color="auto"/>
              <w:left w:val="single" w:sz="4" w:space="0" w:color="auto"/>
              <w:bottom w:val="single" w:sz="4" w:space="0" w:color="auto"/>
              <w:right w:val="single" w:sz="4" w:space="0" w:color="auto"/>
            </w:tcBorders>
            <w:vAlign w:val="center"/>
            <w:hideMark/>
          </w:tcPr>
          <w:p w:rsidR="00C73C10" w:rsidRPr="00C73C10" w:rsidRDefault="00C73C10" w:rsidP="00C73C10">
            <w:pPr>
              <w:spacing w:after="0" w:line="240" w:lineRule="auto"/>
              <w:rPr>
                <w:rFonts w:ascii="Calibri" w:eastAsia="Times New Roman" w:hAnsi="Calibri" w:cs="Times New Roman"/>
                <w:lang w:eastAsia="uk-UA"/>
              </w:rPr>
            </w:pPr>
          </w:p>
        </w:tc>
        <w:tc>
          <w:tcPr>
            <w:tcW w:w="1417"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ind w:right="-184"/>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Контроль</w:t>
            </w:r>
          </w:p>
          <w:p w:rsidR="00C73C10" w:rsidRPr="00C73C10" w:rsidRDefault="00C73C10" w:rsidP="00C73C10">
            <w:pPr>
              <w:spacing w:after="0" w:line="240" w:lineRule="auto"/>
              <w:ind w:right="-184"/>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w:t>
            </w:r>
            <w:r w:rsidRPr="00C73C10">
              <w:rPr>
                <w:rFonts w:ascii="Times New Roman" w:eastAsia="Times New Roman" w:hAnsi="Times New Roman" w:cs="Times New Roman"/>
                <w:sz w:val="28"/>
                <w:lang w:eastAsia="uk-UA"/>
              </w:rPr>
              <w:t> </w:t>
            </w:r>
            <w:r w:rsidRPr="00C73C10">
              <w:rPr>
                <w:rFonts w:ascii="Times New Roman" w:eastAsia="Times New Roman" w:hAnsi="Times New Roman" w:cs="Times New Roman"/>
                <w:sz w:val="28"/>
                <w:szCs w:val="28"/>
                <w:lang w:val="en-US" w:eastAsia="uk-UA"/>
              </w:rPr>
              <w:t>n</w:t>
            </w:r>
            <w:r w:rsidRPr="00C73C10">
              <w:rPr>
                <w:rFonts w:ascii="Times New Roman" w:eastAsia="Times New Roman" w:hAnsi="Times New Roman" w:cs="Times New Roman"/>
                <w:sz w:val="28"/>
                <w:szCs w:val="28"/>
                <w:lang w:eastAsia="uk-UA"/>
              </w:rPr>
              <w:t>=10)</w:t>
            </w:r>
          </w:p>
        </w:tc>
        <w:tc>
          <w:tcPr>
            <w:tcW w:w="1560"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1/10</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w:t>
            </w:r>
            <w:r w:rsidRPr="00C73C10">
              <w:rPr>
                <w:rFonts w:ascii="Times New Roman" w:eastAsia="Times New Roman" w:hAnsi="Times New Roman" w:cs="Times New Roman"/>
                <w:sz w:val="28"/>
                <w:szCs w:val="28"/>
                <w:lang w:val="en-US" w:eastAsia="uk-UA"/>
              </w:rPr>
              <w:t>n</w:t>
            </w:r>
            <w:r w:rsidRPr="00C73C10">
              <w:rPr>
                <w:rFonts w:ascii="Times New Roman" w:eastAsia="Times New Roman" w:hAnsi="Times New Roman" w:cs="Times New Roman"/>
                <w:sz w:val="28"/>
                <w:szCs w:val="28"/>
                <w:lang w:eastAsia="uk-UA"/>
              </w:rPr>
              <w:t>=10)</w:t>
            </w:r>
          </w:p>
        </w:tc>
        <w:tc>
          <w:tcPr>
            <w:tcW w:w="1559"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1/100</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w:t>
            </w:r>
            <w:r w:rsidRPr="00C73C10">
              <w:rPr>
                <w:rFonts w:ascii="Times New Roman" w:eastAsia="Times New Roman" w:hAnsi="Times New Roman" w:cs="Times New Roman"/>
                <w:sz w:val="28"/>
                <w:szCs w:val="28"/>
                <w:lang w:val="en-US" w:eastAsia="uk-UA"/>
              </w:rPr>
              <w:t>n</w:t>
            </w:r>
            <w:r w:rsidRPr="00C73C10">
              <w:rPr>
                <w:rFonts w:ascii="Times New Roman" w:eastAsia="Times New Roman" w:hAnsi="Times New Roman" w:cs="Times New Roman"/>
                <w:sz w:val="28"/>
                <w:szCs w:val="28"/>
                <w:lang w:eastAsia="uk-UA"/>
              </w:rPr>
              <w:t>=10)</w:t>
            </w:r>
          </w:p>
        </w:tc>
        <w:tc>
          <w:tcPr>
            <w:tcW w:w="1417"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1/1000</w:t>
            </w:r>
          </w:p>
          <w:p w:rsidR="00C73C10" w:rsidRPr="00C73C10" w:rsidRDefault="00C73C10" w:rsidP="00C73C10">
            <w:pPr>
              <w:spacing w:after="0" w:line="240" w:lineRule="auto"/>
              <w:ind w:right="-108"/>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val="en-US" w:eastAsia="uk-UA"/>
              </w:rPr>
              <w:t>(n</w:t>
            </w:r>
            <w:r w:rsidRPr="00C73C10">
              <w:rPr>
                <w:rFonts w:ascii="Times New Roman" w:eastAsia="Times New Roman" w:hAnsi="Times New Roman" w:cs="Times New Roman"/>
                <w:sz w:val="28"/>
                <w:szCs w:val="28"/>
                <w:lang w:eastAsia="uk-UA"/>
              </w:rPr>
              <w:t>=10)</w:t>
            </w:r>
          </w:p>
        </w:tc>
      </w:tr>
      <w:tr w:rsidR="00C73C10" w:rsidRPr="00C73C10" w:rsidTr="00C73C10">
        <w:tc>
          <w:tcPr>
            <w:tcW w:w="3686" w:type="dxa"/>
            <w:tcBorders>
              <w:top w:val="nil"/>
              <w:left w:val="single" w:sz="4" w:space="0" w:color="auto"/>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Швидкість ендогенного дихання,</w:t>
            </w:r>
          </w:p>
          <w:p w:rsidR="00C73C10" w:rsidRPr="00C73C10" w:rsidRDefault="00C73C10" w:rsidP="00C73C10">
            <w:pPr>
              <w:spacing w:after="0" w:line="240" w:lineRule="auto"/>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нмоль О</w:t>
            </w:r>
            <w:r w:rsidRPr="00C73C10">
              <w:rPr>
                <w:rFonts w:ascii="Times New Roman" w:eastAsia="Times New Roman" w:hAnsi="Times New Roman" w:cs="Times New Roman"/>
                <w:sz w:val="28"/>
                <w:szCs w:val="28"/>
                <w:vertAlign w:val="subscript"/>
                <w:lang w:eastAsia="uk-UA"/>
              </w:rPr>
              <w:t>2</w:t>
            </w:r>
            <w:r w:rsidRPr="00C73C10">
              <w:rPr>
                <w:rFonts w:ascii="Times New Roman" w:eastAsia="Times New Roman" w:hAnsi="Times New Roman" w:cs="Times New Roman"/>
                <w:sz w:val="28"/>
                <w:vertAlign w:val="subscript"/>
                <w:lang w:eastAsia="uk-UA"/>
              </w:rPr>
              <w:t> </w:t>
            </w:r>
            <w:r w:rsidRPr="00C73C10">
              <w:rPr>
                <w:rFonts w:ascii="Times New Roman" w:eastAsia="Times New Roman" w:hAnsi="Times New Roman" w:cs="Times New Roman"/>
                <w:sz w:val="28"/>
                <w:szCs w:val="28"/>
                <w:lang w:eastAsia="uk-UA"/>
              </w:rPr>
              <w:t>/</w:t>
            </w:r>
            <w:r w:rsidRPr="00C73C10">
              <w:rPr>
                <w:rFonts w:ascii="Times New Roman" w:eastAsia="Times New Roman" w:hAnsi="Times New Roman" w:cs="Times New Roman"/>
                <w:sz w:val="28"/>
                <w:lang w:eastAsia="uk-UA"/>
              </w:rPr>
              <w:t> </w:t>
            </w:r>
            <w:r w:rsidRPr="00C73C10">
              <w:rPr>
                <w:rFonts w:ascii="Times New Roman" w:eastAsia="Times New Roman" w:hAnsi="Times New Roman" w:cs="Times New Roman"/>
                <w:sz w:val="28"/>
                <w:szCs w:val="28"/>
                <w:lang w:eastAsia="uk-UA"/>
              </w:rPr>
              <w:t>хв·мг білка</w:t>
            </w:r>
          </w:p>
        </w:tc>
        <w:tc>
          <w:tcPr>
            <w:tcW w:w="1417"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1,32±0,08</w:t>
            </w:r>
          </w:p>
        </w:tc>
        <w:tc>
          <w:tcPr>
            <w:tcW w:w="1560"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4,25±0,38*</w:t>
            </w:r>
          </w:p>
        </w:tc>
        <w:tc>
          <w:tcPr>
            <w:tcW w:w="1559"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3,10±0,24*</w:t>
            </w:r>
          </w:p>
        </w:tc>
        <w:tc>
          <w:tcPr>
            <w:tcW w:w="1417"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1,40±0,12</w:t>
            </w:r>
          </w:p>
        </w:tc>
      </w:tr>
      <w:tr w:rsidR="00C73C10" w:rsidRPr="00C73C10" w:rsidTr="00C73C10">
        <w:tc>
          <w:tcPr>
            <w:tcW w:w="3686" w:type="dxa"/>
            <w:tcBorders>
              <w:top w:val="nil"/>
              <w:left w:val="single" w:sz="4" w:space="0" w:color="auto"/>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Швидкість окислення НАДФ·Н,</w:t>
            </w:r>
          </w:p>
          <w:p w:rsidR="00C73C10" w:rsidRPr="00C73C10" w:rsidRDefault="00C73C10" w:rsidP="00C73C10">
            <w:pPr>
              <w:spacing w:after="0" w:line="240" w:lineRule="auto"/>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нмоль О</w:t>
            </w:r>
            <w:r w:rsidRPr="00C73C10">
              <w:rPr>
                <w:rFonts w:ascii="Times New Roman" w:eastAsia="Times New Roman" w:hAnsi="Times New Roman" w:cs="Times New Roman"/>
                <w:sz w:val="28"/>
                <w:szCs w:val="28"/>
                <w:vertAlign w:val="subscript"/>
                <w:lang w:eastAsia="uk-UA"/>
              </w:rPr>
              <w:t>2</w:t>
            </w:r>
            <w:r w:rsidRPr="00C73C10">
              <w:rPr>
                <w:rFonts w:ascii="Times New Roman" w:eastAsia="Times New Roman" w:hAnsi="Times New Roman" w:cs="Times New Roman"/>
                <w:sz w:val="28"/>
                <w:vertAlign w:val="subscript"/>
                <w:lang w:eastAsia="uk-UA"/>
              </w:rPr>
              <w:t> </w:t>
            </w:r>
            <w:r w:rsidRPr="00C73C10">
              <w:rPr>
                <w:rFonts w:ascii="Times New Roman" w:eastAsia="Times New Roman" w:hAnsi="Times New Roman" w:cs="Times New Roman"/>
                <w:sz w:val="28"/>
                <w:szCs w:val="28"/>
                <w:lang w:eastAsia="uk-UA"/>
              </w:rPr>
              <w:t>/</w:t>
            </w:r>
            <w:r w:rsidRPr="00C73C10">
              <w:rPr>
                <w:rFonts w:ascii="Times New Roman" w:eastAsia="Times New Roman" w:hAnsi="Times New Roman" w:cs="Times New Roman"/>
                <w:sz w:val="28"/>
                <w:lang w:eastAsia="uk-UA"/>
              </w:rPr>
              <w:t> </w:t>
            </w:r>
            <w:r w:rsidRPr="00C73C10">
              <w:rPr>
                <w:rFonts w:ascii="Times New Roman" w:eastAsia="Times New Roman" w:hAnsi="Times New Roman" w:cs="Times New Roman"/>
                <w:sz w:val="28"/>
                <w:szCs w:val="28"/>
                <w:lang w:eastAsia="uk-UA"/>
              </w:rPr>
              <w:t>хв·мг білка</w:t>
            </w:r>
          </w:p>
        </w:tc>
        <w:tc>
          <w:tcPr>
            <w:tcW w:w="1417"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3,20±0,27</w:t>
            </w:r>
          </w:p>
        </w:tc>
        <w:tc>
          <w:tcPr>
            <w:tcW w:w="1560"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9,74±0,83*</w:t>
            </w:r>
          </w:p>
        </w:tc>
        <w:tc>
          <w:tcPr>
            <w:tcW w:w="1559"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8,22±0,75*</w:t>
            </w:r>
          </w:p>
        </w:tc>
        <w:tc>
          <w:tcPr>
            <w:tcW w:w="1417"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3,38±0,26</w:t>
            </w:r>
          </w:p>
        </w:tc>
      </w:tr>
      <w:tr w:rsidR="00C73C10" w:rsidRPr="00C73C10" w:rsidTr="00C73C10">
        <w:tc>
          <w:tcPr>
            <w:tcW w:w="3686" w:type="dxa"/>
            <w:tcBorders>
              <w:top w:val="nil"/>
              <w:left w:val="single" w:sz="4" w:space="0" w:color="auto"/>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Швидкість окислення НАДФ·Н у присутності ЕДТА, нмоль О</w:t>
            </w:r>
            <w:r w:rsidRPr="00C73C10">
              <w:rPr>
                <w:rFonts w:ascii="Times New Roman" w:eastAsia="Times New Roman" w:hAnsi="Times New Roman" w:cs="Times New Roman"/>
                <w:sz w:val="28"/>
                <w:szCs w:val="28"/>
                <w:vertAlign w:val="subscript"/>
                <w:lang w:eastAsia="uk-UA"/>
              </w:rPr>
              <w:t>2</w:t>
            </w:r>
            <w:r w:rsidRPr="00C73C10">
              <w:rPr>
                <w:rFonts w:ascii="Times New Roman" w:eastAsia="Times New Roman" w:hAnsi="Times New Roman" w:cs="Times New Roman"/>
                <w:sz w:val="28"/>
                <w:szCs w:val="28"/>
                <w:lang w:eastAsia="uk-UA"/>
              </w:rPr>
              <w:t>/</w:t>
            </w:r>
            <w:r w:rsidRPr="00C73C10">
              <w:rPr>
                <w:rFonts w:ascii="Times New Roman" w:eastAsia="Times New Roman" w:hAnsi="Times New Roman" w:cs="Times New Roman"/>
                <w:sz w:val="28"/>
                <w:lang w:eastAsia="uk-UA"/>
              </w:rPr>
              <w:t> </w:t>
            </w:r>
            <w:r w:rsidRPr="00C73C10">
              <w:rPr>
                <w:rFonts w:ascii="Times New Roman" w:eastAsia="Times New Roman" w:hAnsi="Times New Roman" w:cs="Times New Roman"/>
                <w:sz w:val="28"/>
                <w:szCs w:val="28"/>
                <w:lang w:eastAsia="uk-UA"/>
              </w:rPr>
              <w:t>хв·мг білка</w:t>
            </w:r>
          </w:p>
        </w:tc>
        <w:tc>
          <w:tcPr>
            <w:tcW w:w="1417"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2,75±0,31</w:t>
            </w:r>
          </w:p>
        </w:tc>
        <w:tc>
          <w:tcPr>
            <w:tcW w:w="1560"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7,16±0,65*</w:t>
            </w:r>
          </w:p>
        </w:tc>
        <w:tc>
          <w:tcPr>
            <w:tcW w:w="1559"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3,46±0,37*</w:t>
            </w:r>
          </w:p>
        </w:tc>
        <w:tc>
          <w:tcPr>
            <w:tcW w:w="1417"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2,84±0,29</w:t>
            </w:r>
          </w:p>
        </w:tc>
      </w:tr>
      <w:tr w:rsidR="00C73C10" w:rsidRPr="00C73C10" w:rsidTr="00C73C10">
        <w:tc>
          <w:tcPr>
            <w:tcW w:w="3686" w:type="dxa"/>
            <w:tcBorders>
              <w:top w:val="nil"/>
              <w:left w:val="single" w:sz="4" w:space="0" w:color="auto"/>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Швидкість ПОЛ,</w:t>
            </w:r>
          </w:p>
          <w:p w:rsidR="00C73C10" w:rsidRPr="00C73C10" w:rsidRDefault="00C73C10" w:rsidP="00C73C10">
            <w:pPr>
              <w:spacing w:after="0" w:line="240" w:lineRule="auto"/>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нмоль О</w:t>
            </w:r>
            <w:r w:rsidRPr="00C73C10">
              <w:rPr>
                <w:rFonts w:ascii="Times New Roman" w:eastAsia="Times New Roman" w:hAnsi="Times New Roman" w:cs="Times New Roman"/>
                <w:sz w:val="28"/>
                <w:szCs w:val="28"/>
                <w:vertAlign w:val="subscript"/>
                <w:lang w:eastAsia="uk-UA"/>
              </w:rPr>
              <w:t>2</w:t>
            </w:r>
            <w:r w:rsidRPr="00C73C10">
              <w:rPr>
                <w:rFonts w:ascii="Times New Roman" w:eastAsia="Times New Roman" w:hAnsi="Times New Roman" w:cs="Times New Roman"/>
                <w:sz w:val="28"/>
                <w:vertAlign w:val="subscript"/>
                <w:lang w:eastAsia="uk-UA"/>
              </w:rPr>
              <w:t> </w:t>
            </w:r>
            <w:r w:rsidRPr="00C73C10">
              <w:rPr>
                <w:rFonts w:ascii="Times New Roman" w:eastAsia="Times New Roman" w:hAnsi="Times New Roman" w:cs="Times New Roman"/>
                <w:sz w:val="28"/>
                <w:szCs w:val="28"/>
                <w:lang w:eastAsia="uk-UA"/>
              </w:rPr>
              <w:t>/</w:t>
            </w:r>
            <w:r w:rsidRPr="00C73C10">
              <w:rPr>
                <w:rFonts w:ascii="Times New Roman" w:eastAsia="Times New Roman" w:hAnsi="Times New Roman" w:cs="Times New Roman"/>
                <w:sz w:val="28"/>
                <w:lang w:eastAsia="uk-UA"/>
              </w:rPr>
              <w:t> </w:t>
            </w:r>
            <w:r w:rsidRPr="00C73C10">
              <w:rPr>
                <w:rFonts w:ascii="Times New Roman" w:eastAsia="Times New Roman" w:hAnsi="Times New Roman" w:cs="Times New Roman"/>
                <w:sz w:val="28"/>
                <w:szCs w:val="28"/>
                <w:lang w:eastAsia="uk-UA"/>
              </w:rPr>
              <w:t>хв·мг білка</w:t>
            </w:r>
          </w:p>
        </w:tc>
        <w:tc>
          <w:tcPr>
            <w:tcW w:w="1417"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0,46±0,09</w:t>
            </w:r>
          </w:p>
        </w:tc>
        <w:tc>
          <w:tcPr>
            <w:tcW w:w="1560"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3,78±0,35*</w:t>
            </w:r>
          </w:p>
        </w:tc>
        <w:tc>
          <w:tcPr>
            <w:tcW w:w="1559"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2,38±0,24*</w:t>
            </w:r>
          </w:p>
        </w:tc>
        <w:tc>
          <w:tcPr>
            <w:tcW w:w="1417" w:type="dxa"/>
            <w:tcBorders>
              <w:top w:val="nil"/>
              <w:left w:val="nil"/>
              <w:bottom w:val="single" w:sz="4" w:space="0" w:color="auto"/>
              <w:right w:val="single" w:sz="4" w:space="0" w:color="auto"/>
            </w:tcBorders>
            <w:tcMar>
              <w:top w:w="0" w:type="dxa"/>
              <w:left w:w="108" w:type="dxa"/>
              <w:bottom w:w="0" w:type="dxa"/>
              <w:right w:w="108" w:type="dxa"/>
            </w:tcMar>
            <w:hideMark/>
          </w:tcPr>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 </w:t>
            </w:r>
          </w:p>
          <w:p w:rsidR="00C73C10" w:rsidRPr="00C73C10" w:rsidRDefault="00C73C10" w:rsidP="00C73C10">
            <w:pPr>
              <w:spacing w:after="0" w:line="240" w:lineRule="auto"/>
              <w:jc w:val="center"/>
              <w:rPr>
                <w:rFonts w:ascii="Calibri" w:eastAsia="Times New Roman" w:hAnsi="Calibri" w:cs="Times New Roman"/>
                <w:lang w:eastAsia="uk-UA"/>
              </w:rPr>
            </w:pPr>
            <w:r w:rsidRPr="00C73C10">
              <w:rPr>
                <w:rFonts w:ascii="Times New Roman" w:eastAsia="Times New Roman" w:hAnsi="Times New Roman" w:cs="Times New Roman"/>
                <w:sz w:val="28"/>
                <w:szCs w:val="28"/>
                <w:lang w:eastAsia="uk-UA"/>
              </w:rPr>
              <w:t>0,53±0,08</w:t>
            </w:r>
          </w:p>
        </w:tc>
      </w:tr>
    </w:tbl>
    <w:p w:rsidR="00C73C10" w:rsidRPr="00C73C10" w:rsidRDefault="00C73C10" w:rsidP="00C73C10">
      <w:pPr>
        <w:spacing w:after="0" w:line="240" w:lineRule="auto"/>
        <w:jc w:val="both"/>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4"/>
          <w:szCs w:val="24"/>
          <w:lang w:eastAsia="uk-UA"/>
        </w:rPr>
        <w:t>Примітка: * – різниця вірогідна </w:t>
      </w:r>
      <w:r w:rsidRPr="00C73C10">
        <w:rPr>
          <w:rFonts w:ascii="Times New Roman" w:eastAsia="Times New Roman" w:hAnsi="Times New Roman" w:cs="Times New Roman"/>
          <w:color w:val="000000"/>
          <w:sz w:val="24"/>
          <w:szCs w:val="24"/>
          <w:lang w:val="en-US" w:eastAsia="uk-UA"/>
        </w:rPr>
        <w:t>p</w:t>
      </w:r>
      <w:r w:rsidRPr="00C73C10">
        <w:rPr>
          <w:rFonts w:ascii="Times New Roman" w:eastAsia="Times New Roman" w:hAnsi="Times New Roman" w:cs="Times New Roman"/>
          <w:color w:val="000000"/>
          <w:sz w:val="24"/>
          <w:szCs w:val="24"/>
          <w:lang w:eastAsia="uk-UA"/>
        </w:rPr>
        <w:t>&lt;0,05</w:t>
      </w:r>
    </w:p>
    <w:p w:rsidR="00C73C10" w:rsidRPr="00C73C10" w:rsidRDefault="00C73C10" w:rsidP="00C73C10">
      <w:pPr>
        <w:spacing w:after="0" w:line="220" w:lineRule="atLeast"/>
        <w:ind w:firstLine="709"/>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8"/>
          <w:szCs w:val="28"/>
          <w:lang w:eastAsia="uk-UA"/>
        </w:rPr>
        <w:lastRenderedPageBreak/>
        <w:t> </w:t>
      </w:r>
    </w:p>
    <w:p w:rsidR="00C73C10" w:rsidRPr="00C73C10" w:rsidRDefault="00C73C10" w:rsidP="00C73C10">
      <w:pPr>
        <w:spacing w:after="0" w:line="220" w:lineRule="atLeast"/>
        <w:ind w:firstLine="709"/>
        <w:jc w:val="both"/>
        <w:rPr>
          <w:rFonts w:ascii="Calibri" w:eastAsia="Times New Roman" w:hAnsi="Calibri" w:cs="Times New Roman"/>
          <w:color w:val="000000"/>
          <w:lang w:eastAsia="uk-UA"/>
        </w:rPr>
      </w:pPr>
      <w:r w:rsidRPr="00C73C10">
        <w:rPr>
          <w:rFonts w:ascii="Times New Roman" w:eastAsia="Times New Roman" w:hAnsi="Times New Roman" w:cs="Times New Roman"/>
          <w:b/>
          <w:bCs/>
          <w:color w:val="000000"/>
          <w:sz w:val="28"/>
          <w:szCs w:val="28"/>
          <w:lang w:eastAsia="uk-UA"/>
        </w:rPr>
        <w:t>Висновки</w:t>
      </w:r>
    </w:p>
    <w:p w:rsidR="00C73C10" w:rsidRPr="00C73C10" w:rsidRDefault="00C73C10" w:rsidP="00C73C10">
      <w:pPr>
        <w:spacing w:after="0" w:line="220" w:lineRule="atLeast"/>
        <w:ind w:firstLine="709"/>
        <w:jc w:val="both"/>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8"/>
          <w:szCs w:val="28"/>
          <w:lang w:eastAsia="uk-UA"/>
        </w:rPr>
        <w:t>Таким чином, результат дослідження детоксикаційної функції печінки при тривалій дії субтоксичних доз Л-502-2-10 свідчать, що ксенобіотик в 1/10 й 1/100 ДЛ</w:t>
      </w:r>
      <w:r w:rsidRPr="00C73C10">
        <w:rPr>
          <w:rFonts w:ascii="Times New Roman" w:eastAsia="Times New Roman" w:hAnsi="Times New Roman" w:cs="Times New Roman"/>
          <w:color w:val="000000"/>
          <w:sz w:val="28"/>
          <w:szCs w:val="28"/>
          <w:vertAlign w:val="subscript"/>
          <w:lang w:eastAsia="uk-UA"/>
        </w:rPr>
        <w:t>50</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суттєво підвищує активність о-деметилази, НАДФ·Н-цитохром с-редуктази, НАФ·Н-цитохром с-редуктази, а також вміст цитохромів Р</w:t>
      </w:r>
      <w:r w:rsidRPr="00C73C10">
        <w:rPr>
          <w:rFonts w:ascii="Times New Roman" w:eastAsia="Times New Roman" w:hAnsi="Times New Roman" w:cs="Times New Roman"/>
          <w:color w:val="000000"/>
          <w:sz w:val="28"/>
          <w:szCs w:val="28"/>
          <w:vertAlign w:val="subscript"/>
          <w:lang w:eastAsia="uk-UA"/>
        </w:rPr>
        <w:t>450</w:t>
      </w:r>
      <w:r w:rsidRPr="00C73C10">
        <w:rPr>
          <w:rFonts w:ascii="Times New Roman" w:eastAsia="Times New Roman" w:hAnsi="Times New Roman" w:cs="Times New Roman"/>
          <w:color w:val="000000"/>
          <w:sz w:val="28"/>
          <w:vertAlign w:val="subscript"/>
          <w:lang w:eastAsia="uk-UA"/>
        </w:rPr>
        <w:t> </w:t>
      </w:r>
      <w:r w:rsidRPr="00C73C10">
        <w:rPr>
          <w:rFonts w:ascii="Times New Roman" w:eastAsia="Times New Roman" w:hAnsi="Times New Roman" w:cs="Times New Roman"/>
          <w:color w:val="000000"/>
          <w:sz w:val="28"/>
          <w:szCs w:val="28"/>
          <w:lang w:eastAsia="uk-UA"/>
        </w:rPr>
        <w:t>і в</w:t>
      </w:r>
      <w:r w:rsidRPr="00C73C10">
        <w:rPr>
          <w:rFonts w:ascii="Times New Roman" w:eastAsia="Times New Roman" w:hAnsi="Times New Roman" w:cs="Times New Roman"/>
          <w:color w:val="000000"/>
          <w:sz w:val="28"/>
          <w:szCs w:val="28"/>
          <w:vertAlign w:val="subscript"/>
          <w:lang w:eastAsia="uk-UA"/>
        </w:rPr>
        <w:t>5</w:t>
      </w:r>
      <w:r w:rsidRPr="00C73C10">
        <w:rPr>
          <w:rFonts w:ascii="Times New Roman" w:eastAsia="Times New Roman" w:hAnsi="Times New Roman" w:cs="Times New Roman"/>
          <w:color w:val="000000"/>
          <w:sz w:val="28"/>
          <w:vertAlign w:val="subscript"/>
          <w:lang w:eastAsia="uk-UA"/>
        </w:rPr>
        <w:t> </w:t>
      </w:r>
      <w:r w:rsidRPr="00C73C10">
        <w:rPr>
          <w:rFonts w:ascii="Times New Roman" w:eastAsia="Times New Roman" w:hAnsi="Times New Roman" w:cs="Times New Roman"/>
          <w:color w:val="000000"/>
          <w:sz w:val="28"/>
          <w:szCs w:val="28"/>
          <w:lang w:eastAsia="uk-UA"/>
        </w:rPr>
        <w:t>на тлі зростання ПОЛ, швидкості ендогенного дихання, окислення НАДФ·Н та окислення НАДФ·Н у присутності ЕДТА. ˮЛапролˮ Л-502-2-10 в 1/10 та 1/100 ДЛ</w:t>
      </w:r>
      <w:r w:rsidRPr="00C73C10">
        <w:rPr>
          <w:rFonts w:ascii="Times New Roman" w:eastAsia="Times New Roman" w:hAnsi="Times New Roman" w:cs="Times New Roman"/>
          <w:color w:val="000000"/>
          <w:sz w:val="28"/>
          <w:szCs w:val="28"/>
          <w:vertAlign w:val="subscript"/>
          <w:lang w:eastAsia="uk-UA"/>
        </w:rPr>
        <w:t>50</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активує мікросомальну монооксигеназну</w:t>
      </w:r>
      <w:r w:rsidRPr="00C73C10">
        <w:rPr>
          <w:rFonts w:ascii="Times New Roman" w:eastAsia="Times New Roman" w:hAnsi="Times New Roman" w:cs="Times New Roman"/>
          <w:color w:val="00B050"/>
          <w:sz w:val="28"/>
          <w:lang w:eastAsia="uk-UA"/>
        </w:rPr>
        <w:t> </w:t>
      </w:r>
      <w:r w:rsidRPr="00C73C10">
        <w:rPr>
          <w:rFonts w:ascii="Times New Roman" w:eastAsia="Times New Roman" w:hAnsi="Times New Roman" w:cs="Times New Roman"/>
          <w:color w:val="000000"/>
          <w:sz w:val="28"/>
          <w:szCs w:val="28"/>
          <w:lang w:eastAsia="uk-UA"/>
        </w:rPr>
        <w:t>детоксикаційну систему, яка поєднана з накопиченням реактивних метаболітів біотрансформації – вільних радикалів, гідроперекисів, перекисів та активних форм кисню, що є потенційно небезпечним для формування можливих віддалених наслідків. В</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1/1000</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ДЛ</w:t>
      </w:r>
      <w:r w:rsidRPr="00C73C10">
        <w:rPr>
          <w:rFonts w:ascii="Times New Roman" w:eastAsia="Times New Roman" w:hAnsi="Times New Roman" w:cs="Times New Roman"/>
          <w:color w:val="000000"/>
          <w:sz w:val="28"/>
          <w:szCs w:val="28"/>
          <w:vertAlign w:val="subscript"/>
          <w:lang w:eastAsia="uk-UA"/>
        </w:rPr>
        <w:t>50</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ксенобіотик не впливає на детоксикаційну функцію печінки і є недіючою дозою при тривалій субтоксиній дії в умовах підгострого експерименту.</w:t>
      </w:r>
    </w:p>
    <w:p w:rsidR="00C73C10" w:rsidRPr="00C73C10" w:rsidRDefault="00C73C10" w:rsidP="00C73C10">
      <w:pPr>
        <w:spacing w:after="0" w:line="220" w:lineRule="atLeast"/>
        <w:ind w:firstLine="709"/>
        <w:jc w:val="both"/>
        <w:rPr>
          <w:rFonts w:ascii="Calibri" w:eastAsia="Times New Roman" w:hAnsi="Calibri" w:cs="Times New Roman"/>
          <w:color w:val="000000"/>
          <w:lang w:eastAsia="uk-UA"/>
        </w:rPr>
      </w:pPr>
      <w:r w:rsidRPr="00C73C10">
        <w:rPr>
          <w:rFonts w:ascii="Times New Roman" w:eastAsia="Times New Roman" w:hAnsi="Times New Roman" w:cs="Times New Roman"/>
          <w:b/>
          <w:bCs/>
          <w:color w:val="000000"/>
          <w:sz w:val="28"/>
          <w:szCs w:val="28"/>
          <w:lang w:eastAsia="uk-UA"/>
        </w:rPr>
        <w:t>Література:</w:t>
      </w:r>
    </w:p>
    <w:p w:rsidR="00C73C10" w:rsidRPr="00C73C10" w:rsidRDefault="00C73C10" w:rsidP="00C73C10">
      <w:pPr>
        <w:spacing w:after="0" w:line="220" w:lineRule="atLeast"/>
        <w:jc w:val="both"/>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8"/>
          <w:szCs w:val="28"/>
          <w:lang w:eastAsia="uk-UA"/>
        </w:rPr>
        <w:t>1. Щербань Н.Г. Оценка рисков здоровья населения от опасных отходов (Биохимические аспекты) /</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Щербань Н.Г., Жуков В.И., Мясоедов В.В.</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 Харьков: «Апостроф», 2010. – 156 с.</w:t>
      </w:r>
    </w:p>
    <w:p w:rsidR="00C73C10" w:rsidRPr="00C73C10" w:rsidRDefault="00C73C10" w:rsidP="00C73C10">
      <w:pPr>
        <w:spacing w:after="0" w:line="220" w:lineRule="atLeast"/>
        <w:jc w:val="both"/>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8"/>
          <w:szCs w:val="28"/>
          <w:lang w:eastAsia="uk-UA"/>
        </w:rPr>
        <w:t>2. Детергенты – модуляторы эффектов / [В.И. Жуков, В.В. Мясоедов, Ю.И. Козин и др.]</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 – Белгород: «Белвитамины», 2000. – 374 с.</w:t>
      </w:r>
    </w:p>
    <w:p w:rsidR="00C73C10" w:rsidRPr="00C73C10" w:rsidRDefault="00C73C10" w:rsidP="00C73C10">
      <w:pPr>
        <w:spacing w:after="0" w:line="220" w:lineRule="atLeast"/>
        <w:jc w:val="both"/>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8"/>
          <w:szCs w:val="28"/>
          <w:lang w:eastAsia="uk-UA"/>
        </w:rPr>
        <w:t>3. Щербань Н.Г. Биохимические аспекты экологической патологии, связанной с химическим загрязнением поверхностных источников водоснабжения / [Щербань Н.Г., Жуков В.И., Мясоедов В.В., Резуненко Ю.К. ]. – Харьков: «Раритеты Украины», 2011. – 176 с.</w:t>
      </w:r>
    </w:p>
    <w:p w:rsidR="00C73C10" w:rsidRPr="00C73C10" w:rsidRDefault="00C73C10" w:rsidP="00C73C10">
      <w:pPr>
        <w:spacing w:after="0" w:line="220" w:lineRule="atLeast"/>
        <w:jc w:val="both"/>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8"/>
          <w:szCs w:val="28"/>
          <w:lang w:eastAsia="uk-UA"/>
        </w:rPr>
        <w:t>4. Цыганенко А.Я. Структурно- метаболические механизмы формирования нарушений клеточного и гуморального иммунитета под воздействием детергентов в связи с проблемой охраны водных экосистем / [А.Я. Цыганенко, В.И. Жуков, Н.Г. Щербань и др. ]. – Харьков.: 2001. </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eastAsia="uk-UA"/>
        </w:rPr>
        <w:t>– 413 с.</w:t>
      </w:r>
    </w:p>
    <w:p w:rsidR="00C73C10" w:rsidRPr="00C73C10" w:rsidRDefault="00C73C10" w:rsidP="00C73C10">
      <w:pPr>
        <w:spacing w:after="0" w:line="220" w:lineRule="atLeast"/>
        <w:jc w:val="both"/>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8"/>
          <w:szCs w:val="28"/>
          <w:lang w:val="en-US" w:eastAsia="uk-UA"/>
        </w:rPr>
        <w:t>5. Komoth S.A., Narayan K.A. Interactio of C</w:t>
      </w:r>
      <w:r w:rsidRPr="00C73C10">
        <w:rPr>
          <w:rFonts w:ascii="Times New Roman" w:eastAsia="Times New Roman" w:hAnsi="Times New Roman" w:cs="Times New Roman"/>
          <w:color w:val="000000"/>
          <w:sz w:val="28"/>
          <w:szCs w:val="28"/>
          <w:lang w:eastAsia="uk-UA"/>
        </w:rPr>
        <w:t>а</w:t>
      </w:r>
      <w:r w:rsidRPr="00C73C10">
        <w:rPr>
          <w:rFonts w:ascii="Times New Roman" w:eastAsia="Times New Roman" w:hAnsi="Times New Roman" w:cs="Times New Roman"/>
          <w:color w:val="000000"/>
          <w:sz w:val="28"/>
          <w:szCs w:val="28"/>
          <w:vertAlign w:val="superscript"/>
          <w:lang w:val="en-US" w:eastAsia="uk-UA"/>
        </w:rPr>
        <w:t>2+</w:t>
      </w:r>
      <w:r w:rsidRPr="00C73C10">
        <w:rPr>
          <w:rFonts w:ascii="Times New Roman" w:eastAsia="Times New Roman" w:hAnsi="Times New Roman" w:cs="Times New Roman"/>
          <w:color w:val="000000"/>
          <w:sz w:val="28"/>
          <w:vertAlign w:val="superscript"/>
          <w:lang w:val="en-US" w:eastAsia="uk-UA"/>
        </w:rPr>
        <w:t> </w:t>
      </w:r>
      <w:r w:rsidRPr="00C73C10">
        <w:rPr>
          <w:rFonts w:ascii="Times New Roman" w:eastAsia="Times New Roman" w:hAnsi="Times New Roman" w:cs="Times New Roman"/>
          <w:color w:val="000000"/>
          <w:sz w:val="28"/>
          <w:szCs w:val="28"/>
          <w:lang w:val="en-US" w:eastAsia="uk-UA"/>
        </w:rPr>
        <w:t>with endoplasmatic reticulum of rat liveri a standardized procedure for the isolation of rat liver microsomass</w:t>
      </w:r>
      <w:r w:rsidRPr="00C73C10">
        <w:rPr>
          <w:rFonts w:ascii="Times New Roman" w:eastAsia="Times New Roman" w:hAnsi="Times New Roman" w:cs="Times New Roman"/>
          <w:color w:val="000000"/>
          <w:sz w:val="28"/>
          <w:lang w:val="en-US" w:eastAsia="uk-UA"/>
        </w:rPr>
        <w:t> </w:t>
      </w:r>
      <w:r w:rsidRPr="00C73C10">
        <w:rPr>
          <w:rFonts w:ascii="Times New Roman" w:eastAsia="Times New Roman" w:hAnsi="Times New Roman" w:cs="Times New Roman"/>
          <w:color w:val="000000"/>
          <w:sz w:val="28"/>
          <w:szCs w:val="28"/>
          <w:lang w:eastAsia="uk-UA"/>
        </w:rPr>
        <w:t>/</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val="en-US" w:eastAsia="uk-UA"/>
        </w:rPr>
        <w:t xml:space="preserve">S.A. Komoth, K.A. Narayan // Analyt. </w:t>
      </w:r>
      <w:proofErr w:type="gramStart"/>
      <w:r w:rsidRPr="00C73C10">
        <w:rPr>
          <w:rFonts w:ascii="Times New Roman" w:eastAsia="Times New Roman" w:hAnsi="Times New Roman" w:cs="Times New Roman"/>
          <w:color w:val="000000"/>
          <w:sz w:val="28"/>
          <w:szCs w:val="28"/>
          <w:lang w:val="en-US" w:eastAsia="uk-UA"/>
        </w:rPr>
        <w:t>Biochem.</w:t>
      </w:r>
      <w:proofErr w:type="gramEnd"/>
      <w:r w:rsidRPr="00C73C10">
        <w:rPr>
          <w:rFonts w:ascii="Times New Roman" w:eastAsia="Times New Roman" w:hAnsi="Times New Roman" w:cs="Times New Roman"/>
          <w:color w:val="000000"/>
          <w:sz w:val="28"/>
          <w:szCs w:val="28"/>
          <w:lang w:val="en-US" w:eastAsia="uk-UA"/>
        </w:rPr>
        <w:t xml:space="preserve"> – 1972 – Vol. 48, № 1. –</w:t>
      </w:r>
      <w:r w:rsidRPr="00C73C10">
        <w:rPr>
          <w:rFonts w:ascii="Times New Roman" w:eastAsia="Times New Roman" w:hAnsi="Times New Roman" w:cs="Times New Roman"/>
          <w:color w:val="000000"/>
          <w:sz w:val="28"/>
          <w:lang w:val="en-US" w:eastAsia="uk-UA"/>
        </w:rPr>
        <w:t> </w:t>
      </w:r>
      <w:proofErr w:type="gramStart"/>
      <w:r w:rsidRPr="00C73C10">
        <w:rPr>
          <w:rFonts w:ascii="Times New Roman" w:eastAsia="Times New Roman" w:hAnsi="Times New Roman" w:cs="Times New Roman"/>
          <w:color w:val="000000"/>
          <w:sz w:val="28"/>
          <w:szCs w:val="28"/>
          <w:lang w:eastAsia="uk-UA"/>
        </w:rPr>
        <w:t>Р</w:t>
      </w:r>
      <w:r w:rsidRPr="00C73C10">
        <w:rPr>
          <w:rFonts w:ascii="Times New Roman" w:eastAsia="Times New Roman" w:hAnsi="Times New Roman" w:cs="Times New Roman"/>
          <w:color w:val="000000"/>
          <w:sz w:val="28"/>
          <w:szCs w:val="28"/>
          <w:lang w:val="en-US" w:eastAsia="uk-UA"/>
        </w:rPr>
        <w:t>. 53</w:t>
      </w:r>
      <w:proofErr w:type="gramEnd"/>
      <w:r w:rsidRPr="00C73C10">
        <w:rPr>
          <w:rFonts w:ascii="Times New Roman" w:eastAsia="Times New Roman" w:hAnsi="Times New Roman" w:cs="Times New Roman"/>
          <w:color w:val="000000"/>
          <w:sz w:val="28"/>
          <w:szCs w:val="28"/>
          <w:lang w:val="en-US" w:eastAsia="uk-UA"/>
        </w:rPr>
        <w:t>–61.</w:t>
      </w:r>
    </w:p>
    <w:p w:rsidR="00C73C10" w:rsidRPr="00C73C10" w:rsidRDefault="00C73C10" w:rsidP="00C73C10">
      <w:pPr>
        <w:spacing w:after="0" w:line="220" w:lineRule="atLeast"/>
        <w:jc w:val="both"/>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8"/>
          <w:szCs w:val="28"/>
          <w:lang w:val="en-US" w:eastAsia="uk-UA"/>
        </w:rPr>
        <w:t>6. Ernster L.</w:t>
      </w:r>
      <w:r w:rsidRPr="00C73C10">
        <w:rPr>
          <w:rFonts w:ascii="Times New Roman" w:eastAsia="Times New Roman" w:hAnsi="Times New Roman" w:cs="Times New Roman"/>
          <w:color w:val="000000"/>
          <w:sz w:val="28"/>
          <w:lang w:val="en-US" w:eastAsia="uk-UA"/>
        </w:rPr>
        <w:t> </w:t>
      </w:r>
      <w:r w:rsidRPr="00C73C10">
        <w:rPr>
          <w:rFonts w:ascii="Times New Roman" w:eastAsia="Times New Roman" w:hAnsi="Times New Roman" w:cs="Times New Roman"/>
          <w:color w:val="000000"/>
          <w:sz w:val="28"/>
          <w:szCs w:val="28"/>
          <w:lang w:val="en-US" w:eastAsia="uk-UA"/>
        </w:rPr>
        <w:t xml:space="preserve">Enzymo-structure relation – shipe in endoplasmatic reticbm of rat liver. </w:t>
      </w:r>
      <w:proofErr w:type="gramStart"/>
      <w:r w:rsidRPr="00C73C10">
        <w:rPr>
          <w:rFonts w:ascii="Times New Roman" w:eastAsia="Times New Roman" w:hAnsi="Times New Roman" w:cs="Times New Roman"/>
          <w:color w:val="000000"/>
          <w:sz w:val="28"/>
          <w:szCs w:val="28"/>
          <w:lang w:val="en-US" w:eastAsia="uk-UA"/>
        </w:rPr>
        <w:t>A morphological.</w:t>
      </w:r>
      <w:proofErr w:type="gramEnd"/>
      <w:r w:rsidRPr="00C73C10">
        <w:rPr>
          <w:rFonts w:ascii="Times New Roman" w:eastAsia="Times New Roman" w:hAnsi="Times New Roman" w:cs="Times New Roman"/>
          <w:color w:val="000000"/>
          <w:sz w:val="28"/>
          <w:szCs w:val="28"/>
          <w:lang w:val="en-US" w:eastAsia="uk-UA"/>
        </w:rPr>
        <w:t xml:space="preserve"> </w:t>
      </w:r>
      <w:proofErr w:type="gramStart"/>
      <w:r w:rsidRPr="00C73C10">
        <w:rPr>
          <w:rFonts w:ascii="Times New Roman" w:eastAsia="Times New Roman" w:hAnsi="Times New Roman" w:cs="Times New Roman"/>
          <w:color w:val="000000"/>
          <w:sz w:val="28"/>
          <w:szCs w:val="28"/>
          <w:lang w:val="en-US" w:eastAsia="uk-UA"/>
        </w:rPr>
        <w:t>And biochemical study</w:t>
      </w:r>
      <w:r w:rsidRPr="00C73C10">
        <w:rPr>
          <w:rFonts w:ascii="Times New Roman" w:eastAsia="Times New Roman" w:hAnsi="Times New Roman" w:cs="Times New Roman"/>
          <w:color w:val="000000"/>
          <w:sz w:val="28"/>
          <w:lang w:val="en-US" w:eastAsia="uk-UA"/>
        </w:rPr>
        <w:t> </w:t>
      </w:r>
      <w:r w:rsidRPr="00C73C10">
        <w:rPr>
          <w:rFonts w:ascii="Times New Roman" w:eastAsia="Times New Roman" w:hAnsi="Times New Roman" w:cs="Times New Roman"/>
          <w:color w:val="000000"/>
          <w:sz w:val="28"/>
          <w:szCs w:val="28"/>
          <w:lang w:eastAsia="uk-UA"/>
        </w:rPr>
        <w:t>/</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val="en-US" w:eastAsia="uk-UA"/>
        </w:rPr>
        <w:t>L.</w:t>
      </w:r>
      <w:r w:rsidRPr="00C73C10">
        <w:rPr>
          <w:rFonts w:ascii="Times New Roman" w:eastAsia="Times New Roman" w:hAnsi="Times New Roman" w:cs="Times New Roman"/>
          <w:color w:val="000000"/>
          <w:sz w:val="28"/>
          <w:lang w:val="en-US" w:eastAsia="uk-UA"/>
        </w:rPr>
        <w:t> </w:t>
      </w:r>
      <w:r w:rsidRPr="00C73C10">
        <w:rPr>
          <w:rFonts w:ascii="Times New Roman" w:eastAsia="Times New Roman" w:hAnsi="Times New Roman" w:cs="Times New Roman"/>
          <w:color w:val="000000"/>
          <w:sz w:val="28"/>
          <w:szCs w:val="28"/>
          <w:lang w:val="en-US" w:eastAsia="uk-UA"/>
        </w:rPr>
        <w:t>Ernster, Oh.</w:t>
      </w:r>
      <w:proofErr w:type="gramEnd"/>
      <w:r w:rsidRPr="00C73C10">
        <w:rPr>
          <w:rFonts w:ascii="Times New Roman" w:eastAsia="Times New Roman" w:hAnsi="Times New Roman" w:cs="Times New Roman"/>
          <w:color w:val="000000"/>
          <w:sz w:val="28"/>
          <w:szCs w:val="28"/>
          <w:lang w:val="en-US" w:eastAsia="uk-UA"/>
        </w:rPr>
        <w:t xml:space="preserve"> Siekevitz, G.E. Palode // Molek. </w:t>
      </w:r>
      <w:proofErr w:type="gramStart"/>
      <w:r w:rsidRPr="00C73C10">
        <w:rPr>
          <w:rFonts w:ascii="Times New Roman" w:eastAsia="Times New Roman" w:hAnsi="Times New Roman" w:cs="Times New Roman"/>
          <w:color w:val="000000"/>
          <w:sz w:val="28"/>
          <w:szCs w:val="28"/>
          <w:lang w:val="en-US" w:eastAsia="uk-UA"/>
        </w:rPr>
        <w:t>Biol. – 1962.</w:t>
      </w:r>
      <w:proofErr w:type="gramEnd"/>
      <w:r w:rsidRPr="00C73C10">
        <w:rPr>
          <w:rFonts w:ascii="Times New Roman" w:eastAsia="Times New Roman" w:hAnsi="Times New Roman" w:cs="Times New Roman"/>
          <w:color w:val="000000"/>
          <w:sz w:val="28"/>
          <w:szCs w:val="28"/>
          <w:lang w:val="en-US" w:eastAsia="uk-UA"/>
        </w:rPr>
        <w:t xml:space="preserve"> – Vol. 15, № 3. – P. 541–562.</w:t>
      </w:r>
    </w:p>
    <w:p w:rsidR="00C73C10" w:rsidRPr="00C73C10" w:rsidRDefault="00C73C10" w:rsidP="00C73C10">
      <w:pPr>
        <w:spacing w:after="0" w:line="220" w:lineRule="atLeast"/>
        <w:jc w:val="both"/>
        <w:rPr>
          <w:rFonts w:ascii="Calibri" w:eastAsia="Times New Roman" w:hAnsi="Calibri" w:cs="Times New Roman"/>
          <w:color w:val="000000"/>
          <w:lang w:eastAsia="uk-UA"/>
        </w:rPr>
      </w:pPr>
      <w:r w:rsidRPr="00C73C10">
        <w:rPr>
          <w:rFonts w:ascii="Times New Roman" w:eastAsia="Times New Roman" w:hAnsi="Times New Roman" w:cs="Times New Roman"/>
          <w:color w:val="000000"/>
          <w:sz w:val="28"/>
          <w:szCs w:val="28"/>
          <w:lang w:val="en-US" w:eastAsia="uk-UA"/>
        </w:rPr>
        <w:t>7. Omura T.</w:t>
      </w:r>
      <w:r w:rsidRPr="00C73C10">
        <w:rPr>
          <w:rFonts w:ascii="Times New Roman" w:eastAsia="Times New Roman" w:hAnsi="Times New Roman" w:cs="Times New Roman"/>
          <w:color w:val="000000"/>
          <w:sz w:val="28"/>
          <w:lang w:val="en-US" w:eastAsia="uk-UA"/>
        </w:rPr>
        <w:t> </w:t>
      </w:r>
      <w:r w:rsidRPr="00C73C10">
        <w:rPr>
          <w:rFonts w:ascii="Times New Roman" w:eastAsia="Times New Roman" w:hAnsi="Times New Roman" w:cs="Times New Roman"/>
          <w:color w:val="000000"/>
          <w:sz w:val="28"/>
          <w:szCs w:val="28"/>
          <w:lang w:val="en-US" w:eastAsia="uk-UA"/>
        </w:rPr>
        <w:t>The carbon monooxidebinding pigment of liwer microsome</w:t>
      </w:r>
      <w:r w:rsidRPr="00C73C10">
        <w:rPr>
          <w:rFonts w:ascii="Times New Roman" w:eastAsia="Times New Roman" w:hAnsi="Times New Roman" w:cs="Times New Roman"/>
          <w:color w:val="000000"/>
          <w:sz w:val="28"/>
          <w:lang w:val="en-US" w:eastAsia="uk-UA"/>
        </w:rPr>
        <w:t> </w:t>
      </w:r>
      <w:r w:rsidRPr="00C73C10">
        <w:rPr>
          <w:rFonts w:ascii="Times New Roman" w:eastAsia="Times New Roman" w:hAnsi="Times New Roman" w:cs="Times New Roman"/>
          <w:color w:val="000000"/>
          <w:sz w:val="28"/>
          <w:szCs w:val="28"/>
          <w:lang w:eastAsia="uk-UA"/>
        </w:rPr>
        <w:t>/</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val="en-US" w:eastAsia="uk-UA"/>
        </w:rPr>
        <w:t>T. Omura, R. Sato // I. Biol. Chem. – 1964</w:t>
      </w:r>
      <w:r w:rsidRPr="00C73C10">
        <w:rPr>
          <w:rFonts w:ascii="Times New Roman" w:eastAsia="Times New Roman" w:hAnsi="Times New Roman" w:cs="Times New Roman"/>
          <w:color w:val="000000"/>
          <w:sz w:val="28"/>
          <w:szCs w:val="28"/>
          <w:lang w:eastAsia="uk-UA"/>
        </w:rPr>
        <w:t>.</w:t>
      </w:r>
      <w:r w:rsidRPr="00C73C10">
        <w:rPr>
          <w:rFonts w:ascii="Times New Roman" w:eastAsia="Times New Roman" w:hAnsi="Times New Roman" w:cs="Times New Roman"/>
          <w:color w:val="000000"/>
          <w:sz w:val="28"/>
          <w:lang w:val="en-US" w:eastAsia="uk-UA"/>
        </w:rPr>
        <w:t> </w:t>
      </w:r>
      <w:r w:rsidRPr="00C73C10">
        <w:rPr>
          <w:rFonts w:ascii="Times New Roman" w:eastAsia="Times New Roman" w:hAnsi="Times New Roman" w:cs="Times New Roman"/>
          <w:color w:val="000000"/>
          <w:sz w:val="28"/>
          <w:szCs w:val="28"/>
          <w:lang w:val="en-US" w:eastAsia="uk-UA"/>
        </w:rPr>
        <w:t>– Vol. 239</w:t>
      </w:r>
      <w:r w:rsidRPr="00C73C10">
        <w:rPr>
          <w:rFonts w:ascii="Times New Roman" w:eastAsia="Times New Roman" w:hAnsi="Times New Roman" w:cs="Times New Roman"/>
          <w:color w:val="000000"/>
          <w:sz w:val="28"/>
          <w:szCs w:val="28"/>
          <w:lang w:eastAsia="uk-UA"/>
        </w:rPr>
        <w:t>,</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val="en-US" w:eastAsia="uk-UA"/>
        </w:rPr>
        <w:t>№</w:t>
      </w:r>
      <w:r w:rsidRPr="00C73C10">
        <w:rPr>
          <w:rFonts w:ascii="Times New Roman" w:eastAsia="Times New Roman" w:hAnsi="Times New Roman" w:cs="Times New Roman"/>
          <w:color w:val="000000"/>
          <w:sz w:val="28"/>
          <w:lang w:val="en-US" w:eastAsia="uk-UA"/>
        </w:rPr>
        <w:t> </w:t>
      </w:r>
      <w:r w:rsidRPr="00C73C10">
        <w:rPr>
          <w:rFonts w:ascii="Times New Roman" w:eastAsia="Times New Roman" w:hAnsi="Times New Roman" w:cs="Times New Roman"/>
          <w:color w:val="000000"/>
          <w:sz w:val="28"/>
          <w:szCs w:val="28"/>
          <w:lang w:val="en-US" w:eastAsia="uk-UA"/>
        </w:rPr>
        <w:t>7</w:t>
      </w:r>
      <w:r w:rsidRPr="00C73C10">
        <w:rPr>
          <w:rFonts w:ascii="Times New Roman" w:eastAsia="Times New Roman" w:hAnsi="Times New Roman" w:cs="Times New Roman"/>
          <w:color w:val="000000"/>
          <w:sz w:val="28"/>
          <w:szCs w:val="28"/>
          <w:lang w:eastAsia="uk-UA"/>
        </w:rPr>
        <w:t>.</w:t>
      </w:r>
      <w:r w:rsidRPr="00C73C10">
        <w:rPr>
          <w:rFonts w:ascii="Times New Roman" w:eastAsia="Times New Roman" w:hAnsi="Times New Roman" w:cs="Times New Roman"/>
          <w:color w:val="000000"/>
          <w:sz w:val="28"/>
          <w:lang w:val="en-US" w:eastAsia="uk-UA"/>
        </w:rPr>
        <w:t> </w:t>
      </w:r>
      <w:proofErr w:type="gramStart"/>
      <w:r w:rsidRPr="00C73C10">
        <w:rPr>
          <w:rFonts w:ascii="Times New Roman" w:eastAsia="Times New Roman" w:hAnsi="Times New Roman" w:cs="Times New Roman"/>
          <w:color w:val="000000"/>
          <w:sz w:val="28"/>
          <w:szCs w:val="28"/>
          <w:lang w:val="en-US" w:eastAsia="uk-UA"/>
        </w:rPr>
        <w:t>–</w:t>
      </w:r>
      <w:r w:rsidRPr="00C73C10">
        <w:rPr>
          <w:rFonts w:ascii="Times New Roman" w:eastAsia="Times New Roman" w:hAnsi="Times New Roman" w:cs="Times New Roman"/>
          <w:color w:val="000000"/>
          <w:sz w:val="28"/>
          <w:lang w:val="en-US" w:eastAsia="uk-UA"/>
        </w:rPr>
        <w:t> </w:t>
      </w:r>
      <w:r w:rsidRPr="00C73C10">
        <w:rPr>
          <w:rFonts w:ascii="Times New Roman" w:eastAsia="Times New Roman" w:hAnsi="Times New Roman" w:cs="Times New Roman"/>
          <w:color w:val="000000"/>
          <w:sz w:val="28"/>
          <w:szCs w:val="28"/>
          <w:lang w:eastAsia="uk-UA"/>
        </w:rPr>
        <w:t>Р.</w:t>
      </w:r>
      <w:r w:rsidRPr="00C73C10">
        <w:rPr>
          <w:rFonts w:ascii="Times New Roman" w:eastAsia="Times New Roman" w:hAnsi="Times New Roman" w:cs="Times New Roman"/>
          <w:color w:val="000000"/>
          <w:sz w:val="28"/>
          <w:lang w:eastAsia="uk-UA"/>
        </w:rPr>
        <w:t> </w:t>
      </w:r>
      <w:r w:rsidRPr="00C73C10">
        <w:rPr>
          <w:rFonts w:ascii="Times New Roman" w:eastAsia="Times New Roman" w:hAnsi="Times New Roman" w:cs="Times New Roman"/>
          <w:color w:val="000000"/>
          <w:sz w:val="28"/>
          <w:szCs w:val="28"/>
          <w:lang w:val="en-US" w:eastAsia="uk-UA"/>
        </w:rPr>
        <w:t>2379–2385.</w:t>
      </w:r>
      <w:proofErr w:type="gramEnd"/>
    </w:p>
    <w:p w:rsidR="00C73C10" w:rsidRPr="00C73C10" w:rsidRDefault="00C73C10" w:rsidP="00C73C10">
      <w:pPr>
        <w:spacing w:line="169" w:lineRule="atLeast"/>
        <w:rPr>
          <w:rFonts w:ascii="Calibri" w:eastAsia="Times New Roman" w:hAnsi="Calibri" w:cs="Times New Roman"/>
          <w:color w:val="000000"/>
          <w:lang w:eastAsia="uk-UA"/>
        </w:rPr>
      </w:pPr>
      <w:r w:rsidRPr="00C73C10">
        <w:rPr>
          <w:rFonts w:ascii="Calibri" w:eastAsia="Times New Roman" w:hAnsi="Calibri" w:cs="Times New Roman"/>
          <w:color w:val="000000"/>
          <w:lang w:eastAsia="uk-UA"/>
        </w:rPr>
        <w:t> </w:t>
      </w:r>
    </w:p>
    <w:p w:rsidR="003E436C" w:rsidRPr="00C73C10" w:rsidRDefault="003E436C" w:rsidP="00C73C10"/>
    <w:sectPr w:rsidR="003E436C" w:rsidRPr="00C73C10" w:rsidSect="003E436C">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grammar="clean"/>
  <w:defaultTabStop w:val="708"/>
  <w:hyphenationZone w:val="425"/>
  <w:characterSpacingControl w:val="doNotCompress"/>
  <w:compat/>
  <w:rsids>
    <w:rsidRoot w:val="009E4F75"/>
    <w:rsid w:val="003E436C"/>
    <w:rsid w:val="00785AE8"/>
    <w:rsid w:val="009E4F75"/>
    <w:rsid w:val="00C32102"/>
    <w:rsid w:val="00C73C10"/>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436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9E4F75"/>
  </w:style>
</w:styles>
</file>

<file path=word/webSettings.xml><?xml version="1.0" encoding="utf-8"?>
<w:webSettings xmlns:r="http://schemas.openxmlformats.org/officeDocument/2006/relationships" xmlns:w="http://schemas.openxmlformats.org/wordprocessingml/2006/main">
  <w:divs>
    <w:div w:id="664824354">
      <w:bodyDiv w:val="1"/>
      <w:marLeft w:val="0"/>
      <w:marRight w:val="0"/>
      <w:marTop w:val="0"/>
      <w:marBottom w:val="0"/>
      <w:divBdr>
        <w:top w:val="none" w:sz="0" w:space="0" w:color="auto"/>
        <w:left w:val="none" w:sz="0" w:space="0" w:color="auto"/>
        <w:bottom w:val="none" w:sz="0" w:space="0" w:color="auto"/>
        <w:right w:val="none" w:sz="0" w:space="0" w:color="auto"/>
      </w:divBdr>
    </w:div>
    <w:div w:id="1407068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5</Pages>
  <Words>8414</Words>
  <Characters>4797</Characters>
  <Application>Microsoft Office Word</Application>
  <DocSecurity>0</DocSecurity>
  <Lines>39</Lines>
  <Paragraphs>26</Paragraphs>
  <ScaleCrop>false</ScaleCrop>
  <Company>Krokoz™</Company>
  <LinksUpToDate>false</LinksUpToDate>
  <CharactersWithSpaces>13185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2015-12-17T08:11:00Z</dcterms:created>
  <dcterms:modified xsi:type="dcterms:W3CDTF">2015-12-17T08:11:00Z</dcterms:modified>
</cp:coreProperties>
</file>