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D91" w:rsidRDefault="00887D91" w:rsidP="00887D9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uk-UA"/>
        </w:rPr>
        <w:t>ВПЛИВ УМОВ НАВЧАННЯ</w:t>
      </w:r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СТАН ЗДОРОВ</w:t>
      </w:r>
      <w:r>
        <w:rPr>
          <w:rFonts w:ascii="Times New Roman" w:hAnsi="Times New Roman" w:cs="Times New Roman"/>
          <w:b/>
          <w:sz w:val="28"/>
          <w:szCs w:val="28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Я ПІДЛІТКІВ-УЧНІВ ПРОФЕСІЙНОГО АГРАРНОГО ЛІЦЕЮ</w:t>
      </w:r>
    </w:p>
    <w:p w:rsidR="00887D91" w:rsidRDefault="00887D91" w:rsidP="00887D9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Коробчанський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В.О.,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Богачова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О.С.</w:t>
      </w:r>
    </w:p>
    <w:p w:rsidR="00887D91" w:rsidRDefault="00887D91" w:rsidP="00887D91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887D91" w:rsidRDefault="00887D91" w:rsidP="00887D91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887D91" w:rsidRDefault="00887D91" w:rsidP="00887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Здоров'я людини – це стан повного соціального та біологічного комфорту, коли функції всіх органів та систем організму урегульовані з соціальним і природнім середовищем, повністю відсутні хворобливі стани та фізичні вади.. На стан здоров’я людини впливають безліч факторів, а прийнявши їх сукупність за 100 %, відзначається, що 50 – 55 % - базуються на способі життя, 20–25 % – припадає на стан навколишнього середовища, 15 – 20 % – обумовлюють генетичні фактори, а 8 – 10 % – залежать від діяльності закладів охорони здоров'я [9].</w:t>
      </w:r>
    </w:p>
    <w:p w:rsidR="00887D91" w:rsidRDefault="00887D91" w:rsidP="00887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Згідно з чисельними спостереженнями авторів, рівень здоров'я в значній мірі визначає адаптаційні можливості організму [1,5,16], а саме поняття «здоров'я» включає оцінку рівня функціональних резервів організму, рівень його компенсаторно-адаптаційних реакцій у процесі пристосування до підвищених вимог навчального середовища без патологічних проявів [2,7,11].</w:t>
      </w:r>
    </w:p>
    <w:p w:rsidR="00887D91" w:rsidRDefault="00887D91" w:rsidP="00887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статистичними даними МОЗ України, впродовж останніх років здоров’я дітей підліткового віку в країні залишається незадовільним; спостерігається негативна тенденція щодо поширеності хвороб, яка коливається в межах 2022,3–2154,53 на 1000 дітей підліткового віку, а показник “захворюваність”  – в інтервалі з 1188,2–1249,76, із найнижчим його рівнем у 2014 р. У Харківській області, згідно з даними за 2016 рік, показники захворюваності дітей підліткового віку залишаються на високих рівнях (1598,6 на 1000 осіб підліткового віку), а діапазон коливань поширеності хвороб за цей період становив більше, ніж  2500,0 на 1000 дітей, віком 15-17 років[13].</w:t>
      </w:r>
    </w:p>
    <w:p w:rsidR="00887D91" w:rsidRDefault="00887D91" w:rsidP="00887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Одним з актуальних завдань гігієни професійного навчання є всебічне дослідження умов та характеру навчання щодо їх відповідності до діючих санітарно-гігієнічних норм,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режимно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організаційних вимог, психофізіологічних функцій і стану здоров’я підлітків на різних етапах отримання освіти, що служить необхідною базою для оцінки розвитку професійної адаптації та подальшої професійної діяльності підлітків, які опановують аграрні спеціальності в ліцеї, при чому процес навчання учня в аграрному професійного ліцеї, за своїми якісними та кількісними характеристиками, повинен відповідати професійно-виробничим вимогам майбутніх спеціальностей, на опанування яких має бути спрямований увесь освітній процес[15].</w:t>
      </w:r>
    </w:p>
    <w:p w:rsidR="00887D91" w:rsidRDefault="00887D91" w:rsidP="00887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Головною умовою успішного навчання в ліцеї є стан здоров'я учнів. Учнівська  молодь складає особливу соціальну групу населення, об'єднану певними віковими межами (15-18 років), інтенсивною розумовою працею - процесом професійного навчання, способом життя і особливим віковим менталітетом. Здоров'я ліцеїстів в значній мірі визначається соціально-гігієнічними параметрами побуту і навчального процесу, а підлітки, які навчаються в професійних аграрних ліцеях, є тим специфічним шаром суспільства, для яких характерна сукупність факторів ризику різного характеру, потенційно небезпечних для здоров'я, що робить проблему збереження здоров'я учнів цієї групи особливо актуальною.</w:t>
      </w:r>
    </w:p>
    <w:p w:rsidR="00887D91" w:rsidRDefault="00887D91" w:rsidP="00887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Мета: </w:t>
      </w:r>
      <w:r>
        <w:rPr>
          <w:rFonts w:ascii="Times New Roman" w:hAnsi="Times New Roman" w:cs="Times New Roman"/>
          <w:sz w:val="28"/>
          <w:szCs w:val="28"/>
          <w:lang w:val="uk-UA"/>
        </w:rPr>
        <w:t>вивчити стан здоров’я підлітків - учнів професійного аграрного ліцею та виявити фактори ризику навчального та виробничого середовища, які можуть негативно впливати на стан їхнього здоров’я.</w:t>
      </w:r>
    </w:p>
    <w:p w:rsidR="00887D91" w:rsidRDefault="00887D91" w:rsidP="00887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Матеріали та методи: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дослідженні приймало участь 131 ліцеїст (128 чоловічої статі, 3-жіночої), віком 15-18 років, які опановують аграрні спеціальності на базі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Одноробівського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професійного аграрного ліцею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Золочівський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 Харківської області). </w:t>
      </w:r>
    </w:p>
    <w:p w:rsidR="00887D91" w:rsidRDefault="00887D91" w:rsidP="00887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Перший етап дослідження було присвячено гігієнічній оцінці умов навчання.  Умови навчання досліджувалися методом гігієнічного обстеження об’єкту на його відповідність діючим санітарним нормам. </w:t>
      </w:r>
    </w:p>
    <w:p w:rsidR="00887D91" w:rsidRDefault="00887D91" w:rsidP="00887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 здоров’я ліцеїстів вивчався за допомогою медико-соціальних методів дослідження, спрямованих на вивчення стану здоров’я підлітків за результатами динаміки поглиблених медичних оглядів, показниками гострої та хронічної захворюваності з наступним розподіленням за групами здоров'я та статистичною обробкою матеріалу з використанням критерію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Стьюдента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87D91" w:rsidRDefault="00887D91" w:rsidP="00887D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Результати:</w:t>
      </w:r>
    </w:p>
    <w:p w:rsidR="00887D91" w:rsidRDefault="00887D91" w:rsidP="00887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даними попередніх досліджень, було виявлено, що підлітки, які опановують аграрні професії на базі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Одноробівського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аграрного ліцею, включені у складну систему взаємовідносин з факторами навчального та виробничого середовища, які можуть впливати на стан здоров'я.</w:t>
      </w:r>
    </w:p>
    <w:p w:rsidR="00887D91" w:rsidRDefault="00887D91" w:rsidP="00887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Гігієнічна оцінка умов навчання показала, що навчальний процес здійснювався у приміщеннях постійного перебування студентів: в навчальних кабінетах,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лабораторiях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професiйно-технiчного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спецiального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профiлю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кабiнетах-лабораторiях-майстернях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сiльськогосподарських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автомобiлях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побудованих за стандартним проектом та згідно до освітніх стандартів, передбачених для ліцеїв даного профілю</w:t>
      </w:r>
    </w:p>
    <w:p w:rsidR="00887D91" w:rsidRDefault="00887D91" w:rsidP="00887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Санітарно-гігієнічна характеристика умов професійного навчання підлітків виявила, що площі учбових та виробничих приміщень відповідають гігієнічним вимогам [3]. Крім того, на території ліцею додатково обладнано “Пункт технічного обслуговування тракторів, комбайнів, с/г техніки” площею 470 кв. м. та “Слюсарна майстерня” площею  195 кв. м., укомплектовані необхідними обладнанням та інструментами для виконання програми виробничого навчання.</w:t>
      </w:r>
    </w:p>
    <w:p w:rsidR="00887D91" w:rsidRDefault="00887D91" w:rsidP="00887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Проведені дослідження показали, що параметри мікроклімату, шуму та електромагнітного випромінювання на навчальних в кабінетах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лабораторiях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професiйно-технiчного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спецiального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профiлю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учнів не перевищували допустимих величин [4,6,12,14]. Але, звертає на себе увагу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невідповідність величин освітлення приміщень. Якщо величини коефіцієнта природнього та сумісного освітлення (КПО) у навчальних кабінетах відповідали гігієнічній нормі (не менш 0,7 % і 1,2 %, відповідно), складаючи 0, 72 ± 0,15 % і 1,23 ± 0,31 % відповідно, то 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лабораторiях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професiйно-технiчного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спецiального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профiлю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показники КПО були нижчими від гігієнічних нормативів. Відповідно до категорій точності зорових робіт КПО при природньому освітленні на навчальних місцях учнів становив 1,5 ± 0,22 %; а при сумісному - 1,14% ± 0,65 % (за норми 3,0 % та 1,2 % відповідно). </w:t>
      </w:r>
    </w:p>
    <w:p w:rsidR="00887D91" w:rsidRDefault="00887D91" w:rsidP="00887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Оцінка штучного освітлення на навчальних місцях студентів показала його невідповідність існуючим гігієнічним регламентам. Якщо в навчальних кабінетах освітленість робочих поверхонь у середньому становила 405,4 ± 7,2 лк (за норми 400 лк), то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лабораторiях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професiйно-технiчного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спецiального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профiлю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показники також були нижче нормативних, а саме 253, 57± 5,4 лк (за норми 300 лк)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[10].</w:t>
      </w:r>
    </w:p>
    <w:p w:rsidR="00887D91" w:rsidRDefault="00887D91" w:rsidP="00887D91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Результати дослідження характеру життєдіяльності ліцеїстів показали статистично </w:t>
      </w: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достовірні відмінності (від р&lt;0,05 до р&lt;0,01) між досліджуваними групами за показниками рухової активності, режиму дня та харчування </w:t>
      </w: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>(табл.1)</w:t>
      </w: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. </w:t>
      </w:r>
    </w:p>
    <w:p w:rsidR="00887D91" w:rsidRDefault="00887D91" w:rsidP="00887D91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Виявлено, що найбільш достовірна різниця спостерігалася за показниками рухової активності: якщо у на 1-му курсі навчання його величина була оптимальною і склала 11,24±0,68 у. о., то на 2–му курсі цей показник знизився до 9,0± 0,44 у. о. (р&lt;0,01), а на 3-ому курсі досягав вже величини 8,95± 0,47 (р&lt;0,01).</w:t>
      </w:r>
    </w:p>
    <w:p w:rsidR="00887D91" w:rsidRDefault="00887D91" w:rsidP="00887D91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 xml:space="preserve">Дослідження адекватності режиму дня показало, що серед підлітків 2 –го курсу були досить поширені порушення режимно-організаційного характеру в навчанні та в структурі вільного часу. Це відбилося на величині цього показника на 2-му курсі (9,68±0,40 </w:t>
      </w:r>
      <w:proofErr w:type="spellStart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у.о</w:t>
      </w:r>
      <w:proofErr w:type="spellEnd"/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.), який суттєво поступився аналогічному показнику на 1 та 3-му курсах навчання (відповідно 11,59±0,83 у. о., при р&lt;0,05 та 10,57±0,52, при p&gt;0,05).</w:t>
      </w:r>
    </w:p>
    <w:p w:rsidR="00887D91" w:rsidRDefault="00887D91" w:rsidP="00887D91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  <w:lastRenderedPageBreak/>
        <w:t xml:space="preserve">Таблиця 1. Порівняльна характеристика умов життєдіяльності підлітків, які опановують аграрні спеціальності (М ± m; </w:t>
      </w:r>
      <w:r>
        <w:rPr>
          <w:rFonts w:ascii="Times New Roman" w:eastAsia="Arial Unicode MS" w:hAnsi="Times New Roman" w:cs="Times New Roman"/>
          <w:b/>
          <w:bCs/>
          <w:sz w:val="28"/>
          <w:szCs w:val="28"/>
          <w:lang w:val="uk-UA" w:eastAsia="ru-RU"/>
        </w:rPr>
        <w:t>p</w:t>
      </w:r>
      <w:r>
        <w:rPr>
          <w:rFonts w:ascii="Times New Roman" w:eastAsia="Arial Unicode MS" w:hAnsi="Times New Roman" w:cs="Times New Roman"/>
          <w:b/>
          <w:sz w:val="28"/>
          <w:szCs w:val="28"/>
          <w:lang w:val="uk-UA" w:eastAsia="ru-RU"/>
        </w:rPr>
        <w:t>) (у. о.)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2"/>
        <w:gridCol w:w="1843"/>
        <w:gridCol w:w="1701"/>
        <w:gridCol w:w="1701"/>
        <w:gridCol w:w="1814"/>
        <w:gridCol w:w="1729"/>
      </w:tblGrid>
      <w:tr w:rsidR="00887D91" w:rsidTr="00887D9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  <w:t>Групи</w:t>
            </w:r>
          </w:p>
          <w:p w:rsidR="00887D91" w:rsidRDefault="00887D91">
            <w:pPr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  <w:t>порівняння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  <w:t>Шкала М (психологічний мікроклімат)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  <w:t>Шкала А (рухова активність)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  <w:t>Шкала Р</w:t>
            </w:r>
          </w:p>
          <w:p w:rsidR="00887D91" w:rsidRDefault="00887D91">
            <w:pPr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  <w:t>(режим дня)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  <w:t>Шкала Х (харчування)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  <w:t>Шкала Г (особиста гігієна)</w:t>
            </w:r>
          </w:p>
        </w:tc>
      </w:tr>
      <w:tr w:rsidR="00887D91" w:rsidTr="00887D91">
        <w:trPr>
          <w:trHeight w:val="45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eastAsia="ru-RU"/>
              </w:rPr>
              <w:t>16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  <w:t>,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eastAsia="ru-RU"/>
              </w:rPr>
              <w:t>14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  <w:t>±0,40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  <w:t>11,24±0,68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  <w:t>11,59±0,83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  <w:t>12,48±0,76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  <w:t>14,28±0,58</w:t>
            </w:r>
          </w:p>
        </w:tc>
      </w:tr>
      <w:tr w:rsidR="00887D91" w:rsidTr="00887D91">
        <w:trPr>
          <w:trHeight w:val="69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  <w:t>2 курс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  <w:t>15,11±0,48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  <w:t>9,0±0,44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  <w:t>9,68±0,40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  <w:t>11,89±0,47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  <w:t>15,0±0,48</w:t>
            </w:r>
          </w:p>
        </w:tc>
      </w:tr>
      <w:tr w:rsidR="00887D91" w:rsidTr="00887D91">
        <w:trPr>
          <w:trHeight w:val="69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  <w:t>3 курс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  <w:t>14,90± 0,51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  <w:t>8,95± 0,47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  <w:t>10,57±0,52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  <w:t>10,57±0,50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  <w:t>13,57±0,58</w:t>
            </w:r>
          </w:p>
        </w:tc>
      </w:tr>
      <w:tr w:rsidR="00887D91" w:rsidTr="00887D91">
        <w:trPr>
          <w:trHeight w:val="20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eastAsia="ru-RU"/>
              </w:rPr>
              <w:t>p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>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  <w:t>&gt;0,05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  <w:t>&lt;0,01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  <w:t>&lt;0,05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  <w:t>&gt;0,05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  <w:t>&gt;0,05</w:t>
            </w:r>
          </w:p>
        </w:tc>
      </w:tr>
      <w:tr w:rsidR="00887D91" w:rsidTr="00887D91">
        <w:trPr>
          <w:trHeight w:val="20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eastAsia="ru-RU"/>
              </w:rPr>
              <w:t>p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2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>/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  <w:t>&gt;0,05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  <w:t>&gt;0,05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  <w:t>&gt;0,05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  <w:t>&gt;0,05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  <w:t>&gt;0,05</w:t>
            </w:r>
          </w:p>
        </w:tc>
      </w:tr>
      <w:tr w:rsidR="00887D91" w:rsidTr="00887D91">
        <w:trPr>
          <w:trHeight w:val="20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eastAsia="ru-RU"/>
              </w:rPr>
              <w:t>p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uk-UA" w:eastAsia="ru-RU"/>
              </w:rPr>
              <w:t>1/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vertAlign w:val="subscript"/>
                <w:lang w:val="en-US"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  <w:t>&gt;0,05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  <w:t>&lt;0,01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  <w:t>&gt;0,05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  <w:t>&lt;0,05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D91" w:rsidRDefault="00887D91">
            <w:pPr>
              <w:spacing w:after="0" w:line="360" w:lineRule="auto"/>
              <w:ind w:firstLine="709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uk-UA" w:eastAsia="ru-RU"/>
              </w:rPr>
              <w:t>&gt;0,05</w:t>
            </w:r>
          </w:p>
        </w:tc>
      </w:tr>
    </w:tbl>
    <w:p w:rsidR="00887D91" w:rsidRDefault="00887D91" w:rsidP="00887D91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</w:pPr>
    </w:p>
    <w:p w:rsidR="00887D91" w:rsidRDefault="00887D91" w:rsidP="00887D91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>Аналіз якісної та кількісної складових харчування довів, що за інтегральним показником його адекватності спостерігалося суттєве погіршення від 1-го до 3-го курсу спостереження (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 xml:space="preserve">12,48±0,76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>у.о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 xml:space="preserve">. до 10,57±0,50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>у.о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>., при р</w:t>
      </w:r>
      <w:r>
        <w:rPr>
          <w:rFonts w:ascii="Times New Roman" w:eastAsia="Arial Unicode MS" w:hAnsi="Times New Roman" w:cs="Times New Roman"/>
          <w:sz w:val="28"/>
          <w:szCs w:val="28"/>
          <w:lang w:val="uk-UA" w:eastAsia="ru-RU"/>
        </w:rPr>
        <w:t>&lt;0,05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>).</w:t>
      </w:r>
    </w:p>
    <w:p w:rsidR="00887D91" w:rsidRDefault="00887D91" w:rsidP="00887D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Далі, згідно з метою дослідження, були проаналізовані результати поглиблених медичних оглядів підлітків 1-ого ( 40 осіб) , 2-го(44 особи) та 3-го</w:t>
      </w:r>
    </w:p>
    <w:p w:rsidR="00887D91" w:rsidRDefault="00887D91" w:rsidP="00887D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(47 осіб) курсів, які опановують аграрні спеціальності в ліцеї, які показали, що серед обстеженого контингенту виявлялися  представники  I, ІІ, ІІІ і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груп здоров'я.</w:t>
      </w:r>
    </w:p>
    <w:p w:rsidR="00887D91" w:rsidRDefault="00887D91" w:rsidP="00887D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Проведене дослідження допомогло визначити процентний вміст представників кожної із груп здоров’я в на кожному році навчання (рис. 1, рис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2, рис. 3). </w:t>
      </w:r>
    </w:p>
    <w:p w:rsidR="00887D91" w:rsidRDefault="00887D91" w:rsidP="00887D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Так, кількість ліцеїстів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I (37,5±7,65%) та ІІ групи (47,5±7,89%) здоров’я</w:t>
      </w:r>
      <w:r>
        <w:rPr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1-му курсі суттєво перевищувала відсоток підлітків ІІІ і IV груп здоров’я (12,5±5,23% та 2,5±2,47%, при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&lt; 0,05 та  p &lt; 0,001 відповідно). </w:t>
      </w:r>
    </w:p>
    <w:p w:rsidR="00887D91" w:rsidRDefault="00887D91" w:rsidP="00887D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 свою чергу, кількість ліцеїстів ІІ групи здоров’я на 2-му курсі навчання  була 52,27±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7,53%, що достовірно перевищувала відсоток підлітків в I (29,54±2,67%) та IІІ (18,18±5,81%) групах здоров’я цього року навчання, при  p &lt; 0,05 та  p &lt; 0,001 відповідно.</w:t>
      </w:r>
    </w:p>
    <w:p w:rsidR="00887D91" w:rsidRDefault="00887D91" w:rsidP="00887D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Відсоткова кількість підлітків 3 курсу навчання характеризувалася збільшенням ІІ групи здоров’я (63,83±7%) порівняно з 1-им та 2-ми курсами (p &gt; 0,05). Саме цей показник достовірно перевищував відсоток ліцеїстів I (21,28±5,97%) та IІІ (14,89±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5,19%) груп здоров’я, при p &lt; 0,001.</w:t>
      </w:r>
    </w:p>
    <w:p w:rsidR="00887D91" w:rsidRDefault="00887D91" w:rsidP="00887D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аналізі результатів розподілу ліцеїстів по групах здоров’я, в залежності від курсу та спеціальностей, достовірних відмінностей не виявлено.</w:t>
      </w:r>
    </w:p>
    <w:p w:rsidR="00887D91" w:rsidRDefault="00887D91" w:rsidP="00887D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кількістю випадків, по окремим класам хвороб, спостерігалася наступна їх розповсюдженість: на першому місці були хвороби органів травлення -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18 випадків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(13,74±5,44%);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друге місце посідали ока та придаткового апарату  - 16 випадків (12,21±5,18%);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третє місце - хвороби системи кровообігу – 9 випадків (6,87±3,99%), четверте місце розділили  хвороби кістково-м’язової системи і сполучної тканини та хвороби нервової системи – по 8 випадків (6,11±3,79%);  п’яте місце - хвороби сечостатевої системи – 7 випадків (5,34±3,55%);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шосте місце -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хвороби органів дихання</w:t>
      </w:r>
      <w:r>
        <w:rPr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6 випадків (4,58± 3,05%); сьоме -  хвороби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шкіри,  підшкірної клітковини – 4 випадки (3,05±2,71%);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восьме місце - поділяли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хвороби ендокринної системи, розлади психіки та поведінки – по 3 випадки (2,29±2,37%);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дев’яте місце – 2 випадки (1,53±1,94%)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інфекцiйнi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паразитарні хвороби; десяте місце вроджені аномалії (вади розвитку), деформації та хромосомні порушення – 1 випадок (0,76±1,37%).</w:t>
      </w:r>
    </w:p>
    <w:p w:rsidR="00887D91" w:rsidRDefault="00887D91" w:rsidP="00887D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7D91" w:rsidRDefault="00887D91" w:rsidP="00887D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7D91" w:rsidRDefault="00887D91" w:rsidP="00887D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67125" cy="2886075"/>
            <wp:effectExtent l="0" t="0" r="952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33850" cy="2581275"/>
            <wp:effectExtent l="0" t="0" r="19050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09975" cy="2571750"/>
            <wp:effectExtent l="0" t="0" r="9525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87D91" w:rsidRDefault="00887D91" w:rsidP="00887D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7D91" w:rsidRDefault="00887D91" w:rsidP="00887D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Проведений порівняльний аналіз патологічної ураженості, під якою розуміють частоту хронічних захворювань і функціональних відхилень,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відповідно до  «Міжнародної статистичної класифікації хвороб та споріднених проблем охорони здоров'я»  –   МКХ-10,  у   відсотках  до  загального  числа  </w:t>
      </w:r>
    </w:p>
    <w:p w:rsidR="00887D91" w:rsidRDefault="00887D91" w:rsidP="00887D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(табл.2).  </w:t>
      </w:r>
    </w:p>
    <w:p w:rsidR="00887D91" w:rsidRDefault="00887D91" w:rsidP="00887D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Проведений порівняльний аналіз розповсюдженості захворювань серед підлітків – ліцеїстів відповідно до «Міжнародної статистичної класифікації хвороб та споріднених проблем охорони здоров'я»  –   МКХ-10,  у   відсотках  до  загального  числа  обстежених показав вірогідне  зниження кількості здорових учнів на 3 курсі, порівняно з 1 курсом – з 52,5±7,89%до 5,53±6,36%.</w:t>
      </w:r>
    </w:p>
    <w:p w:rsidR="00887D91" w:rsidRDefault="00887D91" w:rsidP="00887D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2.</w:t>
      </w:r>
    </w:p>
    <w:p w:rsidR="00887D91" w:rsidRDefault="00887D91" w:rsidP="00887D9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Порівняльний аналіз структури захворюваності підлітків, які опановують аграрні спеціальності в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Одноробівському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професійному аграрному ліцеї, % (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=131)</w:t>
      </w:r>
    </w:p>
    <w:tbl>
      <w:tblPr>
        <w:tblStyle w:val="a4"/>
        <w:tblW w:w="106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9"/>
        <w:gridCol w:w="2117"/>
        <w:gridCol w:w="1429"/>
        <w:gridCol w:w="1532"/>
        <w:gridCol w:w="1586"/>
        <w:gridCol w:w="1134"/>
        <w:gridCol w:w="993"/>
        <w:gridCol w:w="141"/>
        <w:gridCol w:w="1134"/>
      </w:tblGrid>
      <w:tr w:rsidR="00887D91" w:rsidTr="00887D9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Класи хвороб</w:t>
            </w:r>
          </w:p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клас. МКХ-10)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  <w:p w:rsidR="00887D91" w:rsidRDefault="00887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n=40</w:t>
            </w:r>
          </w:p>
          <w:p w:rsidR="00887D91" w:rsidRDefault="00887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випадків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- 41)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курс</w:t>
            </w:r>
          </w:p>
          <w:p w:rsidR="00887D91" w:rsidRDefault="00887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n=44</w:t>
            </w:r>
          </w:p>
          <w:p w:rsidR="00887D91" w:rsidRDefault="00887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(кількість випадків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- 46)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курс</w:t>
            </w:r>
          </w:p>
          <w:p w:rsidR="00887D91" w:rsidRDefault="00887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  <w:p w:rsidR="00887D91" w:rsidRDefault="00887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(кількість випадків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- 47)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 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 3</w:t>
            </w:r>
          </w:p>
        </w:tc>
      </w:tr>
      <w:tr w:rsidR="00887D91" w:rsidTr="00887D9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Хвороби органів травлення, [K20-K31]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20±6,3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11,36±4,78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10,64±4,48</w:t>
            </w:r>
          </w:p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91" w:rsidRDefault="00887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p&gt;0,05</w:t>
            </w:r>
          </w:p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7D91" w:rsidTr="00887D9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99]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Розлади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псих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поведінки</w:t>
            </w:r>
            <w:proofErr w:type="spellEnd"/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 ±2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,47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2,27±2,25</w:t>
            </w:r>
          </w:p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2,13±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2,11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p&gt;0,05</w:t>
            </w:r>
          </w:p>
        </w:tc>
      </w:tr>
      <w:tr w:rsidR="00887D91" w:rsidTr="00887D9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59]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Хвороби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ока та придаткового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апарату</w:t>
            </w:r>
            <w:proofErr w:type="spellEnd"/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2,69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15,9± 5,51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12,77±4,87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p&gt;0,05</w:t>
            </w:r>
          </w:p>
        </w:tc>
      </w:tr>
      <w:tr w:rsidR="00887D91" w:rsidTr="00887D9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90]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Хвороби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ендокринної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системи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розладу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харчування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порушення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речовин</w:t>
            </w:r>
            <w:proofErr w:type="spellEnd"/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2,47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2,27±2,25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2,13±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2,11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p&gt;0,05</w:t>
            </w:r>
          </w:p>
        </w:tc>
      </w:tr>
      <w:tr w:rsidR="00887D91" w:rsidTr="00887D9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99]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Хвороби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системи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кровообігу</w:t>
            </w:r>
            <w:proofErr w:type="spellEnd"/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5±2,47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6,81± 3,79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8,51±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4,07</w:t>
            </w:r>
          </w:p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p&gt;0,05</w:t>
            </w:r>
          </w:p>
        </w:tc>
      </w:tr>
      <w:tr w:rsidR="00887D91" w:rsidTr="00887D9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[N00 N99]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Хвороби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сечостатевої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системи</w:t>
            </w:r>
            <w:proofErr w:type="spellEnd"/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2,5±2,47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4,54± 3,14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8,51±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4,07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p&gt;0,05</w:t>
            </w:r>
          </w:p>
        </w:tc>
      </w:tr>
      <w:tr w:rsidR="00887D91" w:rsidTr="00887D9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[A00 B99]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Деякі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інфекц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паразитарні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хвороби</w:t>
            </w:r>
            <w:proofErr w:type="spellEnd"/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2,5±2,47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2,13±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p&gt;0,05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887D91" w:rsidTr="00887D9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val="uk-UA" w:eastAsia="uk-UA"/>
              </w:rPr>
              <w:t xml:space="preserve">[Q00 Q99]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Природжені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вади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розвитку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деформації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хромосомної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аномалії</w:t>
            </w:r>
            <w:proofErr w:type="spellEnd"/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2,5±2,47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887D91" w:rsidTr="00887D9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[J00 J99]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Хвороби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системи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дихання</w:t>
            </w:r>
            <w:proofErr w:type="spellEnd"/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2,5±2,47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4,54± 3,14</w:t>
            </w:r>
          </w:p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6,38±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3,56</w:t>
            </w:r>
          </w:p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p&gt;0,05</w:t>
            </w:r>
          </w:p>
        </w:tc>
      </w:tr>
      <w:tr w:rsidR="00887D91" w:rsidTr="00887D9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[G00 G99]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Хвороби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нервової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системи</w:t>
            </w:r>
            <w:proofErr w:type="spellEnd"/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2,5±2,47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11,36±4,78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2,94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p&gt;0,05</w:t>
            </w:r>
          </w:p>
        </w:tc>
      </w:tr>
      <w:tr w:rsidR="00887D91" w:rsidTr="00887D9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[L00 L99]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Хвороби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шкіри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клітковини</w:t>
            </w:r>
            <w:proofErr w:type="spellEnd"/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2,27±2,25</w:t>
            </w:r>
          </w:p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6,38±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3,56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p&gt;0,05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p&gt;0,05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887D91" w:rsidTr="00887D9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val="uk-UA" w:eastAsia="uk-UA"/>
              </w:rPr>
              <w:t xml:space="preserve">[M00 M99]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Хвороби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кiстково-м'язової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системи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сполучної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тканини</w:t>
            </w:r>
            <w:proofErr w:type="spellEnd"/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6,81±3,79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10,64±4,48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p&gt;0,05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p&gt;0,05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887D91" w:rsidTr="00887D9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патології</w:t>
            </w:r>
            <w:proofErr w:type="spellEnd"/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52,5±7,89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38,6±7,34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25,53±6,36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p&gt;0,05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p&gt;0,05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91" w:rsidRDefault="00887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p&lt;0,05</w:t>
            </w:r>
          </w:p>
        </w:tc>
      </w:tr>
    </w:tbl>
    <w:p w:rsidR="00887D91" w:rsidRDefault="00887D91" w:rsidP="00887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Р1 – вірогідність відмінностей між показниками кількості захворювань на 1 та 2 курсах навчання. </w:t>
      </w:r>
    </w:p>
    <w:p w:rsidR="00887D91" w:rsidRDefault="00887D91" w:rsidP="00887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Р2 –</w:t>
      </w:r>
      <w:r>
        <w:rPr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вірогідність відмінностей між показниками кількості захворювань на 1 та 3 курсах навчання..</w:t>
      </w:r>
    </w:p>
    <w:p w:rsidR="00887D91" w:rsidRDefault="00887D91" w:rsidP="00887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Р3 – вірогідність відмінностей між показниками кількості захворювань на 2 та 3 курсах навчання.</w:t>
      </w:r>
    </w:p>
    <w:p w:rsidR="00887D91" w:rsidRDefault="00887D91" w:rsidP="00887D91">
      <w:pPr>
        <w:spacing w:after="0" w:line="36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>Як показали результати досліджень, достовірної різниці між кількістю випадків захворювань за всіма дослідними групами виявлено не було (P &gt; 0,05), але звертає на себе увагу збільшення відсотку деяких класів хвороб, а саме: хвороб ока та придаткового апарату, хвороб системи кровообігу, хвороб сечостатевої системи, хвороб системи дихання,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хвороб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кiстково-м'язової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системи та сполучної тканини. Також відмічалося значне підвищення відсотку хвороб нервової системи у ліцеїстів 2-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курсу (11,36±4,78%, порівняно з  1-им 2,5±2,47% та 3-ім 4,25±2,94% курсами).</w:t>
      </w:r>
      <w:r>
        <w:rPr>
          <w:lang w:val="uk-UA"/>
        </w:rPr>
        <w:t xml:space="preserve"> </w:t>
      </w:r>
    </w:p>
    <w:p w:rsidR="00887D91" w:rsidRDefault="00887D91" w:rsidP="00887D9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Такий стан патологічної ураженості обстеженого контингенту  може бути розцінений, як результат тривалого, неконтрольованого впливу на організм підлітків таких негативних факторів, як недостатня освітленість приміщень, порушення режиму харчування,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відсутність різноманітності та повноцінності харчового раціону, поширені порушення режимно-організаційного характеру в навчанні та в структурі вільного часу,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гіподинамія, а також вплив комплексу негативних факторів навчально-виробничого режиму та професійно обумовлених факторів.</w:t>
      </w:r>
    </w:p>
    <w:p w:rsidR="00887D91" w:rsidRDefault="00887D91" w:rsidP="00887D9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Висновки:</w:t>
      </w:r>
    </w:p>
    <w:p w:rsidR="00887D91" w:rsidRDefault="00887D91" w:rsidP="00887D91">
      <w:pPr>
        <w:pStyle w:val="a3"/>
        <w:tabs>
          <w:tab w:val="left" w:pos="80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Гігієнічна оцінка умов навчання підлітків, що опановують аграрні спеціальності на базі професійного аграрного ліцею, показала відповідність учбових та виробничих приміщень гігієнічним вимогам, а проведені дослідження засвідчили, що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зовнішньосередовищні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умови навчання ліцеїстів характеризувалися сприятливими показниками мікроклімату, шуму та електромагнітного випромінювання. Суттєвим недоліком виявилась недостатня освітленість навчально-виробничих приміщень, яка є істотним несприятливим фактором, здатним негативно впливати на функціональний стан здоров’я учнів, визивати перенапругу та передчасне стомлення, що у сукупності є фактором ризику виникнення станів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дизадаптації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 подальшому порушень з боку зорового аналізатора.</w:t>
      </w:r>
    </w:p>
    <w:p w:rsidR="00887D91" w:rsidRDefault="00887D91" w:rsidP="00887D91">
      <w:pPr>
        <w:pStyle w:val="a3"/>
        <w:tabs>
          <w:tab w:val="left" w:pos="80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Виявлено, що життєдіяльність більшості ліцеїстів (70% опитаних) професійного аграрного ліцею проходила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дотриманням правил особистої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гігієни та здорового способу життя та за умов сприятливого психологічного мікроклімату у колективі. Негативними явищами у життєдіяльності ліцеїстів відзначалися: порушення вимог щодо організації харчування (48 % опитаних), порушення режиму дня (46 % опитаних), низька рухова активність (51 % опитаних).</w:t>
      </w:r>
    </w:p>
    <w:p w:rsidR="00887D91" w:rsidRDefault="00887D91" w:rsidP="00887D91">
      <w:pPr>
        <w:pStyle w:val="a3"/>
        <w:tabs>
          <w:tab w:val="left" w:pos="993"/>
          <w:tab w:val="left" w:pos="1134"/>
          <w:tab w:val="left" w:pos="1418"/>
          <w:tab w:val="left" w:pos="804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Хронічна захворюваність ліцеїстів характеризувалася значною розповсюдженістю хвороб (47,5% - на 1-му курсі, 61,4% - на 2-му курсі, 74,47% - на 3-му курсі). В структурі захворюваності за кількістю випадків, по окремим класам хвороб, спостерігалася наступна їх послідовність: на першому місці були хвороби органів травлення - 18 випадків(13,74±5,44%); друге місце посідали ока та придаткового апарату  - 16 випадків (12,21±5,18%); третє місце - хвороби системи кровообігу – 9 випадків (6,87±3,99%).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Така патологічна ураженість цього контингенту та  збільшення відсотку деяких класів хвороб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можуть бути тим негативним фоном, здатним істотно знижувати і ускладнювати адаптаційний процес до навчально-професійного режиму, що вимагає розробки комплексної системи профілактичних заходів, направлених на попередження розвитку захворюваності підлітків під час навчання в професійному ліцеї.</w:t>
      </w:r>
    </w:p>
    <w:p w:rsidR="00887D91" w:rsidRDefault="00887D91" w:rsidP="00887D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32AA" w:rsidRPr="00887D91" w:rsidRDefault="00F132AA">
      <w:pPr>
        <w:rPr>
          <w:lang w:val="uk-UA"/>
        </w:rPr>
      </w:pPr>
    </w:p>
    <w:sectPr w:rsidR="00F132AA" w:rsidRPr="00887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D91"/>
    <w:rsid w:val="00887D91"/>
    <w:rsid w:val="00F1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D9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D91"/>
    <w:pPr>
      <w:ind w:left="720"/>
      <w:contextualSpacing/>
    </w:pPr>
  </w:style>
  <w:style w:type="table" w:styleId="a4">
    <w:name w:val="Table Grid"/>
    <w:basedOn w:val="a1"/>
    <w:uiPriority w:val="39"/>
    <w:rsid w:val="00887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87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D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D9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D91"/>
    <w:pPr>
      <w:ind w:left="720"/>
      <w:contextualSpacing/>
    </w:pPr>
  </w:style>
  <w:style w:type="table" w:styleId="a4">
    <w:name w:val="Table Grid"/>
    <w:basedOn w:val="a1"/>
    <w:uiPriority w:val="39"/>
    <w:rsid w:val="00887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87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1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44;&#1080;&#1089;&#1077;&#1088;&#1090;&#1072;&#1094;&#1110;&#1103;\Exel\&#1057;&#1086;&#1089;&#1086;&#1090;&#1086;&#1103;&#1085;&#1080;&#1077;%20&#1079;&#1076;&#1086;&#1088;&#1086;&#1074;&#1100;&#1103;.od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44;&#1080;&#1089;&#1077;&#1088;&#1090;&#1072;&#1094;&#1110;&#1103;\Exel\&#1057;&#1086;&#1089;&#1086;&#1090;&#1086;&#1103;&#1085;&#1080;&#1077;%20&#1079;&#1076;&#1086;&#1088;&#1086;&#1074;&#1100;&#1103;.ods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44;&#1080;&#1089;&#1077;&#1088;&#1090;&#1072;&#1094;&#1110;&#1103;\Exel\&#1057;&#1086;&#1089;&#1086;&#1090;&#1086;&#1103;&#1085;&#1080;&#1077;%20&#1079;&#1076;&#1086;&#1088;&#1086;&#1074;&#1100;&#1103;.ods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/>
            </a:pPr>
            <a:r>
              <a:rPr lang="ru-RU" sz="1600" b="1">
                <a:latin typeface="Times New Roman" pitchFamily="18" charset="0"/>
                <a:cs typeface="Times New Roman" pitchFamily="18" charset="0"/>
              </a:rPr>
              <a:t>Рис. 2.Розподіл підлітків 2 курсу навчання за групами здоров'я</a:t>
            </a:r>
          </a:p>
        </c:rich>
      </c:tx>
      <c:layout>
        <c:manualLayout>
          <c:xMode val="edge"/>
          <c:yMode val="edge"/>
          <c:x val="0.15649400818634623"/>
          <c:y val="0.76326396700412447"/>
        </c:manualLayout>
      </c:layout>
      <c:overlay val="0"/>
      <c:spPr>
        <a:noFill/>
        <a:ln>
          <a:noFill/>
        </a:ln>
      </c:spPr>
    </c:title>
    <c:autoTitleDeleted val="0"/>
    <c:view3D>
      <c:rotX val="29"/>
      <c:rotY val="0"/>
      <c:rAngAx val="0"/>
      <c:perspective val="30"/>
    </c:view3D>
    <c:floor>
      <c:thickness val="0"/>
      <c:spPr>
        <a:noFill/>
        <a:ln w="9528">
          <a:solidFill>
            <a:srgbClr val="868686"/>
          </a:solidFill>
          <a:prstDash val="solid"/>
          <a:round/>
        </a:ln>
      </c:spPr>
    </c:floor>
    <c:sideWall>
      <c:thickness val="0"/>
      <c:spPr>
        <a:noFill/>
        <a:ln>
          <a:noFill/>
        </a:ln>
      </c:spPr>
    </c:sideWall>
    <c:backWall>
      <c:thickness val="0"/>
      <c:spPr>
        <a:noFill/>
        <a:ln>
          <a:noFill/>
        </a:ln>
      </c:spPr>
    </c:backWall>
    <c:plotArea>
      <c:layout>
        <c:manualLayout>
          <c:layoutTarget val="inner"/>
          <c:xMode val="edge"/>
          <c:yMode val="edge"/>
          <c:x val="2.0876826722338204E-2"/>
          <c:y val="0.16174471246649724"/>
          <c:w val="0.96164581723735476"/>
          <c:h val="0.53005492369009433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616161"/>
              </a:solidFill>
              <a:ln w="9528">
                <a:solidFill>
                  <a:srgbClr val="F9F9F9"/>
                </a:solidFill>
                <a:prstDash val="solid"/>
                <a:round/>
              </a:ln>
              <a:effectLst>
                <a:outerShdw dist="19997" dir="5400000" algn="tl">
                  <a:srgbClr val="000000">
                    <a:alpha val="38000"/>
                  </a:srgbClr>
                </a:outerShdw>
              </a:effectLst>
            </c:spPr>
          </c:dPt>
          <c:dPt>
            <c:idx val="1"/>
            <c:bubble3D val="0"/>
            <c:spPr>
              <a:solidFill>
                <a:srgbClr val="B3B3B3"/>
              </a:solidFill>
              <a:ln w="9528">
                <a:solidFill>
                  <a:srgbClr val="F9F9F9"/>
                </a:solidFill>
                <a:prstDash val="solid"/>
                <a:round/>
              </a:ln>
              <a:effectLst>
                <a:outerShdw dist="19997" dir="5400000" algn="tl">
                  <a:srgbClr val="000000">
                    <a:alpha val="38000"/>
                  </a:srgbClr>
                </a:outerShdw>
              </a:effectLst>
            </c:spPr>
          </c:dPt>
          <c:dPt>
            <c:idx val="2"/>
            <c:bubble3D val="0"/>
            <c:spPr>
              <a:solidFill>
                <a:srgbClr val="818181"/>
              </a:solidFill>
              <a:ln w="9528">
                <a:solidFill>
                  <a:srgbClr val="F9F9F9"/>
                </a:solidFill>
                <a:prstDash val="solid"/>
                <a:round/>
              </a:ln>
              <a:effectLst>
                <a:outerShdw dist="19997" dir="5400000" algn="tl">
                  <a:srgbClr val="000000">
                    <a:alpha val="38000"/>
                  </a:srgbClr>
                </a:outerShdw>
              </a:effectLst>
            </c:spPr>
          </c:dPt>
          <c:dPt>
            <c:idx val="3"/>
            <c:bubble3D val="0"/>
            <c:spPr>
              <a:solidFill>
                <a:srgbClr val="505050"/>
              </a:solidFill>
              <a:ln w="9528">
                <a:solidFill>
                  <a:srgbClr val="F9F9F9"/>
                </a:solidFill>
                <a:prstDash val="solid"/>
                <a:round/>
              </a:ln>
              <a:effectLst>
                <a:outerShdw dist="19997" dir="5400000" algn="tl">
                  <a:srgbClr val="000000">
                    <a:alpha val="38000"/>
                  </a:srgbClr>
                </a:outerShdw>
              </a:effectLst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29,54%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52,27%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18,18%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 algn="ctr">
                  <a:defRPr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Sheet1!$G$83:$G$86</c:f>
              <c:strCache>
                <c:ptCount val="4"/>
                <c:pt idx="0">
                  <c:v>I гр.</c:v>
                </c:pt>
                <c:pt idx="1">
                  <c:v>II гр.</c:v>
                </c:pt>
                <c:pt idx="2">
                  <c:v>III гр.</c:v>
                </c:pt>
                <c:pt idx="3">
                  <c:v>IV гр.</c:v>
                </c:pt>
              </c:strCache>
            </c:strRef>
          </c:cat>
          <c:val>
            <c:numRef>
              <c:f>Sheet1!$H$83:$H$86</c:f>
              <c:numCache>
                <c:formatCode>[$-419]General</c:formatCode>
                <c:ptCount val="4"/>
                <c:pt idx="0">
                  <c:v>13</c:v>
                </c:pt>
                <c:pt idx="1">
                  <c:v>23</c:v>
                </c:pt>
                <c:pt idx="2">
                  <c:v>8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dPt>
            <c:idx val="0"/>
            <c:bubble3D val="0"/>
            <c:spPr>
              <a:solidFill>
                <a:srgbClr val="616161"/>
              </a:solidFill>
              <a:ln w="9528">
                <a:solidFill>
                  <a:srgbClr val="F9F9F9"/>
                </a:solidFill>
                <a:prstDash val="solid"/>
                <a:round/>
              </a:ln>
              <a:effectLst>
                <a:outerShdw dist="19997" dir="5400000" algn="tl">
                  <a:srgbClr val="000000">
                    <a:alpha val="38000"/>
                  </a:srgbClr>
                </a:outerShdw>
              </a:effectLst>
            </c:spPr>
          </c:dPt>
          <c:dPt>
            <c:idx val="1"/>
            <c:bubble3D val="0"/>
            <c:spPr>
              <a:solidFill>
                <a:srgbClr val="B3B3B3"/>
              </a:solidFill>
              <a:ln w="9528">
                <a:solidFill>
                  <a:srgbClr val="F9F9F9"/>
                </a:solidFill>
                <a:prstDash val="solid"/>
                <a:round/>
              </a:ln>
              <a:effectLst>
                <a:outerShdw dist="19997" dir="5400000" algn="tl">
                  <a:srgbClr val="000000">
                    <a:alpha val="38000"/>
                  </a:srgbClr>
                </a:outerShdw>
              </a:effectLst>
            </c:spPr>
          </c:dPt>
          <c:dPt>
            <c:idx val="2"/>
            <c:bubble3D val="0"/>
            <c:spPr>
              <a:solidFill>
                <a:srgbClr val="818181"/>
              </a:solidFill>
              <a:ln w="9528">
                <a:solidFill>
                  <a:srgbClr val="F9F9F9"/>
                </a:solidFill>
                <a:prstDash val="solid"/>
                <a:round/>
              </a:ln>
              <a:effectLst>
                <a:outerShdw dist="19997" dir="5400000" algn="tl">
                  <a:srgbClr val="000000">
                    <a:alpha val="38000"/>
                  </a:srgbClr>
                </a:outerShdw>
              </a:effectLst>
            </c:spPr>
          </c:dPt>
          <c:dPt>
            <c:idx val="3"/>
            <c:bubble3D val="0"/>
            <c:spPr>
              <a:solidFill>
                <a:srgbClr val="505050"/>
              </a:solidFill>
              <a:ln w="9528">
                <a:solidFill>
                  <a:srgbClr val="F9F9F9"/>
                </a:solidFill>
                <a:prstDash val="solid"/>
                <a:round/>
              </a:ln>
              <a:effectLst>
                <a:outerShdw dist="19997" dir="5400000" algn="tl">
                  <a:srgbClr val="000000">
                    <a:alpha val="38000"/>
                  </a:srgbClr>
                </a:outerShd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 algn="ctr">
                  <a:defRPr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Sheet1!$I$83:$I$86</c:f>
              <c:numCache>
                <c:formatCode>[$-419]General</c:formatCode>
                <c:ptCount val="4"/>
                <c:pt idx="0">
                  <c:v>29.54</c:v>
                </c:pt>
                <c:pt idx="1">
                  <c:v>52.27</c:v>
                </c:pt>
                <c:pt idx="2">
                  <c:v>18.18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</c:spPr>
    </c:plotArea>
    <c:legend>
      <c:legendPos val="t"/>
      <c:legendEntry>
        <c:idx val="3"/>
        <c:delete val="1"/>
      </c:legendEntry>
      <c:layout>
        <c:manualLayout>
          <c:xMode val="edge"/>
          <c:yMode val="edge"/>
          <c:x val="0.24342434753067141"/>
          <c:y val="2.998236331569664E-2"/>
          <c:w val="0.50619236269787782"/>
          <c:h val="7.9730658667666543E-2"/>
        </c:manualLayout>
      </c:layout>
      <c:overlay val="0"/>
      <c:spPr>
        <a:noFill/>
        <a:ln>
          <a:noFill/>
        </a:ln>
      </c:spPr>
    </c:legend>
    <c:plotVisOnly val="1"/>
    <c:dispBlanksAs val="gap"/>
    <c:showDLblsOverMax val="0"/>
  </c:chart>
  <c:spPr>
    <a:solidFill>
      <a:srgbClr val="FFFFFF"/>
    </a:solidFill>
    <a:ln w="9528">
      <a:solidFill>
        <a:schemeClr val="bg1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10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/>
            </a:pPr>
            <a:r>
              <a:rPr lang="ru-RU" sz="1600" b="1">
                <a:latin typeface="Times New Roman" pitchFamily="18" charset="0"/>
                <a:cs typeface="Times New Roman" pitchFamily="18" charset="0"/>
              </a:rPr>
              <a:t>Рис. 1.Розподіл підлітків 1 курсу навчання за групами здоров'я</a:t>
            </a:r>
          </a:p>
        </c:rich>
      </c:tx>
      <c:layout>
        <c:manualLayout>
          <c:xMode val="edge"/>
          <c:yMode val="edge"/>
          <c:x val="0.12627889419228003"/>
          <c:y val="0.79861111111111116"/>
        </c:manualLayout>
      </c:layout>
      <c:overlay val="0"/>
      <c:spPr>
        <a:noFill/>
        <a:ln>
          <a:noFill/>
        </a:ln>
      </c:spPr>
    </c:title>
    <c:autoTitleDeleted val="0"/>
    <c:view3D>
      <c:rotX val="29"/>
      <c:rotY val="0"/>
      <c:rAngAx val="0"/>
      <c:perspective val="30"/>
    </c:view3D>
    <c:floor>
      <c:thickness val="0"/>
      <c:spPr>
        <a:noFill/>
        <a:ln w="9528">
          <a:solidFill>
            <a:srgbClr val="868686"/>
          </a:solidFill>
          <a:prstDash val="solid"/>
          <a:round/>
        </a:ln>
      </c:spPr>
    </c:floor>
    <c:sideWall>
      <c:thickness val="0"/>
      <c:spPr>
        <a:noFill/>
        <a:ln>
          <a:noFill/>
        </a:ln>
      </c:spPr>
    </c:sideWall>
    <c:backWall>
      <c:thickness val="0"/>
      <c:spPr>
        <a:noFill/>
        <a:ln>
          <a:noFill/>
        </a:ln>
      </c:spPr>
    </c:backWall>
    <c:plotArea>
      <c:layout>
        <c:manualLayout>
          <c:layoutTarget val="inner"/>
          <c:xMode val="edge"/>
          <c:yMode val="edge"/>
          <c:x val="8.9902613524660765E-2"/>
          <c:y val="0.22338692038495192"/>
          <c:w val="0.81388926118277771"/>
          <c:h val="0.5501128765154356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616161"/>
              </a:solidFill>
              <a:ln w="9528">
                <a:solidFill>
                  <a:srgbClr val="F9F9F9"/>
                </a:solidFill>
                <a:prstDash val="solid"/>
                <a:round/>
              </a:ln>
              <a:effectLst>
                <a:outerShdw dist="19997" dir="5400000" algn="tl">
                  <a:srgbClr val="000000">
                    <a:alpha val="38000"/>
                  </a:srgbClr>
                </a:outerShdw>
              </a:effectLst>
            </c:spPr>
          </c:dPt>
          <c:dPt>
            <c:idx val="1"/>
            <c:bubble3D val="0"/>
            <c:spPr>
              <a:solidFill>
                <a:srgbClr val="B3B3B3"/>
              </a:solidFill>
              <a:ln w="9528">
                <a:solidFill>
                  <a:srgbClr val="F9F9F9"/>
                </a:solidFill>
                <a:prstDash val="solid"/>
                <a:round/>
              </a:ln>
              <a:effectLst>
                <a:outerShdw dist="19997" dir="5400000" algn="tl">
                  <a:srgbClr val="000000">
                    <a:alpha val="38000"/>
                  </a:srgbClr>
                </a:outerShdw>
              </a:effectLst>
            </c:spPr>
          </c:dPt>
          <c:dPt>
            <c:idx val="2"/>
            <c:bubble3D val="0"/>
            <c:spPr>
              <a:solidFill>
                <a:srgbClr val="818181"/>
              </a:solidFill>
              <a:ln w="9528">
                <a:solidFill>
                  <a:srgbClr val="F9F9F9"/>
                </a:solidFill>
                <a:prstDash val="solid"/>
                <a:round/>
              </a:ln>
              <a:effectLst>
                <a:outerShdw dist="19997" dir="5400000" algn="tl">
                  <a:srgbClr val="000000">
                    <a:alpha val="38000"/>
                  </a:srgbClr>
                </a:outerShdw>
              </a:effectLst>
            </c:spPr>
          </c:dPt>
          <c:dPt>
            <c:idx val="3"/>
            <c:bubble3D val="0"/>
            <c:spPr>
              <a:solidFill>
                <a:srgbClr val="505050"/>
              </a:solidFill>
              <a:ln w="9528">
                <a:solidFill>
                  <a:srgbClr val="F9F9F9"/>
                </a:solidFill>
                <a:prstDash val="solid"/>
                <a:round/>
              </a:ln>
              <a:effectLst>
                <a:outerShdw dist="19997" dir="5400000" algn="tl">
                  <a:srgbClr val="000000">
                    <a:alpha val="38000"/>
                  </a:srgbClr>
                </a:outerShdw>
              </a:effectLst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37,5%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47,5%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12,5%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2,5%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 algn="ctr">
                  <a:defRPr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Sheet1!$B$83:$B$86</c:f>
              <c:strCache>
                <c:ptCount val="4"/>
                <c:pt idx="0">
                  <c:v>I гр.</c:v>
                </c:pt>
                <c:pt idx="1">
                  <c:v>II гр.</c:v>
                </c:pt>
                <c:pt idx="2">
                  <c:v>III гр.</c:v>
                </c:pt>
                <c:pt idx="3">
                  <c:v>IV гр.</c:v>
                </c:pt>
              </c:strCache>
            </c:strRef>
          </c:cat>
          <c:val>
            <c:numRef>
              <c:f>Sheet1!$C$83:$C$86</c:f>
              <c:numCache>
                <c:formatCode>[$-419]General</c:formatCode>
                <c:ptCount val="4"/>
                <c:pt idx="0">
                  <c:v>15</c:v>
                </c:pt>
                <c:pt idx="1">
                  <c:v>19</c:v>
                </c:pt>
                <c:pt idx="2">
                  <c:v>5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dPt>
            <c:idx val="0"/>
            <c:bubble3D val="0"/>
            <c:spPr>
              <a:solidFill>
                <a:srgbClr val="616161"/>
              </a:solidFill>
              <a:ln w="9528">
                <a:solidFill>
                  <a:srgbClr val="F9F9F9"/>
                </a:solidFill>
                <a:prstDash val="solid"/>
                <a:round/>
              </a:ln>
              <a:effectLst>
                <a:outerShdw dist="19997" dir="5400000" algn="tl">
                  <a:srgbClr val="000000">
                    <a:alpha val="38000"/>
                  </a:srgbClr>
                </a:outerShdw>
              </a:effectLst>
            </c:spPr>
          </c:dPt>
          <c:dPt>
            <c:idx val="1"/>
            <c:bubble3D val="0"/>
            <c:spPr>
              <a:solidFill>
                <a:srgbClr val="B3B3B3"/>
              </a:solidFill>
              <a:ln w="9528">
                <a:solidFill>
                  <a:srgbClr val="F9F9F9"/>
                </a:solidFill>
                <a:prstDash val="solid"/>
                <a:round/>
              </a:ln>
              <a:effectLst>
                <a:outerShdw dist="19997" dir="5400000" algn="tl">
                  <a:srgbClr val="000000">
                    <a:alpha val="38000"/>
                  </a:srgbClr>
                </a:outerShdw>
              </a:effectLst>
            </c:spPr>
          </c:dPt>
          <c:dPt>
            <c:idx val="2"/>
            <c:bubble3D val="0"/>
            <c:spPr>
              <a:solidFill>
                <a:srgbClr val="818181"/>
              </a:solidFill>
              <a:ln w="9528">
                <a:solidFill>
                  <a:srgbClr val="F9F9F9"/>
                </a:solidFill>
                <a:prstDash val="solid"/>
                <a:round/>
              </a:ln>
              <a:effectLst>
                <a:outerShdw dist="19997" dir="5400000" algn="tl">
                  <a:srgbClr val="000000">
                    <a:alpha val="38000"/>
                  </a:srgbClr>
                </a:outerShdw>
              </a:effectLst>
            </c:spPr>
          </c:dPt>
          <c:dPt>
            <c:idx val="3"/>
            <c:bubble3D val="0"/>
            <c:spPr>
              <a:solidFill>
                <a:srgbClr val="505050"/>
              </a:solidFill>
              <a:ln w="9528">
                <a:solidFill>
                  <a:srgbClr val="F9F9F9"/>
                </a:solidFill>
                <a:prstDash val="solid"/>
                <a:round/>
              </a:ln>
              <a:effectLst>
                <a:outerShdw dist="19997" dir="5400000" algn="tl">
                  <a:srgbClr val="000000">
                    <a:alpha val="38000"/>
                  </a:srgbClr>
                </a:outerShd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 algn="ctr">
                  <a:defRPr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Sheet1!$D$83:$D$86</c:f>
              <c:numCache>
                <c:formatCode>[$-419]General</c:formatCode>
                <c:ptCount val="4"/>
                <c:pt idx="0">
                  <c:v>37.5</c:v>
                </c:pt>
                <c:pt idx="1">
                  <c:v>47.5</c:v>
                </c:pt>
                <c:pt idx="2">
                  <c:v>12.5</c:v>
                </c:pt>
                <c:pt idx="3">
                  <c:v>2.5</c:v>
                </c:pt>
              </c:numCache>
            </c:numRef>
          </c:val>
        </c:ser>
        <c:ser>
          <c:idx val="2"/>
          <c:order val="2"/>
          <c:dPt>
            <c:idx val="0"/>
            <c:bubble3D val="0"/>
            <c:spPr>
              <a:solidFill>
                <a:srgbClr val="616161"/>
              </a:solidFill>
              <a:ln w="9528">
                <a:solidFill>
                  <a:srgbClr val="F9F9F9"/>
                </a:solidFill>
                <a:prstDash val="solid"/>
                <a:round/>
              </a:ln>
              <a:effectLst>
                <a:outerShdw dist="19997" dir="5400000" algn="tl">
                  <a:srgbClr val="000000">
                    <a:alpha val="38000"/>
                  </a:srgbClr>
                </a:outerShdw>
              </a:effectLst>
            </c:spPr>
          </c:dPt>
          <c:dPt>
            <c:idx val="1"/>
            <c:bubble3D val="0"/>
            <c:spPr>
              <a:solidFill>
                <a:srgbClr val="B3B3B3"/>
              </a:solidFill>
              <a:ln w="9528">
                <a:solidFill>
                  <a:srgbClr val="F9F9F9"/>
                </a:solidFill>
                <a:prstDash val="solid"/>
                <a:round/>
              </a:ln>
              <a:effectLst>
                <a:outerShdw dist="19997" dir="5400000" algn="tl">
                  <a:srgbClr val="000000">
                    <a:alpha val="38000"/>
                  </a:srgbClr>
                </a:outerShdw>
              </a:effectLst>
            </c:spPr>
          </c:dPt>
          <c:dPt>
            <c:idx val="2"/>
            <c:bubble3D val="0"/>
            <c:spPr>
              <a:solidFill>
                <a:srgbClr val="818181"/>
              </a:solidFill>
              <a:ln w="9528">
                <a:solidFill>
                  <a:srgbClr val="F9F9F9"/>
                </a:solidFill>
                <a:prstDash val="solid"/>
                <a:round/>
              </a:ln>
              <a:effectLst>
                <a:outerShdw dist="19997" dir="5400000" algn="tl">
                  <a:srgbClr val="000000">
                    <a:alpha val="38000"/>
                  </a:srgbClr>
                </a:outerShdw>
              </a:effectLst>
            </c:spPr>
          </c:dPt>
          <c:dPt>
            <c:idx val="3"/>
            <c:bubble3D val="0"/>
            <c:spPr>
              <a:solidFill>
                <a:srgbClr val="505050"/>
              </a:solidFill>
              <a:ln w="9528">
                <a:solidFill>
                  <a:srgbClr val="F9F9F9"/>
                </a:solidFill>
                <a:prstDash val="solid"/>
                <a:round/>
              </a:ln>
              <a:effectLst>
                <a:outerShdw dist="19997" dir="5400000" algn="tl">
                  <a:srgbClr val="000000">
                    <a:alpha val="38000"/>
                  </a:srgbClr>
                </a:outerShd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 algn="ctr">
                  <a:defRPr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Sheet1!$E$83:$E$86</c:f>
              <c:numCache>
                <c:formatCode>[$-419]General</c:formatCode>
                <c:ptCount val="4"/>
                <c:pt idx="0">
                  <c:v>7.65</c:v>
                </c:pt>
                <c:pt idx="1">
                  <c:v>7.89</c:v>
                </c:pt>
                <c:pt idx="2">
                  <c:v>5.23</c:v>
                </c:pt>
                <c:pt idx="3">
                  <c:v>2.4700000000000002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</c:spPr>
    </c:plotArea>
    <c:legend>
      <c:legendPos val="t"/>
      <c:layout>
        <c:manualLayout>
          <c:xMode val="edge"/>
          <c:yMode val="edge"/>
          <c:x val="0.26274181943473279"/>
          <c:y val="7.3412698412698402E-2"/>
          <c:w val="0.46808135469552792"/>
          <c:h val="8.9696991001124854E-2"/>
        </c:manualLayout>
      </c:layout>
      <c:overlay val="0"/>
      <c:spPr>
        <a:noFill/>
        <a:ln>
          <a:noFill/>
        </a:ln>
      </c:spPr>
    </c:legend>
    <c:plotVisOnly val="1"/>
    <c:dispBlanksAs val="gap"/>
    <c:showDLblsOverMax val="0"/>
  </c:chart>
  <c:spPr>
    <a:solidFill>
      <a:srgbClr val="FFFFFF"/>
    </a:solidFill>
    <a:ln w="9528">
      <a:solidFill>
        <a:schemeClr val="bg1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10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ctr">
              <a:defRPr/>
            </a:pPr>
            <a:r>
              <a:rPr lang="ru-RU" sz="1600" b="1">
                <a:latin typeface="Times New Roman" pitchFamily="18" charset="0"/>
                <a:cs typeface="Times New Roman" pitchFamily="18" charset="0"/>
              </a:rPr>
              <a:t>Рис. 3.Розподіл підлітків 3 курсу навчання за групами здоров'я</a:t>
            </a:r>
          </a:p>
        </c:rich>
      </c:tx>
      <c:layout>
        <c:manualLayout>
          <c:xMode val="edge"/>
          <c:yMode val="edge"/>
          <c:x val="0.14798033720361226"/>
          <c:y val="0.71123790622674277"/>
        </c:manualLayout>
      </c:layout>
      <c:overlay val="0"/>
      <c:spPr>
        <a:noFill/>
        <a:ln>
          <a:noFill/>
        </a:ln>
      </c:spPr>
    </c:title>
    <c:autoTitleDeleted val="0"/>
    <c:view3D>
      <c:rotX val="29"/>
      <c:rotY val="0"/>
      <c:rAngAx val="0"/>
      <c:perspective val="30"/>
    </c:view3D>
    <c:floor>
      <c:thickness val="0"/>
      <c:spPr>
        <a:noFill/>
        <a:ln w="9528">
          <a:solidFill>
            <a:srgbClr val="868686"/>
          </a:solidFill>
          <a:prstDash val="solid"/>
          <a:round/>
        </a:ln>
      </c:spPr>
    </c:floor>
    <c:sideWall>
      <c:thickness val="0"/>
      <c:spPr>
        <a:noFill/>
        <a:ln>
          <a:noFill/>
        </a:ln>
      </c:spPr>
    </c:sideWall>
    <c:backWall>
      <c:thickness val="0"/>
      <c:spPr>
        <a:noFill/>
        <a:ln>
          <a:noFill/>
        </a:ln>
      </c:spPr>
    </c:backWall>
    <c:plotArea>
      <c:layout>
        <c:manualLayout>
          <c:layoutTarget val="inner"/>
          <c:xMode val="edge"/>
          <c:yMode val="edge"/>
          <c:x val="1.4126787921596327E-2"/>
          <c:y val="0.16757140038715704"/>
          <c:w val="0.98542139330041367"/>
          <c:h val="0.54067069741282336"/>
        </c:manualLayout>
      </c:layout>
      <c:pie3DChart>
        <c:varyColors val="1"/>
        <c:ser>
          <c:idx val="0"/>
          <c:order val="0"/>
          <c:explosion val="1"/>
          <c:dPt>
            <c:idx val="0"/>
            <c:bubble3D val="0"/>
            <c:spPr>
              <a:solidFill>
                <a:srgbClr val="616161"/>
              </a:solidFill>
              <a:ln>
                <a:noFill/>
              </a:ln>
            </c:spPr>
          </c:dPt>
          <c:dPt>
            <c:idx val="1"/>
            <c:bubble3D val="0"/>
            <c:spPr>
              <a:solidFill>
                <a:srgbClr val="B3B3B3"/>
              </a:solidFill>
              <a:ln>
                <a:noFill/>
              </a:ln>
            </c:spPr>
          </c:dPt>
          <c:dPt>
            <c:idx val="2"/>
            <c:bubble3D val="0"/>
            <c:spPr>
              <a:solidFill>
                <a:srgbClr val="818181"/>
              </a:solidFill>
              <a:ln>
                <a:noFill/>
              </a:ln>
            </c:spPr>
          </c:dPt>
          <c:dPt>
            <c:idx val="3"/>
            <c:bubble3D val="0"/>
            <c:spPr>
              <a:solidFill>
                <a:srgbClr val="505050"/>
              </a:solidFill>
              <a:ln>
                <a:noFill/>
              </a:ln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21,28%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63,83%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14,89%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 algn="ctr">
                  <a:defRPr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Sheet1!$M$83:$M$86</c:f>
              <c:strCache>
                <c:ptCount val="4"/>
                <c:pt idx="0">
                  <c:v>I гр.</c:v>
                </c:pt>
                <c:pt idx="1">
                  <c:v>II гр.</c:v>
                </c:pt>
                <c:pt idx="2">
                  <c:v>III гр.</c:v>
                </c:pt>
                <c:pt idx="3">
                  <c:v>IV гр.</c:v>
                </c:pt>
              </c:strCache>
            </c:strRef>
          </c:cat>
          <c:val>
            <c:numRef>
              <c:f>Sheet1!$N$83:$N$86</c:f>
              <c:numCache>
                <c:formatCode>[$-419]General</c:formatCode>
                <c:ptCount val="4"/>
                <c:pt idx="0">
                  <c:v>10</c:v>
                </c:pt>
                <c:pt idx="1">
                  <c:v>30</c:v>
                </c:pt>
                <c:pt idx="2">
                  <c:v>7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dPt>
            <c:idx val="0"/>
            <c:bubble3D val="0"/>
            <c:spPr>
              <a:solidFill>
                <a:srgbClr val="616161"/>
              </a:solidFill>
              <a:ln>
                <a:noFill/>
              </a:ln>
            </c:spPr>
          </c:dPt>
          <c:dPt>
            <c:idx val="1"/>
            <c:bubble3D val="0"/>
            <c:spPr>
              <a:solidFill>
                <a:srgbClr val="B3B3B3"/>
              </a:solidFill>
              <a:ln>
                <a:noFill/>
              </a:ln>
            </c:spPr>
          </c:dPt>
          <c:dPt>
            <c:idx val="2"/>
            <c:bubble3D val="0"/>
            <c:spPr>
              <a:solidFill>
                <a:srgbClr val="818181"/>
              </a:solidFill>
              <a:ln>
                <a:noFill/>
              </a:ln>
            </c:spPr>
          </c:dPt>
          <c:dPt>
            <c:idx val="3"/>
            <c:bubble3D val="0"/>
            <c:spPr>
              <a:solidFill>
                <a:srgbClr val="505050"/>
              </a:solidFill>
              <a:ln>
                <a:noFill/>
              </a:ln>
            </c:spPr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 algn="ctr">
                  <a:defRPr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val>
            <c:numRef>
              <c:f>Sheet1!$O$83:$O$86</c:f>
              <c:numCache>
                <c:formatCode>[$-419]General</c:formatCode>
                <c:ptCount val="4"/>
                <c:pt idx="0">
                  <c:v>21.28</c:v>
                </c:pt>
                <c:pt idx="1">
                  <c:v>63.83</c:v>
                </c:pt>
                <c:pt idx="2">
                  <c:v>14.89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</c:spPr>
    </c:plotArea>
    <c:legend>
      <c:legendPos val="t"/>
      <c:legendEntry>
        <c:idx val="3"/>
        <c:delete val="1"/>
      </c:legendEntry>
      <c:layout>
        <c:manualLayout>
          <c:xMode val="edge"/>
          <c:yMode val="edge"/>
          <c:x val="0.25727456737399351"/>
          <c:y val="5.8546266435127746E-2"/>
          <c:w val="0.51369945282263441"/>
          <c:h val="8.9696991001124854E-2"/>
        </c:manualLayout>
      </c:layout>
      <c:overlay val="0"/>
      <c:spPr>
        <a:noFill/>
        <a:ln>
          <a:noFill/>
        </a:ln>
      </c:spPr>
    </c:legend>
    <c:plotVisOnly val="1"/>
    <c:dispBlanksAs val="gap"/>
    <c:showDLblsOverMax val="0"/>
  </c:chart>
  <c:spPr>
    <a:solidFill>
      <a:srgbClr val="FFFFFF"/>
    </a:solidFill>
    <a:ln w="9528">
      <a:solidFill>
        <a:schemeClr val="bg1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10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2396</Words>
  <Characters>13661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2018-11-20T11:08:00Z</dcterms:created>
  <dcterms:modified xsi:type="dcterms:W3CDTF">2018-11-20T11:09:00Z</dcterms:modified>
</cp:coreProperties>
</file>