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drawings/drawing1.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2.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drawings/drawing3.xml" ContentType="application/vnd.openxmlformats-officedocument.drawingml.chartshapes+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drawings/drawing4.xml" ContentType="application/vnd.openxmlformats-officedocument.drawingml.chartshapes+xml"/>
  <Override PartName="/word/charts/chart11.xml" ContentType="application/vnd.openxmlformats-officedocument.drawingml.chart+xml"/>
  <Override PartName="/word/theme/themeOverride11.xml" ContentType="application/vnd.openxmlformats-officedocument.themeOverride+xml"/>
  <Override PartName="/word/drawings/drawing5.xml" ContentType="application/vnd.openxmlformats-officedocument.drawingml.chartshapes+xml"/>
  <Override PartName="/word/charts/chart12.xml" ContentType="application/vnd.openxmlformats-officedocument.drawingml.chart+xml"/>
  <Override PartName="/word/theme/themeOverride12.xml" ContentType="application/vnd.openxmlformats-officedocument.themeOverride+xml"/>
  <Override PartName="/word/drawings/drawing6.xml" ContentType="application/vnd.openxmlformats-officedocument.drawingml.chartshapes+xml"/>
  <Override PartName="/word/charts/chart13.xml" ContentType="application/vnd.openxmlformats-officedocument.drawingml.chart+xml"/>
  <Override PartName="/word/theme/themeOverride13.xml" ContentType="application/vnd.openxmlformats-officedocument.themeOverride+xml"/>
  <Override PartName="/word/drawings/drawing7.xml" ContentType="application/vnd.openxmlformats-officedocument.drawingml.chartshapes+xml"/>
  <Override PartName="/word/charts/chart14.xml" ContentType="application/vnd.openxmlformats-officedocument.drawingml.chart+xml"/>
  <Override PartName="/word/theme/themeOverride14.xml" ContentType="application/vnd.openxmlformats-officedocument.themeOverride+xml"/>
  <Override PartName="/word/drawings/drawing8.xml" ContentType="application/vnd.openxmlformats-officedocument.drawingml.chartshapes+xml"/>
  <Override PartName="/word/charts/chart15.xml" ContentType="application/vnd.openxmlformats-officedocument.drawingml.chart+xml"/>
  <Override PartName="/word/theme/themeOverride15.xml" ContentType="application/vnd.openxmlformats-officedocument.themeOverride+xml"/>
  <Override PartName="/word/drawings/drawing9.xml" ContentType="application/vnd.openxmlformats-officedocument.drawingml.chartshapes+xml"/>
  <Override PartName="/word/charts/chart16.xml" ContentType="application/vnd.openxmlformats-officedocument.drawingml.chart+xml"/>
  <Override PartName="/word/theme/themeOverride16.xml" ContentType="application/vnd.openxmlformats-officedocument.themeOverride+xml"/>
  <Override PartName="/word/drawings/drawing10.xml" ContentType="application/vnd.openxmlformats-officedocument.drawingml.chartshapes+xml"/>
  <Override PartName="/word/charts/chart17.xml" ContentType="application/vnd.openxmlformats-officedocument.drawingml.chart+xml"/>
  <Override PartName="/word/theme/themeOverride17.xml" ContentType="application/vnd.openxmlformats-officedocument.themeOverride+xml"/>
  <Override PartName="/word/drawings/drawing11.xml" ContentType="application/vnd.openxmlformats-officedocument.drawingml.chartshapes+xml"/>
  <Override PartName="/word/charts/chart18.xml" ContentType="application/vnd.openxmlformats-officedocument.drawingml.chart+xml"/>
  <Override PartName="/word/theme/themeOverride18.xml" ContentType="application/vnd.openxmlformats-officedocument.themeOverride+xml"/>
  <Override PartName="/word/drawings/drawing12.xml" ContentType="application/vnd.openxmlformats-officedocument.drawingml.chartshapes+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drawings/drawing13.xml" ContentType="application/vnd.openxmlformats-officedocument.drawingml.chartshapes+xml"/>
  <Override PartName="/word/charts/chart22.xml" ContentType="application/vnd.openxmlformats-officedocument.drawingml.chart+xml"/>
  <Override PartName="/word/theme/themeOverride22.xml" ContentType="application/vnd.openxmlformats-officedocument.themeOverride+xml"/>
  <Override PartName="/word/drawings/drawing14.xml" ContentType="application/vnd.openxmlformats-officedocument.drawingml.chartshapes+xml"/>
  <Override PartName="/word/charts/chart23.xml" ContentType="application/vnd.openxmlformats-officedocument.drawingml.chart+xml"/>
  <Override PartName="/word/theme/themeOverride23.xml" ContentType="application/vnd.openxmlformats-officedocument.themeOverride+xml"/>
  <Override PartName="/word/drawings/drawing15.xml" ContentType="application/vnd.openxmlformats-officedocument.drawingml.chartshapes+xml"/>
  <Override PartName="/word/charts/chart24.xml" ContentType="application/vnd.openxmlformats-officedocument.drawingml.chart+xml"/>
  <Override PartName="/word/theme/themeOverride24.xml" ContentType="application/vnd.openxmlformats-officedocument.themeOverride+xml"/>
  <Override PartName="/word/drawings/drawing16.xml" ContentType="application/vnd.openxmlformats-officedocument.drawingml.chartshapes+xml"/>
  <Override PartName="/word/charts/chart25.xml" ContentType="application/vnd.openxmlformats-officedocument.drawingml.chart+xml"/>
  <Override PartName="/word/theme/themeOverride25.xml" ContentType="application/vnd.openxmlformats-officedocument.themeOverride+xml"/>
  <Override PartName="/word/drawings/drawing17.xml" ContentType="application/vnd.openxmlformats-officedocument.drawingml.chartshapes+xml"/>
  <Override PartName="/word/charts/chart26.xml" ContentType="application/vnd.openxmlformats-officedocument.drawingml.chart+xml"/>
  <Override PartName="/word/theme/themeOverride26.xml" ContentType="application/vnd.openxmlformats-officedocument.themeOverride+xml"/>
  <Override PartName="/word/charts/chart27.xml" ContentType="application/vnd.openxmlformats-officedocument.drawingml.chart+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theme/themeOverride29.xml" ContentType="application/vnd.openxmlformats-officedocument.themeOverride+xml"/>
  <Override PartName="/word/charts/chart30.xml" ContentType="application/vnd.openxmlformats-officedocument.drawingml.chart+xml"/>
  <Override PartName="/word/theme/themeOverride30.xml" ContentType="application/vnd.openxmlformats-officedocument.themeOverride+xml"/>
  <Override PartName="/word/charts/chart31.xml" ContentType="application/vnd.openxmlformats-officedocument.drawingml.chart+xml"/>
  <Override PartName="/word/theme/themeOverride31.xml" ContentType="application/vnd.openxmlformats-officedocument.themeOverride+xml"/>
  <Override PartName="/word/charts/chart32.xml" ContentType="application/vnd.openxmlformats-officedocument.drawingml.chart+xml"/>
  <Override PartName="/word/theme/themeOverride32.xml" ContentType="application/vnd.openxmlformats-officedocument.themeOverride+xml"/>
  <Override PartName="/word/charts/chart33.xml" ContentType="application/vnd.openxmlformats-officedocument.drawingml.chart+xml"/>
  <Override PartName="/word/theme/themeOverride33.xml" ContentType="application/vnd.openxmlformats-officedocument.themeOverride+xml"/>
  <Override PartName="/word/charts/chart34.xml" ContentType="application/vnd.openxmlformats-officedocument.drawingml.chart+xml"/>
  <Override PartName="/word/theme/themeOverride34.xml" ContentType="application/vnd.openxmlformats-officedocument.themeOverride+xml"/>
  <Override PartName="/word/charts/chart35.xml" ContentType="application/vnd.openxmlformats-officedocument.drawingml.chart+xml"/>
  <Override PartName="/word/theme/themeOverride35.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4063" w:rsidRPr="00F90B6B" w:rsidRDefault="00EF4063" w:rsidP="00F0048B">
      <w:pPr>
        <w:autoSpaceDE w:val="0"/>
        <w:autoSpaceDN w:val="0"/>
        <w:adjustRightInd w:val="0"/>
        <w:spacing w:after="0" w:line="360" w:lineRule="auto"/>
        <w:jc w:val="center"/>
        <w:rPr>
          <w:rFonts w:ascii="Times New Roman" w:eastAsia="TimesNewRoman" w:hAnsi="Times New Roman"/>
          <w:sz w:val="28"/>
          <w:szCs w:val="28"/>
          <w:lang w:val="ru-RU"/>
        </w:rPr>
      </w:pPr>
      <w:bookmarkStart w:id="0" w:name="_GoBack"/>
      <w:bookmarkEnd w:id="0"/>
      <w:r w:rsidRPr="00F90B6B">
        <w:rPr>
          <w:rFonts w:ascii="Times New Roman" w:eastAsia="TimesNewRoman" w:hAnsi="Times New Roman"/>
          <w:sz w:val="28"/>
          <w:szCs w:val="28"/>
          <w:lang w:val="ru-RU"/>
        </w:rPr>
        <w:t>НАЦІОНАЛЬНА АКАДЕМІЯ МЕДИЧНИХ НАУК УКРАЇНИ</w:t>
      </w:r>
    </w:p>
    <w:p w:rsidR="00EF4063" w:rsidRDefault="00EF4063" w:rsidP="00F0048B">
      <w:pPr>
        <w:autoSpaceDE w:val="0"/>
        <w:autoSpaceDN w:val="0"/>
        <w:adjustRightInd w:val="0"/>
        <w:spacing w:after="0" w:line="360" w:lineRule="auto"/>
        <w:jc w:val="center"/>
        <w:rPr>
          <w:rFonts w:ascii="Times New Roman" w:eastAsia="TimesNewRoman" w:hAnsi="Times New Roman"/>
          <w:sz w:val="28"/>
          <w:szCs w:val="28"/>
          <w:lang w:val="ru-RU"/>
        </w:rPr>
      </w:pPr>
      <w:r w:rsidRPr="00F90B6B">
        <w:rPr>
          <w:rFonts w:ascii="Times New Roman" w:eastAsia="TimesNewRoman" w:hAnsi="Times New Roman"/>
          <w:sz w:val="28"/>
          <w:szCs w:val="28"/>
          <w:lang w:val="ru-RU"/>
        </w:rPr>
        <w:t>ДУ «НАЦІОНАЛЬНИЙ ІНСТИТУТ ТЕРАПІЇ імені Л.Т.МАЛОЇ НАМН УКРАЇНИ»</w:t>
      </w:r>
    </w:p>
    <w:p w:rsidR="005071F1" w:rsidRPr="00F90B6B" w:rsidRDefault="005071F1" w:rsidP="00F0048B">
      <w:pPr>
        <w:autoSpaceDE w:val="0"/>
        <w:autoSpaceDN w:val="0"/>
        <w:adjustRightInd w:val="0"/>
        <w:spacing w:after="0" w:line="360" w:lineRule="auto"/>
        <w:jc w:val="center"/>
        <w:rPr>
          <w:rFonts w:ascii="Times New Roman" w:eastAsia="TimesNewRoman" w:hAnsi="Times New Roman"/>
          <w:sz w:val="28"/>
          <w:szCs w:val="28"/>
          <w:lang w:val="ru-RU"/>
        </w:rPr>
      </w:pPr>
    </w:p>
    <w:p w:rsidR="00EF4063" w:rsidRPr="00F90B6B" w:rsidRDefault="00EF4063" w:rsidP="00F0048B">
      <w:pPr>
        <w:autoSpaceDE w:val="0"/>
        <w:autoSpaceDN w:val="0"/>
        <w:adjustRightInd w:val="0"/>
        <w:spacing w:after="0" w:line="360" w:lineRule="auto"/>
        <w:jc w:val="center"/>
        <w:rPr>
          <w:rFonts w:ascii="Times New Roman" w:eastAsia="TimesNewRoman" w:hAnsi="Times New Roman"/>
          <w:sz w:val="28"/>
          <w:szCs w:val="28"/>
          <w:lang w:val="ru-RU"/>
        </w:rPr>
      </w:pPr>
      <w:r w:rsidRPr="00F90B6B">
        <w:rPr>
          <w:rFonts w:ascii="Times New Roman" w:eastAsia="TimesNewRoman" w:hAnsi="Times New Roman"/>
          <w:sz w:val="28"/>
          <w:szCs w:val="28"/>
          <w:lang w:val="ru-RU"/>
        </w:rPr>
        <w:t>ХАРКІВСЬКИЙ НАЦІОНАЛЬНИЙ МЕДИЧНИЙ УНІВЕРСИТЕТ</w:t>
      </w:r>
    </w:p>
    <w:p w:rsidR="00EF4063" w:rsidRPr="00F90B6B" w:rsidRDefault="00EF4063" w:rsidP="00F0048B">
      <w:pPr>
        <w:spacing w:after="0" w:line="360" w:lineRule="auto"/>
        <w:jc w:val="center"/>
        <w:rPr>
          <w:rFonts w:ascii="Times New Roman" w:eastAsia="TimesNewRoman" w:hAnsi="Times New Roman"/>
          <w:sz w:val="28"/>
          <w:szCs w:val="28"/>
          <w:lang w:val="ru-RU"/>
        </w:rPr>
      </w:pPr>
      <w:r w:rsidRPr="00F90B6B">
        <w:rPr>
          <w:rFonts w:ascii="Times New Roman" w:eastAsia="TimesNewRoman" w:hAnsi="Times New Roman"/>
          <w:sz w:val="28"/>
          <w:szCs w:val="28"/>
          <w:lang w:val="ru-RU"/>
        </w:rPr>
        <w:t>МІНІСТЕРСТВО ОХОРОНИ ЗДОРОВ′Я УКРАЇНИ</w:t>
      </w:r>
    </w:p>
    <w:p w:rsidR="00EF4063" w:rsidRPr="00F90B6B" w:rsidRDefault="00EF4063" w:rsidP="00F0048B">
      <w:pPr>
        <w:spacing w:after="0" w:line="360" w:lineRule="auto"/>
        <w:jc w:val="right"/>
        <w:rPr>
          <w:rFonts w:ascii="Times New Roman" w:hAnsi="Times New Roman"/>
          <w:b/>
          <w:sz w:val="28"/>
          <w:szCs w:val="28"/>
        </w:rPr>
      </w:pPr>
    </w:p>
    <w:p w:rsidR="00EF4063" w:rsidRPr="00F90B6B" w:rsidRDefault="00EF4063" w:rsidP="00F0048B">
      <w:pPr>
        <w:spacing w:after="0" w:line="360" w:lineRule="auto"/>
        <w:jc w:val="right"/>
        <w:rPr>
          <w:rFonts w:ascii="Times New Roman" w:hAnsi="Times New Roman"/>
          <w:sz w:val="28"/>
          <w:szCs w:val="28"/>
        </w:rPr>
      </w:pPr>
      <w:r w:rsidRPr="00F90B6B">
        <w:rPr>
          <w:rFonts w:ascii="Times New Roman" w:hAnsi="Times New Roman"/>
          <w:sz w:val="28"/>
          <w:szCs w:val="28"/>
        </w:rPr>
        <w:t>Кваліфікаційна наукова праця</w:t>
      </w:r>
    </w:p>
    <w:p w:rsidR="00EF4063" w:rsidRPr="00F90B6B" w:rsidRDefault="00EF4063" w:rsidP="00F0048B">
      <w:pPr>
        <w:spacing w:after="0" w:line="360" w:lineRule="auto"/>
        <w:jc w:val="right"/>
        <w:rPr>
          <w:rFonts w:ascii="Times New Roman" w:hAnsi="Times New Roman"/>
          <w:sz w:val="28"/>
          <w:szCs w:val="28"/>
        </w:rPr>
      </w:pPr>
      <w:r w:rsidRPr="00F90B6B">
        <w:rPr>
          <w:rFonts w:ascii="Times New Roman" w:hAnsi="Times New Roman"/>
          <w:sz w:val="28"/>
          <w:szCs w:val="28"/>
        </w:rPr>
        <w:t>на правах рукопису</w:t>
      </w:r>
    </w:p>
    <w:p w:rsidR="00EF4063" w:rsidRPr="00F90B6B" w:rsidRDefault="00EF4063" w:rsidP="00F0048B">
      <w:pPr>
        <w:spacing w:after="0" w:line="360" w:lineRule="auto"/>
        <w:rPr>
          <w:rFonts w:ascii="Times New Roman" w:hAnsi="Times New Roman"/>
          <w:sz w:val="28"/>
          <w:szCs w:val="28"/>
          <w:lang w:val="ru-RU"/>
        </w:rPr>
      </w:pP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ЛАЗІДІ КАТЕРИНА ЛЕОНІДІВНА</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УДК: 616.12-008.46-092:616-056.52:612.392.61</w:t>
      </w:r>
    </w:p>
    <w:p w:rsidR="00EF4063" w:rsidRPr="00F90B6B" w:rsidRDefault="00EF4063" w:rsidP="00F0048B">
      <w:pPr>
        <w:spacing w:after="0" w:line="360" w:lineRule="auto"/>
        <w:jc w:val="center"/>
        <w:rPr>
          <w:rFonts w:ascii="Times New Roman" w:hAnsi="Times New Roman"/>
          <w:sz w:val="28"/>
          <w:szCs w:val="28"/>
        </w:rPr>
      </w:pP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ДИСЕРТАЦІЯ</w:t>
      </w:r>
    </w:p>
    <w:p w:rsidR="00EF4063" w:rsidRPr="00F90B6B" w:rsidRDefault="00EF4063" w:rsidP="00F0048B">
      <w:pPr>
        <w:spacing w:after="0" w:line="360" w:lineRule="auto"/>
        <w:jc w:val="center"/>
        <w:rPr>
          <w:rFonts w:ascii="Times New Roman" w:hAnsi="Times New Roman"/>
          <w:spacing w:val="-6"/>
          <w:sz w:val="32"/>
          <w:szCs w:val="32"/>
        </w:rPr>
      </w:pPr>
      <w:r w:rsidRPr="00F90B6B">
        <w:rPr>
          <w:rFonts w:ascii="Times New Roman" w:hAnsi="Times New Roman"/>
          <w:sz w:val="32"/>
          <w:szCs w:val="32"/>
        </w:rPr>
        <w:t>Оптимізація прогнозування перебігу серцевої недостатності ішемічного ґенезу у хворих з ожирінням на підставі вивчення гіпонатріємії та натрійуретичного пептиду</w:t>
      </w:r>
    </w:p>
    <w:p w:rsidR="00EF4063" w:rsidRPr="00F90B6B" w:rsidRDefault="00EF4063" w:rsidP="00F0048B">
      <w:pPr>
        <w:spacing w:after="0" w:line="360" w:lineRule="auto"/>
        <w:jc w:val="center"/>
        <w:rPr>
          <w:rFonts w:ascii="Times New Roman" w:hAnsi="Times New Roman"/>
          <w:b/>
          <w:sz w:val="36"/>
          <w:szCs w:val="28"/>
        </w:rPr>
      </w:pPr>
    </w:p>
    <w:p w:rsidR="00EF4063" w:rsidRDefault="00EF4063" w:rsidP="00F0048B">
      <w:pPr>
        <w:spacing w:after="0" w:line="360" w:lineRule="auto"/>
        <w:jc w:val="center"/>
        <w:rPr>
          <w:rFonts w:ascii="Times New Roman" w:hAnsi="Times New Roman"/>
          <w:sz w:val="28"/>
          <w:szCs w:val="28"/>
          <w:lang w:val="ru-RU"/>
        </w:rPr>
      </w:pPr>
      <w:r w:rsidRPr="00F90B6B">
        <w:rPr>
          <w:rFonts w:ascii="Times New Roman" w:hAnsi="Times New Roman"/>
          <w:sz w:val="28"/>
          <w:szCs w:val="28"/>
        </w:rPr>
        <w:t>14.01.02 – внутрішні хвороби</w:t>
      </w:r>
    </w:p>
    <w:p w:rsidR="003B365B" w:rsidRDefault="003B365B" w:rsidP="0075751C">
      <w:pPr>
        <w:spacing w:after="0" w:line="360" w:lineRule="auto"/>
        <w:jc w:val="center"/>
        <w:rPr>
          <w:rFonts w:ascii="Times New Roman" w:hAnsi="Times New Roman"/>
          <w:sz w:val="28"/>
          <w:szCs w:val="28"/>
          <w:lang w:val="ru-RU"/>
        </w:rPr>
      </w:pPr>
    </w:p>
    <w:p w:rsidR="007F55B2" w:rsidRPr="00F90B6B" w:rsidRDefault="007F55B2" w:rsidP="0075751C">
      <w:pPr>
        <w:spacing w:after="0" w:line="360" w:lineRule="auto"/>
        <w:jc w:val="center"/>
        <w:rPr>
          <w:rFonts w:ascii="Times New Roman" w:hAnsi="Times New Roman"/>
          <w:sz w:val="28"/>
          <w:szCs w:val="28"/>
          <w:lang w:val="ru-RU"/>
        </w:rPr>
      </w:pPr>
    </w:p>
    <w:p w:rsidR="0075751C" w:rsidRPr="003B365B" w:rsidRDefault="00EF4063" w:rsidP="003B365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Подається на здобуття наукового с</w:t>
      </w:r>
      <w:r w:rsidR="003B365B">
        <w:rPr>
          <w:rFonts w:ascii="Times New Roman" w:hAnsi="Times New Roman"/>
          <w:sz w:val="28"/>
          <w:szCs w:val="28"/>
        </w:rPr>
        <w:t xml:space="preserve">тупеня кандидата медичних наук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 </w:t>
      </w:r>
      <w:r w:rsidRPr="00F90B6B">
        <w:rPr>
          <w:rFonts w:ascii="Times New Roman" w:hAnsi="Times New Roman"/>
          <w:sz w:val="28"/>
          <w:szCs w:val="28"/>
          <w:lang w:val="ru-RU"/>
        </w:rPr>
        <w:t>К</w:t>
      </w:r>
      <w:r w:rsidRPr="00F90B6B">
        <w:rPr>
          <w:rFonts w:ascii="Times New Roman" w:hAnsi="Times New Roman"/>
          <w:sz w:val="28"/>
          <w:szCs w:val="28"/>
        </w:rPr>
        <w:t>. Л. Лазіді</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5071F1" w:rsidRDefault="00EF4063" w:rsidP="00F0048B">
      <w:pPr>
        <w:spacing w:after="0" w:line="360" w:lineRule="auto"/>
        <w:ind w:firstLine="709"/>
        <w:jc w:val="both"/>
        <w:rPr>
          <w:rFonts w:ascii="Times New Roman" w:hAnsi="Times New Roman"/>
          <w:b/>
          <w:sz w:val="28"/>
          <w:szCs w:val="28"/>
          <w:lang w:val="ru-RU"/>
        </w:rPr>
      </w:pPr>
      <w:r w:rsidRPr="00F90B6B">
        <w:rPr>
          <w:rFonts w:ascii="Times New Roman" w:hAnsi="Times New Roman"/>
          <w:sz w:val="28"/>
          <w:szCs w:val="28"/>
        </w:rPr>
        <w:t>Науковий керівник: Рудик Юрій Степанович, доктор медичних наук, старший науковий співробітник</w:t>
      </w:r>
    </w:p>
    <w:p w:rsidR="00EF4063" w:rsidRPr="00F90B6B" w:rsidRDefault="00EF4063" w:rsidP="00F0048B">
      <w:pPr>
        <w:spacing w:after="0" w:line="360" w:lineRule="auto"/>
        <w:jc w:val="right"/>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sz w:val="28"/>
          <w:szCs w:val="28"/>
          <w:lang w:val="ru-RU"/>
        </w:rPr>
      </w:pPr>
      <w:r w:rsidRPr="00F90B6B">
        <w:rPr>
          <w:rFonts w:ascii="Times New Roman" w:hAnsi="Times New Roman"/>
          <w:sz w:val="28"/>
          <w:szCs w:val="28"/>
        </w:rPr>
        <w:t>Харків – 2019</w:t>
      </w:r>
    </w:p>
    <w:p w:rsidR="00EF4063" w:rsidRPr="007F242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rPr>
        <w:br w:type="page"/>
      </w:r>
      <w:r w:rsidRPr="007F242B">
        <w:rPr>
          <w:rFonts w:ascii="Times New Roman" w:hAnsi="Times New Roman"/>
          <w:sz w:val="28"/>
          <w:szCs w:val="28"/>
        </w:rPr>
        <w:lastRenderedPageBreak/>
        <w:t>АНОТАЦІЯ</w:t>
      </w:r>
    </w:p>
    <w:p w:rsidR="00EF4063" w:rsidRPr="00F90B6B" w:rsidRDefault="00EF4063" w:rsidP="00F0048B">
      <w:pPr>
        <w:spacing w:after="0" w:line="360" w:lineRule="auto"/>
        <w:rPr>
          <w:rFonts w:ascii="Times New Roman" w:hAnsi="Times New Roman"/>
          <w:sz w:val="28"/>
          <w:szCs w:val="28"/>
        </w:rPr>
      </w:pPr>
    </w:p>
    <w:p w:rsidR="00EF4063" w:rsidRPr="007E797D"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Лазіді Катерина Леонідівна. </w:t>
      </w:r>
      <w:r w:rsidRPr="00F90B6B">
        <w:rPr>
          <w:rFonts w:ascii="Times New Roman" w:hAnsi="Times New Roman"/>
          <w:sz w:val="28"/>
          <w:szCs w:val="32"/>
        </w:rPr>
        <w:t>Оптимізація прогнозування перебігу серцевої недостатності ішемічного ґенезу у хворих з ожирінням на підставі вивчення гіпонатріємії та натрійуретичного пептиду.</w:t>
      </w:r>
      <w:r w:rsidRPr="00F90B6B">
        <w:rPr>
          <w:rFonts w:ascii="Times New Roman" w:hAnsi="Times New Roman"/>
          <w:b/>
          <w:spacing w:val="-6"/>
          <w:sz w:val="28"/>
          <w:szCs w:val="32"/>
        </w:rPr>
        <w:t xml:space="preserve"> - </w:t>
      </w:r>
      <w:r w:rsidRPr="00F90B6B">
        <w:rPr>
          <w:rFonts w:ascii="Times New Roman" w:hAnsi="Times New Roman"/>
          <w:sz w:val="28"/>
          <w:szCs w:val="28"/>
        </w:rPr>
        <w:t>Кваліфікаційна наукова робота на правах рукопису.</w:t>
      </w:r>
    </w:p>
    <w:p w:rsidR="00EF4063" w:rsidRPr="0060466F" w:rsidRDefault="00EF4063" w:rsidP="0060466F">
      <w:pPr>
        <w:spacing w:after="0" w:line="360" w:lineRule="auto"/>
        <w:ind w:firstLine="709"/>
        <w:jc w:val="both"/>
        <w:rPr>
          <w:rFonts w:ascii="Times New Roman" w:hAnsi="Times New Roman"/>
          <w:color w:val="FF0000"/>
          <w:sz w:val="28"/>
          <w:szCs w:val="28"/>
        </w:rPr>
      </w:pPr>
      <w:r w:rsidRPr="00F90B6B">
        <w:rPr>
          <w:rFonts w:ascii="Times New Roman" w:hAnsi="Times New Roman"/>
          <w:sz w:val="28"/>
          <w:szCs w:val="28"/>
          <w:lang w:val="ru-RU"/>
        </w:rPr>
        <w:t xml:space="preserve">Дисертація на здобуття наукового ступеня </w:t>
      </w:r>
      <w:r w:rsidRPr="00F90B6B">
        <w:rPr>
          <w:rFonts w:ascii="Times New Roman" w:hAnsi="Times New Roman"/>
          <w:sz w:val="28"/>
          <w:szCs w:val="28"/>
        </w:rPr>
        <w:t>кандидата медичних наук за спеціальністю 1</w:t>
      </w:r>
      <w:r w:rsidR="0060466F">
        <w:rPr>
          <w:rFonts w:ascii="Times New Roman" w:hAnsi="Times New Roman"/>
          <w:sz w:val="28"/>
          <w:szCs w:val="28"/>
        </w:rPr>
        <w:t>4.01.02 – «Внутрішні хвороби</w:t>
      </w:r>
      <w:r w:rsidR="00462949">
        <w:rPr>
          <w:rFonts w:ascii="Times New Roman" w:hAnsi="Times New Roman"/>
          <w:sz w:val="28"/>
          <w:szCs w:val="28"/>
        </w:rPr>
        <w:t>»</w:t>
      </w:r>
      <w:r w:rsidR="00EF3F4A" w:rsidRPr="00EF3F4A">
        <w:rPr>
          <w:rFonts w:ascii="Times New Roman" w:hAnsi="Times New Roman"/>
          <w:sz w:val="28"/>
          <w:szCs w:val="28"/>
        </w:rPr>
        <w:t xml:space="preserve">. </w:t>
      </w:r>
      <w:r w:rsidR="0060466F" w:rsidRPr="0060466F">
        <w:rPr>
          <w:rFonts w:ascii="Times New Roman" w:hAnsi="Times New Roman"/>
          <w:sz w:val="28"/>
          <w:szCs w:val="28"/>
        </w:rPr>
        <w:t xml:space="preserve">- ДУ «Національний інститут терапії ім.Л.Т.Малої НАМН України», </w:t>
      </w:r>
      <w:r w:rsidRPr="0060466F">
        <w:rPr>
          <w:rFonts w:ascii="Times New Roman" w:hAnsi="Times New Roman"/>
          <w:sz w:val="28"/>
          <w:szCs w:val="28"/>
        </w:rPr>
        <w:t>Хар</w:t>
      </w:r>
      <w:r w:rsidRPr="00F90B6B">
        <w:rPr>
          <w:rFonts w:ascii="Times New Roman" w:hAnsi="Times New Roman"/>
          <w:sz w:val="28"/>
          <w:szCs w:val="28"/>
        </w:rPr>
        <w:t>ківський нацiональний медичний університет МОЗ України, Харків, 2019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дисертаційній роботі проведено оцінку клініко-прогностичного значення гіпонатріємії у пацієнтів з хронічною серцевою недостатністю ішемічного генезу зі збереженою фракцією лівого шлуночка на фоні супутнього ожиріння.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Для досягнення поставленої мети з 201</w:t>
      </w:r>
      <w:r w:rsidRPr="00F90B6B">
        <w:rPr>
          <w:rFonts w:ascii="Times New Roman" w:hAnsi="Times New Roman"/>
          <w:sz w:val="28"/>
          <w:szCs w:val="28"/>
          <w:lang w:val="ru-RU"/>
        </w:rPr>
        <w:t>5</w:t>
      </w:r>
      <w:r w:rsidRPr="00F90B6B">
        <w:rPr>
          <w:rFonts w:ascii="Times New Roman" w:hAnsi="Times New Roman"/>
          <w:sz w:val="28"/>
          <w:szCs w:val="28"/>
        </w:rPr>
        <w:t xml:space="preserve"> по 201</w:t>
      </w:r>
      <w:r w:rsidRPr="00F90B6B">
        <w:rPr>
          <w:rFonts w:ascii="Times New Roman" w:hAnsi="Times New Roman"/>
          <w:sz w:val="28"/>
          <w:szCs w:val="28"/>
          <w:lang w:val="ru-RU"/>
        </w:rPr>
        <w:t>8</w:t>
      </w:r>
      <w:r w:rsidRPr="00F90B6B">
        <w:rPr>
          <w:rFonts w:ascii="Times New Roman" w:hAnsi="Times New Roman"/>
          <w:sz w:val="28"/>
          <w:szCs w:val="28"/>
        </w:rPr>
        <w:t xml:space="preserve"> рік проведено 2 види клінічних досліджень. </w:t>
      </w:r>
    </w:p>
    <w:p w:rsidR="00EF4063" w:rsidRPr="00F90B6B" w:rsidRDefault="00EF4063" w:rsidP="00F0048B">
      <w:pPr>
        <w:spacing w:after="0" w:line="360" w:lineRule="auto"/>
        <w:ind w:firstLine="709"/>
        <w:jc w:val="both"/>
        <w:rPr>
          <w:rFonts w:ascii="Times New Roman" w:hAnsi="Times New Roman"/>
          <w:spacing w:val="-6"/>
          <w:sz w:val="28"/>
          <w:szCs w:val="28"/>
        </w:rPr>
      </w:pPr>
      <w:r w:rsidRPr="00F90B6B">
        <w:rPr>
          <w:rFonts w:ascii="Times New Roman" w:hAnsi="Times New Roman"/>
          <w:sz w:val="28"/>
          <w:szCs w:val="28"/>
        </w:rPr>
        <w:t xml:space="preserve">Перший вид дослідження включав проспективне спостереження за 176 особами, з них 146 хворих </w:t>
      </w:r>
      <w:r w:rsidRPr="00F90B6B">
        <w:rPr>
          <w:rFonts w:ascii="Times New Roman" w:hAnsi="Times New Roman"/>
          <w:sz w:val="28"/>
          <w:szCs w:val="28"/>
          <w:lang w:val="ru-RU"/>
        </w:rPr>
        <w:t xml:space="preserve">з </w:t>
      </w:r>
      <w:r w:rsidRPr="00F90B6B">
        <w:rPr>
          <w:rFonts w:ascii="Times New Roman" w:hAnsi="Times New Roman"/>
          <w:sz w:val="28"/>
        </w:rPr>
        <w:t>хронічною серцевою недостатністю</w:t>
      </w:r>
      <w:r w:rsidRPr="00F90B6B">
        <w:rPr>
          <w:rFonts w:ascii="Times New Roman" w:hAnsi="Times New Roman"/>
          <w:sz w:val="28"/>
          <w:szCs w:val="28"/>
        </w:rPr>
        <w:t xml:space="preserve"> та 30 практично здорових осіб. За результатами клінічного спостереження, даними додаткових методів обстеження хворі були розподілені на групи: </w:t>
      </w:r>
      <w:r w:rsidRPr="00F90B6B">
        <w:rPr>
          <w:rFonts w:ascii="Times New Roman" w:hAnsi="Times New Roman"/>
          <w:spacing w:val="-6"/>
          <w:sz w:val="28"/>
          <w:szCs w:val="28"/>
        </w:rPr>
        <w:t xml:space="preserve">1 група - хворі з хронічною серцевою недостатністю (ХСН) зі збереженою фракцією викиду лівого шлуночка (ФВЛШ) та нормальною вагою включено (40 осіб, 27,4%),  2 група - хворі   з ХСН зі збереженою ФВЛШ та надлишковою вагою – 35 осіб (24,0%),  3 група – хворі з ХСН зі збереженою ФВЛШ та ожирінням – 71особа (48,6%). </w:t>
      </w:r>
    </w:p>
    <w:p w:rsidR="00EF4063" w:rsidRPr="00F90B6B" w:rsidRDefault="00EF4063" w:rsidP="00F0048B">
      <w:pPr>
        <w:spacing w:after="0" w:line="360" w:lineRule="auto"/>
        <w:ind w:firstLine="709"/>
        <w:jc w:val="both"/>
        <w:rPr>
          <w:rStyle w:val="rvts8"/>
          <w:szCs w:val="28"/>
        </w:rPr>
      </w:pPr>
      <w:r w:rsidRPr="00F90B6B">
        <w:rPr>
          <w:rFonts w:ascii="Times New Roman" w:hAnsi="Times New Roman"/>
          <w:sz w:val="28"/>
          <w:szCs w:val="28"/>
        </w:rPr>
        <w:t xml:space="preserve">Завданнями тривалого 2-річного проспективного спостереження було вивчити поширеність гіпонатріємії, провести оцінку асоційованих станів; дослідити параметри кардіогемодинаміки; встановити зв`язок між рівнями натріємії, альдостерона і </w:t>
      </w:r>
      <w:r w:rsidRPr="00F90B6B">
        <w:rPr>
          <w:rFonts w:ascii="Times New Roman" w:hAnsi="Times New Roman"/>
          <w:sz w:val="28"/>
          <w:szCs w:val="28"/>
          <w:lang w:val="ru-RU"/>
        </w:rPr>
        <w:t>NTproBNP</w:t>
      </w:r>
      <w:r w:rsidRPr="00F90B6B">
        <w:rPr>
          <w:rFonts w:ascii="Times New Roman" w:hAnsi="Times New Roman"/>
          <w:sz w:val="28"/>
          <w:szCs w:val="28"/>
        </w:rPr>
        <w:t xml:space="preserve"> з клініко-лабораторними і кардіогемодинамічними  показник</w:t>
      </w:r>
      <w:r w:rsidR="00056EB5">
        <w:rPr>
          <w:rFonts w:ascii="Times New Roman" w:hAnsi="Times New Roman"/>
          <w:sz w:val="28"/>
          <w:szCs w:val="28"/>
        </w:rPr>
        <w:t xml:space="preserve">ами; виявити  основні пре диктори розвитку ускладнень у пацієнтів з комор бідною патологією. </w:t>
      </w:r>
      <w:r w:rsidRPr="00F90B6B">
        <w:rPr>
          <w:rStyle w:val="rvts8"/>
          <w:szCs w:val="28"/>
        </w:rPr>
        <w:t>Поставлені завдання вирішувалися за допомогою</w:t>
      </w:r>
      <w:r w:rsidRPr="00F90B6B">
        <w:rPr>
          <w:rStyle w:val="rvts7"/>
          <w:bCs/>
          <w:szCs w:val="28"/>
        </w:rPr>
        <w:t xml:space="preserve"> </w:t>
      </w:r>
      <w:r w:rsidRPr="00F90B6B">
        <w:rPr>
          <w:rStyle w:val="rvts8"/>
          <w:szCs w:val="28"/>
        </w:rPr>
        <w:t xml:space="preserve">клінічних, функціональних, інструментальних і лабораторних методів дослідження. </w:t>
      </w:r>
      <w:r w:rsidRPr="00F90B6B">
        <w:rPr>
          <w:rStyle w:val="rvts8"/>
          <w:szCs w:val="28"/>
        </w:rPr>
        <w:lastRenderedPageBreak/>
        <w:t>Проводилась електрокардіографія, ехокардіографія; лабораторні дослідження включали</w:t>
      </w:r>
      <w:r w:rsidRPr="00F90B6B">
        <w:rPr>
          <w:rStyle w:val="rvts19"/>
          <w:szCs w:val="28"/>
        </w:rPr>
        <w:t xml:space="preserve"> </w:t>
      </w:r>
      <w:r w:rsidRPr="00F90B6B">
        <w:rPr>
          <w:rStyle w:val="rvts8"/>
          <w:szCs w:val="28"/>
        </w:rPr>
        <w:t xml:space="preserve">визначення загальноклінічних показників, холестерину (ХС), ліпопротеїнів низької щільності (ЛПНЩ), ліпопротеїнів дуже низької щільності (ЛПДНЩ), ліпопротеїнів високої щільності (ЛПВЩ), рівня натрію, альдостерону та </w:t>
      </w:r>
      <w:r w:rsidRPr="00F90B6B">
        <w:rPr>
          <w:rFonts w:ascii="Times New Roman" w:hAnsi="Times New Roman"/>
          <w:sz w:val="28"/>
          <w:szCs w:val="28"/>
        </w:rPr>
        <w:t>NTproBNP</w:t>
      </w:r>
      <w:r w:rsidRPr="00F90B6B">
        <w:rPr>
          <w:rStyle w:val="rvts8"/>
          <w:szCs w:val="28"/>
        </w:rPr>
        <w:t xml:space="preserve">.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Другий вид дослідження – ретроспективний, заснований на аналізі 217 історій хвороб пацієнтів з </w:t>
      </w:r>
      <w:r w:rsidRPr="00F90B6B">
        <w:rPr>
          <w:rFonts w:ascii="Times New Roman" w:hAnsi="Times New Roman"/>
          <w:sz w:val="28"/>
        </w:rPr>
        <w:t>хронічною серцевою недостатністю</w:t>
      </w:r>
      <w:r w:rsidRPr="00F90B6B">
        <w:rPr>
          <w:rFonts w:ascii="Times New Roman" w:hAnsi="Times New Roman"/>
          <w:sz w:val="28"/>
          <w:szCs w:val="28"/>
        </w:rPr>
        <w:t xml:space="preserve">. Завданням 5-річного ретроспективного дослідження було вивчити фактори, асоційовані з кардіальною летальністю, декомпенсацією ХСН та розвитком кардіоренального синдрому у хворих з ХСН та гіпонатріємією.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 першому етапі дисертаційної роботи було верифіковано, що поширеність гіпонатріємії у хворих з ХСН становить 27,8%. Немодифікуємими факторами, асоційованими з гіпонатріємією у хворих з ХСН є жіноча стать (29,8%), вік більше 65 років (34,2%), модифікуємими - наявність надлишкової ваги та ожиріння - при нижчому рівні натрію верифіковано більшу вагу пацієнта (р&lt;0,05), більший ІМТ (р&lt;0,05), окружність талії (р&lt;0,05) та співвідношення розміру талії/стегна (р&lt;0,05). </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Серед супутніх станів, асоційованих з гіпонатріємією були гіпертонічна хвороба (71,4%), фібриляція передсердь з (18,4%), цукровий діабет (24,5%), анемічний синдром (40,8%), виразкова хвороба та хронічний гастрит (53,0%).</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Зміни ліпідного гомеостазу у пацієнтів з ХСН та гіпонатріємією характеризувались порушенням ліпідного профілю за рахунок вірогідного підвищення вмісту проатерогенної фракції ліпопротеїдів дуже низької щільності (ЛПДНЩ, </w:t>
      </w:r>
      <w:r w:rsidRPr="00F90B6B">
        <w:rPr>
          <w:rFonts w:ascii="Times New Roman" w:hAnsi="Times New Roman"/>
          <w:sz w:val="28"/>
          <w:szCs w:val="28"/>
          <w:lang w:val="en-US"/>
        </w:rPr>
        <w:t>p</w:t>
      </w:r>
      <w:r w:rsidRPr="00F90B6B">
        <w:rPr>
          <w:rFonts w:ascii="Times New Roman" w:hAnsi="Times New Roman"/>
          <w:sz w:val="28"/>
          <w:szCs w:val="28"/>
        </w:rPr>
        <w:t xml:space="preserve">&lt;0,05), зниження антиатерогенної фракції ліпопротеїдів високої щільності (ЛПВЩ, </w:t>
      </w:r>
      <w:r w:rsidRPr="00F90B6B">
        <w:rPr>
          <w:rFonts w:ascii="Times New Roman" w:hAnsi="Times New Roman"/>
          <w:sz w:val="28"/>
          <w:szCs w:val="28"/>
          <w:lang w:val="en-US"/>
        </w:rPr>
        <w:t>p</w:t>
      </w:r>
      <w:r w:rsidRPr="00F90B6B">
        <w:rPr>
          <w:rFonts w:ascii="Times New Roman" w:hAnsi="Times New Roman"/>
          <w:sz w:val="28"/>
          <w:szCs w:val="28"/>
        </w:rPr>
        <w:t>&lt;0,05), збільшення вмісту тригліцеридів (</w:t>
      </w:r>
      <w:r w:rsidRPr="00F90B6B">
        <w:rPr>
          <w:rFonts w:ascii="Times New Roman" w:hAnsi="Times New Roman"/>
          <w:sz w:val="28"/>
          <w:szCs w:val="28"/>
          <w:lang w:val="en-US"/>
        </w:rPr>
        <w:t>p</w:t>
      </w:r>
      <w:r w:rsidRPr="00F90B6B">
        <w:rPr>
          <w:rFonts w:ascii="Times New Roman" w:hAnsi="Times New Roman"/>
          <w:sz w:val="28"/>
          <w:szCs w:val="28"/>
        </w:rPr>
        <w:t>&lt;0,05); встановлено негативний зв’язок між рівнем натрію та тригліцеридів (</w:t>
      </w:r>
      <w:r w:rsidRPr="00F90B6B">
        <w:rPr>
          <w:rFonts w:ascii="Times New Roman" w:hAnsi="Times New Roman"/>
          <w:sz w:val="28"/>
          <w:szCs w:val="28"/>
          <w:lang w:val="en-US"/>
        </w:rPr>
        <w:t>r</w:t>
      </w:r>
      <w:r w:rsidRPr="00F90B6B">
        <w:rPr>
          <w:rFonts w:ascii="Times New Roman" w:hAnsi="Times New Roman"/>
          <w:sz w:val="28"/>
          <w:szCs w:val="28"/>
        </w:rPr>
        <w:t xml:space="preserve">=-0,27, </w:t>
      </w:r>
      <w:r w:rsidRPr="00F90B6B">
        <w:rPr>
          <w:rFonts w:ascii="Times New Roman" w:hAnsi="Times New Roman"/>
          <w:sz w:val="28"/>
          <w:szCs w:val="28"/>
          <w:lang w:val="en-US"/>
        </w:rPr>
        <w:t>p</w:t>
      </w:r>
      <w:r w:rsidRPr="00F90B6B">
        <w:rPr>
          <w:rFonts w:ascii="Times New Roman" w:hAnsi="Times New Roman"/>
          <w:sz w:val="28"/>
          <w:szCs w:val="28"/>
        </w:rPr>
        <w:t>&lt;0,05), рівнем тригліцеридів та функціональним класом ХСН (</w:t>
      </w:r>
      <w:r w:rsidRPr="00F90B6B">
        <w:rPr>
          <w:rFonts w:ascii="Times New Roman" w:hAnsi="Times New Roman"/>
          <w:sz w:val="28"/>
          <w:szCs w:val="28"/>
          <w:lang w:val="en-US"/>
        </w:rPr>
        <w:t>r</w:t>
      </w:r>
      <w:r w:rsidRPr="00F90B6B">
        <w:rPr>
          <w:rFonts w:ascii="Times New Roman" w:hAnsi="Times New Roman"/>
          <w:sz w:val="28"/>
          <w:szCs w:val="28"/>
        </w:rPr>
        <w:t xml:space="preserve">=-0,37, </w:t>
      </w:r>
      <w:r w:rsidRPr="00F90B6B">
        <w:rPr>
          <w:rFonts w:ascii="Times New Roman" w:hAnsi="Times New Roman"/>
          <w:sz w:val="28"/>
          <w:szCs w:val="28"/>
          <w:lang w:val="en-US"/>
        </w:rPr>
        <w:t>p</w:t>
      </w:r>
      <w:r w:rsidRPr="00F90B6B">
        <w:rPr>
          <w:rFonts w:ascii="Times New Roman" w:hAnsi="Times New Roman"/>
          <w:sz w:val="28"/>
          <w:szCs w:val="28"/>
        </w:rPr>
        <w:t>&lt;0,05), позитивний зв’язок між вмістом ЛПНЩ та ІМТ (</w:t>
      </w:r>
      <w:r w:rsidRPr="00F90B6B">
        <w:rPr>
          <w:rFonts w:ascii="Times New Roman" w:hAnsi="Times New Roman"/>
          <w:sz w:val="28"/>
          <w:szCs w:val="28"/>
          <w:lang w:val="en-US"/>
        </w:rPr>
        <w:t>r</w:t>
      </w:r>
      <w:r w:rsidRPr="00F90B6B">
        <w:rPr>
          <w:rFonts w:ascii="Times New Roman" w:hAnsi="Times New Roman"/>
          <w:sz w:val="28"/>
          <w:szCs w:val="28"/>
        </w:rPr>
        <w:t xml:space="preserve">=0,35,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ехокардіографічному дослідженні у хворих з ХСН та гіпонатріємією встановлено вірогідний приріст кінцевосистолічного та кінцеводіастолічного об’ємів (</w:t>
      </w:r>
      <w:r w:rsidRPr="00F90B6B">
        <w:rPr>
          <w:rFonts w:ascii="Times New Roman" w:hAnsi="Times New Roman"/>
          <w:sz w:val="28"/>
          <w:szCs w:val="28"/>
          <w:lang w:val="en-US"/>
        </w:rPr>
        <w:t>p</w:t>
      </w:r>
      <w:r w:rsidRPr="00F90B6B">
        <w:rPr>
          <w:rFonts w:ascii="Times New Roman" w:hAnsi="Times New Roman"/>
          <w:sz w:val="28"/>
          <w:szCs w:val="28"/>
        </w:rPr>
        <w:t>&lt;0,05), збільшення товщини задньої стінки лівого шлуночка (</w:t>
      </w:r>
      <w:r w:rsidRPr="00F90B6B">
        <w:rPr>
          <w:rFonts w:ascii="Times New Roman" w:hAnsi="Times New Roman"/>
          <w:sz w:val="28"/>
          <w:szCs w:val="28"/>
          <w:lang w:val="en-US"/>
        </w:rPr>
        <w:t>p</w:t>
      </w:r>
      <w:r w:rsidRPr="00F90B6B">
        <w:rPr>
          <w:rFonts w:ascii="Times New Roman" w:hAnsi="Times New Roman"/>
          <w:sz w:val="28"/>
          <w:szCs w:val="28"/>
        </w:rPr>
        <w:t>&lt;0,05), міжшлуночкової перетинки (</w:t>
      </w:r>
      <w:r w:rsidRPr="00F90B6B">
        <w:rPr>
          <w:rFonts w:ascii="Times New Roman" w:hAnsi="Times New Roman"/>
          <w:sz w:val="28"/>
          <w:szCs w:val="28"/>
          <w:lang w:val="en-US"/>
        </w:rPr>
        <w:t>p</w:t>
      </w:r>
      <w:r w:rsidRPr="00F90B6B">
        <w:rPr>
          <w:rFonts w:ascii="Times New Roman" w:hAnsi="Times New Roman"/>
          <w:sz w:val="28"/>
          <w:szCs w:val="28"/>
        </w:rPr>
        <w:t xml:space="preserve">&lt;0,05), виявлено позитивний кореляційний зв’язок між </w:t>
      </w:r>
      <w:r w:rsidRPr="00F90B6B">
        <w:rPr>
          <w:rFonts w:ascii="Times New Roman" w:hAnsi="Times New Roman"/>
          <w:sz w:val="28"/>
          <w:szCs w:val="28"/>
        </w:rPr>
        <w:lastRenderedPageBreak/>
        <w:t>величиною лівого передсердя та ІМТ (</w:t>
      </w:r>
      <w:r w:rsidRPr="00F90B6B">
        <w:rPr>
          <w:rFonts w:ascii="Times New Roman" w:hAnsi="Times New Roman"/>
          <w:sz w:val="28"/>
          <w:szCs w:val="28"/>
          <w:lang w:val="en-US"/>
        </w:rPr>
        <w:t>r</w:t>
      </w:r>
      <w:r w:rsidRPr="00F90B6B">
        <w:rPr>
          <w:rFonts w:ascii="Times New Roman" w:hAnsi="Times New Roman"/>
          <w:sz w:val="28"/>
          <w:szCs w:val="28"/>
        </w:rPr>
        <w:t xml:space="preserve">=0,36, </w:t>
      </w:r>
      <w:r w:rsidRPr="00F90B6B">
        <w:rPr>
          <w:rFonts w:ascii="Times New Roman" w:hAnsi="Times New Roman"/>
          <w:sz w:val="28"/>
          <w:szCs w:val="28"/>
          <w:lang w:val="en-US"/>
        </w:rPr>
        <w:t>p</w:t>
      </w:r>
      <w:r w:rsidRPr="00F90B6B">
        <w:rPr>
          <w:rFonts w:ascii="Times New Roman" w:hAnsi="Times New Roman"/>
          <w:sz w:val="28"/>
          <w:szCs w:val="28"/>
        </w:rPr>
        <w:t xml:space="preserve">&lt;0,05), негативний зв’язок між кінцеводіастолічним об’ємом та функціональним класом серцевої недостатності </w:t>
      </w:r>
      <w:r w:rsidR="00ED6686" w:rsidRPr="00ED6686">
        <w:rPr>
          <w:rFonts w:ascii="Times New Roman" w:hAnsi="Times New Roman"/>
          <w:sz w:val="28"/>
          <w:szCs w:val="28"/>
        </w:rPr>
        <w:br/>
      </w:r>
      <w:r w:rsidRPr="00F90B6B">
        <w:rPr>
          <w:rFonts w:ascii="Times New Roman" w:hAnsi="Times New Roman"/>
          <w:sz w:val="28"/>
          <w:szCs w:val="28"/>
        </w:rPr>
        <w:t>(</w:t>
      </w:r>
      <w:r w:rsidRPr="00F90B6B">
        <w:rPr>
          <w:rFonts w:ascii="Times New Roman" w:hAnsi="Times New Roman"/>
          <w:sz w:val="28"/>
          <w:szCs w:val="28"/>
          <w:lang w:val="en-US"/>
        </w:rPr>
        <w:t>r</w:t>
      </w:r>
      <w:r w:rsidRPr="00F90B6B">
        <w:rPr>
          <w:rFonts w:ascii="Times New Roman" w:hAnsi="Times New Roman"/>
          <w:sz w:val="28"/>
          <w:szCs w:val="28"/>
        </w:rPr>
        <w:t xml:space="preserve">=-0,24, </w:t>
      </w:r>
      <w:r w:rsidRPr="00F90B6B">
        <w:rPr>
          <w:rFonts w:ascii="Times New Roman" w:hAnsi="Times New Roman"/>
          <w:sz w:val="28"/>
          <w:szCs w:val="28"/>
          <w:lang w:val="en-US"/>
        </w:rPr>
        <w:t>p</w:t>
      </w:r>
      <w:r w:rsidRPr="00F90B6B">
        <w:rPr>
          <w:rFonts w:ascii="Times New Roman" w:hAnsi="Times New Roman"/>
          <w:sz w:val="28"/>
          <w:szCs w:val="28"/>
        </w:rPr>
        <w:t>&lt;0,05). Несприятливими подіями, асоційованими з гіпонатріємією при проспективному спостереженні, були гострий коронарний (</w:t>
      </w:r>
      <w:r w:rsidRPr="00F90B6B">
        <w:rPr>
          <w:rFonts w:ascii="Times New Roman" w:hAnsi="Times New Roman"/>
          <w:sz w:val="28"/>
          <w:szCs w:val="28"/>
          <w:lang w:val="en-US"/>
        </w:rPr>
        <w:t>p</w:t>
      </w:r>
      <w:r w:rsidRPr="00F90B6B">
        <w:rPr>
          <w:rFonts w:ascii="Times New Roman" w:hAnsi="Times New Roman"/>
          <w:sz w:val="28"/>
          <w:szCs w:val="28"/>
          <w:lang w:val="ru-RU"/>
        </w:rPr>
        <w:t>&lt;0,05</w:t>
      </w:r>
      <w:r w:rsidRPr="00F90B6B">
        <w:rPr>
          <w:rFonts w:ascii="Times New Roman" w:hAnsi="Times New Roman"/>
          <w:sz w:val="28"/>
          <w:szCs w:val="28"/>
        </w:rPr>
        <w:t>) та кардіоренальний синдроми (</w:t>
      </w:r>
      <w:r w:rsidRPr="00F90B6B">
        <w:rPr>
          <w:rFonts w:ascii="Times New Roman" w:hAnsi="Times New Roman"/>
          <w:sz w:val="28"/>
          <w:szCs w:val="28"/>
          <w:lang w:val="en-US"/>
        </w:rPr>
        <w:t>p</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 другому етапі дисертаційної роботи було проаналізовано роль ожиріння у хворих з ХСН та гіпонатріємією. </w:t>
      </w:r>
      <w:r w:rsidRPr="00F90B6B">
        <w:rPr>
          <w:rFonts w:ascii="Times New Roman" w:hAnsi="Times New Roman"/>
          <w:sz w:val="28"/>
          <w:szCs w:val="28"/>
          <w:lang w:eastAsia="ru-RU"/>
        </w:rPr>
        <w:t>Встановлено зворотню залежність між толерантністю до фізичного навантаження та масою тіла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пряму - між ІМТ та рівнем психологічного дискомфорту за Міннесотським опитувачем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=0,39,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Доведено наявність вірогідно більшого рівня холестерину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тригліцеридів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ЛПНЩ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більш високого індексу атерогенності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у пацієнтів з ХСН та ІМТ більше 25. В</w:t>
      </w:r>
      <w:r w:rsidRPr="00F90B6B">
        <w:rPr>
          <w:rFonts w:ascii="Times New Roman" w:hAnsi="Times New Roman"/>
          <w:sz w:val="28"/>
          <w:szCs w:val="28"/>
        </w:rPr>
        <w:t>ідмічено вірогідне зниження ШКФ у хворих з ХСН та надмірною вагою тіла порівняно з пацієнтами, які мали нормальну вагу (р&lt;0,05). Встановлено, що частота розвитку хронічної хвороби нирок збільшується з 0,5 до 4,71 випадків (в 9,42 раз) на 100,0 випадків ХСН при ожирінні в порівнянні з нормальною масою тіла.</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 третьому етапі дисертаційної роботи було досліджено роль альдостерону та </w:t>
      </w:r>
      <w:r w:rsidRPr="00F90B6B">
        <w:rPr>
          <w:rFonts w:ascii="Times New Roman" w:hAnsi="Times New Roman"/>
          <w:sz w:val="28"/>
          <w:szCs w:val="28"/>
          <w:lang w:val="en-US"/>
        </w:rPr>
        <w:t>NTproBNP</w:t>
      </w:r>
      <w:r w:rsidRPr="00F90B6B">
        <w:rPr>
          <w:rFonts w:ascii="Times New Roman" w:hAnsi="Times New Roman"/>
          <w:sz w:val="28"/>
          <w:szCs w:val="28"/>
        </w:rPr>
        <w:t xml:space="preserve"> в прогресуванні гіпонатріємії, зв’язок з лабораторними та кардіогемодинамічними показниками. Виявлено вірогідне зниження співвідношення Е/А при ожирінні (р</w:t>
      </w:r>
      <w:r w:rsidRPr="00F90B6B">
        <w:rPr>
          <w:rFonts w:ascii="Times New Roman" w:hAnsi="Times New Roman"/>
          <w:sz w:val="28"/>
          <w:szCs w:val="28"/>
          <w:lang w:val="ru-RU"/>
        </w:rPr>
        <w:t>&lt;0,05</w:t>
      </w:r>
      <w:r w:rsidRPr="00F90B6B">
        <w:rPr>
          <w:rFonts w:ascii="Times New Roman" w:hAnsi="Times New Roman"/>
          <w:sz w:val="28"/>
          <w:szCs w:val="28"/>
        </w:rPr>
        <w:t>) проти пацієнтів з ХСН, що мали нормальну вагу. В усіх групах пацієнтів з ХСН час уповільнення (</w:t>
      </w:r>
      <w:r w:rsidRPr="00F90B6B">
        <w:rPr>
          <w:rFonts w:ascii="Times New Roman" w:hAnsi="Times New Roman"/>
          <w:sz w:val="28"/>
          <w:szCs w:val="28"/>
          <w:lang w:eastAsia="uk-UA"/>
        </w:rPr>
        <w:t>DT)</w:t>
      </w:r>
      <w:r w:rsidRPr="00F90B6B">
        <w:rPr>
          <w:rFonts w:ascii="Times New Roman" w:hAnsi="Times New Roman"/>
          <w:sz w:val="24"/>
          <w:szCs w:val="24"/>
          <w:lang w:eastAsia="uk-UA"/>
        </w:rPr>
        <w:t xml:space="preserve"> </w:t>
      </w:r>
      <w:r w:rsidRPr="00F90B6B">
        <w:rPr>
          <w:rFonts w:ascii="Times New Roman" w:hAnsi="Times New Roman"/>
          <w:sz w:val="28"/>
          <w:szCs w:val="28"/>
        </w:rPr>
        <w:t xml:space="preserve">ранньодіастолічного наповнення був вище показників контрольної групи (р&lt;0,05), а перевагу становив І тип діастолічної дисфункції (85,1%). </w:t>
      </w:r>
      <w:r w:rsidRPr="00F90B6B">
        <w:rPr>
          <w:rFonts w:ascii="Times New Roman" w:hAnsi="Times New Roman"/>
          <w:sz w:val="28"/>
        </w:rPr>
        <w:t>П</w:t>
      </w:r>
      <w:r w:rsidRPr="00F90B6B">
        <w:rPr>
          <w:rFonts w:ascii="Times New Roman" w:hAnsi="Times New Roman"/>
          <w:sz w:val="28"/>
          <w:szCs w:val="28"/>
          <w:lang w:eastAsia="ru-RU"/>
        </w:rPr>
        <w:t>ри дослідженні рівня вільного альдостерону у взаємозв’язку з індексом маси тіла встановлено від’ємний лінійний зв’язок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=-0,28,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В</w:t>
      </w:r>
      <w:r w:rsidRPr="00F90B6B">
        <w:rPr>
          <w:rFonts w:ascii="Times New Roman" w:hAnsi="Times New Roman"/>
          <w:sz w:val="28"/>
          <w:szCs w:val="28"/>
        </w:rPr>
        <w:t>ерифіковано, що у пацієнтів з ХСН має значення тип ожиріння та співвідношення об’єму талії (ОТ) до об’єму стегон (ОС) з позитивним кореляційним зв’язком ОТ/ОС та вмісту вільного альдостерону (</w:t>
      </w:r>
      <w:r w:rsidRPr="00F90B6B">
        <w:rPr>
          <w:rFonts w:ascii="Times New Roman" w:hAnsi="Times New Roman"/>
          <w:sz w:val="28"/>
          <w:szCs w:val="28"/>
          <w:lang w:val="en-US"/>
        </w:rPr>
        <w:t>r</w:t>
      </w:r>
      <w:r w:rsidRPr="00F90B6B">
        <w:rPr>
          <w:rFonts w:ascii="Times New Roman" w:hAnsi="Times New Roman"/>
          <w:sz w:val="28"/>
          <w:szCs w:val="28"/>
        </w:rPr>
        <w:t xml:space="preserve">=0,23,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Отримано від’ємний коефіцієнт лінійної регресії (</w:t>
      </w:r>
      <w:r w:rsidRPr="00F90B6B">
        <w:rPr>
          <w:rFonts w:ascii="Times New Roman" w:hAnsi="Times New Roman"/>
          <w:sz w:val="28"/>
          <w:szCs w:val="28"/>
          <w:lang w:val="en-US"/>
        </w:rPr>
        <w:t>r</w:t>
      </w:r>
      <w:r w:rsidRPr="00F90B6B">
        <w:rPr>
          <w:rFonts w:ascii="Times New Roman" w:hAnsi="Times New Roman"/>
          <w:sz w:val="28"/>
          <w:szCs w:val="28"/>
        </w:rPr>
        <w:t xml:space="preserve">=-0,28,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між вмістом альдостерону та толерантністю до фізичного навантаження. </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t xml:space="preserve">Наступним завданням дисертаційної роботи був ретроспективний аналіз </w:t>
      </w:r>
      <w:r w:rsidRPr="00F90B6B">
        <w:rPr>
          <w:sz w:val="28"/>
          <w:szCs w:val="28"/>
          <w:lang w:val="uk-UA"/>
        </w:rPr>
        <w:lastRenderedPageBreak/>
        <w:t>предикторів виникнення серцево-судинних ускладнень у хворих з хронічною серцевою недостатністю та гіпонатріємією.</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За аналізу причин декомпенсації серцевої недостатності було встановлено, що за наявності ожиріння частота декомпенсації ХСН була вищою</w:t>
      </w:r>
      <w:r w:rsidRPr="00F90B6B">
        <w:rPr>
          <w:rFonts w:ascii="Times New Roman" w:hAnsi="Times New Roman"/>
          <w:sz w:val="28"/>
          <w:szCs w:val="28"/>
          <w:lang w:val="ru-RU" w:eastAsia="ru-RU"/>
        </w:rPr>
        <w:t xml:space="preserve">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 щодо серцево-судинної смертності вірогідний показник виявлений за наявності абдомінального ожиріння (</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 Гендерною особливістю був більший ризик серцево-судинної смертності у осіб чоловічої статі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При погіршенні перебігу ХСН верифікувався знижений систолічний артеріальний тиск САТ (</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 Наявність ХСН високих функціональних класів (ІІІ та IV) вірогідно корелювало з загальною та серцево-судинною смертністю, абсолютний ризик при переході від ФК І до ФК IV зростав від 5,9% до 81,6%, відносний ризик збільшувався в 71,1 разів при ФК IV порівняно з ФК І, (p&lt;0,05). Встановлено вірогідно більш високу вірогідність декомпенсації ХСН при ФВ ЛШ менше 50,0% - збільшення абсолютного ризику на 39,0% (р&lt;0,05).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Ризик серцево-судинної смертності при ХСН з рівнем натрію менше 135 ммоль/л зростав з 19,0 до 45,0%, а величиною «точки відсікання» для прогнозування серцево-судинної смертності внаслідок декомпенсації ХСН був вміст Na+ в межах 115,0-125,0 ммоль/л.</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 групі пацієнтів, де зареєстровані випадки серцево-судинної смертності, відмічено більш низькі показники загального холестерину (p&lt;0,05), холестерину ЛПНЩ (p&lt;0,05), ЛПДНЩ (p&lt;0,05), а також більш високий рівень ЛПВЩ (p&lt;0,05). У пацієнтів з важкою декомпенсацією ХСН було встановлено нижчий рівень гемоглобіну (р&lt;0,05), гематокриту (р&lt;0,05), а також більш високі показники ШОЕ (р&lt;0,05) та загального вмісту лейкоцитів (р&lt;0,05). Абсолютний ризик прогресування серцевої недостатності при рівні гемоглобіну до 120 г/л склав 48,0% супроти 16,0% хворих з нормальним рівнем гемоглобіну.</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При ретроспективному дослідженні, ризик асоціації серцево-судинної смертності зі зниженням ШКФ становив - 54,0% (р&lt;0,05), а серед клінічних показників вірогідну різницю щодо ШКФ отримано з віком хворих (р&lt;0,05) та індексом маси тіла (р&lt;0,05). Окрім того, встановлено більшу частоту хворих з </w:t>
      </w:r>
      <w:r w:rsidRPr="00F90B6B">
        <w:rPr>
          <w:rFonts w:ascii="Times New Roman" w:hAnsi="Times New Roman"/>
          <w:sz w:val="28"/>
          <w:szCs w:val="28"/>
          <w:lang w:eastAsia="ru-RU"/>
        </w:rPr>
        <w:lastRenderedPageBreak/>
        <w:t>гіпонатріємією та зниженою ШКФ - частота асоціації гіпонатріємії та зниженої ШКФ становила 36,0% проти 24,0% з нормальною ШКФ (р&lt;0,05).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uk-UA"/>
        </w:rPr>
        <w:t>В</w:t>
      </w:r>
      <w:r w:rsidRPr="00F90B6B">
        <w:rPr>
          <w:rFonts w:ascii="Times New Roman" w:hAnsi="Times New Roman"/>
          <w:sz w:val="28"/>
          <w:szCs w:val="28"/>
        </w:rPr>
        <w:t xml:space="preserve">становлено вірогідне зниження швидкості клубочкової фільтрації при більш високому рівні </w:t>
      </w:r>
      <w:r w:rsidRPr="00F90B6B">
        <w:rPr>
          <w:rFonts w:ascii="Times New Roman" w:hAnsi="Times New Roman"/>
          <w:sz w:val="28"/>
          <w:szCs w:val="28"/>
          <w:lang w:eastAsia="uk-UA"/>
        </w:rPr>
        <w:t xml:space="preserve">NTproBNP, що підтверджується як абсолютними значеннями (р&lt;0,05), так і регресійним аналізом (р&lt;0,05) та представлено наступною моделлю: </w:t>
      </w:r>
      <w:r w:rsidRPr="00F90B6B">
        <w:rPr>
          <w:rFonts w:ascii="Times New Roman" w:hAnsi="Times New Roman"/>
          <w:i/>
          <w:sz w:val="28"/>
          <w:szCs w:val="28"/>
          <w:lang w:eastAsia="uk-UA"/>
        </w:rPr>
        <w:t xml:space="preserve">NTproBNP=399,35-ШКФ*0,151. </w:t>
      </w:r>
      <w:r w:rsidRPr="00F90B6B">
        <w:rPr>
          <w:rFonts w:ascii="Times New Roman" w:hAnsi="Times New Roman"/>
          <w:sz w:val="28"/>
          <w:szCs w:val="28"/>
          <w:lang w:eastAsia="uk-UA"/>
        </w:rPr>
        <w:t xml:space="preserve">Встановлену залежність між NTproBNP та показниками гемодинаміки для пацієнтів з ХСН при супутньому ожирінні представлено у вигляді рівняння лінійної регресії: </w:t>
      </w:r>
      <w:r w:rsidRPr="00F90B6B">
        <w:rPr>
          <w:rFonts w:ascii="Times New Roman" w:hAnsi="Times New Roman"/>
          <w:i/>
          <w:sz w:val="28"/>
          <w:szCs w:val="28"/>
          <w:lang w:eastAsia="uk-UA"/>
        </w:rPr>
        <w:t xml:space="preserve">NTproBNP=599,07-ПАТ*0,308. </w:t>
      </w:r>
      <w:r w:rsidRPr="00F90B6B">
        <w:rPr>
          <w:rFonts w:ascii="Times New Roman" w:hAnsi="Times New Roman"/>
          <w:sz w:val="28"/>
          <w:szCs w:val="28"/>
          <w:lang w:eastAsia="uk-UA"/>
        </w:rPr>
        <w:t xml:space="preserve">При вивченні тривимірної залежності між рівнем натріємії, альдостероном та NTproBNP було представлено тривимірну регресійну модель: </w:t>
      </w:r>
      <w:r w:rsidRPr="00F90B6B">
        <w:rPr>
          <w:rFonts w:ascii="Times New Roman" w:hAnsi="Times New Roman"/>
          <w:i/>
          <w:sz w:val="28"/>
          <w:szCs w:val="28"/>
          <w:lang w:val="en-US" w:eastAsia="uk-UA"/>
        </w:rPr>
        <w:t>Na</w:t>
      </w:r>
      <w:r w:rsidRPr="00F90B6B">
        <w:rPr>
          <w:rFonts w:ascii="Times New Roman" w:hAnsi="Times New Roman"/>
          <w:i/>
          <w:sz w:val="28"/>
          <w:szCs w:val="28"/>
          <w:lang w:eastAsia="uk-UA"/>
        </w:rPr>
        <w:t>=129,75- NTproBNP*0,029267+альдостерон*0,770815.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Таким чином, новизною дисертаційного дослідження є те, що у вітчизняній клініці внутрішньої медицини проведено тривале проспективне дослідження, присвячене клініко-прогностичному значенню гіпонатріємії у хворих з хронічною серцевою недостатністю та супутнім ожирінням, верифіковано поширеність гіпонатріємії у хворих з ХСН. Встановлено, що гіпонатріємія більш часто асоціюється з жіночою статтю (р&lt;0,05), з віком більше 65 років (р&lt;0,05), з ІМТ більше 30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(р&lt;0,05); супутніми станами, вірогідно асоційованими з гіпонатріємією є фібриляція передсердь (18,4%), цукровий діабет (24,5%), виразкова хвороба та хронічний гастрит (53,0%), несприятливими подіями – гострий коронарний (р&lt;0,05) та кардіоренальний синдром (р&lt;0,05).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Встановлено, що у хворих з гіпонатріємією та ХСН зі збереженою ФВЛШ </w:t>
      </w:r>
      <w:r w:rsidRPr="00F90B6B">
        <w:rPr>
          <w:rFonts w:ascii="Times New Roman" w:hAnsi="Times New Roman"/>
          <w:sz w:val="28"/>
          <w:szCs w:val="28"/>
          <w:lang w:eastAsia="ru-RU"/>
        </w:rPr>
        <w:t>існує пряма лінійна залежність між рівнем секреції альдостерону та віком пацієнта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доведено від’ємний зв’язок між вмістом альдостерону та ІМТ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Виявлено, що у пацієнтів з ХСН та гіпонатріємією має значення абдомінальний тип ожиріння, який супроводжується збільшенням вмісту вмісту вільного альдостерону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Встановлено, що структурні зміни міокарду у пацієнтів з ХСН та ожирінням супроводжуються збільшенням розмірів лівого передсердя прямопропорційно ступеню збільшення рівня альдостерону (р&lt;0,05). Верифіковано від’ємний зв’язок</w:t>
      </w:r>
      <w:r w:rsidRPr="00F90B6B">
        <w:rPr>
          <w:rFonts w:ascii="Times New Roman" w:hAnsi="Times New Roman"/>
          <w:sz w:val="28"/>
          <w:szCs w:val="28"/>
          <w:lang w:eastAsia="ru-RU"/>
        </w:rPr>
        <w:t xml:space="preserve"> між вмістом альдостерону та ШКФ </w:t>
      </w:r>
      <w:r w:rsidRPr="00F90B6B">
        <w:rPr>
          <w:rFonts w:ascii="Times New Roman" w:hAnsi="Times New Roman"/>
          <w:sz w:val="28"/>
          <w:szCs w:val="28"/>
        </w:rPr>
        <w:t>(</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uk-UA"/>
        </w:rPr>
        <w:lastRenderedPageBreak/>
        <w:t xml:space="preserve">При ретроспективному дослідженні виявлено </w:t>
      </w:r>
      <w:r w:rsidRPr="00F90B6B">
        <w:rPr>
          <w:rFonts w:ascii="Times New Roman" w:hAnsi="Times New Roman"/>
          <w:sz w:val="28"/>
          <w:szCs w:val="28"/>
        </w:rPr>
        <w:t xml:space="preserve">прогностичну роль гіпонатріємії у пацієнтів з ХСН зі збереженою ФВЛШ, вірогідний додатковий ризик важкої гіпонатріємії встановлено при ожирінні </w:t>
      </w:r>
      <w:r w:rsidRPr="00F90B6B">
        <w:rPr>
          <w:rFonts w:ascii="Times New Roman" w:hAnsi="Times New Roman"/>
          <w:sz w:val="28"/>
          <w:szCs w:val="28"/>
          <w:lang w:eastAsia="uk-UA"/>
        </w:rPr>
        <w:t>(p&lt;0,05)</w:t>
      </w:r>
      <w:r w:rsidRPr="00F90B6B">
        <w:rPr>
          <w:rFonts w:ascii="Times New Roman" w:hAnsi="Times New Roman"/>
          <w:sz w:val="28"/>
          <w:szCs w:val="28"/>
        </w:rPr>
        <w:t xml:space="preserve">, гіпертонічній хворобі </w:t>
      </w:r>
      <w:r w:rsidRPr="00F90B6B">
        <w:rPr>
          <w:rFonts w:ascii="Times New Roman" w:hAnsi="Times New Roman"/>
          <w:sz w:val="28"/>
          <w:szCs w:val="28"/>
          <w:lang w:eastAsia="uk-UA"/>
        </w:rPr>
        <w:t>(p&lt;0,05)</w:t>
      </w:r>
      <w:r w:rsidRPr="00F90B6B">
        <w:rPr>
          <w:rFonts w:ascii="Times New Roman" w:hAnsi="Times New Roman"/>
          <w:sz w:val="28"/>
          <w:szCs w:val="28"/>
        </w:rPr>
        <w:t xml:space="preserve">, цукровому діабеті типу 2 </w:t>
      </w:r>
      <w:r w:rsidRPr="00F90B6B">
        <w:rPr>
          <w:rFonts w:ascii="Times New Roman" w:hAnsi="Times New Roman"/>
          <w:sz w:val="28"/>
          <w:szCs w:val="28"/>
          <w:lang w:eastAsia="uk-UA"/>
        </w:rPr>
        <w:t>(p&lt;0,05). С</w:t>
      </w:r>
      <w:r w:rsidRPr="00F90B6B">
        <w:rPr>
          <w:rFonts w:ascii="Times New Roman" w:hAnsi="Times New Roman"/>
          <w:sz w:val="28"/>
          <w:szCs w:val="28"/>
        </w:rPr>
        <w:t>еред загальноклінічних показників за наявності більш важкої гіпонатріємії верифіковано більш високий рівень інсулінорезистентності за індексом НОМА (р</w:t>
      </w:r>
      <w:r w:rsidRPr="00F90B6B">
        <w:rPr>
          <w:rFonts w:ascii="Times New Roman" w:hAnsi="Times New Roman"/>
          <w:sz w:val="28"/>
          <w:szCs w:val="28"/>
          <w:lang w:eastAsia="uk-UA"/>
        </w:rPr>
        <w:t xml:space="preserve">&lt;0,05), частота </w:t>
      </w:r>
      <w:r w:rsidRPr="00F90B6B">
        <w:rPr>
          <w:rFonts w:ascii="Times New Roman" w:hAnsi="Times New Roman"/>
          <w:sz w:val="28"/>
          <w:szCs w:val="28"/>
        </w:rPr>
        <w:t>розвитку діастолічної дисфункції за типом Е/А&lt;1,0 при важкій гіпонатріємії зростає на 23,0% (</w:t>
      </w:r>
      <w:r w:rsidRPr="00F90B6B">
        <w:rPr>
          <w:rFonts w:ascii="Times New Roman" w:hAnsi="Times New Roman"/>
          <w:sz w:val="28"/>
          <w:szCs w:val="28"/>
          <w:lang w:eastAsia="uk-UA"/>
        </w:rPr>
        <w:t>p&lt;0,05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При дослідженні прогностичної ролі гіпонатріємії у пацієнтів з ХСН та ЗФВЛШ в </w:t>
      </w:r>
      <w:r w:rsidRPr="00F90B6B">
        <w:rPr>
          <w:rFonts w:ascii="Times New Roman" w:hAnsi="Times New Roman"/>
          <w:sz w:val="28"/>
          <w:szCs w:val="28"/>
          <w:lang w:eastAsia="uk-UA"/>
        </w:rPr>
        <w:t>ретроспективному дослідженні</w:t>
      </w:r>
      <w:r w:rsidRPr="00F90B6B">
        <w:rPr>
          <w:rFonts w:ascii="Times New Roman" w:hAnsi="Times New Roman"/>
          <w:sz w:val="28"/>
          <w:szCs w:val="28"/>
        </w:rPr>
        <w:t>, встановлено збільшення ризику серцево-судинної смертності з 19,0 до 45,0% при рівні Na+ в межах 115,0-125,0 ммоль/л. Ризик асоціації серцево-судинної смертності зі зниженням ШКФ при гіпонатріємії встановлений на рівні 54,0% (р&lt;0,05), серед клінічних показників вірогідну різницю щодо розвитку кардіоренального синдрому отримано з віком хворих (р&lt;0,05) та індексом маси тіла (р&lt;0,05), доведено вірогідну асоціацію епізодів ФП та серцево-судинної смертності внаслідок декомпенсації ХСН (р&lt;0,05), асоціацію шлуночкових екстрасистол високих градацій з гіпонатріємією (p&lt;0,05).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 метою прогнозування ризику госпіталізацій з приводу СН та серцево-судинних подій рекомендовано визначення рівня іонізованого натрію як рутинного методу. Прогностично несприятливим для декомпенсації ХСН є рівень натрію менше 135 ммоль/л, для розвитку фатальних серцево-судинних подій – 115-125 ммоль/л. Рекомендовано проводити визначення рівня альдостерону та NTproBNP. Прогностично несприятливим є рівень NTproBNP ≥ 587,2±225,6 пг/мл, що асоціюється зі зниженням ШКФ та рівень альдостерону ≥ 130,2 пмоль/л, що асоціюється з важкою гіпонатріємією.</w:t>
      </w:r>
    </w:p>
    <w:p w:rsidR="00EF4063" w:rsidRPr="00F90B6B" w:rsidRDefault="00EF4063" w:rsidP="0060466F">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Ключові слова: </w:t>
      </w:r>
      <w:r w:rsidRPr="00F90B6B">
        <w:rPr>
          <w:rFonts w:ascii="Times New Roman" w:hAnsi="Times New Roman"/>
          <w:sz w:val="28"/>
          <w:szCs w:val="28"/>
        </w:rPr>
        <w:t>хронічна серцева недостатність, ожиріння, гіпонатріємія, натрійуретичний пеп</w:t>
      </w:r>
      <w:r w:rsidR="0060466F">
        <w:rPr>
          <w:rFonts w:ascii="Times New Roman" w:hAnsi="Times New Roman"/>
          <w:sz w:val="28"/>
          <w:szCs w:val="28"/>
        </w:rPr>
        <w:t>тид, клінічне значення, прогноз.</w:t>
      </w:r>
    </w:p>
    <w:p w:rsidR="00056EB5" w:rsidRDefault="00056EB5" w:rsidP="00F0048B">
      <w:pPr>
        <w:spacing w:after="0" w:line="360" w:lineRule="auto"/>
        <w:jc w:val="center"/>
        <w:rPr>
          <w:rStyle w:val="rvts8"/>
          <w:szCs w:val="28"/>
        </w:rPr>
      </w:pPr>
    </w:p>
    <w:p w:rsidR="00056EB5" w:rsidRDefault="00056EB5" w:rsidP="00F0048B">
      <w:pPr>
        <w:spacing w:after="0" w:line="360" w:lineRule="auto"/>
        <w:jc w:val="center"/>
        <w:rPr>
          <w:rStyle w:val="rvts8"/>
          <w:szCs w:val="28"/>
        </w:rPr>
      </w:pPr>
    </w:p>
    <w:p w:rsidR="00EF4063" w:rsidRPr="007F242B" w:rsidRDefault="00EF4063" w:rsidP="00F0048B">
      <w:pPr>
        <w:spacing w:after="0" w:line="360" w:lineRule="auto"/>
        <w:jc w:val="center"/>
        <w:rPr>
          <w:rStyle w:val="rvts8"/>
          <w:szCs w:val="28"/>
          <w:lang w:val="en-US"/>
        </w:rPr>
      </w:pPr>
      <w:r w:rsidRPr="007F242B">
        <w:rPr>
          <w:rStyle w:val="rvts8"/>
          <w:szCs w:val="28"/>
        </w:rPr>
        <w:t>SUMMARY</w:t>
      </w:r>
    </w:p>
    <w:p w:rsidR="00EF4063" w:rsidRPr="00F90B6B" w:rsidRDefault="00EF4063" w:rsidP="00F0048B">
      <w:pPr>
        <w:spacing w:after="0" w:line="360" w:lineRule="auto"/>
        <w:jc w:val="center"/>
        <w:rPr>
          <w:rStyle w:val="rvts8"/>
          <w:b/>
          <w:szCs w:val="28"/>
          <w:lang w:val="en-US"/>
        </w:rPr>
      </w:pPr>
    </w:p>
    <w:p w:rsidR="00EF4063" w:rsidRPr="00F90B6B" w:rsidRDefault="00ED6686" w:rsidP="00ED6686">
      <w:pPr>
        <w:spacing w:after="0" w:line="360" w:lineRule="auto"/>
        <w:ind w:firstLine="709"/>
        <w:jc w:val="both"/>
        <w:rPr>
          <w:rStyle w:val="rvts8"/>
          <w:szCs w:val="28"/>
        </w:rPr>
      </w:pPr>
      <w:r>
        <w:rPr>
          <w:rFonts w:ascii="Arial" w:hAnsi="Arial" w:cs="Arial"/>
          <w:color w:val="222222"/>
          <w:shd w:val="clear" w:color="auto" w:fill="FFFFFF"/>
        </w:rPr>
        <w:lastRenderedPageBreak/>
        <w:t> </w:t>
      </w:r>
      <w:r>
        <w:rPr>
          <w:rStyle w:val="rvts8"/>
          <w:b/>
          <w:szCs w:val="28"/>
        </w:rPr>
        <w:t>Laz</w:t>
      </w:r>
      <w:r>
        <w:rPr>
          <w:rStyle w:val="rvts8"/>
          <w:b/>
          <w:szCs w:val="28"/>
          <w:lang w:val="en-US"/>
        </w:rPr>
        <w:t>i</w:t>
      </w:r>
      <w:r w:rsidR="00EF4063" w:rsidRPr="00F90B6B">
        <w:rPr>
          <w:rStyle w:val="rvts8"/>
          <w:b/>
          <w:szCs w:val="28"/>
        </w:rPr>
        <w:t>d</w:t>
      </w:r>
      <w:r w:rsidR="00EF4063" w:rsidRPr="00F90B6B">
        <w:rPr>
          <w:rStyle w:val="rvts8"/>
          <w:b/>
          <w:szCs w:val="28"/>
          <w:lang w:val="en-US"/>
        </w:rPr>
        <w:t>i</w:t>
      </w:r>
      <w:r w:rsidR="00EF4063" w:rsidRPr="00F90B6B">
        <w:rPr>
          <w:rStyle w:val="rvts8"/>
          <w:b/>
          <w:szCs w:val="28"/>
        </w:rPr>
        <w:t xml:space="preserve"> </w:t>
      </w:r>
      <w:r w:rsidR="00EF4063" w:rsidRPr="00F90B6B">
        <w:rPr>
          <w:rStyle w:val="rvts8"/>
          <w:b/>
          <w:szCs w:val="28"/>
          <w:lang w:val="en-US"/>
        </w:rPr>
        <w:t>K</w:t>
      </w:r>
      <w:r w:rsidR="00EF4063" w:rsidRPr="00F90B6B">
        <w:rPr>
          <w:rStyle w:val="rvts8"/>
          <w:b/>
          <w:szCs w:val="28"/>
        </w:rPr>
        <w:t xml:space="preserve">aterina Leonidovna. </w:t>
      </w:r>
      <w:r w:rsidR="00EF4063" w:rsidRPr="00F90B6B">
        <w:rPr>
          <w:rStyle w:val="rvts8"/>
          <w:szCs w:val="28"/>
        </w:rPr>
        <w:t>Optimization of prognosis in patients with</w:t>
      </w:r>
      <w:r>
        <w:rPr>
          <w:rStyle w:val="rvts8"/>
          <w:szCs w:val="28"/>
          <w:lang w:val="en-US"/>
        </w:rPr>
        <w:t xml:space="preserve"> </w:t>
      </w:r>
      <w:r w:rsidR="00EF4063" w:rsidRPr="00F90B6B">
        <w:rPr>
          <w:rStyle w:val="rvts8"/>
          <w:szCs w:val="28"/>
        </w:rPr>
        <w:t xml:space="preserve">ischemic heart failure and obesity based on investigation of hyponatremia and natriuretic </w:t>
      </w:r>
      <w:r w:rsidR="00EF4063" w:rsidRPr="00F90B6B">
        <w:rPr>
          <w:rStyle w:val="rvts8"/>
          <w:szCs w:val="28"/>
          <w:lang w:val="en-US"/>
        </w:rPr>
        <w:t>peptide level.</w:t>
      </w:r>
      <w:r w:rsidR="00EF4063" w:rsidRPr="00F90B6B">
        <w:rPr>
          <w:rStyle w:val="rvts8"/>
          <w:szCs w:val="28"/>
        </w:rPr>
        <w:t xml:space="preserve"> - Qualifying scientific work on the rights of manuscript.</w:t>
      </w:r>
    </w:p>
    <w:p w:rsidR="00EF4063" w:rsidRPr="00F90B6B" w:rsidRDefault="00EF4063" w:rsidP="00ED6686">
      <w:pPr>
        <w:autoSpaceDE w:val="0"/>
        <w:autoSpaceDN w:val="0"/>
        <w:adjustRightInd w:val="0"/>
        <w:spacing w:after="0" w:line="360" w:lineRule="auto"/>
        <w:jc w:val="both"/>
        <w:rPr>
          <w:rStyle w:val="rvts8"/>
          <w:rFonts w:eastAsia="TimesNewRoman"/>
          <w:szCs w:val="28"/>
          <w:lang w:val="en-US" w:eastAsia="ru-RU"/>
        </w:rPr>
      </w:pPr>
      <w:r w:rsidRPr="00F90B6B">
        <w:rPr>
          <w:rFonts w:ascii="Times New Roman" w:hAnsi="Times New Roman"/>
          <w:sz w:val="28"/>
          <w:szCs w:val="28"/>
          <w:lang w:val="en-US"/>
        </w:rPr>
        <w:t xml:space="preserve">Thesis for the degree of </w:t>
      </w:r>
      <w:r w:rsidRPr="00F90B6B">
        <w:rPr>
          <w:rStyle w:val="rvts8"/>
          <w:szCs w:val="28"/>
        </w:rPr>
        <w:t>candidate of medical sciences in specialty 14.01.02 – «</w:t>
      </w:r>
      <w:r w:rsidRPr="00F90B6B">
        <w:rPr>
          <w:rStyle w:val="rvts8"/>
          <w:szCs w:val="28"/>
          <w:lang w:val="en-US"/>
        </w:rPr>
        <w:t>I</w:t>
      </w:r>
      <w:r w:rsidRPr="00F90B6B">
        <w:rPr>
          <w:rStyle w:val="rvts8"/>
          <w:szCs w:val="28"/>
        </w:rPr>
        <w:t xml:space="preserve">nternal </w:t>
      </w:r>
      <w:r w:rsidRPr="00F90B6B">
        <w:rPr>
          <w:rStyle w:val="rvts8"/>
          <w:szCs w:val="28"/>
          <w:lang w:val="en-US"/>
        </w:rPr>
        <w:t>Diseases</w:t>
      </w:r>
      <w:r w:rsidR="00462949">
        <w:rPr>
          <w:rStyle w:val="rvts8"/>
          <w:szCs w:val="28"/>
        </w:rPr>
        <w:t>»</w:t>
      </w:r>
      <w:r w:rsidR="002A2D50">
        <w:rPr>
          <w:rStyle w:val="rvts8"/>
          <w:szCs w:val="28"/>
          <w:lang w:val="en-US"/>
        </w:rPr>
        <w:t>.</w:t>
      </w:r>
      <w:r w:rsidR="002A2D50">
        <w:rPr>
          <w:rStyle w:val="rvts8"/>
          <w:szCs w:val="28"/>
        </w:rPr>
        <w:t xml:space="preserve"> </w:t>
      </w:r>
      <w:r w:rsidRPr="00F90B6B">
        <w:rPr>
          <w:rStyle w:val="rvts8"/>
          <w:szCs w:val="28"/>
          <w:lang w:val="en-US"/>
        </w:rPr>
        <w:t>-</w:t>
      </w:r>
      <w:r w:rsidRPr="00F90B6B">
        <w:rPr>
          <w:rStyle w:val="rvts8"/>
          <w:spacing w:val="-6"/>
          <w:szCs w:val="28"/>
        </w:rPr>
        <w:t xml:space="preserve"> </w:t>
      </w:r>
      <w:r w:rsidR="00FE37C6" w:rsidRPr="00462949">
        <w:rPr>
          <w:rFonts w:ascii="Times New Roman" w:hAnsi="Times New Roman"/>
          <w:sz w:val="28"/>
          <w:szCs w:val="28"/>
          <w:shd w:val="clear" w:color="auto" w:fill="FFFFFF"/>
        </w:rPr>
        <w:t>GI "L.T.Malaya TNI NAMSU",</w:t>
      </w:r>
      <w:r w:rsidR="00FE37C6">
        <w:rPr>
          <w:rFonts w:ascii="Arial" w:hAnsi="Arial" w:cs="Arial"/>
          <w:color w:val="222222"/>
          <w:sz w:val="20"/>
          <w:szCs w:val="20"/>
          <w:shd w:val="clear" w:color="auto" w:fill="FFFFFF"/>
        </w:rPr>
        <w:t xml:space="preserve"> </w:t>
      </w:r>
      <w:r w:rsidRPr="00F90B6B">
        <w:rPr>
          <w:rFonts w:ascii="Times New Roman" w:eastAsia="TimesNewRoman" w:hAnsi="Times New Roman"/>
          <w:sz w:val="28"/>
          <w:szCs w:val="28"/>
          <w:lang w:val="en-US" w:eastAsia="ru-RU"/>
        </w:rPr>
        <w:t>Kharkiv National Medical University, Ministry of Health of Ukraine, Kharkov, 2019</w:t>
      </w:r>
      <w:r w:rsidRPr="00F90B6B">
        <w:rPr>
          <w:rStyle w:val="rvts8"/>
          <w:spacing w:val="-6"/>
          <w:szCs w:val="28"/>
        </w:rPr>
        <w:t>.</w:t>
      </w:r>
    </w:p>
    <w:p w:rsidR="00EF4063" w:rsidRPr="00F90B6B" w:rsidRDefault="00EF4063" w:rsidP="00F0048B">
      <w:pPr>
        <w:spacing w:after="0" w:line="360" w:lineRule="auto"/>
        <w:ind w:firstLine="709"/>
        <w:jc w:val="both"/>
        <w:rPr>
          <w:rStyle w:val="rvts8"/>
          <w:szCs w:val="28"/>
        </w:rPr>
      </w:pPr>
      <w:r w:rsidRPr="00F90B6B">
        <w:rPr>
          <w:rFonts w:ascii="Times New Roman" w:hAnsi="Times New Roman"/>
          <w:sz w:val="28"/>
          <w:szCs w:val="28"/>
          <w:lang w:val="en-US"/>
        </w:rPr>
        <w:t xml:space="preserve">In thesis </w:t>
      </w:r>
      <w:r w:rsidRPr="00F90B6B">
        <w:rPr>
          <w:rStyle w:val="rvts8"/>
          <w:szCs w:val="28"/>
        </w:rPr>
        <w:t>was conducted</w:t>
      </w:r>
      <w:r w:rsidRPr="00F90B6B">
        <w:rPr>
          <w:rFonts w:ascii="Times New Roman" w:hAnsi="Times New Roman"/>
          <w:sz w:val="28"/>
          <w:szCs w:val="28"/>
          <w:lang w:val="en-US"/>
        </w:rPr>
        <w:t xml:space="preserve"> the research </w:t>
      </w:r>
      <w:r w:rsidRPr="00F90B6B">
        <w:rPr>
          <w:rStyle w:val="rvts8"/>
          <w:szCs w:val="28"/>
        </w:rPr>
        <w:t xml:space="preserve">of clinical and prognostic value of hyponatremia and natriuretic peptide in patients with chronic heart failure </w:t>
      </w:r>
      <w:r w:rsidRPr="00F90B6B">
        <w:rPr>
          <w:rStyle w:val="rvts8"/>
          <w:szCs w:val="28"/>
          <w:lang w:val="en-US"/>
        </w:rPr>
        <w:t>(HF) and preserved ejection</w:t>
      </w:r>
      <w:r w:rsidRPr="00F90B6B">
        <w:rPr>
          <w:rStyle w:val="rvts8"/>
          <w:szCs w:val="28"/>
        </w:rPr>
        <w:t xml:space="preserve"> </w:t>
      </w:r>
      <w:r w:rsidRPr="00F90B6B">
        <w:rPr>
          <w:rStyle w:val="rvts8"/>
          <w:szCs w:val="28"/>
          <w:lang w:val="en-US"/>
        </w:rPr>
        <w:t>fraction (HFpEF) with concominant</w:t>
      </w:r>
      <w:r w:rsidRPr="00F90B6B">
        <w:rPr>
          <w:rStyle w:val="rvts8"/>
          <w:szCs w:val="28"/>
        </w:rPr>
        <w:t xml:space="preserve"> obesity.</w:t>
      </w:r>
    </w:p>
    <w:p w:rsidR="00EF4063" w:rsidRPr="00F90B6B" w:rsidRDefault="00EF4063" w:rsidP="00F0048B">
      <w:pPr>
        <w:spacing w:after="0" w:line="360" w:lineRule="auto"/>
        <w:ind w:firstLine="709"/>
        <w:jc w:val="both"/>
        <w:rPr>
          <w:rStyle w:val="rvts8"/>
          <w:szCs w:val="28"/>
        </w:rPr>
      </w:pPr>
      <w:r w:rsidRPr="00F90B6B">
        <w:rPr>
          <w:rStyle w:val="rvts8"/>
          <w:szCs w:val="28"/>
          <w:lang w:val="en-US"/>
        </w:rPr>
        <w:t>For</w:t>
      </w:r>
      <w:r w:rsidRPr="00F90B6B">
        <w:rPr>
          <w:rStyle w:val="rvts8"/>
          <w:szCs w:val="28"/>
        </w:rPr>
        <w:t xml:space="preserve"> th</w:t>
      </w:r>
      <w:r w:rsidRPr="00F90B6B">
        <w:rPr>
          <w:rStyle w:val="rvts8"/>
          <w:szCs w:val="28"/>
          <w:lang w:val="en-US"/>
        </w:rPr>
        <w:t>is</w:t>
      </w:r>
      <w:r w:rsidRPr="00F90B6B">
        <w:rPr>
          <w:rStyle w:val="rvts8"/>
          <w:szCs w:val="28"/>
        </w:rPr>
        <w:t xml:space="preserve"> goal from 2015 to 2018</w:t>
      </w:r>
      <w:r w:rsidRPr="00F90B6B">
        <w:rPr>
          <w:rStyle w:val="rvts8"/>
          <w:szCs w:val="28"/>
          <w:lang w:val="en-US"/>
        </w:rPr>
        <w:t xml:space="preserve"> </w:t>
      </w:r>
      <w:r w:rsidRPr="00F90B6B">
        <w:rPr>
          <w:rStyle w:val="rvts8"/>
          <w:szCs w:val="28"/>
        </w:rPr>
        <w:t>were conducted 2 types of clinical trials.</w:t>
      </w:r>
    </w:p>
    <w:p w:rsidR="00EF4063" w:rsidRPr="00F90B6B" w:rsidRDefault="00EF4063" w:rsidP="00F0048B">
      <w:pPr>
        <w:spacing w:after="0" w:line="360" w:lineRule="auto"/>
        <w:ind w:firstLine="709"/>
        <w:jc w:val="both"/>
        <w:rPr>
          <w:rStyle w:val="rvts8"/>
          <w:szCs w:val="28"/>
        </w:rPr>
      </w:pPr>
      <w:r w:rsidRPr="00F90B6B">
        <w:rPr>
          <w:rStyle w:val="rvts8"/>
          <w:szCs w:val="28"/>
        </w:rPr>
        <w:t xml:space="preserve">The first study </w:t>
      </w:r>
      <w:r w:rsidRPr="00F90B6B">
        <w:rPr>
          <w:rStyle w:val="rvts8"/>
          <w:szCs w:val="28"/>
          <w:lang w:val="en-US"/>
        </w:rPr>
        <w:t>was</w:t>
      </w:r>
      <w:r w:rsidRPr="00F90B6B">
        <w:rPr>
          <w:rStyle w:val="rvts8"/>
          <w:szCs w:val="28"/>
        </w:rPr>
        <w:t xml:space="preserve"> prospective clinical observation of 176 people, including 146 patients with chronic heart failure and 30 healthy individuals. According to the results of clinical</w:t>
      </w:r>
      <w:r w:rsidRPr="00F90B6B">
        <w:rPr>
          <w:rStyle w:val="rvts8"/>
          <w:szCs w:val="28"/>
          <w:lang w:val="en-US"/>
        </w:rPr>
        <w:t>s, functionals and instrumentals investigations the</w:t>
      </w:r>
      <w:r w:rsidRPr="00F90B6B">
        <w:rPr>
          <w:rStyle w:val="rvts8"/>
          <w:szCs w:val="28"/>
        </w:rPr>
        <w:t xml:space="preserve"> patients were divided into groups: group 1</w:t>
      </w:r>
      <w:r w:rsidRPr="00F90B6B">
        <w:rPr>
          <w:rStyle w:val="rvts8"/>
          <w:szCs w:val="28"/>
          <w:lang w:val="en-US"/>
        </w:rPr>
        <w:t xml:space="preserve"> -</w:t>
      </w:r>
      <w:r w:rsidRPr="00F90B6B">
        <w:rPr>
          <w:rStyle w:val="rvts8"/>
          <w:szCs w:val="28"/>
        </w:rPr>
        <w:t xml:space="preserve"> </w:t>
      </w:r>
      <w:r w:rsidRPr="00F90B6B">
        <w:rPr>
          <w:rStyle w:val="rvts8"/>
          <w:szCs w:val="28"/>
          <w:lang w:val="en-US"/>
        </w:rPr>
        <w:t xml:space="preserve">HFpEF </w:t>
      </w:r>
      <w:r w:rsidRPr="00F90B6B">
        <w:rPr>
          <w:rStyle w:val="rvts8"/>
          <w:szCs w:val="28"/>
        </w:rPr>
        <w:t xml:space="preserve">and </w:t>
      </w:r>
      <w:r w:rsidRPr="00F90B6B">
        <w:rPr>
          <w:rStyle w:val="rvts8"/>
          <w:szCs w:val="28"/>
          <w:lang w:val="en-US"/>
        </w:rPr>
        <w:t>body mass index (BMI) &lt; 25 kg/m</w:t>
      </w:r>
      <w:r w:rsidRPr="00F90B6B">
        <w:rPr>
          <w:rStyle w:val="rvts8"/>
          <w:szCs w:val="28"/>
          <w:vertAlign w:val="superscript"/>
          <w:lang w:val="en-US"/>
        </w:rPr>
        <w:t>2</w:t>
      </w:r>
      <w:r w:rsidRPr="00F90B6B">
        <w:rPr>
          <w:rStyle w:val="rvts8"/>
          <w:szCs w:val="28"/>
          <w:lang w:val="en-US"/>
        </w:rPr>
        <w:t xml:space="preserve"> (</w:t>
      </w:r>
      <w:r w:rsidRPr="00F90B6B">
        <w:rPr>
          <w:rStyle w:val="rvts8"/>
          <w:szCs w:val="28"/>
        </w:rPr>
        <w:t>40 pe</w:t>
      </w:r>
      <w:r w:rsidRPr="00F90B6B">
        <w:rPr>
          <w:rStyle w:val="rvts8"/>
          <w:szCs w:val="28"/>
          <w:lang w:val="en-US"/>
        </w:rPr>
        <w:t xml:space="preserve">rsons, </w:t>
      </w:r>
      <w:r w:rsidRPr="00F90B6B">
        <w:rPr>
          <w:rStyle w:val="rvts8"/>
          <w:szCs w:val="28"/>
        </w:rPr>
        <w:t>27</w:t>
      </w:r>
      <w:r w:rsidRPr="00F90B6B">
        <w:rPr>
          <w:rStyle w:val="rvts8"/>
          <w:szCs w:val="28"/>
          <w:lang w:val="en-US"/>
        </w:rPr>
        <w:t>,</w:t>
      </w:r>
      <w:r w:rsidRPr="00F90B6B">
        <w:rPr>
          <w:rStyle w:val="rvts8"/>
          <w:szCs w:val="28"/>
        </w:rPr>
        <w:t xml:space="preserve">%), group 2 </w:t>
      </w:r>
      <w:r w:rsidRPr="00F90B6B">
        <w:rPr>
          <w:rStyle w:val="rvts8"/>
          <w:szCs w:val="28"/>
          <w:lang w:val="en-US"/>
        </w:rPr>
        <w:t>- HFpEF</w:t>
      </w:r>
      <w:r w:rsidRPr="00F90B6B">
        <w:rPr>
          <w:rStyle w:val="rvts8"/>
          <w:szCs w:val="28"/>
        </w:rPr>
        <w:t xml:space="preserve"> </w:t>
      </w:r>
      <w:r w:rsidRPr="00F90B6B">
        <w:rPr>
          <w:rStyle w:val="rvts8"/>
          <w:szCs w:val="28"/>
          <w:lang w:val="en-US"/>
        </w:rPr>
        <w:t>and BMI 25-30 kg/m</w:t>
      </w:r>
      <w:r w:rsidRPr="00F90B6B">
        <w:rPr>
          <w:rStyle w:val="rvts8"/>
          <w:szCs w:val="28"/>
          <w:vertAlign w:val="superscript"/>
          <w:lang w:val="en-US"/>
        </w:rPr>
        <w:t>2</w:t>
      </w:r>
      <w:r w:rsidRPr="00F90B6B">
        <w:rPr>
          <w:rStyle w:val="rvts8"/>
          <w:szCs w:val="28"/>
          <w:lang w:val="en-US"/>
        </w:rPr>
        <w:t xml:space="preserve"> (</w:t>
      </w:r>
      <w:r w:rsidRPr="00F90B6B">
        <w:rPr>
          <w:rStyle w:val="rvts8"/>
          <w:szCs w:val="28"/>
        </w:rPr>
        <w:t>35 pe</w:t>
      </w:r>
      <w:r w:rsidRPr="00F90B6B">
        <w:rPr>
          <w:rStyle w:val="rvts8"/>
          <w:szCs w:val="28"/>
          <w:lang w:val="en-US"/>
        </w:rPr>
        <w:t xml:space="preserve">rsons, </w:t>
      </w:r>
      <w:r w:rsidRPr="00F90B6B">
        <w:rPr>
          <w:rStyle w:val="rvts8"/>
          <w:szCs w:val="28"/>
        </w:rPr>
        <w:t>24</w:t>
      </w:r>
      <w:r w:rsidRPr="00F90B6B">
        <w:rPr>
          <w:rStyle w:val="rvts8"/>
          <w:szCs w:val="28"/>
          <w:lang w:val="en-US"/>
        </w:rPr>
        <w:t>,</w:t>
      </w:r>
      <w:r w:rsidRPr="00F90B6B">
        <w:rPr>
          <w:rStyle w:val="rvts8"/>
          <w:szCs w:val="28"/>
        </w:rPr>
        <w:t xml:space="preserve">0%), group 3 </w:t>
      </w:r>
      <w:r w:rsidRPr="00F90B6B">
        <w:rPr>
          <w:rStyle w:val="rvts8"/>
          <w:szCs w:val="28"/>
          <w:lang w:val="en-US"/>
        </w:rPr>
        <w:t>- HFpEF</w:t>
      </w:r>
      <w:r w:rsidRPr="00F90B6B">
        <w:rPr>
          <w:rStyle w:val="rvts8"/>
          <w:szCs w:val="28"/>
        </w:rPr>
        <w:t xml:space="preserve"> </w:t>
      </w:r>
      <w:r w:rsidRPr="00F90B6B">
        <w:rPr>
          <w:rStyle w:val="rvts8"/>
          <w:szCs w:val="28"/>
          <w:lang w:val="en-US"/>
        </w:rPr>
        <w:t>and BMI &gt;30 kg/m</w:t>
      </w:r>
      <w:r w:rsidRPr="00F90B6B">
        <w:rPr>
          <w:rStyle w:val="rvts8"/>
          <w:szCs w:val="28"/>
          <w:vertAlign w:val="superscript"/>
          <w:lang w:val="en-US"/>
        </w:rPr>
        <w:t>2</w:t>
      </w:r>
      <w:r w:rsidRPr="00F90B6B">
        <w:rPr>
          <w:rStyle w:val="rvts8"/>
          <w:szCs w:val="28"/>
          <w:lang w:val="en-US"/>
        </w:rPr>
        <w:t xml:space="preserve"> (</w:t>
      </w:r>
      <w:r w:rsidRPr="00F90B6B">
        <w:rPr>
          <w:rStyle w:val="rvts8"/>
          <w:szCs w:val="28"/>
        </w:rPr>
        <w:t>71 persons</w:t>
      </w:r>
      <w:r w:rsidRPr="00F90B6B">
        <w:rPr>
          <w:rStyle w:val="rvts8"/>
          <w:szCs w:val="28"/>
          <w:lang w:val="en-US"/>
        </w:rPr>
        <w:t xml:space="preserve">, </w:t>
      </w:r>
      <w:r w:rsidRPr="00F90B6B">
        <w:rPr>
          <w:rStyle w:val="rvts8"/>
          <w:szCs w:val="28"/>
        </w:rPr>
        <w:t>48</w:t>
      </w:r>
      <w:r w:rsidRPr="00F90B6B">
        <w:rPr>
          <w:rStyle w:val="rvts8"/>
          <w:szCs w:val="28"/>
          <w:lang w:val="en-US"/>
        </w:rPr>
        <w:t>,</w:t>
      </w:r>
      <w:r w:rsidRPr="00F90B6B">
        <w:rPr>
          <w:rStyle w:val="rvts8"/>
          <w:szCs w:val="28"/>
        </w:rPr>
        <w:t>6%).</w:t>
      </w:r>
    </w:p>
    <w:p w:rsidR="00EF4063" w:rsidRPr="00F90B6B" w:rsidRDefault="00EF4063" w:rsidP="00F0048B">
      <w:pPr>
        <w:spacing w:after="0" w:line="360" w:lineRule="auto"/>
        <w:ind w:firstLine="709"/>
        <w:jc w:val="both"/>
        <w:rPr>
          <w:rStyle w:val="rvts8"/>
          <w:szCs w:val="28"/>
        </w:rPr>
      </w:pPr>
      <w:r w:rsidRPr="00F90B6B">
        <w:rPr>
          <w:rStyle w:val="rvts8"/>
          <w:szCs w:val="28"/>
          <w:lang w:val="en-US"/>
        </w:rPr>
        <w:t>In the</w:t>
      </w:r>
      <w:r w:rsidRPr="00F90B6B">
        <w:rPr>
          <w:rStyle w:val="rvts8"/>
          <w:szCs w:val="28"/>
        </w:rPr>
        <w:t xml:space="preserve"> 2-year</w:t>
      </w:r>
      <w:r w:rsidRPr="00F90B6B">
        <w:rPr>
          <w:rStyle w:val="rvts8"/>
          <w:szCs w:val="28"/>
          <w:lang w:val="en-US"/>
        </w:rPr>
        <w:t>s</w:t>
      </w:r>
      <w:r w:rsidRPr="00F90B6B">
        <w:rPr>
          <w:rStyle w:val="rvts8"/>
          <w:szCs w:val="28"/>
        </w:rPr>
        <w:t xml:space="preserve"> prospective observation </w:t>
      </w:r>
      <w:r w:rsidRPr="00F90B6B">
        <w:rPr>
          <w:rStyle w:val="rvts8"/>
          <w:szCs w:val="28"/>
          <w:lang w:val="en-US"/>
        </w:rPr>
        <w:t xml:space="preserve">were </w:t>
      </w:r>
      <w:r w:rsidRPr="00F90B6B">
        <w:rPr>
          <w:rStyle w:val="rvts8"/>
          <w:szCs w:val="28"/>
        </w:rPr>
        <w:t>stud</w:t>
      </w:r>
      <w:r w:rsidRPr="00F90B6B">
        <w:rPr>
          <w:rStyle w:val="rvts8"/>
          <w:szCs w:val="28"/>
          <w:lang w:val="en-US"/>
        </w:rPr>
        <w:t>ied</w:t>
      </w:r>
      <w:r w:rsidRPr="00F90B6B">
        <w:rPr>
          <w:rStyle w:val="rvts8"/>
          <w:szCs w:val="28"/>
        </w:rPr>
        <w:t xml:space="preserve"> the incidence of hyponatremia</w:t>
      </w:r>
      <w:r w:rsidRPr="00F90B6B">
        <w:rPr>
          <w:rStyle w:val="rvts8"/>
          <w:szCs w:val="28"/>
          <w:lang w:val="en-US"/>
        </w:rPr>
        <w:t xml:space="preserve"> in </w:t>
      </w:r>
      <w:r w:rsidRPr="00F90B6B">
        <w:rPr>
          <w:rStyle w:val="rvts8"/>
          <w:szCs w:val="28"/>
        </w:rPr>
        <w:t>patients</w:t>
      </w:r>
      <w:r w:rsidRPr="00F90B6B">
        <w:rPr>
          <w:rStyle w:val="rvts8"/>
          <w:szCs w:val="28"/>
          <w:lang w:val="en-US"/>
        </w:rPr>
        <w:t xml:space="preserve"> with HFpEF; factors,</w:t>
      </w:r>
      <w:r w:rsidRPr="00F90B6B">
        <w:rPr>
          <w:rStyle w:val="rvts8"/>
          <w:szCs w:val="28"/>
        </w:rPr>
        <w:t xml:space="preserve"> associated </w:t>
      </w:r>
      <w:r w:rsidRPr="00F90B6B">
        <w:rPr>
          <w:rStyle w:val="rvts8"/>
          <w:szCs w:val="28"/>
          <w:lang w:val="en-US"/>
        </w:rPr>
        <w:t xml:space="preserve">with </w:t>
      </w:r>
      <w:r w:rsidRPr="00F90B6B">
        <w:rPr>
          <w:rStyle w:val="rvts8"/>
          <w:szCs w:val="28"/>
        </w:rPr>
        <w:t xml:space="preserve">hyponatremia; </w:t>
      </w:r>
      <w:r w:rsidRPr="00F90B6B">
        <w:rPr>
          <w:rStyle w:val="rvts8"/>
          <w:szCs w:val="28"/>
          <w:lang w:val="en-US"/>
        </w:rPr>
        <w:t>were</w:t>
      </w:r>
      <w:r w:rsidRPr="00F90B6B">
        <w:rPr>
          <w:rStyle w:val="rvts8"/>
          <w:szCs w:val="28"/>
        </w:rPr>
        <w:t xml:space="preserve"> investigate</w:t>
      </w:r>
      <w:r w:rsidRPr="00F90B6B">
        <w:rPr>
          <w:rStyle w:val="rvts8"/>
          <w:szCs w:val="28"/>
          <w:lang w:val="en-US"/>
        </w:rPr>
        <w:t>d</w:t>
      </w:r>
      <w:r w:rsidRPr="00F90B6B">
        <w:rPr>
          <w:rStyle w:val="rvts8"/>
          <w:szCs w:val="28"/>
        </w:rPr>
        <w:t xml:space="preserve"> parameters of cardioghemodynamics; </w:t>
      </w:r>
      <w:r w:rsidRPr="00F90B6B">
        <w:rPr>
          <w:rStyle w:val="rvts8"/>
          <w:szCs w:val="28"/>
          <w:lang w:val="en-US"/>
        </w:rPr>
        <w:t>were</w:t>
      </w:r>
      <w:r w:rsidRPr="00F90B6B">
        <w:rPr>
          <w:rStyle w:val="rvts8"/>
          <w:szCs w:val="28"/>
        </w:rPr>
        <w:t xml:space="preserve"> establish</w:t>
      </w:r>
      <w:r w:rsidRPr="00F90B6B">
        <w:rPr>
          <w:rStyle w:val="rvts8"/>
          <w:szCs w:val="28"/>
          <w:lang w:val="en-US"/>
        </w:rPr>
        <w:t xml:space="preserve">ed correlations </w:t>
      </w:r>
      <w:r w:rsidRPr="00F90B6B">
        <w:rPr>
          <w:rStyle w:val="rvts8"/>
          <w:szCs w:val="28"/>
        </w:rPr>
        <w:t>between sodium level, aldosterone</w:t>
      </w:r>
      <w:r w:rsidRPr="00F90B6B">
        <w:rPr>
          <w:rStyle w:val="rvts8"/>
          <w:szCs w:val="28"/>
          <w:lang w:val="en-US"/>
        </w:rPr>
        <w:t>,</w:t>
      </w:r>
      <w:r w:rsidRPr="00F90B6B">
        <w:rPr>
          <w:rStyle w:val="rvts8"/>
          <w:szCs w:val="28"/>
        </w:rPr>
        <w:t xml:space="preserve"> NTproBNP</w:t>
      </w:r>
      <w:r w:rsidRPr="00F90B6B">
        <w:rPr>
          <w:rStyle w:val="rvts8"/>
          <w:szCs w:val="28"/>
          <w:lang w:val="en-US"/>
        </w:rPr>
        <w:t>,</w:t>
      </w:r>
      <w:r w:rsidRPr="00F90B6B">
        <w:rPr>
          <w:rStyle w:val="rvts8"/>
          <w:szCs w:val="28"/>
        </w:rPr>
        <w:t xml:space="preserve"> clinical</w:t>
      </w:r>
      <w:r w:rsidRPr="00F90B6B">
        <w:rPr>
          <w:rStyle w:val="rvts8"/>
          <w:szCs w:val="28"/>
          <w:lang w:val="en-US"/>
        </w:rPr>
        <w:t>,</w:t>
      </w:r>
      <w:r w:rsidRPr="00F90B6B">
        <w:rPr>
          <w:rStyle w:val="rvts8"/>
          <w:szCs w:val="28"/>
        </w:rPr>
        <w:t xml:space="preserve"> laboratory and cardioghemodynamic </w:t>
      </w:r>
      <w:r w:rsidRPr="00F90B6B">
        <w:rPr>
          <w:rStyle w:val="rvts8"/>
          <w:szCs w:val="28"/>
          <w:lang w:val="en-US"/>
        </w:rPr>
        <w:t>parameters</w:t>
      </w:r>
      <w:r w:rsidRPr="00F90B6B">
        <w:rPr>
          <w:rStyle w:val="rvts8"/>
          <w:szCs w:val="28"/>
        </w:rPr>
        <w:t xml:space="preserve">; </w:t>
      </w:r>
      <w:r w:rsidRPr="00F90B6B">
        <w:rPr>
          <w:rStyle w:val="rvts8"/>
          <w:szCs w:val="28"/>
          <w:lang w:val="en-US"/>
        </w:rPr>
        <w:t>were</w:t>
      </w:r>
      <w:r w:rsidRPr="00F90B6B">
        <w:rPr>
          <w:rStyle w:val="rvts8"/>
          <w:szCs w:val="28"/>
        </w:rPr>
        <w:t xml:space="preserve"> identif</w:t>
      </w:r>
      <w:r w:rsidRPr="00F90B6B">
        <w:rPr>
          <w:rStyle w:val="rvts8"/>
          <w:szCs w:val="28"/>
          <w:lang w:val="en-US"/>
        </w:rPr>
        <w:t>ied</w:t>
      </w:r>
      <w:r w:rsidRPr="00F90B6B">
        <w:rPr>
          <w:rStyle w:val="rvts8"/>
          <w:szCs w:val="28"/>
        </w:rPr>
        <w:t xml:space="preserve"> unfavorable</w:t>
      </w:r>
      <w:r w:rsidRPr="00F90B6B">
        <w:rPr>
          <w:rStyle w:val="rvts8"/>
          <w:szCs w:val="28"/>
          <w:lang w:val="en-US"/>
        </w:rPr>
        <w:t xml:space="preserve"> </w:t>
      </w:r>
      <w:r w:rsidRPr="00F90B6B">
        <w:rPr>
          <w:rStyle w:val="rvts8"/>
          <w:szCs w:val="28"/>
        </w:rPr>
        <w:t xml:space="preserve">predictors and </w:t>
      </w:r>
      <w:r w:rsidRPr="00F90B6B">
        <w:rPr>
          <w:rStyle w:val="rvts8"/>
          <w:szCs w:val="28"/>
          <w:lang w:val="en-US"/>
        </w:rPr>
        <w:t>proposed the</w:t>
      </w:r>
      <w:r w:rsidRPr="00F90B6B">
        <w:rPr>
          <w:rStyle w:val="rvts8"/>
          <w:szCs w:val="28"/>
        </w:rPr>
        <w:t xml:space="preserve"> algorithm for examination of patients with hyponatremia.</w:t>
      </w:r>
    </w:p>
    <w:p w:rsidR="00EF4063" w:rsidRPr="00F90B6B" w:rsidRDefault="00EF4063" w:rsidP="00F0048B">
      <w:pPr>
        <w:spacing w:after="0" w:line="360" w:lineRule="auto"/>
        <w:ind w:firstLine="709"/>
        <w:jc w:val="both"/>
        <w:rPr>
          <w:rStyle w:val="rvts8"/>
          <w:szCs w:val="28"/>
        </w:rPr>
      </w:pPr>
      <w:r w:rsidRPr="00F90B6B">
        <w:rPr>
          <w:rStyle w:val="rvts8"/>
          <w:szCs w:val="28"/>
        </w:rPr>
        <w:t>We used clinical, functional, instrumental and laboratory methods of research</w:t>
      </w:r>
      <w:r w:rsidRPr="00F90B6B">
        <w:rPr>
          <w:rStyle w:val="rvts8"/>
          <w:szCs w:val="28"/>
          <w:lang w:val="en-US"/>
        </w:rPr>
        <w:t>, including e</w:t>
      </w:r>
      <w:r w:rsidRPr="00F90B6B">
        <w:rPr>
          <w:rStyle w:val="rvts8"/>
          <w:szCs w:val="28"/>
        </w:rPr>
        <w:t>lectrocardiography, echocardiography</w:t>
      </w:r>
      <w:r w:rsidRPr="00F90B6B">
        <w:rPr>
          <w:rStyle w:val="rvts8"/>
          <w:szCs w:val="28"/>
          <w:lang w:val="en-US"/>
        </w:rPr>
        <w:t xml:space="preserve">, biochemical investigations (level of </w:t>
      </w:r>
      <w:r w:rsidRPr="00F90B6B">
        <w:rPr>
          <w:rStyle w:val="rvts8"/>
          <w:szCs w:val="28"/>
        </w:rPr>
        <w:t>cholesterol, low density lipoprotein</w:t>
      </w:r>
      <w:r w:rsidRPr="00F90B6B">
        <w:rPr>
          <w:rStyle w:val="rvts8"/>
          <w:szCs w:val="28"/>
          <w:lang w:val="en-US"/>
        </w:rPr>
        <w:t>s</w:t>
      </w:r>
      <w:r w:rsidRPr="00F90B6B">
        <w:rPr>
          <w:rStyle w:val="rvts8"/>
          <w:szCs w:val="28"/>
        </w:rPr>
        <w:t xml:space="preserve"> (LDL), high density lipoprotein (HDL), sodium, aldosterone, and NTproBNP</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The second type of research </w:t>
      </w:r>
      <w:r w:rsidRPr="00F90B6B">
        <w:rPr>
          <w:rFonts w:ascii="Times New Roman" w:hAnsi="Times New Roman"/>
          <w:sz w:val="28"/>
          <w:szCs w:val="28"/>
          <w:lang w:val="en-US"/>
        </w:rPr>
        <w:t>was</w:t>
      </w:r>
      <w:r w:rsidRPr="00F90B6B">
        <w:rPr>
          <w:rFonts w:ascii="Times New Roman" w:hAnsi="Times New Roman"/>
          <w:sz w:val="28"/>
          <w:szCs w:val="28"/>
        </w:rPr>
        <w:t xml:space="preserve"> retrospective, based on the analysis of </w:t>
      </w:r>
      <w:r w:rsidRPr="00F90B6B">
        <w:rPr>
          <w:rFonts w:ascii="Times New Roman" w:hAnsi="Times New Roman"/>
          <w:sz w:val="28"/>
          <w:szCs w:val="28"/>
          <w:lang w:val="en-US"/>
        </w:rPr>
        <w:t xml:space="preserve">medical cards </w:t>
      </w:r>
      <w:r w:rsidRPr="00F90B6B">
        <w:rPr>
          <w:rFonts w:ascii="Times New Roman" w:hAnsi="Times New Roman"/>
          <w:sz w:val="28"/>
          <w:szCs w:val="28"/>
        </w:rPr>
        <w:t>of 217 patients with chronic heart failure. The goal of the 5-year retrospective study was to investigate the factors</w:t>
      </w:r>
      <w:r w:rsidRPr="00F90B6B">
        <w:rPr>
          <w:rFonts w:ascii="Times New Roman" w:hAnsi="Times New Roman"/>
          <w:sz w:val="28"/>
          <w:szCs w:val="28"/>
          <w:lang w:val="en-US"/>
        </w:rPr>
        <w:t>,</w:t>
      </w:r>
      <w:r w:rsidRPr="00F90B6B">
        <w:rPr>
          <w:rFonts w:ascii="Times New Roman" w:hAnsi="Times New Roman"/>
          <w:sz w:val="28"/>
          <w:szCs w:val="28"/>
        </w:rPr>
        <w:t xml:space="preserve"> associated with cardiac </w:t>
      </w:r>
      <w:r w:rsidRPr="00F90B6B">
        <w:rPr>
          <w:rFonts w:ascii="Times New Roman" w:hAnsi="Times New Roman"/>
          <w:sz w:val="28"/>
          <w:szCs w:val="28"/>
          <w:lang w:val="en-US"/>
        </w:rPr>
        <w:t>morthality and</w:t>
      </w:r>
      <w:r w:rsidRPr="00F90B6B">
        <w:rPr>
          <w:rFonts w:ascii="Times New Roman" w:hAnsi="Times New Roman"/>
          <w:sz w:val="28"/>
          <w:szCs w:val="28"/>
        </w:rPr>
        <w:t xml:space="preserve"> </w:t>
      </w:r>
      <w:r w:rsidRPr="00F90B6B">
        <w:rPr>
          <w:rFonts w:ascii="Times New Roman" w:hAnsi="Times New Roman"/>
          <w:sz w:val="28"/>
          <w:szCs w:val="28"/>
          <w:lang w:val="en-US"/>
        </w:rPr>
        <w:t xml:space="preserve">unfavorable prognosis, and, also, factors, </w:t>
      </w:r>
      <w:r w:rsidRPr="00F90B6B">
        <w:rPr>
          <w:rFonts w:ascii="Times New Roman" w:hAnsi="Times New Roman"/>
          <w:sz w:val="28"/>
          <w:szCs w:val="28"/>
        </w:rPr>
        <w:t>associated with cardiorenal syndrome in patients with CHF and hyponatremia.</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lang w:val="en-US"/>
        </w:rPr>
        <w:lastRenderedPageBreak/>
        <w:t xml:space="preserve">On </w:t>
      </w:r>
      <w:r w:rsidRPr="00F90B6B">
        <w:rPr>
          <w:rFonts w:ascii="Times New Roman" w:hAnsi="Times New Roman"/>
          <w:sz w:val="28"/>
          <w:szCs w:val="28"/>
        </w:rPr>
        <w:t xml:space="preserve">the first stage of the </w:t>
      </w:r>
      <w:r w:rsidRPr="00F90B6B">
        <w:rPr>
          <w:rFonts w:ascii="Times New Roman" w:hAnsi="Times New Roman"/>
          <w:sz w:val="28"/>
          <w:szCs w:val="28"/>
          <w:lang w:val="en-US"/>
        </w:rPr>
        <w:t xml:space="preserve">prospective research </w:t>
      </w:r>
      <w:r w:rsidRPr="00F90B6B">
        <w:rPr>
          <w:rFonts w:ascii="Times New Roman" w:hAnsi="Times New Roman"/>
          <w:sz w:val="28"/>
          <w:szCs w:val="28"/>
        </w:rPr>
        <w:t>it was verified</w:t>
      </w:r>
      <w:r w:rsidRPr="00F90B6B">
        <w:rPr>
          <w:rFonts w:ascii="Times New Roman" w:hAnsi="Times New Roman"/>
          <w:sz w:val="28"/>
          <w:szCs w:val="28"/>
          <w:lang w:val="en-US"/>
        </w:rPr>
        <w:t>,</w:t>
      </w:r>
      <w:r w:rsidRPr="00F90B6B">
        <w:rPr>
          <w:rFonts w:ascii="Times New Roman" w:hAnsi="Times New Roman"/>
          <w:sz w:val="28"/>
          <w:szCs w:val="28"/>
        </w:rPr>
        <w:t xml:space="preserve"> that incidence of hyponatremia in patients with CHF was 27</w:t>
      </w:r>
      <w:r w:rsidRPr="00F90B6B">
        <w:rPr>
          <w:rFonts w:ascii="Times New Roman" w:hAnsi="Times New Roman"/>
          <w:sz w:val="28"/>
          <w:szCs w:val="28"/>
          <w:lang w:val="en-US"/>
        </w:rPr>
        <w:t>,</w:t>
      </w:r>
      <w:r w:rsidRPr="00F90B6B">
        <w:rPr>
          <w:rFonts w:ascii="Times New Roman" w:hAnsi="Times New Roman"/>
          <w:sz w:val="28"/>
          <w:szCs w:val="28"/>
        </w:rPr>
        <w:t>8%. Non-modifiable factors</w:t>
      </w:r>
      <w:r w:rsidRPr="00F90B6B">
        <w:rPr>
          <w:rFonts w:ascii="Times New Roman" w:hAnsi="Times New Roman"/>
          <w:sz w:val="28"/>
          <w:szCs w:val="28"/>
          <w:lang w:val="en-US"/>
        </w:rPr>
        <w:t>,</w:t>
      </w:r>
      <w:r w:rsidRPr="00F90B6B">
        <w:rPr>
          <w:rFonts w:ascii="Times New Roman" w:hAnsi="Times New Roman"/>
          <w:sz w:val="28"/>
          <w:szCs w:val="28"/>
        </w:rPr>
        <w:t xml:space="preserve"> associated with</w:t>
      </w:r>
      <w:r w:rsidRPr="00F90B6B">
        <w:rPr>
          <w:rFonts w:ascii="Times New Roman" w:hAnsi="Times New Roman"/>
          <w:sz w:val="28"/>
          <w:szCs w:val="28"/>
          <w:lang w:val="en-US"/>
        </w:rPr>
        <w:t xml:space="preserve"> </w:t>
      </w:r>
      <w:r w:rsidRPr="00F90B6B">
        <w:rPr>
          <w:rFonts w:ascii="Times New Roman" w:hAnsi="Times New Roman"/>
          <w:sz w:val="28"/>
          <w:szCs w:val="28"/>
        </w:rPr>
        <w:t>hyponatremia in patients with CHF</w:t>
      </w:r>
      <w:r w:rsidRPr="00F90B6B">
        <w:rPr>
          <w:rFonts w:ascii="Times New Roman" w:hAnsi="Times New Roman"/>
          <w:sz w:val="28"/>
          <w:szCs w:val="28"/>
          <w:lang w:val="en-US"/>
        </w:rPr>
        <w:t>, were</w:t>
      </w:r>
      <w:r w:rsidRPr="00F90B6B">
        <w:rPr>
          <w:rFonts w:ascii="Times New Roman" w:hAnsi="Times New Roman"/>
          <w:sz w:val="28"/>
          <w:szCs w:val="28"/>
        </w:rPr>
        <w:t xml:space="preserve"> female (29</w:t>
      </w:r>
      <w:r w:rsidRPr="00F90B6B">
        <w:rPr>
          <w:rFonts w:ascii="Times New Roman" w:hAnsi="Times New Roman"/>
          <w:sz w:val="28"/>
          <w:szCs w:val="28"/>
          <w:lang w:val="en-US"/>
        </w:rPr>
        <w:t>,</w:t>
      </w:r>
      <w:r w:rsidRPr="00F90B6B">
        <w:rPr>
          <w:rFonts w:ascii="Times New Roman" w:hAnsi="Times New Roman"/>
          <w:sz w:val="28"/>
          <w:szCs w:val="28"/>
        </w:rPr>
        <w:t xml:space="preserve">8%), </w:t>
      </w:r>
      <w:r w:rsidRPr="00F90B6B">
        <w:rPr>
          <w:rFonts w:ascii="Times New Roman" w:hAnsi="Times New Roman"/>
          <w:sz w:val="28"/>
          <w:szCs w:val="28"/>
          <w:lang w:val="en-US"/>
        </w:rPr>
        <w:t xml:space="preserve">the age </w:t>
      </w:r>
      <w:r w:rsidRPr="00F90B6B">
        <w:rPr>
          <w:rFonts w:ascii="Times New Roman" w:hAnsi="Times New Roman"/>
          <w:sz w:val="28"/>
          <w:szCs w:val="28"/>
        </w:rPr>
        <w:t>over 65 years old (34</w:t>
      </w:r>
      <w:r w:rsidRPr="00F90B6B">
        <w:rPr>
          <w:rFonts w:ascii="Times New Roman" w:hAnsi="Times New Roman"/>
          <w:sz w:val="28"/>
          <w:szCs w:val="28"/>
          <w:lang w:val="en-US"/>
        </w:rPr>
        <w:t>,</w:t>
      </w:r>
      <w:r w:rsidRPr="00F90B6B">
        <w:rPr>
          <w:rFonts w:ascii="Times New Roman" w:hAnsi="Times New Roman"/>
          <w:sz w:val="28"/>
          <w:szCs w:val="28"/>
        </w:rPr>
        <w:t>2%)</w:t>
      </w:r>
      <w:r w:rsidRPr="00F90B6B">
        <w:rPr>
          <w:rFonts w:ascii="Times New Roman" w:hAnsi="Times New Roman"/>
          <w:sz w:val="28"/>
          <w:szCs w:val="28"/>
          <w:lang w:val="en-US"/>
        </w:rPr>
        <w:t xml:space="preserve">; </w:t>
      </w:r>
      <w:r w:rsidRPr="00F90B6B">
        <w:rPr>
          <w:rFonts w:ascii="Times New Roman" w:hAnsi="Times New Roman"/>
          <w:sz w:val="28"/>
          <w:szCs w:val="28"/>
        </w:rPr>
        <w:t xml:space="preserve">modifiable </w:t>
      </w:r>
      <w:r w:rsidRPr="00F90B6B">
        <w:rPr>
          <w:rFonts w:ascii="Times New Roman" w:hAnsi="Times New Roman"/>
          <w:sz w:val="28"/>
          <w:szCs w:val="28"/>
          <w:lang w:val="en-US"/>
        </w:rPr>
        <w:t xml:space="preserve">factors, associated with </w:t>
      </w:r>
      <w:r w:rsidRPr="00F90B6B">
        <w:rPr>
          <w:rFonts w:ascii="Times New Roman" w:hAnsi="Times New Roman"/>
          <w:sz w:val="28"/>
          <w:szCs w:val="28"/>
        </w:rPr>
        <w:t>lower sodium level</w:t>
      </w:r>
      <w:r w:rsidRPr="00F90B6B">
        <w:rPr>
          <w:rFonts w:ascii="Times New Roman" w:hAnsi="Times New Roman"/>
          <w:sz w:val="28"/>
          <w:szCs w:val="28"/>
          <w:lang w:val="en-US"/>
        </w:rPr>
        <w:t xml:space="preserve"> were</w:t>
      </w:r>
      <w:r w:rsidRPr="00F90B6B">
        <w:rPr>
          <w:rFonts w:ascii="Times New Roman" w:hAnsi="Times New Roman"/>
          <w:sz w:val="28"/>
          <w:szCs w:val="28"/>
        </w:rPr>
        <w:t xml:space="preserve"> </w:t>
      </w:r>
      <w:r w:rsidRPr="00F90B6B">
        <w:rPr>
          <w:rFonts w:ascii="Times New Roman" w:hAnsi="Times New Roman"/>
          <w:sz w:val="28"/>
          <w:szCs w:val="28"/>
          <w:lang w:val="en-US"/>
        </w:rPr>
        <w:t xml:space="preserve">parameters of </w:t>
      </w:r>
      <w:r w:rsidRPr="00F90B6B">
        <w:rPr>
          <w:rFonts w:ascii="Times New Roman" w:hAnsi="Times New Roman"/>
          <w:sz w:val="28"/>
          <w:szCs w:val="28"/>
        </w:rPr>
        <w:t>obesity - BMI (p&lt;0</w:t>
      </w:r>
      <w:r w:rsidRPr="00F90B6B">
        <w:rPr>
          <w:rFonts w:ascii="Times New Roman" w:hAnsi="Times New Roman"/>
          <w:sz w:val="28"/>
          <w:szCs w:val="28"/>
          <w:lang w:val="en-US"/>
        </w:rPr>
        <w:t>,</w:t>
      </w:r>
      <w:r w:rsidRPr="00F90B6B">
        <w:rPr>
          <w:rFonts w:ascii="Times New Roman" w:hAnsi="Times New Roman"/>
          <w:sz w:val="28"/>
          <w:szCs w:val="28"/>
        </w:rPr>
        <w:t>05), waist circumference (p&lt;0</w:t>
      </w:r>
      <w:r w:rsidRPr="00F90B6B">
        <w:rPr>
          <w:rFonts w:ascii="Times New Roman" w:hAnsi="Times New Roman"/>
          <w:sz w:val="28"/>
          <w:szCs w:val="28"/>
          <w:lang w:val="en-US"/>
        </w:rPr>
        <w:t>,</w:t>
      </w:r>
      <w:r w:rsidRPr="00F90B6B">
        <w:rPr>
          <w:rFonts w:ascii="Times New Roman" w:hAnsi="Times New Roman"/>
          <w:sz w:val="28"/>
          <w:szCs w:val="28"/>
        </w:rPr>
        <w:t>05) and waist</w:t>
      </w:r>
      <w:r w:rsidRPr="00F90B6B">
        <w:rPr>
          <w:rFonts w:ascii="Times New Roman" w:hAnsi="Times New Roman"/>
          <w:sz w:val="28"/>
          <w:szCs w:val="28"/>
          <w:lang w:val="en-US"/>
        </w:rPr>
        <w:t>/</w:t>
      </w:r>
      <w:r w:rsidRPr="00F90B6B">
        <w:rPr>
          <w:rFonts w:ascii="Times New Roman" w:hAnsi="Times New Roman"/>
          <w:sz w:val="28"/>
          <w:szCs w:val="28"/>
        </w:rPr>
        <w:t>hip ratio (</w:t>
      </w:r>
      <w:r w:rsidRPr="00F90B6B">
        <w:rPr>
          <w:rFonts w:ascii="Times New Roman" w:hAnsi="Times New Roman"/>
          <w:sz w:val="28"/>
          <w:szCs w:val="28"/>
          <w:lang w:val="en-US"/>
        </w:rPr>
        <w:t xml:space="preserve">W/H ratio </w:t>
      </w:r>
      <w:r w:rsidRPr="00F90B6B">
        <w:rPr>
          <w:rFonts w:ascii="Times New Roman" w:hAnsi="Times New Roman"/>
          <w:sz w:val="28"/>
          <w:szCs w:val="28"/>
        </w:rPr>
        <w:t>p&lt;0</w:t>
      </w:r>
      <w:r w:rsidRPr="00F90B6B">
        <w:rPr>
          <w:rFonts w:ascii="Times New Roman" w:hAnsi="Times New Roman"/>
          <w:sz w:val="28"/>
          <w:szCs w:val="28"/>
          <w:lang w:val="en-US"/>
        </w:rPr>
        <w:t>,</w:t>
      </w:r>
      <w:r w:rsidRPr="00F90B6B">
        <w:rPr>
          <w:rFonts w:ascii="Times New Roman" w:hAnsi="Times New Roman"/>
          <w:sz w:val="28"/>
          <w:szCs w:val="28"/>
        </w:rPr>
        <w:t>05).</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lang w:val="en-US"/>
        </w:rPr>
        <w:t>T</w:t>
      </w:r>
      <w:r w:rsidRPr="00F90B6B">
        <w:rPr>
          <w:rFonts w:ascii="Times New Roman" w:hAnsi="Times New Roman"/>
          <w:sz w:val="28"/>
          <w:szCs w:val="28"/>
        </w:rPr>
        <w:t xml:space="preserve">he </w:t>
      </w:r>
      <w:r w:rsidRPr="00F90B6B">
        <w:rPr>
          <w:rFonts w:ascii="Times New Roman" w:hAnsi="Times New Roman"/>
          <w:sz w:val="28"/>
          <w:szCs w:val="28"/>
          <w:lang w:val="en-US"/>
        </w:rPr>
        <w:t>additional factors,</w:t>
      </w:r>
      <w:r w:rsidRPr="00F90B6B">
        <w:rPr>
          <w:rFonts w:ascii="Times New Roman" w:hAnsi="Times New Roman"/>
          <w:sz w:val="28"/>
          <w:szCs w:val="28"/>
        </w:rPr>
        <w:t xml:space="preserve"> associated with hyponatremia were </w:t>
      </w:r>
      <w:r w:rsidRPr="00F90B6B">
        <w:rPr>
          <w:rFonts w:ascii="Times New Roman" w:hAnsi="Times New Roman"/>
          <w:sz w:val="28"/>
          <w:szCs w:val="28"/>
          <w:lang w:val="en-US"/>
        </w:rPr>
        <w:t xml:space="preserve">arterial </w:t>
      </w:r>
      <w:r w:rsidRPr="00F90B6B">
        <w:rPr>
          <w:rFonts w:ascii="Times New Roman" w:hAnsi="Times New Roman"/>
          <w:sz w:val="28"/>
          <w:szCs w:val="28"/>
        </w:rPr>
        <w:t>hypertension (71</w:t>
      </w:r>
      <w:r w:rsidRPr="00F90B6B">
        <w:rPr>
          <w:rFonts w:ascii="Times New Roman" w:hAnsi="Times New Roman"/>
          <w:sz w:val="28"/>
          <w:szCs w:val="28"/>
          <w:lang w:val="en-US"/>
        </w:rPr>
        <w:t>,</w:t>
      </w:r>
      <w:r w:rsidRPr="00F90B6B">
        <w:rPr>
          <w:rFonts w:ascii="Times New Roman" w:hAnsi="Times New Roman"/>
          <w:sz w:val="28"/>
          <w:szCs w:val="28"/>
        </w:rPr>
        <w:t>4%), atrial fibrillation (18</w:t>
      </w:r>
      <w:r w:rsidRPr="00F90B6B">
        <w:rPr>
          <w:rFonts w:ascii="Times New Roman" w:hAnsi="Times New Roman"/>
          <w:sz w:val="28"/>
          <w:szCs w:val="28"/>
          <w:lang w:val="en-US"/>
        </w:rPr>
        <w:t>,</w:t>
      </w:r>
      <w:r w:rsidRPr="00F90B6B">
        <w:rPr>
          <w:rFonts w:ascii="Times New Roman" w:hAnsi="Times New Roman"/>
          <w:sz w:val="28"/>
          <w:szCs w:val="28"/>
        </w:rPr>
        <w:t>4%), diabetes mellitus (24</w:t>
      </w:r>
      <w:r w:rsidRPr="00F90B6B">
        <w:rPr>
          <w:rFonts w:ascii="Times New Roman" w:hAnsi="Times New Roman"/>
          <w:sz w:val="28"/>
          <w:szCs w:val="28"/>
          <w:lang w:val="en-US"/>
        </w:rPr>
        <w:t>,</w:t>
      </w:r>
      <w:r w:rsidRPr="00F90B6B">
        <w:rPr>
          <w:rFonts w:ascii="Times New Roman" w:hAnsi="Times New Roman"/>
          <w:sz w:val="28"/>
          <w:szCs w:val="28"/>
        </w:rPr>
        <w:t>5%), anemic syndrome (40</w:t>
      </w:r>
      <w:r w:rsidRPr="00F90B6B">
        <w:rPr>
          <w:rFonts w:ascii="Times New Roman" w:hAnsi="Times New Roman"/>
          <w:sz w:val="28"/>
          <w:szCs w:val="28"/>
          <w:lang w:val="en-US"/>
        </w:rPr>
        <w:t>,</w:t>
      </w:r>
      <w:r w:rsidRPr="00F90B6B">
        <w:rPr>
          <w:rFonts w:ascii="Times New Roman" w:hAnsi="Times New Roman"/>
          <w:sz w:val="28"/>
          <w:szCs w:val="28"/>
        </w:rPr>
        <w:t xml:space="preserve">8%), </w:t>
      </w:r>
      <w:r w:rsidRPr="00F90B6B">
        <w:rPr>
          <w:rFonts w:ascii="Times New Roman" w:hAnsi="Times New Roman"/>
          <w:sz w:val="28"/>
          <w:szCs w:val="28"/>
          <w:lang w:val="en-US"/>
        </w:rPr>
        <w:t>peptic ulcer</w:t>
      </w:r>
      <w:r w:rsidRPr="00F90B6B">
        <w:rPr>
          <w:rFonts w:ascii="Times New Roman" w:hAnsi="Times New Roman"/>
          <w:sz w:val="28"/>
          <w:szCs w:val="28"/>
        </w:rPr>
        <w:t xml:space="preserve"> and chronic gastritis (53</w:t>
      </w:r>
      <w:r w:rsidRPr="00F90B6B">
        <w:rPr>
          <w:rFonts w:ascii="Times New Roman" w:hAnsi="Times New Roman"/>
          <w:sz w:val="28"/>
          <w:szCs w:val="28"/>
          <w:lang w:val="en-US"/>
        </w:rPr>
        <w:t>,</w:t>
      </w:r>
      <w:r w:rsidRPr="00F90B6B">
        <w:rPr>
          <w:rFonts w:ascii="Times New Roman" w:hAnsi="Times New Roman"/>
          <w:sz w:val="28"/>
          <w:szCs w:val="28"/>
        </w:rPr>
        <w:t>0%).</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Changes in lipid homeostasis in patients with CHF and hyponatremia were characterized by </w:t>
      </w:r>
      <w:r w:rsidRPr="00F90B6B">
        <w:rPr>
          <w:rFonts w:ascii="Times New Roman" w:hAnsi="Times New Roman"/>
          <w:sz w:val="28"/>
          <w:szCs w:val="28"/>
          <w:lang w:val="en-US"/>
        </w:rPr>
        <w:t>reliable</w:t>
      </w:r>
      <w:r w:rsidRPr="00F90B6B">
        <w:rPr>
          <w:rFonts w:ascii="Times New Roman" w:hAnsi="Times New Roman"/>
          <w:sz w:val="28"/>
          <w:szCs w:val="28"/>
        </w:rPr>
        <w:t xml:space="preserve"> increase of low density lipoprotein (LD</w:t>
      </w:r>
      <w:r w:rsidRPr="00F90B6B">
        <w:rPr>
          <w:rFonts w:ascii="Times New Roman" w:hAnsi="Times New Roman"/>
          <w:sz w:val="28"/>
          <w:szCs w:val="28"/>
          <w:lang w:val="en-US"/>
        </w:rPr>
        <w:t>L</w:t>
      </w:r>
      <w:r w:rsidRPr="00F90B6B">
        <w:rPr>
          <w:rFonts w:ascii="Times New Roman" w:hAnsi="Times New Roman"/>
          <w:sz w:val="28"/>
          <w:szCs w:val="28"/>
        </w:rPr>
        <w:t>,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val="en-US"/>
        </w:rPr>
        <w:t xml:space="preserve">and </w:t>
      </w:r>
      <w:r w:rsidRPr="00F90B6B">
        <w:rPr>
          <w:rFonts w:ascii="Times New Roman" w:hAnsi="Times New Roman"/>
          <w:sz w:val="28"/>
          <w:szCs w:val="28"/>
        </w:rPr>
        <w:t>triglycerides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val="en-US"/>
        </w:rPr>
        <w:t xml:space="preserve">decrease </w:t>
      </w:r>
      <w:r w:rsidRPr="00F90B6B">
        <w:rPr>
          <w:rFonts w:ascii="Times New Roman" w:hAnsi="Times New Roman"/>
          <w:sz w:val="28"/>
          <w:szCs w:val="28"/>
        </w:rPr>
        <w:t>of high density lipoprotein (HDL, p&lt;0</w:t>
      </w:r>
      <w:r w:rsidRPr="00F90B6B">
        <w:rPr>
          <w:rFonts w:ascii="Times New Roman" w:hAnsi="Times New Roman"/>
          <w:sz w:val="28"/>
          <w:szCs w:val="28"/>
          <w:lang w:val="en-US"/>
        </w:rPr>
        <w:t>,</w:t>
      </w:r>
      <w:r w:rsidRPr="00F90B6B">
        <w:rPr>
          <w:rFonts w:ascii="Times New Roman" w:hAnsi="Times New Roman"/>
          <w:sz w:val="28"/>
          <w:szCs w:val="28"/>
        </w:rPr>
        <w:t>05)</w:t>
      </w:r>
      <w:r w:rsidRPr="00F90B6B">
        <w:rPr>
          <w:rFonts w:ascii="Times New Roman" w:hAnsi="Times New Roman"/>
          <w:sz w:val="28"/>
          <w:szCs w:val="28"/>
          <w:lang w:val="en-US"/>
        </w:rPr>
        <w:t>.</w:t>
      </w:r>
      <w:r w:rsidRPr="00F90B6B">
        <w:rPr>
          <w:rFonts w:ascii="Times New Roman" w:hAnsi="Times New Roman"/>
          <w:sz w:val="28"/>
          <w:szCs w:val="28"/>
        </w:rPr>
        <w:t xml:space="preserve"> There was a negative correlation with the level of sodium and triglycerides (r = -0,27, p&lt;0,05), triglycerides and the functional class of CHF (r = -0,37, p&lt;0,05), positive correlation between LDL and BMI (r = 0</w:t>
      </w:r>
      <w:r w:rsidRPr="00F90B6B">
        <w:rPr>
          <w:rFonts w:ascii="Times New Roman" w:hAnsi="Times New Roman"/>
          <w:sz w:val="28"/>
          <w:szCs w:val="28"/>
          <w:lang w:val="en-US"/>
        </w:rPr>
        <w:t>,</w:t>
      </w:r>
      <w:r w:rsidRPr="00F90B6B">
        <w:rPr>
          <w:rFonts w:ascii="Times New Roman" w:hAnsi="Times New Roman"/>
          <w:sz w:val="28"/>
          <w:szCs w:val="28"/>
        </w:rPr>
        <w:t>35, p&lt;0</w:t>
      </w:r>
      <w:r w:rsidRPr="00F90B6B">
        <w:rPr>
          <w:rFonts w:ascii="Times New Roman" w:hAnsi="Times New Roman"/>
          <w:sz w:val="28"/>
          <w:szCs w:val="28"/>
          <w:lang w:val="en-US"/>
        </w:rPr>
        <w:t>,</w:t>
      </w:r>
      <w:r w:rsidRPr="00F90B6B">
        <w:rPr>
          <w:rFonts w:ascii="Times New Roman" w:hAnsi="Times New Roman"/>
          <w:sz w:val="28"/>
          <w:szCs w:val="28"/>
        </w:rPr>
        <w:t>05).</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lang w:val="en-US"/>
        </w:rPr>
        <w:t>According to</w:t>
      </w:r>
      <w:r w:rsidRPr="00F90B6B">
        <w:rPr>
          <w:rFonts w:ascii="Times New Roman" w:hAnsi="Times New Roman"/>
          <w:sz w:val="28"/>
          <w:szCs w:val="28"/>
        </w:rPr>
        <w:t xml:space="preserve"> echocardiograph</w:t>
      </w:r>
      <w:r w:rsidRPr="00F90B6B">
        <w:rPr>
          <w:rFonts w:ascii="Times New Roman" w:hAnsi="Times New Roman"/>
          <w:sz w:val="28"/>
          <w:szCs w:val="28"/>
          <w:lang w:val="en-US"/>
        </w:rPr>
        <w:t xml:space="preserve">y </w:t>
      </w:r>
      <w:r w:rsidRPr="00F90B6B">
        <w:rPr>
          <w:rFonts w:ascii="Times New Roman" w:hAnsi="Times New Roman"/>
          <w:sz w:val="28"/>
          <w:szCs w:val="28"/>
        </w:rPr>
        <w:t xml:space="preserve">in patients with CHF and hyponatremia, </w:t>
      </w:r>
      <w:r w:rsidRPr="00F90B6B">
        <w:rPr>
          <w:rFonts w:ascii="Times New Roman" w:hAnsi="Times New Roman"/>
          <w:sz w:val="28"/>
          <w:szCs w:val="28"/>
          <w:lang w:val="en-US"/>
        </w:rPr>
        <w:t>it was set the</w:t>
      </w:r>
      <w:r w:rsidRPr="00F90B6B">
        <w:rPr>
          <w:rFonts w:ascii="Times New Roman" w:hAnsi="Times New Roman"/>
          <w:sz w:val="28"/>
          <w:szCs w:val="28"/>
        </w:rPr>
        <w:t xml:space="preserve"> increase of end</w:t>
      </w:r>
      <w:r w:rsidRPr="00F90B6B">
        <w:rPr>
          <w:rFonts w:ascii="Times New Roman" w:hAnsi="Times New Roman"/>
          <w:sz w:val="28"/>
          <w:szCs w:val="28"/>
          <w:lang w:val="en-US"/>
        </w:rPr>
        <w:t xml:space="preserve"> </w:t>
      </w:r>
      <w:r w:rsidRPr="00F90B6B">
        <w:rPr>
          <w:rFonts w:ascii="Times New Roman" w:hAnsi="Times New Roman"/>
          <w:sz w:val="28"/>
          <w:szCs w:val="28"/>
        </w:rPr>
        <w:t>syst</w:t>
      </w:r>
      <w:r w:rsidRPr="00F90B6B">
        <w:rPr>
          <w:rFonts w:ascii="Times New Roman" w:hAnsi="Times New Roman"/>
          <w:sz w:val="28"/>
          <w:szCs w:val="28"/>
          <w:lang w:val="en-US"/>
        </w:rPr>
        <w:t xml:space="preserve">olic </w:t>
      </w:r>
      <w:r w:rsidRPr="00F90B6B">
        <w:rPr>
          <w:rFonts w:ascii="Times New Roman" w:hAnsi="Times New Roman"/>
          <w:sz w:val="28"/>
          <w:szCs w:val="28"/>
        </w:rPr>
        <w:t>(p&lt;0</w:t>
      </w:r>
      <w:r w:rsidRPr="00F90B6B">
        <w:rPr>
          <w:rFonts w:ascii="Times New Roman" w:hAnsi="Times New Roman"/>
          <w:sz w:val="28"/>
          <w:szCs w:val="28"/>
          <w:lang w:val="en-US"/>
        </w:rPr>
        <w:t>,</w:t>
      </w:r>
      <w:r w:rsidRPr="00F90B6B">
        <w:rPr>
          <w:rFonts w:ascii="Times New Roman" w:hAnsi="Times New Roman"/>
          <w:sz w:val="28"/>
          <w:szCs w:val="28"/>
        </w:rPr>
        <w:t>05)</w:t>
      </w:r>
      <w:r w:rsidRPr="00F90B6B">
        <w:rPr>
          <w:rFonts w:ascii="Times New Roman" w:hAnsi="Times New Roman"/>
          <w:sz w:val="28"/>
          <w:szCs w:val="28"/>
          <w:lang w:val="en-US"/>
        </w:rPr>
        <w:t xml:space="preserve"> </w:t>
      </w:r>
      <w:r w:rsidRPr="00F90B6B">
        <w:rPr>
          <w:rFonts w:ascii="Times New Roman" w:hAnsi="Times New Roman"/>
          <w:sz w:val="28"/>
          <w:szCs w:val="28"/>
        </w:rPr>
        <w:t>and end diastolic volume (p&lt;0</w:t>
      </w:r>
      <w:r w:rsidRPr="00F90B6B">
        <w:rPr>
          <w:rFonts w:ascii="Times New Roman" w:hAnsi="Times New Roman"/>
          <w:sz w:val="28"/>
          <w:szCs w:val="28"/>
          <w:lang w:val="en-US"/>
        </w:rPr>
        <w:t>,</w:t>
      </w:r>
      <w:r w:rsidRPr="00F90B6B">
        <w:rPr>
          <w:rFonts w:ascii="Times New Roman" w:hAnsi="Times New Roman"/>
          <w:sz w:val="28"/>
          <w:szCs w:val="28"/>
        </w:rPr>
        <w:t>05), increase in thickness of left ventricle wall (p&lt;0</w:t>
      </w:r>
      <w:r w:rsidRPr="00F90B6B">
        <w:rPr>
          <w:rFonts w:ascii="Times New Roman" w:hAnsi="Times New Roman"/>
          <w:sz w:val="28"/>
          <w:szCs w:val="28"/>
          <w:lang w:val="en-US"/>
        </w:rPr>
        <w:t>,</w:t>
      </w:r>
      <w:r w:rsidRPr="00F90B6B">
        <w:rPr>
          <w:rFonts w:ascii="Times New Roman" w:hAnsi="Times New Roman"/>
          <w:sz w:val="28"/>
          <w:szCs w:val="28"/>
        </w:rPr>
        <w:t xml:space="preserve">05), interventricular </w:t>
      </w:r>
      <w:r w:rsidRPr="00F90B6B">
        <w:rPr>
          <w:rFonts w:ascii="Times New Roman" w:hAnsi="Times New Roman"/>
          <w:sz w:val="28"/>
          <w:szCs w:val="28"/>
          <w:lang w:val="en-US"/>
        </w:rPr>
        <w:t>septum</w:t>
      </w:r>
      <w:r w:rsidRPr="00F90B6B">
        <w:rPr>
          <w:rFonts w:ascii="Times New Roman" w:hAnsi="Times New Roman"/>
          <w:sz w:val="28"/>
          <w:szCs w:val="28"/>
        </w:rPr>
        <w:t xml:space="preserve"> (p&lt;0</w:t>
      </w:r>
      <w:r w:rsidRPr="00F90B6B">
        <w:rPr>
          <w:rFonts w:ascii="Times New Roman" w:hAnsi="Times New Roman"/>
          <w:sz w:val="28"/>
          <w:szCs w:val="28"/>
          <w:lang w:val="en-US"/>
        </w:rPr>
        <w:t>,</w:t>
      </w:r>
      <w:r w:rsidRPr="00F90B6B">
        <w:rPr>
          <w:rFonts w:ascii="Times New Roman" w:hAnsi="Times New Roman"/>
          <w:sz w:val="28"/>
          <w:szCs w:val="28"/>
        </w:rPr>
        <w:t>05)</w:t>
      </w:r>
      <w:r w:rsidRPr="00F90B6B">
        <w:rPr>
          <w:rFonts w:ascii="Times New Roman" w:hAnsi="Times New Roman"/>
          <w:sz w:val="28"/>
          <w:szCs w:val="28"/>
          <w:lang w:val="en-US"/>
        </w:rPr>
        <w:t>.</w:t>
      </w:r>
      <w:r w:rsidRPr="00F90B6B">
        <w:rPr>
          <w:rFonts w:ascii="Times New Roman" w:hAnsi="Times New Roman"/>
          <w:sz w:val="28"/>
          <w:szCs w:val="28"/>
        </w:rPr>
        <w:t xml:space="preserve"> There was a positive correlation between left ventricular mass and BMI (r = 0</w:t>
      </w:r>
      <w:r w:rsidRPr="00F90B6B">
        <w:rPr>
          <w:rFonts w:ascii="Times New Roman" w:hAnsi="Times New Roman"/>
          <w:sz w:val="28"/>
          <w:szCs w:val="28"/>
          <w:lang w:val="en-US"/>
        </w:rPr>
        <w:t>,</w:t>
      </w:r>
      <w:r w:rsidRPr="00F90B6B">
        <w:rPr>
          <w:rFonts w:ascii="Times New Roman" w:hAnsi="Times New Roman"/>
          <w:sz w:val="28"/>
          <w:szCs w:val="28"/>
        </w:rPr>
        <w:t>36, p&lt;0</w:t>
      </w:r>
      <w:r w:rsidRPr="00F90B6B">
        <w:rPr>
          <w:rFonts w:ascii="Times New Roman" w:hAnsi="Times New Roman"/>
          <w:sz w:val="28"/>
          <w:szCs w:val="28"/>
          <w:lang w:val="en-US"/>
        </w:rPr>
        <w:t>,</w:t>
      </w:r>
      <w:r w:rsidRPr="00F90B6B">
        <w:rPr>
          <w:rFonts w:ascii="Times New Roman" w:hAnsi="Times New Roman"/>
          <w:sz w:val="28"/>
          <w:szCs w:val="28"/>
        </w:rPr>
        <w:t xml:space="preserve">05), negative correlation between </w:t>
      </w:r>
      <w:r w:rsidRPr="00F90B6B">
        <w:rPr>
          <w:rFonts w:ascii="Times New Roman" w:hAnsi="Times New Roman"/>
          <w:sz w:val="28"/>
          <w:szCs w:val="28"/>
          <w:lang w:val="en-US"/>
        </w:rPr>
        <w:t xml:space="preserve">end </w:t>
      </w:r>
      <w:r w:rsidRPr="00F90B6B">
        <w:rPr>
          <w:rFonts w:ascii="Times New Roman" w:hAnsi="Times New Roman"/>
          <w:sz w:val="28"/>
          <w:szCs w:val="28"/>
        </w:rPr>
        <w:t>diastolic volume and functional class of heart failure (r = -0</w:t>
      </w:r>
      <w:r w:rsidRPr="00F90B6B">
        <w:rPr>
          <w:rFonts w:ascii="Times New Roman" w:hAnsi="Times New Roman"/>
          <w:sz w:val="28"/>
          <w:szCs w:val="28"/>
          <w:lang w:val="en-US"/>
        </w:rPr>
        <w:t>,</w:t>
      </w:r>
      <w:r w:rsidRPr="00F90B6B">
        <w:rPr>
          <w:rFonts w:ascii="Times New Roman" w:hAnsi="Times New Roman"/>
          <w:sz w:val="28"/>
          <w:szCs w:val="28"/>
        </w:rPr>
        <w:t>24, p&lt;0</w:t>
      </w:r>
      <w:r w:rsidRPr="00F90B6B">
        <w:rPr>
          <w:rFonts w:ascii="Times New Roman" w:hAnsi="Times New Roman"/>
          <w:sz w:val="28"/>
          <w:szCs w:val="28"/>
          <w:lang w:val="en-US"/>
        </w:rPr>
        <w:t>,</w:t>
      </w:r>
      <w:r w:rsidRPr="00F90B6B">
        <w:rPr>
          <w:rFonts w:ascii="Times New Roman" w:hAnsi="Times New Roman"/>
          <w:sz w:val="28"/>
          <w:szCs w:val="28"/>
        </w:rPr>
        <w:t xml:space="preserve">05). The </w:t>
      </w:r>
      <w:r w:rsidRPr="00F90B6B">
        <w:rPr>
          <w:rFonts w:ascii="Times New Roman" w:hAnsi="Times New Roman"/>
          <w:sz w:val="28"/>
          <w:szCs w:val="28"/>
          <w:lang w:val="en-US"/>
        </w:rPr>
        <w:t>unfavorable</w:t>
      </w:r>
      <w:r w:rsidRPr="00F90B6B">
        <w:rPr>
          <w:rFonts w:ascii="Times New Roman" w:hAnsi="Times New Roman"/>
          <w:sz w:val="28"/>
          <w:szCs w:val="28"/>
        </w:rPr>
        <w:t xml:space="preserve"> events</w:t>
      </w:r>
      <w:r w:rsidRPr="00F90B6B">
        <w:rPr>
          <w:rFonts w:ascii="Times New Roman" w:hAnsi="Times New Roman"/>
          <w:sz w:val="28"/>
          <w:szCs w:val="28"/>
          <w:lang w:val="en-US"/>
        </w:rPr>
        <w:t>,</w:t>
      </w:r>
      <w:r w:rsidRPr="00F90B6B">
        <w:rPr>
          <w:rFonts w:ascii="Times New Roman" w:hAnsi="Times New Roman"/>
          <w:sz w:val="28"/>
          <w:szCs w:val="28"/>
        </w:rPr>
        <w:t xml:space="preserve"> associated with hyponatremia in prospective observation were acute coronary (p&lt;0</w:t>
      </w:r>
      <w:r w:rsidRPr="00F90B6B">
        <w:rPr>
          <w:rFonts w:ascii="Times New Roman" w:hAnsi="Times New Roman"/>
          <w:sz w:val="28"/>
          <w:szCs w:val="28"/>
          <w:lang w:val="en-US"/>
        </w:rPr>
        <w:t>,</w:t>
      </w:r>
      <w:r w:rsidRPr="00F90B6B">
        <w:rPr>
          <w:rFonts w:ascii="Times New Roman" w:hAnsi="Times New Roman"/>
          <w:sz w:val="28"/>
          <w:szCs w:val="28"/>
        </w:rPr>
        <w:t>05) and cardio</w:t>
      </w:r>
      <w:r w:rsidRPr="00F90B6B">
        <w:rPr>
          <w:rFonts w:ascii="Times New Roman" w:hAnsi="Times New Roman"/>
          <w:sz w:val="28"/>
          <w:szCs w:val="28"/>
          <w:lang w:val="en-US"/>
        </w:rPr>
        <w:t xml:space="preserve">renal </w:t>
      </w:r>
      <w:r w:rsidRPr="00F90B6B">
        <w:rPr>
          <w:rFonts w:ascii="Times New Roman" w:hAnsi="Times New Roman"/>
          <w:sz w:val="28"/>
          <w:szCs w:val="28"/>
        </w:rPr>
        <w:t>syndromes (p&lt;0</w:t>
      </w:r>
      <w:r w:rsidRPr="00F90B6B">
        <w:rPr>
          <w:rFonts w:ascii="Times New Roman" w:hAnsi="Times New Roman"/>
          <w:sz w:val="28"/>
          <w:szCs w:val="28"/>
          <w:lang w:val="en-US"/>
        </w:rPr>
        <w:t>,</w:t>
      </w:r>
      <w:r w:rsidRPr="00F90B6B">
        <w:rPr>
          <w:rFonts w:ascii="Times New Roman" w:hAnsi="Times New Roman"/>
          <w:sz w:val="28"/>
          <w:szCs w:val="28"/>
        </w:rPr>
        <w:t>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At the second stage of the </w:t>
      </w:r>
      <w:r w:rsidRPr="00F90B6B">
        <w:rPr>
          <w:rFonts w:ascii="Times New Roman" w:hAnsi="Times New Roman"/>
          <w:sz w:val="28"/>
          <w:szCs w:val="28"/>
          <w:lang w:val="en-US"/>
        </w:rPr>
        <w:t xml:space="preserve">research it was </w:t>
      </w:r>
      <w:r w:rsidRPr="00F90B6B">
        <w:rPr>
          <w:rFonts w:ascii="Times New Roman" w:hAnsi="Times New Roman"/>
          <w:sz w:val="28"/>
          <w:szCs w:val="28"/>
        </w:rPr>
        <w:t xml:space="preserve">analyzed the role of obesity in CHF and hyponatremia. </w:t>
      </w:r>
      <w:r w:rsidRPr="00F90B6B">
        <w:rPr>
          <w:rFonts w:ascii="Times New Roman" w:hAnsi="Times New Roman"/>
          <w:sz w:val="28"/>
          <w:szCs w:val="28"/>
          <w:lang w:val="en-US"/>
        </w:rPr>
        <w:t xml:space="preserve">It </w:t>
      </w:r>
      <w:r w:rsidRPr="00F90B6B">
        <w:rPr>
          <w:rFonts w:ascii="Times New Roman" w:hAnsi="Times New Roman"/>
          <w:sz w:val="28"/>
          <w:szCs w:val="28"/>
        </w:rPr>
        <w:t xml:space="preserve">was established </w:t>
      </w:r>
      <w:r w:rsidRPr="00F90B6B">
        <w:rPr>
          <w:rFonts w:ascii="Times New Roman" w:hAnsi="Times New Roman"/>
          <w:sz w:val="28"/>
          <w:szCs w:val="28"/>
          <w:lang w:val="en-US"/>
        </w:rPr>
        <w:t xml:space="preserve">indirect </w:t>
      </w:r>
      <w:r w:rsidRPr="00F90B6B">
        <w:rPr>
          <w:rFonts w:ascii="Times New Roman" w:hAnsi="Times New Roman"/>
          <w:sz w:val="28"/>
          <w:szCs w:val="28"/>
        </w:rPr>
        <w:t xml:space="preserve">relations between exercise tolerance and </w:t>
      </w:r>
      <w:r w:rsidRPr="00F90B6B">
        <w:rPr>
          <w:rFonts w:ascii="Times New Roman" w:hAnsi="Times New Roman"/>
          <w:sz w:val="28"/>
          <w:szCs w:val="28"/>
          <w:lang w:val="en-US"/>
        </w:rPr>
        <w:t>BMI</w:t>
      </w:r>
      <w:r w:rsidRPr="00F90B6B">
        <w:rPr>
          <w:rFonts w:ascii="Times New Roman" w:hAnsi="Times New Roman"/>
          <w:sz w:val="28"/>
          <w:szCs w:val="28"/>
        </w:rPr>
        <w:t xml:space="preserve"> (r = -0</w:t>
      </w:r>
      <w:r w:rsidRPr="00F90B6B">
        <w:rPr>
          <w:rFonts w:ascii="Times New Roman" w:hAnsi="Times New Roman"/>
          <w:sz w:val="28"/>
          <w:szCs w:val="28"/>
          <w:lang w:val="en-US"/>
        </w:rPr>
        <w:t>,</w:t>
      </w:r>
      <w:r w:rsidRPr="00F90B6B">
        <w:rPr>
          <w:rFonts w:ascii="Times New Roman" w:hAnsi="Times New Roman"/>
          <w:sz w:val="28"/>
          <w:szCs w:val="28"/>
        </w:rPr>
        <w:t>24, p&lt;0</w:t>
      </w:r>
      <w:r w:rsidRPr="00F90B6B">
        <w:rPr>
          <w:rFonts w:ascii="Times New Roman" w:hAnsi="Times New Roman"/>
          <w:sz w:val="28"/>
          <w:szCs w:val="28"/>
          <w:lang w:val="en-US"/>
        </w:rPr>
        <w:t>,</w:t>
      </w:r>
      <w:r w:rsidRPr="00F90B6B">
        <w:rPr>
          <w:rFonts w:ascii="Times New Roman" w:hAnsi="Times New Roman"/>
          <w:sz w:val="28"/>
          <w:szCs w:val="28"/>
        </w:rPr>
        <w:t xml:space="preserve">05), direct </w:t>
      </w:r>
      <w:r w:rsidRPr="00F90B6B">
        <w:rPr>
          <w:rFonts w:ascii="Times New Roman" w:hAnsi="Times New Roman"/>
          <w:sz w:val="28"/>
          <w:szCs w:val="28"/>
          <w:lang w:val="en-US"/>
        </w:rPr>
        <w:t xml:space="preserve">correlation </w:t>
      </w:r>
      <w:r w:rsidRPr="00F90B6B">
        <w:rPr>
          <w:rFonts w:ascii="Times New Roman" w:hAnsi="Times New Roman"/>
          <w:sz w:val="28"/>
          <w:szCs w:val="28"/>
        </w:rPr>
        <w:t>- between BMI and psychological discomfort by Minnesota questionnaire (r = 0</w:t>
      </w:r>
      <w:r w:rsidRPr="00F90B6B">
        <w:rPr>
          <w:rFonts w:ascii="Times New Roman" w:hAnsi="Times New Roman"/>
          <w:sz w:val="28"/>
          <w:szCs w:val="28"/>
          <w:lang w:val="en-US"/>
        </w:rPr>
        <w:t>,</w:t>
      </w:r>
      <w:r w:rsidRPr="00F90B6B">
        <w:rPr>
          <w:rFonts w:ascii="Times New Roman" w:hAnsi="Times New Roman"/>
          <w:sz w:val="28"/>
          <w:szCs w:val="28"/>
        </w:rPr>
        <w:t>39, p&lt;0</w:t>
      </w:r>
      <w:r w:rsidRPr="00F90B6B">
        <w:rPr>
          <w:rFonts w:ascii="Times New Roman" w:hAnsi="Times New Roman"/>
          <w:sz w:val="28"/>
          <w:szCs w:val="28"/>
          <w:lang w:val="en-US"/>
        </w:rPr>
        <w:t>,</w:t>
      </w:r>
      <w:r w:rsidRPr="00F90B6B">
        <w:rPr>
          <w:rFonts w:ascii="Times New Roman" w:hAnsi="Times New Roman"/>
          <w:sz w:val="28"/>
          <w:szCs w:val="28"/>
        </w:rPr>
        <w:t xml:space="preserve">05). There was </w:t>
      </w:r>
      <w:r w:rsidRPr="00F90B6B">
        <w:rPr>
          <w:rFonts w:ascii="Times New Roman" w:hAnsi="Times New Roman"/>
          <w:sz w:val="28"/>
          <w:szCs w:val="28"/>
          <w:lang w:val="en-US"/>
        </w:rPr>
        <w:t>set the</w:t>
      </w:r>
      <w:r w:rsidRPr="00F90B6B">
        <w:rPr>
          <w:rFonts w:ascii="Times New Roman" w:hAnsi="Times New Roman"/>
          <w:sz w:val="28"/>
          <w:szCs w:val="28"/>
        </w:rPr>
        <w:t xml:space="preserve"> significant increase in cholesterol (p&lt;0,05), triglycerides (p&lt;0,05), LDL (p&lt;0,05), atherogenicity index (p&lt;0,05) in patients with CHF and BMI</w:t>
      </w:r>
      <w:r w:rsidRPr="00F90B6B">
        <w:rPr>
          <w:rFonts w:ascii="Times New Roman" w:hAnsi="Times New Roman"/>
          <w:sz w:val="28"/>
          <w:szCs w:val="28"/>
          <w:lang w:val="en-US"/>
        </w:rPr>
        <w:t>&gt;</w:t>
      </w:r>
      <w:r w:rsidRPr="00F90B6B">
        <w:rPr>
          <w:rFonts w:ascii="Times New Roman" w:hAnsi="Times New Roman"/>
          <w:sz w:val="28"/>
          <w:szCs w:val="28"/>
        </w:rPr>
        <w:t>25</w:t>
      </w:r>
      <w:r w:rsidRPr="00F90B6B">
        <w:rPr>
          <w:rFonts w:ascii="Times New Roman" w:hAnsi="Times New Roman"/>
          <w:sz w:val="28"/>
          <w:szCs w:val="28"/>
          <w:lang w:val="en-US"/>
        </w:rPr>
        <w:t xml:space="preserve"> kg/m</w:t>
      </w:r>
      <w:r w:rsidRPr="00F90B6B">
        <w:rPr>
          <w:rFonts w:ascii="Times New Roman" w:hAnsi="Times New Roman"/>
          <w:sz w:val="28"/>
          <w:szCs w:val="28"/>
          <w:vertAlign w:val="superscript"/>
          <w:lang w:val="en-US"/>
        </w:rPr>
        <w:t>2</w:t>
      </w:r>
      <w:r w:rsidRPr="00F90B6B">
        <w:rPr>
          <w:rFonts w:ascii="Times New Roman" w:hAnsi="Times New Roman"/>
          <w:sz w:val="28"/>
          <w:szCs w:val="28"/>
        </w:rPr>
        <w:t xml:space="preserve">. </w:t>
      </w:r>
      <w:r w:rsidRPr="00F90B6B">
        <w:rPr>
          <w:rFonts w:ascii="Times New Roman" w:hAnsi="Times New Roman"/>
          <w:sz w:val="28"/>
          <w:szCs w:val="28"/>
          <w:lang w:val="en-US"/>
        </w:rPr>
        <w:t>The reliable</w:t>
      </w:r>
      <w:r w:rsidRPr="00F90B6B">
        <w:rPr>
          <w:rFonts w:ascii="Times New Roman" w:hAnsi="Times New Roman"/>
          <w:sz w:val="28"/>
          <w:szCs w:val="28"/>
        </w:rPr>
        <w:t xml:space="preserve"> decrease in </w:t>
      </w:r>
      <w:r w:rsidRPr="00F90B6B">
        <w:rPr>
          <w:rFonts w:ascii="Times New Roman" w:hAnsi="Times New Roman"/>
          <w:sz w:val="28"/>
          <w:szCs w:val="28"/>
          <w:lang w:val="en-US"/>
        </w:rPr>
        <w:t>glomerular rate filtration (</w:t>
      </w:r>
      <w:r w:rsidRPr="00F90B6B">
        <w:rPr>
          <w:rFonts w:ascii="Times New Roman" w:hAnsi="Times New Roman"/>
          <w:sz w:val="28"/>
          <w:szCs w:val="28"/>
        </w:rPr>
        <w:t>GFR</w:t>
      </w:r>
      <w:r w:rsidRPr="00F90B6B">
        <w:rPr>
          <w:rFonts w:ascii="Times New Roman" w:hAnsi="Times New Roman"/>
          <w:sz w:val="28"/>
          <w:szCs w:val="28"/>
          <w:lang w:val="en-US"/>
        </w:rPr>
        <w:t>)</w:t>
      </w:r>
      <w:r w:rsidRPr="00F90B6B">
        <w:rPr>
          <w:rFonts w:ascii="Times New Roman" w:hAnsi="Times New Roman"/>
          <w:sz w:val="28"/>
          <w:szCs w:val="28"/>
        </w:rPr>
        <w:t xml:space="preserve"> </w:t>
      </w:r>
      <w:r w:rsidRPr="00F90B6B">
        <w:rPr>
          <w:rFonts w:ascii="Times New Roman" w:hAnsi="Times New Roman"/>
          <w:sz w:val="28"/>
          <w:szCs w:val="28"/>
          <w:lang w:val="en-US"/>
        </w:rPr>
        <w:t>at</w:t>
      </w:r>
      <w:r w:rsidRPr="00F90B6B">
        <w:rPr>
          <w:rFonts w:ascii="Times New Roman" w:hAnsi="Times New Roman"/>
          <w:sz w:val="28"/>
          <w:szCs w:val="28"/>
        </w:rPr>
        <w:t xml:space="preserve"> patients with CHF and </w:t>
      </w:r>
      <w:r w:rsidRPr="00F90B6B">
        <w:rPr>
          <w:rFonts w:ascii="Times New Roman" w:hAnsi="Times New Roman"/>
          <w:sz w:val="28"/>
          <w:szCs w:val="28"/>
          <w:lang w:val="en-US"/>
        </w:rPr>
        <w:t>obesity</w:t>
      </w:r>
      <w:r w:rsidRPr="00F90B6B">
        <w:rPr>
          <w:rFonts w:ascii="Times New Roman" w:hAnsi="Times New Roman"/>
          <w:sz w:val="28"/>
          <w:szCs w:val="28"/>
        </w:rPr>
        <w:t xml:space="preserve"> was noted in comparison with normal weight patients</w:t>
      </w:r>
      <w:r w:rsidRPr="00F90B6B">
        <w:rPr>
          <w:rFonts w:ascii="Times New Roman" w:hAnsi="Times New Roman"/>
          <w:sz w:val="28"/>
          <w:szCs w:val="28"/>
          <w:lang w:val="en-US"/>
        </w:rPr>
        <w:t xml:space="preserve"> (</w:t>
      </w:r>
      <w:r w:rsidRPr="00F90B6B">
        <w:rPr>
          <w:rFonts w:ascii="Times New Roman" w:hAnsi="Times New Roman"/>
          <w:sz w:val="28"/>
          <w:szCs w:val="28"/>
        </w:rPr>
        <w:t>p&lt;0</w:t>
      </w:r>
      <w:r w:rsidRPr="00F90B6B">
        <w:rPr>
          <w:rFonts w:ascii="Times New Roman" w:hAnsi="Times New Roman"/>
          <w:sz w:val="28"/>
          <w:szCs w:val="28"/>
          <w:lang w:val="en-US"/>
        </w:rPr>
        <w:t>,</w:t>
      </w:r>
      <w:r w:rsidRPr="00F90B6B">
        <w:rPr>
          <w:rFonts w:ascii="Times New Roman" w:hAnsi="Times New Roman"/>
          <w:sz w:val="28"/>
          <w:szCs w:val="28"/>
        </w:rPr>
        <w:t>05</w:t>
      </w:r>
      <w:r w:rsidRPr="00F90B6B">
        <w:rPr>
          <w:rFonts w:ascii="Times New Roman" w:hAnsi="Times New Roman"/>
          <w:sz w:val="28"/>
          <w:szCs w:val="28"/>
          <w:lang w:val="en-US"/>
        </w:rPr>
        <w:t>).</w:t>
      </w:r>
      <w:r w:rsidRPr="00F90B6B">
        <w:rPr>
          <w:rFonts w:ascii="Times New Roman" w:hAnsi="Times New Roman"/>
          <w:sz w:val="28"/>
          <w:szCs w:val="28"/>
        </w:rPr>
        <w:t xml:space="preserve"> </w:t>
      </w:r>
      <w:r w:rsidRPr="00F90B6B">
        <w:rPr>
          <w:rFonts w:ascii="Times New Roman" w:hAnsi="Times New Roman"/>
          <w:sz w:val="28"/>
          <w:szCs w:val="28"/>
          <w:lang w:val="en-US"/>
        </w:rPr>
        <w:t>It was set the</w:t>
      </w:r>
      <w:r w:rsidRPr="00F90B6B">
        <w:rPr>
          <w:rFonts w:ascii="Times New Roman" w:hAnsi="Times New Roman"/>
          <w:sz w:val="28"/>
          <w:szCs w:val="28"/>
        </w:rPr>
        <w:t xml:space="preserve"> increase </w:t>
      </w:r>
      <w:r w:rsidRPr="00F90B6B">
        <w:rPr>
          <w:rFonts w:ascii="Times New Roman" w:hAnsi="Times New Roman"/>
          <w:sz w:val="28"/>
          <w:szCs w:val="28"/>
          <w:lang w:val="en-US"/>
        </w:rPr>
        <w:t xml:space="preserve">of </w:t>
      </w:r>
      <w:r w:rsidRPr="00F90B6B">
        <w:rPr>
          <w:rFonts w:ascii="Times New Roman" w:hAnsi="Times New Roman"/>
          <w:sz w:val="28"/>
          <w:szCs w:val="28"/>
        </w:rPr>
        <w:t xml:space="preserve">chronic kidney disease </w:t>
      </w:r>
      <w:r w:rsidRPr="00F90B6B">
        <w:rPr>
          <w:rFonts w:ascii="Times New Roman" w:hAnsi="Times New Roman"/>
          <w:sz w:val="28"/>
          <w:szCs w:val="28"/>
          <w:lang w:val="en-US"/>
        </w:rPr>
        <w:t xml:space="preserve">events </w:t>
      </w:r>
      <w:r w:rsidRPr="00F90B6B">
        <w:rPr>
          <w:rFonts w:ascii="Times New Roman" w:hAnsi="Times New Roman"/>
          <w:sz w:val="28"/>
          <w:szCs w:val="28"/>
        </w:rPr>
        <w:t>- from 0</w:t>
      </w:r>
      <w:r w:rsidRPr="00F90B6B">
        <w:rPr>
          <w:rFonts w:ascii="Times New Roman" w:hAnsi="Times New Roman"/>
          <w:sz w:val="28"/>
          <w:szCs w:val="28"/>
          <w:lang w:val="en-US"/>
        </w:rPr>
        <w:t>,</w:t>
      </w:r>
      <w:r w:rsidRPr="00F90B6B">
        <w:rPr>
          <w:rFonts w:ascii="Times New Roman" w:hAnsi="Times New Roman"/>
          <w:sz w:val="28"/>
          <w:szCs w:val="28"/>
        </w:rPr>
        <w:t>5 to 4</w:t>
      </w:r>
      <w:r w:rsidRPr="00F90B6B">
        <w:rPr>
          <w:rFonts w:ascii="Times New Roman" w:hAnsi="Times New Roman"/>
          <w:sz w:val="28"/>
          <w:szCs w:val="28"/>
          <w:lang w:val="en-US"/>
        </w:rPr>
        <w:t>,</w:t>
      </w:r>
      <w:r w:rsidRPr="00F90B6B">
        <w:rPr>
          <w:rFonts w:ascii="Times New Roman" w:hAnsi="Times New Roman"/>
          <w:sz w:val="28"/>
          <w:szCs w:val="28"/>
        </w:rPr>
        <w:t>71 events in 100, 0 cases of chronic heart failure in obesity compared with normal body weight.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val="en-US"/>
        </w:rPr>
        <w:lastRenderedPageBreak/>
        <w:t>On</w:t>
      </w:r>
      <w:r w:rsidRPr="00F90B6B">
        <w:rPr>
          <w:rFonts w:ascii="Times New Roman" w:hAnsi="Times New Roman"/>
          <w:sz w:val="28"/>
          <w:szCs w:val="28"/>
        </w:rPr>
        <w:t xml:space="preserve"> the third step of the </w:t>
      </w:r>
      <w:r w:rsidRPr="00F90B6B">
        <w:rPr>
          <w:rFonts w:ascii="Times New Roman" w:hAnsi="Times New Roman"/>
          <w:sz w:val="28"/>
          <w:szCs w:val="28"/>
          <w:lang w:val="en-US"/>
        </w:rPr>
        <w:t xml:space="preserve">research </w:t>
      </w:r>
      <w:r w:rsidRPr="00F90B6B">
        <w:rPr>
          <w:rFonts w:ascii="Times New Roman" w:hAnsi="Times New Roman"/>
          <w:sz w:val="28"/>
          <w:szCs w:val="28"/>
        </w:rPr>
        <w:t xml:space="preserve">the role of aldosterone and NPproBNP </w:t>
      </w:r>
      <w:r w:rsidRPr="00F90B6B">
        <w:rPr>
          <w:rFonts w:ascii="Times New Roman" w:hAnsi="Times New Roman"/>
          <w:sz w:val="28"/>
          <w:szCs w:val="28"/>
          <w:lang w:val="en-US"/>
        </w:rPr>
        <w:t>according to</w:t>
      </w:r>
      <w:r w:rsidRPr="00F90B6B">
        <w:rPr>
          <w:rFonts w:ascii="Times New Roman" w:hAnsi="Times New Roman"/>
          <w:sz w:val="28"/>
          <w:szCs w:val="28"/>
        </w:rPr>
        <w:t xml:space="preserve"> the progression of hyponatremia</w:t>
      </w:r>
      <w:r w:rsidRPr="00F90B6B">
        <w:rPr>
          <w:rFonts w:ascii="Times New Roman" w:hAnsi="Times New Roman"/>
          <w:sz w:val="28"/>
          <w:szCs w:val="28"/>
          <w:lang w:val="en-US"/>
        </w:rPr>
        <w:t xml:space="preserve"> was presented</w:t>
      </w:r>
      <w:r w:rsidRPr="00F90B6B">
        <w:rPr>
          <w:rFonts w:ascii="Times New Roman" w:hAnsi="Times New Roman"/>
          <w:sz w:val="28"/>
          <w:szCs w:val="28"/>
        </w:rPr>
        <w:t xml:space="preserve">, </w:t>
      </w:r>
      <w:r w:rsidRPr="00F90B6B">
        <w:rPr>
          <w:rFonts w:ascii="Times New Roman" w:hAnsi="Times New Roman"/>
          <w:sz w:val="28"/>
          <w:szCs w:val="28"/>
          <w:lang w:val="en-US"/>
        </w:rPr>
        <w:t>and</w:t>
      </w:r>
      <w:r w:rsidRPr="00F90B6B">
        <w:rPr>
          <w:rFonts w:ascii="Times New Roman" w:hAnsi="Times New Roman"/>
          <w:sz w:val="28"/>
          <w:szCs w:val="28"/>
        </w:rPr>
        <w:t xml:space="preserve"> relationship</w:t>
      </w:r>
      <w:r w:rsidRPr="00F90B6B">
        <w:rPr>
          <w:rFonts w:ascii="Times New Roman" w:hAnsi="Times New Roman"/>
          <w:sz w:val="28"/>
          <w:szCs w:val="28"/>
          <w:lang w:val="en-US"/>
        </w:rPr>
        <w:t>s between</w:t>
      </w:r>
      <w:r w:rsidRPr="00F90B6B">
        <w:rPr>
          <w:rFonts w:ascii="Times New Roman" w:hAnsi="Times New Roman"/>
          <w:sz w:val="28"/>
          <w:szCs w:val="28"/>
        </w:rPr>
        <w:t xml:space="preserve"> laboratory and cardioghemodynamic parameters was investigated. A probable decrease in E</w:t>
      </w:r>
      <w:r w:rsidRPr="00F90B6B">
        <w:rPr>
          <w:rFonts w:ascii="Times New Roman" w:hAnsi="Times New Roman"/>
          <w:sz w:val="28"/>
          <w:szCs w:val="28"/>
          <w:lang w:val="en-US"/>
        </w:rPr>
        <w:t>/</w:t>
      </w:r>
      <w:r w:rsidRPr="00F90B6B">
        <w:rPr>
          <w:rFonts w:ascii="Times New Roman" w:hAnsi="Times New Roman"/>
          <w:sz w:val="28"/>
          <w:szCs w:val="28"/>
        </w:rPr>
        <w:t xml:space="preserve">A ratio </w:t>
      </w:r>
      <w:r w:rsidRPr="00F90B6B">
        <w:rPr>
          <w:rFonts w:ascii="Times New Roman" w:hAnsi="Times New Roman"/>
          <w:sz w:val="28"/>
          <w:szCs w:val="28"/>
          <w:lang w:val="en-US"/>
        </w:rPr>
        <w:t>in obesity patients</w:t>
      </w:r>
      <w:r w:rsidRPr="00F90B6B">
        <w:rPr>
          <w:rFonts w:ascii="Times New Roman" w:hAnsi="Times New Roman"/>
          <w:sz w:val="28"/>
          <w:szCs w:val="28"/>
        </w:rPr>
        <w:t xml:space="preserve"> (p&lt;0</w:t>
      </w:r>
      <w:r w:rsidRPr="00F90B6B">
        <w:rPr>
          <w:rFonts w:ascii="Times New Roman" w:hAnsi="Times New Roman"/>
          <w:sz w:val="28"/>
          <w:szCs w:val="28"/>
          <w:lang w:val="en-US"/>
        </w:rPr>
        <w:t>,</w:t>
      </w:r>
      <w:r w:rsidRPr="00F90B6B">
        <w:rPr>
          <w:rFonts w:ascii="Times New Roman" w:hAnsi="Times New Roman"/>
          <w:sz w:val="28"/>
          <w:szCs w:val="28"/>
        </w:rPr>
        <w:t xml:space="preserve">05) was shown </w:t>
      </w:r>
      <w:r w:rsidRPr="00F90B6B">
        <w:rPr>
          <w:rFonts w:ascii="Times New Roman" w:hAnsi="Times New Roman"/>
          <w:sz w:val="28"/>
          <w:szCs w:val="28"/>
          <w:lang w:val="en-US"/>
        </w:rPr>
        <w:t>in compare to BMI&lt;25 kg/m</w:t>
      </w:r>
      <w:r w:rsidRPr="00F90B6B">
        <w:rPr>
          <w:rFonts w:ascii="Times New Roman" w:hAnsi="Times New Roman"/>
          <w:sz w:val="28"/>
          <w:szCs w:val="28"/>
          <w:vertAlign w:val="superscript"/>
          <w:lang w:val="en-US"/>
        </w:rPr>
        <w:t>2</w:t>
      </w:r>
      <w:r w:rsidRPr="00F90B6B">
        <w:rPr>
          <w:rFonts w:ascii="Times New Roman" w:hAnsi="Times New Roman"/>
          <w:sz w:val="28"/>
          <w:szCs w:val="28"/>
        </w:rPr>
        <w:t xml:space="preserve">. In all groups of patients with CHF </w:t>
      </w:r>
      <w:r w:rsidRPr="00F90B6B">
        <w:rPr>
          <w:rFonts w:ascii="Times New Roman" w:hAnsi="Times New Roman"/>
          <w:sz w:val="28"/>
          <w:szCs w:val="28"/>
          <w:lang w:val="en-US"/>
        </w:rPr>
        <w:t>DT i</w:t>
      </w:r>
      <w:r w:rsidRPr="00F90B6B">
        <w:rPr>
          <w:rFonts w:ascii="Times New Roman" w:hAnsi="Times New Roman"/>
          <w:sz w:val="28"/>
          <w:szCs w:val="28"/>
        </w:rPr>
        <w:t xml:space="preserve">sovolumic </w:t>
      </w:r>
      <w:r w:rsidRPr="00F90B6B">
        <w:rPr>
          <w:rFonts w:ascii="Times New Roman" w:hAnsi="Times New Roman"/>
          <w:sz w:val="28"/>
          <w:szCs w:val="28"/>
          <w:lang w:val="en-US"/>
        </w:rPr>
        <w:t>p</w:t>
      </w:r>
      <w:r w:rsidRPr="00F90B6B">
        <w:rPr>
          <w:rFonts w:ascii="Times New Roman" w:hAnsi="Times New Roman"/>
          <w:sz w:val="28"/>
          <w:szCs w:val="28"/>
        </w:rPr>
        <w:t xml:space="preserve">hase </w:t>
      </w:r>
      <w:r w:rsidRPr="00F90B6B">
        <w:rPr>
          <w:rFonts w:ascii="Times New Roman" w:hAnsi="Times New Roman"/>
          <w:sz w:val="28"/>
          <w:szCs w:val="28"/>
          <w:lang w:val="en-US"/>
        </w:rPr>
        <w:t>i</w:t>
      </w:r>
      <w:r w:rsidRPr="00F90B6B">
        <w:rPr>
          <w:rFonts w:ascii="Times New Roman" w:hAnsi="Times New Roman"/>
          <w:sz w:val="28"/>
          <w:szCs w:val="28"/>
        </w:rPr>
        <w:t xml:space="preserve">ndex of LV </w:t>
      </w:r>
      <w:r w:rsidRPr="00F90B6B">
        <w:rPr>
          <w:rFonts w:ascii="Times New Roman" w:hAnsi="Times New Roman"/>
          <w:sz w:val="28"/>
          <w:szCs w:val="28"/>
          <w:lang w:val="en-US"/>
        </w:rPr>
        <w:t>c</w:t>
      </w:r>
      <w:r w:rsidRPr="00F90B6B">
        <w:rPr>
          <w:rFonts w:ascii="Times New Roman" w:hAnsi="Times New Roman"/>
          <w:sz w:val="28"/>
          <w:szCs w:val="28"/>
        </w:rPr>
        <w:t xml:space="preserve">ontractility was higher than </w:t>
      </w:r>
      <w:r w:rsidRPr="00F90B6B">
        <w:rPr>
          <w:rFonts w:ascii="Times New Roman" w:hAnsi="Times New Roman"/>
          <w:sz w:val="28"/>
          <w:szCs w:val="28"/>
          <w:lang w:val="en-US"/>
        </w:rPr>
        <w:t xml:space="preserve">in </w:t>
      </w:r>
      <w:r w:rsidRPr="00F90B6B">
        <w:rPr>
          <w:rFonts w:ascii="Times New Roman" w:hAnsi="Times New Roman"/>
          <w:sz w:val="28"/>
          <w:szCs w:val="28"/>
        </w:rPr>
        <w:t>the control group (p&lt;0</w:t>
      </w:r>
      <w:r w:rsidRPr="00F90B6B">
        <w:rPr>
          <w:rFonts w:ascii="Times New Roman" w:hAnsi="Times New Roman"/>
          <w:sz w:val="28"/>
          <w:szCs w:val="28"/>
          <w:lang w:val="en-US"/>
        </w:rPr>
        <w:t>,</w:t>
      </w:r>
      <w:r w:rsidRPr="00F90B6B">
        <w:rPr>
          <w:rFonts w:ascii="Times New Roman" w:hAnsi="Times New Roman"/>
          <w:sz w:val="28"/>
          <w:szCs w:val="28"/>
        </w:rPr>
        <w:t>05), and prevalence (85</w:t>
      </w:r>
      <w:r w:rsidRPr="00F90B6B">
        <w:rPr>
          <w:rFonts w:ascii="Times New Roman" w:hAnsi="Times New Roman"/>
          <w:sz w:val="28"/>
          <w:szCs w:val="28"/>
          <w:lang w:val="en-US"/>
        </w:rPr>
        <w:t>,</w:t>
      </w:r>
      <w:r w:rsidRPr="00F90B6B">
        <w:rPr>
          <w:rFonts w:ascii="Times New Roman" w:hAnsi="Times New Roman"/>
          <w:sz w:val="28"/>
          <w:szCs w:val="28"/>
        </w:rPr>
        <w:t xml:space="preserve">1%) </w:t>
      </w:r>
      <w:r w:rsidRPr="00F90B6B">
        <w:rPr>
          <w:rFonts w:ascii="Times New Roman" w:hAnsi="Times New Roman"/>
          <w:sz w:val="28"/>
          <w:szCs w:val="28"/>
          <w:lang w:val="en-US"/>
        </w:rPr>
        <w:t>of t</w:t>
      </w:r>
      <w:r w:rsidRPr="00F90B6B">
        <w:rPr>
          <w:rFonts w:ascii="Times New Roman" w:hAnsi="Times New Roman"/>
          <w:sz w:val="28"/>
          <w:szCs w:val="28"/>
        </w:rPr>
        <w:t>ype I diastolic dysfunction</w:t>
      </w:r>
      <w:r w:rsidRPr="00F90B6B">
        <w:rPr>
          <w:rFonts w:ascii="Times New Roman" w:hAnsi="Times New Roman"/>
          <w:sz w:val="28"/>
          <w:szCs w:val="28"/>
          <w:lang w:val="en-US"/>
        </w:rPr>
        <w:t xml:space="preserve"> was set</w:t>
      </w:r>
      <w:r w:rsidRPr="00F90B6B">
        <w:rPr>
          <w:rFonts w:ascii="Times New Roman" w:hAnsi="Times New Roman"/>
          <w:sz w:val="28"/>
          <w:szCs w:val="28"/>
        </w:rPr>
        <w:t xml:space="preserve">. </w:t>
      </w:r>
      <w:r w:rsidRPr="00F90B6B">
        <w:rPr>
          <w:rFonts w:ascii="Times New Roman" w:hAnsi="Times New Roman"/>
          <w:sz w:val="28"/>
          <w:szCs w:val="28"/>
          <w:lang w:val="en-US"/>
        </w:rPr>
        <w:t xml:space="preserve">It was </w:t>
      </w:r>
      <w:r w:rsidRPr="00F90B6B">
        <w:rPr>
          <w:rFonts w:ascii="Times New Roman" w:hAnsi="Times New Roman"/>
          <w:sz w:val="28"/>
          <w:szCs w:val="28"/>
        </w:rPr>
        <w:t>established</w:t>
      </w:r>
      <w:r w:rsidRPr="00F90B6B">
        <w:rPr>
          <w:rFonts w:ascii="Times New Roman" w:hAnsi="Times New Roman"/>
          <w:sz w:val="28"/>
          <w:szCs w:val="28"/>
          <w:lang w:val="en-US"/>
        </w:rPr>
        <w:t xml:space="preserve"> the </w:t>
      </w:r>
      <w:r w:rsidRPr="00F90B6B">
        <w:rPr>
          <w:rFonts w:ascii="Times New Roman" w:hAnsi="Times New Roman"/>
          <w:sz w:val="28"/>
          <w:szCs w:val="28"/>
        </w:rPr>
        <w:t xml:space="preserve">negative linear relationship </w:t>
      </w:r>
      <w:r w:rsidRPr="00F90B6B">
        <w:rPr>
          <w:rFonts w:ascii="Times New Roman" w:hAnsi="Times New Roman"/>
          <w:sz w:val="28"/>
          <w:szCs w:val="28"/>
          <w:lang w:val="en-US"/>
        </w:rPr>
        <w:t>between</w:t>
      </w:r>
      <w:r w:rsidRPr="00F90B6B">
        <w:rPr>
          <w:rFonts w:ascii="Times New Roman" w:hAnsi="Times New Roman"/>
          <w:sz w:val="28"/>
          <w:szCs w:val="28"/>
        </w:rPr>
        <w:t xml:space="preserve"> free aldosterone level</w:t>
      </w:r>
      <w:r w:rsidRPr="00F90B6B">
        <w:rPr>
          <w:rFonts w:ascii="Times New Roman" w:hAnsi="Times New Roman"/>
          <w:sz w:val="28"/>
          <w:szCs w:val="28"/>
          <w:lang w:val="en-US"/>
        </w:rPr>
        <w:t xml:space="preserve"> and</w:t>
      </w:r>
      <w:r w:rsidRPr="00F90B6B">
        <w:rPr>
          <w:rFonts w:ascii="Times New Roman" w:hAnsi="Times New Roman"/>
          <w:sz w:val="28"/>
          <w:szCs w:val="28"/>
        </w:rPr>
        <w:t xml:space="preserve"> body mass index in patients with CHF (r = -0.28, p&lt;0</w:t>
      </w:r>
      <w:r w:rsidRPr="00F90B6B">
        <w:rPr>
          <w:rFonts w:ascii="Times New Roman" w:hAnsi="Times New Roman"/>
          <w:sz w:val="28"/>
          <w:szCs w:val="28"/>
          <w:lang w:val="en-US"/>
        </w:rPr>
        <w:t>,</w:t>
      </w:r>
      <w:r w:rsidRPr="00F90B6B">
        <w:rPr>
          <w:rFonts w:ascii="Times New Roman" w:hAnsi="Times New Roman"/>
          <w:sz w:val="28"/>
          <w:szCs w:val="28"/>
        </w:rPr>
        <w:t xml:space="preserve">05). It was verified </w:t>
      </w:r>
      <w:r w:rsidRPr="00F90B6B">
        <w:rPr>
          <w:rFonts w:ascii="Times New Roman" w:hAnsi="Times New Roman"/>
          <w:sz w:val="28"/>
          <w:szCs w:val="28"/>
          <w:lang w:val="en-US"/>
        </w:rPr>
        <w:t xml:space="preserve">direct </w:t>
      </w:r>
      <w:r w:rsidRPr="00F90B6B">
        <w:rPr>
          <w:rFonts w:ascii="Times New Roman" w:hAnsi="Times New Roman"/>
          <w:sz w:val="28"/>
          <w:szCs w:val="28"/>
        </w:rPr>
        <w:t xml:space="preserve">correlation between </w:t>
      </w:r>
      <w:r w:rsidRPr="00F90B6B">
        <w:rPr>
          <w:rFonts w:ascii="Times New Roman" w:hAnsi="Times New Roman"/>
          <w:sz w:val="28"/>
          <w:szCs w:val="28"/>
          <w:lang w:val="en-US"/>
        </w:rPr>
        <w:t xml:space="preserve">W/H ratio </w:t>
      </w:r>
      <w:r w:rsidRPr="00F90B6B">
        <w:rPr>
          <w:rFonts w:ascii="Times New Roman" w:hAnsi="Times New Roman"/>
          <w:sz w:val="28"/>
          <w:szCs w:val="28"/>
        </w:rPr>
        <w:t>and free aldosterone (r = 0</w:t>
      </w:r>
      <w:r w:rsidRPr="00F90B6B">
        <w:rPr>
          <w:rFonts w:ascii="Times New Roman" w:hAnsi="Times New Roman"/>
          <w:sz w:val="28"/>
          <w:szCs w:val="28"/>
          <w:lang w:val="en-US"/>
        </w:rPr>
        <w:t>,</w:t>
      </w:r>
      <w:r w:rsidRPr="00F90B6B">
        <w:rPr>
          <w:rFonts w:ascii="Times New Roman" w:hAnsi="Times New Roman"/>
          <w:sz w:val="28"/>
          <w:szCs w:val="28"/>
        </w:rPr>
        <w:t>23, p&lt;0</w:t>
      </w:r>
      <w:r w:rsidRPr="00F90B6B">
        <w:rPr>
          <w:rFonts w:ascii="Times New Roman" w:hAnsi="Times New Roman"/>
          <w:sz w:val="28"/>
          <w:szCs w:val="28"/>
          <w:lang w:val="en-US"/>
        </w:rPr>
        <w:t>,</w:t>
      </w:r>
      <w:r w:rsidRPr="00F90B6B">
        <w:rPr>
          <w:rFonts w:ascii="Times New Roman" w:hAnsi="Times New Roman"/>
          <w:sz w:val="28"/>
          <w:szCs w:val="28"/>
        </w:rPr>
        <w:t>05). A negative linear regression coefficient (r = -0.28, p&lt;0</w:t>
      </w:r>
      <w:r w:rsidRPr="00F90B6B">
        <w:rPr>
          <w:rFonts w:ascii="Times New Roman" w:hAnsi="Times New Roman"/>
          <w:sz w:val="28"/>
          <w:szCs w:val="28"/>
          <w:lang w:val="en-US"/>
        </w:rPr>
        <w:t>,</w:t>
      </w:r>
      <w:r w:rsidRPr="00F90B6B">
        <w:rPr>
          <w:rFonts w:ascii="Times New Roman" w:hAnsi="Times New Roman"/>
          <w:sz w:val="28"/>
          <w:szCs w:val="28"/>
        </w:rPr>
        <w:t>05) between the aldosterone content and exercise tolerance was obtained. In clusters of "high" and "low" synthesis of aldosterone</w:t>
      </w:r>
      <w:r w:rsidRPr="00F90B6B">
        <w:rPr>
          <w:rFonts w:ascii="Times New Roman" w:hAnsi="Times New Roman"/>
          <w:sz w:val="28"/>
          <w:szCs w:val="28"/>
          <w:lang w:val="en-US"/>
        </w:rPr>
        <w:t xml:space="preserve"> was set the reliable </w:t>
      </w:r>
      <w:r w:rsidRPr="00F90B6B">
        <w:rPr>
          <w:rFonts w:ascii="Times New Roman" w:hAnsi="Times New Roman"/>
          <w:sz w:val="28"/>
          <w:szCs w:val="28"/>
        </w:rPr>
        <w:t>difference</w:t>
      </w:r>
      <w:r w:rsidRPr="00F90B6B">
        <w:rPr>
          <w:rFonts w:ascii="Times New Roman" w:hAnsi="Times New Roman"/>
          <w:sz w:val="28"/>
          <w:szCs w:val="28"/>
          <w:lang w:val="en-US"/>
        </w:rPr>
        <w:t>s</w:t>
      </w:r>
      <w:r w:rsidRPr="00F90B6B">
        <w:rPr>
          <w:rFonts w:ascii="Times New Roman" w:hAnsi="Times New Roman"/>
          <w:sz w:val="28"/>
          <w:szCs w:val="28"/>
        </w:rPr>
        <w:t xml:space="preserve"> in </w:t>
      </w:r>
      <w:r w:rsidRPr="00F90B6B">
        <w:rPr>
          <w:rFonts w:ascii="Times New Roman" w:hAnsi="Times New Roman"/>
          <w:sz w:val="28"/>
          <w:szCs w:val="28"/>
          <w:lang w:val="en-US"/>
        </w:rPr>
        <w:t>6-</w:t>
      </w:r>
      <w:r w:rsidRPr="00F90B6B">
        <w:rPr>
          <w:rFonts w:ascii="Times New Roman" w:hAnsi="Times New Roman"/>
          <w:sz w:val="28"/>
          <w:szCs w:val="28"/>
        </w:rPr>
        <w:t xml:space="preserve">minute walking distance </w:t>
      </w:r>
      <w:r w:rsidRPr="00F90B6B">
        <w:rPr>
          <w:rFonts w:ascii="Times New Roman" w:hAnsi="Times New Roman"/>
          <w:sz w:val="28"/>
          <w:szCs w:val="28"/>
          <w:lang w:val="en-US"/>
        </w:rPr>
        <w:t>(</w:t>
      </w:r>
      <w:r w:rsidRPr="00F90B6B">
        <w:rPr>
          <w:rFonts w:ascii="Times New Roman" w:hAnsi="Times New Roman"/>
          <w:sz w:val="28"/>
          <w:szCs w:val="28"/>
        </w:rPr>
        <w:t>405</w:t>
      </w:r>
      <w:r w:rsidRPr="00F90B6B">
        <w:rPr>
          <w:rFonts w:ascii="Times New Roman" w:hAnsi="Times New Roman"/>
          <w:sz w:val="28"/>
          <w:szCs w:val="28"/>
          <w:lang w:val="en-US"/>
        </w:rPr>
        <w:t>,</w:t>
      </w:r>
      <w:r w:rsidRPr="00F90B6B">
        <w:rPr>
          <w:rFonts w:ascii="Times New Roman" w:hAnsi="Times New Roman"/>
          <w:sz w:val="28"/>
          <w:szCs w:val="28"/>
        </w:rPr>
        <w:t>7 ± 59</w:t>
      </w:r>
      <w:r w:rsidRPr="00F90B6B">
        <w:rPr>
          <w:rFonts w:ascii="Times New Roman" w:hAnsi="Times New Roman"/>
          <w:sz w:val="28"/>
          <w:szCs w:val="28"/>
          <w:lang w:val="en-US"/>
        </w:rPr>
        <w:t>,</w:t>
      </w:r>
      <w:r w:rsidRPr="00F90B6B">
        <w:rPr>
          <w:rFonts w:ascii="Times New Roman" w:hAnsi="Times New Roman"/>
          <w:sz w:val="28"/>
          <w:szCs w:val="28"/>
        </w:rPr>
        <w:t>6 meters v</w:t>
      </w:r>
      <w:r w:rsidRPr="00F90B6B">
        <w:rPr>
          <w:rFonts w:ascii="Times New Roman" w:hAnsi="Times New Roman"/>
          <w:sz w:val="28"/>
          <w:szCs w:val="28"/>
          <w:lang w:val="en-US"/>
        </w:rPr>
        <w:t>s.</w:t>
      </w:r>
      <w:r w:rsidRPr="00F90B6B">
        <w:rPr>
          <w:rFonts w:ascii="Times New Roman" w:hAnsi="Times New Roman"/>
          <w:sz w:val="28"/>
          <w:szCs w:val="28"/>
        </w:rPr>
        <w:t xml:space="preserve"> 472</w:t>
      </w:r>
      <w:r w:rsidRPr="00F90B6B">
        <w:rPr>
          <w:rFonts w:ascii="Times New Roman" w:hAnsi="Times New Roman"/>
          <w:sz w:val="28"/>
          <w:szCs w:val="28"/>
          <w:lang w:val="en-US"/>
        </w:rPr>
        <w:t>,</w:t>
      </w:r>
      <w:r w:rsidRPr="00F90B6B">
        <w:rPr>
          <w:rFonts w:ascii="Times New Roman" w:hAnsi="Times New Roman"/>
          <w:sz w:val="28"/>
          <w:szCs w:val="28"/>
        </w:rPr>
        <w:t>8 ± 89</w:t>
      </w:r>
      <w:r w:rsidRPr="00F90B6B">
        <w:rPr>
          <w:rFonts w:ascii="Times New Roman" w:hAnsi="Times New Roman"/>
          <w:sz w:val="28"/>
          <w:szCs w:val="28"/>
          <w:lang w:val="en-US"/>
        </w:rPr>
        <w:t>,</w:t>
      </w:r>
      <w:r w:rsidRPr="00F90B6B">
        <w:rPr>
          <w:rFonts w:ascii="Times New Roman" w:hAnsi="Times New Roman"/>
          <w:sz w:val="28"/>
          <w:szCs w:val="28"/>
        </w:rPr>
        <w:t>4 meters</w:t>
      </w:r>
      <w:r w:rsidRPr="00F90B6B">
        <w:rPr>
          <w:rFonts w:ascii="Times New Roman" w:hAnsi="Times New Roman"/>
          <w:sz w:val="28"/>
          <w:szCs w:val="28"/>
          <w:lang w:val="en-US"/>
        </w:rPr>
        <w:t xml:space="preserve">, </w:t>
      </w:r>
      <w:r w:rsidRPr="00F90B6B">
        <w:rPr>
          <w:rFonts w:ascii="Times New Roman" w:hAnsi="Times New Roman"/>
          <w:sz w:val="28"/>
          <w:szCs w:val="28"/>
        </w:rPr>
        <w:t>p&lt;0</w:t>
      </w:r>
      <w:r w:rsidRPr="00F90B6B">
        <w:rPr>
          <w:rFonts w:ascii="Times New Roman" w:hAnsi="Times New Roman"/>
          <w:sz w:val="28"/>
          <w:szCs w:val="28"/>
          <w:lang w:val="en-US"/>
        </w:rPr>
        <w:t>,</w:t>
      </w:r>
      <w:r w:rsidRPr="00F90B6B">
        <w:rPr>
          <w:rFonts w:ascii="Times New Roman" w:hAnsi="Times New Roman"/>
          <w:sz w:val="28"/>
          <w:szCs w:val="28"/>
        </w:rPr>
        <w:t>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The next task of the </w:t>
      </w:r>
      <w:r w:rsidRPr="00F90B6B">
        <w:rPr>
          <w:rFonts w:ascii="Times New Roman" w:hAnsi="Times New Roman"/>
          <w:sz w:val="28"/>
          <w:szCs w:val="28"/>
          <w:lang w:val="en-US" w:eastAsia="ru-RU"/>
        </w:rPr>
        <w:t xml:space="preserve">research </w:t>
      </w:r>
      <w:r w:rsidRPr="00F90B6B">
        <w:rPr>
          <w:rFonts w:ascii="Times New Roman" w:hAnsi="Times New Roman"/>
          <w:sz w:val="28"/>
          <w:szCs w:val="28"/>
          <w:lang w:eastAsia="ru-RU"/>
        </w:rPr>
        <w:t>was retrospective analysis of predictors</w:t>
      </w:r>
      <w:r w:rsidRPr="00F90B6B">
        <w:rPr>
          <w:rFonts w:ascii="Times New Roman" w:hAnsi="Times New Roman"/>
          <w:sz w:val="28"/>
          <w:szCs w:val="28"/>
          <w:lang w:val="en-US" w:eastAsia="ru-RU"/>
        </w:rPr>
        <w:t>, which could increase the risk</w:t>
      </w:r>
      <w:r w:rsidRPr="00F90B6B">
        <w:rPr>
          <w:rFonts w:ascii="Times New Roman" w:hAnsi="Times New Roman"/>
          <w:sz w:val="28"/>
          <w:szCs w:val="28"/>
          <w:lang w:eastAsia="ru-RU"/>
        </w:rPr>
        <w:t xml:space="preserve"> of cardiovascular complications in patients with chronic heart failure and hyponatremia. </w:t>
      </w:r>
      <w:r w:rsidRPr="00F90B6B">
        <w:rPr>
          <w:rFonts w:ascii="Times New Roman" w:hAnsi="Times New Roman"/>
          <w:sz w:val="28"/>
          <w:szCs w:val="28"/>
          <w:lang w:val="en-US" w:eastAsia="ru-RU"/>
        </w:rPr>
        <w:t>Due to the</w:t>
      </w:r>
      <w:r w:rsidRPr="00F90B6B">
        <w:rPr>
          <w:rFonts w:ascii="Times New Roman" w:hAnsi="Times New Roman"/>
          <w:sz w:val="28"/>
          <w:szCs w:val="28"/>
          <w:lang w:eastAsia="ru-RU"/>
        </w:rPr>
        <w:t xml:space="preserve"> analysis of </w:t>
      </w:r>
      <w:r w:rsidRPr="00F90B6B">
        <w:rPr>
          <w:rFonts w:ascii="Times New Roman" w:hAnsi="Times New Roman"/>
          <w:sz w:val="28"/>
          <w:szCs w:val="28"/>
          <w:lang w:val="en-US" w:eastAsia="ru-RU"/>
        </w:rPr>
        <w:t>medical cards were presented</w:t>
      </w:r>
      <w:r w:rsidRPr="00F90B6B">
        <w:rPr>
          <w:rFonts w:ascii="Times New Roman" w:hAnsi="Times New Roman"/>
          <w:sz w:val="28"/>
          <w:szCs w:val="28"/>
          <w:lang w:eastAsia="ru-RU"/>
        </w:rPr>
        <w:t xml:space="preserve"> causes of </w:t>
      </w:r>
      <w:r w:rsidRPr="00F90B6B">
        <w:rPr>
          <w:rFonts w:ascii="Times New Roman" w:hAnsi="Times New Roman"/>
          <w:sz w:val="28"/>
          <w:szCs w:val="28"/>
          <w:lang w:val="en-US" w:eastAsia="ru-RU"/>
        </w:rPr>
        <w:t xml:space="preserve">cardiovascular complications, including </w:t>
      </w:r>
      <w:r w:rsidRPr="00F90B6B">
        <w:rPr>
          <w:rFonts w:ascii="Times New Roman" w:hAnsi="Times New Roman"/>
          <w:sz w:val="28"/>
          <w:szCs w:val="28"/>
          <w:lang w:eastAsia="ru-RU"/>
        </w:rPr>
        <w:t>decompensation of heart failure</w:t>
      </w:r>
      <w:r w:rsidRPr="00F90B6B">
        <w:rPr>
          <w:rFonts w:ascii="Times New Roman" w:hAnsi="Times New Roman"/>
          <w:sz w:val="28"/>
          <w:szCs w:val="28"/>
          <w:lang w:val="en-US" w:eastAsia="ru-RU"/>
        </w:rPr>
        <w:t>. It was set the role of obesity</w:t>
      </w:r>
      <w:r w:rsidRPr="00F90B6B">
        <w:rPr>
          <w:rFonts w:ascii="Times New Roman" w:hAnsi="Times New Roman"/>
          <w:sz w:val="28"/>
          <w:szCs w:val="28"/>
          <w:lang w:eastAsia="ru-RU"/>
        </w:rPr>
        <w:t xml:space="preserve"> and higher hospitalization in</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 xml:space="preserve">HF </w:t>
      </w:r>
      <w:r w:rsidRPr="00F90B6B">
        <w:rPr>
          <w:rFonts w:ascii="Times New Roman" w:hAnsi="Times New Roman"/>
          <w:sz w:val="28"/>
          <w:szCs w:val="28"/>
          <w:lang w:val="en-US" w:eastAsia="ru-RU"/>
        </w:rPr>
        <w:t>with BMI&gt;30 kg/m</w:t>
      </w:r>
      <w:r w:rsidRPr="00F90B6B">
        <w:rPr>
          <w:rFonts w:ascii="Times New Roman" w:hAnsi="Times New Roman"/>
          <w:sz w:val="28"/>
          <w:szCs w:val="28"/>
          <w:vertAlign w:val="superscript"/>
          <w:lang w:val="en-US" w:eastAsia="ru-RU"/>
        </w:rPr>
        <w:t>2</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w:t>
      </w:r>
      <w:r w:rsidRPr="00F90B6B">
        <w:rPr>
          <w:rFonts w:ascii="Times New Roman" w:hAnsi="Times New Roman"/>
          <w:sz w:val="28"/>
          <w:szCs w:val="28"/>
          <w:lang w:val="en-US" w:eastAsia="ru-RU"/>
        </w:rPr>
        <w:t>; reliable risk of</w:t>
      </w:r>
      <w:r w:rsidRPr="00F90B6B">
        <w:rPr>
          <w:rFonts w:ascii="Times New Roman" w:hAnsi="Times New Roman"/>
          <w:sz w:val="28"/>
          <w:szCs w:val="28"/>
          <w:lang w:eastAsia="ru-RU"/>
        </w:rPr>
        <w:t xml:space="preserve"> cardiovascular mortality</w:t>
      </w:r>
      <w:r w:rsidRPr="00F90B6B">
        <w:rPr>
          <w:rFonts w:ascii="Times New Roman" w:hAnsi="Times New Roman"/>
          <w:sz w:val="28"/>
          <w:szCs w:val="28"/>
          <w:lang w:val="en-US" w:eastAsia="ru-RU"/>
        </w:rPr>
        <w:t xml:space="preserve"> was proved for </w:t>
      </w:r>
      <w:r w:rsidRPr="00F90B6B">
        <w:rPr>
          <w:rFonts w:ascii="Times New Roman" w:hAnsi="Times New Roman"/>
          <w:sz w:val="28"/>
          <w:szCs w:val="28"/>
          <w:lang w:eastAsia="ru-RU"/>
        </w:rPr>
        <w:t>abdominal obesity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05). The gender-specific feature </w:t>
      </w:r>
      <w:r w:rsidRPr="00F90B6B">
        <w:rPr>
          <w:rFonts w:ascii="Times New Roman" w:hAnsi="Times New Roman"/>
          <w:sz w:val="28"/>
          <w:szCs w:val="28"/>
          <w:lang w:val="en-US" w:eastAsia="ru-RU"/>
        </w:rPr>
        <w:t xml:space="preserve">higher </w:t>
      </w:r>
      <w:r w:rsidRPr="00F90B6B">
        <w:rPr>
          <w:rFonts w:ascii="Times New Roman" w:hAnsi="Times New Roman"/>
          <w:sz w:val="28"/>
          <w:szCs w:val="28"/>
          <w:lang w:eastAsia="ru-RU"/>
        </w:rPr>
        <w:t>risk of cardiovascular mortality in males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05). </w:t>
      </w:r>
      <w:r w:rsidRPr="00F90B6B">
        <w:rPr>
          <w:rFonts w:ascii="Times New Roman" w:hAnsi="Times New Roman"/>
          <w:sz w:val="28"/>
          <w:szCs w:val="28"/>
          <w:lang w:val="en-US" w:eastAsia="ru-RU"/>
        </w:rPr>
        <w:t xml:space="preserve">Decompensation </w:t>
      </w:r>
      <w:r w:rsidRPr="00F90B6B">
        <w:rPr>
          <w:rFonts w:ascii="Times New Roman" w:hAnsi="Times New Roman"/>
          <w:sz w:val="28"/>
          <w:szCs w:val="28"/>
          <w:lang w:eastAsia="ru-RU"/>
        </w:rPr>
        <w:t xml:space="preserve">of CHF </w:t>
      </w:r>
      <w:r w:rsidRPr="00F90B6B">
        <w:rPr>
          <w:rFonts w:ascii="Times New Roman" w:hAnsi="Times New Roman"/>
          <w:sz w:val="28"/>
          <w:szCs w:val="28"/>
          <w:lang w:val="en-US" w:eastAsia="ru-RU"/>
        </w:rPr>
        <w:t xml:space="preserve">was associated with </w:t>
      </w:r>
      <w:r w:rsidRPr="00F90B6B">
        <w:rPr>
          <w:rFonts w:ascii="Times New Roman" w:hAnsi="Times New Roman"/>
          <w:sz w:val="28"/>
          <w:szCs w:val="28"/>
          <w:lang w:eastAsia="ru-RU"/>
        </w:rPr>
        <w:t>lower systolic blood pressure SBP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 The high functional classes (</w:t>
      </w:r>
      <w:r w:rsidRPr="00F90B6B">
        <w:rPr>
          <w:rFonts w:ascii="Times New Roman" w:hAnsi="Times New Roman"/>
          <w:sz w:val="28"/>
          <w:szCs w:val="28"/>
          <w:lang w:val="en-US" w:eastAsia="ru-RU"/>
        </w:rPr>
        <w:t xml:space="preserve">FC, </w:t>
      </w:r>
      <w:r w:rsidRPr="00F90B6B">
        <w:rPr>
          <w:rFonts w:ascii="Times New Roman" w:hAnsi="Times New Roman"/>
          <w:sz w:val="28"/>
          <w:szCs w:val="28"/>
          <w:lang w:eastAsia="ru-RU"/>
        </w:rPr>
        <w:t>III and IV)</w:t>
      </w:r>
      <w:r w:rsidRPr="00F90B6B">
        <w:rPr>
          <w:rFonts w:ascii="Times New Roman" w:hAnsi="Times New Roman"/>
          <w:sz w:val="28"/>
          <w:szCs w:val="28"/>
          <w:lang w:val="en-US" w:eastAsia="ru-RU"/>
        </w:rPr>
        <w:t xml:space="preserve"> were reliably </w:t>
      </w:r>
      <w:r w:rsidRPr="00F90B6B">
        <w:rPr>
          <w:rFonts w:ascii="Times New Roman" w:hAnsi="Times New Roman"/>
          <w:sz w:val="28"/>
          <w:szCs w:val="28"/>
          <w:lang w:eastAsia="ru-RU"/>
        </w:rPr>
        <w:t>correlate</w:t>
      </w:r>
      <w:r w:rsidRPr="00F90B6B">
        <w:rPr>
          <w:rFonts w:ascii="Times New Roman" w:hAnsi="Times New Roman"/>
          <w:sz w:val="28"/>
          <w:szCs w:val="28"/>
          <w:lang w:val="en-US" w:eastAsia="ru-RU"/>
        </w:rPr>
        <w:t>d</w:t>
      </w:r>
      <w:r w:rsidRPr="00F90B6B">
        <w:rPr>
          <w:rFonts w:ascii="Times New Roman" w:hAnsi="Times New Roman"/>
          <w:sz w:val="28"/>
          <w:szCs w:val="28"/>
          <w:lang w:eastAsia="ru-RU"/>
        </w:rPr>
        <w:t xml:space="preserve"> with general and cardiovascular mortality, the absolute risk from FC I to FC IV increased from 5</w:t>
      </w:r>
      <w:r w:rsidRPr="00F90B6B">
        <w:rPr>
          <w:rFonts w:ascii="Times New Roman" w:hAnsi="Times New Roman"/>
          <w:sz w:val="28"/>
          <w:szCs w:val="28"/>
          <w:lang w:val="en-US" w:eastAsia="ru-RU"/>
        </w:rPr>
        <w:t>,</w:t>
      </w:r>
      <w:r w:rsidRPr="00F90B6B">
        <w:rPr>
          <w:rFonts w:ascii="Times New Roman" w:hAnsi="Times New Roman"/>
          <w:sz w:val="28"/>
          <w:szCs w:val="28"/>
          <w:lang w:eastAsia="ru-RU"/>
        </w:rPr>
        <w:t>9% to 81</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6%, the relative risk increased </w:t>
      </w:r>
      <w:r w:rsidRPr="00F90B6B">
        <w:rPr>
          <w:rFonts w:ascii="Times New Roman" w:hAnsi="Times New Roman"/>
          <w:sz w:val="28"/>
          <w:szCs w:val="28"/>
          <w:lang w:val="en-US" w:eastAsia="ru-RU"/>
        </w:rPr>
        <w:t xml:space="preserve">in </w:t>
      </w:r>
      <w:r w:rsidRPr="00F90B6B">
        <w:rPr>
          <w:rFonts w:ascii="Times New Roman" w:hAnsi="Times New Roman"/>
          <w:sz w:val="28"/>
          <w:szCs w:val="28"/>
          <w:lang w:eastAsia="ru-RU"/>
        </w:rPr>
        <w:t>71</w:t>
      </w:r>
      <w:r w:rsidRPr="00F90B6B">
        <w:rPr>
          <w:rFonts w:ascii="Times New Roman" w:hAnsi="Times New Roman"/>
          <w:sz w:val="28"/>
          <w:szCs w:val="28"/>
          <w:lang w:val="en-US" w:eastAsia="ru-RU"/>
        </w:rPr>
        <w:t>,</w:t>
      </w:r>
      <w:r w:rsidRPr="00F90B6B">
        <w:rPr>
          <w:rFonts w:ascii="Times New Roman" w:hAnsi="Times New Roman"/>
          <w:sz w:val="28"/>
          <w:szCs w:val="28"/>
          <w:lang w:eastAsia="ru-RU"/>
        </w:rPr>
        <w:t>1</w:t>
      </w:r>
      <w:r w:rsidRPr="00F90B6B">
        <w:rPr>
          <w:rFonts w:ascii="Times New Roman" w:hAnsi="Times New Roman"/>
          <w:sz w:val="28"/>
          <w:szCs w:val="28"/>
          <w:lang w:val="en-US" w:eastAsia="ru-RU"/>
        </w:rPr>
        <w:t xml:space="preserve"> in</w:t>
      </w:r>
      <w:r w:rsidRPr="00F90B6B">
        <w:rPr>
          <w:rFonts w:ascii="Times New Roman" w:hAnsi="Times New Roman"/>
          <w:sz w:val="28"/>
          <w:szCs w:val="28"/>
          <w:lang w:eastAsia="ru-RU"/>
        </w:rPr>
        <w:t xml:space="preserve"> FC IV compared to FC I (p&lt;0,05). A higher probability of CHF decompensation in </w:t>
      </w:r>
      <w:r w:rsidRPr="00F90B6B">
        <w:rPr>
          <w:rFonts w:ascii="Times New Roman" w:hAnsi="Times New Roman"/>
          <w:sz w:val="28"/>
          <w:szCs w:val="28"/>
          <w:lang w:val="en-US" w:eastAsia="ru-RU"/>
        </w:rPr>
        <w:t xml:space="preserve">cases with </w:t>
      </w:r>
      <w:r w:rsidRPr="00F90B6B">
        <w:rPr>
          <w:rFonts w:ascii="Times New Roman" w:hAnsi="Times New Roman"/>
          <w:sz w:val="28"/>
          <w:szCs w:val="28"/>
          <w:lang w:eastAsia="ru-RU"/>
        </w:rPr>
        <w:t xml:space="preserve">LV </w:t>
      </w:r>
      <w:r w:rsidRPr="00F90B6B">
        <w:rPr>
          <w:rFonts w:ascii="Times New Roman" w:hAnsi="Times New Roman"/>
          <w:sz w:val="28"/>
          <w:szCs w:val="28"/>
          <w:lang w:val="en-US" w:eastAsia="ru-RU"/>
        </w:rPr>
        <w:t>ejection fraction</w:t>
      </w:r>
      <w:r w:rsidRPr="00F90B6B">
        <w:rPr>
          <w:rFonts w:ascii="Times New Roman" w:hAnsi="Times New Roman"/>
          <w:sz w:val="28"/>
          <w:szCs w:val="28"/>
          <w:lang w:eastAsia="ru-RU"/>
        </w:rPr>
        <w:t xml:space="preserve"> less than 50</w:t>
      </w:r>
      <w:r w:rsidRPr="00F90B6B">
        <w:rPr>
          <w:rFonts w:ascii="Times New Roman" w:hAnsi="Times New Roman"/>
          <w:sz w:val="28"/>
          <w:szCs w:val="28"/>
          <w:lang w:val="en-US" w:eastAsia="ru-RU"/>
        </w:rPr>
        <w:t>,</w:t>
      </w:r>
      <w:r w:rsidRPr="00F90B6B">
        <w:rPr>
          <w:rFonts w:ascii="Times New Roman" w:hAnsi="Times New Roman"/>
          <w:sz w:val="28"/>
          <w:szCs w:val="28"/>
          <w:lang w:eastAsia="ru-RU"/>
        </w:rPr>
        <w:t>0%</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 xml:space="preserve">increase </w:t>
      </w:r>
      <w:r w:rsidRPr="00F90B6B">
        <w:rPr>
          <w:rFonts w:ascii="Times New Roman" w:hAnsi="Times New Roman"/>
          <w:sz w:val="28"/>
          <w:szCs w:val="28"/>
          <w:lang w:val="en-US" w:eastAsia="ru-RU"/>
        </w:rPr>
        <w:t>to</w:t>
      </w:r>
      <w:r w:rsidRPr="00F90B6B">
        <w:rPr>
          <w:rFonts w:ascii="Times New Roman" w:hAnsi="Times New Roman"/>
          <w:sz w:val="28"/>
          <w:szCs w:val="28"/>
          <w:lang w:eastAsia="ru-RU"/>
        </w:rPr>
        <w:t xml:space="preserve"> 39</w:t>
      </w:r>
      <w:r w:rsidRPr="00F90B6B">
        <w:rPr>
          <w:rFonts w:ascii="Times New Roman" w:hAnsi="Times New Roman"/>
          <w:sz w:val="28"/>
          <w:szCs w:val="28"/>
          <w:lang w:val="en-US" w:eastAsia="ru-RU"/>
        </w:rPr>
        <w:t>,</w:t>
      </w:r>
      <w:r w:rsidRPr="00F90B6B">
        <w:rPr>
          <w:rFonts w:ascii="Times New Roman" w:hAnsi="Times New Roman"/>
          <w:sz w:val="28"/>
          <w:szCs w:val="28"/>
          <w:lang w:eastAsia="ru-RU"/>
        </w:rPr>
        <w:t>0%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The risk of cardiovascular mortality in CHF </w:t>
      </w:r>
      <w:r w:rsidRPr="00F90B6B">
        <w:rPr>
          <w:rFonts w:ascii="Times New Roman" w:hAnsi="Times New Roman"/>
          <w:sz w:val="28"/>
          <w:szCs w:val="28"/>
          <w:lang w:val="en-US" w:eastAsia="ru-RU"/>
        </w:rPr>
        <w:t xml:space="preserve">in cases </w:t>
      </w:r>
      <w:r w:rsidRPr="00F90B6B">
        <w:rPr>
          <w:rFonts w:ascii="Times New Roman" w:hAnsi="Times New Roman"/>
          <w:sz w:val="28"/>
          <w:szCs w:val="28"/>
          <w:lang w:eastAsia="ru-RU"/>
        </w:rPr>
        <w:t>with sodium level less than 135 mmol</w:t>
      </w:r>
      <w:r w:rsidRPr="00F90B6B">
        <w:rPr>
          <w:rFonts w:ascii="Times New Roman" w:hAnsi="Times New Roman"/>
          <w:sz w:val="28"/>
          <w:szCs w:val="28"/>
          <w:lang w:val="en-US" w:eastAsia="ru-RU"/>
        </w:rPr>
        <w:t>/l</w:t>
      </w:r>
      <w:r w:rsidRPr="00F90B6B">
        <w:rPr>
          <w:rFonts w:ascii="Times New Roman" w:hAnsi="Times New Roman"/>
          <w:sz w:val="28"/>
          <w:szCs w:val="28"/>
          <w:lang w:eastAsia="ru-RU"/>
        </w:rPr>
        <w:t xml:space="preserve"> increased from 19</w:t>
      </w:r>
      <w:r w:rsidRPr="00F90B6B">
        <w:rPr>
          <w:rFonts w:ascii="Times New Roman" w:hAnsi="Times New Roman"/>
          <w:sz w:val="28"/>
          <w:szCs w:val="28"/>
          <w:lang w:val="en-US" w:eastAsia="ru-RU"/>
        </w:rPr>
        <w:t>,</w:t>
      </w:r>
      <w:r w:rsidRPr="00F90B6B">
        <w:rPr>
          <w:rFonts w:ascii="Times New Roman" w:hAnsi="Times New Roman"/>
          <w:sz w:val="28"/>
          <w:szCs w:val="28"/>
          <w:lang w:eastAsia="ru-RU"/>
        </w:rPr>
        <w:t>0 to 45</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 and the value of "cut-off point" for predicting cardiovascular mortality </w:t>
      </w:r>
      <w:r w:rsidRPr="00F90B6B">
        <w:rPr>
          <w:rFonts w:ascii="Times New Roman" w:hAnsi="Times New Roman"/>
          <w:sz w:val="28"/>
          <w:szCs w:val="28"/>
          <w:lang w:val="en-US" w:eastAsia="ru-RU"/>
        </w:rPr>
        <w:t>and</w:t>
      </w:r>
      <w:r w:rsidRPr="00F90B6B">
        <w:rPr>
          <w:rFonts w:ascii="Times New Roman" w:hAnsi="Times New Roman"/>
          <w:sz w:val="28"/>
          <w:szCs w:val="28"/>
          <w:lang w:eastAsia="ru-RU"/>
        </w:rPr>
        <w:t xml:space="preserve"> decompensation of CHF was </w:t>
      </w:r>
      <w:r w:rsidRPr="00F90B6B">
        <w:rPr>
          <w:rFonts w:ascii="Times New Roman" w:hAnsi="Times New Roman"/>
          <w:sz w:val="28"/>
          <w:szCs w:val="28"/>
          <w:lang w:val="en-US" w:eastAsia="ru-RU"/>
        </w:rPr>
        <w:t>for</w:t>
      </w:r>
      <w:r w:rsidRPr="00F90B6B">
        <w:rPr>
          <w:rFonts w:ascii="Times New Roman" w:hAnsi="Times New Roman"/>
          <w:sz w:val="28"/>
          <w:szCs w:val="28"/>
          <w:lang w:eastAsia="ru-RU"/>
        </w:rPr>
        <w:t xml:space="preserve"> Na + </w:t>
      </w:r>
      <w:r w:rsidRPr="00F90B6B">
        <w:rPr>
          <w:rFonts w:ascii="Times New Roman" w:hAnsi="Times New Roman"/>
          <w:sz w:val="28"/>
          <w:szCs w:val="28"/>
          <w:lang w:val="en-US" w:eastAsia="ru-RU"/>
        </w:rPr>
        <w:t>level between</w:t>
      </w:r>
      <w:r w:rsidRPr="00F90B6B">
        <w:rPr>
          <w:rFonts w:ascii="Times New Roman" w:hAnsi="Times New Roman"/>
          <w:sz w:val="28"/>
          <w:szCs w:val="28"/>
          <w:lang w:eastAsia="ru-RU"/>
        </w:rPr>
        <w:t xml:space="preserve"> 115</w:t>
      </w:r>
      <w:r w:rsidRPr="00F90B6B">
        <w:rPr>
          <w:rFonts w:ascii="Times New Roman" w:hAnsi="Times New Roman"/>
          <w:sz w:val="28"/>
          <w:szCs w:val="28"/>
          <w:lang w:val="en-US" w:eastAsia="ru-RU"/>
        </w:rPr>
        <w:t>,</w:t>
      </w:r>
      <w:r w:rsidRPr="00F90B6B">
        <w:rPr>
          <w:rFonts w:ascii="Times New Roman" w:hAnsi="Times New Roman"/>
          <w:sz w:val="28"/>
          <w:szCs w:val="28"/>
          <w:lang w:eastAsia="ru-RU"/>
        </w:rPr>
        <w:t>0- 125</w:t>
      </w:r>
      <w:r w:rsidRPr="00F90B6B">
        <w:rPr>
          <w:rFonts w:ascii="Times New Roman" w:hAnsi="Times New Roman"/>
          <w:sz w:val="28"/>
          <w:szCs w:val="28"/>
          <w:lang w:val="en-US" w:eastAsia="ru-RU"/>
        </w:rPr>
        <w:t>,</w:t>
      </w:r>
      <w:r w:rsidRPr="00F90B6B">
        <w:rPr>
          <w:rFonts w:ascii="Times New Roman" w:hAnsi="Times New Roman"/>
          <w:sz w:val="28"/>
          <w:szCs w:val="28"/>
          <w:lang w:eastAsia="ru-RU"/>
        </w:rPr>
        <w:t>0 mmol</w:t>
      </w:r>
      <w:r w:rsidRPr="00F90B6B">
        <w:rPr>
          <w:rFonts w:ascii="Times New Roman" w:hAnsi="Times New Roman"/>
          <w:sz w:val="28"/>
          <w:szCs w:val="28"/>
          <w:lang w:val="en-US" w:eastAsia="ru-RU"/>
        </w:rPr>
        <w:t>/l</w:t>
      </w:r>
      <w:r w:rsidRPr="00F90B6B">
        <w:rPr>
          <w:rFonts w:ascii="Times New Roman" w:hAnsi="Times New Roman"/>
          <w:sz w:val="28"/>
          <w:szCs w:val="28"/>
          <w:lang w:eastAsia="ru-RU"/>
        </w:rPr>
        <w:t xml:space="preserve">. The lower </w:t>
      </w:r>
      <w:r w:rsidRPr="00F90B6B">
        <w:rPr>
          <w:rFonts w:ascii="Times New Roman" w:hAnsi="Times New Roman"/>
          <w:sz w:val="28"/>
          <w:szCs w:val="28"/>
          <w:lang w:val="en-US" w:eastAsia="ru-RU"/>
        </w:rPr>
        <w:t xml:space="preserve">level </w:t>
      </w:r>
      <w:r w:rsidRPr="00F90B6B">
        <w:rPr>
          <w:rFonts w:ascii="Times New Roman" w:hAnsi="Times New Roman"/>
          <w:sz w:val="28"/>
          <w:szCs w:val="28"/>
          <w:lang w:eastAsia="ru-RU"/>
        </w:rPr>
        <w:t>of total cholesterol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 LDL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w:t>
      </w:r>
      <w:r w:rsidRPr="00F90B6B">
        <w:rPr>
          <w:rFonts w:ascii="Times New Roman" w:hAnsi="Times New Roman"/>
          <w:sz w:val="28"/>
          <w:szCs w:val="28"/>
          <w:lang w:val="en-US" w:eastAsia="ru-RU"/>
        </w:rPr>
        <w:t xml:space="preserve">, higher level of HDL </w:t>
      </w:r>
      <w:r w:rsidRPr="00F90B6B">
        <w:rPr>
          <w:rFonts w:ascii="Times New Roman" w:hAnsi="Times New Roman"/>
          <w:sz w:val="28"/>
          <w:szCs w:val="28"/>
          <w:lang w:eastAsia="ru-RU"/>
        </w:rPr>
        <w:t>(p&lt;0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w:t>
      </w:r>
      <w:r w:rsidRPr="00F90B6B">
        <w:rPr>
          <w:rFonts w:ascii="Times New Roman" w:hAnsi="Times New Roman"/>
          <w:sz w:val="28"/>
          <w:szCs w:val="28"/>
          <w:lang w:val="en-US" w:eastAsia="ru-RU"/>
        </w:rPr>
        <w:t xml:space="preserve"> in patients with CHF and hyponatriemia associated with higher </w:t>
      </w:r>
      <w:r w:rsidRPr="00F90B6B">
        <w:rPr>
          <w:rFonts w:ascii="Times New Roman" w:hAnsi="Times New Roman"/>
          <w:sz w:val="28"/>
          <w:szCs w:val="28"/>
          <w:lang w:eastAsia="ru-RU"/>
        </w:rPr>
        <w:t>cardiovascular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 In patients with severe decompensation of CHF</w:t>
      </w:r>
      <w:r w:rsidRPr="00F90B6B">
        <w:rPr>
          <w:rFonts w:ascii="Times New Roman" w:hAnsi="Times New Roman"/>
          <w:sz w:val="28"/>
          <w:szCs w:val="28"/>
          <w:lang w:val="en-US" w:eastAsia="ru-RU"/>
        </w:rPr>
        <w:t xml:space="preserve"> was estimated</w:t>
      </w:r>
      <w:r w:rsidRPr="00F90B6B">
        <w:rPr>
          <w:rFonts w:ascii="Times New Roman" w:hAnsi="Times New Roman"/>
          <w:sz w:val="28"/>
          <w:szCs w:val="28"/>
          <w:lang w:eastAsia="ru-RU"/>
        </w:rPr>
        <w:t xml:space="preserve"> </w:t>
      </w:r>
      <w:r w:rsidRPr="00F90B6B">
        <w:rPr>
          <w:rFonts w:ascii="Times New Roman" w:hAnsi="Times New Roman"/>
          <w:sz w:val="28"/>
          <w:szCs w:val="28"/>
          <w:lang w:eastAsia="ru-RU"/>
        </w:rPr>
        <w:lastRenderedPageBreak/>
        <w:t>lower hemoglobin level (p&lt;0,05), lower hematocrit (p&lt;0,05), higher erythrocyt</w:t>
      </w:r>
      <w:r w:rsidRPr="00F90B6B">
        <w:rPr>
          <w:rFonts w:ascii="Times New Roman" w:hAnsi="Times New Roman"/>
          <w:sz w:val="28"/>
          <w:szCs w:val="28"/>
          <w:lang w:val="en-US" w:eastAsia="ru-RU"/>
        </w:rPr>
        <w:t>e sedimentation ratio</w:t>
      </w:r>
      <w:r w:rsidRPr="00F90B6B">
        <w:rPr>
          <w:rFonts w:ascii="Times New Roman" w:hAnsi="Times New Roman"/>
          <w:sz w:val="28"/>
          <w:szCs w:val="28"/>
          <w:lang w:eastAsia="ru-RU"/>
        </w:rPr>
        <w:t xml:space="preserve"> (p&lt;0,05)</w:t>
      </w:r>
      <w:r w:rsidRPr="00F90B6B">
        <w:rPr>
          <w:rFonts w:ascii="Times New Roman" w:hAnsi="Times New Roman"/>
          <w:sz w:val="28"/>
          <w:szCs w:val="28"/>
          <w:lang w:val="en-US" w:eastAsia="ru-RU"/>
        </w:rPr>
        <w:t xml:space="preserve"> and</w:t>
      </w:r>
      <w:r w:rsidRPr="00F90B6B">
        <w:rPr>
          <w:rFonts w:ascii="Times New Roman" w:hAnsi="Times New Roman"/>
          <w:sz w:val="28"/>
          <w:szCs w:val="28"/>
          <w:lang w:eastAsia="ru-RU"/>
        </w:rPr>
        <w:t xml:space="preserve"> leukocyte level (p&lt;0,05). The absolute risk decompensation of CHF</w:t>
      </w:r>
      <w:r w:rsidRPr="00F90B6B">
        <w:rPr>
          <w:rFonts w:ascii="Times New Roman" w:hAnsi="Times New Roman"/>
          <w:sz w:val="28"/>
          <w:szCs w:val="28"/>
          <w:lang w:val="en-US" w:eastAsia="ru-RU"/>
        </w:rPr>
        <w:t xml:space="preserve"> with</w:t>
      </w:r>
      <w:r w:rsidRPr="00F90B6B">
        <w:rPr>
          <w:rFonts w:ascii="Times New Roman" w:hAnsi="Times New Roman"/>
          <w:sz w:val="28"/>
          <w:szCs w:val="28"/>
          <w:lang w:eastAsia="ru-RU"/>
        </w:rPr>
        <w:t xml:space="preserve"> hemoglobin </w:t>
      </w:r>
      <w:r w:rsidRPr="00F90B6B">
        <w:rPr>
          <w:rFonts w:ascii="Times New Roman" w:hAnsi="Times New Roman"/>
          <w:sz w:val="28"/>
          <w:szCs w:val="28"/>
          <w:lang w:val="en-US" w:eastAsia="ru-RU"/>
        </w:rPr>
        <w:t>less</w:t>
      </w:r>
      <w:r w:rsidRPr="00F90B6B">
        <w:rPr>
          <w:rFonts w:ascii="Times New Roman" w:hAnsi="Times New Roman"/>
          <w:sz w:val="28"/>
          <w:szCs w:val="28"/>
          <w:lang w:eastAsia="ru-RU"/>
        </w:rPr>
        <w:t xml:space="preserve"> 120 g</w:t>
      </w:r>
      <w:r w:rsidRPr="00F90B6B">
        <w:rPr>
          <w:rFonts w:ascii="Times New Roman" w:hAnsi="Times New Roman"/>
          <w:sz w:val="28"/>
          <w:szCs w:val="28"/>
          <w:lang w:val="en-US" w:eastAsia="ru-RU"/>
        </w:rPr>
        <w:t>/</w:t>
      </w:r>
      <w:r w:rsidRPr="00F90B6B">
        <w:rPr>
          <w:rFonts w:ascii="Times New Roman" w:hAnsi="Times New Roman"/>
          <w:sz w:val="28"/>
          <w:szCs w:val="28"/>
          <w:lang w:eastAsia="ru-RU"/>
        </w:rPr>
        <w:t>l was 48</w:t>
      </w:r>
      <w:r w:rsidRPr="00F90B6B">
        <w:rPr>
          <w:rFonts w:ascii="Times New Roman" w:hAnsi="Times New Roman"/>
          <w:sz w:val="28"/>
          <w:szCs w:val="28"/>
          <w:lang w:val="en-US" w:eastAsia="ru-RU"/>
        </w:rPr>
        <w:t>,</w:t>
      </w:r>
      <w:r w:rsidRPr="00F90B6B">
        <w:rPr>
          <w:rFonts w:ascii="Times New Roman" w:hAnsi="Times New Roman"/>
          <w:sz w:val="28"/>
          <w:szCs w:val="28"/>
          <w:lang w:eastAsia="ru-RU"/>
        </w:rPr>
        <w:t>0% versus 16</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 </w:t>
      </w:r>
      <w:r w:rsidRPr="00F90B6B">
        <w:rPr>
          <w:rFonts w:ascii="Times New Roman" w:hAnsi="Times New Roman"/>
          <w:sz w:val="28"/>
          <w:szCs w:val="28"/>
          <w:lang w:val="en-US" w:eastAsia="ru-RU"/>
        </w:rPr>
        <w:t>in</w:t>
      </w:r>
      <w:r w:rsidRPr="00F90B6B">
        <w:rPr>
          <w:rFonts w:ascii="Times New Roman" w:hAnsi="Times New Roman"/>
          <w:sz w:val="28"/>
          <w:szCs w:val="28"/>
          <w:lang w:eastAsia="ru-RU"/>
        </w:rPr>
        <w:t xml:space="preserve"> patients with normal hemoglobin level.</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In retrospective </w:t>
      </w:r>
      <w:r w:rsidRPr="00F90B6B">
        <w:rPr>
          <w:rFonts w:ascii="Times New Roman" w:hAnsi="Times New Roman"/>
          <w:sz w:val="28"/>
          <w:szCs w:val="28"/>
          <w:lang w:val="en-US" w:eastAsia="ru-RU"/>
        </w:rPr>
        <w:t>observation</w:t>
      </w:r>
      <w:r w:rsidRPr="00F90B6B">
        <w:rPr>
          <w:rFonts w:ascii="Times New Roman" w:hAnsi="Times New Roman"/>
          <w:sz w:val="28"/>
          <w:szCs w:val="28"/>
          <w:lang w:eastAsia="ru-RU"/>
        </w:rPr>
        <w:t>, the risk of cardiovascular mortality associat</w:t>
      </w:r>
      <w:r w:rsidRPr="00F90B6B">
        <w:rPr>
          <w:rFonts w:ascii="Times New Roman" w:hAnsi="Times New Roman"/>
          <w:sz w:val="28"/>
          <w:szCs w:val="28"/>
          <w:lang w:val="en-US" w:eastAsia="ru-RU"/>
        </w:rPr>
        <w:t>ed</w:t>
      </w:r>
      <w:r w:rsidRPr="00F90B6B">
        <w:rPr>
          <w:rFonts w:ascii="Times New Roman" w:hAnsi="Times New Roman"/>
          <w:sz w:val="28"/>
          <w:szCs w:val="28"/>
          <w:lang w:eastAsia="ru-RU"/>
        </w:rPr>
        <w:t xml:space="preserve"> with decrease</w:t>
      </w:r>
      <w:r w:rsidRPr="00F90B6B">
        <w:rPr>
          <w:rFonts w:ascii="Times New Roman" w:hAnsi="Times New Roman"/>
          <w:sz w:val="28"/>
          <w:szCs w:val="28"/>
          <w:lang w:val="en-US" w:eastAsia="ru-RU"/>
        </w:rPr>
        <w:t>d</w:t>
      </w:r>
      <w:r w:rsidRPr="00F90B6B">
        <w:rPr>
          <w:rFonts w:ascii="Times New Roman" w:hAnsi="Times New Roman"/>
          <w:sz w:val="28"/>
          <w:szCs w:val="28"/>
          <w:lang w:eastAsia="ru-RU"/>
        </w:rPr>
        <w:t xml:space="preserve"> GFR was 54</w:t>
      </w:r>
      <w:r w:rsidRPr="00F90B6B">
        <w:rPr>
          <w:rFonts w:ascii="Times New Roman" w:hAnsi="Times New Roman"/>
          <w:sz w:val="28"/>
          <w:szCs w:val="28"/>
          <w:lang w:val="en-US" w:eastAsia="ru-RU"/>
        </w:rPr>
        <w:t>,</w:t>
      </w:r>
      <w:r w:rsidRPr="00F90B6B">
        <w:rPr>
          <w:rFonts w:ascii="Times New Roman" w:hAnsi="Times New Roman"/>
          <w:sz w:val="28"/>
          <w:szCs w:val="28"/>
          <w:lang w:eastAsia="ru-RU"/>
        </w:rPr>
        <w:t>0%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 the probable difference in GFR was obtained with</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 xml:space="preserve">age of patients </w:t>
      </w:r>
      <w:r w:rsidRPr="00F90B6B">
        <w:rPr>
          <w:rFonts w:ascii="Times New Roman" w:hAnsi="Times New Roman"/>
          <w:sz w:val="28"/>
          <w:szCs w:val="28"/>
          <w:lang w:val="en-US" w:eastAsia="ru-RU"/>
        </w:rPr>
        <w:t xml:space="preserve">more 65 years </w:t>
      </w:r>
      <w:r w:rsidRPr="00F90B6B">
        <w:rPr>
          <w:rFonts w:ascii="Times New Roman" w:hAnsi="Times New Roman"/>
          <w:sz w:val="28"/>
          <w:szCs w:val="28"/>
          <w:lang w:eastAsia="ru-RU"/>
        </w:rPr>
        <w:t>(p&lt;0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05) and </w:t>
      </w:r>
      <w:r w:rsidRPr="00F90B6B">
        <w:rPr>
          <w:rFonts w:ascii="Times New Roman" w:hAnsi="Times New Roman"/>
          <w:sz w:val="28"/>
          <w:szCs w:val="28"/>
          <w:lang w:val="en-US" w:eastAsia="ru-RU"/>
        </w:rPr>
        <w:t>BMI&gt;30 kg/m</w:t>
      </w:r>
      <w:r w:rsidRPr="00F90B6B">
        <w:rPr>
          <w:rFonts w:ascii="Times New Roman" w:hAnsi="Times New Roman"/>
          <w:sz w:val="28"/>
          <w:szCs w:val="28"/>
          <w:vertAlign w:val="superscript"/>
          <w:lang w:val="en-US" w:eastAsia="ru-RU"/>
        </w:rPr>
        <w:t>2</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05). In addition, </w:t>
      </w:r>
      <w:r w:rsidRPr="00F90B6B">
        <w:rPr>
          <w:rFonts w:ascii="Times New Roman" w:hAnsi="Times New Roman"/>
          <w:sz w:val="28"/>
          <w:szCs w:val="28"/>
          <w:lang w:val="en-US" w:eastAsia="ru-RU"/>
        </w:rPr>
        <w:t>it</w:t>
      </w:r>
      <w:r w:rsidRPr="00F90B6B">
        <w:rPr>
          <w:rFonts w:ascii="Times New Roman" w:hAnsi="Times New Roman"/>
          <w:sz w:val="28"/>
          <w:szCs w:val="28"/>
          <w:lang w:eastAsia="ru-RU"/>
        </w:rPr>
        <w:t xml:space="preserve"> was established the association of hyponatremia and </w:t>
      </w:r>
      <w:r w:rsidRPr="00F90B6B">
        <w:rPr>
          <w:rFonts w:ascii="Times New Roman" w:hAnsi="Times New Roman"/>
          <w:sz w:val="28"/>
          <w:szCs w:val="28"/>
          <w:lang w:val="en-US" w:eastAsia="ru-RU"/>
        </w:rPr>
        <w:t>with low</w:t>
      </w:r>
      <w:r w:rsidRPr="00F90B6B">
        <w:rPr>
          <w:rFonts w:ascii="Times New Roman" w:hAnsi="Times New Roman"/>
          <w:sz w:val="28"/>
          <w:szCs w:val="28"/>
          <w:lang w:eastAsia="ru-RU"/>
        </w:rPr>
        <w:t xml:space="preserve"> GFR </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 36</w:t>
      </w:r>
      <w:r w:rsidRPr="00F90B6B">
        <w:rPr>
          <w:rFonts w:ascii="Times New Roman" w:hAnsi="Times New Roman"/>
          <w:sz w:val="28"/>
          <w:szCs w:val="28"/>
          <w:lang w:val="en-US" w:eastAsia="ru-RU"/>
        </w:rPr>
        <w:t>,</w:t>
      </w:r>
      <w:r w:rsidRPr="00F90B6B">
        <w:rPr>
          <w:rFonts w:ascii="Times New Roman" w:hAnsi="Times New Roman"/>
          <w:sz w:val="28"/>
          <w:szCs w:val="28"/>
          <w:lang w:eastAsia="ru-RU"/>
        </w:rPr>
        <w:t>0% versus 24</w:t>
      </w:r>
      <w:r w:rsidRPr="00F90B6B">
        <w:rPr>
          <w:rFonts w:ascii="Times New Roman" w:hAnsi="Times New Roman"/>
          <w:sz w:val="28"/>
          <w:szCs w:val="28"/>
          <w:lang w:val="en-US" w:eastAsia="ru-RU"/>
        </w:rPr>
        <w:t>,</w:t>
      </w:r>
      <w:r w:rsidRPr="00F90B6B">
        <w:rPr>
          <w:rFonts w:ascii="Times New Roman" w:hAnsi="Times New Roman"/>
          <w:sz w:val="28"/>
          <w:szCs w:val="28"/>
          <w:lang w:eastAsia="ru-RU"/>
        </w:rPr>
        <w:t>0% with normal GFR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val="en-US" w:eastAsia="ru-RU"/>
        </w:rPr>
        <w:t>In</w:t>
      </w:r>
      <w:r w:rsidRPr="00F90B6B">
        <w:rPr>
          <w:rFonts w:ascii="Times New Roman" w:hAnsi="Times New Roman"/>
          <w:sz w:val="28"/>
          <w:szCs w:val="28"/>
          <w:lang w:eastAsia="ru-RU"/>
        </w:rPr>
        <w:t xml:space="preserve"> the cluster K-analysis, a probable decrease in the of glomerular </w:t>
      </w:r>
      <w:r w:rsidRPr="00F90B6B">
        <w:rPr>
          <w:rFonts w:ascii="Times New Roman" w:hAnsi="Times New Roman"/>
          <w:sz w:val="28"/>
          <w:szCs w:val="28"/>
          <w:lang w:val="en-US" w:eastAsia="ru-RU"/>
        </w:rPr>
        <w:t xml:space="preserve">rate </w:t>
      </w:r>
      <w:r w:rsidRPr="00F90B6B">
        <w:rPr>
          <w:rFonts w:ascii="Times New Roman" w:hAnsi="Times New Roman"/>
          <w:sz w:val="28"/>
          <w:szCs w:val="28"/>
          <w:lang w:eastAsia="ru-RU"/>
        </w:rPr>
        <w:t>filtration is confirmed in the cluster of "high" NTproBNP synthesis, which is confirmed by absolute values (p &lt;0,05) and regression analysis (p &lt;0,05) and represented by the following model: NTproBNP  = 399.35-GFR * 0.151.  The established relationship between NTproBNP and hemodynamic indices for patients with CHF in concomitant obesity is presented as a linear regression equation: NTproBNP = 599,07-PAT * 0,308.  Three-dimensional regression model was presented for the study of the three-dimensional dependence between the level of sodium, aldosterone and NTproBNP: Na = 129,75-NTproBNP * 0,029267 + aldosterone * 0,770815.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Thus, the novelty of the research </w:t>
      </w:r>
      <w:r w:rsidRPr="00F90B6B">
        <w:rPr>
          <w:rFonts w:ascii="Times New Roman" w:hAnsi="Times New Roman"/>
          <w:sz w:val="28"/>
          <w:szCs w:val="28"/>
          <w:lang w:val="en-US"/>
        </w:rPr>
        <w:t xml:space="preserve">based on the results of long-term prospective and retrospective studies and </w:t>
      </w:r>
      <w:r w:rsidRPr="00F90B6B">
        <w:rPr>
          <w:rFonts w:ascii="Times New Roman" w:hAnsi="Times New Roman"/>
          <w:sz w:val="28"/>
          <w:szCs w:val="28"/>
        </w:rPr>
        <w:t>devoted to the clinical and prognostic value of hyponatremia in patients with chronic heart failure and obesity</w:t>
      </w:r>
      <w:r w:rsidRPr="00F90B6B">
        <w:rPr>
          <w:rFonts w:ascii="Times New Roman" w:hAnsi="Times New Roman"/>
          <w:sz w:val="28"/>
          <w:szCs w:val="28"/>
          <w:lang w:val="en-US"/>
        </w:rPr>
        <w:t xml:space="preserve">. It was verified </w:t>
      </w:r>
      <w:r w:rsidRPr="00F90B6B">
        <w:rPr>
          <w:rFonts w:ascii="Times New Roman" w:hAnsi="Times New Roman"/>
          <w:sz w:val="28"/>
          <w:szCs w:val="28"/>
        </w:rPr>
        <w:t>the frequency of hyponatremia in patients with CHF. It has been established that hyponatr</w:t>
      </w:r>
      <w:r w:rsidRPr="00F90B6B">
        <w:rPr>
          <w:rFonts w:ascii="Times New Roman" w:hAnsi="Times New Roman"/>
          <w:sz w:val="28"/>
          <w:szCs w:val="28"/>
          <w:lang w:val="en-US"/>
        </w:rPr>
        <w:t>i</w:t>
      </w:r>
      <w:r w:rsidRPr="00F90B6B">
        <w:rPr>
          <w:rFonts w:ascii="Times New Roman" w:hAnsi="Times New Roman"/>
          <w:sz w:val="28"/>
          <w:szCs w:val="28"/>
        </w:rPr>
        <w:t>emia is more often associated with females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val="en-US"/>
        </w:rPr>
        <w:t>age more</w:t>
      </w:r>
      <w:r w:rsidRPr="00F90B6B">
        <w:rPr>
          <w:rFonts w:ascii="Times New Roman" w:hAnsi="Times New Roman"/>
          <w:sz w:val="28"/>
          <w:szCs w:val="28"/>
        </w:rPr>
        <w:t xml:space="preserve"> 65 years old (p&lt;0</w:t>
      </w:r>
      <w:r w:rsidRPr="00F90B6B">
        <w:rPr>
          <w:rFonts w:ascii="Times New Roman" w:hAnsi="Times New Roman"/>
          <w:sz w:val="28"/>
          <w:szCs w:val="28"/>
          <w:lang w:val="en-US"/>
        </w:rPr>
        <w:t>,</w:t>
      </w:r>
      <w:r w:rsidRPr="00F90B6B">
        <w:rPr>
          <w:rFonts w:ascii="Times New Roman" w:hAnsi="Times New Roman"/>
          <w:sz w:val="28"/>
          <w:szCs w:val="28"/>
        </w:rPr>
        <w:t>05), BMI greater than 30 kg</w:t>
      </w:r>
      <w:r w:rsidRPr="00F90B6B">
        <w:rPr>
          <w:rFonts w:ascii="Times New Roman" w:hAnsi="Times New Roman"/>
          <w:sz w:val="28"/>
          <w:szCs w:val="28"/>
          <w:lang w:val="en-US"/>
        </w:rPr>
        <w:t>/</w:t>
      </w:r>
      <w:r w:rsidRPr="00F90B6B">
        <w:rPr>
          <w:rFonts w:ascii="Times New Roman" w:hAnsi="Times New Roman"/>
          <w:sz w:val="28"/>
          <w:szCs w:val="28"/>
        </w:rPr>
        <w:t>m</w:t>
      </w:r>
      <w:r w:rsidRPr="00F90B6B">
        <w:rPr>
          <w:rFonts w:ascii="Times New Roman" w:hAnsi="Times New Roman"/>
          <w:sz w:val="28"/>
          <w:szCs w:val="28"/>
          <w:vertAlign w:val="superscript"/>
        </w:rPr>
        <w:t>2</w:t>
      </w:r>
      <w:r w:rsidRPr="00F90B6B">
        <w:rPr>
          <w:rFonts w:ascii="Times New Roman" w:hAnsi="Times New Roman"/>
          <w:sz w:val="28"/>
          <w:szCs w:val="28"/>
        </w:rPr>
        <w:t xml:space="preserve">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val="en-US"/>
        </w:rPr>
        <w:t xml:space="preserve">factors, </w:t>
      </w:r>
      <w:r w:rsidRPr="00F90B6B">
        <w:rPr>
          <w:rFonts w:ascii="Times New Roman" w:hAnsi="Times New Roman"/>
          <w:sz w:val="28"/>
          <w:szCs w:val="28"/>
        </w:rPr>
        <w:t>associated with hyponatremia</w:t>
      </w:r>
      <w:r w:rsidRPr="00F90B6B">
        <w:rPr>
          <w:rFonts w:ascii="Times New Roman" w:hAnsi="Times New Roman"/>
          <w:sz w:val="28"/>
          <w:szCs w:val="28"/>
          <w:lang w:val="en-US"/>
        </w:rPr>
        <w:t>. were</w:t>
      </w:r>
      <w:r w:rsidRPr="00F90B6B">
        <w:rPr>
          <w:rFonts w:ascii="Times New Roman" w:hAnsi="Times New Roman"/>
          <w:sz w:val="28"/>
          <w:szCs w:val="28"/>
        </w:rPr>
        <w:t xml:space="preserve"> atrial fibrillation (18</w:t>
      </w:r>
      <w:r w:rsidRPr="00F90B6B">
        <w:rPr>
          <w:rFonts w:ascii="Times New Roman" w:hAnsi="Times New Roman"/>
          <w:sz w:val="28"/>
          <w:szCs w:val="28"/>
          <w:lang w:val="en-US"/>
        </w:rPr>
        <w:t>,</w:t>
      </w:r>
      <w:r w:rsidRPr="00F90B6B">
        <w:rPr>
          <w:rFonts w:ascii="Times New Roman" w:hAnsi="Times New Roman"/>
          <w:sz w:val="28"/>
          <w:szCs w:val="28"/>
        </w:rPr>
        <w:t>4%), diabetes mellitus (24</w:t>
      </w:r>
      <w:r w:rsidRPr="00F90B6B">
        <w:rPr>
          <w:rFonts w:ascii="Times New Roman" w:hAnsi="Times New Roman"/>
          <w:sz w:val="28"/>
          <w:szCs w:val="28"/>
          <w:lang w:val="en-US"/>
        </w:rPr>
        <w:t>,</w:t>
      </w:r>
      <w:r w:rsidRPr="00F90B6B">
        <w:rPr>
          <w:rFonts w:ascii="Times New Roman" w:hAnsi="Times New Roman"/>
          <w:sz w:val="28"/>
          <w:szCs w:val="28"/>
        </w:rPr>
        <w:t>5%), ulcer and chronic gastritis (53</w:t>
      </w:r>
      <w:r w:rsidRPr="00F90B6B">
        <w:rPr>
          <w:rFonts w:ascii="Times New Roman" w:hAnsi="Times New Roman"/>
          <w:sz w:val="28"/>
          <w:szCs w:val="28"/>
          <w:lang w:val="en-US"/>
        </w:rPr>
        <w:t>,</w:t>
      </w:r>
      <w:r w:rsidRPr="00F90B6B">
        <w:rPr>
          <w:rFonts w:ascii="Times New Roman" w:hAnsi="Times New Roman"/>
          <w:sz w:val="28"/>
          <w:szCs w:val="28"/>
        </w:rPr>
        <w:t xml:space="preserve">0%), </w:t>
      </w:r>
      <w:r w:rsidRPr="00F90B6B">
        <w:rPr>
          <w:rFonts w:ascii="Times New Roman" w:hAnsi="Times New Roman"/>
          <w:sz w:val="28"/>
          <w:szCs w:val="28"/>
          <w:lang w:val="en-US"/>
        </w:rPr>
        <w:t xml:space="preserve">unfavorable </w:t>
      </w:r>
      <w:r w:rsidRPr="00F90B6B">
        <w:rPr>
          <w:rFonts w:ascii="Times New Roman" w:hAnsi="Times New Roman"/>
          <w:sz w:val="28"/>
          <w:szCs w:val="28"/>
        </w:rPr>
        <w:t>events - acute coronary (p&lt;0</w:t>
      </w:r>
      <w:r w:rsidRPr="00F90B6B">
        <w:rPr>
          <w:rFonts w:ascii="Times New Roman" w:hAnsi="Times New Roman"/>
          <w:sz w:val="28"/>
          <w:szCs w:val="28"/>
          <w:lang w:val="en-US"/>
        </w:rPr>
        <w:t>,</w:t>
      </w:r>
      <w:r w:rsidRPr="00F90B6B">
        <w:rPr>
          <w:rFonts w:ascii="Times New Roman" w:hAnsi="Times New Roman"/>
          <w:sz w:val="28"/>
          <w:szCs w:val="28"/>
        </w:rPr>
        <w:t>05) and cardiorenal syndrome (p&lt;0</w:t>
      </w:r>
      <w:r w:rsidRPr="00F90B6B">
        <w:rPr>
          <w:rFonts w:ascii="Times New Roman" w:hAnsi="Times New Roman"/>
          <w:sz w:val="28"/>
          <w:szCs w:val="28"/>
          <w:lang w:val="en-US"/>
        </w:rPr>
        <w:t>,</w:t>
      </w:r>
      <w:r w:rsidRPr="00F90B6B">
        <w:rPr>
          <w:rFonts w:ascii="Times New Roman" w:hAnsi="Times New Roman"/>
          <w:sz w:val="28"/>
          <w:szCs w:val="28"/>
        </w:rPr>
        <w:t>05).</w:t>
      </w:r>
    </w:p>
    <w:p w:rsidR="00EF4063" w:rsidRPr="00F90B6B" w:rsidRDefault="00EF4063" w:rsidP="00F0048B">
      <w:pPr>
        <w:spacing w:after="0" w:line="360" w:lineRule="auto"/>
        <w:ind w:firstLine="709"/>
        <w:jc w:val="both"/>
        <w:rPr>
          <w:rFonts w:ascii="Times New Roman" w:hAnsi="Times New Roman"/>
          <w:sz w:val="28"/>
          <w:szCs w:val="28"/>
          <w:lang w:val="en-US"/>
        </w:rPr>
      </w:pPr>
      <w:r w:rsidRPr="00F90B6B">
        <w:rPr>
          <w:rFonts w:ascii="Times New Roman" w:hAnsi="Times New Roman"/>
          <w:sz w:val="28"/>
          <w:szCs w:val="28"/>
          <w:lang w:val="en-US"/>
        </w:rPr>
        <w:t xml:space="preserve">It was set, that in </w:t>
      </w:r>
      <w:r w:rsidRPr="00F90B6B">
        <w:rPr>
          <w:rFonts w:ascii="Times New Roman" w:hAnsi="Times New Roman"/>
          <w:sz w:val="28"/>
          <w:szCs w:val="28"/>
        </w:rPr>
        <w:t>patients with hyponatremia and HFp</w:t>
      </w:r>
      <w:r w:rsidRPr="00F90B6B">
        <w:rPr>
          <w:rFonts w:ascii="Times New Roman" w:hAnsi="Times New Roman"/>
          <w:sz w:val="28"/>
          <w:szCs w:val="28"/>
          <w:lang w:val="en-US"/>
        </w:rPr>
        <w:t>EF</w:t>
      </w:r>
      <w:r w:rsidRPr="00F90B6B">
        <w:rPr>
          <w:rFonts w:ascii="Times New Roman" w:hAnsi="Times New Roman"/>
          <w:sz w:val="28"/>
          <w:szCs w:val="28"/>
        </w:rPr>
        <w:t xml:space="preserve"> there </w:t>
      </w:r>
      <w:r w:rsidRPr="00F90B6B">
        <w:rPr>
          <w:rFonts w:ascii="Times New Roman" w:hAnsi="Times New Roman"/>
          <w:sz w:val="28"/>
          <w:szCs w:val="28"/>
          <w:lang w:val="en-US"/>
        </w:rPr>
        <w:t xml:space="preserve">exist </w:t>
      </w:r>
      <w:r w:rsidRPr="00F90B6B">
        <w:rPr>
          <w:rFonts w:ascii="Times New Roman" w:hAnsi="Times New Roman"/>
          <w:sz w:val="28"/>
          <w:szCs w:val="28"/>
        </w:rPr>
        <w:t>linear</w:t>
      </w:r>
      <w:r w:rsidRPr="00F90B6B">
        <w:rPr>
          <w:rFonts w:ascii="Times New Roman" w:hAnsi="Times New Roman"/>
          <w:sz w:val="28"/>
          <w:szCs w:val="28"/>
          <w:lang w:val="en-US"/>
        </w:rPr>
        <w:t xml:space="preserve"> correlation</w:t>
      </w:r>
      <w:r w:rsidRPr="00F90B6B">
        <w:rPr>
          <w:rFonts w:ascii="Times New Roman" w:hAnsi="Times New Roman"/>
          <w:sz w:val="28"/>
          <w:szCs w:val="28"/>
        </w:rPr>
        <w:t xml:space="preserve"> between </w:t>
      </w:r>
      <w:r w:rsidRPr="00F90B6B">
        <w:rPr>
          <w:rFonts w:ascii="Times New Roman" w:hAnsi="Times New Roman"/>
          <w:sz w:val="28"/>
          <w:szCs w:val="28"/>
          <w:lang w:val="en-US"/>
        </w:rPr>
        <w:t>a</w:t>
      </w:r>
      <w:r w:rsidRPr="00F90B6B">
        <w:rPr>
          <w:rFonts w:ascii="Times New Roman" w:hAnsi="Times New Roman"/>
          <w:sz w:val="28"/>
          <w:szCs w:val="28"/>
        </w:rPr>
        <w:t>ldosterone level and the patient's age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val="en-US"/>
        </w:rPr>
        <w:t>the</w:t>
      </w:r>
      <w:r w:rsidRPr="00F90B6B">
        <w:rPr>
          <w:rFonts w:ascii="Times New Roman" w:hAnsi="Times New Roman"/>
          <w:sz w:val="28"/>
          <w:szCs w:val="28"/>
        </w:rPr>
        <w:t xml:space="preserve"> negative relation</w:t>
      </w:r>
      <w:r w:rsidRPr="00F90B6B">
        <w:rPr>
          <w:rFonts w:ascii="Times New Roman" w:hAnsi="Times New Roman"/>
          <w:sz w:val="28"/>
          <w:szCs w:val="28"/>
          <w:lang w:val="en-US"/>
        </w:rPr>
        <w:t>s</w:t>
      </w:r>
      <w:r w:rsidRPr="00F90B6B">
        <w:rPr>
          <w:rFonts w:ascii="Times New Roman" w:hAnsi="Times New Roman"/>
          <w:sz w:val="28"/>
          <w:szCs w:val="28"/>
        </w:rPr>
        <w:t xml:space="preserve"> between </w:t>
      </w:r>
      <w:r w:rsidRPr="00F90B6B">
        <w:rPr>
          <w:rFonts w:ascii="Times New Roman" w:hAnsi="Times New Roman"/>
          <w:sz w:val="28"/>
          <w:szCs w:val="28"/>
          <w:lang w:val="en-US"/>
        </w:rPr>
        <w:t>level</w:t>
      </w:r>
      <w:r w:rsidRPr="00F90B6B">
        <w:rPr>
          <w:rFonts w:ascii="Times New Roman" w:hAnsi="Times New Roman"/>
          <w:sz w:val="28"/>
          <w:szCs w:val="28"/>
        </w:rPr>
        <w:t xml:space="preserve"> of aldosterone and BMI (p&lt;0</w:t>
      </w:r>
      <w:r w:rsidRPr="00F90B6B">
        <w:rPr>
          <w:rFonts w:ascii="Times New Roman" w:hAnsi="Times New Roman"/>
          <w:sz w:val="28"/>
          <w:szCs w:val="28"/>
          <w:lang w:val="en-US"/>
        </w:rPr>
        <w:t>,</w:t>
      </w:r>
      <w:r w:rsidRPr="00F90B6B">
        <w:rPr>
          <w:rFonts w:ascii="Times New Roman" w:hAnsi="Times New Roman"/>
          <w:sz w:val="28"/>
          <w:szCs w:val="28"/>
        </w:rPr>
        <w:t xml:space="preserve">05). It was found that </w:t>
      </w:r>
      <w:r w:rsidRPr="00F90B6B">
        <w:rPr>
          <w:rFonts w:ascii="Times New Roman" w:hAnsi="Times New Roman"/>
          <w:sz w:val="28"/>
          <w:szCs w:val="28"/>
          <w:lang w:val="en-US"/>
        </w:rPr>
        <w:t xml:space="preserve">in HFpEF </w:t>
      </w:r>
      <w:r w:rsidRPr="00F90B6B">
        <w:rPr>
          <w:rFonts w:ascii="Times New Roman" w:hAnsi="Times New Roman"/>
          <w:sz w:val="28"/>
          <w:szCs w:val="28"/>
        </w:rPr>
        <w:t>abdominal obesity is accompanied by increas</w:t>
      </w:r>
      <w:r w:rsidRPr="00F90B6B">
        <w:rPr>
          <w:rFonts w:ascii="Times New Roman" w:hAnsi="Times New Roman"/>
          <w:sz w:val="28"/>
          <w:szCs w:val="28"/>
          <w:lang w:val="en-US"/>
        </w:rPr>
        <w:t xml:space="preserve">ing of </w:t>
      </w:r>
      <w:r w:rsidRPr="00F90B6B">
        <w:rPr>
          <w:rFonts w:ascii="Times New Roman" w:hAnsi="Times New Roman"/>
          <w:sz w:val="28"/>
          <w:szCs w:val="28"/>
        </w:rPr>
        <w:t>free aldosterone content</w:t>
      </w:r>
      <w:r w:rsidRPr="00F90B6B">
        <w:rPr>
          <w:rFonts w:ascii="Times New Roman" w:hAnsi="Times New Roman"/>
          <w:sz w:val="28"/>
          <w:szCs w:val="28"/>
          <w:lang w:val="en-US"/>
        </w:rPr>
        <w:t xml:space="preserve"> </w:t>
      </w:r>
      <w:r w:rsidRPr="00F90B6B">
        <w:rPr>
          <w:rFonts w:ascii="Times New Roman" w:hAnsi="Times New Roman"/>
          <w:sz w:val="28"/>
          <w:szCs w:val="28"/>
        </w:rPr>
        <w:t>(p&lt;0</w:t>
      </w:r>
      <w:r w:rsidRPr="00F90B6B">
        <w:rPr>
          <w:rFonts w:ascii="Times New Roman" w:hAnsi="Times New Roman"/>
          <w:sz w:val="28"/>
          <w:szCs w:val="28"/>
          <w:lang w:val="en-US"/>
        </w:rPr>
        <w:t>,</w:t>
      </w:r>
      <w:r w:rsidRPr="00F90B6B">
        <w:rPr>
          <w:rFonts w:ascii="Times New Roman" w:hAnsi="Times New Roman"/>
          <w:sz w:val="28"/>
          <w:szCs w:val="28"/>
        </w:rPr>
        <w:t xml:space="preserve">05). It was established that </w:t>
      </w:r>
      <w:r w:rsidRPr="00F90B6B">
        <w:rPr>
          <w:rFonts w:ascii="Times New Roman" w:hAnsi="Times New Roman"/>
          <w:sz w:val="28"/>
          <w:szCs w:val="28"/>
        </w:rPr>
        <w:lastRenderedPageBreak/>
        <w:t>structural changes in the myocardium in patients with HF</w:t>
      </w:r>
      <w:r w:rsidRPr="00F90B6B">
        <w:rPr>
          <w:rFonts w:ascii="Times New Roman" w:hAnsi="Times New Roman"/>
          <w:sz w:val="28"/>
          <w:szCs w:val="28"/>
          <w:lang w:val="en-US"/>
        </w:rPr>
        <w:t>pEF</w:t>
      </w:r>
      <w:r w:rsidRPr="00F90B6B">
        <w:rPr>
          <w:rFonts w:ascii="Times New Roman" w:hAnsi="Times New Roman"/>
          <w:sz w:val="28"/>
          <w:szCs w:val="28"/>
        </w:rPr>
        <w:t xml:space="preserve"> and obesity are accompanied by increas</w:t>
      </w:r>
      <w:r w:rsidRPr="00F90B6B">
        <w:rPr>
          <w:rFonts w:ascii="Times New Roman" w:hAnsi="Times New Roman"/>
          <w:sz w:val="28"/>
          <w:szCs w:val="28"/>
          <w:lang w:val="en-US"/>
        </w:rPr>
        <w:t xml:space="preserve">ing of </w:t>
      </w:r>
      <w:r w:rsidRPr="00F90B6B">
        <w:rPr>
          <w:rFonts w:ascii="Times New Roman" w:hAnsi="Times New Roman"/>
          <w:sz w:val="28"/>
          <w:szCs w:val="28"/>
        </w:rPr>
        <w:t>left atrium proportional</w:t>
      </w:r>
      <w:r w:rsidRPr="00F90B6B">
        <w:rPr>
          <w:rFonts w:ascii="Times New Roman" w:hAnsi="Times New Roman"/>
          <w:sz w:val="28"/>
          <w:szCs w:val="28"/>
          <w:lang w:val="en-US"/>
        </w:rPr>
        <w:t>ly</w:t>
      </w:r>
      <w:r w:rsidRPr="00F90B6B">
        <w:rPr>
          <w:rFonts w:ascii="Times New Roman" w:hAnsi="Times New Roman"/>
          <w:sz w:val="28"/>
          <w:szCs w:val="28"/>
        </w:rPr>
        <w:t xml:space="preserve"> to the level of aldosterone (p&lt;0</w:t>
      </w:r>
      <w:r w:rsidRPr="00F90B6B">
        <w:rPr>
          <w:rFonts w:ascii="Times New Roman" w:hAnsi="Times New Roman"/>
          <w:sz w:val="28"/>
          <w:szCs w:val="28"/>
          <w:lang w:val="en-US"/>
        </w:rPr>
        <w:t>,</w:t>
      </w:r>
      <w:r w:rsidRPr="00F90B6B">
        <w:rPr>
          <w:rFonts w:ascii="Times New Roman" w:hAnsi="Times New Roman"/>
          <w:sz w:val="28"/>
          <w:szCs w:val="28"/>
        </w:rPr>
        <w:t xml:space="preserve">05). A negative correlation was found between aldosterone </w:t>
      </w:r>
      <w:r w:rsidRPr="00F90B6B">
        <w:rPr>
          <w:rFonts w:ascii="Times New Roman" w:hAnsi="Times New Roman"/>
          <w:sz w:val="28"/>
          <w:szCs w:val="28"/>
          <w:lang w:val="en-US"/>
        </w:rPr>
        <w:t xml:space="preserve">level </w:t>
      </w:r>
      <w:r w:rsidRPr="00F90B6B">
        <w:rPr>
          <w:rFonts w:ascii="Times New Roman" w:hAnsi="Times New Roman"/>
          <w:sz w:val="28"/>
          <w:szCs w:val="28"/>
        </w:rPr>
        <w:t>and GFR (p&lt;0</w:t>
      </w:r>
      <w:r w:rsidRPr="00F90B6B">
        <w:rPr>
          <w:rFonts w:ascii="Times New Roman" w:hAnsi="Times New Roman"/>
          <w:sz w:val="28"/>
          <w:szCs w:val="28"/>
          <w:lang w:val="en-US"/>
        </w:rPr>
        <w:t>,</w:t>
      </w:r>
      <w:r w:rsidRPr="00F90B6B">
        <w:rPr>
          <w:rFonts w:ascii="Times New Roman" w:hAnsi="Times New Roman"/>
          <w:sz w:val="28"/>
          <w:szCs w:val="28"/>
        </w:rPr>
        <w:t>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val="en-US" w:eastAsia="ru-RU"/>
        </w:rPr>
        <w:t xml:space="preserve">A </w:t>
      </w:r>
      <w:r w:rsidRPr="00F90B6B">
        <w:rPr>
          <w:rFonts w:ascii="Times New Roman" w:hAnsi="Times New Roman"/>
          <w:sz w:val="28"/>
          <w:szCs w:val="28"/>
          <w:lang w:eastAsia="ru-RU"/>
        </w:rPr>
        <w:t xml:space="preserve">probable decrease in the of glomerular </w:t>
      </w:r>
      <w:r w:rsidRPr="00F90B6B">
        <w:rPr>
          <w:rFonts w:ascii="Times New Roman" w:hAnsi="Times New Roman"/>
          <w:sz w:val="28"/>
          <w:szCs w:val="28"/>
          <w:lang w:val="en-US" w:eastAsia="ru-RU"/>
        </w:rPr>
        <w:t xml:space="preserve">rate </w:t>
      </w:r>
      <w:r w:rsidRPr="00F90B6B">
        <w:rPr>
          <w:rFonts w:ascii="Times New Roman" w:hAnsi="Times New Roman"/>
          <w:sz w:val="28"/>
          <w:szCs w:val="28"/>
          <w:lang w:eastAsia="ru-RU"/>
        </w:rPr>
        <w:t>filtration is confirmed in the cluster of "high" NTproBNP synthesis</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represented by the following model: NTproBNP  = 399.35-GFR * 0.151.  The established relationship between NTproBNP and hemodynamic indices for patients with CHF in concomitant obesity is presented as a linear regression equation: NTproBNP = 599,07-PAT * 0,308.  Three-dimensional regression model was presented for the study of the three-dimensional dependence between the level of sodium, aldosterone and NTproBNP: Na = 129,75-NTproBNP * 0,029267 + aldosterone * 0,770815.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val="en-US"/>
        </w:rPr>
        <w:t>R</w:t>
      </w:r>
      <w:r w:rsidRPr="00F90B6B">
        <w:rPr>
          <w:rFonts w:ascii="Times New Roman" w:hAnsi="Times New Roman"/>
          <w:sz w:val="28"/>
          <w:szCs w:val="28"/>
        </w:rPr>
        <w:t>etrospectiv</w:t>
      </w:r>
      <w:r w:rsidRPr="00F90B6B">
        <w:rPr>
          <w:rFonts w:ascii="Times New Roman" w:hAnsi="Times New Roman"/>
          <w:sz w:val="28"/>
          <w:szCs w:val="28"/>
          <w:lang w:val="en-US"/>
        </w:rPr>
        <w:t>ely</w:t>
      </w:r>
      <w:r w:rsidRPr="00F90B6B">
        <w:rPr>
          <w:rFonts w:ascii="Times New Roman" w:hAnsi="Times New Roman"/>
          <w:sz w:val="28"/>
          <w:szCs w:val="28"/>
        </w:rPr>
        <w:t xml:space="preserve"> </w:t>
      </w:r>
      <w:r w:rsidRPr="00F90B6B">
        <w:rPr>
          <w:rFonts w:ascii="Times New Roman" w:hAnsi="Times New Roman"/>
          <w:sz w:val="28"/>
          <w:szCs w:val="28"/>
          <w:lang w:val="en-US"/>
        </w:rPr>
        <w:t>was set</w:t>
      </w:r>
      <w:r w:rsidRPr="00F90B6B">
        <w:rPr>
          <w:rFonts w:ascii="Times New Roman" w:hAnsi="Times New Roman"/>
          <w:sz w:val="28"/>
          <w:szCs w:val="28"/>
        </w:rPr>
        <w:t xml:space="preserve"> the prognostic role of hyponatremia </w:t>
      </w:r>
      <w:r w:rsidRPr="00F90B6B">
        <w:rPr>
          <w:rFonts w:ascii="Times New Roman" w:hAnsi="Times New Roman"/>
          <w:sz w:val="28"/>
          <w:szCs w:val="28"/>
          <w:lang w:val="en-US"/>
        </w:rPr>
        <w:t xml:space="preserve">in </w:t>
      </w:r>
      <w:r w:rsidRPr="00F90B6B">
        <w:rPr>
          <w:rFonts w:ascii="Times New Roman" w:hAnsi="Times New Roman"/>
          <w:sz w:val="28"/>
          <w:szCs w:val="28"/>
        </w:rPr>
        <w:t xml:space="preserve">patients with CHF </w:t>
      </w:r>
      <w:r w:rsidRPr="00F90B6B">
        <w:rPr>
          <w:rFonts w:ascii="Times New Roman" w:hAnsi="Times New Roman"/>
          <w:sz w:val="28"/>
          <w:szCs w:val="28"/>
          <w:lang w:val="en-US"/>
        </w:rPr>
        <w:t>and</w:t>
      </w:r>
      <w:r w:rsidRPr="00F90B6B">
        <w:rPr>
          <w:rFonts w:ascii="Times New Roman" w:hAnsi="Times New Roman"/>
          <w:sz w:val="28"/>
          <w:szCs w:val="28"/>
        </w:rPr>
        <w:t xml:space="preserve"> preserved </w:t>
      </w:r>
      <w:r w:rsidRPr="00F90B6B">
        <w:rPr>
          <w:rFonts w:ascii="Times New Roman" w:hAnsi="Times New Roman"/>
          <w:sz w:val="28"/>
          <w:szCs w:val="28"/>
          <w:lang w:val="en-US"/>
        </w:rPr>
        <w:t>EF.</w:t>
      </w:r>
      <w:r w:rsidRPr="00F90B6B">
        <w:rPr>
          <w:rFonts w:ascii="Times New Roman" w:hAnsi="Times New Roman"/>
          <w:sz w:val="28"/>
          <w:szCs w:val="28"/>
        </w:rPr>
        <w:t xml:space="preserve"> </w:t>
      </w:r>
      <w:r w:rsidRPr="00F90B6B">
        <w:rPr>
          <w:rFonts w:ascii="Times New Roman" w:hAnsi="Times New Roman"/>
          <w:sz w:val="28"/>
          <w:szCs w:val="28"/>
          <w:lang w:val="en-US"/>
        </w:rPr>
        <w:t>T</w:t>
      </w:r>
      <w:r w:rsidRPr="00F90B6B">
        <w:rPr>
          <w:rFonts w:ascii="Times New Roman" w:hAnsi="Times New Roman"/>
          <w:sz w:val="28"/>
          <w:szCs w:val="28"/>
        </w:rPr>
        <w:t>he probable additional risk of severe hyponatremia was found in obesity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val="en-US"/>
        </w:rPr>
        <w:t xml:space="preserve">arterial </w:t>
      </w:r>
      <w:r w:rsidRPr="00F90B6B">
        <w:rPr>
          <w:rFonts w:ascii="Times New Roman" w:hAnsi="Times New Roman"/>
          <w:sz w:val="28"/>
          <w:szCs w:val="28"/>
        </w:rPr>
        <w:t>hypertension (p&lt;0</w:t>
      </w:r>
      <w:r w:rsidRPr="00F90B6B">
        <w:rPr>
          <w:rFonts w:ascii="Times New Roman" w:hAnsi="Times New Roman"/>
          <w:sz w:val="28"/>
          <w:szCs w:val="28"/>
          <w:lang w:val="en-US"/>
        </w:rPr>
        <w:t>,</w:t>
      </w:r>
      <w:r w:rsidRPr="00F90B6B">
        <w:rPr>
          <w:rFonts w:ascii="Times New Roman" w:hAnsi="Times New Roman"/>
          <w:sz w:val="28"/>
          <w:szCs w:val="28"/>
        </w:rPr>
        <w:t>05), diabetes mellitus type 2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val="en-US"/>
        </w:rPr>
        <w:t>I</w:t>
      </w:r>
      <w:r w:rsidRPr="00F90B6B">
        <w:rPr>
          <w:rFonts w:ascii="Times New Roman" w:hAnsi="Times New Roman"/>
          <w:sz w:val="28"/>
          <w:szCs w:val="28"/>
        </w:rPr>
        <w:t xml:space="preserve">n severe </w:t>
      </w:r>
      <w:r w:rsidRPr="00F90B6B">
        <w:rPr>
          <w:rFonts w:ascii="Times New Roman" w:hAnsi="Times New Roman"/>
          <w:sz w:val="28"/>
          <w:szCs w:val="28"/>
          <w:lang w:val="en-US"/>
        </w:rPr>
        <w:t xml:space="preserve">cases of </w:t>
      </w:r>
      <w:r w:rsidRPr="00F90B6B">
        <w:rPr>
          <w:rFonts w:ascii="Times New Roman" w:hAnsi="Times New Roman"/>
          <w:sz w:val="28"/>
          <w:szCs w:val="28"/>
        </w:rPr>
        <w:t>hyponatremia</w:t>
      </w:r>
      <w:r w:rsidRPr="00F90B6B">
        <w:rPr>
          <w:rFonts w:ascii="Times New Roman" w:hAnsi="Times New Roman"/>
          <w:sz w:val="28"/>
          <w:szCs w:val="28"/>
          <w:lang w:val="en-US"/>
        </w:rPr>
        <w:t xml:space="preserve"> was </w:t>
      </w:r>
      <w:r w:rsidRPr="00F90B6B">
        <w:rPr>
          <w:rFonts w:ascii="Times New Roman" w:hAnsi="Times New Roman"/>
          <w:sz w:val="28"/>
          <w:szCs w:val="28"/>
        </w:rPr>
        <w:t xml:space="preserve">verified higher level of insulin resistance </w:t>
      </w:r>
      <w:r w:rsidRPr="00F90B6B">
        <w:rPr>
          <w:rFonts w:ascii="Times New Roman" w:hAnsi="Times New Roman"/>
          <w:sz w:val="28"/>
          <w:szCs w:val="28"/>
          <w:lang w:val="en-US"/>
        </w:rPr>
        <w:t>according to H</w:t>
      </w:r>
      <w:r w:rsidRPr="00F90B6B">
        <w:rPr>
          <w:rFonts w:ascii="Times New Roman" w:hAnsi="Times New Roman"/>
          <w:sz w:val="28"/>
          <w:szCs w:val="28"/>
        </w:rPr>
        <w:t>OMA index (p&lt;0</w:t>
      </w:r>
      <w:r w:rsidRPr="00F90B6B">
        <w:rPr>
          <w:rFonts w:ascii="Times New Roman" w:hAnsi="Times New Roman"/>
          <w:sz w:val="28"/>
          <w:szCs w:val="28"/>
          <w:lang w:val="en-US"/>
        </w:rPr>
        <w:t>,</w:t>
      </w:r>
      <w:r w:rsidRPr="00F90B6B">
        <w:rPr>
          <w:rFonts w:ascii="Times New Roman" w:hAnsi="Times New Roman"/>
          <w:sz w:val="28"/>
          <w:szCs w:val="28"/>
        </w:rPr>
        <w:t xml:space="preserve">05), diastolic dysfunction </w:t>
      </w:r>
      <w:r w:rsidRPr="00F90B6B">
        <w:rPr>
          <w:rFonts w:ascii="Times New Roman" w:hAnsi="Times New Roman"/>
          <w:sz w:val="28"/>
          <w:szCs w:val="28"/>
          <w:lang w:val="en-US"/>
        </w:rPr>
        <w:t>with</w:t>
      </w:r>
      <w:r w:rsidRPr="00F90B6B">
        <w:rPr>
          <w:rFonts w:ascii="Times New Roman" w:hAnsi="Times New Roman"/>
          <w:sz w:val="28"/>
          <w:szCs w:val="28"/>
        </w:rPr>
        <w:t xml:space="preserve"> E</w:t>
      </w:r>
      <w:r w:rsidRPr="00F90B6B">
        <w:rPr>
          <w:rFonts w:ascii="Times New Roman" w:hAnsi="Times New Roman"/>
          <w:sz w:val="28"/>
          <w:szCs w:val="28"/>
          <w:lang w:val="en-US"/>
        </w:rPr>
        <w:t>/</w:t>
      </w:r>
      <w:r w:rsidRPr="00F90B6B">
        <w:rPr>
          <w:rFonts w:ascii="Times New Roman" w:hAnsi="Times New Roman"/>
          <w:sz w:val="28"/>
          <w:szCs w:val="28"/>
        </w:rPr>
        <w:t>A&lt;1</w:t>
      </w:r>
      <w:r w:rsidRPr="00F90B6B">
        <w:rPr>
          <w:rFonts w:ascii="Times New Roman" w:hAnsi="Times New Roman"/>
          <w:sz w:val="28"/>
          <w:szCs w:val="28"/>
          <w:lang w:val="en-US"/>
        </w:rPr>
        <w:t>,</w:t>
      </w:r>
      <w:r w:rsidRPr="00F90B6B">
        <w:rPr>
          <w:rFonts w:ascii="Times New Roman" w:hAnsi="Times New Roman"/>
          <w:sz w:val="28"/>
          <w:szCs w:val="28"/>
        </w:rPr>
        <w:t xml:space="preserve">0 in severe </w:t>
      </w:r>
      <w:r w:rsidRPr="00F90B6B">
        <w:rPr>
          <w:rFonts w:ascii="Times New Roman" w:hAnsi="Times New Roman"/>
          <w:sz w:val="28"/>
          <w:szCs w:val="28"/>
          <w:lang w:val="en-US"/>
        </w:rPr>
        <w:t xml:space="preserve">cases of </w:t>
      </w:r>
      <w:r w:rsidRPr="00F90B6B">
        <w:rPr>
          <w:rFonts w:ascii="Times New Roman" w:hAnsi="Times New Roman"/>
          <w:sz w:val="28"/>
          <w:szCs w:val="28"/>
        </w:rPr>
        <w:t>hyponatr</w:t>
      </w:r>
      <w:r w:rsidRPr="00F90B6B">
        <w:rPr>
          <w:rFonts w:ascii="Times New Roman" w:hAnsi="Times New Roman"/>
          <w:sz w:val="28"/>
          <w:szCs w:val="28"/>
          <w:lang w:val="en-US"/>
        </w:rPr>
        <w:t>i</w:t>
      </w:r>
      <w:r w:rsidRPr="00F90B6B">
        <w:rPr>
          <w:rFonts w:ascii="Times New Roman" w:hAnsi="Times New Roman"/>
          <w:sz w:val="28"/>
          <w:szCs w:val="28"/>
        </w:rPr>
        <w:t xml:space="preserve">emia increased </w:t>
      </w:r>
      <w:r w:rsidRPr="00F90B6B">
        <w:rPr>
          <w:rFonts w:ascii="Times New Roman" w:hAnsi="Times New Roman"/>
          <w:sz w:val="28"/>
          <w:szCs w:val="28"/>
          <w:lang w:val="en-US"/>
        </w:rPr>
        <w:t>in</w:t>
      </w:r>
      <w:r w:rsidRPr="00F90B6B">
        <w:rPr>
          <w:rFonts w:ascii="Times New Roman" w:hAnsi="Times New Roman"/>
          <w:sz w:val="28"/>
          <w:szCs w:val="28"/>
        </w:rPr>
        <w:t xml:space="preserve"> 23</w:t>
      </w:r>
      <w:r w:rsidRPr="00F90B6B">
        <w:rPr>
          <w:rFonts w:ascii="Times New Roman" w:hAnsi="Times New Roman"/>
          <w:sz w:val="28"/>
          <w:szCs w:val="28"/>
          <w:lang w:val="en-US"/>
        </w:rPr>
        <w:t>,</w:t>
      </w:r>
      <w:r w:rsidRPr="00F90B6B">
        <w:rPr>
          <w:rFonts w:ascii="Times New Roman" w:hAnsi="Times New Roman"/>
          <w:sz w:val="28"/>
          <w:szCs w:val="28"/>
        </w:rPr>
        <w:t>0% (p&lt;0,05).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val="en-US"/>
        </w:rPr>
        <w:t>In r</w:t>
      </w:r>
      <w:r w:rsidRPr="00F90B6B">
        <w:rPr>
          <w:rFonts w:ascii="Times New Roman" w:hAnsi="Times New Roman"/>
          <w:sz w:val="28"/>
          <w:szCs w:val="28"/>
        </w:rPr>
        <w:t>etrospective study the prognostic role of hyponatremia in patients with HF</w:t>
      </w:r>
      <w:r w:rsidRPr="00F90B6B">
        <w:rPr>
          <w:rFonts w:ascii="Times New Roman" w:hAnsi="Times New Roman"/>
          <w:sz w:val="28"/>
          <w:szCs w:val="28"/>
          <w:lang w:val="en-US"/>
        </w:rPr>
        <w:t>pEF</w:t>
      </w:r>
      <w:r w:rsidRPr="00F90B6B">
        <w:rPr>
          <w:rFonts w:ascii="Times New Roman" w:hAnsi="Times New Roman"/>
          <w:sz w:val="28"/>
          <w:szCs w:val="28"/>
        </w:rPr>
        <w:t xml:space="preserve"> </w:t>
      </w:r>
      <w:r w:rsidRPr="00F90B6B">
        <w:rPr>
          <w:rFonts w:ascii="Times New Roman" w:hAnsi="Times New Roman"/>
          <w:sz w:val="28"/>
          <w:szCs w:val="28"/>
          <w:lang w:val="en-US"/>
        </w:rPr>
        <w:t>was presented</w:t>
      </w:r>
      <w:r w:rsidRPr="00F90B6B">
        <w:rPr>
          <w:rFonts w:ascii="Times New Roman" w:hAnsi="Times New Roman"/>
          <w:sz w:val="28"/>
          <w:szCs w:val="28"/>
        </w:rPr>
        <w:t xml:space="preserve"> </w:t>
      </w:r>
      <w:r w:rsidRPr="00F90B6B">
        <w:rPr>
          <w:rFonts w:ascii="Times New Roman" w:hAnsi="Times New Roman"/>
          <w:sz w:val="28"/>
          <w:szCs w:val="28"/>
          <w:lang w:val="en-US"/>
        </w:rPr>
        <w:t xml:space="preserve">with </w:t>
      </w:r>
      <w:r w:rsidRPr="00F90B6B">
        <w:rPr>
          <w:rFonts w:ascii="Times New Roman" w:hAnsi="Times New Roman"/>
          <w:sz w:val="28"/>
          <w:szCs w:val="28"/>
        </w:rPr>
        <w:t>increase</w:t>
      </w:r>
      <w:r w:rsidRPr="00F90B6B">
        <w:rPr>
          <w:rFonts w:ascii="Times New Roman" w:hAnsi="Times New Roman"/>
          <w:sz w:val="28"/>
          <w:szCs w:val="28"/>
          <w:lang w:val="en-US"/>
        </w:rPr>
        <w:t>d</w:t>
      </w:r>
      <w:r w:rsidRPr="00F90B6B">
        <w:rPr>
          <w:rFonts w:ascii="Times New Roman" w:hAnsi="Times New Roman"/>
          <w:sz w:val="28"/>
          <w:szCs w:val="28"/>
        </w:rPr>
        <w:t xml:space="preserve"> risk of cardiovascular mortality from 19</w:t>
      </w:r>
      <w:r w:rsidRPr="00F90B6B">
        <w:rPr>
          <w:rFonts w:ascii="Times New Roman" w:hAnsi="Times New Roman"/>
          <w:sz w:val="28"/>
          <w:szCs w:val="28"/>
          <w:lang w:val="en-US"/>
        </w:rPr>
        <w:t>,</w:t>
      </w:r>
      <w:r w:rsidRPr="00F90B6B">
        <w:rPr>
          <w:rFonts w:ascii="Times New Roman" w:hAnsi="Times New Roman"/>
          <w:sz w:val="28"/>
          <w:szCs w:val="28"/>
        </w:rPr>
        <w:t>0 to 45</w:t>
      </w:r>
      <w:r w:rsidRPr="00F90B6B">
        <w:rPr>
          <w:rFonts w:ascii="Times New Roman" w:hAnsi="Times New Roman"/>
          <w:sz w:val="28"/>
          <w:szCs w:val="28"/>
          <w:lang w:val="en-US"/>
        </w:rPr>
        <w:t>,</w:t>
      </w:r>
      <w:r w:rsidRPr="00F90B6B">
        <w:rPr>
          <w:rFonts w:ascii="Times New Roman" w:hAnsi="Times New Roman"/>
          <w:sz w:val="28"/>
          <w:szCs w:val="28"/>
        </w:rPr>
        <w:t xml:space="preserve">0%, the value of "cut-off point" verified </w:t>
      </w:r>
      <w:r w:rsidRPr="00F90B6B">
        <w:rPr>
          <w:rFonts w:ascii="Times New Roman" w:hAnsi="Times New Roman"/>
          <w:sz w:val="28"/>
          <w:szCs w:val="28"/>
          <w:lang w:val="en-US"/>
        </w:rPr>
        <w:t>for</w:t>
      </w:r>
      <w:r w:rsidRPr="00F90B6B">
        <w:rPr>
          <w:rFonts w:ascii="Times New Roman" w:hAnsi="Times New Roman"/>
          <w:sz w:val="28"/>
          <w:szCs w:val="28"/>
        </w:rPr>
        <w:t xml:space="preserve"> Na + </w:t>
      </w:r>
      <w:r w:rsidRPr="00F90B6B">
        <w:rPr>
          <w:rFonts w:ascii="Times New Roman" w:hAnsi="Times New Roman"/>
          <w:sz w:val="28"/>
          <w:szCs w:val="28"/>
          <w:lang w:val="en-US"/>
        </w:rPr>
        <w:t>level between</w:t>
      </w:r>
      <w:r w:rsidRPr="00F90B6B">
        <w:rPr>
          <w:rFonts w:ascii="Times New Roman" w:hAnsi="Times New Roman"/>
          <w:sz w:val="28"/>
          <w:szCs w:val="28"/>
        </w:rPr>
        <w:t xml:space="preserve"> 115</w:t>
      </w:r>
      <w:r w:rsidRPr="00F90B6B">
        <w:rPr>
          <w:rFonts w:ascii="Times New Roman" w:hAnsi="Times New Roman"/>
          <w:sz w:val="28"/>
          <w:szCs w:val="28"/>
          <w:lang w:val="en-US"/>
        </w:rPr>
        <w:t>,</w:t>
      </w:r>
      <w:r w:rsidRPr="00F90B6B">
        <w:rPr>
          <w:rFonts w:ascii="Times New Roman" w:hAnsi="Times New Roman"/>
          <w:sz w:val="28"/>
          <w:szCs w:val="28"/>
        </w:rPr>
        <w:t>0-125</w:t>
      </w:r>
      <w:r w:rsidRPr="00F90B6B">
        <w:rPr>
          <w:rFonts w:ascii="Times New Roman" w:hAnsi="Times New Roman"/>
          <w:sz w:val="28"/>
          <w:szCs w:val="28"/>
          <w:lang w:val="en-US"/>
        </w:rPr>
        <w:t>,</w:t>
      </w:r>
      <w:r w:rsidRPr="00F90B6B">
        <w:rPr>
          <w:rFonts w:ascii="Times New Roman" w:hAnsi="Times New Roman"/>
          <w:sz w:val="28"/>
          <w:szCs w:val="28"/>
        </w:rPr>
        <w:t>0 mmol</w:t>
      </w:r>
      <w:r w:rsidRPr="00F90B6B">
        <w:rPr>
          <w:rFonts w:ascii="Times New Roman" w:hAnsi="Times New Roman"/>
          <w:sz w:val="28"/>
          <w:szCs w:val="28"/>
          <w:lang w:val="en-US"/>
        </w:rPr>
        <w:t>/l</w:t>
      </w:r>
      <w:r w:rsidRPr="00F90B6B">
        <w:rPr>
          <w:rFonts w:ascii="Times New Roman" w:hAnsi="Times New Roman"/>
          <w:sz w:val="28"/>
          <w:szCs w:val="28"/>
        </w:rPr>
        <w:t xml:space="preserve">. The risk of association </w:t>
      </w:r>
      <w:r w:rsidRPr="00F90B6B">
        <w:rPr>
          <w:rFonts w:ascii="Times New Roman" w:hAnsi="Times New Roman"/>
          <w:sz w:val="28"/>
          <w:szCs w:val="28"/>
          <w:lang w:val="en-US"/>
        </w:rPr>
        <w:t>in</w:t>
      </w:r>
      <w:r w:rsidRPr="00F90B6B">
        <w:rPr>
          <w:rFonts w:ascii="Times New Roman" w:hAnsi="Times New Roman"/>
          <w:sz w:val="28"/>
          <w:szCs w:val="28"/>
        </w:rPr>
        <w:t xml:space="preserve"> cardiovascular mortality </w:t>
      </w:r>
      <w:r w:rsidRPr="00F90B6B">
        <w:rPr>
          <w:rFonts w:ascii="Times New Roman" w:hAnsi="Times New Roman"/>
          <w:sz w:val="28"/>
          <w:szCs w:val="28"/>
          <w:lang w:val="en-US"/>
        </w:rPr>
        <w:t>and</w:t>
      </w:r>
      <w:r w:rsidRPr="00F90B6B">
        <w:rPr>
          <w:rFonts w:ascii="Times New Roman" w:hAnsi="Times New Roman"/>
          <w:sz w:val="28"/>
          <w:szCs w:val="28"/>
        </w:rPr>
        <w:t xml:space="preserve"> decrease</w:t>
      </w:r>
      <w:r w:rsidRPr="00F90B6B">
        <w:rPr>
          <w:rFonts w:ascii="Times New Roman" w:hAnsi="Times New Roman"/>
          <w:sz w:val="28"/>
          <w:szCs w:val="28"/>
          <w:lang w:val="en-US"/>
        </w:rPr>
        <w:t>d</w:t>
      </w:r>
      <w:r w:rsidRPr="00F90B6B">
        <w:rPr>
          <w:rFonts w:ascii="Times New Roman" w:hAnsi="Times New Roman"/>
          <w:sz w:val="28"/>
          <w:szCs w:val="28"/>
        </w:rPr>
        <w:t xml:space="preserve"> GFR with hyponatremia was set at 54</w:t>
      </w:r>
      <w:r w:rsidRPr="00F90B6B">
        <w:rPr>
          <w:rFonts w:ascii="Times New Roman" w:hAnsi="Times New Roman"/>
          <w:sz w:val="28"/>
          <w:szCs w:val="28"/>
          <w:lang w:val="en-US"/>
        </w:rPr>
        <w:t>,</w:t>
      </w:r>
      <w:r w:rsidRPr="00F90B6B">
        <w:rPr>
          <w:rFonts w:ascii="Times New Roman" w:hAnsi="Times New Roman"/>
          <w:sz w:val="28"/>
          <w:szCs w:val="28"/>
        </w:rPr>
        <w:t>0% (p&lt;0</w:t>
      </w:r>
      <w:r w:rsidRPr="00F90B6B">
        <w:rPr>
          <w:rFonts w:ascii="Times New Roman" w:hAnsi="Times New Roman"/>
          <w:sz w:val="28"/>
          <w:szCs w:val="28"/>
          <w:lang w:val="en-US"/>
        </w:rPr>
        <w:t>,</w:t>
      </w:r>
      <w:r w:rsidRPr="00F90B6B">
        <w:rPr>
          <w:rFonts w:ascii="Times New Roman" w:hAnsi="Times New Roman"/>
          <w:sz w:val="28"/>
          <w:szCs w:val="28"/>
        </w:rPr>
        <w:t xml:space="preserve">05), </w:t>
      </w:r>
      <w:r w:rsidRPr="00F90B6B">
        <w:rPr>
          <w:rFonts w:ascii="Times New Roman" w:hAnsi="Times New Roman"/>
          <w:sz w:val="28"/>
          <w:szCs w:val="28"/>
          <w:lang w:eastAsia="ru-RU"/>
        </w:rPr>
        <w:t>the probable difference in GFR was obtained with</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 xml:space="preserve">age of patients </w:t>
      </w:r>
      <w:r w:rsidRPr="00F90B6B">
        <w:rPr>
          <w:rFonts w:ascii="Times New Roman" w:hAnsi="Times New Roman"/>
          <w:sz w:val="28"/>
          <w:szCs w:val="28"/>
          <w:lang w:val="en-US" w:eastAsia="ru-RU"/>
        </w:rPr>
        <w:t xml:space="preserve">more 65 years </w:t>
      </w:r>
      <w:r w:rsidRPr="00F90B6B">
        <w:rPr>
          <w:rFonts w:ascii="Times New Roman" w:hAnsi="Times New Roman"/>
          <w:sz w:val="28"/>
          <w:szCs w:val="28"/>
          <w:lang w:eastAsia="ru-RU"/>
        </w:rPr>
        <w:t>(p&lt;0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05) and </w:t>
      </w:r>
      <w:r w:rsidRPr="00F90B6B">
        <w:rPr>
          <w:rFonts w:ascii="Times New Roman" w:hAnsi="Times New Roman"/>
          <w:sz w:val="28"/>
          <w:szCs w:val="28"/>
          <w:lang w:val="en-US" w:eastAsia="ru-RU"/>
        </w:rPr>
        <w:t>BMI&gt;30 kg/m</w:t>
      </w:r>
      <w:r w:rsidRPr="00F90B6B">
        <w:rPr>
          <w:rFonts w:ascii="Times New Roman" w:hAnsi="Times New Roman"/>
          <w:sz w:val="28"/>
          <w:szCs w:val="28"/>
          <w:vertAlign w:val="superscript"/>
          <w:lang w:val="en-US" w:eastAsia="ru-RU"/>
        </w:rPr>
        <w:t>2</w:t>
      </w:r>
      <w:r w:rsidRPr="00F90B6B">
        <w:rPr>
          <w:rFonts w:ascii="Times New Roman" w:hAnsi="Times New Roman"/>
          <w:sz w:val="28"/>
          <w:szCs w:val="28"/>
          <w:lang w:val="en-US" w:eastAsia="ru-RU"/>
        </w:rPr>
        <w:t xml:space="preserve"> </w:t>
      </w:r>
      <w:r w:rsidRPr="00F90B6B">
        <w:rPr>
          <w:rFonts w:ascii="Times New Roman" w:hAnsi="Times New Roman"/>
          <w:sz w:val="28"/>
          <w:szCs w:val="28"/>
          <w:lang w:eastAsia="ru-RU"/>
        </w:rPr>
        <w:t>(p&lt;0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05). In addition, </w:t>
      </w:r>
      <w:r w:rsidRPr="00F90B6B">
        <w:rPr>
          <w:rFonts w:ascii="Times New Roman" w:hAnsi="Times New Roman"/>
          <w:sz w:val="28"/>
          <w:szCs w:val="28"/>
          <w:lang w:val="en-US" w:eastAsia="ru-RU"/>
        </w:rPr>
        <w:t>it</w:t>
      </w:r>
      <w:r w:rsidRPr="00F90B6B">
        <w:rPr>
          <w:rFonts w:ascii="Times New Roman" w:hAnsi="Times New Roman"/>
          <w:sz w:val="28"/>
          <w:szCs w:val="28"/>
          <w:lang w:eastAsia="ru-RU"/>
        </w:rPr>
        <w:t xml:space="preserve"> was established the association of hyponatremia and </w:t>
      </w:r>
      <w:r w:rsidRPr="00F90B6B">
        <w:rPr>
          <w:rFonts w:ascii="Times New Roman" w:hAnsi="Times New Roman"/>
          <w:sz w:val="28"/>
          <w:szCs w:val="28"/>
          <w:lang w:val="en-US" w:eastAsia="ru-RU"/>
        </w:rPr>
        <w:t>with low</w:t>
      </w:r>
      <w:r w:rsidRPr="00F90B6B">
        <w:rPr>
          <w:rFonts w:ascii="Times New Roman" w:hAnsi="Times New Roman"/>
          <w:sz w:val="28"/>
          <w:szCs w:val="28"/>
          <w:lang w:eastAsia="ru-RU"/>
        </w:rPr>
        <w:t xml:space="preserve"> GFR </w:t>
      </w:r>
      <w:r w:rsidRPr="00F90B6B">
        <w:rPr>
          <w:rFonts w:ascii="Times New Roman" w:hAnsi="Times New Roman"/>
          <w:sz w:val="28"/>
          <w:szCs w:val="28"/>
          <w:lang w:val="en-US" w:eastAsia="ru-RU"/>
        </w:rPr>
        <w:t>–</w:t>
      </w:r>
      <w:r w:rsidRPr="00F90B6B">
        <w:rPr>
          <w:rFonts w:ascii="Times New Roman" w:hAnsi="Times New Roman"/>
          <w:sz w:val="28"/>
          <w:szCs w:val="28"/>
          <w:lang w:eastAsia="ru-RU"/>
        </w:rPr>
        <w:t xml:space="preserve"> 36</w:t>
      </w:r>
      <w:r w:rsidRPr="00F90B6B">
        <w:rPr>
          <w:rFonts w:ascii="Times New Roman" w:hAnsi="Times New Roman"/>
          <w:sz w:val="28"/>
          <w:szCs w:val="28"/>
          <w:lang w:val="en-US" w:eastAsia="ru-RU"/>
        </w:rPr>
        <w:t>,</w:t>
      </w:r>
      <w:r w:rsidRPr="00F90B6B">
        <w:rPr>
          <w:rFonts w:ascii="Times New Roman" w:hAnsi="Times New Roman"/>
          <w:sz w:val="28"/>
          <w:szCs w:val="28"/>
          <w:lang w:eastAsia="ru-RU"/>
        </w:rPr>
        <w:t>0% versus 24</w:t>
      </w:r>
      <w:r w:rsidRPr="00F90B6B">
        <w:rPr>
          <w:rFonts w:ascii="Times New Roman" w:hAnsi="Times New Roman"/>
          <w:sz w:val="28"/>
          <w:szCs w:val="28"/>
          <w:lang w:val="en-US" w:eastAsia="ru-RU"/>
        </w:rPr>
        <w:t>,</w:t>
      </w:r>
      <w:r w:rsidRPr="00F90B6B">
        <w:rPr>
          <w:rFonts w:ascii="Times New Roman" w:hAnsi="Times New Roman"/>
          <w:sz w:val="28"/>
          <w:szCs w:val="28"/>
          <w:lang w:eastAsia="ru-RU"/>
        </w:rPr>
        <w:t>0% with normal GFR (p&lt;0</w:t>
      </w:r>
      <w:r w:rsidRPr="00F90B6B">
        <w:rPr>
          <w:rFonts w:ascii="Times New Roman" w:hAnsi="Times New Roman"/>
          <w:sz w:val="28"/>
          <w:szCs w:val="28"/>
          <w:lang w:val="en-US" w:eastAsia="ru-RU"/>
        </w:rPr>
        <w:t>,</w:t>
      </w:r>
      <w:r w:rsidRPr="00F90B6B">
        <w:rPr>
          <w:rFonts w:ascii="Times New Roman" w:hAnsi="Times New Roman"/>
          <w:sz w:val="28"/>
          <w:szCs w:val="28"/>
          <w:lang w:eastAsia="ru-RU"/>
        </w:rPr>
        <w:t>05).</w:t>
      </w:r>
      <w:r w:rsidRPr="00F90B6B">
        <w:rPr>
          <w:rFonts w:ascii="Times New Roman" w:hAnsi="Times New Roman"/>
          <w:sz w:val="28"/>
          <w:szCs w:val="28"/>
          <w:lang w:val="en-US" w:eastAsia="ru-RU"/>
        </w:rPr>
        <w:t xml:space="preserve"> H</w:t>
      </w:r>
      <w:r w:rsidRPr="00F90B6B">
        <w:rPr>
          <w:rFonts w:ascii="Times New Roman" w:hAnsi="Times New Roman"/>
          <w:sz w:val="28"/>
          <w:szCs w:val="28"/>
          <w:lang w:eastAsia="ru-RU"/>
        </w:rPr>
        <w:t>yponatremia</w:t>
      </w:r>
      <w:r w:rsidRPr="00F90B6B">
        <w:rPr>
          <w:rFonts w:ascii="Times New Roman" w:hAnsi="Times New Roman"/>
          <w:sz w:val="28"/>
          <w:szCs w:val="28"/>
        </w:rPr>
        <w:t xml:space="preserve"> </w:t>
      </w:r>
      <w:r w:rsidRPr="00F90B6B">
        <w:rPr>
          <w:rFonts w:ascii="Times New Roman" w:hAnsi="Times New Roman"/>
          <w:sz w:val="28"/>
          <w:szCs w:val="28"/>
          <w:lang w:val="en-US"/>
        </w:rPr>
        <w:t xml:space="preserve">is also </w:t>
      </w:r>
      <w:r w:rsidRPr="00F90B6B">
        <w:rPr>
          <w:rFonts w:ascii="Times New Roman" w:hAnsi="Times New Roman"/>
          <w:sz w:val="28"/>
          <w:szCs w:val="28"/>
        </w:rPr>
        <w:t>associat</w:t>
      </w:r>
      <w:r w:rsidRPr="00F90B6B">
        <w:rPr>
          <w:rFonts w:ascii="Times New Roman" w:hAnsi="Times New Roman"/>
          <w:sz w:val="28"/>
          <w:szCs w:val="28"/>
          <w:lang w:val="en-US"/>
        </w:rPr>
        <w:t>ed with</w:t>
      </w:r>
      <w:r w:rsidRPr="00F90B6B">
        <w:rPr>
          <w:rFonts w:ascii="Times New Roman" w:hAnsi="Times New Roman"/>
          <w:sz w:val="28"/>
          <w:szCs w:val="28"/>
        </w:rPr>
        <w:t xml:space="preserve"> episodes of </w:t>
      </w:r>
      <w:r w:rsidRPr="00F90B6B">
        <w:rPr>
          <w:rFonts w:ascii="Times New Roman" w:hAnsi="Times New Roman"/>
          <w:sz w:val="28"/>
          <w:szCs w:val="28"/>
          <w:lang w:val="en-US"/>
        </w:rPr>
        <w:t>atrial fibrillation</w:t>
      </w:r>
      <w:r w:rsidRPr="00F90B6B">
        <w:rPr>
          <w:rFonts w:ascii="Times New Roman" w:hAnsi="Times New Roman"/>
          <w:sz w:val="28"/>
          <w:szCs w:val="28"/>
        </w:rPr>
        <w:t xml:space="preserve"> and cardiovascular mortality </w:t>
      </w:r>
      <w:r w:rsidRPr="00F90B6B">
        <w:rPr>
          <w:rFonts w:ascii="Times New Roman" w:hAnsi="Times New Roman"/>
          <w:sz w:val="28"/>
          <w:szCs w:val="28"/>
          <w:lang w:val="en-US"/>
        </w:rPr>
        <w:t>(</w:t>
      </w:r>
      <w:r w:rsidRPr="00F90B6B">
        <w:rPr>
          <w:rFonts w:ascii="Times New Roman" w:hAnsi="Times New Roman"/>
          <w:sz w:val="28"/>
          <w:szCs w:val="28"/>
        </w:rPr>
        <w:t xml:space="preserve">p&lt;0,05), ventricular extrasystoles </w:t>
      </w:r>
      <w:r w:rsidRPr="00F90B6B">
        <w:rPr>
          <w:rFonts w:ascii="Times New Roman" w:hAnsi="Times New Roman"/>
          <w:sz w:val="28"/>
          <w:szCs w:val="28"/>
          <w:lang w:val="en-US"/>
        </w:rPr>
        <w:t>Lawn III and more</w:t>
      </w:r>
      <w:r w:rsidRPr="00F90B6B">
        <w:rPr>
          <w:rFonts w:ascii="Times New Roman" w:hAnsi="Times New Roman"/>
          <w:sz w:val="28"/>
          <w:szCs w:val="28"/>
        </w:rPr>
        <w:t xml:space="preserve"> (p&lt;0,05).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The practical value of the </w:t>
      </w:r>
      <w:r w:rsidRPr="00F90B6B">
        <w:rPr>
          <w:rFonts w:ascii="Times New Roman" w:hAnsi="Times New Roman"/>
          <w:sz w:val="28"/>
          <w:szCs w:val="28"/>
          <w:lang w:val="en-US"/>
        </w:rPr>
        <w:t xml:space="preserve">thesis has been </w:t>
      </w:r>
      <w:r w:rsidRPr="00F90B6B">
        <w:rPr>
          <w:rFonts w:ascii="Times New Roman" w:hAnsi="Times New Roman"/>
          <w:sz w:val="28"/>
          <w:szCs w:val="28"/>
        </w:rPr>
        <w:t xml:space="preserve">diagnostic algorithm in patients with chronic heart failure. </w:t>
      </w:r>
      <w:r w:rsidRPr="00F90B6B">
        <w:rPr>
          <w:rFonts w:ascii="Times New Roman" w:hAnsi="Times New Roman"/>
          <w:sz w:val="28"/>
          <w:szCs w:val="28"/>
          <w:lang w:val="en-US"/>
        </w:rPr>
        <w:t>We</w:t>
      </w:r>
      <w:r w:rsidRPr="00F90B6B">
        <w:rPr>
          <w:rFonts w:ascii="Times New Roman" w:hAnsi="Times New Roman"/>
          <w:sz w:val="28"/>
          <w:szCs w:val="28"/>
        </w:rPr>
        <w:t xml:space="preserve"> recommend</w:t>
      </w:r>
      <w:r w:rsidRPr="00F90B6B">
        <w:rPr>
          <w:rFonts w:ascii="Times New Roman" w:hAnsi="Times New Roman"/>
          <w:sz w:val="28"/>
          <w:szCs w:val="28"/>
          <w:lang w:val="en-US"/>
        </w:rPr>
        <w:t xml:space="preserve"> to</w:t>
      </w:r>
      <w:r w:rsidRPr="00F90B6B">
        <w:rPr>
          <w:rFonts w:ascii="Times New Roman" w:hAnsi="Times New Roman"/>
          <w:sz w:val="28"/>
          <w:szCs w:val="28"/>
        </w:rPr>
        <w:t xml:space="preserve"> determin</w:t>
      </w:r>
      <w:r w:rsidRPr="00F90B6B">
        <w:rPr>
          <w:rFonts w:ascii="Times New Roman" w:hAnsi="Times New Roman"/>
          <w:sz w:val="28"/>
          <w:szCs w:val="28"/>
          <w:lang w:val="en-US"/>
        </w:rPr>
        <w:t>e</w:t>
      </w:r>
      <w:r w:rsidRPr="00F90B6B">
        <w:rPr>
          <w:rFonts w:ascii="Times New Roman" w:hAnsi="Times New Roman"/>
          <w:sz w:val="28"/>
          <w:szCs w:val="28"/>
        </w:rPr>
        <w:t xml:space="preserve"> the level of ionized sodium </w:t>
      </w:r>
      <w:r w:rsidRPr="00F90B6B">
        <w:rPr>
          <w:rFonts w:ascii="Times New Roman" w:hAnsi="Times New Roman"/>
          <w:sz w:val="28"/>
          <w:szCs w:val="28"/>
          <w:lang w:val="en-US"/>
        </w:rPr>
        <w:t>for</w:t>
      </w:r>
      <w:r w:rsidRPr="00F90B6B">
        <w:rPr>
          <w:rFonts w:ascii="Times New Roman" w:hAnsi="Times New Roman"/>
          <w:sz w:val="28"/>
          <w:szCs w:val="28"/>
        </w:rPr>
        <w:t xml:space="preserve"> predicting the risk of hospitalizations and cardiovascular events in routine method </w:t>
      </w:r>
      <w:r w:rsidRPr="00F90B6B">
        <w:rPr>
          <w:rFonts w:ascii="Times New Roman" w:hAnsi="Times New Roman"/>
          <w:sz w:val="28"/>
          <w:szCs w:val="28"/>
          <w:lang w:val="en-US"/>
        </w:rPr>
        <w:t>in patients with HF</w:t>
      </w:r>
      <w:r w:rsidRPr="00F90B6B">
        <w:rPr>
          <w:rFonts w:ascii="Times New Roman" w:hAnsi="Times New Roman"/>
          <w:sz w:val="28"/>
          <w:szCs w:val="28"/>
        </w:rPr>
        <w:t xml:space="preserve">. Prognostically unfavorable </w:t>
      </w:r>
      <w:r w:rsidRPr="00F90B6B">
        <w:rPr>
          <w:rFonts w:ascii="Times New Roman" w:hAnsi="Times New Roman"/>
          <w:sz w:val="28"/>
          <w:szCs w:val="28"/>
          <w:lang w:val="en-US"/>
        </w:rPr>
        <w:t>was</w:t>
      </w:r>
      <w:r w:rsidRPr="00F90B6B">
        <w:rPr>
          <w:rFonts w:ascii="Times New Roman" w:hAnsi="Times New Roman"/>
          <w:sz w:val="28"/>
          <w:szCs w:val="28"/>
        </w:rPr>
        <w:t xml:space="preserve"> the sodium level less than 135 mmol/l, for fatal cardiovascular events </w:t>
      </w:r>
      <w:r w:rsidRPr="00F90B6B">
        <w:rPr>
          <w:rFonts w:ascii="Times New Roman" w:hAnsi="Times New Roman"/>
          <w:sz w:val="28"/>
          <w:szCs w:val="28"/>
          <w:lang w:val="en-US"/>
        </w:rPr>
        <w:t xml:space="preserve">- </w:t>
      </w:r>
      <w:r w:rsidRPr="00F90B6B">
        <w:rPr>
          <w:rFonts w:ascii="Times New Roman" w:hAnsi="Times New Roman"/>
          <w:sz w:val="28"/>
          <w:szCs w:val="28"/>
        </w:rPr>
        <w:t>115-125 mmol/</w:t>
      </w:r>
      <w:r w:rsidRPr="00F90B6B">
        <w:rPr>
          <w:rFonts w:ascii="Times New Roman" w:hAnsi="Times New Roman"/>
          <w:sz w:val="28"/>
          <w:szCs w:val="28"/>
          <w:lang w:val="en-US"/>
        </w:rPr>
        <w:t>l</w:t>
      </w:r>
      <w:r w:rsidRPr="00F90B6B">
        <w:rPr>
          <w:rFonts w:ascii="Times New Roman" w:hAnsi="Times New Roman"/>
          <w:sz w:val="28"/>
          <w:szCs w:val="28"/>
        </w:rPr>
        <w:t xml:space="preserve">. </w:t>
      </w:r>
      <w:r w:rsidRPr="00F90B6B">
        <w:rPr>
          <w:rFonts w:ascii="Times New Roman" w:hAnsi="Times New Roman"/>
          <w:sz w:val="28"/>
          <w:szCs w:val="28"/>
          <w:lang w:val="en-US"/>
        </w:rPr>
        <w:t>I</w:t>
      </w:r>
      <w:r w:rsidRPr="00F90B6B">
        <w:rPr>
          <w:rFonts w:ascii="Times New Roman" w:hAnsi="Times New Roman"/>
          <w:sz w:val="28"/>
          <w:szCs w:val="28"/>
        </w:rPr>
        <w:t xml:space="preserve">t is </w:t>
      </w:r>
      <w:r w:rsidRPr="00F90B6B">
        <w:rPr>
          <w:rFonts w:ascii="Times New Roman" w:hAnsi="Times New Roman"/>
          <w:sz w:val="28"/>
          <w:szCs w:val="28"/>
          <w:lang w:val="en-US"/>
        </w:rPr>
        <w:t>r</w:t>
      </w:r>
      <w:r w:rsidRPr="00F90B6B">
        <w:rPr>
          <w:rFonts w:ascii="Times New Roman" w:hAnsi="Times New Roman"/>
          <w:sz w:val="28"/>
          <w:szCs w:val="28"/>
        </w:rPr>
        <w:t xml:space="preserve">ecommended to determine the level of </w:t>
      </w:r>
      <w:r w:rsidRPr="00F90B6B">
        <w:rPr>
          <w:rFonts w:ascii="Times New Roman" w:hAnsi="Times New Roman"/>
          <w:sz w:val="28"/>
          <w:szCs w:val="28"/>
        </w:rPr>
        <w:lastRenderedPageBreak/>
        <w:t xml:space="preserve">aldosterone and NTproBNP. Prognostically unfavorable </w:t>
      </w:r>
      <w:r w:rsidRPr="00F90B6B">
        <w:rPr>
          <w:rFonts w:ascii="Times New Roman" w:hAnsi="Times New Roman"/>
          <w:sz w:val="28"/>
          <w:szCs w:val="28"/>
          <w:lang w:val="en-US"/>
        </w:rPr>
        <w:t>wa</w:t>
      </w:r>
      <w:r w:rsidRPr="00F90B6B">
        <w:rPr>
          <w:rFonts w:ascii="Times New Roman" w:hAnsi="Times New Roman"/>
          <w:sz w:val="28"/>
          <w:szCs w:val="28"/>
        </w:rPr>
        <w:t xml:space="preserve">s the level of NTproBNP 587,2±225,6 </w:t>
      </w:r>
      <w:r w:rsidRPr="00F90B6B">
        <w:rPr>
          <w:rFonts w:ascii="Times New Roman" w:hAnsi="Times New Roman"/>
          <w:sz w:val="28"/>
          <w:szCs w:val="28"/>
          <w:lang w:val="en-US"/>
        </w:rPr>
        <w:t>pg</w:t>
      </w:r>
      <w:r w:rsidRPr="00F90B6B">
        <w:rPr>
          <w:rFonts w:ascii="Times New Roman" w:hAnsi="Times New Roman"/>
          <w:sz w:val="28"/>
          <w:szCs w:val="28"/>
        </w:rPr>
        <w:t xml:space="preserve">/ml, which is associated with a reduction in </w:t>
      </w:r>
      <w:r w:rsidRPr="00F90B6B">
        <w:rPr>
          <w:rFonts w:ascii="Times New Roman" w:hAnsi="Times New Roman"/>
          <w:sz w:val="28"/>
          <w:szCs w:val="28"/>
          <w:lang w:val="en-US"/>
        </w:rPr>
        <w:t xml:space="preserve">CRF </w:t>
      </w:r>
      <w:r w:rsidRPr="00F90B6B">
        <w:rPr>
          <w:rFonts w:ascii="Times New Roman" w:hAnsi="Times New Roman"/>
          <w:sz w:val="28"/>
          <w:szCs w:val="28"/>
        </w:rPr>
        <w:t>and level of aldosterone 130,2 pmol/l, which is associated with severe hyponatremia.</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Key words:</w:t>
      </w:r>
      <w:r w:rsidRPr="00F90B6B">
        <w:rPr>
          <w:rFonts w:ascii="Times New Roman" w:hAnsi="Times New Roman"/>
          <w:sz w:val="28"/>
          <w:szCs w:val="28"/>
        </w:rPr>
        <w:t xml:space="preserve"> chronic heart failure, obesity, hyponatremia, natriuretic peptide</w:t>
      </w:r>
      <w:r w:rsidRPr="00F90B6B">
        <w:rPr>
          <w:rFonts w:ascii="Times New Roman" w:hAnsi="Times New Roman"/>
          <w:sz w:val="28"/>
          <w:szCs w:val="28"/>
          <w:lang w:val="en-US"/>
        </w:rPr>
        <w:t xml:space="preserve">, </w:t>
      </w:r>
      <w:r w:rsidRPr="00F90B6B">
        <w:rPr>
          <w:rFonts w:ascii="Times New Roman" w:hAnsi="Times New Roman"/>
          <w:sz w:val="28"/>
          <w:szCs w:val="28"/>
        </w:rPr>
        <w:t>clinical significance, prognosis.</w:t>
      </w:r>
    </w:p>
    <w:p w:rsidR="00EF4063" w:rsidRPr="00F90B6B" w:rsidRDefault="00EF4063" w:rsidP="00F0048B">
      <w:pPr>
        <w:spacing w:line="360" w:lineRule="auto"/>
        <w:rPr>
          <w:rFonts w:ascii="Times New Roman" w:hAnsi="Times New Roman"/>
          <w:b/>
          <w:sz w:val="28"/>
          <w:szCs w:val="28"/>
          <w:lang w:val="en-US"/>
        </w:rPr>
      </w:pPr>
    </w:p>
    <w:p w:rsidR="00EF4063" w:rsidRPr="006A67A8" w:rsidRDefault="000B328D" w:rsidP="00F0048B">
      <w:pPr>
        <w:spacing w:line="360" w:lineRule="auto"/>
        <w:jc w:val="center"/>
        <w:rPr>
          <w:rFonts w:ascii="Times New Roman" w:hAnsi="Times New Roman"/>
          <w:sz w:val="28"/>
          <w:szCs w:val="28"/>
        </w:rPr>
      </w:pPr>
      <w:r>
        <w:rPr>
          <w:rFonts w:ascii="Times New Roman" w:hAnsi="Times New Roman"/>
          <w:b/>
          <w:sz w:val="28"/>
          <w:szCs w:val="28"/>
        </w:rPr>
        <w:br w:type="page"/>
      </w:r>
      <w:r w:rsidR="00EF4063" w:rsidRPr="006A67A8">
        <w:rPr>
          <w:rFonts w:ascii="Times New Roman" w:hAnsi="Times New Roman"/>
          <w:sz w:val="28"/>
          <w:szCs w:val="28"/>
        </w:rPr>
        <w:lastRenderedPageBreak/>
        <w:t>СПИСОК ПУБЛІКАЦІЙ ЗДОБУВ</w:t>
      </w:r>
      <w:r w:rsidR="006A67A8" w:rsidRPr="006A67A8">
        <w:rPr>
          <w:rFonts w:ascii="Times New Roman" w:hAnsi="Times New Roman"/>
          <w:sz w:val="28"/>
          <w:szCs w:val="28"/>
        </w:rPr>
        <w:t>АЧА</w:t>
      </w:r>
    </w:p>
    <w:p w:rsidR="006A67A8" w:rsidRDefault="006A67A8" w:rsidP="006A67A8">
      <w:pPr>
        <w:spacing w:after="0" w:line="360" w:lineRule="auto"/>
        <w:ind w:firstLine="709"/>
        <w:jc w:val="both"/>
        <w:rPr>
          <w:rFonts w:ascii="Times New Roman" w:hAnsi="Times New Roman"/>
          <w:b/>
          <w:sz w:val="28"/>
          <w:szCs w:val="28"/>
        </w:rPr>
      </w:pPr>
      <w:r w:rsidRPr="007C1B76">
        <w:rPr>
          <w:rFonts w:ascii="Times New Roman" w:hAnsi="Times New Roman"/>
          <w:b/>
          <w:sz w:val="28"/>
          <w:szCs w:val="28"/>
        </w:rPr>
        <w:t>Наукові праці, в яких опубліковано основні результати дисертації:</w:t>
      </w:r>
    </w:p>
    <w:p w:rsidR="00EF4063" w:rsidRPr="00F90B6B" w:rsidRDefault="00EF4063" w:rsidP="00F0048B">
      <w:pPr>
        <w:spacing w:after="0" w:line="360" w:lineRule="auto"/>
        <w:jc w:val="both"/>
        <w:rPr>
          <w:rFonts w:ascii="Times New Roman" w:hAnsi="Times New Roman"/>
          <w:sz w:val="28"/>
          <w:szCs w:val="28"/>
          <w:shd w:val="clear" w:color="auto" w:fill="FFFFFF"/>
          <w:lang w:val="ru-RU"/>
        </w:rPr>
      </w:pPr>
      <w:r w:rsidRPr="00F90B6B">
        <w:rPr>
          <w:rFonts w:ascii="Times New Roman" w:hAnsi="Times New Roman"/>
          <w:sz w:val="28"/>
          <w:szCs w:val="28"/>
        </w:rPr>
        <w:t xml:space="preserve">1.Лазиди Е.Л. Прогностичекое значение ожирения и гипонатриемии в прогрессировании хронической сердечной недостаточности: сердечно-сосудистая смертность и кардиоренальный синдром / Е.Л. Лазиди, Ю.С. Рудык // </w:t>
      </w:r>
      <w:r w:rsidRPr="00F90B6B">
        <w:rPr>
          <w:rFonts w:ascii="Times New Roman" w:hAnsi="Times New Roman"/>
          <w:sz w:val="28"/>
          <w:szCs w:val="28"/>
          <w:shd w:val="clear" w:color="auto" w:fill="FFFFFF"/>
          <w:lang w:val="en-US"/>
        </w:rPr>
        <w:t>Georgian</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medical</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news</w:t>
      </w:r>
      <w:r w:rsidRPr="00F90B6B">
        <w:rPr>
          <w:rFonts w:ascii="Times New Roman" w:hAnsi="Times New Roman"/>
          <w:sz w:val="28"/>
          <w:szCs w:val="28"/>
          <w:shd w:val="clear" w:color="auto" w:fill="FFFFFF"/>
        </w:rPr>
        <w:t xml:space="preserve">. – 2018. – Грузия, Тбилиси. - №9(282) . – Р.65-73. </w:t>
      </w:r>
      <w:r w:rsidRPr="00F90B6B">
        <w:rPr>
          <w:rFonts w:ascii="Times New Roman" w:hAnsi="Times New Roman"/>
          <w:i/>
          <w:iCs/>
          <w:color w:val="000000"/>
          <w:sz w:val="28"/>
          <w:szCs w:val="28"/>
          <w:lang w:eastAsia="uk-UA"/>
        </w:rPr>
        <w:t>(Здобувачем проведено обстеження хворих, оцінку та інтерпретацію отриманих результатів, написання статті та її підготовку до друку).</w:t>
      </w:r>
    </w:p>
    <w:p w:rsidR="00EF4063" w:rsidRPr="00F90B6B" w:rsidRDefault="00EF4063" w:rsidP="00F0048B">
      <w:pPr>
        <w:spacing w:after="0" w:line="360" w:lineRule="auto"/>
        <w:jc w:val="both"/>
        <w:rPr>
          <w:rFonts w:ascii="Times New Roman" w:hAnsi="Times New Roman"/>
          <w:sz w:val="28"/>
          <w:szCs w:val="28"/>
          <w:shd w:val="clear" w:color="auto" w:fill="FFFFFF"/>
        </w:rPr>
      </w:pPr>
      <w:r w:rsidRPr="00F90B6B">
        <w:rPr>
          <w:rFonts w:ascii="Times New Roman" w:hAnsi="Times New Roman"/>
          <w:sz w:val="28"/>
          <w:szCs w:val="28"/>
          <w:shd w:val="clear" w:color="auto" w:fill="FFFFFF"/>
        </w:rPr>
        <w:t>2.Лазиди Е.Л. Связь уровня альдостерона с показателями ионного гомеостаза, мозгового натрийуретического пептида и параметрами кардиогемодинамики у пациентов с ХСН и сохраненной фракцией выброса левого желудочка / Е.Л. Лазиди, Ю.С. Рудык // Вісник Української медичної стоматологічної академії «Актуальні проблеми сучасної медицини» - 2017. -  Полтава – том 17 - №3(59). – С. 127-131.</w:t>
      </w:r>
      <w:r w:rsidRPr="00F90B6B">
        <w:rPr>
          <w:rFonts w:ascii="Times New Roman" w:hAnsi="Times New Roman"/>
          <w:i/>
          <w:iCs/>
          <w:color w:val="000000"/>
          <w:sz w:val="28"/>
          <w:szCs w:val="28"/>
        </w:rPr>
        <w:t xml:space="preserve"> (Здобувач</w:t>
      </w:r>
      <w:r w:rsidRPr="00F90B6B">
        <w:rPr>
          <w:rFonts w:ascii="Times New Roman" w:hAnsi="Times New Roman"/>
          <w:i/>
          <w:iCs/>
          <w:sz w:val="28"/>
          <w:szCs w:val="28"/>
        </w:rPr>
        <w:t xml:space="preserve"> сформувала групи хворих, здійснила аналіз отриманих результатів, підготувала статтю до друку</w:t>
      </w:r>
      <w:r w:rsidRPr="00F90B6B">
        <w:rPr>
          <w:rFonts w:ascii="Times New Roman" w:hAnsi="Times New Roman"/>
          <w:i/>
          <w:iCs/>
          <w:color w:val="000000"/>
          <w:sz w:val="28"/>
          <w:szCs w:val="28"/>
        </w:rPr>
        <w:t>).</w:t>
      </w:r>
    </w:p>
    <w:p w:rsidR="00EF4063" w:rsidRPr="00F90B6B" w:rsidRDefault="00EF4063" w:rsidP="00F0048B">
      <w:pPr>
        <w:spacing w:after="0" w:line="360" w:lineRule="auto"/>
        <w:jc w:val="both"/>
        <w:rPr>
          <w:rFonts w:ascii="Times New Roman" w:hAnsi="Times New Roman"/>
          <w:color w:val="FF0000"/>
          <w:sz w:val="28"/>
          <w:szCs w:val="28"/>
          <w:shd w:val="clear" w:color="auto" w:fill="FFFFFF"/>
        </w:rPr>
      </w:pPr>
      <w:r w:rsidRPr="00F90B6B">
        <w:rPr>
          <w:rFonts w:ascii="Times New Roman" w:hAnsi="Times New Roman"/>
          <w:sz w:val="28"/>
          <w:szCs w:val="28"/>
        </w:rPr>
        <w:t xml:space="preserve">3.Лазиди Е.Л. Влияние ожирения на кардиогемодинамические и эхокардиографические показатели у пациентов с хронической сердечной недостаточностью и сохраненной фракцией выброса левого желудочка /   Е.Л. Лазиди  // </w:t>
      </w:r>
      <w:r w:rsidRPr="00F90B6B">
        <w:rPr>
          <w:rFonts w:ascii="Times New Roman" w:hAnsi="Times New Roman"/>
          <w:sz w:val="28"/>
          <w:szCs w:val="28"/>
          <w:shd w:val="clear" w:color="auto" w:fill="FFFFFF"/>
          <w:lang w:val="en-US"/>
        </w:rPr>
        <w:t>International</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Scientific</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and</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Practical</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Conference</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WORLD</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SCIENCE</w:t>
      </w:r>
      <w:r w:rsidRPr="00F90B6B">
        <w:rPr>
          <w:rFonts w:ascii="Times New Roman" w:hAnsi="Times New Roman"/>
          <w:sz w:val="28"/>
          <w:szCs w:val="28"/>
          <w:shd w:val="clear" w:color="auto" w:fill="FFFFFF"/>
        </w:rPr>
        <w:t>»  (</w:t>
      </w:r>
      <w:r w:rsidRPr="00F90B6B">
        <w:rPr>
          <w:rFonts w:ascii="Times New Roman" w:hAnsi="Times New Roman"/>
          <w:sz w:val="28"/>
          <w:szCs w:val="28"/>
          <w:shd w:val="clear" w:color="auto" w:fill="FFFFFF"/>
          <w:lang w:val="en-US"/>
        </w:rPr>
        <w:t>Ajman</w:t>
      </w:r>
      <w:r w:rsidRPr="00F90B6B">
        <w:rPr>
          <w:rFonts w:ascii="Times New Roman" w:hAnsi="Times New Roman"/>
          <w:sz w:val="28"/>
          <w:szCs w:val="28"/>
          <w:shd w:val="clear" w:color="auto" w:fill="FFFFFF"/>
        </w:rPr>
        <w:t>,</w:t>
      </w:r>
      <w:r w:rsidRPr="00F90B6B">
        <w:rPr>
          <w:rFonts w:ascii="Times New Roman" w:hAnsi="Times New Roman"/>
          <w:sz w:val="28"/>
          <w:szCs w:val="28"/>
          <w:shd w:val="clear" w:color="auto" w:fill="FFFFFF"/>
          <w:lang w:val="en-US"/>
        </w:rPr>
        <w:t>UAE</w:t>
      </w:r>
      <w:r w:rsidRPr="00F90B6B">
        <w:rPr>
          <w:rFonts w:ascii="Times New Roman" w:hAnsi="Times New Roman"/>
          <w:sz w:val="28"/>
          <w:szCs w:val="28"/>
          <w:shd w:val="clear" w:color="auto" w:fill="FFFFFF"/>
        </w:rPr>
        <w:t xml:space="preserve">). – 2017. - №8(24). - </w:t>
      </w:r>
      <w:r w:rsidRPr="00F90B6B">
        <w:rPr>
          <w:rFonts w:ascii="Times New Roman" w:hAnsi="Times New Roman"/>
          <w:sz w:val="28"/>
          <w:szCs w:val="28"/>
          <w:shd w:val="clear" w:color="auto" w:fill="FFFFFF"/>
          <w:lang w:val="en-US"/>
        </w:rPr>
        <w:t>Vol</w:t>
      </w:r>
      <w:r w:rsidRPr="00F90B6B">
        <w:rPr>
          <w:rFonts w:ascii="Times New Roman" w:hAnsi="Times New Roman"/>
          <w:sz w:val="28"/>
          <w:szCs w:val="28"/>
          <w:shd w:val="clear" w:color="auto" w:fill="FFFFFF"/>
        </w:rPr>
        <w:t>.3. – Р. 60-65.</w:t>
      </w:r>
      <w:r w:rsidRPr="00F90B6B">
        <w:rPr>
          <w:rFonts w:ascii="Times New Roman" w:hAnsi="Times New Roman"/>
          <w:i/>
          <w:iCs/>
          <w:color w:val="000000"/>
          <w:sz w:val="28"/>
          <w:szCs w:val="28"/>
          <w:lang w:eastAsia="uk-UA"/>
        </w:rPr>
        <w:t xml:space="preserve"> </w:t>
      </w:r>
    </w:p>
    <w:p w:rsidR="00EF4063" w:rsidRPr="00F90B6B" w:rsidRDefault="00EF4063" w:rsidP="00F0048B">
      <w:pPr>
        <w:widowControl w:val="0"/>
        <w:spacing w:after="0" w:line="360" w:lineRule="auto"/>
        <w:jc w:val="both"/>
        <w:rPr>
          <w:rFonts w:ascii="Times New Roman" w:hAnsi="Times New Roman"/>
          <w:sz w:val="28"/>
          <w:szCs w:val="28"/>
          <w:shd w:val="clear" w:color="auto" w:fill="FFFFFF"/>
        </w:rPr>
      </w:pPr>
      <w:r w:rsidRPr="00F90B6B">
        <w:rPr>
          <w:rFonts w:ascii="Times New Roman" w:hAnsi="Times New Roman"/>
          <w:sz w:val="28"/>
          <w:szCs w:val="28"/>
          <w:shd w:val="clear" w:color="auto" w:fill="FFFFFF"/>
        </w:rPr>
        <w:t xml:space="preserve">4.Лазиди Е.Л. Связь диснатриемии  с показателями альдостерона, мозгового натрийуретического пептида и параметрами кардиогемодинамики у пациентов с хронической сердечной недостаточностью и сохраненной фракцией выброса левого желудочка / Е.Л. Лазиди., Ю.С. Рудык, Л.Л. Петенева  // Український терапевтичний журнал. – 2017. – №3. - С.38-44. </w:t>
      </w:r>
      <w:r w:rsidRPr="00F90B6B">
        <w:rPr>
          <w:rFonts w:ascii="Times New Roman" w:hAnsi="Times New Roman"/>
          <w:i/>
          <w:iCs/>
          <w:color w:val="000000"/>
          <w:sz w:val="28"/>
          <w:szCs w:val="28"/>
          <w:lang w:eastAsia="uk-UA"/>
        </w:rPr>
        <w:t>(Здобувачем проведено формування груп хворих, та їх обстеження, статистична обробка та інтерпретація результатів, написання та підготовка статті до друку).</w:t>
      </w:r>
    </w:p>
    <w:p w:rsidR="00EF4063" w:rsidRPr="00F90B6B" w:rsidRDefault="00EF4063" w:rsidP="00F0048B">
      <w:pPr>
        <w:widowControl w:val="0"/>
        <w:spacing w:after="0" w:line="360" w:lineRule="auto"/>
        <w:jc w:val="both"/>
        <w:rPr>
          <w:rFonts w:ascii="Times New Roman" w:hAnsi="Times New Roman"/>
          <w:sz w:val="28"/>
          <w:szCs w:val="28"/>
          <w:shd w:val="clear" w:color="auto" w:fill="FFFFFF"/>
        </w:rPr>
      </w:pPr>
      <w:r w:rsidRPr="00F90B6B">
        <w:rPr>
          <w:rFonts w:ascii="Times New Roman" w:hAnsi="Times New Roman"/>
          <w:sz w:val="28"/>
          <w:szCs w:val="28"/>
          <w:shd w:val="clear" w:color="auto" w:fill="FFFFFF"/>
        </w:rPr>
        <w:t xml:space="preserve">5.Лазиди Е.Л. Роль уровня ионов натрия в сыворотке крови в прогнозе риска смерти у пациентов с хронической сердечной недостаточностью и сохраненной фракцией выброса левого желудочка. / Е.Л. Лазиди., Ю.С. Рудык // Експериментальна і клінічна </w:t>
      </w:r>
      <w:r w:rsidRPr="00F90B6B">
        <w:rPr>
          <w:rFonts w:ascii="Times New Roman" w:hAnsi="Times New Roman"/>
          <w:sz w:val="28"/>
          <w:szCs w:val="28"/>
          <w:shd w:val="clear" w:color="auto" w:fill="FFFFFF"/>
        </w:rPr>
        <w:lastRenderedPageBreak/>
        <w:t>медицина. – 2017. - №4(77). – С. 32-37.</w:t>
      </w:r>
      <w:r w:rsidRPr="00F90B6B">
        <w:rPr>
          <w:rFonts w:ascii="Times New Roman" w:hAnsi="Times New Roman"/>
          <w:i/>
          <w:iCs/>
          <w:color w:val="000000"/>
          <w:sz w:val="28"/>
          <w:szCs w:val="28"/>
        </w:rPr>
        <w:t xml:space="preserve"> (Здобувач</w:t>
      </w:r>
      <w:r w:rsidRPr="00F90B6B">
        <w:rPr>
          <w:rFonts w:ascii="Times New Roman" w:hAnsi="Times New Roman"/>
          <w:i/>
          <w:iCs/>
          <w:sz w:val="28"/>
          <w:szCs w:val="28"/>
        </w:rPr>
        <w:t xml:space="preserve"> сформувала групи хворих, здійснила статистичний аналіз результатів, підготувала статтю до друку</w:t>
      </w:r>
      <w:r w:rsidRPr="00F90B6B">
        <w:rPr>
          <w:rFonts w:ascii="Times New Roman" w:hAnsi="Times New Roman"/>
          <w:i/>
          <w:iCs/>
          <w:color w:val="000000"/>
          <w:sz w:val="28"/>
          <w:szCs w:val="28"/>
        </w:rPr>
        <w:t>).</w:t>
      </w:r>
    </w:p>
    <w:p w:rsidR="00EF4063" w:rsidRDefault="00EF4063" w:rsidP="00F0048B">
      <w:pPr>
        <w:spacing w:after="0" w:line="360" w:lineRule="auto"/>
        <w:jc w:val="both"/>
        <w:rPr>
          <w:rFonts w:ascii="Times New Roman" w:hAnsi="Times New Roman"/>
          <w:i/>
          <w:iCs/>
          <w:color w:val="000000"/>
          <w:sz w:val="28"/>
          <w:szCs w:val="28"/>
          <w:lang w:eastAsia="uk-UA"/>
        </w:rPr>
      </w:pPr>
      <w:r w:rsidRPr="00F90B6B">
        <w:rPr>
          <w:rFonts w:ascii="Times New Roman" w:hAnsi="Times New Roman"/>
          <w:sz w:val="28"/>
          <w:szCs w:val="28"/>
        </w:rPr>
        <w:t>6.</w:t>
      </w:r>
      <w:r w:rsidRPr="00F90B6B">
        <w:rPr>
          <w:rFonts w:ascii="Times New Roman" w:hAnsi="Times New Roman"/>
          <w:sz w:val="28"/>
          <w:szCs w:val="28"/>
          <w:lang w:val="uz-Cyrl-UZ"/>
        </w:rPr>
        <w:t xml:space="preserve">Лазиди Е.Л. Гипонатриемия у пациентов с хронической сердечной недостаточностью и сохраненной фракцией выброса левого желудочка / Е.Л. Лазиди., Ю.С.  Рудык, Е.В. Высоцкая, А.И. Печерская, А.В. Болотских // </w:t>
      </w:r>
      <w:r w:rsidRPr="00F90B6B">
        <w:rPr>
          <w:rFonts w:ascii="Times New Roman" w:hAnsi="Times New Roman"/>
          <w:sz w:val="28"/>
          <w:szCs w:val="28"/>
          <w:shd w:val="clear" w:color="auto" w:fill="FFFFFF"/>
        </w:rPr>
        <w:t>«</w:t>
      </w:r>
      <w:r w:rsidRPr="00F90B6B">
        <w:rPr>
          <w:rFonts w:ascii="Times New Roman" w:hAnsi="Times New Roman"/>
          <w:sz w:val="28"/>
          <w:szCs w:val="28"/>
          <w:shd w:val="clear" w:color="auto" w:fill="FFFFFF"/>
          <w:lang w:val="uz-Cyrl-UZ"/>
        </w:rPr>
        <w:t xml:space="preserve">ScienceRise: Medical Science». – </w:t>
      </w:r>
      <w:r w:rsidRPr="00F90B6B">
        <w:rPr>
          <w:rFonts w:ascii="Times New Roman" w:hAnsi="Times New Roman"/>
          <w:sz w:val="28"/>
          <w:szCs w:val="28"/>
          <w:shd w:val="clear" w:color="auto" w:fill="FFFFFF"/>
        </w:rPr>
        <w:t xml:space="preserve">2018. – </w:t>
      </w:r>
      <w:r w:rsidRPr="00F90B6B">
        <w:rPr>
          <w:rFonts w:ascii="Times New Roman" w:hAnsi="Times New Roman"/>
          <w:sz w:val="28"/>
          <w:szCs w:val="28"/>
          <w:shd w:val="clear" w:color="auto" w:fill="FFFFFF"/>
          <w:lang w:val="uz-Cyrl-UZ"/>
        </w:rPr>
        <w:t>Vol.</w:t>
      </w:r>
      <w:r w:rsidRPr="00F90B6B">
        <w:rPr>
          <w:rFonts w:ascii="Times New Roman" w:hAnsi="Times New Roman"/>
          <w:sz w:val="28"/>
          <w:szCs w:val="28"/>
          <w:shd w:val="clear" w:color="auto" w:fill="FFFFFF"/>
        </w:rPr>
        <w:t xml:space="preserve"> 2(22). – Р.4-9.</w:t>
      </w:r>
      <w:r w:rsidRPr="00F90B6B">
        <w:rPr>
          <w:rFonts w:ascii="Times New Roman" w:hAnsi="Times New Roman"/>
          <w:i/>
          <w:iCs/>
          <w:color w:val="000000"/>
          <w:sz w:val="28"/>
          <w:szCs w:val="28"/>
          <w:lang w:val="uz-Cyrl-UZ" w:eastAsia="uk-UA"/>
        </w:rPr>
        <w:t xml:space="preserve"> </w:t>
      </w:r>
      <w:r w:rsidRPr="00F90B6B">
        <w:rPr>
          <w:rFonts w:ascii="Times New Roman" w:hAnsi="Times New Roman"/>
          <w:i/>
          <w:iCs/>
          <w:color w:val="000000"/>
          <w:sz w:val="28"/>
          <w:szCs w:val="28"/>
          <w:lang w:eastAsia="uk-UA"/>
        </w:rPr>
        <w:t xml:space="preserve">(Здобувачем проведено обстеження хворих, </w:t>
      </w:r>
      <w:r w:rsidRPr="00F90B6B">
        <w:rPr>
          <w:rFonts w:ascii="Times New Roman" w:hAnsi="Times New Roman"/>
          <w:i/>
          <w:iCs/>
          <w:color w:val="000000"/>
          <w:sz w:val="28"/>
          <w:szCs w:val="28"/>
        </w:rPr>
        <w:t>вивчення літератури,</w:t>
      </w:r>
      <w:r w:rsidRPr="00F90B6B">
        <w:rPr>
          <w:rFonts w:ascii="Times New Roman" w:hAnsi="Times New Roman"/>
          <w:i/>
          <w:iCs/>
          <w:color w:val="000000"/>
          <w:sz w:val="28"/>
          <w:szCs w:val="28"/>
          <w:lang w:val="ru-RU"/>
        </w:rPr>
        <w:t xml:space="preserve"> </w:t>
      </w:r>
      <w:r w:rsidRPr="00F90B6B">
        <w:rPr>
          <w:rFonts w:ascii="Times New Roman" w:hAnsi="Times New Roman"/>
          <w:i/>
          <w:iCs/>
          <w:color w:val="000000"/>
          <w:sz w:val="28"/>
          <w:szCs w:val="28"/>
        </w:rPr>
        <w:t xml:space="preserve">статистичний аналіз результатів, </w:t>
      </w:r>
      <w:r w:rsidRPr="00F90B6B">
        <w:rPr>
          <w:rFonts w:ascii="Times New Roman" w:hAnsi="Times New Roman"/>
          <w:i/>
          <w:iCs/>
          <w:color w:val="000000"/>
          <w:sz w:val="28"/>
          <w:szCs w:val="28"/>
          <w:lang w:eastAsia="uk-UA"/>
        </w:rPr>
        <w:t>написання та підготовка статті до друку).</w:t>
      </w:r>
    </w:p>
    <w:p w:rsidR="00EF4063" w:rsidRDefault="00EF4063" w:rsidP="00F0048B">
      <w:pPr>
        <w:spacing w:after="0" w:line="360" w:lineRule="auto"/>
        <w:jc w:val="both"/>
        <w:rPr>
          <w:rFonts w:ascii="Times New Roman" w:hAnsi="Times New Roman"/>
          <w:i/>
          <w:iCs/>
          <w:color w:val="000000"/>
          <w:sz w:val="28"/>
          <w:szCs w:val="28"/>
        </w:rPr>
      </w:pPr>
      <w:r w:rsidRPr="00F90B6B">
        <w:rPr>
          <w:rFonts w:ascii="Times New Roman" w:hAnsi="Times New Roman"/>
          <w:sz w:val="28"/>
          <w:szCs w:val="28"/>
          <w:shd w:val="clear" w:color="auto" w:fill="FFFFFF"/>
        </w:rPr>
        <w:t>7.</w:t>
      </w:r>
      <w:r w:rsidRPr="00F90B6B">
        <w:rPr>
          <w:rFonts w:ascii="Times New Roman" w:hAnsi="Times New Roman"/>
          <w:sz w:val="28"/>
          <w:szCs w:val="28"/>
        </w:rPr>
        <w:t xml:space="preserve">Лазіді К.Л. Прогностична роль ожиріння при хронічній серцевій недостатності – якість життя та функціональний стан нирок / К.Л. Лазіді.,  Ю.С. Рудик // </w:t>
      </w:r>
      <w:r w:rsidRPr="00F90B6B">
        <w:rPr>
          <w:rFonts w:ascii="Times New Roman" w:hAnsi="Times New Roman"/>
          <w:sz w:val="28"/>
          <w:szCs w:val="28"/>
          <w:lang w:val="uz-Cyrl-UZ"/>
        </w:rPr>
        <w:t>S</w:t>
      </w:r>
      <w:r w:rsidRPr="00F90B6B">
        <w:rPr>
          <w:rFonts w:ascii="Times New Roman" w:hAnsi="Times New Roman"/>
          <w:sz w:val="28"/>
          <w:szCs w:val="28"/>
        </w:rPr>
        <w:t>С</w:t>
      </w:r>
      <w:r w:rsidRPr="00F90B6B">
        <w:rPr>
          <w:rFonts w:ascii="Times New Roman" w:hAnsi="Times New Roman"/>
          <w:sz w:val="28"/>
          <w:szCs w:val="28"/>
          <w:lang w:val="uz-Cyrl-UZ"/>
        </w:rPr>
        <w:t>IENCE</w:t>
      </w:r>
      <w:r w:rsidRPr="00F90B6B">
        <w:rPr>
          <w:rFonts w:ascii="Times New Roman" w:hAnsi="Times New Roman"/>
          <w:sz w:val="28"/>
          <w:szCs w:val="28"/>
        </w:rPr>
        <w:t xml:space="preserve"> </w:t>
      </w:r>
      <w:r w:rsidRPr="00F90B6B">
        <w:rPr>
          <w:rFonts w:ascii="Times New Roman" w:hAnsi="Times New Roman"/>
          <w:sz w:val="28"/>
          <w:szCs w:val="28"/>
          <w:lang w:val="uz-Cyrl-UZ"/>
        </w:rPr>
        <w:t>REVIEW</w:t>
      </w:r>
      <w:r w:rsidRPr="00F90B6B">
        <w:rPr>
          <w:rFonts w:ascii="Times New Roman" w:hAnsi="Times New Roman"/>
          <w:sz w:val="28"/>
          <w:szCs w:val="28"/>
        </w:rPr>
        <w:t xml:space="preserve">. – 2018. - </w:t>
      </w:r>
      <w:r w:rsidRPr="00F90B6B">
        <w:rPr>
          <w:rFonts w:ascii="Times New Roman" w:hAnsi="Times New Roman"/>
          <w:sz w:val="28"/>
          <w:szCs w:val="28"/>
          <w:lang w:val="uz-Cyrl-UZ"/>
        </w:rPr>
        <w:t>Warsaw</w:t>
      </w:r>
      <w:r w:rsidRPr="00F90B6B">
        <w:rPr>
          <w:rFonts w:ascii="Times New Roman" w:hAnsi="Times New Roman"/>
          <w:sz w:val="28"/>
          <w:szCs w:val="28"/>
        </w:rPr>
        <w:t xml:space="preserve"> . - №7(14). – С.3-10.</w:t>
      </w:r>
      <w:r w:rsidRPr="00F90B6B">
        <w:rPr>
          <w:rFonts w:ascii="Times New Roman" w:hAnsi="Times New Roman"/>
          <w:i/>
          <w:iCs/>
          <w:color w:val="000000"/>
          <w:sz w:val="28"/>
          <w:szCs w:val="28"/>
        </w:rPr>
        <w:t xml:space="preserve"> (Здобувач</w:t>
      </w:r>
      <w:r w:rsidRPr="00F90B6B">
        <w:rPr>
          <w:rFonts w:ascii="Times New Roman" w:hAnsi="Times New Roman"/>
          <w:i/>
          <w:iCs/>
          <w:sz w:val="28"/>
          <w:szCs w:val="28"/>
        </w:rPr>
        <w:t xml:space="preserve"> сформувала групи хворих, провела анкетування та обстеження хворих, підготувала статтю до друку</w:t>
      </w:r>
      <w:r w:rsidRPr="00F90B6B">
        <w:rPr>
          <w:rFonts w:ascii="Times New Roman" w:hAnsi="Times New Roman"/>
          <w:i/>
          <w:iCs/>
          <w:color w:val="000000"/>
          <w:sz w:val="28"/>
          <w:szCs w:val="28"/>
        </w:rPr>
        <w:t>).</w:t>
      </w:r>
    </w:p>
    <w:p w:rsidR="00056EB5" w:rsidRPr="00056EB5" w:rsidRDefault="00056EB5" w:rsidP="00056EB5">
      <w:pPr>
        <w:spacing w:after="0" w:line="360" w:lineRule="auto"/>
        <w:ind w:firstLine="709"/>
        <w:jc w:val="both"/>
        <w:rPr>
          <w:rFonts w:ascii="Times New Roman" w:hAnsi="Times New Roman"/>
          <w:b/>
          <w:bCs/>
          <w:iCs/>
          <w:sz w:val="28"/>
          <w:szCs w:val="28"/>
        </w:rPr>
      </w:pPr>
      <w:r w:rsidRPr="007C1B76">
        <w:rPr>
          <w:rFonts w:ascii="Times New Roman" w:hAnsi="Times New Roman"/>
          <w:b/>
          <w:bCs/>
          <w:iCs/>
          <w:sz w:val="28"/>
          <w:szCs w:val="28"/>
        </w:rPr>
        <w:t>Опубліковані праці апробаційного характеру:</w:t>
      </w:r>
    </w:p>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sz w:val="28"/>
          <w:szCs w:val="28"/>
        </w:rPr>
        <w:t>8.Лазіді К.Л. Гіпонатріємія і прогноз хворих із ХСН: чи існує зв'язок? / К.Л. Лазіді, Ю.С. Рудик  // Матеріали науково-практичної конференції за участю міжнародних спеціалістів</w:t>
      </w:r>
      <w:r w:rsidRPr="00F90B6B">
        <w:rPr>
          <w:rFonts w:ascii="Times New Roman" w:hAnsi="Times New Roman"/>
          <w:caps/>
          <w:sz w:val="28"/>
          <w:szCs w:val="28"/>
        </w:rPr>
        <w:t xml:space="preserve"> </w:t>
      </w:r>
      <w:r w:rsidRPr="00F90B6B">
        <w:rPr>
          <w:rFonts w:ascii="Times New Roman" w:hAnsi="Times New Roman"/>
          <w:sz w:val="28"/>
          <w:szCs w:val="28"/>
        </w:rPr>
        <w:t>«Щорічні терапевтичні читання: Профілактика неінфекційних захворювань на перехресті терапевтичних наук</w:t>
      </w:r>
      <w:r w:rsidRPr="00F90B6B">
        <w:rPr>
          <w:rFonts w:ascii="Times New Roman" w:hAnsi="Times New Roman"/>
          <w:caps/>
          <w:sz w:val="28"/>
          <w:szCs w:val="28"/>
        </w:rPr>
        <w:t>». 21</w:t>
      </w:r>
      <w:r w:rsidRPr="00F90B6B">
        <w:rPr>
          <w:rFonts w:ascii="Times New Roman" w:hAnsi="Times New Roman"/>
          <w:sz w:val="28"/>
          <w:szCs w:val="28"/>
        </w:rPr>
        <w:t xml:space="preserve"> квітня</w:t>
      </w:r>
      <w:r w:rsidRPr="00F90B6B">
        <w:rPr>
          <w:rFonts w:ascii="Times New Roman" w:hAnsi="Times New Roman"/>
          <w:caps/>
          <w:sz w:val="28"/>
          <w:szCs w:val="28"/>
        </w:rPr>
        <w:t xml:space="preserve"> </w:t>
      </w:r>
      <w:r w:rsidRPr="00F90B6B">
        <w:rPr>
          <w:rFonts w:ascii="Times New Roman" w:hAnsi="Times New Roman"/>
          <w:sz w:val="28"/>
          <w:szCs w:val="28"/>
        </w:rPr>
        <w:t>2016 р. Харків. С. 281.</w:t>
      </w:r>
    </w:p>
    <w:p w:rsidR="00EF4063" w:rsidRPr="00F90B6B" w:rsidRDefault="006A67A8" w:rsidP="00F0048B">
      <w:pPr>
        <w:spacing w:after="0" w:line="360" w:lineRule="auto"/>
        <w:jc w:val="both"/>
        <w:rPr>
          <w:rFonts w:ascii="Times New Roman" w:hAnsi="Times New Roman"/>
          <w:sz w:val="28"/>
          <w:szCs w:val="28"/>
        </w:rPr>
      </w:pPr>
      <w:r>
        <w:rPr>
          <w:rFonts w:ascii="Times New Roman" w:hAnsi="Times New Roman"/>
          <w:sz w:val="28"/>
          <w:szCs w:val="28"/>
        </w:rPr>
        <w:t>9</w:t>
      </w:r>
      <w:r w:rsidR="00EF4063" w:rsidRPr="00F90B6B">
        <w:rPr>
          <w:rFonts w:ascii="Times New Roman" w:hAnsi="Times New Roman"/>
          <w:sz w:val="28"/>
          <w:szCs w:val="28"/>
        </w:rPr>
        <w:t xml:space="preserve">.Лазіді К.Л. </w:t>
      </w:r>
      <w:r w:rsidR="00EF4063" w:rsidRPr="00F90B6B">
        <w:rPr>
          <w:rStyle w:val="shorttext"/>
          <w:rFonts w:ascii="Times New Roman" w:hAnsi="Times New Roman"/>
          <w:sz w:val="28"/>
          <w:szCs w:val="28"/>
        </w:rPr>
        <w:t xml:space="preserve">Електролітні </w:t>
      </w:r>
      <w:r w:rsidR="00EF4063" w:rsidRPr="00F90B6B">
        <w:rPr>
          <w:rFonts w:ascii="Times New Roman" w:hAnsi="Times New Roman"/>
          <w:sz w:val="28"/>
          <w:szCs w:val="28"/>
        </w:rPr>
        <w:t>порушення у хворих із хронічною серцевою недостатністю / К.Л. Лазіді, Ю.С. Рудик // Матеріали науково-практичної конференції молодих учених за участю міжнародних спеціалістів,</w:t>
      </w:r>
      <w:r w:rsidR="00EF4063" w:rsidRPr="00F90B6B">
        <w:rPr>
          <w:rFonts w:ascii="Times New Roman" w:hAnsi="Times New Roman"/>
          <w:spacing w:val="8"/>
          <w:sz w:val="28"/>
          <w:szCs w:val="28"/>
        </w:rPr>
        <w:t xml:space="preserve"> присвячена Дню науки </w:t>
      </w:r>
      <w:r w:rsidR="00EF4063" w:rsidRPr="00F90B6B">
        <w:rPr>
          <w:rFonts w:ascii="Times New Roman" w:hAnsi="Times New Roman"/>
          <w:sz w:val="28"/>
          <w:szCs w:val="28"/>
        </w:rPr>
        <w:t>«Медична наука та клінічна практика - 2016». 20 травня 2016 р. Харків. С. 56-57.</w:t>
      </w:r>
    </w:p>
    <w:p w:rsidR="00EF4063" w:rsidRPr="00F90B6B" w:rsidRDefault="006A67A8" w:rsidP="00F0048B">
      <w:pPr>
        <w:spacing w:after="0" w:line="360" w:lineRule="auto"/>
        <w:jc w:val="both"/>
        <w:rPr>
          <w:rFonts w:ascii="Times New Roman" w:hAnsi="Times New Roman"/>
          <w:sz w:val="28"/>
          <w:szCs w:val="28"/>
        </w:rPr>
      </w:pPr>
      <w:r>
        <w:rPr>
          <w:rFonts w:ascii="Times New Roman" w:hAnsi="Times New Roman"/>
          <w:sz w:val="28"/>
          <w:szCs w:val="28"/>
        </w:rPr>
        <w:t>10</w:t>
      </w:r>
      <w:r w:rsidR="00EF4063" w:rsidRPr="00F90B6B">
        <w:rPr>
          <w:rFonts w:ascii="Times New Roman" w:hAnsi="Times New Roman"/>
          <w:sz w:val="28"/>
          <w:szCs w:val="28"/>
        </w:rPr>
        <w:t>.Лазіді К.Л.</w:t>
      </w:r>
      <w:r w:rsidR="00EF4063" w:rsidRPr="00F90B6B">
        <w:rPr>
          <w:rFonts w:ascii="Times New Roman" w:hAnsi="Times New Roman"/>
          <w:sz w:val="28"/>
          <w:szCs w:val="28"/>
          <w:shd w:val="clear" w:color="auto" w:fill="FFFFFF"/>
        </w:rPr>
        <w:t xml:space="preserve"> Предиктори розвитку ускладнень хронічної серцевої недостатності зі збереженою фракцією викиду у пацієнтів із супутнім ожирінням / </w:t>
      </w:r>
      <w:r w:rsidR="00EF4063" w:rsidRPr="00F90B6B">
        <w:rPr>
          <w:rFonts w:ascii="Times New Roman" w:hAnsi="Times New Roman"/>
          <w:sz w:val="28"/>
          <w:szCs w:val="28"/>
        </w:rPr>
        <w:t>К.Л. Лазіді, Ю.С. Рудик // Матеріали науково-практичної конференції за участю міжнародних спеціалістів “Стратегії профілактики неінфекційних хвороб та шляхи їх реалізації: від постулатів минулого в майбутнє”. 4 листопада 2016 р. Харків. С. 182</w:t>
      </w:r>
    </w:p>
    <w:p w:rsidR="00EF4063" w:rsidRPr="00F90B6B" w:rsidRDefault="006A67A8" w:rsidP="00F0048B">
      <w:pPr>
        <w:spacing w:after="0" w:line="360" w:lineRule="auto"/>
        <w:jc w:val="both"/>
        <w:rPr>
          <w:rFonts w:ascii="Times New Roman" w:hAnsi="Times New Roman"/>
          <w:sz w:val="28"/>
          <w:szCs w:val="28"/>
          <w:shd w:val="clear" w:color="auto" w:fill="FFFFFF"/>
        </w:rPr>
      </w:pPr>
      <w:r>
        <w:rPr>
          <w:rFonts w:ascii="Times New Roman" w:hAnsi="Times New Roman"/>
          <w:sz w:val="28"/>
          <w:szCs w:val="28"/>
        </w:rPr>
        <w:t>11</w:t>
      </w:r>
      <w:r w:rsidR="00EF4063" w:rsidRPr="00F90B6B">
        <w:rPr>
          <w:rFonts w:ascii="Times New Roman" w:hAnsi="Times New Roman"/>
          <w:sz w:val="28"/>
          <w:szCs w:val="28"/>
        </w:rPr>
        <w:t>.Лазіді К.Л.</w:t>
      </w:r>
      <w:r w:rsidR="00EF4063" w:rsidRPr="00F90B6B">
        <w:rPr>
          <w:rFonts w:ascii="Times New Roman" w:hAnsi="Times New Roman"/>
          <w:sz w:val="28"/>
          <w:szCs w:val="28"/>
          <w:shd w:val="clear" w:color="auto" w:fill="FFFFFF"/>
        </w:rPr>
        <w:t xml:space="preserve"> Які фактори впливають на клінічний перебіг у пацієнтів з хронічною серцевою недостатністю зі збереженою фракцією викиду лівого шлуночка? / </w:t>
      </w:r>
      <w:r w:rsidR="00EF4063" w:rsidRPr="00F90B6B">
        <w:rPr>
          <w:rFonts w:ascii="Times New Roman" w:hAnsi="Times New Roman"/>
          <w:sz w:val="28"/>
          <w:szCs w:val="28"/>
        </w:rPr>
        <w:t xml:space="preserve">К.Л. Лазіді, Ю.С. Рудик // Матеріали </w:t>
      </w:r>
      <w:r w:rsidR="00EF4063" w:rsidRPr="00F90B6B">
        <w:rPr>
          <w:rFonts w:ascii="Times New Roman" w:hAnsi="Times New Roman"/>
          <w:sz w:val="28"/>
          <w:szCs w:val="28"/>
          <w:shd w:val="clear" w:color="auto" w:fill="FFFFFF"/>
        </w:rPr>
        <w:t xml:space="preserve">щорічної підсумкової науково-практичної </w:t>
      </w:r>
      <w:r w:rsidR="00EF4063" w:rsidRPr="00F90B6B">
        <w:rPr>
          <w:rFonts w:ascii="Times New Roman" w:hAnsi="Times New Roman"/>
          <w:sz w:val="28"/>
          <w:szCs w:val="28"/>
          <w:shd w:val="clear" w:color="auto" w:fill="FFFFFF"/>
        </w:rPr>
        <w:lastRenderedPageBreak/>
        <w:t>конференції молодих вчених Харківської медичної академії післядипломної освіти «Медицина 21 століття». 24 листопада 2016 р. Харків. С.61.</w:t>
      </w:r>
    </w:p>
    <w:p w:rsidR="00EF4063" w:rsidRPr="00F90B6B" w:rsidRDefault="006A67A8" w:rsidP="00F0048B">
      <w:pPr>
        <w:spacing w:after="0" w:line="360" w:lineRule="auto"/>
        <w:jc w:val="both"/>
        <w:rPr>
          <w:rFonts w:ascii="Times New Roman" w:hAnsi="Times New Roman"/>
          <w:sz w:val="28"/>
          <w:szCs w:val="28"/>
        </w:rPr>
      </w:pPr>
      <w:r>
        <w:rPr>
          <w:rFonts w:ascii="Times New Roman" w:hAnsi="Times New Roman"/>
          <w:sz w:val="28"/>
          <w:szCs w:val="28"/>
        </w:rPr>
        <w:t>12</w:t>
      </w:r>
      <w:r w:rsidR="00EF4063" w:rsidRPr="00F90B6B">
        <w:rPr>
          <w:rFonts w:ascii="Times New Roman" w:hAnsi="Times New Roman"/>
          <w:sz w:val="28"/>
          <w:szCs w:val="28"/>
        </w:rPr>
        <w:t>.Лазіді К.Л.</w:t>
      </w:r>
      <w:r w:rsidR="00EF4063" w:rsidRPr="00F90B6B">
        <w:rPr>
          <w:rFonts w:ascii="Times New Roman" w:hAnsi="Times New Roman"/>
          <w:sz w:val="28"/>
          <w:szCs w:val="28"/>
          <w:shd w:val="clear" w:color="auto" w:fill="FFFFFF"/>
        </w:rPr>
        <w:t xml:space="preserve"> </w:t>
      </w:r>
      <w:r w:rsidR="00EF4063" w:rsidRPr="00F90B6B">
        <w:rPr>
          <w:rFonts w:ascii="Times New Roman" w:hAnsi="Times New Roman"/>
          <w:sz w:val="28"/>
          <w:szCs w:val="28"/>
        </w:rPr>
        <w:t>Чи  впливає дисбаланс електролітів на розвиток ускладнень у пацієнтів з хронічною серцевою недостатністю? / К.Л. Лазіді, Ю.С. Рудик // Матеріали Всеукраїнської науково-практичної конференції молодих учених «Медична наука в практику охорони здоров`я». 9 грудня  2016 р. Полтава. С. 39.</w:t>
      </w:r>
    </w:p>
    <w:p w:rsidR="00EF4063" w:rsidRPr="00F90B6B" w:rsidRDefault="006A67A8" w:rsidP="00F0048B">
      <w:pPr>
        <w:widowControl w:val="0"/>
        <w:spacing w:after="0"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rPr>
        <w:t>13</w:t>
      </w:r>
      <w:r w:rsidR="00EF4063" w:rsidRPr="00F90B6B">
        <w:rPr>
          <w:rFonts w:ascii="Times New Roman" w:hAnsi="Times New Roman"/>
          <w:sz w:val="28"/>
          <w:szCs w:val="28"/>
          <w:shd w:val="clear" w:color="auto" w:fill="FFFFFF"/>
        </w:rPr>
        <w:t>.</w:t>
      </w:r>
      <w:r w:rsidR="00EF4063" w:rsidRPr="00F90B6B">
        <w:rPr>
          <w:rFonts w:ascii="Times New Roman" w:hAnsi="Times New Roman"/>
          <w:sz w:val="28"/>
          <w:szCs w:val="28"/>
        </w:rPr>
        <w:t>Лазіді К.Л.</w:t>
      </w:r>
      <w:r w:rsidR="00EF4063" w:rsidRPr="00F90B6B">
        <w:rPr>
          <w:rFonts w:ascii="Times New Roman" w:hAnsi="Times New Roman"/>
          <w:sz w:val="28"/>
          <w:szCs w:val="28"/>
          <w:shd w:val="clear" w:color="auto" w:fill="FFFFFF"/>
        </w:rPr>
        <w:t xml:space="preserve"> Електролітні порушення  у пацієнтів з хронічною серцевою недостатністю зі збереженою фракцією викиду лівого шлуночка і супутнім ожирінням: чи  існує зв’язок? / </w:t>
      </w:r>
      <w:r w:rsidR="00EF4063" w:rsidRPr="00F90B6B">
        <w:rPr>
          <w:rFonts w:ascii="Times New Roman" w:hAnsi="Times New Roman"/>
          <w:sz w:val="28"/>
          <w:szCs w:val="28"/>
        </w:rPr>
        <w:t>К.Л. Лазіді, Ю.С. Рудик // Матеріали</w:t>
      </w:r>
      <w:r w:rsidR="00EF4063" w:rsidRPr="00F90B6B">
        <w:rPr>
          <w:rFonts w:ascii="Times New Roman" w:hAnsi="Times New Roman"/>
          <w:sz w:val="28"/>
          <w:szCs w:val="28"/>
          <w:shd w:val="clear" w:color="auto" w:fill="FFFFFF"/>
        </w:rPr>
        <w:t xml:space="preserve"> </w:t>
      </w:r>
      <w:r w:rsidR="00EF4063" w:rsidRPr="00F90B6B">
        <w:rPr>
          <w:rFonts w:ascii="Times New Roman" w:hAnsi="Times New Roman"/>
          <w:sz w:val="28"/>
          <w:szCs w:val="28"/>
        </w:rPr>
        <w:t>міжнародної науково-практичної конференції «Світова медицина: сучасні тенденції та фактори розвитку». 27-28 січня 2017 р. Львів. С. 22-23.</w:t>
      </w:r>
    </w:p>
    <w:p w:rsidR="00EF4063" w:rsidRPr="00F90B6B" w:rsidRDefault="006A67A8" w:rsidP="00F0048B">
      <w:pPr>
        <w:spacing w:after="0" w:line="360" w:lineRule="auto"/>
        <w:jc w:val="both"/>
        <w:rPr>
          <w:rFonts w:ascii="Times New Roman" w:hAnsi="Times New Roman"/>
          <w:sz w:val="28"/>
          <w:szCs w:val="28"/>
        </w:rPr>
      </w:pPr>
      <w:r>
        <w:rPr>
          <w:rFonts w:ascii="Times New Roman" w:hAnsi="Times New Roman"/>
          <w:sz w:val="28"/>
          <w:szCs w:val="28"/>
        </w:rPr>
        <w:t>14</w:t>
      </w:r>
      <w:r w:rsidR="00EF4063" w:rsidRPr="00F90B6B">
        <w:rPr>
          <w:rFonts w:ascii="Times New Roman" w:hAnsi="Times New Roman"/>
          <w:sz w:val="28"/>
          <w:szCs w:val="28"/>
        </w:rPr>
        <w:t>.Лазіді К.Л. Чи впливає рівень альдостерону на зміну рівнів іонів калію та натрію у пацієнтів із хронічною серцевою недостатністю зі збереженою фракцією викиду лівого шлуночка із супутнім ожирінням?</w:t>
      </w:r>
      <w:r w:rsidR="00EF4063" w:rsidRPr="00F90B6B">
        <w:rPr>
          <w:rFonts w:ascii="Times New Roman" w:hAnsi="Times New Roman"/>
          <w:sz w:val="28"/>
          <w:szCs w:val="28"/>
          <w:shd w:val="clear" w:color="auto" w:fill="FFFFFF"/>
        </w:rPr>
        <w:t>/</w:t>
      </w:r>
      <w:r w:rsidR="00EF4063" w:rsidRPr="00F90B6B">
        <w:rPr>
          <w:rFonts w:ascii="Times New Roman" w:hAnsi="Times New Roman"/>
          <w:sz w:val="28"/>
          <w:szCs w:val="28"/>
        </w:rPr>
        <w:t xml:space="preserve"> К.Л. Лазіді, Ю.С. Рудик // Матеріали</w:t>
      </w:r>
      <w:r w:rsidR="00EF4063" w:rsidRPr="00F90B6B">
        <w:rPr>
          <w:rFonts w:ascii="Times New Roman" w:hAnsi="Times New Roman"/>
          <w:sz w:val="28"/>
          <w:szCs w:val="28"/>
          <w:lang w:val="uz-Cyrl-UZ"/>
        </w:rPr>
        <w:t xml:space="preserve"> науково-практичн</w:t>
      </w:r>
      <w:r w:rsidR="00EF4063" w:rsidRPr="00F90B6B">
        <w:rPr>
          <w:rFonts w:ascii="Times New Roman" w:hAnsi="Times New Roman"/>
          <w:sz w:val="28"/>
          <w:szCs w:val="28"/>
        </w:rPr>
        <w:t>ої</w:t>
      </w:r>
      <w:r w:rsidR="00EF4063" w:rsidRPr="00F90B6B">
        <w:rPr>
          <w:rFonts w:ascii="Times New Roman" w:hAnsi="Times New Roman"/>
          <w:sz w:val="28"/>
          <w:szCs w:val="28"/>
          <w:lang w:val="uz-Cyrl-UZ"/>
        </w:rPr>
        <w:t xml:space="preserve"> конференці</w:t>
      </w:r>
      <w:r w:rsidR="00EF4063" w:rsidRPr="00F90B6B">
        <w:rPr>
          <w:rFonts w:ascii="Times New Roman" w:hAnsi="Times New Roman"/>
          <w:sz w:val="28"/>
          <w:szCs w:val="28"/>
        </w:rPr>
        <w:t>ї</w:t>
      </w:r>
      <w:r w:rsidR="00EF4063" w:rsidRPr="00F90B6B">
        <w:rPr>
          <w:rFonts w:ascii="Times New Roman" w:hAnsi="Times New Roman"/>
          <w:sz w:val="28"/>
          <w:szCs w:val="28"/>
          <w:lang w:val="uz-Cyrl-UZ"/>
        </w:rPr>
        <w:t xml:space="preserve"> з міжнародною участю «Щорічні терапевтичні читання: медикаментозна та немедикаментозна пофілактика неінфекційних захворювань: погляд в майбутнє»</w:t>
      </w:r>
      <w:r w:rsidR="00EF4063" w:rsidRPr="00F90B6B">
        <w:rPr>
          <w:rFonts w:ascii="Times New Roman" w:hAnsi="Times New Roman"/>
          <w:sz w:val="28"/>
          <w:szCs w:val="28"/>
        </w:rPr>
        <w:t>.</w:t>
      </w:r>
      <w:r w:rsidR="00EF4063" w:rsidRPr="00F90B6B">
        <w:rPr>
          <w:rFonts w:ascii="Times New Roman" w:hAnsi="Times New Roman"/>
          <w:sz w:val="28"/>
          <w:szCs w:val="28"/>
          <w:lang w:val="uz-Cyrl-UZ"/>
        </w:rPr>
        <w:t xml:space="preserve"> 20 квітня 2017 р</w:t>
      </w:r>
      <w:r w:rsidR="00EF4063" w:rsidRPr="00F90B6B">
        <w:rPr>
          <w:rFonts w:ascii="Times New Roman" w:hAnsi="Times New Roman"/>
          <w:sz w:val="28"/>
          <w:szCs w:val="28"/>
        </w:rPr>
        <w:t xml:space="preserve">. </w:t>
      </w:r>
      <w:r w:rsidR="00EF4063" w:rsidRPr="00F90B6B">
        <w:rPr>
          <w:rFonts w:ascii="Times New Roman" w:hAnsi="Times New Roman"/>
          <w:sz w:val="28"/>
          <w:szCs w:val="28"/>
          <w:lang w:val="uz-Cyrl-UZ"/>
        </w:rPr>
        <w:t>Харків</w:t>
      </w:r>
      <w:r w:rsidR="00EF4063" w:rsidRPr="00F90B6B">
        <w:rPr>
          <w:rFonts w:ascii="Times New Roman" w:hAnsi="Times New Roman"/>
          <w:sz w:val="28"/>
          <w:szCs w:val="28"/>
        </w:rPr>
        <w:t xml:space="preserve">. С. 164.  </w:t>
      </w:r>
    </w:p>
    <w:p w:rsidR="00EF4063" w:rsidRPr="00F90B6B" w:rsidRDefault="006A67A8" w:rsidP="00F0048B">
      <w:pPr>
        <w:spacing w:after="0" w:line="360" w:lineRule="auto"/>
        <w:jc w:val="both"/>
        <w:rPr>
          <w:rFonts w:ascii="Times New Roman" w:hAnsi="Times New Roman"/>
          <w:sz w:val="28"/>
          <w:szCs w:val="28"/>
        </w:rPr>
      </w:pPr>
      <w:r>
        <w:rPr>
          <w:rFonts w:ascii="Times New Roman" w:hAnsi="Times New Roman"/>
          <w:sz w:val="28"/>
          <w:szCs w:val="28"/>
        </w:rPr>
        <w:t>15</w:t>
      </w:r>
      <w:r w:rsidR="00EF4063" w:rsidRPr="00F90B6B">
        <w:rPr>
          <w:rFonts w:ascii="Times New Roman" w:hAnsi="Times New Roman"/>
          <w:sz w:val="28"/>
          <w:szCs w:val="28"/>
        </w:rPr>
        <w:t xml:space="preserve">.Лазиди Е.Л. </w:t>
      </w:r>
      <w:r w:rsidR="00EF4063" w:rsidRPr="00F90B6B">
        <w:rPr>
          <w:rFonts w:ascii="Times New Roman" w:hAnsi="Times New Roman"/>
          <w:sz w:val="28"/>
          <w:szCs w:val="28"/>
          <w:shd w:val="clear" w:color="auto" w:fill="FFFFFF"/>
        </w:rPr>
        <w:t xml:space="preserve">Связь ожирения и избыточной массы тела с показателями эхокардиографии у пациентов с хронической сердечной недостаточностью / </w:t>
      </w:r>
      <w:r w:rsidR="00EF4063" w:rsidRPr="00F90B6B">
        <w:rPr>
          <w:rFonts w:ascii="Times New Roman" w:hAnsi="Times New Roman"/>
          <w:sz w:val="28"/>
          <w:szCs w:val="28"/>
          <w:shd w:val="clear" w:color="auto" w:fill="FFFFFF"/>
          <w:lang w:val="ru-RU"/>
        </w:rPr>
        <w:br/>
      </w:r>
      <w:r w:rsidR="00EF4063" w:rsidRPr="00F90B6B">
        <w:rPr>
          <w:rFonts w:ascii="Times New Roman" w:hAnsi="Times New Roman"/>
          <w:sz w:val="28"/>
          <w:szCs w:val="28"/>
        </w:rPr>
        <w:t>Е.Л. Лазиди //Матеріали науково-практичної конференції з участю міжнародних спеціалістів, присвяченої Дню науки «Медична наука на перетині спеціальностей: сьогодення і майбутнє».19 травня 2017</w:t>
      </w:r>
      <w:r w:rsidR="00EF4063" w:rsidRPr="00F90B6B">
        <w:rPr>
          <w:rFonts w:ascii="Times New Roman" w:hAnsi="Times New Roman"/>
          <w:sz w:val="28"/>
          <w:szCs w:val="28"/>
          <w:lang w:val="ru-RU"/>
        </w:rPr>
        <w:t>р</w:t>
      </w:r>
      <w:r w:rsidR="00EF4063" w:rsidRPr="00F90B6B">
        <w:rPr>
          <w:rFonts w:ascii="Times New Roman" w:hAnsi="Times New Roman"/>
          <w:sz w:val="28"/>
          <w:szCs w:val="28"/>
        </w:rPr>
        <w:t>. Харків. С.62</w:t>
      </w:r>
    </w:p>
    <w:p w:rsidR="00EF4063" w:rsidRPr="00F90B6B" w:rsidRDefault="006A67A8" w:rsidP="00F0048B">
      <w:pPr>
        <w:spacing w:after="0" w:line="360" w:lineRule="auto"/>
        <w:jc w:val="both"/>
        <w:rPr>
          <w:rFonts w:ascii="Times New Roman" w:hAnsi="Times New Roman"/>
          <w:sz w:val="28"/>
          <w:szCs w:val="28"/>
          <w:lang w:val="ru-RU"/>
        </w:rPr>
      </w:pPr>
      <w:r>
        <w:rPr>
          <w:rFonts w:ascii="Times New Roman" w:hAnsi="Times New Roman"/>
          <w:sz w:val="28"/>
          <w:szCs w:val="28"/>
        </w:rPr>
        <w:t>16</w:t>
      </w:r>
      <w:r w:rsidR="00EF4063" w:rsidRPr="00F90B6B">
        <w:rPr>
          <w:rFonts w:ascii="Times New Roman" w:hAnsi="Times New Roman"/>
          <w:sz w:val="28"/>
          <w:szCs w:val="28"/>
        </w:rPr>
        <w:t>.Лазіді К.Л.</w:t>
      </w:r>
      <w:r w:rsidR="00EF4063" w:rsidRPr="00F90B6B">
        <w:rPr>
          <w:rFonts w:ascii="Times New Roman" w:hAnsi="Times New Roman"/>
          <w:sz w:val="28"/>
          <w:szCs w:val="28"/>
          <w:shd w:val="clear" w:color="auto" w:fill="FFFFFF"/>
        </w:rPr>
        <w:t xml:space="preserve"> Гіпонатріємія у пацієнтів з хронічною серцевою недостатністю і супутнім ожирінням: чи змінюється прогноз? / </w:t>
      </w:r>
      <w:r w:rsidR="00EF4063" w:rsidRPr="00F90B6B">
        <w:rPr>
          <w:rFonts w:ascii="Times New Roman" w:hAnsi="Times New Roman"/>
          <w:sz w:val="28"/>
          <w:szCs w:val="28"/>
        </w:rPr>
        <w:t>К.Л. Лазіді  // Матеріали</w:t>
      </w:r>
      <w:r w:rsidR="00EF4063" w:rsidRPr="00F90B6B">
        <w:rPr>
          <w:rFonts w:ascii="Times New Roman" w:hAnsi="Times New Roman"/>
          <w:sz w:val="28"/>
          <w:szCs w:val="28"/>
          <w:lang w:val="uz-Cyrl-UZ"/>
        </w:rPr>
        <w:t xml:space="preserve"> міжнародн</w:t>
      </w:r>
      <w:r w:rsidR="00EF4063" w:rsidRPr="00F90B6B">
        <w:rPr>
          <w:rFonts w:ascii="Times New Roman" w:hAnsi="Times New Roman"/>
          <w:sz w:val="28"/>
          <w:szCs w:val="28"/>
        </w:rPr>
        <w:t>ої</w:t>
      </w:r>
      <w:r w:rsidR="00EF4063" w:rsidRPr="00F90B6B">
        <w:rPr>
          <w:rFonts w:ascii="Times New Roman" w:hAnsi="Times New Roman"/>
          <w:sz w:val="28"/>
          <w:szCs w:val="28"/>
          <w:lang w:val="uz-Cyrl-UZ"/>
        </w:rPr>
        <w:t xml:space="preserve"> науково-практичн</w:t>
      </w:r>
      <w:r w:rsidR="00EF4063" w:rsidRPr="00F90B6B">
        <w:rPr>
          <w:rFonts w:ascii="Times New Roman" w:hAnsi="Times New Roman"/>
          <w:sz w:val="28"/>
          <w:szCs w:val="28"/>
        </w:rPr>
        <w:t>ої</w:t>
      </w:r>
      <w:r w:rsidR="00EF4063" w:rsidRPr="00F90B6B">
        <w:rPr>
          <w:rFonts w:ascii="Times New Roman" w:hAnsi="Times New Roman"/>
          <w:sz w:val="28"/>
          <w:szCs w:val="28"/>
          <w:lang w:val="uz-Cyrl-UZ"/>
        </w:rPr>
        <w:t xml:space="preserve"> конференці</w:t>
      </w:r>
      <w:r w:rsidR="00EF4063" w:rsidRPr="00F90B6B">
        <w:rPr>
          <w:rFonts w:ascii="Times New Roman" w:hAnsi="Times New Roman"/>
          <w:sz w:val="28"/>
          <w:szCs w:val="28"/>
        </w:rPr>
        <w:t xml:space="preserve">ї </w:t>
      </w:r>
      <w:r w:rsidR="00EF4063" w:rsidRPr="00F90B6B">
        <w:rPr>
          <w:rFonts w:ascii="Times New Roman" w:hAnsi="Times New Roman"/>
          <w:sz w:val="28"/>
          <w:szCs w:val="28"/>
          <w:lang w:val="uz-Cyrl-UZ"/>
        </w:rPr>
        <w:t>«Сучасні тенденції розвитку медичної науки та медичної практики»</w:t>
      </w:r>
      <w:r w:rsidR="00EF4063" w:rsidRPr="00F90B6B">
        <w:rPr>
          <w:rFonts w:ascii="Times New Roman" w:hAnsi="Times New Roman"/>
          <w:sz w:val="28"/>
          <w:szCs w:val="28"/>
        </w:rPr>
        <w:t xml:space="preserve">. </w:t>
      </w:r>
      <w:r w:rsidR="00EF4063" w:rsidRPr="00F90B6B">
        <w:rPr>
          <w:rFonts w:ascii="Times New Roman" w:hAnsi="Times New Roman"/>
          <w:sz w:val="28"/>
          <w:szCs w:val="28"/>
          <w:lang w:val="uz-Cyrl-UZ"/>
        </w:rPr>
        <w:t>22-23 грудня 2017 р</w:t>
      </w:r>
      <w:r w:rsidR="00EF4063" w:rsidRPr="00F90B6B">
        <w:rPr>
          <w:rFonts w:ascii="Times New Roman" w:hAnsi="Times New Roman"/>
          <w:sz w:val="28"/>
          <w:szCs w:val="28"/>
        </w:rPr>
        <w:t>.</w:t>
      </w:r>
      <w:r w:rsidR="00EF4063" w:rsidRPr="00F90B6B">
        <w:rPr>
          <w:rFonts w:ascii="Times New Roman" w:hAnsi="Times New Roman"/>
          <w:sz w:val="28"/>
          <w:szCs w:val="28"/>
          <w:lang w:val="uz-Cyrl-UZ"/>
        </w:rPr>
        <w:t xml:space="preserve"> Львів</w:t>
      </w:r>
      <w:r w:rsidR="00EF4063" w:rsidRPr="00F90B6B">
        <w:rPr>
          <w:rFonts w:ascii="Times New Roman" w:hAnsi="Times New Roman"/>
          <w:sz w:val="28"/>
          <w:szCs w:val="28"/>
        </w:rPr>
        <w:t>. С. 23.</w:t>
      </w:r>
    </w:p>
    <w:p w:rsidR="00EF4063" w:rsidRPr="00F90B6B" w:rsidRDefault="006A67A8" w:rsidP="00F0048B">
      <w:pPr>
        <w:spacing w:after="0" w:line="360" w:lineRule="auto"/>
        <w:jc w:val="both"/>
        <w:rPr>
          <w:rFonts w:ascii="Times New Roman" w:hAnsi="Times New Roman"/>
          <w:sz w:val="28"/>
          <w:szCs w:val="28"/>
        </w:rPr>
      </w:pPr>
      <w:r>
        <w:rPr>
          <w:rFonts w:ascii="Times New Roman" w:hAnsi="Times New Roman"/>
          <w:sz w:val="28"/>
          <w:szCs w:val="28"/>
        </w:rPr>
        <w:t>17</w:t>
      </w:r>
      <w:r w:rsidR="00EF4063" w:rsidRPr="00F90B6B">
        <w:rPr>
          <w:rFonts w:ascii="Times New Roman" w:hAnsi="Times New Roman"/>
          <w:sz w:val="28"/>
          <w:szCs w:val="28"/>
        </w:rPr>
        <w:t>.</w:t>
      </w:r>
      <w:r w:rsidR="00EF4063" w:rsidRPr="00F90B6B">
        <w:rPr>
          <w:rFonts w:ascii="Times New Roman" w:hAnsi="Times New Roman"/>
          <w:sz w:val="28"/>
          <w:szCs w:val="28"/>
          <w:shd w:val="clear" w:color="auto" w:fill="FFFFFF"/>
        </w:rPr>
        <w:t>Лазиди Е.Л.</w:t>
      </w:r>
      <w:r w:rsidR="00EF4063" w:rsidRPr="00F90B6B">
        <w:rPr>
          <w:rFonts w:ascii="Times New Roman" w:hAnsi="Times New Roman"/>
          <w:b/>
          <w:bCs/>
          <w:sz w:val="28"/>
          <w:szCs w:val="28"/>
        </w:rPr>
        <w:t xml:space="preserve"> </w:t>
      </w:r>
      <w:r w:rsidR="00EF4063" w:rsidRPr="00F90B6B">
        <w:rPr>
          <w:rFonts w:ascii="Times New Roman" w:hAnsi="Times New Roman"/>
          <w:sz w:val="28"/>
          <w:szCs w:val="28"/>
        </w:rPr>
        <w:t>Связь ожирения и избыточной массы тела с показателями кардиогемодинамики у пациентов с хронической сердечной недостаточностью.</w:t>
      </w:r>
      <w:r w:rsidR="00EF4063" w:rsidRPr="00F90B6B">
        <w:rPr>
          <w:rFonts w:ascii="Times New Roman" w:hAnsi="Times New Roman"/>
          <w:b/>
          <w:bCs/>
          <w:sz w:val="28"/>
          <w:szCs w:val="28"/>
        </w:rPr>
        <w:t xml:space="preserve"> / </w:t>
      </w:r>
      <w:r w:rsidR="00EF4063" w:rsidRPr="00F90B6B">
        <w:rPr>
          <w:rFonts w:ascii="Times New Roman" w:hAnsi="Times New Roman"/>
          <w:sz w:val="28"/>
          <w:szCs w:val="28"/>
        </w:rPr>
        <w:t xml:space="preserve">Е.Л. Лазиди </w:t>
      </w:r>
      <w:r w:rsidR="00EF4063" w:rsidRPr="00F90B6B">
        <w:rPr>
          <w:rFonts w:ascii="Times New Roman" w:hAnsi="Times New Roman"/>
          <w:b/>
          <w:bCs/>
          <w:sz w:val="28"/>
          <w:szCs w:val="28"/>
        </w:rPr>
        <w:t xml:space="preserve">// </w:t>
      </w:r>
      <w:r w:rsidR="00EF4063" w:rsidRPr="00F90B6B">
        <w:rPr>
          <w:rFonts w:ascii="Times New Roman" w:hAnsi="Times New Roman"/>
          <w:sz w:val="28"/>
          <w:szCs w:val="28"/>
        </w:rPr>
        <w:t>Матеріали</w:t>
      </w:r>
      <w:r w:rsidR="00EF4063" w:rsidRPr="00F90B6B">
        <w:rPr>
          <w:rFonts w:ascii="Times New Roman" w:hAnsi="Times New Roman"/>
          <w:sz w:val="28"/>
          <w:szCs w:val="28"/>
          <w:shd w:val="clear" w:color="auto" w:fill="FFFFFF"/>
        </w:rPr>
        <w:t xml:space="preserve"> </w:t>
      </w:r>
      <w:r w:rsidR="00EF4063" w:rsidRPr="00F90B6B">
        <w:rPr>
          <w:rFonts w:ascii="Times New Roman" w:hAnsi="Times New Roman"/>
          <w:sz w:val="28"/>
          <w:szCs w:val="28"/>
          <w:lang w:val="uz-Cyrl-UZ"/>
        </w:rPr>
        <w:t>науково-практичн</w:t>
      </w:r>
      <w:r w:rsidR="00EF4063" w:rsidRPr="00F90B6B">
        <w:rPr>
          <w:rFonts w:ascii="Times New Roman" w:hAnsi="Times New Roman"/>
          <w:sz w:val="28"/>
          <w:szCs w:val="28"/>
        </w:rPr>
        <w:t xml:space="preserve">ої </w:t>
      </w:r>
      <w:r w:rsidR="00EF4063" w:rsidRPr="00F90B6B">
        <w:rPr>
          <w:rFonts w:ascii="Times New Roman" w:hAnsi="Times New Roman"/>
          <w:sz w:val="28"/>
          <w:szCs w:val="28"/>
          <w:lang w:val="uz-Cyrl-UZ"/>
        </w:rPr>
        <w:t>конференці</w:t>
      </w:r>
      <w:r w:rsidR="00EF4063" w:rsidRPr="00F90B6B">
        <w:rPr>
          <w:rFonts w:ascii="Times New Roman" w:hAnsi="Times New Roman"/>
          <w:sz w:val="28"/>
          <w:szCs w:val="28"/>
        </w:rPr>
        <w:t>ї</w:t>
      </w:r>
      <w:r w:rsidR="00EF4063" w:rsidRPr="00F90B6B">
        <w:rPr>
          <w:rFonts w:ascii="Times New Roman" w:hAnsi="Times New Roman"/>
          <w:sz w:val="28"/>
          <w:szCs w:val="28"/>
          <w:lang w:val="uz-Cyrl-UZ"/>
        </w:rPr>
        <w:t xml:space="preserve"> за участю міжнародних спеціалістів “Щорічні терапевтичні читання. Профілактика неінфекційних </w:t>
      </w:r>
      <w:r w:rsidR="00EF4063" w:rsidRPr="00F90B6B">
        <w:rPr>
          <w:rFonts w:ascii="Times New Roman" w:hAnsi="Times New Roman"/>
          <w:sz w:val="28"/>
          <w:szCs w:val="28"/>
          <w:lang w:val="uz-Cyrl-UZ"/>
        </w:rPr>
        <w:lastRenderedPageBreak/>
        <w:t>захворювань –</w:t>
      </w:r>
      <w:r w:rsidR="00EF4063" w:rsidRPr="00F90B6B">
        <w:rPr>
          <w:rFonts w:ascii="Times New Roman" w:hAnsi="Times New Roman"/>
          <w:sz w:val="28"/>
          <w:szCs w:val="28"/>
        </w:rPr>
        <w:t xml:space="preserve"> </w:t>
      </w:r>
      <w:r w:rsidR="00EF4063" w:rsidRPr="00F90B6B">
        <w:rPr>
          <w:rFonts w:ascii="Times New Roman" w:hAnsi="Times New Roman"/>
          <w:sz w:val="28"/>
          <w:szCs w:val="28"/>
          <w:lang w:val="uz-Cyrl-UZ"/>
        </w:rPr>
        <w:t>пріоритет сучасної науки та практики”</w:t>
      </w:r>
      <w:r w:rsidR="00EF4063" w:rsidRPr="00F90B6B">
        <w:rPr>
          <w:rFonts w:ascii="Times New Roman" w:hAnsi="Times New Roman"/>
          <w:sz w:val="28"/>
          <w:szCs w:val="28"/>
        </w:rPr>
        <w:t xml:space="preserve">.  </w:t>
      </w:r>
      <w:r w:rsidR="00EF4063" w:rsidRPr="00F90B6B">
        <w:rPr>
          <w:rFonts w:ascii="Times New Roman" w:hAnsi="Times New Roman"/>
          <w:sz w:val="28"/>
          <w:szCs w:val="28"/>
          <w:lang w:val="uz-Cyrl-UZ"/>
        </w:rPr>
        <w:t>20 квітня 2018</w:t>
      </w:r>
      <w:r w:rsidR="00EF4063" w:rsidRPr="00F90B6B">
        <w:rPr>
          <w:rFonts w:ascii="Times New Roman" w:hAnsi="Times New Roman"/>
          <w:sz w:val="28"/>
          <w:szCs w:val="28"/>
        </w:rPr>
        <w:t>р. Харків. С. 127.</w:t>
      </w:r>
    </w:p>
    <w:p w:rsidR="00EF4063" w:rsidRPr="00F90B6B" w:rsidRDefault="006A67A8" w:rsidP="00F0048B">
      <w:pPr>
        <w:widowControl w:val="0"/>
        <w:spacing w:after="0" w:line="360" w:lineRule="auto"/>
        <w:jc w:val="both"/>
        <w:rPr>
          <w:rFonts w:ascii="Times New Roman" w:hAnsi="Times New Roman"/>
          <w:sz w:val="28"/>
          <w:szCs w:val="28"/>
        </w:rPr>
      </w:pPr>
      <w:r>
        <w:rPr>
          <w:rFonts w:ascii="Times New Roman" w:hAnsi="Times New Roman"/>
          <w:sz w:val="28"/>
          <w:szCs w:val="28"/>
        </w:rPr>
        <w:t>18</w:t>
      </w:r>
      <w:r w:rsidR="00EF4063" w:rsidRPr="00F90B6B">
        <w:rPr>
          <w:rFonts w:ascii="Times New Roman" w:hAnsi="Times New Roman"/>
          <w:sz w:val="28"/>
          <w:szCs w:val="28"/>
        </w:rPr>
        <w:t>.Лазиди Е.Л.</w:t>
      </w:r>
      <w:r w:rsidR="00EF4063" w:rsidRPr="00F90B6B">
        <w:rPr>
          <w:rFonts w:ascii="Times New Roman" w:hAnsi="Times New Roman"/>
          <w:sz w:val="28"/>
          <w:szCs w:val="28"/>
          <w:shd w:val="clear" w:color="auto" w:fill="FFFFFF"/>
        </w:rPr>
        <w:t xml:space="preserve">  Гипонатриемия у пациентов с хронической сердечной недостаточностью и сохраненной фракцией выброса левого желудочка </w:t>
      </w:r>
      <w:r w:rsidR="00EF4063" w:rsidRPr="00F90B6B">
        <w:rPr>
          <w:rFonts w:ascii="Times New Roman" w:hAnsi="Times New Roman"/>
          <w:b/>
          <w:bCs/>
          <w:sz w:val="28"/>
          <w:szCs w:val="28"/>
        </w:rPr>
        <w:t xml:space="preserve">/ </w:t>
      </w:r>
      <w:r w:rsidR="00EF4063" w:rsidRPr="00F90B6B">
        <w:rPr>
          <w:rFonts w:ascii="Times New Roman" w:hAnsi="Times New Roman"/>
          <w:sz w:val="28"/>
          <w:szCs w:val="28"/>
        </w:rPr>
        <w:t>Е.Л. Лазиди, Ю.С. Рудык // Матеріали</w:t>
      </w:r>
      <w:r w:rsidR="00EF4063" w:rsidRPr="00F90B6B">
        <w:rPr>
          <w:rFonts w:ascii="Times New Roman" w:hAnsi="Times New Roman"/>
          <w:b/>
          <w:bCs/>
          <w:sz w:val="28"/>
          <w:szCs w:val="28"/>
        </w:rPr>
        <w:t xml:space="preserve"> </w:t>
      </w:r>
      <w:r w:rsidR="00EF4063" w:rsidRPr="00F90B6B">
        <w:rPr>
          <w:rFonts w:ascii="Times New Roman" w:hAnsi="Times New Roman"/>
          <w:sz w:val="28"/>
          <w:szCs w:val="28"/>
        </w:rPr>
        <w:t>науково-практичної конференції молодих вчених з міжнародною участю присвяченої 25-річному ювілею НАМН України та  Дню науки «Профілактична медицина сьогодні: внесок молодих спеціалістів». 24 травня 2018 р. Харків. С. 33.</w:t>
      </w:r>
    </w:p>
    <w:p w:rsidR="00EF4063" w:rsidRDefault="006A67A8" w:rsidP="00F0048B">
      <w:pPr>
        <w:spacing w:after="0" w:line="360" w:lineRule="auto"/>
        <w:jc w:val="both"/>
        <w:rPr>
          <w:rFonts w:ascii="Times New Roman" w:hAnsi="Times New Roman"/>
          <w:sz w:val="28"/>
          <w:szCs w:val="28"/>
        </w:rPr>
      </w:pPr>
      <w:r>
        <w:rPr>
          <w:rFonts w:ascii="Times New Roman" w:hAnsi="Times New Roman"/>
          <w:sz w:val="28"/>
          <w:szCs w:val="28"/>
        </w:rPr>
        <w:t>19</w:t>
      </w:r>
      <w:r w:rsidR="00EF4063" w:rsidRPr="00F90B6B">
        <w:rPr>
          <w:rFonts w:ascii="Times New Roman" w:hAnsi="Times New Roman"/>
          <w:sz w:val="28"/>
          <w:szCs w:val="28"/>
        </w:rPr>
        <w:t xml:space="preserve">.Лазиди Е.Л. Встречаемость гипонатриемии у пациентов с хронической сердечной недостаточностью и сохраненной фракцией выброса левого желудочка / </w:t>
      </w:r>
      <w:r w:rsidR="00EF4063" w:rsidRPr="00F90B6B">
        <w:rPr>
          <w:rFonts w:ascii="Times New Roman" w:hAnsi="Times New Roman"/>
          <w:sz w:val="28"/>
          <w:szCs w:val="28"/>
          <w:lang w:val="ru-RU"/>
        </w:rPr>
        <w:br/>
      </w:r>
      <w:r w:rsidR="00EF4063" w:rsidRPr="00F90B6B">
        <w:rPr>
          <w:rFonts w:ascii="Times New Roman" w:hAnsi="Times New Roman"/>
          <w:sz w:val="28"/>
          <w:szCs w:val="28"/>
        </w:rPr>
        <w:t>Е.Л. Лазиди, Ю.С. Рудык // Матеріали Х</w:t>
      </w:r>
      <w:r w:rsidR="00EF4063" w:rsidRPr="00F90B6B">
        <w:rPr>
          <w:rFonts w:ascii="Times New Roman" w:hAnsi="Times New Roman"/>
          <w:sz w:val="28"/>
          <w:szCs w:val="28"/>
          <w:lang w:val="en-US"/>
        </w:rPr>
        <w:t>I</w:t>
      </w:r>
      <w:r w:rsidR="00EF4063" w:rsidRPr="00F90B6B">
        <w:rPr>
          <w:rFonts w:ascii="Times New Roman" w:hAnsi="Times New Roman"/>
          <w:sz w:val="28"/>
          <w:szCs w:val="28"/>
        </w:rPr>
        <w:t>Х національного конгресу кардіологів України. 26-28 вересня 2018 р. Київ. С.166</w:t>
      </w:r>
    </w:p>
    <w:p w:rsidR="006A67A8" w:rsidRPr="006A67A8" w:rsidRDefault="006A67A8" w:rsidP="006A67A8">
      <w:pPr>
        <w:spacing w:after="0" w:line="360" w:lineRule="auto"/>
        <w:ind w:firstLine="709"/>
        <w:contextualSpacing/>
        <w:jc w:val="both"/>
        <w:rPr>
          <w:rFonts w:ascii="Times New Roman" w:hAnsi="Times New Roman"/>
          <w:b/>
          <w:iCs/>
          <w:sz w:val="28"/>
          <w:szCs w:val="28"/>
        </w:rPr>
      </w:pPr>
      <w:r w:rsidRPr="007C1B76">
        <w:rPr>
          <w:rFonts w:ascii="Times New Roman" w:hAnsi="Times New Roman"/>
          <w:b/>
          <w:iCs/>
          <w:sz w:val="28"/>
          <w:szCs w:val="28"/>
        </w:rPr>
        <w:t>Опубліковані праці, що додатково відображають наукові результати дослідження:</w:t>
      </w:r>
    </w:p>
    <w:p w:rsidR="006A67A8" w:rsidRPr="00F90B6B" w:rsidRDefault="006A67A8" w:rsidP="006A67A8">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t>20.</w:t>
      </w:r>
      <w:r w:rsidRPr="00F90B6B">
        <w:rPr>
          <w:rFonts w:ascii="Times New Roman" w:hAnsi="Times New Roman"/>
          <w:sz w:val="28"/>
          <w:szCs w:val="28"/>
          <w:lang w:eastAsia="ru-RU"/>
        </w:rPr>
        <w:t xml:space="preserve">Лазіді К.Л. «Спосіб прогнозування прогресування хронічної серцевої недостатності у хворих зі збереженою фракцією викиду лівого шлуночка, гіпонатріємією та супутнім ожирінням»/ К.Л. Лазіді, Ю.С. Рудик // Патент № 129891, UA, МПК:G01N 33/48.; Державна установа «Національний інститут терапії імені Л.Т.Малої НАМН України». – опубл. 12.11.2018, Бюл. № 21. </w:t>
      </w:r>
      <w:r w:rsidRPr="00F90B6B">
        <w:rPr>
          <w:rFonts w:ascii="Times New Roman" w:hAnsi="Times New Roman"/>
          <w:sz w:val="28"/>
          <w:szCs w:val="28"/>
        </w:rPr>
        <w:t>(</w:t>
      </w:r>
      <w:r w:rsidRPr="00F90B6B">
        <w:rPr>
          <w:rFonts w:ascii="Times New Roman" w:hAnsi="Times New Roman"/>
          <w:i/>
          <w:iCs/>
          <w:sz w:val="28"/>
          <w:szCs w:val="28"/>
        </w:rPr>
        <w:t>Здобувачем проведено клінічне обстеження пацієнтів, статистичний аналіз і узагальнення результатів, розроблено та оформлено заявку до розгляду БРіВ</w:t>
      </w:r>
      <w:r w:rsidRPr="00F90B6B">
        <w:rPr>
          <w:rFonts w:ascii="Times New Roman" w:hAnsi="Times New Roman"/>
          <w:sz w:val="28"/>
          <w:szCs w:val="28"/>
        </w:rPr>
        <w:t>).</w:t>
      </w:r>
    </w:p>
    <w:p w:rsidR="006A67A8" w:rsidRPr="006A67A8" w:rsidRDefault="006A67A8" w:rsidP="00F0048B">
      <w:pPr>
        <w:spacing w:after="0" w:line="360" w:lineRule="auto"/>
        <w:jc w:val="both"/>
        <w:rPr>
          <w:rFonts w:ascii="Times New Roman" w:hAnsi="Times New Roman"/>
          <w:sz w:val="28"/>
          <w:szCs w:val="28"/>
        </w:rPr>
      </w:pPr>
    </w:p>
    <w:p w:rsidR="00EF4063" w:rsidRPr="00F90B6B" w:rsidRDefault="00EF4063" w:rsidP="00F0048B">
      <w:pPr>
        <w:spacing w:line="360" w:lineRule="auto"/>
        <w:jc w:val="center"/>
        <w:rPr>
          <w:rFonts w:ascii="Times New Roman" w:hAnsi="Times New Roman"/>
          <w:b/>
          <w:sz w:val="28"/>
          <w:szCs w:val="28"/>
        </w:rPr>
      </w:pPr>
    </w:p>
    <w:p w:rsidR="00EF4063" w:rsidRPr="00F90B6B" w:rsidRDefault="00EF4063" w:rsidP="00F0048B">
      <w:pPr>
        <w:spacing w:line="360" w:lineRule="auto"/>
        <w:rPr>
          <w:rFonts w:ascii="Times New Roman" w:hAnsi="Times New Roman"/>
          <w:b/>
          <w:sz w:val="28"/>
          <w:szCs w:val="28"/>
          <w:lang w:val="ru-RU"/>
        </w:rPr>
      </w:pPr>
    </w:p>
    <w:p w:rsidR="00EF4063" w:rsidRDefault="00EF4063" w:rsidP="00F0048B">
      <w:pPr>
        <w:spacing w:line="360" w:lineRule="auto"/>
        <w:jc w:val="center"/>
        <w:rPr>
          <w:rFonts w:ascii="Times New Roman" w:hAnsi="Times New Roman"/>
          <w:b/>
          <w:sz w:val="28"/>
          <w:szCs w:val="28"/>
        </w:rPr>
      </w:pPr>
    </w:p>
    <w:p w:rsidR="006432F5" w:rsidRDefault="006432F5" w:rsidP="00F0048B">
      <w:pPr>
        <w:spacing w:line="360" w:lineRule="auto"/>
        <w:jc w:val="center"/>
        <w:rPr>
          <w:rFonts w:ascii="Times New Roman" w:hAnsi="Times New Roman"/>
          <w:b/>
          <w:sz w:val="28"/>
          <w:szCs w:val="28"/>
        </w:rPr>
      </w:pPr>
    </w:p>
    <w:p w:rsidR="006432F5" w:rsidRDefault="006432F5" w:rsidP="00F0048B">
      <w:pPr>
        <w:spacing w:line="360" w:lineRule="auto"/>
        <w:jc w:val="center"/>
        <w:rPr>
          <w:rFonts w:ascii="Times New Roman" w:hAnsi="Times New Roman"/>
          <w:b/>
          <w:sz w:val="28"/>
          <w:szCs w:val="28"/>
        </w:rPr>
      </w:pPr>
    </w:p>
    <w:p w:rsidR="006432F5" w:rsidRPr="00F90B6B" w:rsidRDefault="006432F5" w:rsidP="00F0048B">
      <w:pPr>
        <w:spacing w:line="360" w:lineRule="auto"/>
        <w:jc w:val="center"/>
        <w:rPr>
          <w:rFonts w:ascii="Times New Roman" w:hAnsi="Times New Roman"/>
          <w:b/>
          <w:sz w:val="28"/>
          <w:szCs w:val="28"/>
          <w:lang w:val="ru-RU"/>
        </w:rPr>
      </w:pPr>
    </w:p>
    <w:p w:rsidR="00EF4063" w:rsidRPr="007F242B" w:rsidRDefault="00EF4063" w:rsidP="00F0048B">
      <w:pPr>
        <w:spacing w:line="360" w:lineRule="auto"/>
        <w:jc w:val="center"/>
        <w:rPr>
          <w:rFonts w:ascii="Times New Roman" w:hAnsi="Times New Roman"/>
          <w:sz w:val="28"/>
          <w:szCs w:val="28"/>
          <w:lang w:val="ru-RU"/>
        </w:rPr>
      </w:pPr>
      <w:r w:rsidRPr="007F242B">
        <w:rPr>
          <w:rFonts w:ascii="Times New Roman" w:hAnsi="Times New Roman"/>
          <w:sz w:val="28"/>
          <w:szCs w:val="28"/>
        </w:rPr>
        <w:lastRenderedPageBreak/>
        <w:t>ЗМІСТ</w:t>
      </w:r>
    </w:p>
    <w:p w:rsidR="00EF4063" w:rsidRPr="007F242B" w:rsidRDefault="00EF4063" w:rsidP="00F0048B">
      <w:pPr>
        <w:spacing w:line="360" w:lineRule="auto"/>
        <w:jc w:val="center"/>
        <w:rPr>
          <w:rFonts w:ascii="Times New Roman" w:hAnsi="Times New Roman"/>
          <w:sz w:val="28"/>
          <w:szCs w:val="28"/>
          <w:lang w:val="ru-RU"/>
        </w:rPr>
      </w:pPr>
    </w:p>
    <w:p w:rsidR="00EF4063" w:rsidRPr="007F242B" w:rsidRDefault="00EF4063" w:rsidP="00BC619F">
      <w:pPr>
        <w:tabs>
          <w:tab w:val="right" w:leader="dot" w:pos="10107"/>
        </w:tabs>
        <w:spacing w:after="0" w:line="360" w:lineRule="auto"/>
        <w:rPr>
          <w:rFonts w:ascii="Times New Roman" w:hAnsi="Times New Roman"/>
          <w:sz w:val="28"/>
          <w:szCs w:val="28"/>
          <w:lang w:val="ru-RU"/>
        </w:rPr>
      </w:pPr>
      <w:r w:rsidRPr="007F242B">
        <w:rPr>
          <w:rFonts w:ascii="Times New Roman" w:hAnsi="Times New Roman"/>
          <w:sz w:val="28"/>
          <w:szCs w:val="28"/>
        </w:rPr>
        <w:t>ПЕРЕЛІК УМОВНИХ СКОРОЧЕНЬ</w:t>
      </w:r>
      <w:r w:rsidRPr="007F242B">
        <w:rPr>
          <w:rFonts w:ascii="Times New Roman" w:hAnsi="Times New Roman"/>
          <w:sz w:val="28"/>
          <w:szCs w:val="28"/>
          <w:lang w:val="ru-RU"/>
        </w:rPr>
        <w:tab/>
      </w:r>
      <w:r w:rsidR="003A19D1">
        <w:rPr>
          <w:rFonts w:ascii="Times New Roman" w:hAnsi="Times New Roman"/>
          <w:sz w:val="28"/>
          <w:szCs w:val="28"/>
          <w:lang w:val="ru-RU"/>
        </w:rPr>
        <w:t>20</w:t>
      </w:r>
    </w:p>
    <w:p w:rsidR="00EF4063" w:rsidRPr="007F242B" w:rsidRDefault="00EF4063" w:rsidP="00BC619F">
      <w:pPr>
        <w:tabs>
          <w:tab w:val="right" w:leader="dot" w:pos="10107"/>
        </w:tabs>
        <w:spacing w:after="0" w:line="360" w:lineRule="auto"/>
        <w:rPr>
          <w:rFonts w:ascii="Times New Roman" w:hAnsi="Times New Roman"/>
          <w:sz w:val="28"/>
          <w:szCs w:val="28"/>
          <w:lang w:val="ru-RU"/>
        </w:rPr>
      </w:pPr>
      <w:r w:rsidRPr="007F242B">
        <w:rPr>
          <w:rFonts w:ascii="Times New Roman" w:hAnsi="Times New Roman"/>
          <w:sz w:val="28"/>
          <w:szCs w:val="28"/>
        </w:rPr>
        <w:t>ВСТУП</w:t>
      </w:r>
      <w:r w:rsidRPr="007F242B">
        <w:rPr>
          <w:rFonts w:ascii="Times New Roman" w:hAnsi="Times New Roman"/>
          <w:sz w:val="28"/>
          <w:szCs w:val="28"/>
          <w:lang w:val="ru-RU"/>
        </w:rPr>
        <w:tab/>
      </w:r>
      <w:r w:rsidR="003A19D1">
        <w:rPr>
          <w:rFonts w:ascii="Times New Roman" w:hAnsi="Times New Roman"/>
          <w:sz w:val="28"/>
          <w:szCs w:val="28"/>
          <w:lang w:val="ru-RU"/>
        </w:rPr>
        <w:t>22</w:t>
      </w:r>
    </w:p>
    <w:p w:rsidR="00EF4063" w:rsidRPr="00F90B6B" w:rsidRDefault="00EF4063" w:rsidP="00BC619F">
      <w:pPr>
        <w:tabs>
          <w:tab w:val="right" w:leader="dot" w:pos="10107"/>
        </w:tabs>
        <w:spacing w:after="0" w:line="360" w:lineRule="auto"/>
        <w:rPr>
          <w:rFonts w:ascii="Times New Roman" w:hAnsi="Times New Roman"/>
          <w:b/>
          <w:sz w:val="28"/>
          <w:szCs w:val="28"/>
        </w:rPr>
      </w:pPr>
      <w:r w:rsidRPr="007F242B">
        <w:rPr>
          <w:rFonts w:ascii="Times New Roman" w:hAnsi="Times New Roman"/>
          <w:sz w:val="28"/>
          <w:szCs w:val="28"/>
        </w:rPr>
        <w:t>РОЗДІЛ 1. ОГЛЯД ЛІТЕРАТУРИ</w:t>
      </w:r>
      <w:r w:rsidRPr="00F90B6B">
        <w:rPr>
          <w:rFonts w:ascii="Times New Roman" w:hAnsi="Times New Roman"/>
          <w:sz w:val="28"/>
          <w:szCs w:val="28"/>
        </w:rPr>
        <w:tab/>
      </w:r>
      <w:r w:rsidR="003A19D1">
        <w:rPr>
          <w:rFonts w:ascii="Times New Roman" w:hAnsi="Times New Roman"/>
          <w:sz w:val="28"/>
          <w:szCs w:val="28"/>
        </w:rPr>
        <w:t>29</w:t>
      </w:r>
    </w:p>
    <w:p w:rsidR="00E00DE6" w:rsidRPr="00F90B6B" w:rsidRDefault="00EF4063" w:rsidP="00BC619F">
      <w:pPr>
        <w:pStyle w:val="1"/>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 xml:space="preserve">1.1. Сучасні погляди про механізми розвитку, особливості перебігу та </w:t>
      </w:r>
    </w:p>
    <w:p w:rsidR="00E00DE6" w:rsidRPr="00F90B6B" w:rsidRDefault="00EF4063" w:rsidP="00BC619F">
      <w:pPr>
        <w:pStyle w:val="1"/>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 xml:space="preserve">підходи до корекції за поєднаного перебігу хронічної серцевої </w:t>
      </w:r>
    </w:p>
    <w:p w:rsidR="00EF4063" w:rsidRPr="00F90B6B" w:rsidRDefault="00EF4063" w:rsidP="00BC619F">
      <w:pPr>
        <w:pStyle w:val="1"/>
        <w:tabs>
          <w:tab w:val="right" w:leader="dot" w:pos="10107"/>
        </w:tabs>
        <w:spacing w:after="0" w:line="360" w:lineRule="auto"/>
        <w:ind w:left="567"/>
        <w:rPr>
          <w:rFonts w:ascii="Times New Roman" w:hAnsi="Times New Roman"/>
          <w:sz w:val="28"/>
          <w:szCs w:val="28"/>
        </w:rPr>
      </w:pPr>
      <w:r w:rsidRPr="00F90B6B">
        <w:rPr>
          <w:rFonts w:ascii="Times New Roman" w:hAnsi="Times New Roman"/>
          <w:sz w:val="28"/>
          <w:szCs w:val="28"/>
        </w:rPr>
        <w:t>недостатності та ожиріння</w:t>
      </w:r>
      <w:r w:rsidRPr="00F90B6B">
        <w:rPr>
          <w:rFonts w:ascii="Times New Roman" w:hAnsi="Times New Roman"/>
          <w:sz w:val="28"/>
          <w:szCs w:val="28"/>
        </w:rPr>
        <w:tab/>
      </w:r>
      <w:r w:rsidR="003A19D1">
        <w:rPr>
          <w:rFonts w:ascii="Times New Roman" w:hAnsi="Times New Roman"/>
          <w:sz w:val="28"/>
          <w:szCs w:val="28"/>
        </w:rPr>
        <w:t>29</w:t>
      </w:r>
    </w:p>
    <w:p w:rsidR="00EF4063" w:rsidRPr="00F90B6B" w:rsidRDefault="00EF4063" w:rsidP="00BC619F">
      <w:pPr>
        <w:pStyle w:val="1"/>
        <w:tabs>
          <w:tab w:val="right" w:leader="dot" w:pos="10107"/>
        </w:tabs>
        <w:spacing w:after="0" w:line="360" w:lineRule="auto"/>
        <w:ind w:left="1134"/>
        <w:rPr>
          <w:rFonts w:ascii="Times New Roman" w:hAnsi="Times New Roman"/>
          <w:sz w:val="28"/>
          <w:szCs w:val="28"/>
        </w:rPr>
      </w:pPr>
      <w:r w:rsidRPr="00F90B6B">
        <w:rPr>
          <w:rFonts w:ascii="Times New Roman" w:hAnsi="Times New Roman"/>
          <w:sz w:val="28"/>
          <w:szCs w:val="28"/>
          <w:lang w:val="ru-RU"/>
        </w:rPr>
        <w:t xml:space="preserve">1.1.1. </w:t>
      </w:r>
      <w:r w:rsidRPr="00F90B6B">
        <w:rPr>
          <w:rFonts w:ascii="Times New Roman" w:hAnsi="Times New Roman"/>
          <w:sz w:val="28"/>
          <w:szCs w:val="28"/>
        </w:rPr>
        <w:t>Механізми розвитку, особливості перебігу та фактори ризику за поєднаного перебігу хронічної серцевої недостатності та ожиріння</w:t>
      </w:r>
      <w:r w:rsidRPr="00F90B6B">
        <w:rPr>
          <w:rFonts w:ascii="Times New Roman" w:hAnsi="Times New Roman"/>
          <w:sz w:val="28"/>
          <w:szCs w:val="28"/>
          <w:lang w:val="ru-RU"/>
        </w:rPr>
        <w:tab/>
      </w:r>
      <w:r w:rsidR="003A19D1">
        <w:rPr>
          <w:rFonts w:ascii="Times New Roman" w:hAnsi="Times New Roman"/>
          <w:sz w:val="28"/>
          <w:szCs w:val="28"/>
          <w:lang w:val="ru-RU"/>
        </w:rPr>
        <w:t>29</w:t>
      </w:r>
    </w:p>
    <w:p w:rsidR="00EF4063" w:rsidRPr="00F90B6B" w:rsidRDefault="00EF4063" w:rsidP="00BC619F">
      <w:pPr>
        <w:pStyle w:val="1"/>
        <w:tabs>
          <w:tab w:val="right" w:leader="dot" w:pos="10107"/>
        </w:tabs>
        <w:spacing w:after="0" w:line="360" w:lineRule="auto"/>
        <w:ind w:left="1134"/>
        <w:rPr>
          <w:rFonts w:ascii="Times New Roman" w:hAnsi="Times New Roman"/>
          <w:sz w:val="28"/>
          <w:szCs w:val="28"/>
        </w:rPr>
      </w:pPr>
      <w:r w:rsidRPr="00F90B6B">
        <w:rPr>
          <w:rFonts w:ascii="Times New Roman" w:hAnsi="Times New Roman"/>
          <w:sz w:val="28"/>
          <w:szCs w:val="28"/>
          <w:lang w:val="ru-RU"/>
        </w:rPr>
        <w:t xml:space="preserve">1.1.2. </w:t>
      </w:r>
      <w:r w:rsidRPr="00F90B6B">
        <w:rPr>
          <w:rFonts w:ascii="Times New Roman" w:hAnsi="Times New Roman"/>
          <w:sz w:val="28"/>
          <w:szCs w:val="28"/>
        </w:rPr>
        <w:t>Особливості корекції за поєднаного перебігу хронічної серцевої недостатності та ожиріння</w:t>
      </w:r>
      <w:r w:rsidRPr="00F90B6B">
        <w:rPr>
          <w:rFonts w:ascii="Times New Roman" w:hAnsi="Times New Roman"/>
          <w:sz w:val="28"/>
          <w:szCs w:val="28"/>
          <w:lang w:val="ru-RU"/>
        </w:rPr>
        <w:tab/>
      </w:r>
      <w:r w:rsidR="00085D6D">
        <w:rPr>
          <w:rFonts w:ascii="Times New Roman" w:hAnsi="Times New Roman"/>
          <w:sz w:val="28"/>
          <w:szCs w:val="28"/>
          <w:lang w:val="ru-RU"/>
        </w:rPr>
        <w:t>34</w:t>
      </w:r>
    </w:p>
    <w:p w:rsidR="00EF4063" w:rsidRPr="00F90B6B" w:rsidRDefault="00EF4063" w:rsidP="00BC619F">
      <w:pPr>
        <w:pStyle w:val="1"/>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1.2. Прогностична роль гіпонатріємії в патогенезі, клінічних проявах, особливостях перебігу хронічної серцевої недостатності та ожиріння</w:t>
      </w:r>
      <w:r w:rsidRPr="00F90B6B">
        <w:rPr>
          <w:rFonts w:ascii="Times New Roman" w:hAnsi="Times New Roman"/>
          <w:sz w:val="28"/>
          <w:szCs w:val="28"/>
          <w:lang w:val="ru-RU"/>
        </w:rPr>
        <w:tab/>
      </w:r>
      <w:r w:rsidR="003A19D1">
        <w:rPr>
          <w:rFonts w:ascii="Times New Roman" w:hAnsi="Times New Roman"/>
          <w:sz w:val="28"/>
          <w:szCs w:val="28"/>
          <w:lang w:val="ru-RU"/>
        </w:rPr>
        <w:t>46</w:t>
      </w:r>
    </w:p>
    <w:p w:rsidR="00EF4063" w:rsidRPr="007F242B" w:rsidRDefault="00EF4063" w:rsidP="00BC619F">
      <w:pPr>
        <w:tabs>
          <w:tab w:val="right" w:leader="dot" w:pos="10107"/>
        </w:tabs>
        <w:spacing w:after="0" w:line="360" w:lineRule="auto"/>
        <w:rPr>
          <w:rFonts w:ascii="Times New Roman" w:hAnsi="Times New Roman"/>
          <w:sz w:val="28"/>
          <w:szCs w:val="28"/>
          <w:lang w:val="ru-RU"/>
        </w:rPr>
      </w:pPr>
      <w:r w:rsidRPr="007F242B">
        <w:rPr>
          <w:rFonts w:ascii="Times New Roman" w:hAnsi="Times New Roman"/>
          <w:sz w:val="28"/>
          <w:szCs w:val="28"/>
        </w:rPr>
        <w:t>РОЗДІЛ 2. МАТЕРІАЛИ ТА МЕТОДИ ДОСЛІДЖЕННЯ</w:t>
      </w:r>
      <w:r w:rsidRPr="007F242B">
        <w:rPr>
          <w:rFonts w:ascii="Times New Roman" w:hAnsi="Times New Roman"/>
          <w:sz w:val="28"/>
          <w:szCs w:val="28"/>
          <w:lang w:val="ru-RU"/>
        </w:rPr>
        <w:tab/>
      </w:r>
      <w:r w:rsidR="003A19D1">
        <w:rPr>
          <w:rFonts w:ascii="Times New Roman" w:hAnsi="Times New Roman"/>
          <w:sz w:val="28"/>
          <w:szCs w:val="28"/>
          <w:lang w:val="ru-RU"/>
        </w:rPr>
        <w:t>53</w:t>
      </w:r>
    </w:p>
    <w:p w:rsidR="00EF4063" w:rsidRPr="00F90B6B" w:rsidRDefault="00EF4063" w:rsidP="00BC619F">
      <w:pPr>
        <w:pStyle w:val="1"/>
        <w:tabs>
          <w:tab w:val="right" w:leader="dot" w:pos="10107"/>
        </w:tabs>
        <w:spacing w:after="0" w:line="360" w:lineRule="auto"/>
        <w:ind w:left="0" w:firstLine="709"/>
        <w:rPr>
          <w:rFonts w:ascii="Times New Roman" w:hAnsi="Times New Roman"/>
          <w:sz w:val="28"/>
          <w:szCs w:val="28"/>
          <w:lang w:val="ru-RU"/>
        </w:rPr>
      </w:pPr>
      <w:r w:rsidRPr="00F90B6B">
        <w:rPr>
          <w:rFonts w:ascii="Times New Roman" w:hAnsi="Times New Roman"/>
          <w:sz w:val="28"/>
          <w:szCs w:val="28"/>
        </w:rPr>
        <w:t>2.1. Дизайн дослідження</w:t>
      </w:r>
      <w:r w:rsidRPr="00F90B6B">
        <w:rPr>
          <w:rFonts w:ascii="Times New Roman" w:hAnsi="Times New Roman"/>
          <w:sz w:val="28"/>
          <w:szCs w:val="28"/>
          <w:lang w:val="ru-RU"/>
        </w:rPr>
        <w:tab/>
      </w:r>
      <w:r w:rsidR="003A19D1">
        <w:rPr>
          <w:rFonts w:ascii="Times New Roman" w:hAnsi="Times New Roman"/>
          <w:sz w:val="28"/>
          <w:szCs w:val="28"/>
          <w:lang w:val="ru-RU"/>
        </w:rPr>
        <w:t>53</w:t>
      </w:r>
    </w:p>
    <w:p w:rsidR="00EF4063" w:rsidRPr="00F90B6B" w:rsidRDefault="00EF4063" w:rsidP="00BC619F">
      <w:pPr>
        <w:pStyle w:val="1"/>
        <w:tabs>
          <w:tab w:val="right" w:leader="dot" w:pos="10107"/>
        </w:tabs>
        <w:spacing w:after="0" w:line="360" w:lineRule="auto"/>
        <w:ind w:left="0" w:firstLine="709"/>
        <w:rPr>
          <w:rFonts w:ascii="Times New Roman" w:hAnsi="Times New Roman"/>
          <w:sz w:val="28"/>
          <w:szCs w:val="28"/>
          <w:highlight w:val="yellow"/>
          <w:lang w:val="ru-RU"/>
        </w:rPr>
      </w:pPr>
      <w:r w:rsidRPr="00F90B6B">
        <w:rPr>
          <w:rFonts w:ascii="Times New Roman" w:hAnsi="Times New Roman"/>
          <w:sz w:val="28"/>
          <w:szCs w:val="28"/>
          <w:lang w:val="ru-RU"/>
        </w:rPr>
        <w:t>2</w:t>
      </w:r>
      <w:r w:rsidRPr="00F90B6B">
        <w:rPr>
          <w:rFonts w:ascii="Times New Roman" w:hAnsi="Times New Roman"/>
          <w:sz w:val="28"/>
          <w:szCs w:val="28"/>
        </w:rPr>
        <w:t>.2. Клінічна характеристика обстежених хворих</w:t>
      </w:r>
      <w:r w:rsidRPr="00F90B6B">
        <w:rPr>
          <w:rFonts w:ascii="Times New Roman" w:hAnsi="Times New Roman"/>
          <w:sz w:val="28"/>
          <w:szCs w:val="28"/>
          <w:lang w:val="ru-RU"/>
        </w:rPr>
        <w:tab/>
      </w:r>
      <w:r w:rsidR="003A19D1">
        <w:rPr>
          <w:rFonts w:ascii="Times New Roman" w:hAnsi="Times New Roman"/>
          <w:sz w:val="28"/>
          <w:szCs w:val="28"/>
          <w:lang w:val="ru-RU"/>
        </w:rPr>
        <w:t>54</w:t>
      </w:r>
    </w:p>
    <w:p w:rsidR="00EF4063" w:rsidRPr="00F90B6B" w:rsidRDefault="00EF4063" w:rsidP="00BC619F">
      <w:pPr>
        <w:pStyle w:val="a6"/>
        <w:tabs>
          <w:tab w:val="right" w:leader="dot" w:pos="10107"/>
        </w:tabs>
        <w:spacing w:after="0" w:line="360" w:lineRule="auto"/>
        <w:ind w:left="0" w:firstLine="709"/>
        <w:rPr>
          <w:sz w:val="28"/>
          <w:lang w:val="ru-RU"/>
        </w:rPr>
      </w:pPr>
      <w:r w:rsidRPr="00F90B6B">
        <w:rPr>
          <w:sz w:val="28"/>
        </w:rPr>
        <w:t>2.3. Методи дослідження</w:t>
      </w:r>
      <w:r w:rsidRPr="00F90B6B">
        <w:rPr>
          <w:sz w:val="28"/>
          <w:lang w:val="ru-RU"/>
        </w:rPr>
        <w:tab/>
      </w:r>
      <w:r w:rsidR="003A19D1">
        <w:rPr>
          <w:sz w:val="28"/>
          <w:lang w:val="ru-RU"/>
        </w:rPr>
        <w:t>61</w:t>
      </w:r>
    </w:p>
    <w:p w:rsidR="00EF4063" w:rsidRPr="00F90B6B" w:rsidRDefault="00EF4063" w:rsidP="00BC619F">
      <w:pPr>
        <w:pStyle w:val="10"/>
        <w:tabs>
          <w:tab w:val="right" w:leader="dot" w:pos="10107"/>
        </w:tabs>
        <w:spacing w:line="360" w:lineRule="auto"/>
        <w:ind w:firstLine="709"/>
        <w:jc w:val="left"/>
        <w:rPr>
          <w:sz w:val="28"/>
          <w:szCs w:val="28"/>
          <w:lang w:val="uk-UA"/>
        </w:rPr>
      </w:pPr>
      <w:r w:rsidRPr="00F90B6B">
        <w:rPr>
          <w:sz w:val="28"/>
          <w:szCs w:val="28"/>
          <w:lang w:val="uk-UA"/>
        </w:rPr>
        <w:t>2.4. Методи статистичного аналізу</w:t>
      </w:r>
      <w:r w:rsidRPr="00F90B6B">
        <w:rPr>
          <w:sz w:val="28"/>
          <w:szCs w:val="28"/>
          <w:lang w:val="uk-UA"/>
        </w:rPr>
        <w:tab/>
      </w:r>
      <w:r w:rsidR="003A19D1">
        <w:rPr>
          <w:sz w:val="28"/>
          <w:szCs w:val="28"/>
          <w:lang w:val="uk-UA"/>
        </w:rPr>
        <w:t>64</w:t>
      </w:r>
    </w:p>
    <w:p w:rsidR="00EF4063" w:rsidRPr="00F90B6B" w:rsidRDefault="00EF4063" w:rsidP="00BC619F">
      <w:pPr>
        <w:pStyle w:val="1"/>
        <w:widowControl w:val="0"/>
        <w:tabs>
          <w:tab w:val="right" w:leader="dot" w:pos="10107"/>
        </w:tabs>
        <w:spacing w:after="0" w:line="360" w:lineRule="auto"/>
        <w:ind w:left="0" w:firstLine="709"/>
        <w:rPr>
          <w:rFonts w:ascii="Times New Roman" w:hAnsi="Times New Roman"/>
          <w:sz w:val="28"/>
          <w:szCs w:val="28"/>
          <w:lang w:val="ru-RU" w:eastAsia="uk-UA"/>
        </w:rPr>
      </w:pPr>
      <w:r w:rsidRPr="00F90B6B">
        <w:rPr>
          <w:rFonts w:ascii="Times New Roman" w:hAnsi="Times New Roman"/>
          <w:sz w:val="28"/>
          <w:szCs w:val="28"/>
          <w:lang w:eastAsia="uk-UA"/>
        </w:rPr>
        <w:t>2.5. Забезпечення вимог біоетики</w:t>
      </w:r>
      <w:r w:rsidRPr="00F90B6B">
        <w:rPr>
          <w:rFonts w:ascii="Times New Roman" w:hAnsi="Times New Roman"/>
          <w:sz w:val="28"/>
          <w:szCs w:val="28"/>
          <w:lang w:val="ru-RU" w:eastAsia="uk-UA"/>
        </w:rPr>
        <w:tab/>
      </w:r>
      <w:r w:rsidR="003A19D1">
        <w:rPr>
          <w:rFonts w:ascii="Times New Roman" w:hAnsi="Times New Roman"/>
          <w:sz w:val="28"/>
          <w:szCs w:val="28"/>
          <w:lang w:val="ru-RU" w:eastAsia="uk-UA"/>
        </w:rPr>
        <w:t>65</w:t>
      </w:r>
    </w:p>
    <w:p w:rsidR="00EF4063" w:rsidRPr="007F242B" w:rsidRDefault="00EF4063" w:rsidP="00BC619F">
      <w:pPr>
        <w:tabs>
          <w:tab w:val="right" w:leader="dot" w:pos="10107"/>
        </w:tabs>
        <w:spacing w:after="0" w:line="360" w:lineRule="auto"/>
        <w:rPr>
          <w:rFonts w:ascii="Times New Roman" w:hAnsi="Times New Roman"/>
          <w:sz w:val="28"/>
          <w:szCs w:val="28"/>
          <w:lang w:val="ru-RU" w:eastAsia="uk-UA"/>
        </w:rPr>
      </w:pPr>
      <w:r w:rsidRPr="007F242B">
        <w:rPr>
          <w:rFonts w:ascii="Times New Roman" w:hAnsi="Times New Roman"/>
          <w:sz w:val="28"/>
          <w:szCs w:val="28"/>
          <w:lang w:eastAsia="uk-UA"/>
        </w:rPr>
        <w:t>РОЗДІЛ 3. РЕЗУЛЬТАТИ ВЛАСНИХ ДОСЛІДЖЕНЬ</w:t>
      </w:r>
      <w:r w:rsidRPr="007F242B">
        <w:rPr>
          <w:rFonts w:ascii="Times New Roman" w:hAnsi="Times New Roman"/>
          <w:sz w:val="28"/>
          <w:szCs w:val="28"/>
          <w:lang w:val="ru-RU" w:eastAsia="uk-UA"/>
        </w:rPr>
        <w:tab/>
      </w:r>
      <w:r w:rsidR="003A19D1">
        <w:rPr>
          <w:rFonts w:ascii="Times New Roman" w:hAnsi="Times New Roman"/>
          <w:sz w:val="28"/>
          <w:szCs w:val="28"/>
          <w:lang w:val="ru-RU" w:eastAsia="uk-UA"/>
        </w:rPr>
        <w:t>66</w:t>
      </w:r>
    </w:p>
    <w:p w:rsidR="00EF4063" w:rsidRPr="00F90B6B" w:rsidRDefault="00EF4063" w:rsidP="00BC619F">
      <w:pPr>
        <w:pStyle w:val="1"/>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lang w:val="ru-RU"/>
        </w:rPr>
        <w:t>3</w:t>
      </w:r>
      <w:r w:rsidRPr="00F90B6B">
        <w:rPr>
          <w:rFonts w:ascii="Times New Roman" w:hAnsi="Times New Roman"/>
          <w:sz w:val="28"/>
          <w:szCs w:val="28"/>
        </w:rPr>
        <w:t>.1. Поширеність та фактори, асоційовані з гіпонатріємією у хворих з хронічною серцевою недостатністю зі збереженою фракцією викиду лівого шлуночка</w:t>
      </w:r>
      <w:r w:rsidRPr="00F90B6B">
        <w:rPr>
          <w:rFonts w:ascii="Times New Roman" w:hAnsi="Times New Roman"/>
          <w:sz w:val="28"/>
          <w:szCs w:val="28"/>
          <w:lang w:val="ru-RU"/>
        </w:rPr>
        <w:tab/>
      </w:r>
      <w:r w:rsidR="003A19D1">
        <w:rPr>
          <w:rFonts w:ascii="Times New Roman" w:hAnsi="Times New Roman"/>
          <w:sz w:val="28"/>
          <w:szCs w:val="28"/>
          <w:lang w:val="ru-RU"/>
        </w:rPr>
        <w:t>66</w:t>
      </w:r>
    </w:p>
    <w:p w:rsidR="00E00DE6" w:rsidRPr="00F90B6B" w:rsidRDefault="00EF4063" w:rsidP="00BC619F">
      <w:pPr>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 xml:space="preserve">3.2. Клінічні, лабораторні особливості, структурно-функціональні параметри </w:t>
      </w:r>
    </w:p>
    <w:p w:rsidR="00EF4063" w:rsidRPr="00CE7B32" w:rsidRDefault="00EF4063" w:rsidP="00CE7B32">
      <w:pPr>
        <w:tabs>
          <w:tab w:val="right" w:leader="dot" w:pos="10107"/>
        </w:tabs>
        <w:spacing w:after="0" w:line="360" w:lineRule="auto"/>
        <w:ind w:left="567"/>
        <w:rPr>
          <w:rFonts w:ascii="Times New Roman" w:hAnsi="Times New Roman"/>
          <w:sz w:val="28"/>
          <w:szCs w:val="28"/>
        </w:rPr>
      </w:pPr>
      <w:r w:rsidRPr="00F90B6B">
        <w:rPr>
          <w:rFonts w:ascii="Times New Roman" w:hAnsi="Times New Roman"/>
          <w:sz w:val="28"/>
          <w:szCs w:val="28"/>
        </w:rPr>
        <w:t>та рівень NTproBNP у хворих з хронічною серцевою недостатністю зі збереженою фракцією викиду лівого шлуночка та ожирінням</w:t>
      </w:r>
      <w:r w:rsidRPr="00F90B6B">
        <w:rPr>
          <w:rFonts w:ascii="Times New Roman" w:hAnsi="Times New Roman"/>
          <w:sz w:val="28"/>
          <w:szCs w:val="28"/>
          <w:lang w:val="ru-RU"/>
        </w:rPr>
        <w:tab/>
      </w:r>
      <w:r w:rsidR="003A19D1">
        <w:rPr>
          <w:rFonts w:ascii="Times New Roman" w:hAnsi="Times New Roman"/>
          <w:sz w:val="28"/>
          <w:szCs w:val="28"/>
          <w:lang w:val="ru-RU"/>
        </w:rPr>
        <w:t>87</w:t>
      </w:r>
      <w:r w:rsidR="00CE7B32">
        <w:rPr>
          <w:rFonts w:ascii="Times New Roman" w:hAnsi="Times New Roman"/>
          <w:sz w:val="28"/>
          <w:szCs w:val="28"/>
        </w:rPr>
        <w:t xml:space="preserve"> </w:t>
      </w:r>
    </w:p>
    <w:p w:rsidR="00EF4063" w:rsidRPr="00F90B6B" w:rsidRDefault="00EF4063" w:rsidP="00BC619F">
      <w:pPr>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 xml:space="preserve">3.3. Клінічні, лабораторні особливості, структурно-функціональні </w:t>
      </w:r>
    </w:p>
    <w:p w:rsidR="00E00DE6" w:rsidRPr="00F90B6B" w:rsidRDefault="00EF4063" w:rsidP="00BC619F">
      <w:pPr>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 xml:space="preserve">параметри залежно від рівня NTproBNP та альдостерону у хворих з </w:t>
      </w:r>
    </w:p>
    <w:p w:rsidR="00E00DE6" w:rsidRPr="00F90B6B" w:rsidRDefault="00EF4063" w:rsidP="00BC619F">
      <w:pPr>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lastRenderedPageBreak/>
        <w:t xml:space="preserve">хронічною серцевою недостатністю зі збереженою фракцією викиду </w:t>
      </w:r>
    </w:p>
    <w:p w:rsidR="00EF4063" w:rsidRPr="00F90B6B" w:rsidRDefault="00EF4063" w:rsidP="00BC619F">
      <w:pPr>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лівого шлуночка та ожирінням</w:t>
      </w:r>
      <w:r w:rsidRPr="00F90B6B">
        <w:rPr>
          <w:rFonts w:ascii="Times New Roman" w:hAnsi="Times New Roman"/>
          <w:sz w:val="28"/>
          <w:szCs w:val="28"/>
          <w:lang w:val="ru-RU"/>
        </w:rPr>
        <w:tab/>
      </w:r>
      <w:r w:rsidR="003A19D1">
        <w:rPr>
          <w:rFonts w:ascii="Times New Roman" w:hAnsi="Times New Roman"/>
          <w:sz w:val="28"/>
          <w:szCs w:val="28"/>
          <w:lang w:val="ru-RU"/>
        </w:rPr>
        <w:t>118</w:t>
      </w:r>
    </w:p>
    <w:p w:rsidR="00E00DE6" w:rsidRPr="00F90B6B" w:rsidRDefault="00EF4063" w:rsidP="00BC619F">
      <w:pPr>
        <w:tabs>
          <w:tab w:val="right" w:leader="dot" w:pos="10107"/>
        </w:tabs>
        <w:spacing w:after="0" w:line="360" w:lineRule="auto"/>
        <w:ind w:left="567"/>
        <w:rPr>
          <w:rFonts w:ascii="Times New Roman" w:hAnsi="Times New Roman"/>
          <w:bCs/>
          <w:sz w:val="28"/>
          <w:szCs w:val="28"/>
          <w:lang w:val="ru-RU"/>
        </w:rPr>
      </w:pPr>
      <w:r w:rsidRPr="00F90B6B">
        <w:rPr>
          <w:rFonts w:ascii="Times New Roman" w:hAnsi="Times New Roman"/>
          <w:bCs/>
          <w:sz w:val="28"/>
          <w:szCs w:val="28"/>
        </w:rPr>
        <w:t xml:space="preserve">3.4. Основні предиктори розвитку важкої гіпонатріємії для стратифікації розвитку ускладнень у пацієнтів з ХСН зі збереженою фракцією викиду </w:t>
      </w:r>
      <w:r w:rsidR="00E00DE6" w:rsidRPr="00F90B6B">
        <w:rPr>
          <w:rFonts w:ascii="Times New Roman" w:hAnsi="Times New Roman"/>
          <w:bCs/>
          <w:sz w:val="28"/>
          <w:szCs w:val="28"/>
          <w:lang w:val="ru-RU"/>
        </w:rPr>
        <w:br/>
      </w:r>
      <w:r w:rsidRPr="00F90B6B">
        <w:rPr>
          <w:rFonts w:ascii="Times New Roman" w:hAnsi="Times New Roman"/>
          <w:bCs/>
          <w:sz w:val="28"/>
          <w:szCs w:val="28"/>
        </w:rPr>
        <w:t xml:space="preserve">лівого шлуночка і супутнім ожирінням: роль клініко-лабораторних, </w:t>
      </w:r>
    </w:p>
    <w:p w:rsidR="00EF4063" w:rsidRPr="00F90B6B" w:rsidRDefault="00EF4063" w:rsidP="00BC619F">
      <w:pPr>
        <w:tabs>
          <w:tab w:val="right" w:leader="dot" w:pos="10107"/>
        </w:tabs>
        <w:spacing w:after="0" w:line="360" w:lineRule="auto"/>
        <w:ind w:left="567"/>
        <w:rPr>
          <w:rFonts w:ascii="Times New Roman" w:hAnsi="Times New Roman"/>
          <w:bCs/>
          <w:sz w:val="28"/>
          <w:szCs w:val="28"/>
          <w:lang w:val="ru-RU"/>
        </w:rPr>
      </w:pPr>
      <w:r w:rsidRPr="00F90B6B">
        <w:rPr>
          <w:rFonts w:ascii="Times New Roman" w:hAnsi="Times New Roman"/>
          <w:bCs/>
          <w:sz w:val="28"/>
          <w:szCs w:val="28"/>
        </w:rPr>
        <w:t>структурно-функціональних показників та рівня NTproBNP</w:t>
      </w:r>
      <w:r w:rsidRPr="00F90B6B">
        <w:rPr>
          <w:rFonts w:ascii="Times New Roman" w:hAnsi="Times New Roman"/>
          <w:bCs/>
          <w:sz w:val="28"/>
          <w:szCs w:val="28"/>
          <w:lang w:val="ru-RU"/>
        </w:rPr>
        <w:tab/>
      </w:r>
      <w:r w:rsidR="00476958">
        <w:rPr>
          <w:rFonts w:ascii="Times New Roman" w:hAnsi="Times New Roman"/>
          <w:bCs/>
          <w:sz w:val="28"/>
          <w:szCs w:val="28"/>
          <w:lang w:val="ru-RU"/>
        </w:rPr>
        <w:t>154</w:t>
      </w:r>
    </w:p>
    <w:p w:rsidR="00EF4063" w:rsidRPr="00F90B6B" w:rsidRDefault="00EF4063" w:rsidP="00BC619F">
      <w:pPr>
        <w:pStyle w:val="1"/>
        <w:tabs>
          <w:tab w:val="right" w:leader="dot" w:pos="10107"/>
        </w:tabs>
        <w:spacing w:after="0" w:line="360" w:lineRule="auto"/>
        <w:ind w:left="567"/>
        <w:rPr>
          <w:rFonts w:ascii="Times New Roman" w:hAnsi="Times New Roman"/>
          <w:sz w:val="28"/>
          <w:szCs w:val="28"/>
          <w:lang w:val="ru-RU"/>
        </w:rPr>
      </w:pPr>
      <w:r w:rsidRPr="00F90B6B">
        <w:rPr>
          <w:rFonts w:ascii="Times New Roman" w:hAnsi="Times New Roman"/>
          <w:sz w:val="28"/>
          <w:szCs w:val="28"/>
        </w:rPr>
        <w:t>3.5. Ретроспективний аналіз прогностичної ролі гіпонатріємії у хворих з хронічною серцевою недостатністю та ожирінням</w:t>
      </w:r>
      <w:r w:rsidRPr="00F90B6B">
        <w:rPr>
          <w:rFonts w:ascii="Times New Roman" w:hAnsi="Times New Roman"/>
          <w:sz w:val="28"/>
          <w:szCs w:val="28"/>
          <w:lang w:val="ru-RU"/>
        </w:rPr>
        <w:tab/>
      </w:r>
      <w:r w:rsidR="00476958">
        <w:rPr>
          <w:rFonts w:ascii="Times New Roman" w:hAnsi="Times New Roman"/>
          <w:sz w:val="28"/>
          <w:szCs w:val="28"/>
          <w:lang w:val="ru-RU"/>
        </w:rPr>
        <w:t>178</w:t>
      </w:r>
    </w:p>
    <w:p w:rsidR="00EF4063" w:rsidRPr="007F242B" w:rsidRDefault="0048083F" w:rsidP="00BC619F">
      <w:pPr>
        <w:tabs>
          <w:tab w:val="right" w:leader="dot" w:pos="10107"/>
        </w:tabs>
        <w:spacing w:after="0" w:line="360" w:lineRule="auto"/>
        <w:rPr>
          <w:rFonts w:ascii="Times New Roman" w:hAnsi="Times New Roman"/>
          <w:sz w:val="28"/>
          <w:szCs w:val="28"/>
          <w:lang w:val="ru-RU"/>
        </w:rPr>
      </w:pPr>
      <w:r>
        <w:rPr>
          <w:rFonts w:ascii="Times New Roman" w:hAnsi="Times New Roman"/>
          <w:sz w:val="28"/>
          <w:szCs w:val="28"/>
        </w:rPr>
        <w:t xml:space="preserve">РОЗДІЛ 4. </w:t>
      </w:r>
      <w:r w:rsidR="00EF4063" w:rsidRPr="007F242B">
        <w:rPr>
          <w:rFonts w:ascii="Times New Roman" w:hAnsi="Times New Roman"/>
          <w:sz w:val="28"/>
          <w:szCs w:val="28"/>
        </w:rPr>
        <w:t>АНАЛІЗ ТА УЗАГАЛЬНЕННЯ ОТРИМАНИХ РЕЗУЛЬТАТІВ</w:t>
      </w:r>
      <w:r w:rsidR="00EF4063" w:rsidRPr="007F242B">
        <w:rPr>
          <w:rFonts w:ascii="Times New Roman" w:hAnsi="Times New Roman"/>
          <w:sz w:val="28"/>
          <w:szCs w:val="28"/>
          <w:lang w:val="ru-RU"/>
        </w:rPr>
        <w:tab/>
      </w:r>
      <w:r w:rsidR="00476958">
        <w:rPr>
          <w:rFonts w:ascii="Times New Roman" w:hAnsi="Times New Roman"/>
          <w:sz w:val="28"/>
          <w:szCs w:val="28"/>
          <w:lang w:val="ru-RU"/>
        </w:rPr>
        <w:t>210</w:t>
      </w:r>
    </w:p>
    <w:p w:rsidR="00EF4063" w:rsidRPr="007F242B" w:rsidRDefault="00EF4063" w:rsidP="00BC619F">
      <w:pPr>
        <w:tabs>
          <w:tab w:val="right" w:leader="dot" w:pos="10107"/>
        </w:tabs>
        <w:spacing w:after="0" w:line="360" w:lineRule="auto"/>
        <w:rPr>
          <w:rFonts w:ascii="Times New Roman" w:hAnsi="Times New Roman"/>
          <w:sz w:val="28"/>
          <w:szCs w:val="28"/>
          <w:lang w:val="ru-RU"/>
        </w:rPr>
      </w:pPr>
      <w:r w:rsidRPr="007F242B">
        <w:rPr>
          <w:rFonts w:ascii="Times New Roman" w:hAnsi="Times New Roman"/>
          <w:sz w:val="28"/>
          <w:szCs w:val="28"/>
        </w:rPr>
        <w:t>ВИСНОВКИ</w:t>
      </w:r>
      <w:r w:rsidRPr="007F242B">
        <w:rPr>
          <w:rFonts w:ascii="Times New Roman" w:hAnsi="Times New Roman"/>
          <w:sz w:val="28"/>
          <w:szCs w:val="28"/>
          <w:lang w:val="ru-RU"/>
        </w:rPr>
        <w:tab/>
      </w:r>
      <w:r w:rsidR="00476958">
        <w:rPr>
          <w:rFonts w:ascii="Times New Roman" w:hAnsi="Times New Roman"/>
          <w:sz w:val="28"/>
          <w:szCs w:val="28"/>
          <w:lang w:val="ru-RU"/>
        </w:rPr>
        <w:t>231</w:t>
      </w:r>
    </w:p>
    <w:p w:rsidR="00EF4063" w:rsidRPr="007F242B" w:rsidRDefault="00EF4063" w:rsidP="00BC619F">
      <w:pPr>
        <w:tabs>
          <w:tab w:val="right" w:leader="dot" w:pos="10107"/>
        </w:tabs>
        <w:spacing w:after="0" w:line="360" w:lineRule="auto"/>
        <w:rPr>
          <w:rFonts w:ascii="Times New Roman" w:hAnsi="Times New Roman"/>
          <w:sz w:val="28"/>
          <w:szCs w:val="28"/>
          <w:lang w:val="ru-RU"/>
        </w:rPr>
      </w:pPr>
      <w:r w:rsidRPr="007F242B">
        <w:rPr>
          <w:rFonts w:ascii="Times New Roman" w:hAnsi="Times New Roman"/>
          <w:sz w:val="28"/>
          <w:szCs w:val="28"/>
        </w:rPr>
        <w:t>ПРАКТИЧНІ РЕКОМЕНДАЦІЇ</w:t>
      </w:r>
      <w:r w:rsidRPr="007F242B">
        <w:rPr>
          <w:rFonts w:ascii="Times New Roman" w:hAnsi="Times New Roman"/>
          <w:sz w:val="28"/>
          <w:szCs w:val="28"/>
          <w:lang w:val="ru-RU"/>
        </w:rPr>
        <w:tab/>
      </w:r>
      <w:r w:rsidR="00476958">
        <w:rPr>
          <w:rFonts w:ascii="Times New Roman" w:hAnsi="Times New Roman"/>
          <w:sz w:val="28"/>
          <w:szCs w:val="28"/>
          <w:lang w:val="ru-RU"/>
        </w:rPr>
        <w:t>233</w:t>
      </w:r>
    </w:p>
    <w:p w:rsidR="00EF4063" w:rsidRPr="007F242B" w:rsidRDefault="00EF4063" w:rsidP="00BC619F">
      <w:pPr>
        <w:tabs>
          <w:tab w:val="right" w:leader="dot" w:pos="10107"/>
        </w:tabs>
        <w:spacing w:after="0" w:line="360" w:lineRule="auto"/>
        <w:rPr>
          <w:rFonts w:ascii="Times New Roman" w:hAnsi="Times New Roman"/>
          <w:sz w:val="28"/>
          <w:szCs w:val="28"/>
          <w:lang w:val="ru-RU"/>
        </w:rPr>
      </w:pPr>
      <w:r w:rsidRPr="007F242B">
        <w:rPr>
          <w:rFonts w:ascii="Times New Roman" w:hAnsi="Times New Roman"/>
          <w:sz w:val="28"/>
          <w:szCs w:val="28"/>
        </w:rPr>
        <w:t>ПЕРЕЛІК ВИКОРИСТАНИХ ДЖЕРЕЛ</w:t>
      </w:r>
      <w:r w:rsidRPr="007F242B">
        <w:rPr>
          <w:rFonts w:ascii="Times New Roman" w:hAnsi="Times New Roman"/>
          <w:sz w:val="28"/>
          <w:szCs w:val="28"/>
          <w:lang w:val="ru-RU"/>
        </w:rPr>
        <w:tab/>
      </w:r>
      <w:r w:rsidR="00476958">
        <w:rPr>
          <w:rFonts w:ascii="Times New Roman" w:hAnsi="Times New Roman"/>
          <w:sz w:val="28"/>
          <w:szCs w:val="28"/>
          <w:lang w:val="ru-RU"/>
        </w:rPr>
        <w:t>234</w:t>
      </w:r>
    </w:p>
    <w:p w:rsidR="00EF4063" w:rsidRPr="007F242B" w:rsidRDefault="00EF4063" w:rsidP="00BC619F">
      <w:pPr>
        <w:tabs>
          <w:tab w:val="right" w:leader="dot" w:pos="10107"/>
        </w:tabs>
        <w:spacing w:after="0" w:line="360" w:lineRule="auto"/>
        <w:rPr>
          <w:rFonts w:ascii="Times New Roman" w:hAnsi="Times New Roman"/>
          <w:sz w:val="28"/>
          <w:szCs w:val="28"/>
          <w:lang w:val="ru-RU"/>
        </w:rPr>
      </w:pPr>
      <w:r w:rsidRPr="007F242B">
        <w:rPr>
          <w:rFonts w:ascii="Times New Roman" w:hAnsi="Times New Roman"/>
          <w:sz w:val="28"/>
          <w:szCs w:val="28"/>
          <w:lang w:val="ru-RU"/>
        </w:rPr>
        <w:t>ДОДАТКИ</w:t>
      </w:r>
      <w:r w:rsidRPr="007F242B">
        <w:rPr>
          <w:rFonts w:ascii="Times New Roman" w:hAnsi="Times New Roman"/>
          <w:sz w:val="28"/>
          <w:szCs w:val="28"/>
          <w:lang w:val="ru-RU"/>
        </w:rPr>
        <w:tab/>
      </w:r>
      <w:r w:rsidR="00476958">
        <w:rPr>
          <w:rFonts w:ascii="Times New Roman" w:hAnsi="Times New Roman"/>
          <w:sz w:val="28"/>
          <w:szCs w:val="28"/>
          <w:lang w:val="ru-RU"/>
        </w:rPr>
        <w:t>257</w:t>
      </w:r>
    </w:p>
    <w:p w:rsidR="00EF4063" w:rsidRPr="00F90B6B" w:rsidRDefault="00EF4063" w:rsidP="00F0048B">
      <w:pPr>
        <w:spacing w:line="360" w:lineRule="auto"/>
        <w:rPr>
          <w:rFonts w:ascii="Times New Roman" w:hAnsi="Times New Roman"/>
        </w:rPr>
      </w:pPr>
      <w:r w:rsidRPr="00F90B6B">
        <w:rPr>
          <w:rFonts w:ascii="Times New Roman" w:hAnsi="Times New Roman"/>
        </w:rPr>
        <w:br w:type="page"/>
      </w:r>
    </w:p>
    <w:p w:rsidR="00EF4063" w:rsidRPr="007F242B" w:rsidRDefault="00EF4063" w:rsidP="00F0048B">
      <w:pPr>
        <w:spacing w:after="0" w:line="360" w:lineRule="auto"/>
        <w:jc w:val="center"/>
        <w:rPr>
          <w:rFonts w:ascii="Times New Roman" w:hAnsi="Times New Roman"/>
          <w:sz w:val="28"/>
          <w:szCs w:val="28"/>
        </w:rPr>
      </w:pPr>
      <w:r w:rsidRPr="007F242B">
        <w:rPr>
          <w:rFonts w:ascii="Times New Roman" w:hAnsi="Times New Roman"/>
          <w:sz w:val="28"/>
          <w:szCs w:val="28"/>
        </w:rPr>
        <w:t xml:space="preserve">ПЕРЕЛІК УМОВНИХ СКОРОЧЕНЬ </w:t>
      </w:r>
    </w:p>
    <w:p w:rsidR="00EF4063" w:rsidRPr="00F90B6B" w:rsidRDefault="00EF4063" w:rsidP="000A2895">
      <w:pPr>
        <w:spacing w:after="0" w:line="360" w:lineRule="auto"/>
        <w:ind w:left="1620" w:hanging="1620"/>
        <w:rPr>
          <w:rFonts w:ascii="Times New Roman" w:hAnsi="Times New Roman"/>
          <w:sz w:val="28"/>
          <w:szCs w:val="28"/>
        </w:rPr>
      </w:pPr>
      <w:r w:rsidRPr="00F90B6B">
        <w:rPr>
          <w:rFonts w:ascii="Times New Roman" w:hAnsi="Times New Roman"/>
          <w:sz w:val="28"/>
          <w:szCs w:val="28"/>
        </w:rPr>
        <w:t>MLHFQ</w:t>
      </w:r>
      <w:r w:rsidRPr="00F90B6B">
        <w:rPr>
          <w:rFonts w:ascii="Times New Roman" w:hAnsi="Times New Roman"/>
          <w:b/>
          <w:sz w:val="28"/>
          <w:szCs w:val="28"/>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sidRPr="00F90B6B">
        <w:rPr>
          <w:rFonts w:ascii="Times New Roman" w:hAnsi="Times New Roman"/>
          <w:sz w:val="28"/>
          <w:szCs w:val="28"/>
        </w:rPr>
        <w:t xml:space="preserve">Мінесотський опитувальник якості життя хворих з серцевою недостатністю (Minnesota Living with Heart Failure questionnaire) </w:t>
      </w:r>
    </w:p>
    <w:p w:rsidR="00EF4063" w:rsidRPr="00F90B6B" w:rsidRDefault="00EF4063" w:rsidP="000A2895">
      <w:pPr>
        <w:spacing w:after="0" w:line="360" w:lineRule="auto"/>
        <w:ind w:left="1620" w:hanging="1620"/>
        <w:rPr>
          <w:rFonts w:ascii="Times New Roman" w:hAnsi="Times New Roman"/>
          <w:sz w:val="28"/>
          <w:szCs w:val="28"/>
        </w:rPr>
      </w:pPr>
      <w:r w:rsidRPr="00F90B6B">
        <w:rPr>
          <w:rFonts w:ascii="Times New Roman" w:hAnsi="Times New Roman"/>
          <w:sz w:val="28"/>
          <w:szCs w:val="28"/>
        </w:rPr>
        <w:t>NTproBNP</w:t>
      </w:r>
      <w:r w:rsidR="000A2895">
        <w:rPr>
          <w:rFonts w:ascii="Times New Roman" w:hAnsi="Times New Roman"/>
          <w:b/>
          <w:sz w:val="28"/>
          <w:szCs w:val="28"/>
          <w:lang w:val="ru-RU"/>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 xml:space="preserve">Попередник мозкового натрій-уретичного пептиду </w:t>
      </w:r>
    </w:p>
    <w:p w:rsidR="00EF4063" w:rsidRPr="00F90B6B" w:rsidRDefault="00EF4063" w:rsidP="000A2895">
      <w:pPr>
        <w:spacing w:after="0" w:line="360" w:lineRule="auto"/>
        <w:ind w:left="1620" w:hanging="1620"/>
        <w:rPr>
          <w:rFonts w:ascii="Times New Roman" w:hAnsi="Times New Roman"/>
          <w:sz w:val="28"/>
          <w:szCs w:val="28"/>
        </w:rPr>
      </w:pPr>
      <w:r w:rsidRPr="00F90B6B">
        <w:rPr>
          <w:rFonts w:ascii="Times New Roman" w:hAnsi="Times New Roman"/>
          <w:sz w:val="28"/>
          <w:szCs w:val="28"/>
        </w:rPr>
        <w:t>NYHA</w:t>
      </w:r>
      <w:r w:rsidR="000A2895" w:rsidRPr="000A2895">
        <w:rPr>
          <w:rFonts w:ascii="Times New Roman" w:hAnsi="Times New Roman"/>
          <w:b/>
          <w:sz w:val="28"/>
          <w:szCs w:val="28"/>
          <w:lang w:val="en-US"/>
        </w:rPr>
        <w:tab/>
      </w:r>
      <w:r w:rsidR="000A2895">
        <w:rPr>
          <w:rFonts w:ascii="Times New Roman" w:hAnsi="Times New Roman"/>
          <w:b/>
          <w:sz w:val="28"/>
          <w:szCs w:val="28"/>
        </w:rPr>
        <w:t>−</w:t>
      </w:r>
      <w:r w:rsidR="000A2895" w:rsidRPr="000A2895">
        <w:rPr>
          <w:rFonts w:ascii="Times New Roman" w:hAnsi="Times New Roman"/>
          <w:b/>
          <w:sz w:val="28"/>
          <w:szCs w:val="28"/>
          <w:lang w:val="en-US"/>
        </w:rPr>
        <w:t xml:space="preserve"> </w:t>
      </w:r>
      <w:r w:rsidRPr="00F90B6B">
        <w:rPr>
          <w:rFonts w:ascii="Times New Roman" w:hAnsi="Times New Roman"/>
          <w:sz w:val="28"/>
          <w:szCs w:val="28"/>
        </w:rPr>
        <w:t>Нью-Йоркська асоціація серця (New-York Heart Association)</w:t>
      </w:r>
    </w:p>
    <w:p w:rsidR="00EF4063" w:rsidRPr="000A2895" w:rsidRDefault="00EF4063" w:rsidP="000A2895">
      <w:pPr>
        <w:spacing w:after="0" w:line="360" w:lineRule="auto"/>
        <w:ind w:left="1620" w:hanging="1620"/>
        <w:rPr>
          <w:rFonts w:ascii="Times New Roman" w:hAnsi="Times New Roman"/>
          <w:sz w:val="28"/>
          <w:szCs w:val="28"/>
        </w:rPr>
      </w:pPr>
      <w:r w:rsidRPr="00F90B6B">
        <w:rPr>
          <w:rFonts w:ascii="Times New Roman" w:hAnsi="Times New Roman"/>
          <w:sz w:val="28"/>
          <w:szCs w:val="28"/>
        </w:rPr>
        <w:t>ГКС</w:t>
      </w:r>
      <w:r w:rsidR="000A2895">
        <w:rPr>
          <w:rFonts w:ascii="Times New Roman" w:hAnsi="Times New Roman"/>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sidRPr="00F90B6B">
        <w:rPr>
          <w:rFonts w:ascii="Times New Roman" w:hAnsi="Times New Roman"/>
          <w:sz w:val="28"/>
          <w:szCs w:val="28"/>
        </w:rPr>
        <w:t>Гострий коронарний синдром</w:t>
      </w:r>
    </w:p>
    <w:p w:rsidR="00EF4063" w:rsidRPr="00F90B6B" w:rsidRDefault="00EF4063" w:rsidP="000A2895">
      <w:pPr>
        <w:spacing w:after="0" w:line="360" w:lineRule="auto"/>
        <w:ind w:left="1620" w:hanging="1620"/>
        <w:rPr>
          <w:rFonts w:ascii="Times New Roman" w:hAnsi="Times New Roman"/>
          <w:sz w:val="28"/>
          <w:szCs w:val="28"/>
        </w:rPr>
      </w:pPr>
      <w:r w:rsidRPr="00F90B6B">
        <w:rPr>
          <w:rFonts w:ascii="Times New Roman" w:hAnsi="Times New Roman"/>
          <w:sz w:val="28"/>
          <w:szCs w:val="28"/>
        </w:rPr>
        <w:t>КРС</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Кардіоренальний синдром</w:t>
      </w:r>
    </w:p>
    <w:p w:rsidR="00EF4063" w:rsidRPr="00F90B6B" w:rsidRDefault="00EF4063" w:rsidP="000A2895">
      <w:pPr>
        <w:spacing w:after="0" w:line="360" w:lineRule="auto"/>
        <w:ind w:left="1620" w:hanging="1620"/>
        <w:rPr>
          <w:rFonts w:ascii="Times New Roman" w:hAnsi="Times New Roman"/>
          <w:sz w:val="28"/>
          <w:szCs w:val="28"/>
        </w:rPr>
      </w:pPr>
      <w:r w:rsidRPr="00F90B6B">
        <w:rPr>
          <w:rFonts w:ascii="Times New Roman" w:hAnsi="Times New Roman"/>
          <w:sz w:val="28"/>
          <w:szCs w:val="28"/>
        </w:rPr>
        <w:t>ЕхоКГ</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Трансторакальна ехокардіографія</w:t>
      </w:r>
    </w:p>
    <w:p w:rsidR="00EF4063" w:rsidRPr="003F1EB9" w:rsidRDefault="00EF4063" w:rsidP="000A2895">
      <w:pPr>
        <w:spacing w:after="0" w:line="360" w:lineRule="auto"/>
        <w:ind w:left="1620" w:hanging="1620"/>
        <w:rPr>
          <w:rFonts w:ascii="Times New Roman" w:hAnsi="Times New Roman"/>
          <w:sz w:val="28"/>
          <w:szCs w:val="28"/>
        </w:rPr>
      </w:pPr>
      <w:r w:rsidRPr="003F1EB9">
        <w:rPr>
          <w:rFonts w:ascii="Times New Roman" w:hAnsi="Times New Roman"/>
          <w:sz w:val="28"/>
          <w:szCs w:val="28"/>
        </w:rPr>
        <w:t>ЕКГ</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3F1EB9">
        <w:rPr>
          <w:rFonts w:ascii="Times New Roman" w:hAnsi="Times New Roman"/>
          <w:sz w:val="28"/>
          <w:szCs w:val="28"/>
        </w:rPr>
        <w:t>Електрокардіографія</w:t>
      </w:r>
    </w:p>
    <w:p w:rsidR="00EF4063" w:rsidRPr="003F1EB9" w:rsidRDefault="00EF4063" w:rsidP="000A2895">
      <w:pPr>
        <w:spacing w:after="0" w:line="360" w:lineRule="auto"/>
        <w:ind w:left="1620" w:hanging="1620"/>
        <w:rPr>
          <w:rFonts w:ascii="Times New Roman" w:hAnsi="Times New Roman"/>
          <w:sz w:val="28"/>
          <w:szCs w:val="28"/>
        </w:rPr>
      </w:pPr>
      <w:r w:rsidRPr="003F1EB9">
        <w:rPr>
          <w:rFonts w:ascii="Times New Roman" w:hAnsi="Times New Roman"/>
          <w:sz w:val="28"/>
          <w:szCs w:val="28"/>
        </w:rPr>
        <w:t xml:space="preserve">ІМ </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3F1EB9">
        <w:rPr>
          <w:rFonts w:ascii="Times New Roman" w:hAnsi="Times New Roman"/>
          <w:sz w:val="28"/>
          <w:szCs w:val="28"/>
        </w:rPr>
        <w:t xml:space="preserve">Інфаркт міокарда </w:t>
      </w:r>
    </w:p>
    <w:p w:rsidR="00EF4063" w:rsidRPr="003F1EB9" w:rsidRDefault="00EF4063" w:rsidP="000A2895">
      <w:pPr>
        <w:spacing w:after="0" w:line="360" w:lineRule="auto"/>
        <w:ind w:left="1620" w:hanging="1620"/>
        <w:rPr>
          <w:rFonts w:ascii="Times New Roman" w:hAnsi="Times New Roman"/>
          <w:sz w:val="28"/>
          <w:szCs w:val="28"/>
        </w:rPr>
      </w:pPr>
      <w:r w:rsidRPr="003F1EB9">
        <w:rPr>
          <w:rFonts w:ascii="Times New Roman" w:hAnsi="Times New Roman"/>
          <w:sz w:val="28"/>
          <w:szCs w:val="28"/>
        </w:rPr>
        <w:t>ІМТ</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3F1EB9">
        <w:rPr>
          <w:rFonts w:ascii="Times New Roman" w:hAnsi="Times New Roman"/>
          <w:sz w:val="28"/>
          <w:szCs w:val="28"/>
        </w:rPr>
        <w:t>Індекс маси тіла</w:t>
      </w:r>
    </w:p>
    <w:p w:rsidR="00EF4063" w:rsidRPr="003F1EB9" w:rsidRDefault="00EF4063" w:rsidP="000A2895">
      <w:pPr>
        <w:spacing w:after="0" w:line="360" w:lineRule="auto"/>
        <w:ind w:left="1620" w:hanging="1620"/>
        <w:jc w:val="both"/>
        <w:rPr>
          <w:rFonts w:ascii="Times New Roman" w:hAnsi="Times New Roman"/>
          <w:sz w:val="28"/>
          <w:szCs w:val="28"/>
        </w:rPr>
      </w:pPr>
      <w:r w:rsidRPr="003F1EB9">
        <w:rPr>
          <w:rFonts w:ascii="Times New Roman" w:hAnsi="Times New Roman"/>
          <w:sz w:val="28"/>
          <w:szCs w:val="28"/>
        </w:rPr>
        <w:t>ІХС</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3F1EB9">
        <w:rPr>
          <w:rFonts w:ascii="Times New Roman" w:hAnsi="Times New Roman"/>
          <w:sz w:val="28"/>
          <w:szCs w:val="28"/>
        </w:rPr>
        <w:t xml:space="preserve">Ішемічна хвороба серця </w:t>
      </w:r>
    </w:p>
    <w:p w:rsidR="003F1EB9" w:rsidRPr="003F1EB9" w:rsidRDefault="003F1EB9" w:rsidP="000A2895">
      <w:pPr>
        <w:spacing w:after="0" w:line="360" w:lineRule="auto"/>
        <w:ind w:left="1620" w:hanging="1620"/>
        <w:jc w:val="both"/>
        <w:rPr>
          <w:rFonts w:ascii="Times New Roman" w:hAnsi="Times New Roman"/>
          <w:sz w:val="28"/>
          <w:szCs w:val="28"/>
        </w:rPr>
      </w:pPr>
      <w:r w:rsidRPr="003F1EB9">
        <w:rPr>
          <w:rFonts w:ascii="Times New Roman" w:hAnsi="Times New Roman"/>
          <w:sz w:val="28"/>
          <w:szCs w:val="28"/>
        </w:rPr>
        <w:t>ХХН</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3F1EB9">
        <w:rPr>
          <w:rFonts w:ascii="Times New Roman" w:hAnsi="Times New Roman"/>
          <w:sz w:val="28"/>
          <w:szCs w:val="28"/>
        </w:rPr>
        <w:t>Хронічна хвороба нирок</w:t>
      </w:r>
    </w:p>
    <w:p w:rsidR="00EF4063" w:rsidRPr="003F1EB9" w:rsidRDefault="00EF4063" w:rsidP="000A2895">
      <w:pPr>
        <w:spacing w:after="0" w:line="360" w:lineRule="auto"/>
        <w:ind w:left="1620" w:hanging="1620"/>
        <w:jc w:val="both"/>
        <w:rPr>
          <w:rFonts w:ascii="Times New Roman" w:hAnsi="Times New Roman"/>
          <w:sz w:val="28"/>
          <w:szCs w:val="28"/>
        </w:rPr>
      </w:pPr>
      <w:r w:rsidRPr="003F1EB9">
        <w:rPr>
          <w:rFonts w:ascii="Times New Roman" w:hAnsi="Times New Roman"/>
          <w:sz w:val="28"/>
          <w:szCs w:val="28"/>
        </w:rPr>
        <w:t>КДІ</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3F1EB9">
        <w:rPr>
          <w:rFonts w:ascii="Times New Roman" w:hAnsi="Times New Roman"/>
          <w:sz w:val="28"/>
          <w:szCs w:val="28"/>
        </w:rPr>
        <w:t xml:space="preserve">Кінцево-діастолічний індекс </w:t>
      </w:r>
    </w:p>
    <w:p w:rsidR="00EF4063" w:rsidRPr="00F90B6B" w:rsidRDefault="00EF4063" w:rsidP="000A2895">
      <w:pPr>
        <w:spacing w:after="0" w:line="360" w:lineRule="auto"/>
        <w:ind w:left="1620" w:hanging="1620"/>
        <w:jc w:val="both"/>
        <w:rPr>
          <w:rFonts w:ascii="Times New Roman" w:hAnsi="Times New Roman"/>
          <w:sz w:val="28"/>
          <w:szCs w:val="28"/>
        </w:rPr>
      </w:pPr>
      <w:r w:rsidRPr="003F1EB9">
        <w:rPr>
          <w:rFonts w:ascii="Times New Roman" w:hAnsi="Times New Roman"/>
          <w:sz w:val="28"/>
          <w:szCs w:val="28"/>
        </w:rPr>
        <w:t>КДО</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 xml:space="preserve">Кінцево-діастолічний об’єм </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КСІ</w:t>
      </w:r>
      <w:r w:rsidR="000A2895" w:rsidRPr="000A2895">
        <w:rPr>
          <w:rFonts w:ascii="Times New Roman" w:hAnsi="Times New Roman"/>
          <w:b/>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 xml:space="preserve">Кінцево-систолічний індекс </w:t>
      </w:r>
    </w:p>
    <w:p w:rsidR="00EF4063" w:rsidRPr="00F90B6B" w:rsidRDefault="00EF4063" w:rsidP="000A2895">
      <w:pPr>
        <w:spacing w:after="0" w:line="360" w:lineRule="auto"/>
        <w:ind w:left="1620" w:hanging="1620"/>
        <w:jc w:val="both"/>
        <w:rPr>
          <w:rFonts w:ascii="Times New Roman" w:hAnsi="Times New Roman"/>
          <w:b/>
          <w:sz w:val="28"/>
          <w:szCs w:val="28"/>
        </w:rPr>
      </w:pPr>
      <w:r w:rsidRPr="00F90B6B">
        <w:rPr>
          <w:rFonts w:ascii="Times New Roman" w:hAnsi="Times New Roman"/>
          <w:sz w:val="28"/>
          <w:szCs w:val="28"/>
        </w:rPr>
        <w:t>КСО</w:t>
      </w:r>
      <w:r w:rsidR="000A2895" w:rsidRPr="000A2895">
        <w:rPr>
          <w:rFonts w:ascii="Times New Roman" w:hAnsi="Times New Roman"/>
          <w:b/>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Кінцево-систолічний об’єм</w:t>
      </w:r>
      <w:r w:rsidRPr="00F90B6B">
        <w:rPr>
          <w:rFonts w:ascii="Times New Roman" w:hAnsi="Times New Roman"/>
          <w:b/>
          <w:sz w:val="28"/>
          <w:szCs w:val="28"/>
        </w:rPr>
        <w:t xml:space="preserve"> </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ПП</w:t>
      </w:r>
      <w:r w:rsidR="000A2895">
        <w:rPr>
          <w:rFonts w:ascii="Times New Roman" w:hAnsi="Times New Roman"/>
          <w:b/>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sidRPr="00F90B6B">
        <w:rPr>
          <w:rFonts w:ascii="Times New Roman" w:hAnsi="Times New Roman"/>
          <w:sz w:val="28"/>
          <w:szCs w:val="28"/>
        </w:rPr>
        <w:t xml:space="preserve">Праве передсердя </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ПШ</w:t>
      </w:r>
      <w:r w:rsidR="000A2895" w:rsidRPr="007E797D">
        <w:rPr>
          <w:rFonts w:ascii="Times New Roman" w:hAnsi="Times New Roman"/>
          <w:b/>
          <w:sz w:val="28"/>
          <w:szCs w:val="28"/>
        </w:rPr>
        <w:tab/>
      </w:r>
      <w:r w:rsidR="000A2895">
        <w:rPr>
          <w:rFonts w:ascii="Times New Roman" w:hAnsi="Times New Roman"/>
          <w:b/>
          <w:sz w:val="28"/>
          <w:szCs w:val="28"/>
        </w:rPr>
        <w:t>−</w:t>
      </w:r>
      <w:r w:rsidR="000A2895" w:rsidRPr="007E797D">
        <w:rPr>
          <w:rFonts w:ascii="Times New Roman" w:hAnsi="Times New Roman"/>
          <w:b/>
          <w:sz w:val="28"/>
          <w:szCs w:val="28"/>
        </w:rPr>
        <w:t xml:space="preserve"> </w:t>
      </w:r>
      <w:r w:rsidRPr="00F90B6B">
        <w:rPr>
          <w:rFonts w:ascii="Times New Roman" w:hAnsi="Times New Roman"/>
          <w:sz w:val="28"/>
          <w:szCs w:val="28"/>
        </w:rPr>
        <w:t xml:space="preserve">Правий шлуночок </w:t>
      </w:r>
    </w:p>
    <w:p w:rsidR="00EF4063" w:rsidRPr="00F90B6B" w:rsidRDefault="00EF4063" w:rsidP="000A2895">
      <w:pPr>
        <w:spacing w:after="0" w:line="360" w:lineRule="auto"/>
        <w:ind w:left="1620" w:hanging="1620"/>
        <w:jc w:val="both"/>
        <w:rPr>
          <w:rFonts w:ascii="Times New Roman" w:hAnsi="Times New Roman"/>
          <w:b/>
          <w:sz w:val="28"/>
          <w:szCs w:val="28"/>
        </w:rPr>
      </w:pPr>
      <w:r w:rsidRPr="00F90B6B">
        <w:rPr>
          <w:rFonts w:ascii="Times New Roman" w:hAnsi="Times New Roman"/>
          <w:sz w:val="28"/>
          <w:szCs w:val="28"/>
        </w:rPr>
        <w:t>ЛШ</w:t>
      </w:r>
      <w:r w:rsidR="000A2895" w:rsidRPr="000A2895">
        <w:rPr>
          <w:rFonts w:ascii="Times New Roman" w:hAnsi="Times New Roman"/>
          <w:b/>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Лівий шлуночок</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ССЗ</w:t>
      </w:r>
      <w:r w:rsidR="000A2895" w:rsidRPr="000A2895">
        <w:rPr>
          <w:rFonts w:ascii="Times New Roman" w:hAnsi="Times New Roman"/>
          <w:b/>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003F1EB9">
        <w:rPr>
          <w:rFonts w:ascii="Times New Roman" w:hAnsi="Times New Roman"/>
          <w:sz w:val="28"/>
          <w:szCs w:val="28"/>
        </w:rPr>
        <w:t>Серцево-с</w:t>
      </w:r>
      <w:r w:rsidR="003F1EB9" w:rsidRPr="000A2895">
        <w:rPr>
          <w:rFonts w:ascii="Times New Roman" w:hAnsi="Times New Roman"/>
          <w:sz w:val="28"/>
          <w:szCs w:val="28"/>
        </w:rPr>
        <w:t>у</w:t>
      </w:r>
      <w:r w:rsidRPr="00F90B6B">
        <w:rPr>
          <w:rFonts w:ascii="Times New Roman" w:hAnsi="Times New Roman"/>
          <w:sz w:val="28"/>
          <w:szCs w:val="28"/>
        </w:rPr>
        <w:t>динні захворювання</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УІ</w:t>
      </w:r>
      <w:r w:rsidR="000A2895" w:rsidRPr="000A2895">
        <w:rPr>
          <w:rFonts w:ascii="Times New Roman" w:hAnsi="Times New Roman"/>
          <w:b/>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 xml:space="preserve">Ударний індекс </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ФВ</w:t>
      </w:r>
      <w:r w:rsidR="000A2895" w:rsidRPr="000A2895">
        <w:rPr>
          <w:rFonts w:ascii="Times New Roman" w:hAnsi="Times New Roman"/>
          <w:sz w:val="28"/>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Fonts w:ascii="Times New Roman" w:hAnsi="Times New Roman"/>
          <w:sz w:val="28"/>
          <w:szCs w:val="28"/>
        </w:rPr>
        <w:t xml:space="preserve">Фракція викиду </w:t>
      </w:r>
    </w:p>
    <w:p w:rsidR="00EF4063"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ХСН</w:t>
      </w:r>
      <w:r w:rsidR="000A2895">
        <w:rPr>
          <w:rFonts w:ascii="Times New Roman" w:hAnsi="Times New Roman"/>
          <w:b/>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sidRPr="00F90B6B">
        <w:rPr>
          <w:rFonts w:ascii="Times New Roman" w:hAnsi="Times New Roman"/>
          <w:sz w:val="28"/>
          <w:szCs w:val="28"/>
        </w:rPr>
        <w:t xml:space="preserve">Хронічна серцева недостатність </w:t>
      </w:r>
    </w:p>
    <w:p w:rsidR="008B2BE5" w:rsidRDefault="008B2BE5" w:rsidP="000A2895">
      <w:pPr>
        <w:spacing w:after="0" w:line="360" w:lineRule="auto"/>
        <w:ind w:left="1620" w:hanging="1620"/>
        <w:jc w:val="both"/>
        <w:rPr>
          <w:rFonts w:ascii="Times New Roman" w:hAnsi="Times New Roman"/>
          <w:sz w:val="28"/>
          <w:szCs w:val="28"/>
        </w:rPr>
      </w:pPr>
      <w:r>
        <w:rPr>
          <w:rFonts w:ascii="Times New Roman" w:hAnsi="Times New Roman"/>
          <w:sz w:val="28"/>
          <w:szCs w:val="28"/>
        </w:rPr>
        <w:t>ФК</w:t>
      </w:r>
      <w:r w:rsidR="000A2895">
        <w:rPr>
          <w:rFonts w:ascii="Times New Roman" w:hAnsi="Times New Roman"/>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Pr>
          <w:rFonts w:ascii="Times New Roman" w:hAnsi="Times New Roman"/>
          <w:sz w:val="28"/>
          <w:szCs w:val="28"/>
        </w:rPr>
        <w:t>Функціональний клас</w:t>
      </w:r>
    </w:p>
    <w:p w:rsidR="008B2BE5" w:rsidRDefault="008B2BE5" w:rsidP="000A2895">
      <w:pPr>
        <w:spacing w:after="0" w:line="360" w:lineRule="auto"/>
        <w:ind w:left="1620" w:hanging="1620"/>
        <w:jc w:val="both"/>
        <w:rPr>
          <w:rFonts w:ascii="Times New Roman" w:hAnsi="Times New Roman"/>
          <w:sz w:val="28"/>
          <w:szCs w:val="28"/>
        </w:rPr>
      </w:pPr>
      <w:r>
        <w:rPr>
          <w:rFonts w:ascii="Times New Roman" w:hAnsi="Times New Roman"/>
          <w:sz w:val="28"/>
          <w:szCs w:val="28"/>
        </w:rPr>
        <w:t>САТ</w:t>
      </w:r>
      <w:r w:rsidR="000A2895">
        <w:rPr>
          <w:rFonts w:ascii="Times New Roman" w:hAnsi="Times New Roman"/>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Pr>
          <w:rFonts w:ascii="Times New Roman" w:hAnsi="Times New Roman"/>
          <w:sz w:val="28"/>
          <w:szCs w:val="28"/>
        </w:rPr>
        <w:t>Систолічний артеріальний тиск</w:t>
      </w:r>
    </w:p>
    <w:p w:rsidR="008B2BE5" w:rsidRPr="00F90B6B" w:rsidRDefault="008B2BE5" w:rsidP="000A2895">
      <w:pPr>
        <w:spacing w:after="0" w:line="360" w:lineRule="auto"/>
        <w:ind w:left="1620" w:hanging="1620"/>
        <w:jc w:val="both"/>
        <w:rPr>
          <w:rFonts w:ascii="Times New Roman" w:hAnsi="Times New Roman"/>
          <w:sz w:val="28"/>
          <w:szCs w:val="28"/>
        </w:rPr>
      </w:pPr>
      <w:r>
        <w:rPr>
          <w:rFonts w:ascii="Times New Roman" w:hAnsi="Times New Roman"/>
          <w:sz w:val="28"/>
          <w:szCs w:val="28"/>
        </w:rPr>
        <w:t>ДАТ</w:t>
      </w:r>
      <w:r w:rsidR="000A2895">
        <w:rPr>
          <w:rFonts w:ascii="Times New Roman" w:hAnsi="Times New Roman"/>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Pr>
          <w:rFonts w:ascii="Times New Roman" w:hAnsi="Times New Roman"/>
          <w:sz w:val="28"/>
          <w:szCs w:val="28"/>
        </w:rPr>
        <w:t>Діастолічний артеріальний тиск</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ЧСС</w:t>
      </w:r>
      <w:r w:rsidR="000A2895">
        <w:rPr>
          <w:rFonts w:ascii="Times New Roman" w:hAnsi="Times New Roman"/>
          <w:b/>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sidRPr="00F90B6B">
        <w:rPr>
          <w:rFonts w:ascii="Times New Roman" w:hAnsi="Times New Roman"/>
          <w:sz w:val="28"/>
          <w:szCs w:val="28"/>
        </w:rPr>
        <w:t xml:space="preserve">Частота серцевих скорочень </w:t>
      </w:r>
    </w:p>
    <w:p w:rsidR="00EF4063" w:rsidRPr="00F90B6B" w:rsidRDefault="00EF4063" w:rsidP="000A2895">
      <w:pPr>
        <w:spacing w:after="0" w:line="360" w:lineRule="auto"/>
        <w:ind w:left="1620" w:hanging="1620"/>
        <w:jc w:val="both"/>
        <w:rPr>
          <w:rFonts w:ascii="Times New Roman" w:hAnsi="Times New Roman"/>
          <w:sz w:val="28"/>
          <w:szCs w:val="28"/>
        </w:rPr>
      </w:pPr>
      <w:r w:rsidRPr="00F90B6B">
        <w:rPr>
          <w:rFonts w:ascii="Times New Roman" w:hAnsi="Times New Roman"/>
          <w:sz w:val="28"/>
          <w:szCs w:val="28"/>
        </w:rPr>
        <w:t>ШКФ</w:t>
      </w:r>
      <w:r w:rsidR="000A2895" w:rsidRPr="007E797D">
        <w:rPr>
          <w:rFonts w:ascii="Times New Roman" w:hAnsi="Times New Roman"/>
          <w:b/>
          <w:sz w:val="28"/>
          <w:szCs w:val="28"/>
        </w:rPr>
        <w:tab/>
      </w:r>
      <w:r w:rsidR="000A2895">
        <w:rPr>
          <w:rFonts w:ascii="Times New Roman" w:hAnsi="Times New Roman"/>
          <w:b/>
          <w:sz w:val="28"/>
          <w:szCs w:val="28"/>
        </w:rPr>
        <w:t>−</w:t>
      </w:r>
      <w:r w:rsidR="000A2895" w:rsidRPr="007E797D">
        <w:rPr>
          <w:rFonts w:ascii="Times New Roman" w:hAnsi="Times New Roman"/>
          <w:b/>
          <w:sz w:val="28"/>
          <w:szCs w:val="28"/>
        </w:rPr>
        <w:t xml:space="preserve"> </w:t>
      </w:r>
      <w:r w:rsidRPr="00F90B6B">
        <w:rPr>
          <w:rFonts w:ascii="Times New Roman" w:hAnsi="Times New Roman"/>
          <w:sz w:val="28"/>
          <w:szCs w:val="28"/>
        </w:rPr>
        <w:t xml:space="preserve">Швидкість клубочкової фільтрації </w:t>
      </w:r>
    </w:p>
    <w:p w:rsidR="00EF4063" w:rsidRPr="008B2BE5" w:rsidRDefault="00EF4063" w:rsidP="000A2895">
      <w:pPr>
        <w:spacing w:after="0" w:line="360" w:lineRule="auto"/>
        <w:ind w:left="1620" w:hanging="1620"/>
        <w:jc w:val="both"/>
        <w:rPr>
          <w:rStyle w:val="rvts8"/>
          <w:spacing w:val="-6"/>
          <w:szCs w:val="28"/>
        </w:rPr>
      </w:pPr>
      <w:r w:rsidRPr="008B2BE5">
        <w:rPr>
          <w:rStyle w:val="rvts8"/>
          <w:bCs/>
          <w:spacing w:val="-6"/>
          <w:szCs w:val="28"/>
        </w:rPr>
        <w:lastRenderedPageBreak/>
        <w:t>ХС</w:t>
      </w:r>
      <w:r w:rsidR="000A2895" w:rsidRPr="000A2895">
        <w:rPr>
          <w:rStyle w:val="rvts8"/>
          <w:spacing w:val="-6"/>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8B2BE5">
        <w:rPr>
          <w:rStyle w:val="rvts8"/>
          <w:spacing w:val="-6"/>
          <w:szCs w:val="28"/>
        </w:rPr>
        <w:t xml:space="preserve">Холестерин       </w:t>
      </w:r>
    </w:p>
    <w:p w:rsidR="00EF4063" w:rsidRPr="00F90B6B" w:rsidRDefault="00EF4063" w:rsidP="000A2895">
      <w:pPr>
        <w:spacing w:after="0" w:line="360" w:lineRule="auto"/>
        <w:ind w:left="1620" w:hanging="1620"/>
        <w:jc w:val="both"/>
        <w:rPr>
          <w:rStyle w:val="rvts8"/>
          <w:spacing w:val="-6"/>
          <w:szCs w:val="28"/>
        </w:rPr>
      </w:pPr>
      <w:r w:rsidRPr="008B2BE5">
        <w:rPr>
          <w:rStyle w:val="rvts8"/>
          <w:bCs/>
          <w:spacing w:val="-6"/>
          <w:szCs w:val="28"/>
        </w:rPr>
        <w:t>ЛПНЩ</w:t>
      </w:r>
      <w:r w:rsidR="000A2895" w:rsidRPr="000A2895">
        <w:rPr>
          <w:rStyle w:val="rvts8"/>
          <w:spacing w:val="-6"/>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Style w:val="rvts8"/>
          <w:spacing w:val="-6"/>
          <w:szCs w:val="28"/>
        </w:rPr>
        <w:t>Ліпопротеїди низької щільності</w:t>
      </w:r>
    </w:p>
    <w:p w:rsidR="00EF4063" w:rsidRPr="00F90B6B" w:rsidRDefault="00EF4063" w:rsidP="000A2895">
      <w:pPr>
        <w:spacing w:after="0" w:line="360" w:lineRule="auto"/>
        <w:ind w:left="1620" w:hanging="1620"/>
        <w:jc w:val="both"/>
        <w:rPr>
          <w:rStyle w:val="rvts8"/>
          <w:b/>
          <w:bCs/>
          <w:spacing w:val="-6"/>
          <w:szCs w:val="28"/>
        </w:rPr>
      </w:pPr>
      <w:r w:rsidRPr="00F90B6B">
        <w:rPr>
          <w:rStyle w:val="rvts8"/>
          <w:bCs/>
          <w:spacing w:val="-6"/>
          <w:szCs w:val="28"/>
        </w:rPr>
        <w:t>ЛПДНЩ</w:t>
      </w:r>
      <w:r w:rsidR="000A2895" w:rsidRPr="000A2895">
        <w:rPr>
          <w:rStyle w:val="rvts8"/>
          <w:spacing w:val="-6"/>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Style w:val="rvts8"/>
          <w:spacing w:val="-6"/>
          <w:szCs w:val="28"/>
        </w:rPr>
        <w:t>Ліпопротеїди дуже низької щільності</w:t>
      </w:r>
    </w:p>
    <w:p w:rsidR="00EF4063" w:rsidRPr="000A2895" w:rsidRDefault="00EF4063" w:rsidP="000A2895">
      <w:pPr>
        <w:spacing w:after="0" w:line="360" w:lineRule="auto"/>
        <w:ind w:left="1620" w:hanging="1620"/>
        <w:jc w:val="both"/>
        <w:rPr>
          <w:rStyle w:val="rvts8"/>
          <w:spacing w:val="-6"/>
          <w:szCs w:val="28"/>
        </w:rPr>
      </w:pPr>
      <w:r w:rsidRPr="00F90B6B">
        <w:rPr>
          <w:rStyle w:val="rvts8"/>
          <w:bCs/>
          <w:spacing w:val="-6"/>
          <w:szCs w:val="28"/>
        </w:rPr>
        <w:t>ЛПВЩ</w:t>
      </w:r>
      <w:r w:rsidR="000A2895" w:rsidRPr="000A2895">
        <w:rPr>
          <w:rStyle w:val="rvts8"/>
          <w:spacing w:val="-6"/>
          <w:szCs w:val="28"/>
        </w:rPr>
        <w:tab/>
      </w:r>
      <w:r w:rsidR="000A2895">
        <w:rPr>
          <w:rFonts w:ascii="Times New Roman" w:hAnsi="Times New Roman"/>
          <w:b/>
          <w:sz w:val="28"/>
          <w:szCs w:val="28"/>
        </w:rPr>
        <w:t>−</w:t>
      </w:r>
      <w:r w:rsidR="000A2895" w:rsidRPr="000A2895">
        <w:rPr>
          <w:rFonts w:ascii="Times New Roman" w:hAnsi="Times New Roman"/>
          <w:b/>
          <w:sz w:val="28"/>
          <w:szCs w:val="28"/>
        </w:rPr>
        <w:t xml:space="preserve"> </w:t>
      </w:r>
      <w:r w:rsidRPr="00F90B6B">
        <w:rPr>
          <w:rStyle w:val="rvts8"/>
          <w:spacing w:val="-6"/>
          <w:szCs w:val="28"/>
        </w:rPr>
        <w:t>Ліпопротеїди високої щільності</w:t>
      </w:r>
    </w:p>
    <w:p w:rsidR="003F1EB9" w:rsidRPr="003F1EB9" w:rsidRDefault="00056EB5" w:rsidP="000A2895">
      <w:pPr>
        <w:spacing w:after="0" w:line="360" w:lineRule="auto"/>
        <w:ind w:left="1620" w:hanging="1620"/>
        <w:jc w:val="both"/>
        <w:rPr>
          <w:rStyle w:val="rvts8"/>
          <w:spacing w:val="-6"/>
          <w:szCs w:val="28"/>
        </w:rPr>
      </w:pPr>
      <w:r w:rsidRPr="007E797D">
        <w:rPr>
          <w:rStyle w:val="rvts8"/>
          <w:spacing w:val="-6"/>
          <w:szCs w:val="28"/>
        </w:rPr>
        <w:t>ТГ</w:t>
      </w:r>
      <w:r w:rsidR="000A2895" w:rsidRPr="007E797D">
        <w:rPr>
          <w:rStyle w:val="rvts8"/>
          <w:spacing w:val="-6"/>
          <w:szCs w:val="28"/>
        </w:rPr>
        <w:tab/>
      </w:r>
      <w:r w:rsidR="000A2895">
        <w:rPr>
          <w:rFonts w:ascii="Times New Roman" w:hAnsi="Times New Roman"/>
          <w:b/>
          <w:sz w:val="28"/>
          <w:szCs w:val="28"/>
        </w:rPr>
        <w:t>−</w:t>
      </w:r>
      <w:r w:rsidR="000A2895" w:rsidRPr="007E797D">
        <w:rPr>
          <w:rFonts w:ascii="Times New Roman" w:hAnsi="Times New Roman"/>
          <w:b/>
          <w:sz w:val="28"/>
          <w:szCs w:val="28"/>
        </w:rPr>
        <w:t xml:space="preserve"> </w:t>
      </w:r>
      <w:r w:rsidRPr="007E797D">
        <w:rPr>
          <w:rStyle w:val="rvts8"/>
          <w:spacing w:val="-6"/>
          <w:szCs w:val="28"/>
        </w:rPr>
        <w:t>Триглі</w:t>
      </w:r>
      <w:r w:rsidR="003F1EB9" w:rsidRPr="007E797D">
        <w:rPr>
          <w:rStyle w:val="rvts8"/>
          <w:spacing w:val="-6"/>
          <w:szCs w:val="28"/>
        </w:rPr>
        <w:t>цер</w:t>
      </w:r>
      <w:r>
        <w:rPr>
          <w:rStyle w:val="rvts8"/>
          <w:spacing w:val="-6"/>
          <w:szCs w:val="28"/>
        </w:rPr>
        <w:t>и</w:t>
      </w:r>
      <w:r w:rsidR="003F1EB9">
        <w:rPr>
          <w:rStyle w:val="rvts8"/>
          <w:spacing w:val="-6"/>
          <w:szCs w:val="28"/>
        </w:rPr>
        <w:t>ди</w:t>
      </w:r>
    </w:p>
    <w:p w:rsidR="00EF4063" w:rsidRPr="00F90B6B" w:rsidRDefault="00EF4063" w:rsidP="000A2895">
      <w:pPr>
        <w:spacing w:after="0" w:line="360" w:lineRule="auto"/>
        <w:ind w:left="1620" w:hanging="1620"/>
        <w:jc w:val="both"/>
        <w:rPr>
          <w:rFonts w:ascii="Times New Roman" w:hAnsi="Times New Roman"/>
          <w:spacing w:val="-6"/>
          <w:sz w:val="28"/>
          <w:szCs w:val="28"/>
        </w:rPr>
      </w:pPr>
      <w:r w:rsidRPr="00F90B6B">
        <w:rPr>
          <w:rFonts w:ascii="Times New Roman" w:hAnsi="Times New Roman"/>
          <w:bCs/>
          <w:spacing w:val="-6"/>
          <w:sz w:val="28"/>
          <w:szCs w:val="28"/>
        </w:rPr>
        <w:t>НУП</w:t>
      </w:r>
      <w:r w:rsidR="000A2895">
        <w:rPr>
          <w:rFonts w:ascii="Times New Roman" w:hAnsi="Times New Roman"/>
          <w:spacing w:val="-6"/>
          <w:sz w:val="28"/>
          <w:szCs w:val="28"/>
          <w:lang w:val="ru-RU"/>
        </w:rPr>
        <w:tab/>
      </w:r>
      <w:r w:rsidR="000A2895">
        <w:rPr>
          <w:rFonts w:ascii="Times New Roman" w:hAnsi="Times New Roman"/>
          <w:b/>
          <w:sz w:val="28"/>
          <w:szCs w:val="28"/>
        </w:rPr>
        <w:t>−</w:t>
      </w:r>
      <w:r w:rsidR="000A2895">
        <w:rPr>
          <w:rFonts w:ascii="Times New Roman" w:hAnsi="Times New Roman"/>
          <w:b/>
          <w:sz w:val="28"/>
          <w:szCs w:val="28"/>
          <w:lang w:val="ru-RU"/>
        </w:rPr>
        <w:t xml:space="preserve"> </w:t>
      </w:r>
      <w:r w:rsidRPr="00F90B6B">
        <w:rPr>
          <w:rFonts w:ascii="Times New Roman" w:hAnsi="Times New Roman"/>
          <w:spacing w:val="-6"/>
          <w:sz w:val="28"/>
          <w:szCs w:val="28"/>
        </w:rPr>
        <w:t>Натрійуретичний пептид</w:t>
      </w:r>
    </w:p>
    <w:p w:rsidR="00EF4063" w:rsidRPr="00F90B6B" w:rsidRDefault="00EF4063" w:rsidP="00F0048B">
      <w:pPr>
        <w:spacing w:after="0" w:line="360" w:lineRule="auto"/>
        <w:jc w:val="both"/>
        <w:rPr>
          <w:rFonts w:ascii="Times New Roman" w:hAnsi="Times New Roman"/>
          <w:sz w:val="28"/>
          <w:szCs w:val="28"/>
        </w:rPr>
      </w:pPr>
    </w:p>
    <w:p w:rsidR="00EF4063" w:rsidRPr="00F90B6B" w:rsidRDefault="00EF4063" w:rsidP="00F0048B">
      <w:pPr>
        <w:spacing w:line="360" w:lineRule="auto"/>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Default="00EF4063" w:rsidP="008B2BE5">
      <w:pPr>
        <w:spacing w:after="0" w:line="360" w:lineRule="auto"/>
        <w:rPr>
          <w:rFonts w:ascii="Times New Roman" w:hAnsi="Times New Roman"/>
          <w:b/>
          <w:sz w:val="28"/>
          <w:szCs w:val="28"/>
        </w:rPr>
      </w:pPr>
    </w:p>
    <w:p w:rsidR="008B2BE5" w:rsidRPr="00F90B6B" w:rsidRDefault="008B2BE5" w:rsidP="008B2BE5">
      <w:pPr>
        <w:spacing w:after="0" w:line="360" w:lineRule="auto"/>
        <w:rPr>
          <w:rFonts w:ascii="Times New Roman" w:hAnsi="Times New Roman"/>
          <w:b/>
          <w:sz w:val="28"/>
          <w:szCs w:val="28"/>
        </w:rPr>
      </w:pPr>
    </w:p>
    <w:p w:rsidR="00EF4063" w:rsidRPr="00F90B6B" w:rsidRDefault="00EF4063" w:rsidP="00F0048B">
      <w:pPr>
        <w:spacing w:after="0" w:line="360" w:lineRule="auto"/>
        <w:jc w:val="center"/>
        <w:rPr>
          <w:rFonts w:ascii="Times New Roman" w:hAnsi="Times New Roman"/>
          <w:b/>
          <w:sz w:val="28"/>
          <w:szCs w:val="28"/>
        </w:rPr>
      </w:pPr>
    </w:p>
    <w:p w:rsidR="00EF4063" w:rsidRPr="000272BC" w:rsidRDefault="00EF4063" w:rsidP="000272BC">
      <w:pPr>
        <w:spacing w:after="0" w:line="360" w:lineRule="auto"/>
        <w:rPr>
          <w:rFonts w:ascii="Times New Roman" w:hAnsi="Times New Roman"/>
          <w:b/>
          <w:sz w:val="28"/>
          <w:szCs w:val="28"/>
          <w:lang w:val="ru-RU"/>
        </w:rPr>
      </w:pPr>
    </w:p>
    <w:p w:rsidR="00EF4063" w:rsidRPr="007F242B" w:rsidRDefault="00B37EFB" w:rsidP="00F0048B">
      <w:pPr>
        <w:spacing w:after="0" w:line="360" w:lineRule="auto"/>
        <w:jc w:val="center"/>
        <w:rPr>
          <w:rFonts w:ascii="Times New Roman" w:hAnsi="Times New Roman"/>
          <w:sz w:val="28"/>
          <w:szCs w:val="28"/>
        </w:rPr>
      </w:pPr>
      <w:r>
        <w:rPr>
          <w:rFonts w:ascii="Times New Roman" w:hAnsi="Times New Roman"/>
          <w:sz w:val="28"/>
          <w:szCs w:val="28"/>
        </w:rPr>
        <w:br w:type="page"/>
      </w:r>
      <w:r w:rsidR="00EF4063" w:rsidRPr="007F242B">
        <w:rPr>
          <w:rFonts w:ascii="Times New Roman" w:hAnsi="Times New Roman"/>
          <w:sz w:val="28"/>
          <w:szCs w:val="28"/>
        </w:rPr>
        <w:lastRenderedPageBreak/>
        <w:t>ВСТУП</w:t>
      </w:r>
    </w:p>
    <w:p w:rsidR="00EF4063" w:rsidRPr="00F90B6B" w:rsidRDefault="00EF4063" w:rsidP="00F0048B">
      <w:pPr>
        <w:spacing w:after="0" w:line="360" w:lineRule="auto"/>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color w:val="FF0000"/>
          <w:sz w:val="28"/>
          <w:szCs w:val="28"/>
        </w:rPr>
      </w:pPr>
      <w:r w:rsidRPr="00F90B6B">
        <w:rPr>
          <w:rFonts w:ascii="Times New Roman" w:hAnsi="Times New Roman"/>
          <w:b/>
          <w:sz w:val="28"/>
          <w:szCs w:val="28"/>
        </w:rPr>
        <w:t>Актуальність теми.</w:t>
      </w:r>
      <w:r w:rsidRPr="00F90B6B">
        <w:rPr>
          <w:rFonts w:ascii="Times New Roman" w:hAnsi="Times New Roman"/>
          <w:sz w:val="28"/>
          <w:szCs w:val="28"/>
        </w:rPr>
        <w:t xml:space="preserve"> Хронічна серцева недостатність (ХСН) є важливою медичною, соціальною та економічною проблемою. Близько 1,0% дорослого населення розвинених країн страждають на ХСН, а у людей старше 70 років частота ХСН становить близько 10,0%  [</w:t>
      </w:r>
      <w:r w:rsidRPr="00F90B6B">
        <w:rPr>
          <w:rFonts w:ascii="Times New Roman" w:hAnsi="Times New Roman"/>
          <w:sz w:val="28"/>
          <w:szCs w:val="28"/>
          <w:lang w:val="ru-RU"/>
        </w:rPr>
        <w:t>62</w:t>
      </w:r>
      <w:r w:rsidRPr="00F90B6B">
        <w:rPr>
          <w:rFonts w:ascii="Times New Roman" w:hAnsi="Times New Roman"/>
          <w:sz w:val="28"/>
          <w:szCs w:val="28"/>
        </w:rPr>
        <w:t>]</w:t>
      </w:r>
      <w:r w:rsidRPr="00F90B6B">
        <w:rPr>
          <w:rFonts w:ascii="Times New Roman" w:hAnsi="Times New Roman"/>
          <w:sz w:val="28"/>
          <w:szCs w:val="28"/>
          <w:lang w:val="ru-RU"/>
        </w:rPr>
        <w:t xml:space="preserve">. </w:t>
      </w:r>
      <w:r w:rsidRPr="00F90B6B">
        <w:rPr>
          <w:rFonts w:ascii="Times New Roman" w:hAnsi="Times New Roman"/>
          <w:sz w:val="28"/>
          <w:szCs w:val="28"/>
        </w:rPr>
        <w:t>Актуальність поєднаного перебігу ХСН та ожиріння зумовлено значною розповсюдженістю цих станів. За оцінками ВООЗ, надмірною вагою страждають приблизно 1,5 мільярда дорослих людей, особливо серед працездатного населення [</w:t>
      </w:r>
      <w:r w:rsidRPr="00F90B6B">
        <w:rPr>
          <w:rFonts w:ascii="Times New Roman" w:hAnsi="Times New Roman"/>
          <w:sz w:val="28"/>
          <w:szCs w:val="28"/>
          <w:lang w:val="ru-RU"/>
        </w:rPr>
        <w:t>38</w:t>
      </w:r>
      <w:r w:rsidRPr="00F90B6B">
        <w:rPr>
          <w:rFonts w:ascii="Times New Roman" w:hAnsi="Times New Roman"/>
          <w:sz w:val="28"/>
          <w:szCs w:val="28"/>
        </w:rPr>
        <w:t>]. На сьогоднішній день спостерігається тенденція не тільки до збільшення ожиріння, але і й до розвитку даної патології  у більш молодому віці.</w:t>
      </w:r>
      <w:r w:rsidRPr="00F90B6B">
        <w:rPr>
          <w:rFonts w:ascii="Times New Roman" w:hAnsi="Times New Roman"/>
          <w:color w:val="FF0000"/>
          <w:sz w:val="28"/>
          <w:szCs w:val="28"/>
        </w:rPr>
        <w:t xml:space="preserve"> </w:t>
      </w:r>
    </w:p>
    <w:p w:rsidR="00EF4063" w:rsidRPr="00F90B6B" w:rsidRDefault="00EF4063" w:rsidP="00F0048B">
      <w:pPr>
        <w:spacing w:after="0" w:line="360" w:lineRule="auto"/>
        <w:ind w:firstLine="709"/>
        <w:jc w:val="both"/>
        <w:rPr>
          <w:rFonts w:ascii="Times New Roman" w:hAnsi="Times New Roman"/>
          <w:color w:val="FF0000"/>
          <w:sz w:val="28"/>
          <w:szCs w:val="28"/>
        </w:rPr>
      </w:pPr>
      <w:r w:rsidRPr="00F90B6B">
        <w:rPr>
          <w:rFonts w:ascii="Times New Roman" w:hAnsi="Times New Roman"/>
          <w:sz w:val="28"/>
          <w:szCs w:val="28"/>
        </w:rPr>
        <w:t>За даними Національного Центру Статистики Здоров’я (NCHS) у США кожен п’ятий підліток страждає від надлишкової маси тіла та ожиріння. За останніми оцінками ВООЗ, надмірною вагою в сучасному світі страждають приблизно 1,5 мільярда дорослих людей і ще 350 млн схильні до ожиріння. Приблизно 20 млн  дітей до 8 років мають проблеми із зайвою вагою</w:t>
      </w:r>
      <w:r w:rsidRPr="00F90B6B">
        <w:rPr>
          <w:rFonts w:ascii="Times New Roman" w:hAnsi="Times New Roman"/>
          <w:color w:val="FF0000"/>
          <w:sz w:val="28"/>
          <w:szCs w:val="28"/>
        </w:rPr>
        <w:t xml:space="preserve"> </w:t>
      </w:r>
      <w:r w:rsidRPr="00F90B6B">
        <w:rPr>
          <w:rFonts w:ascii="Times New Roman" w:hAnsi="Times New Roman"/>
          <w:sz w:val="28"/>
          <w:szCs w:val="28"/>
        </w:rPr>
        <w:t>[75]. Жінки більш схильні до ожиріння, ніж чоловіки, лікарі це пов'язують з особливостями жіночого організму. В Україні від зайвої ваги страждає кожна четверта жінка і кожен шостий чоловік, всього близько 15% населення нашої країни</w:t>
      </w:r>
      <w:r w:rsidRPr="00F90B6B">
        <w:rPr>
          <w:rFonts w:ascii="Times New Roman" w:hAnsi="Times New Roman"/>
          <w:color w:val="FF0000"/>
          <w:sz w:val="28"/>
          <w:szCs w:val="28"/>
        </w:rPr>
        <w:t xml:space="preserve"> </w:t>
      </w:r>
      <w:r w:rsidRPr="00F90B6B">
        <w:rPr>
          <w:rFonts w:ascii="Times New Roman" w:hAnsi="Times New Roman"/>
          <w:sz w:val="28"/>
          <w:szCs w:val="28"/>
        </w:rPr>
        <w:t>[8]. Ожиріння та порушення ліпідного обміну тісно корелює з коронарними ураженнями та частотою серцево-судинних ускладнень</w:t>
      </w:r>
      <w:r w:rsidRPr="00F90B6B">
        <w:rPr>
          <w:rFonts w:ascii="Times New Roman" w:hAnsi="Times New Roman"/>
          <w:color w:val="FF0000"/>
          <w:sz w:val="28"/>
          <w:szCs w:val="28"/>
        </w:rPr>
        <w:t xml:space="preserve"> </w:t>
      </w:r>
      <w:r w:rsidRPr="00F90B6B">
        <w:rPr>
          <w:rFonts w:ascii="Times New Roman" w:hAnsi="Times New Roman"/>
          <w:sz w:val="28"/>
          <w:szCs w:val="28"/>
        </w:rPr>
        <w:t>[5, 11].</w:t>
      </w:r>
      <w:r w:rsidRPr="00F90B6B">
        <w:rPr>
          <w:rFonts w:ascii="Times New Roman" w:hAnsi="Times New Roman"/>
          <w:color w:val="FF0000"/>
          <w:sz w:val="28"/>
          <w:szCs w:val="28"/>
        </w:rPr>
        <w:t xml:space="preserve"> </w:t>
      </w:r>
      <w:r w:rsidRPr="00F90B6B">
        <w:rPr>
          <w:rFonts w:ascii="Times New Roman" w:hAnsi="Times New Roman"/>
          <w:sz w:val="28"/>
          <w:szCs w:val="28"/>
        </w:rPr>
        <w:t>Таким чином, ця проблема в Україні є актуальною.</w:t>
      </w:r>
      <w:r w:rsidRPr="00F90B6B">
        <w:rPr>
          <w:rFonts w:ascii="Times New Roman" w:hAnsi="Times New Roman"/>
          <w:color w:val="FF0000"/>
          <w:sz w:val="28"/>
          <w:szCs w:val="28"/>
        </w:rPr>
        <w:t xml:space="preserve">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У останні рекомендації з діагностики та лікування у пацієнтів з ХСН включений біомаркер міокардиального стресу - мозковий натрійуретичний пептид та його попередник (ESC Guidelines </w:t>
      </w:r>
      <w:r w:rsidRPr="00F90B6B">
        <w:rPr>
          <w:sz w:val="28"/>
          <w:szCs w:val="28"/>
          <w:lang w:val="en-US"/>
        </w:rPr>
        <w:t>HF</w:t>
      </w:r>
      <w:r w:rsidRPr="00F90B6B">
        <w:rPr>
          <w:sz w:val="28"/>
          <w:szCs w:val="28"/>
        </w:rPr>
        <w:t xml:space="preserve">, 2016). Їх підвищена секреція пов'язана з розтягуванням кардіоміоцитів, однак на сироваткові концентрації впливають і інші фактори, включаючи вік, ниркову функцію, анемію.  Окрім того, рівень </w:t>
      </w:r>
      <w:r w:rsidRPr="00F90B6B">
        <w:rPr>
          <w:sz w:val="28"/>
          <w:szCs w:val="28"/>
          <w:lang w:val="en-US"/>
        </w:rPr>
        <w:t>NTproBNP</w:t>
      </w:r>
      <w:r w:rsidRPr="00F90B6B">
        <w:rPr>
          <w:sz w:val="28"/>
          <w:szCs w:val="28"/>
        </w:rPr>
        <w:t xml:space="preserve"> розкриває не всі патогенетичні аспекти ХСН, що актуалізує пошук нових біомаркерів, які володіють як додатковим, так і самостійним прогностичним значенням.</w:t>
      </w:r>
    </w:p>
    <w:p w:rsidR="00EF4063" w:rsidRPr="00F90B6B" w:rsidRDefault="00EF4063" w:rsidP="00F0048B">
      <w:pPr>
        <w:pStyle w:val="a3"/>
        <w:spacing w:before="0" w:beforeAutospacing="0" w:after="0" w:afterAutospacing="0" w:line="360" w:lineRule="auto"/>
        <w:ind w:firstLine="709"/>
        <w:jc w:val="both"/>
        <w:rPr>
          <w:spacing w:val="-6"/>
          <w:sz w:val="28"/>
          <w:szCs w:val="28"/>
        </w:rPr>
      </w:pPr>
      <w:r w:rsidRPr="00F90B6B">
        <w:rPr>
          <w:sz w:val="28"/>
          <w:szCs w:val="28"/>
        </w:rPr>
        <w:t xml:space="preserve">Окрім того, з урахуванням великої кількості досліджень, існує постійний пошук клініко-прогностичних факторів, які можуть сприяти покращенню субклінічної або </w:t>
      </w:r>
      <w:r w:rsidRPr="00F90B6B">
        <w:rPr>
          <w:sz w:val="28"/>
          <w:szCs w:val="28"/>
        </w:rPr>
        <w:lastRenderedPageBreak/>
        <w:t>клінічної діагностики серцево-судинних захворювань (ССЗ). Доведено, що на сьогоднішній день гіпонатріємія є поширеним явищем серед пацієнтів з ХСН та частотою близько 20,0% у пацієнтів, які госпіталізовані з декомпенсованою серцевою недостатністю. При більш точному аналізі цілого ряду досліджень частота гіпонатріємії при ХСН становить від 8,0 до 28,0%, залежно від вибірки</w:t>
      </w:r>
      <w:r w:rsidRPr="00F90B6B">
        <w:rPr>
          <w:color w:val="FF0000"/>
          <w:sz w:val="28"/>
          <w:szCs w:val="28"/>
        </w:rPr>
        <w:t xml:space="preserve"> </w:t>
      </w:r>
      <w:r w:rsidRPr="00F90B6B">
        <w:rPr>
          <w:sz w:val="28"/>
          <w:szCs w:val="28"/>
        </w:rPr>
        <w:t>[17, 30, 43]</w:t>
      </w:r>
      <w:r w:rsidRPr="00F90B6B">
        <w:rPr>
          <w:spacing w:val="-6"/>
          <w:sz w:val="28"/>
          <w:szCs w:val="28"/>
        </w:rPr>
        <w:t xml:space="preserve">. </w:t>
      </w:r>
      <w:r w:rsidRPr="00F90B6B">
        <w:rPr>
          <w:sz w:val="28"/>
          <w:szCs w:val="28"/>
        </w:rPr>
        <w:t>Деякі дослідники вважають, що гіпонатріємія спричиняє прямий вплив на скорочувальну здатність міокарда</w:t>
      </w:r>
      <w:r w:rsidRPr="00F90B6B">
        <w:rPr>
          <w:spacing w:val="-6"/>
          <w:sz w:val="28"/>
          <w:szCs w:val="28"/>
        </w:rPr>
        <w:t xml:space="preserve"> [184]. </w:t>
      </w:r>
      <w:r w:rsidRPr="00F90B6B">
        <w:rPr>
          <w:sz w:val="28"/>
          <w:szCs w:val="28"/>
        </w:rPr>
        <w:t>Інші вказують, що гіпонатріємія, виявлена при госпіталізації у зв'язку з декомпенсацією ХСН, асоціюється зі збільшенням терміну перебування в стаціонарі і частотою повторних госпіталізацій</w:t>
      </w:r>
      <w:r w:rsidRPr="00F90B6B">
        <w:rPr>
          <w:color w:val="FF0000"/>
          <w:spacing w:val="-6"/>
          <w:sz w:val="28"/>
          <w:szCs w:val="28"/>
        </w:rPr>
        <w:t xml:space="preserve"> </w:t>
      </w:r>
      <w:r w:rsidRPr="00F90B6B">
        <w:rPr>
          <w:spacing w:val="-6"/>
          <w:sz w:val="28"/>
          <w:szCs w:val="28"/>
        </w:rPr>
        <w:t xml:space="preserve">[145]. </w:t>
      </w:r>
      <w:r w:rsidRPr="00F90B6B">
        <w:rPr>
          <w:sz w:val="28"/>
          <w:szCs w:val="28"/>
        </w:rPr>
        <w:t xml:space="preserve">Також гіпонатріємія є предиктором короткострокової та довгострокової смертності [192, 37, 92]. </w:t>
      </w:r>
    </w:p>
    <w:p w:rsidR="00EF4063" w:rsidRPr="00F90B6B" w:rsidRDefault="00EF4063" w:rsidP="00F0048B">
      <w:pPr>
        <w:pStyle w:val="a3"/>
        <w:spacing w:before="0" w:beforeAutospacing="0" w:after="0" w:afterAutospacing="0" w:line="360" w:lineRule="auto"/>
        <w:ind w:firstLine="709"/>
        <w:jc w:val="both"/>
        <w:rPr>
          <w:color w:val="FF0000"/>
          <w:spacing w:val="-6"/>
          <w:sz w:val="28"/>
          <w:szCs w:val="28"/>
        </w:rPr>
      </w:pPr>
      <w:r w:rsidRPr="00F90B6B">
        <w:rPr>
          <w:sz w:val="28"/>
          <w:szCs w:val="28"/>
        </w:rPr>
        <w:t>У більшості осіб з ожирінням спостерігається підвищений рівень альдостерону в сироватці крові, причому при прогресуванні ожиріння концентрація цього гормону зростає. Тривалий гіперальдостеронізм спричиняє зниження числа кардіоміоцитів в одиниці об'єму міокарду з розвитком їх гіпоксії, що в результаті призводить до зниження скорочувальної здатності</w:t>
      </w:r>
      <w:r w:rsidRPr="00F90B6B">
        <w:rPr>
          <w:color w:val="FF0000"/>
          <w:sz w:val="28"/>
          <w:szCs w:val="28"/>
        </w:rPr>
        <w:t xml:space="preserve"> </w:t>
      </w:r>
      <w:r w:rsidRPr="00F90B6B">
        <w:rPr>
          <w:sz w:val="28"/>
          <w:szCs w:val="28"/>
        </w:rPr>
        <w:t>серцевого м'яза</w:t>
      </w:r>
      <w:r w:rsidRPr="00F90B6B">
        <w:rPr>
          <w:color w:val="FF0000"/>
          <w:sz w:val="28"/>
          <w:szCs w:val="28"/>
        </w:rPr>
        <w:t xml:space="preserve"> </w:t>
      </w:r>
      <w:r w:rsidRPr="00F90B6B">
        <w:rPr>
          <w:sz w:val="28"/>
          <w:szCs w:val="28"/>
        </w:rPr>
        <w:t>[186].</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Таким</w:t>
      </w:r>
      <w:r w:rsidR="00390F8E">
        <w:rPr>
          <w:rFonts w:ascii="Times New Roman" w:hAnsi="Times New Roman"/>
          <w:sz w:val="28"/>
          <w:szCs w:val="28"/>
        </w:rPr>
        <w:t xml:space="preserve"> чином, при стабільному перебі</w:t>
      </w:r>
      <w:r w:rsidR="00390F8E">
        <w:rPr>
          <w:rFonts w:ascii="Times New Roman" w:hAnsi="Times New Roman"/>
          <w:sz w:val="28"/>
          <w:szCs w:val="28"/>
          <w:lang w:val="ru-RU"/>
        </w:rPr>
        <w:t>гу</w:t>
      </w:r>
      <w:r w:rsidRPr="00F90B6B">
        <w:rPr>
          <w:rFonts w:ascii="Times New Roman" w:hAnsi="Times New Roman"/>
          <w:sz w:val="28"/>
          <w:szCs w:val="28"/>
        </w:rPr>
        <w:t xml:space="preserve"> ХСН так само, як і при її декомпенсації, гіпонатріємія є важливим фактором ризику несприятливого прогнозу. Проте, даних відносно значення гіпонатріємії при декомпенсації ХСН є недостатньо. Також, незважаючи на актуальність даної проблеми, в цьому напрямку останнім часом проводяться лише поодинокі дослідження.</w:t>
      </w:r>
    </w:p>
    <w:p w:rsidR="00EF4063" w:rsidRPr="00F90B6B" w:rsidRDefault="00EF4063" w:rsidP="00F0048B">
      <w:pPr>
        <w:autoSpaceDE w:val="0"/>
        <w:autoSpaceDN w:val="0"/>
        <w:adjustRightInd w:val="0"/>
        <w:spacing w:after="0" w:line="360" w:lineRule="auto"/>
        <w:ind w:firstLine="708"/>
        <w:jc w:val="both"/>
        <w:rPr>
          <w:rFonts w:ascii="Times New Roman" w:eastAsia="TimesNewRoman" w:hAnsi="Times New Roman"/>
          <w:sz w:val="28"/>
          <w:szCs w:val="28"/>
          <w:lang w:eastAsia="ru-RU"/>
        </w:rPr>
      </w:pPr>
      <w:r w:rsidRPr="00F90B6B">
        <w:rPr>
          <w:rFonts w:ascii="Times New Roman" w:hAnsi="Times New Roman"/>
          <w:b/>
          <w:sz w:val="28"/>
          <w:szCs w:val="28"/>
        </w:rPr>
        <w:t xml:space="preserve">Зв'язок роботи з науковими програмами, планами, темами. </w:t>
      </w:r>
      <w:r w:rsidRPr="00F90B6B">
        <w:rPr>
          <w:rFonts w:ascii="Times New Roman" w:hAnsi="Times New Roman"/>
          <w:spacing w:val="-6"/>
          <w:sz w:val="28"/>
          <w:szCs w:val="28"/>
        </w:rPr>
        <w:t>Дисертаційна робота виконана у межах науково-дослідної роботи  у відділі клінічної фармакології та фармакогенетики неінфекційних захворювань ДУ «Нацiональний iнститут терапії iм. Л. Т. Малої НАМН України»  на тему: «</w:t>
      </w:r>
      <w:r w:rsidRPr="00F90B6B">
        <w:rPr>
          <w:rFonts w:ascii="Times New Roman" w:hAnsi="Times New Roman"/>
          <w:sz w:val="28"/>
          <w:szCs w:val="28"/>
        </w:rPr>
        <w:t>Розробити методи профілактики несприятливого перебігу хронічної серцевої недостатності з урахуванням генетичного, імуно-запального, гормонального статусу та супутньої патології» (№ держреєстрації НДР № 0116</w:t>
      </w:r>
      <w:r w:rsidRPr="00F90B6B">
        <w:rPr>
          <w:rFonts w:ascii="Times New Roman" w:hAnsi="Times New Roman"/>
          <w:sz w:val="28"/>
          <w:szCs w:val="28"/>
          <w:lang w:val="en-US"/>
        </w:rPr>
        <w:t>U</w:t>
      </w:r>
      <w:r w:rsidRPr="00F90B6B">
        <w:rPr>
          <w:rFonts w:ascii="Times New Roman" w:hAnsi="Times New Roman"/>
          <w:sz w:val="28"/>
          <w:szCs w:val="28"/>
        </w:rPr>
        <w:t xml:space="preserve">003038). Здобувач </w:t>
      </w:r>
      <w:r w:rsidRPr="00F90B6B">
        <w:rPr>
          <w:rFonts w:ascii="Times New Roman" w:eastAsia="TimesNewRoman" w:hAnsi="Times New Roman"/>
          <w:sz w:val="28"/>
          <w:szCs w:val="28"/>
          <w:lang w:eastAsia="ru-RU"/>
        </w:rPr>
        <w:t xml:space="preserve"> провів  патентно-інформаційний пошук, відбір тематичних хворих, їх анкетування та обстеження, статистичну обробку та аналіз </w:t>
      </w:r>
      <w:r w:rsidRPr="00F90B6B">
        <w:rPr>
          <w:rFonts w:ascii="Times New Roman" w:eastAsia="TimesNewRoman" w:hAnsi="Times New Roman"/>
          <w:sz w:val="28"/>
          <w:szCs w:val="28"/>
          <w:lang w:eastAsia="ru-RU"/>
        </w:rPr>
        <w:lastRenderedPageBreak/>
        <w:t>отриманих результатів досліджень, розробив теоретичні та практичні положення роботи, написання наукових праць.</w:t>
      </w:r>
    </w:p>
    <w:p w:rsidR="00EF4063" w:rsidRPr="00F90B6B" w:rsidRDefault="00EF4063" w:rsidP="00F0048B">
      <w:pPr>
        <w:spacing w:after="0" w:line="360" w:lineRule="auto"/>
        <w:ind w:firstLine="709"/>
        <w:jc w:val="both"/>
        <w:rPr>
          <w:rFonts w:ascii="Times New Roman" w:hAnsi="Times New Roman"/>
          <w:b/>
          <w:sz w:val="28"/>
          <w:szCs w:val="28"/>
        </w:rPr>
      </w:pPr>
      <w:r w:rsidRPr="00F90B6B">
        <w:rPr>
          <w:rFonts w:ascii="Times New Roman" w:hAnsi="Times New Roman"/>
          <w:b/>
          <w:sz w:val="28"/>
          <w:szCs w:val="28"/>
        </w:rPr>
        <w:t xml:space="preserve">Мета дослідження. </w:t>
      </w:r>
      <w:r w:rsidRPr="00F90B6B">
        <w:rPr>
          <w:rFonts w:ascii="Times New Roman" w:hAnsi="Times New Roman"/>
          <w:spacing w:val="-6"/>
          <w:sz w:val="28"/>
          <w:szCs w:val="28"/>
        </w:rPr>
        <w:t xml:space="preserve">Оптимізація прогнозування перебігу серцевої недостатності зі збереженою фракцією викиду лівого шлуночка (ЗФВЛШ) у хворих з ожирінням на підставі вивчення гіпонатріємії та мозкового натрійуретичного пептиду. </w:t>
      </w:r>
    </w:p>
    <w:p w:rsidR="00EF4063" w:rsidRPr="00F90B6B" w:rsidRDefault="00EF4063" w:rsidP="00F0048B">
      <w:pPr>
        <w:spacing w:after="0" w:line="360" w:lineRule="auto"/>
        <w:ind w:firstLine="709"/>
        <w:jc w:val="both"/>
        <w:rPr>
          <w:rFonts w:ascii="Times New Roman" w:hAnsi="Times New Roman"/>
          <w:b/>
          <w:bCs/>
          <w:spacing w:val="-6"/>
          <w:sz w:val="28"/>
          <w:szCs w:val="28"/>
        </w:rPr>
      </w:pPr>
      <w:r w:rsidRPr="00F90B6B">
        <w:rPr>
          <w:rFonts w:ascii="Times New Roman" w:hAnsi="Times New Roman"/>
          <w:b/>
          <w:bCs/>
          <w:spacing w:val="-6"/>
          <w:sz w:val="28"/>
          <w:szCs w:val="28"/>
        </w:rPr>
        <w:t>Задачі дослідження:</w:t>
      </w:r>
    </w:p>
    <w:p w:rsidR="00EF4063" w:rsidRPr="00F90B6B" w:rsidRDefault="00EF4063" w:rsidP="00F0048B">
      <w:pPr>
        <w:numPr>
          <w:ilvl w:val="0"/>
          <w:numId w:val="31"/>
        </w:numPr>
        <w:spacing w:after="0" w:line="360" w:lineRule="auto"/>
        <w:ind w:left="0" w:firstLine="709"/>
        <w:jc w:val="both"/>
        <w:rPr>
          <w:rFonts w:ascii="Times New Roman" w:hAnsi="Times New Roman"/>
          <w:sz w:val="28"/>
          <w:szCs w:val="28"/>
        </w:rPr>
      </w:pPr>
      <w:r w:rsidRPr="00F90B6B">
        <w:rPr>
          <w:rFonts w:ascii="Times New Roman" w:hAnsi="Times New Roman"/>
          <w:sz w:val="28"/>
          <w:szCs w:val="28"/>
        </w:rPr>
        <w:t xml:space="preserve">Вивчити поширеність гіпонатріємії, провести оцінку факторів та супутніх станів, асоційованих з гіпонатріємією, у хворих з хронічною серцевою недостатністю зі збереженою фракцією викиду лівого шлуночка та ожирінням. </w:t>
      </w:r>
    </w:p>
    <w:p w:rsidR="00EF4063" w:rsidRPr="00F90B6B" w:rsidRDefault="00EF4063" w:rsidP="00F0048B">
      <w:pPr>
        <w:numPr>
          <w:ilvl w:val="0"/>
          <w:numId w:val="31"/>
        </w:numPr>
        <w:spacing w:after="0" w:line="360" w:lineRule="auto"/>
        <w:ind w:left="0" w:firstLine="709"/>
        <w:jc w:val="both"/>
        <w:rPr>
          <w:rFonts w:ascii="Times New Roman" w:hAnsi="Times New Roman"/>
          <w:sz w:val="28"/>
          <w:szCs w:val="28"/>
        </w:rPr>
      </w:pPr>
      <w:r w:rsidRPr="00F90B6B">
        <w:rPr>
          <w:rFonts w:ascii="Times New Roman" w:hAnsi="Times New Roman"/>
          <w:sz w:val="28"/>
          <w:szCs w:val="28"/>
        </w:rPr>
        <w:t>Дослідити антропометричні показники, параметри ліпідного, вуглеводного обміну, іонного гомеостазу (рівні калію, натрію), біохімічні маркери гемодинамічного стресу (NTproBNP), показники кардіогемодинаміки у хворих із ХСН зі ЗФВЛШ при ожирінні.</w:t>
      </w:r>
    </w:p>
    <w:p w:rsidR="00EF4063" w:rsidRPr="00F90B6B" w:rsidRDefault="00EF4063" w:rsidP="00F0048B">
      <w:pPr>
        <w:numPr>
          <w:ilvl w:val="0"/>
          <w:numId w:val="31"/>
        </w:numPr>
        <w:spacing w:after="0" w:line="360" w:lineRule="auto"/>
        <w:ind w:left="0" w:firstLine="709"/>
        <w:jc w:val="both"/>
        <w:rPr>
          <w:rFonts w:ascii="Times New Roman" w:hAnsi="Times New Roman"/>
          <w:sz w:val="28"/>
          <w:szCs w:val="28"/>
        </w:rPr>
      </w:pPr>
      <w:r w:rsidRPr="00F90B6B">
        <w:rPr>
          <w:rFonts w:ascii="Times New Roman" w:hAnsi="Times New Roman"/>
          <w:sz w:val="28"/>
          <w:szCs w:val="28"/>
        </w:rPr>
        <w:t>Встановити зв`язок між рівнями натріємії, альдостерона і NTproBNP з клініко-лабораторними і структурно-функціональними  показниками у хворих з ХСН зі збереженою фракцією викиду лівого шлуночка і супутнім ожирінням.</w:t>
      </w:r>
    </w:p>
    <w:p w:rsidR="00EF4063" w:rsidRPr="00F90B6B" w:rsidRDefault="00EF4063" w:rsidP="00F0048B">
      <w:pPr>
        <w:numPr>
          <w:ilvl w:val="0"/>
          <w:numId w:val="31"/>
        </w:numPr>
        <w:spacing w:after="0" w:line="360" w:lineRule="auto"/>
        <w:ind w:left="0" w:firstLine="709"/>
        <w:jc w:val="both"/>
        <w:rPr>
          <w:rFonts w:ascii="Times New Roman" w:hAnsi="Times New Roman"/>
          <w:sz w:val="28"/>
          <w:szCs w:val="28"/>
        </w:rPr>
      </w:pPr>
      <w:r w:rsidRPr="00F90B6B">
        <w:rPr>
          <w:rFonts w:ascii="Times New Roman" w:hAnsi="Times New Roman"/>
          <w:sz w:val="28"/>
          <w:szCs w:val="28"/>
        </w:rPr>
        <w:t>Враховуючи клініко-лабораторні, структурно-функціональні показники та рівень NTproBNP виявити основні предиктори розвитку важкої гіпонатріємії для стратифікації розвитку ускладнень у пацієнтів з ХСН зі збереженою фракцією викиду лівого шлуночка і супутнім ожирінням.</w:t>
      </w:r>
    </w:p>
    <w:p w:rsidR="00EF4063" w:rsidRPr="00F90B6B" w:rsidRDefault="00EF4063" w:rsidP="00F0048B">
      <w:pPr>
        <w:numPr>
          <w:ilvl w:val="0"/>
          <w:numId w:val="31"/>
        </w:numPr>
        <w:spacing w:after="0" w:line="360" w:lineRule="auto"/>
        <w:ind w:left="0" w:firstLine="709"/>
        <w:jc w:val="both"/>
        <w:rPr>
          <w:rFonts w:ascii="Times New Roman" w:hAnsi="Times New Roman"/>
          <w:sz w:val="28"/>
          <w:szCs w:val="28"/>
        </w:rPr>
      </w:pPr>
      <w:r w:rsidRPr="00F90B6B">
        <w:rPr>
          <w:rFonts w:ascii="Times New Roman" w:hAnsi="Times New Roman"/>
          <w:sz w:val="28"/>
          <w:szCs w:val="28"/>
        </w:rPr>
        <w:t>Встановити клініко-прогностичну значимість гіпонатріємії у хворих з ХСН зі збереженою фракцією викиду лівого шлуночка на підставі ретроспективного дослідження (5 років) та оцінити прогностичну роль гіпонатріємії у хворих з ХСН зі збереженою фракцією викиду лівого шлуночка та супутнім ожирінням на основі проспективного  спостереження (2 роки).</w:t>
      </w:r>
    </w:p>
    <w:p w:rsidR="00EF4063" w:rsidRPr="00F90B6B" w:rsidRDefault="00EF4063" w:rsidP="00F0048B">
      <w:pPr>
        <w:spacing w:after="0" w:line="360" w:lineRule="auto"/>
        <w:ind w:firstLine="709"/>
        <w:jc w:val="both"/>
        <w:rPr>
          <w:rFonts w:ascii="Times New Roman" w:hAnsi="Times New Roman"/>
          <w:spacing w:val="-6"/>
          <w:sz w:val="28"/>
          <w:szCs w:val="28"/>
        </w:rPr>
      </w:pPr>
      <w:r w:rsidRPr="00F90B6B">
        <w:rPr>
          <w:rFonts w:ascii="Times New Roman" w:hAnsi="Times New Roman"/>
          <w:b/>
          <w:sz w:val="28"/>
          <w:szCs w:val="28"/>
        </w:rPr>
        <w:t xml:space="preserve">Об’єкт дослідження. </w:t>
      </w:r>
      <w:r w:rsidRPr="00F90B6B">
        <w:rPr>
          <w:rFonts w:ascii="Times New Roman" w:hAnsi="Times New Roman"/>
          <w:spacing w:val="-6"/>
          <w:sz w:val="28"/>
          <w:szCs w:val="28"/>
        </w:rPr>
        <w:t>Хронічна серцева недостатність ішемічного ґенезу зі збереженою фракцією викиду лівого шлуночка та супутнім ожирінням.</w:t>
      </w:r>
    </w:p>
    <w:p w:rsidR="00EF4063" w:rsidRPr="00F90B6B" w:rsidRDefault="00EF4063" w:rsidP="00F0048B">
      <w:pPr>
        <w:spacing w:after="0" w:line="360" w:lineRule="auto"/>
        <w:ind w:firstLine="709"/>
        <w:jc w:val="both"/>
        <w:rPr>
          <w:rFonts w:ascii="Times New Roman" w:hAnsi="Times New Roman"/>
          <w:spacing w:val="-6"/>
          <w:sz w:val="28"/>
          <w:szCs w:val="28"/>
        </w:rPr>
      </w:pPr>
      <w:r w:rsidRPr="00F90B6B">
        <w:rPr>
          <w:rFonts w:ascii="Times New Roman" w:hAnsi="Times New Roman"/>
          <w:b/>
          <w:sz w:val="28"/>
          <w:szCs w:val="28"/>
        </w:rPr>
        <w:t xml:space="preserve">Предмет дослідження. </w:t>
      </w:r>
      <w:r w:rsidRPr="00F90B6B">
        <w:rPr>
          <w:rFonts w:ascii="Times New Roman" w:hAnsi="Times New Roman"/>
          <w:spacing w:val="-6"/>
          <w:sz w:val="28"/>
          <w:szCs w:val="28"/>
        </w:rPr>
        <w:t>Антропометричні</w:t>
      </w:r>
      <w:r w:rsidRPr="00F90B6B">
        <w:rPr>
          <w:rFonts w:ascii="Times New Roman" w:hAnsi="Times New Roman"/>
          <w:b/>
          <w:bCs/>
          <w:spacing w:val="-6"/>
          <w:sz w:val="28"/>
          <w:szCs w:val="28"/>
        </w:rPr>
        <w:t xml:space="preserve"> </w:t>
      </w:r>
      <w:r w:rsidRPr="00F90B6B">
        <w:rPr>
          <w:rFonts w:ascii="Times New Roman" w:hAnsi="Times New Roman"/>
          <w:spacing w:val="-6"/>
          <w:sz w:val="28"/>
          <w:szCs w:val="28"/>
        </w:rPr>
        <w:t xml:space="preserve">показники, фізікальні дані, загальноклінічні та біохімічні (калій, натрій) показники, ліпідний профіль, рівень </w:t>
      </w:r>
      <w:r w:rsidRPr="00F90B6B">
        <w:rPr>
          <w:rFonts w:ascii="Times New Roman" w:hAnsi="Times New Roman"/>
          <w:spacing w:val="-6"/>
          <w:sz w:val="28"/>
          <w:szCs w:val="28"/>
          <w:lang w:val="en-US"/>
        </w:rPr>
        <w:lastRenderedPageBreak/>
        <w:t>NTproBNP</w:t>
      </w:r>
      <w:r w:rsidRPr="00F90B6B">
        <w:rPr>
          <w:rFonts w:ascii="Times New Roman" w:hAnsi="Times New Roman"/>
          <w:spacing w:val="-6"/>
          <w:sz w:val="28"/>
          <w:szCs w:val="28"/>
        </w:rPr>
        <w:t>, альдостерону, а також ехокардіографічні показники серця при ХСН зі ЗФВЛШ і супутнім ожирінням.</w:t>
      </w:r>
    </w:p>
    <w:p w:rsidR="00EF4063" w:rsidRPr="00F90B6B" w:rsidRDefault="00EF4063" w:rsidP="00F0048B">
      <w:pPr>
        <w:autoSpaceDE w:val="0"/>
        <w:autoSpaceDN w:val="0"/>
        <w:adjustRightInd w:val="0"/>
        <w:spacing w:after="0" w:line="360" w:lineRule="auto"/>
        <w:ind w:firstLine="708"/>
        <w:jc w:val="both"/>
        <w:rPr>
          <w:rFonts w:ascii="Times New Roman" w:eastAsia="TimesNewRoman" w:hAnsi="Times New Roman"/>
          <w:sz w:val="28"/>
          <w:szCs w:val="28"/>
          <w:lang w:eastAsia="ru-RU"/>
        </w:rPr>
      </w:pPr>
      <w:r w:rsidRPr="00F90B6B">
        <w:rPr>
          <w:rFonts w:ascii="Times New Roman" w:hAnsi="Times New Roman"/>
          <w:b/>
          <w:sz w:val="28"/>
          <w:szCs w:val="28"/>
        </w:rPr>
        <w:t>Методи дослідження</w:t>
      </w:r>
      <w:r w:rsidRPr="00F90B6B">
        <w:rPr>
          <w:rFonts w:ascii="Times New Roman" w:hAnsi="Times New Roman"/>
          <w:sz w:val="28"/>
          <w:szCs w:val="28"/>
        </w:rPr>
        <w:t xml:space="preserve">. </w:t>
      </w:r>
      <w:r w:rsidRPr="00F90B6B">
        <w:rPr>
          <w:rFonts w:ascii="Times New Roman" w:eastAsia="TimesNewRoman" w:hAnsi="Times New Roman"/>
          <w:sz w:val="28"/>
          <w:szCs w:val="28"/>
          <w:lang w:eastAsia="ru-RU"/>
        </w:rPr>
        <w:t>Загальноклінічні, анкетування</w:t>
      </w:r>
      <w:r w:rsidRPr="00F90B6B">
        <w:rPr>
          <w:rFonts w:ascii="Times New Roman" w:eastAsia="TimesNewRoman" w:hAnsi="Times New Roman"/>
          <w:i/>
          <w:iCs/>
          <w:sz w:val="28"/>
          <w:szCs w:val="28"/>
          <w:lang w:eastAsia="ru-RU"/>
        </w:rPr>
        <w:t xml:space="preserve">, </w:t>
      </w:r>
      <w:r w:rsidRPr="00F90B6B">
        <w:rPr>
          <w:rFonts w:ascii="Times New Roman" w:eastAsia="TimesNewRoman" w:hAnsi="Times New Roman"/>
          <w:sz w:val="28"/>
          <w:szCs w:val="28"/>
          <w:lang w:eastAsia="ru-RU"/>
        </w:rPr>
        <w:t>клініко-анамнестичні, антропометричні, біохімічні, інструментальні, аналітико-статистичні.</w:t>
      </w:r>
      <w:r w:rsidRPr="00F90B6B">
        <w:rPr>
          <w:rStyle w:val="rvts8"/>
          <w:spacing w:val="-6"/>
          <w:szCs w:val="28"/>
        </w:rPr>
        <w:t xml:space="preserve">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Наукова новизна одержаних результатів. </w:t>
      </w:r>
      <w:r w:rsidRPr="00F90B6B">
        <w:rPr>
          <w:rFonts w:ascii="Times New Roman" w:hAnsi="Times New Roman"/>
          <w:sz w:val="28"/>
          <w:szCs w:val="28"/>
        </w:rPr>
        <w:t xml:space="preserve">Розширено наукові дані щодо  негативного впливу гіпонатріємії  у хворих з ХСН зі ЗФВЛШ та  супутнім ожирінням на перебіг, прогресування та прогноз захворювання, уточнені патогенетичні механізми виникнення гіпонатріємії на підставі визначення  вмісту  натрійуретичного пептиду та альдостерону . </w: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Встановлена поширеність гіпонатріємії у пацієнтів із ХСН зі ЗФВЛШ та ожирінням, виявлені фактори та супутні клінічні стани, асоційовані  з гіпонатріємією. Доведений зв</w:t>
      </w:r>
      <w:r w:rsidRPr="00F90B6B">
        <w:rPr>
          <w:rFonts w:ascii="Times New Roman" w:hAnsi="Times New Roman"/>
          <w:sz w:val="28"/>
          <w:szCs w:val="28"/>
          <w:lang w:val="ru-RU"/>
        </w:rPr>
        <w:t>`</w:t>
      </w:r>
      <w:r w:rsidRPr="00F90B6B">
        <w:rPr>
          <w:rFonts w:ascii="Times New Roman" w:hAnsi="Times New Roman"/>
          <w:sz w:val="28"/>
          <w:szCs w:val="28"/>
        </w:rPr>
        <w:t>язок виникнення гіпонатріємії з частотою та особливостями призначення діуретиків хворим із ХСН.</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Доповнені наукові дані про характер та причини змін концентрації  </w:t>
      </w:r>
      <w:r w:rsidRPr="00F90B6B">
        <w:rPr>
          <w:rFonts w:ascii="Times New Roman" w:hAnsi="Times New Roman"/>
          <w:spacing w:val="-6"/>
          <w:sz w:val="28"/>
          <w:szCs w:val="28"/>
          <w:lang w:eastAsia="uk-UA"/>
        </w:rPr>
        <w:t xml:space="preserve">NTproBNP у хворих із ХСН  </w:t>
      </w:r>
      <w:r w:rsidRPr="00F90B6B">
        <w:rPr>
          <w:rFonts w:ascii="Times New Roman" w:hAnsi="Times New Roman"/>
          <w:sz w:val="28"/>
          <w:szCs w:val="28"/>
        </w:rPr>
        <w:t>зі ЗФВЛШ в залежності від рівня натріємії. Уперше встановлено підвищення вмісту НУП у пацієнтів із  ХСН зі ЗФВЛШ та супутнім ожирінням при гіпонатріємії порівняно з хворими з нормальною концентрацією натрію у плазмі крові.</w:t>
      </w:r>
    </w:p>
    <w:p w:rsidR="00EF4063" w:rsidRPr="00F90B6B" w:rsidRDefault="00EF4063" w:rsidP="00F0048B">
      <w:pPr>
        <w:spacing w:after="0" w:line="360" w:lineRule="auto"/>
        <w:ind w:firstLine="709"/>
        <w:jc w:val="both"/>
        <w:rPr>
          <w:rFonts w:ascii="Times New Roman" w:hAnsi="Times New Roman"/>
          <w:spacing w:val="-6"/>
          <w:sz w:val="28"/>
          <w:szCs w:val="28"/>
        </w:rPr>
      </w:pPr>
      <w:r w:rsidRPr="00F90B6B">
        <w:rPr>
          <w:rFonts w:ascii="Times New Roman" w:hAnsi="Times New Roman"/>
          <w:sz w:val="28"/>
          <w:szCs w:val="28"/>
        </w:rPr>
        <w:t xml:space="preserve">Визначена прогностична цінність гіпонатріємії у хворих із  ХСН зі ЗФВЛШ та супутнім ожирінням  з урахуванням  рівнів НУП, альдостерону та ШКФ. </w:t>
      </w:r>
      <w:r w:rsidRPr="00F90B6B">
        <w:rPr>
          <w:rFonts w:ascii="Times New Roman" w:hAnsi="Times New Roman"/>
          <w:spacing w:val="-6"/>
          <w:sz w:val="28"/>
          <w:szCs w:val="28"/>
        </w:rPr>
        <w:t xml:space="preserve"> Встановлена  асоціація  ступеню гіпонатріємії з розвитком несприятливих подій та серцево-судинною смертністю пацієнтів.</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rPr>
        <w:t>Наукова новизна роботи підтверджена деклараційним патентом України на корисну модель: Пат. № 129891,</w:t>
      </w:r>
      <w:r w:rsidRPr="00F90B6B">
        <w:rPr>
          <w:rFonts w:ascii="Times New Roman" w:hAnsi="Times New Roman"/>
          <w:sz w:val="28"/>
          <w:szCs w:val="28"/>
          <w:vertAlign w:val="superscript"/>
        </w:rPr>
        <w:t xml:space="preserve"> </w:t>
      </w:r>
      <w:r w:rsidRPr="00F90B6B">
        <w:rPr>
          <w:rFonts w:ascii="Times New Roman" w:hAnsi="Times New Roman"/>
          <w:sz w:val="28"/>
          <w:szCs w:val="28"/>
        </w:rPr>
        <w:t>МПК G01N33/48 (2006.01) Спосіб прогнозування прогресування хронічної серцевої недостатності у хворих зі збереженою фракцією викиду лівого шлуночка, гіпонатріємією та супутнім ожирінням / Лазіді К.Л., Рудик Ю. С., ДУ «Національний інститут терапії імені Л.Т. Малої НАМН України». – u 2018 09296; заявл. 12.09.2018; опубл. 12.11.2018, Бюл.21.</w:t>
      </w:r>
    </w:p>
    <w:p w:rsidR="00EF4063" w:rsidRPr="00F90B6B" w:rsidRDefault="00EF4063" w:rsidP="00F0048B">
      <w:pPr>
        <w:numPr>
          <w:ilvl w:val="12"/>
          <w:numId w:val="0"/>
        </w:numPr>
        <w:spacing w:after="0" w:line="360" w:lineRule="auto"/>
        <w:ind w:firstLine="709"/>
        <w:jc w:val="both"/>
        <w:rPr>
          <w:rFonts w:ascii="Times New Roman" w:hAnsi="Times New Roman"/>
          <w:b/>
          <w:bCs/>
          <w:spacing w:val="-6"/>
          <w:sz w:val="28"/>
          <w:szCs w:val="28"/>
        </w:rPr>
      </w:pPr>
      <w:r w:rsidRPr="00F90B6B">
        <w:rPr>
          <w:rFonts w:ascii="Times New Roman" w:hAnsi="Times New Roman"/>
          <w:b/>
          <w:sz w:val="28"/>
          <w:szCs w:val="28"/>
        </w:rPr>
        <w:t xml:space="preserve">Практичне значення одержаних результатів. </w:t>
      </w:r>
      <w:r w:rsidRPr="00F90B6B">
        <w:rPr>
          <w:rFonts w:ascii="Times New Roman" w:hAnsi="Times New Roman"/>
          <w:sz w:val="28"/>
          <w:szCs w:val="28"/>
        </w:rPr>
        <w:t xml:space="preserve">Встановлені показники рівня іонів натрію, альдостерону та </w:t>
      </w:r>
      <w:r w:rsidRPr="00F90B6B">
        <w:rPr>
          <w:rFonts w:ascii="Times New Roman" w:hAnsi="Times New Roman"/>
          <w:sz w:val="28"/>
          <w:szCs w:val="28"/>
          <w:lang w:val="en-US"/>
        </w:rPr>
        <w:t>NTproBNP</w:t>
      </w:r>
      <w:r w:rsidRPr="00F90B6B">
        <w:rPr>
          <w:rFonts w:ascii="Times New Roman" w:hAnsi="Times New Roman"/>
          <w:sz w:val="28"/>
          <w:szCs w:val="28"/>
        </w:rPr>
        <w:t xml:space="preserve">, які  пов`язані з прогресуванням  </w:t>
      </w:r>
      <w:r w:rsidRPr="00F90B6B">
        <w:rPr>
          <w:rFonts w:ascii="Times New Roman" w:hAnsi="Times New Roman"/>
          <w:sz w:val="28"/>
          <w:szCs w:val="28"/>
        </w:rPr>
        <w:lastRenderedPageBreak/>
        <w:t xml:space="preserve">захворювання та асоціюються з важкою гіпонатріємією у хворих з ХСН  зі ЗФВЛШ та  супутнім ожирінням, що дозволяє лікарям терапевтам та кардіологам знизити ризик появи життєво-небезпечних ускладнень. </w:t>
      </w:r>
    </w:p>
    <w:p w:rsidR="00EF4063" w:rsidRPr="00F90B6B" w:rsidRDefault="00EF4063" w:rsidP="00F0048B">
      <w:pPr>
        <w:spacing w:after="0" w:line="360" w:lineRule="auto"/>
        <w:ind w:left="57" w:firstLine="709"/>
        <w:jc w:val="both"/>
        <w:rPr>
          <w:rFonts w:ascii="Times New Roman" w:hAnsi="Times New Roman"/>
        </w:rPr>
      </w:pPr>
      <w:r w:rsidRPr="00F90B6B">
        <w:rPr>
          <w:rFonts w:ascii="Times New Roman" w:hAnsi="Times New Roman"/>
          <w:sz w:val="28"/>
          <w:szCs w:val="28"/>
        </w:rPr>
        <w:t xml:space="preserve">Додаткове  до </w:t>
      </w:r>
      <w:r w:rsidRPr="00F90B6B">
        <w:rPr>
          <w:rFonts w:ascii="Times New Roman" w:hAnsi="Times New Roman"/>
          <w:sz w:val="28"/>
          <w:szCs w:val="28"/>
          <w:lang w:val="en-US"/>
        </w:rPr>
        <w:t>NTproBNP</w:t>
      </w:r>
      <w:r w:rsidRPr="00F90B6B">
        <w:rPr>
          <w:rFonts w:ascii="Times New Roman" w:hAnsi="Times New Roman"/>
          <w:sz w:val="28"/>
          <w:szCs w:val="28"/>
        </w:rPr>
        <w:t xml:space="preserve"> визначення рівня іонів натрію у пацієнтів з ХСН  зі ЗФВЛШ та  супутнім ожирінням, сприяє  покращенню стратифікації ризику та прогнозування перебігу СН, частоти повторних госпіталізацій, розвитку серцево-судинних ускладнень і фатальних подій. </w:t>
      </w:r>
    </w:p>
    <w:p w:rsidR="00EF4063" w:rsidRPr="00F90B6B" w:rsidRDefault="00EF4063" w:rsidP="00F0048B">
      <w:pPr>
        <w:pStyle w:val="1"/>
        <w:autoSpaceDE w:val="0"/>
        <w:autoSpaceDN w:val="0"/>
        <w:adjustRightInd w:val="0"/>
        <w:spacing w:after="0" w:line="360" w:lineRule="auto"/>
        <w:ind w:left="0" w:firstLine="708"/>
        <w:jc w:val="both"/>
        <w:rPr>
          <w:rFonts w:ascii="Times New Roman" w:hAnsi="Times New Roman"/>
          <w:spacing w:val="-6"/>
          <w:sz w:val="28"/>
          <w:szCs w:val="28"/>
        </w:rPr>
      </w:pPr>
      <w:r w:rsidRPr="00F90B6B">
        <w:rPr>
          <w:rFonts w:ascii="Times New Roman" w:hAnsi="Times New Roman"/>
          <w:sz w:val="28"/>
          <w:szCs w:val="28"/>
          <w:lang w:eastAsia="uk-UA"/>
        </w:rPr>
        <w:t xml:space="preserve">Результати роботи впроваджено в діяльність закладів практичної охорони здоров'я: </w:t>
      </w:r>
      <w:r w:rsidRPr="00F90B6B">
        <w:rPr>
          <w:rFonts w:ascii="Times New Roman" w:hAnsi="Times New Roman"/>
          <w:sz w:val="28"/>
          <w:szCs w:val="28"/>
        </w:rPr>
        <w:t xml:space="preserve"> </w:t>
      </w:r>
      <w:r w:rsidRPr="00F90B6B">
        <w:rPr>
          <w:rFonts w:ascii="Times New Roman" w:hAnsi="Times New Roman"/>
          <w:spacing w:val="-6"/>
          <w:sz w:val="28"/>
          <w:szCs w:val="28"/>
        </w:rPr>
        <w:t xml:space="preserve">клініко-діагностичного терапевтичного відділення ДУ «Національний інститут терапії імені Л.Т. Малої НАМН України» м. Харків, КУОЗ «Богодухівська центральна районна лікарня» м. Богодухів, «Закарпатський обласний клінічний </w:t>
      </w:r>
    </w:p>
    <w:p w:rsidR="00EF4063" w:rsidRPr="00F90B6B" w:rsidRDefault="00EF4063" w:rsidP="00F0048B">
      <w:pPr>
        <w:pStyle w:val="1"/>
        <w:autoSpaceDE w:val="0"/>
        <w:autoSpaceDN w:val="0"/>
        <w:adjustRightInd w:val="0"/>
        <w:spacing w:after="0" w:line="360" w:lineRule="auto"/>
        <w:ind w:left="0"/>
        <w:jc w:val="both"/>
        <w:rPr>
          <w:rFonts w:ascii="Times New Roman" w:hAnsi="Times New Roman"/>
          <w:spacing w:val="-6"/>
          <w:sz w:val="28"/>
          <w:szCs w:val="28"/>
        </w:rPr>
      </w:pPr>
      <w:r w:rsidRPr="00F90B6B">
        <w:rPr>
          <w:rFonts w:ascii="Times New Roman" w:hAnsi="Times New Roman"/>
          <w:spacing w:val="-6"/>
          <w:sz w:val="28"/>
          <w:szCs w:val="28"/>
        </w:rPr>
        <w:t>кардіодиспансер» м.</w:t>
      </w:r>
      <w:r w:rsidRPr="00F90B6B">
        <w:rPr>
          <w:rFonts w:ascii="Times New Roman" w:hAnsi="Times New Roman"/>
          <w:color w:val="000000"/>
          <w:sz w:val="28"/>
          <w:szCs w:val="28"/>
        </w:rPr>
        <w:t xml:space="preserve"> Ужгород</w:t>
      </w:r>
      <w:r w:rsidRPr="00F90B6B">
        <w:rPr>
          <w:rFonts w:ascii="Times New Roman" w:hAnsi="Times New Roman"/>
          <w:spacing w:val="-6"/>
          <w:sz w:val="28"/>
          <w:szCs w:val="28"/>
        </w:rPr>
        <w:t>,  КП «Близнюківська центральна районна лікарня» смт. Близнюки, КУ «Міська лікарня № 7»  м. Запоріжжя, «</w:t>
      </w:r>
      <w:r w:rsidRPr="00F90B6B">
        <w:rPr>
          <w:rFonts w:ascii="Times New Roman" w:hAnsi="Times New Roman"/>
          <w:sz w:val="28"/>
          <w:szCs w:val="28"/>
        </w:rPr>
        <w:t>Хмельницький обласний кардіологічний диспансер (м. Хмельницький).</w:t>
      </w:r>
    </w:p>
    <w:p w:rsidR="00EF4063" w:rsidRPr="00F90B6B" w:rsidRDefault="00EF4063" w:rsidP="00F0048B">
      <w:pPr>
        <w:autoSpaceDE w:val="0"/>
        <w:autoSpaceDN w:val="0"/>
        <w:adjustRightInd w:val="0"/>
        <w:spacing w:after="0" w:line="360" w:lineRule="auto"/>
        <w:ind w:firstLine="708"/>
        <w:jc w:val="both"/>
        <w:rPr>
          <w:rFonts w:ascii="Times New Roman" w:eastAsia="TimesNewRoman" w:hAnsi="Times New Roman"/>
          <w:sz w:val="28"/>
          <w:szCs w:val="28"/>
          <w:lang w:val="ru-RU" w:eastAsia="ru-RU"/>
        </w:rPr>
      </w:pPr>
      <w:r w:rsidRPr="00F90B6B">
        <w:rPr>
          <w:rFonts w:ascii="Times New Roman" w:hAnsi="Times New Roman"/>
          <w:b/>
          <w:sz w:val="28"/>
          <w:szCs w:val="28"/>
        </w:rPr>
        <w:t>Особистий внесок здобувача.</w:t>
      </w:r>
      <w:r w:rsidRPr="00F90B6B">
        <w:rPr>
          <w:rFonts w:ascii="Times New Roman" w:hAnsi="Times New Roman"/>
          <w:sz w:val="28"/>
          <w:szCs w:val="28"/>
        </w:rPr>
        <w:t xml:space="preserve"> </w:t>
      </w:r>
      <w:r w:rsidRPr="00F90B6B">
        <w:rPr>
          <w:rFonts w:ascii="Times New Roman" w:eastAsia="TimesNewRoman" w:hAnsi="Times New Roman"/>
          <w:sz w:val="28"/>
          <w:szCs w:val="28"/>
          <w:lang w:val="ru-RU" w:eastAsia="ru-RU"/>
        </w:rPr>
        <w:t>Здобувачем особисто визначено актуальність дослідження та розроблено його дизайн, сформульовано мету та завдання роботи. Здобувач проводила обстеження тематичних хворих, формувала групи пацієнтів. Самостійно проведено статистичний аналіз даних, сформульовано основні положення дисертації, підготовлено до друку статті, патент, тези, які відображають основні наукові положення дисертаційної роботи. Здобувач забезпечила впровадження результатів дослідження в клінічну практику.</w:t>
      </w:r>
      <w:r w:rsidRPr="00F90B6B">
        <w:rPr>
          <w:rFonts w:ascii="Times New Roman" w:hAnsi="Times New Roman"/>
          <w:spacing w:val="-6"/>
          <w:sz w:val="28"/>
          <w:szCs w:val="28"/>
        </w:rPr>
        <w:t xml:space="preserve"> </w:t>
      </w:r>
    </w:p>
    <w:p w:rsidR="00EF4063" w:rsidRPr="00F90B6B" w:rsidRDefault="00EF4063" w:rsidP="00F0048B">
      <w:pPr>
        <w:spacing w:after="0" w:line="360" w:lineRule="auto"/>
        <w:ind w:firstLine="720"/>
        <w:jc w:val="both"/>
        <w:rPr>
          <w:rFonts w:ascii="Times New Roman" w:hAnsi="Times New Roman"/>
          <w:sz w:val="28"/>
          <w:szCs w:val="28"/>
          <w:lang w:val="uz-Cyrl-UZ"/>
        </w:rPr>
      </w:pPr>
      <w:r w:rsidRPr="00F90B6B">
        <w:rPr>
          <w:rFonts w:ascii="Times New Roman" w:hAnsi="Times New Roman"/>
          <w:b/>
          <w:sz w:val="28"/>
          <w:szCs w:val="28"/>
        </w:rPr>
        <w:t>Апробація результатів дисертації.</w:t>
      </w:r>
      <w:r w:rsidRPr="00F90B6B">
        <w:rPr>
          <w:rFonts w:ascii="Times New Roman" w:hAnsi="Times New Roman"/>
          <w:sz w:val="28"/>
          <w:szCs w:val="28"/>
        </w:rPr>
        <w:t xml:space="preserve"> </w:t>
      </w:r>
      <w:r w:rsidRPr="00F90B6B">
        <w:rPr>
          <w:rFonts w:ascii="Times New Roman" w:hAnsi="Times New Roman"/>
          <w:spacing w:val="-6"/>
          <w:sz w:val="28"/>
          <w:szCs w:val="28"/>
        </w:rPr>
        <w:t xml:space="preserve">Результати дисертаційного дослідження доповідалися та обговорювалися на наукових форумах різних рівнів: </w:t>
      </w:r>
      <w:r w:rsidRPr="00F90B6B">
        <w:rPr>
          <w:rFonts w:ascii="Times New Roman" w:hAnsi="Times New Roman"/>
          <w:sz w:val="28"/>
          <w:szCs w:val="28"/>
        </w:rPr>
        <w:t>Всеукраїнська науково-практична конференція молодих учених «Медична наука в практику охорони здоров я» (9 грудня 2016 р., м.</w:t>
      </w:r>
      <w:r w:rsidRPr="00F90B6B">
        <w:rPr>
          <w:rFonts w:ascii="Times New Roman" w:hAnsi="Times New Roman"/>
          <w:sz w:val="28"/>
          <w:szCs w:val="28"/>
          <w:lang w:val="ru-RU"/>
        </w:rPr>
        <w:t xml:space="preserve"> </w:t>
      </w:r>
      <w:r w:rsidRPr="00F90B6B">
        <w:rPr>
          <w:rFonts w:ascii="Times New Roman" w:hAnsi="Times New Roman"/>
          <w:sz w:val="28"/>
          <w:szCs w:val="28"/>
        </w:rPr>
        <w:t xml:space="preserve">Полтава), </w:t>
      </w:r>
      <w:r w:rsidRPr="00F90B6B">
        <w:rPr>
          <w:rFonts w:ascii="Times New Roman" w:hAnsi="Times New Roman"/>
          <w:sz w:val="28"/>
          <w:szCs w:val="28"/>
          <w:shd w:val="clear" w:color="auto" w:fill="FFFFFF"/>
        </w:rPr>
        <w:t>щорічна підсумкова науково-практична конференція молодих вчених Харківської медичної академії післядипломної освіти «Медицина 21 століття» (24 листопада 2016р., м.</w:t>
      </w:r>
      <w:r w:rsidRPr="00F90B6B">
        <w:rPr>
          <w:rFonts w:ascii="Times New Roman" w:hAnsi="Times New Roman"/>
          <w:sz w:val="28"/>
          <w:szCs w:val="28"/>
          <w:shd w:val="clear" w:color="auto" w:fill="FFFFFF"/>
          <w:lang w:val="ru-RU"/>
        </w:rPr>
        <w:t xml:space="preserve"> </w:t>
      </w:r>
      <w:r w:rsidRPr="00F90B6B">
        <w:rPr>
          <w:rFonts w:ascii="Times New Roman" w:hAnsi="Times New Roman"/>
          <w:sz w:val="28"/>
          <w:szCs w:val="28"/>
          <w:shd w:val="clear" w:color="auto" w:fill="FFFFFF"/>
        </w:rPr>
        <w:t>Харків),</w:t>
      </w:r>
      <w:r w:rsidRPr="00F90B6B">
        <w:rPr>
          <w:rFonts w:ascii="Times New Roman" w:hAnsi="Times New Roman"/>
          <w:sz w:val="28"/>
          <w:szCs w:val="28"/>
        </w:rPr>
        <w:t xml:space="preserve"> міжнародна науково-практична конференція «Світова медицина: сучасні тенденції та фактори розвитку» (27-28 січня 2017 р.</w:t>
      </w:r>
      <w:r w:rsidRPr="00F90B6B">
        <w:rPr>
          <w:rFonts w:ascii="Times New Roman" w:hAnsi="Times New Roman"/>
          <w:sz w:val="28"/>
          <w:szCs w:val="28"/>
          <w:lang w:val="ru-RU"/>
        </w:rPr>
        <w:t xml:space="preserve">, м. </w:t>
      </w:r>
      <w:r w:rsidRPr="00F90B6B">
        <w:rPr>
          <w:rFonts w:ascii="Times New Roman" w:hAnsi="Times New Roman"/>
          <w:sz w:val="28"/>
          <w:szCs w:val="28"/>
        </w:rPr>
        <w:t xml:space="preserve">Львів), </w:t>
      </w:r>
      <w:r w:rsidRPr="00F90B6B">
        <w:rPr>
          <w:rFonts w:ascii="Times New Roman" w:hAnsi="Times New Roman"/>
          <w:sz w:val="28"/>
          <w:szCs w:val="28"/>
          <w:lang w:val="uz-Cyrl-UZ"/>
        </w:rPr>
        <w:t xml:space="preserve">науково-практична конференція з міжнародною участю «Щорічні терапевтичні читання: медикаментозна та </w:t>
      </w:r>
      <w:r w:rsidRPr="00F90B6B">
        <w:rPr>
          <w:rFonts w:ascii="Times New Roman" w:hAnsi="Times New Roman"/>
          <w:sz w:val="28"/>
          <w:szCs w:val="28"/>
          <w:lang w:val="uz-Cyrl-UZ"/>
        </w:rPr>
        <w:lastRenderedPageBreak/>
        <w:t>немедикаментозна пофілактика неінфекційних захворювань: погляд в майбутнє» ДУ «Національний інститут терапії ім. Л.Т. Малої НАМН України» (20 квітня 2017 р., м. Харків), науково-практична конференція молодих вчених за участю міжнародних спеціалістів «Медична наука на перетині спеціальностей: сьогодення і майбутнє», присвячену дню науки, ДУ «Національний інститут терапії ім. Л.Т. Малої НАМН України» (19 травня 2017р., м. Харків ),</w:t>
      </w:r>
      <w:r w:rsidRPr="00F90B6B">
        <w:rPr>
          <w:rFonts w:ascii="Times New Roman" w:hAnsi="Times New Roman"/>
          <w:color w:val="FF0000"/>
          <w:sz w:val="28"/>
          <w:szCs w:val="28"/>
          <w:lang w:val="uz-Cyrl-UZ"/>
        </w:rPr>
        <w:t xml:space="preserve"> </w:t>
      </w:r>
      <w:r w:rsidRPr="00F90B6B">
        <w:rPr>
          <w:rFonts w:ascii="Times New Roman" w:hAnsi="Times New Roman"/>
          <w:sz w:val="28"/>
          <w:szCs w:val="28"/>
          <w:lang w:val="uz-Cyrl-UZ"/>
        </w:rPr>
        <w:t>міжнародна науково-практична конференція «Сучасні тенденції розвитку медичної науки та медичної практики» (22-23 грудня 2017 р., м. Львів), науково-практичну конференцію за участю міжнародних спеціалістів “Щорічні терапевтичні читання. Профілактика неінфекційних захворювань –</w:t>
      </w:r>
      <w:r w:rsidRPr="00F90B6B">
        <w:rPr>
          <w:rFonts w:ascii="Times New Roman" w:hAnsi="Times New Roman"/>
          <w:sz w:val="28"/>
          <w:szCs w:val="28"/>
        </w:rPr>
        <w:t xml:space="preserve"> </w:t>
      </w:r>
      <w:r w:rsidRPr="00F90B6B">
        <w:rPr>
          <w:rFonts w:ascii="Times New Roman" w:hAnsi="Times New Roman"/>
          <w:sz w:val="28"/>
          <w:szCs w:val="28"/>
          <w:lang w:val="uz-Cyrl-UZ"/>
        </w:rPr>
        <w:t>пріоритет сучасної науки та практики”</w:t>
      </w:r>
      <w:r w:rsidRPr="00F90B6B">
        <w:rPr>
          <w:rFonts w:ascii="Times New Roman" w:hAnsi="Times New Roman"/>
          <w:sz w:val="28"/>
          <w:szCs w:val="28"/>
        </w:rPr>
        <w:t xml:space="preserve">, </w:t>
      </w:r>
      <w:r w:rsidRPr="00F90B6B">
        <w:rPr>
          <w:rFonts w:ascii="Times New Roman" w:hAnsi="Times New Roman"/>
          <w:caps/>
          <w:snapToGrid w:val="0"/>
          <w:sz w:val="28"/>
          <w:szCs w:val="28"/>
          <w:lang w:val="uz-Cyrl-UZ"/>
        </w:rPr>
        <w:t>ДУ</w:t>
      </w:r>
      <w:r w:rsidRPr="00F90B6B">
        <w:rPr>
          <w:rFonts w:ascii="Times New Roman" w:hAnsi="Times New Roman"/>
          <w:caps/>
          <w:snapToGrid w:val="0"/>
          <w:sz w:val="28"/>
          <w:szCs w:val="28"/>
        </w:rPr>
        <w:t xml:space="preserve"> </w:t>
      </w:r>
      <w:r w:rsidRPr="00F90B6B">
        <w:rPr>
          <w:rFonts w:ascii="Times New Roman" w:hAnsi="Times New Roman"/>
          <w:caps/>
          <w:snapToGrid w:val="0"/>
          <w:sz w:val="28"/>
          <w:szCs w:val="28"/>
          <w:lang w:val="uz-Cyrl-UZ"/>
        </w:rPr>
        <w:t>«</w:t>
      </w:r>
      <w:r w:rsidRPr="00F90B6B">
        <w:rPr>
          <w:rFonts w:ascii="Times New Roman" w:hAnsi="Times New Roman"/>
          <w:snapToGrid w:val="0"/>
          <w:sz w:val="28"/>
          <w:szCs w:val="28"/>
        </w:rPr>
        <w:t>Н</w:t>
      </w:r>
      <w:r w:rsidRPr="00F90B6B">
        <w:rPr>
          <w:rFonts w:ascii="Times New Roman" w:hAnsi="Times New Roman"/>
          <w:snapToGrid w:val="0"/>
          <w:sz w:val="28"/>
          <w:szCs w:val="28"/>
          <w:lang w:val="uz-Cyrl-UZ"/>
        </w:rPr>
        <w:t>аціональний</w:t>
      </w:r>
      <w:r w:rsidRPr="00F90B6B">
        <w:rPr>
          <w:rFonts w:ascii="Times New Roman" w:hAnsi="Times New Roman"/>
          <w:snapToGrid w:val="0"/>
          <w:sz w:val="28"/>
          <w:szCs w:val="28"/>
        </w:rPr>
        <w:t xml:space="preserve"> </w:t>
      </w:r>
      <w:r w:rsidRPr="00F90B6B">
        <w:rPr>
          <w:rFonts w:ascii="Times New Roman" w:hAnsi="Times New Roman"/>
          <w:snapToGrid w:val="0"/>
          <w:sz w:val="28"/>
          <w:szCs w:val="28"/>
          <w:lang w:val="uz-Cyrl-UZ"/>
        </w:rPr>
        <w:t>і</w:t>
      </w:r>
      <w:r w:rsidRPr="00F90B6B">
        <w:rPr>
          <w:rFonts w:ascii="Times New Roman" w:hAnsi="Times New Roman"/>
          <w:sz w:val="28"/>
          <w:szCs w:val="28"/>
          <w:lang w:val="uz-Cyrl-UZ"/>
        </w:rPr>
        <w:t>нститут терапії</w:t>
      </w:r>
      <w:r w:rsidRPr="00F90B6B">
        <w:rPr>
          <w:rFonts w:ascii="Times New Roman" w:hAnsi="Times New Roman"/>
          <w:sz w:val="28"/>
          <w:szCs w:val="28"/>
        </w:rPr>
        <w:t xml:space="preserve"> </w:t>
      </w:r>
      <w:r w:rsidRPr="00F90B6B">
        <w:rPr>
          <w:rFonts w:ascii="Times New Roman" w:hAnsi="Times New Roman"/>
          <w:sz w:val="28"/>
          <w:szCs w:val="28"/>
          <w:lang w:val="uz-Cyrl-UZ"/>
        </w:rPr>
        <w:t xml:space="preserve">імені </w:t>
      </w:r>
      <w:r w:rsidRPr="00F90B6B">
        <w:rPr>
          <w:rFonts w:ascii="Times New Roman" w:hAnsi="Times New Roman"/>
          <w:sz w:val="28"/>
          <w:szCs w:val="28"/>
        </w:rPr>
        <w:t>Л</w:t>
      </w:r>
      <w:r w:rsidRPr="00F90B6B">
        <w:rPr>
          <w:rFonts w:ascii="Times New Roman" w:hAnsi="Times New Roman"/>
          <w:sz w:val="28"/>
          <w:szCs w:val="28"/>
          <w:lang w:val="uz-Cyrl-UZ"/>
        </w:rPr>
        <w:t>.</w:t>
      </w:r>
      <w:r w:rsidRPr="00F90B6B">
        <w:rPr>
          <w:rFonts w:ascii="Times New Roman" w:hAnsi="Times New Roman"/>
          <w:sz w:val="28"/>
          <w:szCs w:val="28"/>
        </w:rPr>
        <w:t>Т</w:t>
      </w:r>
      <w:r w:rsidRPr="00F90B6B">
        <w:rPr>
          <w:rFonts w:ascii="Times New Roman" w:hAnsi="Times New Roman"/>
          <w:sz w:val="28"/>
          <w:szCs w:val="28"/>
          <w:lang w:val="uz-Cyrl-UZ"/>
        </w:rPr>
        <w:t xml:space="preserve">. </w:t>
      </w:r>
      <w:r w:rsidRPr="00F90B6B">
        <w:rPr>
          <w:rFonts w:ascii="Times New Roman" w:hAnsi="Times New Roman"/>
          <w:sz w:val="28"/>
          <w:szCs w:val="28"/>
        </w:rPr>
        <w:t>М</w:t>
      </w:r>
      <w:r w:rsidRPr="00F90B6B">
        <w:rPr>
          <w:rFonts w:ascii="Times New Roman" w:hAnsi="Times New Roman"/>
          <w:sz w:val="28"/>
          <w:szCs w:val="28"/>
          <w:lang w:val="uz-Cyrl-UZ"/>
        </w:rPr>
        <w:t>алої Національної академії медичних наук України»</w:t>
      </w:r>
      <w:r w:rsidRPr="00F90B6B">
        <w:rPr>
          <w:rFonts w:ascii="Times New Roman" w:hAnsi="Times New Roman"/>
          <w:snapToGrid w:val="0"/>
          <w:sz w:val="28"/>
          <w:szCs w:val="28"/>
          <w:lang w:val="uz-Cyrl-UZ"/>
        </w:rPr>
        <w:t xml:space="preserve"> </w:t>
      </w:r>
      <w:r w:rsidRPr="00F90B6B">
        <w:rPr>
          <w:rFonts w:ascii="Times New Roman" w:hAnsi="Times New Roman"/>
          <w:sz w:val="28"/>
          <w:szCs w:val="28"/>
        </w:rPr>
        <w:t>(</w:t>
      </w:r>
      <w:r w:rsidRPr="00F90B6B">
        <w:rPr>
          <w:rFonts w:ascii="Times New Roman" w:hAnsi="Times New Roman"/>
          <w:sz w:val="28"/>
          <w:szCs w:val="28"/>
          <w:lang w:val="uz-Cyrl-UZ"/>
        </w:rPr>
        <w:t>20 квітня 2018 р., м. Харків),</w:t>
      </w:r>
      <w:r w:rsidRPr="00F90B6B">
        <w:rPr>
          <w:rFonts w:ascii="Times New Roman" w:hAnsi="Times New Roman"/>
          <w:sz w:val="28"/>
          <w:szCs w:val="28"/>
        </w:rPr>
        <w:t xml:space="preserve"> науково-практична конференція молодих вчених з міжнародною участю присвяченої 25-річному ювілею НАМН України та Дню науки «Профілактична медицина сьогодні:внесок молодих спеціалістів» </w:t>
      </w:r>
      <w:r w:rsidRPr="00F90B6B">
        <w:rPr>
          <w:rFonts w:ascii="Times New Roman" w:hAnsi="Times New Roman"/>
          <w:caps/>
          <w:snapToGrid w:val="0"/>
          <w:sz w:val="28"/>
          <w:szCs w:val="28"/>
        </w:rPr>
        <w:t>ДУ «</w:t>
      </w:r>
      <w:r w:rsidRPr="00F90B6B">
        <w:rPr>
          <w:rFonts w:ascii="Times New Roman" w:hAnsi="Times New Roman"/>
          <w:snapToGrid w:val="0"/>
          <w:sz w:val="28"/>
          <w:szCs w:val="28"/>
        </w:rPr>
        <w:t>Національний і</w:t>
      </w:r>
      <w:r w:rsidRPr="00F90B6B">
        <w:rPr>
          <w:rFonts w:ascii="Times New Roman" w:hAnsi="Times New Roman"/>
          <w:sz w:val="28"/>
          <w:szCs w:val="28"/>
        </w:rPr>
        <w:t>нститут терапії імені Л.Т. Малої Національної академії медичних наук України”, ДУ «Інститут медичної радіології ім. С.П.Григор’єва НАМН України, Харківський національний медичний університет (24 травня 2018 р., м. Харків), Х</w:t>
      </w:r>
      <w:r w:rsidRPr="00F90B6B">
        <w:rPr>
          <w:rFonts w:ascii="Times New Roman" w:hAnsi="Times New Roman"/>
          <w:sz w:val="28"/>
          <w:szCs w:val="28"/>
          <w:lang w:val="uz-Cyrl-UZ"/>
        </w:rPr>
        <w:t>I</w:t>
      </w:r>
      <w:r w:rsidRPr="00F90B6B">
        <w:rPr>
          <w:rFonts w:ascii="Times New Roman" w:hAnsi="Times New Roman"/>
          <w:sz w:val="28"/>
          <w:szCs w:val="28"/>
        </w:rPr>
        <w:t>Х національний конгрес кардіологів України, ДУ «Національний науковий центр «Інститут кардіології імені академіка М.Д.Стражеска» НАМН України» (26-28 вересня 2018 р., м. Київ).</w:t>
      </w:r>
    </w:p>
    <w:p w:rsidR="00EF4063" w:rsidRPr="00F90B6B" w:rsidRDefault="00EF4063" w:rsidP="00F0048B">
      <w:pPr>
        <w:spacing w:after="0" w:line="360" w:lineRule="auto"/>
        <w:ind w:firstLine="709"/>
        <w:jc w:val="both"/>
        <w:rPr>
          <w:rFonts w:ascii="Times New Roman" w:hAnsi="Times New Roman"/>
          <w:sz w:val="28"/>
          <w:szCs w:val="28"/>
        </w:rPr>
      </w:pPr>
      <w:r w:rsidRPr="00F90B6B">
        <w:rPr>
          <w:rStyle w:val="af1"/>
          <w:rFonts w:ascii="Times New Roman" w:hAnsi="Times New Roman"/>
          <w:bCs/>
          <w:sz w:val="28"/>
          <w:szCs w:val="28"/>
        </w:rPr>
        <w:t xml:space="preserve">Матеріали дисертації апробовані на засіданні </w:t>
      </w:r>
      <w:r w:rsidRPr="00F90B6B">
        <w:rPr>
          <w:rFonts w:ascii="Times New Roman" w:hAnsi="Times New Roman"/>
          <w:sz w:val="28"/>
          <w:szCs w:val="28"/>
        </w:rPr>
        <w:t>відділу клінічної фармакології та фармакогенетики неінфекційних захворювань Нацiонального iнституту терапії iм. Л. Т. Малої НАМН України (26.10.2018 року).</w:t>
      </w:r>
    </w:p>
    <w:p w:rsidR="00EF4063" w:rsidRPr="00F90B6B" w:rsidRDefault="00EF4063" w:rsidP="00F0048B">
      <w:pPr>
        <w:spacing w:after="0" w:line="360" w:lineRule="auto"/>
        <w:ind w:firstLine="709"/>
        <w:jc w:val="both"/>
        <w:rPr>
          <w:rFonts w:ascii="Times New Roman" w:hAnsi="Times New Roman"/>
          <w:spacing w:val="-6"/>
          <w:sz w:val="28"/>
          <w:szCs w:val="28"/>
        </w:rPr>
      </w:pPr>
      <w:r w:rsidRPr="00F90B6B">
        <w:rPr>
          <w:rFonts w:ascii="Times New Roman" w:hAnsi="Times New Roman"/>
          <w:b/>
          <w:sz w:val="28"/>
          <w:szCs w:val="28"/>
        </w:rPr>
        <w:t xml:space="preserve">Публікації. </w:t>
      </w:r>
      <w:r w:rsidRPr="00F90B6B">
        <w:rPr>
          <w:rFonts w:ascii="Times New Roman" w:hAnsi="Times New Roman"/>
          <w:spacing w:val="-6"/>
          <w:sz w:val="28"/>
          <w:szCs w:val="28"/>
        </w:rPr>
        <w:t xml:space="preserve">За темою дисертації опубліковано 20 наукових праць, з них 4 статті у провідних фахових виданнях, рекомендованих МОН України, 3 - у міжнародних журналах, що індексуються в наукометричних базах </w:t>
      </w:r>
      <w:r w:rsidRPr="00F90B6B">
        <w:rPr>
          <w:rFonts w:ascii="Times New Roman" w:hAnsi="Times New Roman"/>
          <w:spacing w:val="-6"/>
          <w:sz w:val="28"/>
          <w:szCs w:val="28"/>
          <w:lang w:val="en-US"/>
        </w:rPr>
        <w:t>SCOPUS</w:t>
      </w:r>
      <w:r w:rsidRPr="00F90B6B">
        <w:rPr>
          <w:rFonts w:ascii="Times New Roman" w:hAnsi="Times New Roman"/>
          <w:spacing w:val="-6"/>
          <w:sz w:val="28"/>
          <w:szCs w:val="28"/>
        </w:rPr>
        <w:t xml:space="preserve">, </w:t>
      </w:r>
      <w:r w:rsidRPr="00F90B6B">
        <w:rPr>
          <w:rFonts w:ascii="Times New Roman" w:hAnsi="Times New Roman"/>
          <w:spacing w:val="-6"/>
          <w:sz w:val="28"/>
          <w:szCs w:val="28"/>
          <w:lang w:val="en-US"/>
        </w:rPr>
        <w:t>INDEX</w:t>
      </w:r>
      <w:r w:rsidRPr="00F90B6B">
        <w:rPr>
          <w:rFonts w:ascii="Times New Roman" w:hAnsi="Times New Roman"/>
          <w:spacing w:val="-6"/>
          <w:sz w:val="28"/>
          <w:szCs w:val="28"/>
        </w:rPr>
        <w:t xml:space="preserve"> </w:t>
      </w:r>
      <w:r w:rsidRPr="00F90B6B">
        <w:rPr>
          <w:rFonts w:ascii="Times New Roman" w:hAnsi="Times New Roman"/>
          <w:spacing w:val="-6"/>
          <w:sz w:val="28"/>
          <w:szCs w:val="28"/>
          <w:lang w:val="en-US"/>
        </w:rPr>
        <w:t>COPERNICUS</w:t>
      </w:r>
      <w:r w:rsidRPr="00F90B6B">
        <w:rPr>
          <w:rFonts w:ascii="Times New Roman" w:hAnsi="Times New Roman"/>
          <w:spacing w:val="-6"/>
          <w:sz w:val="28"/>
          <w:szCs w:val="28"/>
        </w:rPr>
        <w:t xml:space="preserve">, </w:t>
      </w:r>
      <w:r w:rsidRPr="00F90B6B">
        <w:rPr>
          <w:rFonts w:ascii="Times New Roman" w:hAnsi="Times New Roman"/>
          <w:spacing w:val="-6"/>
          <w:sz w:val="28"/>
          <w:szCs w:val="28"/>
          <w:lang w:val="en-US"/>
        </w:rPr>
        <w:t>Google</w:t>
      </w:r>
      <w:r w:rsidRPr="00F90B6B">
        <w:rPr>
          <w:rFonts w:ascii="Times New Roman" w:hAnsi="Times New Roman"/>
          <w:spacing w:val="-6"/>
          <w:sz w:val="28"/>
          <w:szCs w:val="28"/>
        </w:rPr>
        <w:t xml:space="preserve"> </w:t>
      </w:r>
      <w:r w:rsidRPr="00F90B6B">
        <w:rPr>
          <w:rFonts w:ascii="Times New Roman" w:hAnsi="Times New Roman"/>
          <w:spacing w:val="-6"/>
          <w:sz w:val="28"/>
          <w:szCs w:val="28"/>
          <w:lang w:val="en-US"/>
        </w:rPr>
        <w:t>Scholar</w:t>
      </w:r>
      <w:r w:rsidRPr="00F90B6B">
        <w:rPr>
          <w:rFonts w:ascii="Times New Roman" w:hAnsi="Times New Roman"/>
          <w:spacing w:val="-6"/>
          <w:sz w:val="28"/>
          <w:szCs w:val="28"/>
        </w:rPr>
        <w:t>. Отриманий патент на корисну модель. У збірниках науково-практичних конференцій опубліковано 1</w:t>
      </w:r>
      <w:r w:rsidRPr="00F90B6B">
        <w:rPr>
          <w:rFonts w:ascii="Times New Roman" w:hAnsi="Times New Roman"/>
          <w:spacing w:val="-6"/>
          <w:sz w:val="28"/>
          <w:szCs w:val="28"/>
          <w:lang w:val="ru-RU"/>
        </w:rPr>
        <w:t>2</w:t>
      </w:r>
      <w:r w:rsidRPr="00F90B6B">
        <w:rPr>
          <w:rFonts w:ascii="Times New Roman" w:hAnsi="Times New Roman"/>
          <w:spacing w:val="-6"/>
          <w:sz w:val="28"/>
          <w:szCs w:val="28"/>
        </w:rPr>
        <w:t xml:space="preserve"> тез.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Обсяг та структура дисертації. </w:t>
      </w:r>
      <w:r w:rsidRPr="00F90B6B">
        <w:rPr>
          <w:rFonts w:ascii="Times New Roman" w:hAnsi="Times New Roman"/>
          <w:sz w:val="28"/>
          <w:szCs w:val="28"/>
        </w:rPr>
        <w:t>Дисертація викладена на</w:t>
      </w:r>
      <w:r w:rsidR="003A19D1" w:rsidRPr="003A19D1">
        <w:rPr>
          <w:rFonts w:ascii="Times New Roman" w:hAnsi="Times New Roman"/>
          <w:sz w:val="28"/>
          <w:szCs w:val="28"/>
        </w:rPr>
        <w:t xml:space="preserve"> 264</w:t>
      </w:r>
      <w:r w:rsidRPr="00F90B6B">
        <w:rPr>
          <w:rFonts w:ascii="Times New Roman" w:hAnsi="Times New Roman"/>
          <w:sz w:val="28"/>
          <w:szCs w:val="28"/>
        </w:rPr>
        <w:t xml:space="preserve"> сторінках машинописного тексту. Складається зі вступу, огляду літератури, матеріалів та </w:t>
      </w:r>
      <w:r w:rsidRPr="00F90B6B">
        <w:rPr>
          <w:rFonts w:ascii="Times New Roman" w:hAnsi="Times New Roman"/>
          <w:sz w:val="28"/>
          <w:szCs w:val="28"/>
        </w:rPr>
        <w:lastRenderedPageBreak/>
        <w:t xml:space="preserve">методів дослідження, 5 розділів власних досліджень, аналізу та обговорення результатів, висновків та практичних рекомендацій, списку використаних джерел літератури, який містить 232 найменувань: 18 кирилицею та 214 латиницею. У роботі представлено 80 таблиць та 129 рисунків. </w:t>
      </w:r>
    </w:p>
    <w:p w:rsidR="00EF4063" w:rsidRPr="007F242B" w:rsidRDefault="00EF4063" w:rsidP="00F0048B">
      <w:pPr>
        <w:spacing w:line="360" w:lineRule="auto"/>
        <w:jc w:val="center"/>
        <w:rPr>
          <w:rFonts w:ascii="Times New Roman" w:hAnsi="Times New Roman"/>
          <w:sz w:val="28"/>
          <w:szCs w:val="28"/>
        </w:rPr>
      </w:pPr>
      <w:r w:rsidRPr="00F90B6B">
        <w:rPr>
          <w:rFonts w:ascii="Times New Roman" w:hAnsi="Times New Roman"/>
          <w:b/>
          <w:sz w:val="28"/>
          <w:szCs w:val="28"/>
        </w:rPr>
        <w:br w:type="page"/>
      </w:r>
      <w:r w:rsidRPr="007F242B">
        <w:rPr>
          <w:rFonts w:ascii="Times New Roman" w:hAnsi="Times New Roman"/>
          <w:sz w:val="28"/>
          <w:szCs w:val="28"/>
        </w:rPr>
        <w:lastRenderedPageBreak/>
        <w:t>РОЗДІЛ 1</w:t>
      </w:r>
    </w:p>
    <w:p w:rsidR="00EF4063" w:rsidRPr="007F242B" w:rsidRDefault="00EF4063" w:rsidP="00F0048B">
      <w:pPr>
        <w:spacing w:after="0" w:line="360" w:lineRule="auto"/>
        <w:jc w:val="center"/>
        <w:rPr>
          <w:rFonts w:ascii="Times New Roman" w:hAnsi="Times New Roman"/>
          <w:sz w:val="28"/>
          <w:szCs w:val="28"/>
        </w:rPr>
      </w:pPr>
      <w:r w:rsidRPr="007F242B">
        <w:rPr>
          <w:rFonts w:ascii="Times New Roman" w:hAnsi="Times New Roman"/>
          <w:sz w:val="28"/>
          <w:szCs w:val="28"/>
        </w:rPr>
        <w:t>ОГЛЯД ЛІТЕРАТУРИ</w:t>
      </w:r>
    </w:p>
    <w:p w:rsidR="00EF4063" w:rsidRPr="00F90B6B" w:rsidRDefault="00EF4063" w:rsidP="00F0048B">
      <w:pPr>
        <w:spacing w:after="0" w:line="360" w:lineRule="auto"/>
        <w:ind w:firstLine="709"/>
        <w:jc w:val="both"/>
        <w:rPr>
          <w:rFonts w:ascii="Times New Roman" w:hAnsi="Times New Roman"/>
          <w:b/>
          <w:sz w:val="28"/>
          <w:szCs w:val="28"/>
        </w:rPr>
      </w:pPr>
    </w:p>
    <w:p w:rsidR="00EF4063" w:rsidRPr="00F90B6B" w:rsidRDefault="00EF4063" w:rsidP="00F0048B">
      <w:pPr>
        <w:pStyle w:val="1"/>
        <w:numPr>
          <w:ilvl w:val="1"/>
          <w:numId w:val="1"/>
        </w:numPr>
        <w:spacing w:after="0" w:line="360" w:lineRule="auto"/>
        <w:ind w:left="0" w:firstLine="709"/>
        <w:jc w:val="both"/>
        <w:rPr>
          <w:rFonts w:ascii="Times New Roman" w:hAnsi="Times New Roman"/>
          <w:b/>
          <w:sz w:val="28"/>
          <w:szCs w:val="28"/>
        </w:rPr>
      </w:pPr>
      <w:r w:rsidRPr="00F90B6B">
        <w:rPr>
          <w:rFonts w:ascii="Times New Roman" w:hAnsi="Times New Roman"/>
          <w:b/>
          <w:sz w:val="28"/>
          <w:szCs w:val="28"/>
        </w:rPr>
        <w:t>Сучасні погляди про механізми розвитку, особливості перебігу та підходи до корекції за поєднаного перебігу хронічної серцевої недостатності та ожиріння.</w:t>
      </w:r>
    </w:p>
    <w:p w:rsidR="00EF4063" w:rsidRPr="00F90B6B" w:rsidRDefault="00EF4063" w:rsidP="00F0048B">
      <w:pPr>
        <w:pStyle w:val="1"/>
        <w:spacing w:after="0" w:line="360" w:lineRule="auto"/>
        <w:ind w:left="0" w:firstLine="709"/>
        <w:jc w:val="both"/>
        <w:rPr>
          <w:rFonts w:ascii="Times New Roman" w:hAnsi="Times New Roman"/>
          <w:b/>
          <w:sz w:val="28"/>
          <w:szCs w:val="28"/>
        </w:rPr>
      </w:pPr>
    </w:p>
    <w:p w:rsidR="00EF4063" w:rsidRPr="00F90B6B" w:rsidRDefault="00EF4063" w:rsidP="00F0048B">
      <w:pPr>
        <w:pStyle w:val="1"/>
        <w:numPr>
          <w:ilvl w:val="2"/>
          <w:numId w:val="1"/>
        </w:numPr>
        <w:spacing w:after="0" w:line="360" w:lineRule="auto"/>
        <w:ind w:left="0" w:firstLine="709"/>
        <w:jc w:val="both"/>
        <w:rPr>
          <w:rFonts w:ascii="Times New Roman" w:hAnsi="Times New Roman"/>
          <w:i/>
          <w:sz w:val="28"/>
          <w:szCs w:val="28"/>
        </w:rPr>
      </w:pPr>
      <w:r w:rsidRPr="00F90B6B">
        <w:rPr>
          <w:rFonts w:ascii="Times New Roman" w:hAnsi="Times New Roman"/>
          <w:i/>
          <w:sz w:val="28"/>
          <w:szCs w:val="28"/>
        </w:rPr>
        <w:t>Механізми розвитку, особливості перебігу та фактори ризику за поєднаного перебігу хронічної серцевої недостатності та ожиріння.</w:t>
      </w:r>
    </w:p>
    <w:p w:rsidR="00EF4063" w:rsidRPr="00F90B6B" w:rsidRDefault="00EF4063" w:rsidP="00F0048B">
      <w:pPr>
        <w:pStyle w:val="1"/>
        <w:spacing w:after="0" w:line="360" w:lineRule="auto"/>
        <w:ind w:left="0" w:firstLine="709"/>
        <w:jc w:val="both"/>
        <w:rPr>
          <w:rFonts w:ascii="Times New Roman" w:hAnsi="Times New Roman"/>
          <w:i/>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Хронічна серцева недостатність (ХСН) є важливою медичною, соціальною та економічною проблемою. Біля 1,0% дорослого населення розвинених країн страждають на ХСН, а у людей старше 70 років частота ХСН становить близько 10,0% [141, 142</w:t>
      </w:r>
      <w:r w:rsidRPr="00F90B6B">
        <w:rPr>
          <w:rFonts w:ascii="Times New Roman" w:hAnsi="Times New Roman"/>
          <w:sz w:val="28"/>
          <w:szCs w:val="28"/>
          <w:lang w:val="ru-RU"/>
        </w:rPr>
        <w:t>]</w:t>
      </w:r>
      <w:r w:rsidRPr="00F90B6B">
        <w:rPr>
          <w:rFonts w:ascii="Times New Roman" w:hAnsi="Times New Roman"/>
          <w:sz w:val="28"/>
          <w:szCs w:val="28"/>
        </w:rPr>
        <w:t xml:space="preserve">. В найближчі 50 років саме XCН стане основною проблемою кардіології та внутрішньої медицини. Всього на Землі близько 15 млн. хворих з ХСН та більше одного мільйона щорічних випадків [74]. За даними Фремингемского обстеження захворюваність впродовж 30 років життя драматично зростає в популяції з 1,0% у віковій групі 50-59 років до 10,0% в групі 80-89 років. [55, 118]. </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"Постаріння" контингенту хворих індукує ще одну проблему - посилення ролі характерних вікових змін міокарду (збільшення жорсткості та погіршення діастолічного розслаблення лівого шлуночку) в патогенезі ХСН. Діастолічна дисдисфункція є причиною декомпенсації у 12,0% хворих [226].</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Ожиріння є одним із найважливіших факторів ризику серцевої недостаності, який ускладнює діагностику цього захворювання, викликає задишку, порушення толерантності до фізичних навантажень, набряки гомілок і може призводити до погіршення якості діагностики [29].</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Актуальність поєднаного перебігу ХСН та ожиріння зумовлено значною розповсюдженістю цих станів, особливо серед працездатного населення. Так, в Канаді від 15,0 до 33,0% дорослого населення мають ожиріння. У США біля 4,0% чоловіків та 7,0% жінок мають коморбідне ожиріння з індексом маси тіла (ІМТ) &gt;40 </w:t>
      </w:r>
      <w:r w:rsidRPr="00F90B6B">
        <w:rPr>
          <w:sz w:val="28"/>
          <w:szCs w:val="28"/>
        </w:rPr>
        <w:lastRenderedPageBreak/>
        <w:t>[106, 194]. Відомо, що ожиріння є одним з провідних чинників ризику ішемічної хвороби серця (ІХС), гіпертонічної хвороби та цукрового діабету типу 2 (СД2) [210]. У Фремінгеммському дослідженні доведено, що ризик розвитку ХСН безпосередньо залежить від ІМТ як у чоловіків, так і у жінок [29]. При ожирінні відбуваються метаболічні, дисгормональні, гемодинамічні зміни в організмі, які впливають на серцевий м'яз, викликаючи його структурні та функціональні зміни [25].</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інших роботах вказується, що патологічна зміна концентрації ліпідів (жирів) в сироватці крові при ожирінні є клінічно важливим показником, оскільки пов'язано зі збільшенням ризику системного атеросклерозу [36, 73, 75].</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Дані Національного інституту здоров'я США показали, що зі збільшенням цифр ІМТ у чоловіків прогресивно збільшується концентрація холестерину в крові (вміст загального холестерину &gt; 240 мг/дл або 6,21 ммоль/л), тоді як у жінок поширеність збільшеного рівня холестерину була найвищою при ІМТ 25 кг/м</w:t>
      </w:r>
      <w:r w:rsidRPr="00F90B6B">
        <w:rPr>
          <w:sz w:val="28"/>
          <w:szCs w:val="28"/>
          <w:vertAlign w:val="superscript"/>
        </w:rPr>
        <w:t>2</w:t>
      </w:r>
      <w:r w:rsidRPr="00F90B6B">
        <w:rPr>
          <w:sz w:val="28"/>
          <w:szCs w:val="28"/>
        </w:rPr>
        <w:t xml:space="preserve"> та 27 кг/м</w:t>
      </w:r>
      <w:r w:rsidRPr="00F90B6B">
        <w:rPr>
          <w:sz w:val="28"/>
          <w:szCs w:val="28"/>
          <w:vertAlign w:val="superscript"/>
        </w:rPr>
        <w:t>2</w:t>
      </w:r>
      <w:r w:rsidRPr="00F90B6B">
        <w:rPr>
          <w:sz w:val="28"/>
          <w:szCs w:val="28"/>
        </w:rPr>
        <w:t xml:space="preserve"> і не збільшувалася з подальшим зростанням цифр ІМТ [69, 130].</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дослідження PEACE (Prevention of Events With Angiotensin Converting Enzyme Inhibition) було включено 8290 пацієнтів зі стабільною ІХС та ФВЛШ більше 40,0%. Середній час спостереження склав 4,8 року. Після поправки на вірогідність, ожиріння асоціювалося з ризиком основних коронарних подій в основному у чоловіків [168].</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Іншими дослідниками доведено, що ІМТ сильніше пов'язаний з маркерами серцево-судинного ризику, ніж фізична активність. Встановлено, що ІМТ прямо корелює з маркерами запалення: С-реактивним протеїном, фібриногеном, розчинними молекулами міжклітинної адгезії, а також з рівнями холестерину ліпопротеїнів низької щільності (ЛПНЩ), загального холестерину, аполіпопротеїну В100 (апо-В100). ІМТ також зворотньо корелював з рівнем холестерину ліпопротеїнів високої щільності (ЛПВЩ) [</w:t>
      </w:r>
      <w:r w:rsidRPr="00F90B6B">
        <w:rPr>
          <w:rFonts w:ascii="Times New Roman" w:hAnsi="Times New Roman"/>
          <w:sz w:val="28"/>
          <w:szCs w:val="28"/>
        </w:rPr>
        <w:t>34, 96</w:t>
      </w:r>
      <w:r w:rsidRPr="00F90B6B">
        <w:rPr>
          <w:rFonts w:ascii="Times New Roman" w:hAnsi="Times New Roman"/>
          <w:sz w:val="28"/>
          <w:szCs w:val="28"/>
          <w:lang w:eastAsia="uk-UA"/>
        </w:rPr>
        <w:t>].</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У США в 2007 р. проведений аналіз Національного Регістра майже 109 тисяч пацієнтів, що перенесли гостру декомпенсацію ХСН в період з 2001 по 2004 рр. Метою цього аналізу було вивчити, чи впливає ІМТ на рівень смертності при гострій недостатності кровообігу [77]. Після поправки на вік, стать, артеріальний тиск (АТ), частоту серцевих скорочень (ЧСС), концентрацію креатиніну, а також наявність або </w:t>
      </w:r>
      <w:r w:rsidRPr="00F90B6B">
        <w:rPr>
          <w:rFonts w:ascii="Times New Roman" w:hAnsi="Times New Roman"/>
          <w:sz w:val="28"/>
          <w:szCs w:val="28"/>
          <w:lang w:eastAsia="uk-UA"/>
        </w:rPr>
        <w:lastRenderedPageBreak/>
        <w:t>відсутність апное, величина ІМТ строго корелювала з рівнем смертності: для кожних 5 одиниць підвищення ІМТ ризик смертності знижувався на 10,0%([95%ДІ]0,88-0,93, р&lt;0001).</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Результати проведеного Oreopoulos А. мета-аналізу показали, що в порівнянні з особами, що мали нормальну масу тіла, пацієнти з надмірною вагою та ожирінням (ІМТ більше 30) мають нижчу загальну смертність (RR - 0,84 [95%ДІ -0,79-0,90] та RR - 0,67, [95%ДІ -0,62-0,73] відповідно). Надмірна вага (RR - 0,81, [95%ДІ -0,72-0,92]) та ожиріння (RR - 0,60, [95%ДІ -0,53-0,69]) асоціювалися з низькою смертністю: серцево-судинною (-19,0% та -40,0% відповідно) та загальною(-16,0% та -33,0% відповідно) [158].</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У пацієнтів з ожирінням відбувається зміна функціонування нирок із затримкою води та солей натрію, що також є механізмом підвищення ОЦК [204]. Накопичення жирової тканини призводить до активації ренін-ангіотензин-альдостеронової системи, причому самі вісцелярні адипоцити здатні секретувати ангіотензиноген [88, 227</w:t>
      </w:r>
      <w:r w:rsidRPr="00F90B6B">
        <w:rPr>
          <w:sz w:val="28"/>
          <w:szCs w:val="28"/>
          <w:lang w:val="ru-RU"/>
        </w:rPr>
        <w:t>]</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Симптоми ХСН стають клінічно значимими, коли ІМТ перевищує 40 кг/м</w:t>
      </w:r>
      <w:r w:rsidRPr="00F90B6B">
        <w:rPr>
          <w:sz w:val="28"/>
          <w:szCs w:val="28"/>
          <w:vertAlign w:val="superscript"/>
        </w:rPr>
        <w:t>2</w:t>
      </w:r>
      <w:r w:rsidRPr="00F90B6B">
        <w:rPr>
          <w:sz w:val="28"/>
          <w:szCs w:val="28"/>
        </w:rPr>
        <w:t>. В цих умовах підвищений тиск крові в легеневій артерії збільшує навантаження на правий шлуночок, розвивається гіпертрофія його стінок. Як наслідок, з'являється і швидко наростає вторинна легенева гіпертензія, що призводить до погіршення скорочувальної здатності правого шлуночку і декомпенсації його діяльності: розвивається правошлуночкова серцева недостатність [171, 205].</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Прогресування ожиріння призводить до відкладення жиру не лише в класичних жирових депо (абдомінальний жир), але й навколо різних органів, в тому числі і серці. Жирові відкладення впливають на функцію поруч розташованого органу декількома шляхами. Жирова тканина спричиняє механічну дію і тиск на орган, а також секретує біологічно-активні речовини. Окрім того, ліпіди накопичуються не лише в адипоцитах, але й в інших клітинах організму (міоцитах, ендотеліоцитах та ін.), спричиняючи ліпотоксичну дію та викликаючи їх дисфункцію і апоптоз [159].</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Зв'язок між ІМТ та серцево-судинним прогнозом залежить від етіології серцевої нед</w:t>
      </w:r>
      <w:r w:rsidR="00192F47">
        <w:rPr>
          <w:sz w:val="28"/>
          <w:szCs w:val="28"/>
        </w:rPr>
        <w:t>остатності. Підвищення рівня NT</w:t>
      </w:r>
      <w:r w:rsidRPr="00F90B6B">
        <w:rPr>
          <w:sz w:val="28"/>
          <w:szCs w:val="28"/>
        </w:rPr>
        <w:t xml:space="preserve">proBNP, біомаркера, що відображає важкість </w:t>
      </w:r>
      <w:r w:rsidRPr="00F90B6B">
        <w:rPr>
          <w:sz w:val="28"/>
          <w:szCs w:val="28"/>
        </w:rPr>
        <w:lastRenderedPageBreak/>
        <w:t>ХСН, відбувається у відповідь на ішемічне ушкодження серцевого м'язу, передує розвитку некрозу міокарду, що використовується для ранньої діагностики серцевої недостатності. В ряді великих досліджень (FAST, GUSTO IV, TACTICSTIMI 18, FRISC - II та ін.) було показано, що ступнінь підвищення NT-proBNP є предиктором гіршої виживаності хворих з гострим коронарним синдромом в найближчий та віддалений періоди, незалежно від інших чинників несприятливого прогнозу, таких, як вік, ЦД, перенесений раніше ІМ, ішемічні зміни на ЕКГ, а також рівня тропоніну Т і С-реактивного протеїну. В осіб з ожирінням на фоні</w:t>
      </w:r>
      <w:r w:rsidR="00192F47">
        <w:rPr>
          <w:sz w:val="28"/>
          <w:szCs w:val="28"/>
        </w:rPr>
        <w:t xml:space="preserve"> ХСН, за даними дослідників, NT</w:t>
      </w:r>
      <w:r w:rsidRPr="00F90B6B">
        <w:rPr>
          <w:sz w:val="28"/>
          <w:szCs w:val="28"/>
        </w:rPr>
        <w:t>proBNP, зазвичай, знижений, незалежно від її етіології [61, 187].</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К</w:t>
      </w:r>
      <w:r w:rsidR="00192F47">
        <w:rPr>
          <w:rFonts w:ascii="Times New Roman" w:hAnsi="Times New Roman"/>
          <w:sz w:val="28"/>
          <w:szCs w:val="28"/>
          <w:lang w:eastAsia="uk-UA"/>
        </w:rPr>
        <w:t>ореляція між зниженим рівнем NT</w:t>
      </w:r>
      <w:r w:rsidRPr="00F90B6B">
        <w:rPr>
          <w:rFonts w:ascii="Times New Roman" w:hAnsi="Times New Roman"/>
          <w:sz w:val="28"/>
          <w:szCs w:val="28"/>
          <w:lang w:eastAsia="uk-UA"/>
        </w:rPr>
        <w:t>proBNP та ожирінням - ще одна вірогідна причина, яка пояснює, чому пацієнти з надмірною вагою, що одержують лікування на ранніх стадіях ХСН мають кращий прогноз виживаності. Серце і кровоносні судини оточені епікардіальною та периваскулярною жировою тканиною, яка відіграє важливу роль в підтримці серцево-судинного гомеостазу, а також секретує велику кількість біологічно активних речовин - адипокінів. Більшість з них (включаючи ФНО-альфа, резистин, інтерлейкіни, лептин) має прозапальний ефект [129, 207].</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Окрім того, встановлено, що у більшості осіб з ожирінням спостерігається підвищений рівень альдостерону в сироватці крові, причому при прогресуванні ожиріння концентрація цього гормону зростає. Добре відомо, що альдостерон - один з найпотужніших мінералокортикоїдних гормонів, що синтезуються в кірковому шарі надниркових залоз, основною функцією якого є регуляція рівнів К</w:t>
      </w:r>
      <w:r w:rsidRPr="00F90B6B">
        <w:rPr>
          <w:sz w:val="28"/>
          <w:szCs w:val="28"/>
          <w:vertAlign w:val="superscript"/>
        </w:rPr>
        <w:t>+</w:t>
      </w:r>
      <w:r w:rsidRPr="00F90B6B">
        <w:rPr>
          <w:sz w:val="28"/>
          <w:szCs w:val="28"/>
        </w:rPr>
        <w:t xml:space="preserve"> і Na</w:t>
      </w:r>
      <w:r w:rsidRPr="00F90B6B">
        <w:rPr>
          <w:sz w:val="28"/>
          <w:szCs w:val="28"/>
          <w:vertAlign w:val="superscript"/>
        </w:rPr>
        <w:t>+</w:t>
      </w:r>
      <w:r w:rsidRPr="00F90B6B">
        <w:rPr>
          <w:sz w:val="28"/>
          <w:szCs w:val="28"/>
        </w:rPr>
        <w:t xml:space="preserve"> з метою підтримки постійності рідини в організмі [143]. За даними когортного дослідження DIAST-CHF за участю пацієнтів з ХСН та збереженою ФВЛЖ (61,6±6,2) було встановлено, що високий рівень альдостерону в плазмі крові асоціюється з гіпертрофією ЛШ, а вторинний гіперальдостеронізм у хворих з ХСН обумовлений гіперактивацією ренін-ангіотензинальдостеронової (РААС) та симпато-адреналової систем. Відомо, що структурні зміни ЛШ, викликані гіперальдостеронізмом, не залежать від активності РААС та симпато-адреналової систем, а також істотно підвищують ризик виникнення аритмій.</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lastRenderedPageBreak/>
        <w:t>Тривалий гіперальдостеронізм спричиняє за собою зниження числа кардіоміоцитів в одиниці об'єму міокарду з розвитком їх гіпоксії, що в результаті призводить до зниження скорочувальної здатності серцевого м'яза [141].</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Вкрай цікавим фактом є те, що у хворих хронічною серцевою недостатністю та ожирінням порівняно з групами хворих, які мають нормальну вагу, встановлено нижчі значення N-кінцевого фрагмента натрійуретичного пептиду. Наявність ожиріння у хворих з ХСН асоціюється з вірогідним підвищенням рівня тригліцеридів та зниженням холестерину ЛПВЩ [199-200].</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С</w:t>
      </w:r>
      <w:r w:rsidRPr="00F90B6B">
        <w:rPr>
          <w:rFonts w:ascii="Times New Roman" w:hAnsi="Times New Roman"/>
          <w:sz w:val="28"/>
          <w:szCs w:val="28"/>
          <w:lang w:eastAsia="uk-UA"/>
        </w:rPr>
        <w:t>еред пацієнтів з ХСН та ожирінням встановлені такі типи діастолічної дисфункції: близько 63,0% - тип порушення релаксації, у 16,0% - рестриктивний тип, у 21,0% - псевдонормалізація. При ХСН з нормальною масою тіла в 42,0% випадків визначається порушення релаксації, у 25,0% - псевдонормалізація, у 17,0% рестриктивний тип. Н</w:t>
      </w:r>
      <w:r w:rsidRPr="00F90B6B">
        <w:rPr>
          <w:rFonts w:ascii="Times New Roman" w:hAnsi="Times New Roman"/>
          <w:sz w:val="28"/>
          <w:szCs w:val="28"/>
        </w:rPr>
        <w:t xml:space="preserve">айгірший прогноз відносно серцево-судинних ускладнень та смертності відмічений у осіб з концентричною гіпертрофією, пацієнти з концентричним ремоделюванням та ексцентричною гіпертрофією займають проміжне положення </w:t>
      </w:r>
      <w:r w:rsidR="00F90B6B" w:rsidRPr="00F90B6B">
        <w:rPr>
          <w:rFonts w:ascii="Times New Roman" w:hAnsi="Times New Roman"/>
          <w:sz w:val="28"/>
          <w:szCs w:val="28"/>
        </w:rPr>
        <w:t>[13].</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США широко використовується метод однофотонної радіоізотопної томографії серця, що дозволяє встановити життєздатність міокарду. Стабільні дефекти перфузії можуть спостерігатися при ХСН та коморбідному ожирінні, що створює проблеми з інтерпретацією даних [27].</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Окремою проблемою за поєднаного перебігу хронічної серцевої недостатності та ожиріння є розвиток реноваскулярної патології, що клінічно маніфестує у вигляді хронічної хвороби нирок (ХХН). Взаємовідносини нирок та серцево-судинної системи є багатогранними та найчастіше вибудовуються за механізмом зворотнього зв'язку. Існування та функціонування зворотнього зв'язку, в свою чергу, підтримується факторами ризику, що діють двонаправлено і надають усій кардіоренальній системі патогенетичної стійкості [45, 47, 56, 57].</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Підсумовуючи вищесказане, можна відмітити, що пацієнти з ХСН та ожирінням, характеризуються важчим перебігом та гіршим прогнозом, що спричиняє необхідність якомога ранньої діагностики цієї коморбідності поєднання, більш </w:t>
      </w:r>
      <w:r w:rsidRPr="00F90B6B">
        <w:rPr>
          <w:sz w:val="28"/>
          <w:szCs w:val="28"/>
        </w:rPr>
        <w:lastRenderedPageBreak/>
        <w:t>агресивної терапевтичної тактики, а також розробки нових методологічних підходів в діагностиці та лікуванні.</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Для цього потрібний пошук додаткових діагностичних та прогностичних біомаркерів, які можуть бути використані для хворих з ХСН та ожирінням разом з класичних біомаркерами, такими як </w:t>
      </w:r>
      <w:r w:rsidR="00192F47">
        <w:rPr>
          <w:sz w:val="28"/>
          <w:szCs w:val="28"/>
        </w:rPr>
        <w:t>натрійуретичний пептид (BNP, NTpro</w:t>
      </w:r>
      <w:r w:rsidRPr="00F90B6B">
        <w:rPr>
          <w:sz w:val="28"/>
          <w:szCs w:val="28"/>
        </w:rPr>
        <w:t>BNP). Також перспективним напрямком подальших досліджень є вивчення діагностичної і прогностичної значущості рівня мозкового натрійуретичного пептиду у хворих з хронічною серцевою недостатністю та ожирінням.</w:t>
      </w:r>
    </w:p>
    <w:p w:rsidR="00EF4063" w:rsidRPr="00F90B6B" w:rsidRDefault="00EF4063" w:rsidP="00F0048B">
      <w:pPr>
        <w:spacing w:line="360" w:lineRule="auto"/>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i/>
          <w:sz w:val="28"/>
          <w:szCs w:val="28"/>
        </w:rPr>
      </w:pPr>
      <w:r w:rsidRPr="00F90B6B">
        <w:rPr>
          <w:rFonts w:ascii="Times New Roman" w:hAnsi="Times New Roman"/>
          <w:i/>
          <w:sz w:val="28"/>
          <w:szCs w:val="28"/>
          <w:lang w:val="ru-RU"/>
        </w:rPr>
        <w:t>1</w:t>
      </w:r>
      <w:r w:rsidRPr="00F90B6B">
        <w:rPr>
          <w:rFonts w:ascii="Times New Roman" w:hAnsi="Times New Roman"/>
          <w:i/>
          <w:sz w:val="28"/>
          <w:szCs w:val="28"/>
        </w:rPr>
        <w:t>.1.2.</w:t>
      </w:r>
      <w:r w:rsidRPr="00F90B6B">
        <w:rPr>
          <w:rFonts w:ascii="Times New Roman" w:hAnsi="Times New Roman"/>
          <w:sz w:val="28"/>
          <w:szCs w:val="28"/>
        </w:rPr>
        <w:t xml:space="preserve"> </w:t>
      </w:r>
      <w:r w:rsidRPr="00F90B6B">
        <w:rPr>
          <w:rFonts w:ascii="Times New Roman" w:hAnsi="Times New Roman"/>
          <w:i/>
          <w:sz w:val="28"/>
          <w:szCs w:val="28"/>
        </w:rPr>
        <w:t>Особливості корекції за поєднаного перебігу хронічної серцевої недостатності та ожиріння.</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До основних класів лікарських засобів в останніх рекомендаціях по лікуванню ХСН (2016 р.) належать наступні [173]: інгібітори ангіотензинперетворюючого ферменту (ІАПФ), які показані усім хворим з ХСН незалежно від етіології, стадії процесу і типу декомпенсації; антагоністи рецепторів ангіотензину II, які застосовуються в якості засобів першого ряду для блокади ренін-ангіотензин-альдостеронової системи (РААС) у хворих з клінічно вираженою декомпенсацією [113]; β-адреноблокатори (β-АБ) - нейрогормональні модулятори, що вживаються додатково до ІАПФ або як засоби першого ряду за наявності супутньої ІХС; антагоністи рецепторів альдостерону, що вживаються разом з ІАПФ та β-АБ у хворих з вираженою ХСН; діуретики - показані усім хворим при клінічних симптомах ХСН, пов'язаних з надмірною затримкою натрію і води в організмі; серцеві глікозиди - в малих дозах і з обережністю при синусовому ритмі на тлі систолічної дисфункції лівого шлуночка (ФВ&lt;40,0%) а також при тахісистолічній формі фібриляції передсердь.</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За інгибиторами АПФ остаточно закріплено провідне місце відносно впливу на патогенез серцевої недостатності, головну роль в якій відіграють РААС та симпатична нервова система (СНС). Препарати блокують ангіотензин-перетворювальний фермент; порушують утворення ключового вазоконстрікторного </w:t>
      </w:r>
      <w:r w:rsidRPr="00F90B6B">
        <w:rPr>
          <w:sz w:val="28"/>
          <w:szCs w:val="28"/>
        </w:rPr>
        <w:lastRenderedPageBreak/>
        <w:t>та антидіуретичного фактора - ангіотензину II; порушують руйнування брадикініну [203</w:t>
      </w:r>
      <w:r w:rsidRPr="00F90B6B">
        <w:rPr>
          <w:sz w:val="28"/>
          <w:szCs w:val="28"/>
          <w:lang w:val="ru-RU"/>
        </w:rPr>
        <w:t>]</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Для профілактики ХСН у пацієнтів з хронічними захворюваннями серцево-судинної системи (зокрема, ІХС) можливе використання тільки двох ІАПФ – периндоприлу та раміприлу. Причому, ступінь доказовості профілактики ХСН при ІХС для периндоприлу є максимальною. До того ж, периндоприл в дослідженні EUROPA достовірно зменшував ризик розвитку ХСН на 39,0%, що переважало ефективність інших ІАПФ за цим показником. Дані, отримані в дослідженні HOPE, свідчать про те, що сприятливі ефекти раміприлу виходять за рамки гіпотензивної дії і можуть бути пов'язані з прямою тканинною дією препарату. Важливо відмітити, що раміприл має схожий ефект на сумарний ризик серцево-судинних ускладнень в різних підгрупах хворих, виділених відповідно до протоколу [35].</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На додаток до цих препаратів з повністю доведеною ефективністю у великих міжнародних багатоцентрових дослідженнях додані ще два ІАПФ, що показали свою ефективність в лікуванні ХСН на меншому числі пацієнтів - квінаприл та спіраприл [119].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Окрім того, до теперішнього часу завершено більше 30 плацебо-контрольованих досліджень, в які включено більше 20000 хворих з ХСН та доведено здатність β-АБ знижувати смертність хворих з декомпенсованим перебігом, що на 29,0% більше, ніж при застосуванні ІАПФ. Результати базисних досліджень, що сформували концепцію використання цієї групи препаратів для лікування ХСН можна представити на прикладі наступних: 1) COPERNICUS з неселективним β1- та β2-, а також α1-блокатором карведилолом (більше 2200 хворих з ХСН та вихідною ФВ&lt;25,0%, що знижувало ризик смертності на 35,0%; 2) дослідження CIBIS - III у 1050 хворих з ХСН II - III ФКА, де β1-селективний β-АБ бісопролол впродовж 6 місяців лікування за ефективністю та безпекою не поступався загальноприйнятому режиму - початок лікування еналаприлом з подальшим переходом на комбінацію ІАПФ плюс β-АБ [50, 222, 229].</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Таким чином, по меншій мірі, два типи β-адреноблокаторів - β1-селективні (кардіоселективні): бісопролол [222] та метопрололу сукцинат з уповільненим </w:t>
      </w:r>
      <w:r w:rsidRPr="00F90B6B">
        <w:rPr>
          <w:sz w:val="28"/>
          <w:szCs w:val="28"/>
        </w:rPr>
        <w:lastRenderedPageBreak/>
        <w:t>вивільненням препарату, а також некардіоселективний β1-β2-блокатор з додатковими властивостями α1-блокатора, антиоксиданту і антипроліферативного засобу - карведилол [70, 109], довели ефективність і безпеку, здатність покращувати прогноз хворих з ХСН та зменшувати число госпіталізацій.</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Хоча ретроспективний аналіз показує, що інші β-АБ, рекомендовані для лікування ХСН, бісопролол та метопрололу сукцинат уповільненого виведення - не лише знижують ризик госпіталізацій, але й покращують прогноз, знижують ризик смерті хворих ХСН старше 65 років. Тривалий прийом метопролола сукцинату привів до збільшення толерантності хворих до фізичного навантаження, зменшення функціонального класу і потреби в діуретиках [70</w:t>
      </w:r>
      <w:r w:rsidRPr="00F90B6B">
        <w:rPr>
          <w:sz w:val="28"/>
          <w:szCs w:val="28"/>
          <w:lang w:val="ru-RU"/>
        </w:rPr>
        <w:t xml:space="preserve">, </w:t>
      </w:r>
      <w:r w:rsidRPr="00F90B6B">
        <w:rPr>
          <w:sz w:val="28"/>
          <w:szCs w:val="28"/>
        </w:rPr>
        <w:t>160, 161, 162].</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В дослідженні SENIORS оцінювався вплив β-адреноблокатора небіволола на перебіг ХСН у хворих літнього віку. Показано, що небіволол вірогідно на 16,0% знижує ризик смертності та госпіталізацій в зв’язку з серцево-судинними ускладненнями у хворих з ХСН старше 70 років. Небіволол є високоселективним β1-адреноблокатором III покоління з вазодилатуючим ефектом через стимуляцію синтезу NО ендотелієм судин [</w:t>
      </w:r>
      <w:r w:rsidRPr="00F90B6B">
        <w:rPr>
          <w:rFonts w:ascii="Times New Roman" w:hAnsi="Times New Roman"/>
          <w:sz w:val="28"/>
          <w:szCs w:val="28"/>
        </w:rPr>
        <w:t>76]</w:t>
      </w:r>
      <w:r w:rsidRPr="00F90B6B">
        <w:rPr>
          <w:rFonts w:ascii="Times New Roman" w:hAnsi="Times New Roman"/>
          <w:sz w:val="28"/>
          <w:szCs w:val="28"/>
          <w:lang w:eastAsia="uk-UA"/>
        </w:rPr>
        <w:t xml:space="preserve">. </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Клінічні дослідження показали, що погіршення перебігу ХСН може бути результатом різкого зниження синтезу ендотеліального NO, причому дефіцит NО прямо пропорційний ступеню важкості СН (чим вищий функціональний клас, тим вираженіша ендотеліальна дисфункція, пов'язана з дефіцитом NO). Тому прямий ефект небівололу на судинний ендотелій у поєднанні з кардіоселективною β-блокуючою активністю може значно покращувати внутрішньоорганний кровообіг та нівелювати ендотеліальну дисфункцію при ХСН.</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Препарат істотно покращував якість життя хворих, переносимість фізичного навантаження, скорочував показники ішемії міокарду, сприятливо впливав на гемодинаміку, параметри ремоделювання і скорочувальну функцію міокарду лівого шлуночка. Окрім того, відзначався позитивний вплив небиволола на агрегацію тромбоцитів, реологічні властивості та ліпідний спектр крові.</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Небіволол не лише виявився ефективним антигіпертензивним засобом, але й відрізнявся чудовою переносимістю в порівнянні з іншими β1 -адреноблокаторами, </w:t>
      </w:r>
      <w:r w:rsidRPr="00F90B6B">
        <w:rPr>
          <w:rFonts w:ascii="Times New Roman" w:hAnsi="Times New Roman"/>
          <w:sz w:val="28"/>
          <w:szCs w:val="28"/>
          <w:lang w:eastAsia="uk-UA"/>
        </w:rPr>
        <w:lastRenderedPageBreak/>
        <w:t>при тривалому спостереженні мав сприятливий вплив на пербіг ХСН у хворих з систолічною дисфункцією ЛШ [</w:t>
      </w:r>
      <w:r w:rsidRPr="00F90B6B">
        <w:rPr>
          <w:rFonts w:ascii="Times New Roman" w:hAnsi="Times New Roman"/>
          <w:sz w:val="28"/>
          <w:szCs w:val="28"/>
        </w:rPr>
        <w:t>76</w:t>
      </w:r>
      <w:r w:rsidRPr="00F90B6B">
        <w:rPr>
          <w:rFonts w:ascii="Times New Roman" w:hAnsi="Times New Roman"/>
          <w:sz w:val="28"/>
          <w:szCs w:val="28"/>
          <w:lang w:eastAsia="uk-UA"/>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Регулярне застосування β-адреноблокаторів позитивно впливає на ремоделювання серця та судини, створюючи умови для зниження функціонального класу ХСН. Лікування β-блокаторами повинне проводитися індивідуально, з поступовим титруванням доз до рекомендованих цільових значень [160].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У той же час, особливістю застосування цієї групи на фоні ХСН із супутнім ожирінням є те, що β-адреноблокатори, особливо неселективні, можуть спричиняти несприятливі ефекти на вуглеводний та ліпідний метаболізм, периферичну вазоконстрикцію і викликати приріст ваги. Однак, за аналізу рівнів доказовості, встановлено, що сучасні β-адреноблокатори, які мають додаткові метаболічно нейтральні ефекти, такі як одночасна блокада α1-адренорецепторів або модуляція синтезу монооксиду азоту, є приорітетними у пацієнтів з коморбідним ожирінням.</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Аналіз, проведений на основі результатів програми CHARM, дозволяє зробити висновок про те, що призначення антагоністів ангіотензину ІІ, є цілком виправданим і з клінічної, і з фармакоекономічної точки зору у пацієнтів з ХСН та систолічною дисфункцією при непереносимості інгібіторів АПФ, а також в комбінації з ІАПФ у пацієнтів з симптомами, що зберігаються при терапії препаратами цього класу [51,52, 98, 223]. Вочевидь - кандесартан на сьогодні найбільш обґрунтований вибір для лікування хворих з ХСН.</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Розглядаючи роль альдостерону в прогресуванні ХСН, слід нагадати, що цей гормон викликає: затримку натрію, втрату магнію та калію, фіброз міокарду та судин, безпосереднє ушкодження судин та дисфункцію барорецепторів. Окрім того, альдостерон перешкоджає захопленню норадреналіну міокардом.</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Останнім часом вивчено ефект вислизання альдостерону. Його суть полягає в тому, що при застосуванні інгібіторів АПФ або антагоністів рецепторів ангіотензину II активність альдостерону зменшується в початковий період лікування та підвищується в подальшому. Таким чином, навіть повна блокада АТII на рецепторному рівні не виключає стимуляцію синтезу альдостерону у хворих з ХСН. Отже, для блокади синтезу альдостерону потрібний самостійний препарат</w:t>
      </w:r>
      <w:r w:rsidRPr="00F90B6B">
        <w:rPr>
          <w:sz w:val="28"/>
          <w:szCs w:val="28"/>
          <w:lang w:val="ru-RU"/>
        </w:rPr>
        <w:t xml:space="preserve"> [</w:t>
      </w:r>
      <w:r w:rsidRPr="00F90B6B">
        <w:rPr>
          <w:sz w:val="28"/>
          <w:szCs w:val="28"/>
        </w:rPr>
        <w:t>169</w:t>
      </w:r>
      <w:r w:rsidRPr="00F90B6B">
        <w:rPr>
          <w:sz w:val="28"/>
          <w:szCs w:val="28"/>
          <w:lang w:val="ru-RU"/>
        </w:rPr>
        <w:t xml:space="preserve">, </w:t>
      </w:r>
      <w:r w:rsidRPr="00F90B6B">
        <w:rPr>
          <w:sz w:val="28"/>
          <w:szCs w:val="28"/>
        </w:rPr>
        <w:t>231</w:t>
      </w:r>
      <w:r w:rsidRPr="00F90B6B">
        <w:rPr>
          <w:sz w:val="28"/>
          <w:szCs w:val="28"/>
          <w:lang w:val="ru-RU"/>
        </w:rPr>
        <w:t>]</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lastRenderedPageBreak/>
        <w:t>Всебічно вивченим в клінічних дослідженнях є спіронолактон. Він конкурентно інгібує чутливі до альдостерону натрієві канали в дистальних канальцях і збиральних трубочках нефрону, тим самим викликаючи екскрецію натрію та вільної води і затримку калію. До плейотропних властивостей можна віднести блокаду рецепторів альдостерону в інших тканинах. Щоденна доза спіронолактону 25 мг є ефективною та блокує рецептори альдостерону, а при більш високих концентраціях спіронолактон може також пригнічувати синтез альдостерону [169].</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Результати проведених досліджень дозволили антагоністам рецепторів альдостерону значно зміцнити свою позицію. Дійсно, на зміну рекомендаціям призначати спиронолактон при важкій ХСН (III і IV функціонального класу по NYHA), на сьогодні є розширення показань до застосування цього класу препаратів (спіронолактон та еплеренон) при ХСН, що розвинулася після інфаркту міокарду з систолічною дисфункцією лівого шлуночку (фракція викиду лівого шлуночку ≤35,0% або симптомами ХСН [42, 231].</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Лікування антагоністами альдостерону повинно розпочинатись у госпіталізованих пацієнтів до виписки із стаціонару (клас I, рівень доказовості В) . Перед призначенням антагоністів альдостерону слід провести ретельну оцінку ризиків, пов'язаних з їх застосуванням. Антагоністи альдостерону призначають особам, в яких збережена функція нирок (вміст креатиніну в сироватці крові ≤</w:t>
      </w:r>
      <w:r w:rsidR="00192F47">
        <w:rPr>
          <w:sz w:val="28"/>
          <w:szCs w:val="28"/>
        </w:rPr>
        <w:t xml:space="preserve"> </w:t>
      </w:r>
      <w:r w:rsidRPr="00F90B6B">
        <w:rPr>
          <w:sz w:val="28"/>
          <w:szCs w:val="28"/>
        </w:rPr>
        <w:t>2,5 мг/дл у чоловіків або ≤</w:t>
      </w:r>
      <w:r w:rsidR="00192F47">
        <w:rPr>
          <w:sz w:val="28"/>
          <w:szCs w:val="28"/>
        </w:rPr>
        <w:t xml:space="preserve"> </w:t>
      </w:r>
      <w:r w:rsidRPr="00F90B6B">
        <w:rPr>
          <w:sz w:val="28"/>
          <w:szCs w:val="28"/>
        </w:rPr>
        <w:t>2,0 мг/дл у жінок) і концентрація калію в сироватці крові менше 5,0 ммоль/л [33, 34, 125].</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Обережно слід призначати препарат за наявності гіпонатріемії. Як бачимо, наявність коморбідного ожиріння не змінює як фармакодинаміку, так і фармакокінетику препарату [171</w:t>
      </w:r>
      <w:r w:rsidRPr="00F90B6B">
        <w:rPr>
          <w:sz w:val="28"/>
          <w:szCs w:val="28"/>
          <w:lang w:val="ru-RU"/>
        </w:rPr>
        <w:t xml:space="preserve">, </w:t>
      </w:r>
      <w:r w:rsidRPr="00F90B6B">
        <w:rPr>
          <w:sz w:val="28"/>
          <w:szCs w:val="28"/>
        </w:rPr>
        <w:t>175</w:t>
      </w:r>
      <w:r w:rsidRPr="00F90B6B">
        <w:rPr>
          <w:sz w:val="28"/>
          <w:szCs w:val="28"/>
          <w:lang w:val="ru-RU"/>
        </w:rPr>
        <w:t>]</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При ХСН виділяють два етапи застосування антагоністів альдостерону. Перший етап при декомпенсації, коли їх використовують в комплексній діуретичній терапії для збільшення діурезу, видалення затримки рідини та подолання рефрактерності до тіазидних та петльових діуретиків.</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Другий етап починається після досягнення компенсації у пацієнтів з ХСН III та IY функціонального класів за класифікацією NYHA, коли антагоністи альдостерону, </w:t>
      </w:r>
      <w:r w:rsidRPr="00F90B6B">
        <w:rPr>
          <w:sz w:val="28"/>
          <w:szCs w:val="28"/>
        </w:rPr>
        <w:lastRenderedPageBreak/>
        <w:t>зокрема спіронолактон використовується в малих дозах (25-50 мг/сут) додатково до інгібіторів АПФ та β-адреноблокаторів в якості нейрогуморального модулятора, що дозволяє більш повно блокувати ренін-ангіотензин-альдостеронову систему, покращувати перебіг та прогноз хворих з ХСН [86].</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Ці результати булі представлені в дослідженнях RALES та EPHESUS, де максимальними дозами були 50 мг спіронолактону та 50 мг еплеренону [153</w:t>
      </w:r>
      <w:r w:rsidRPr="00F90B6B">
        <w:rPr>
          <w:sz w:val="28"/>
          <w:szCs w:val="28"/>
          <w:lang w:val="ru-RU"/>
        </w:rPr>
        <w:t xml:space="preserve">, </w:t>
      </w:r>
      <w:r w:rsidRPr="00F90B6B">
        <w:rPr>
          <w:sz w:val="28"/>
          <w:szCs w:val="28"/>
        </w:rPr>
        <w:t>212].</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В Європейських рекомендаціях з діагностики та лікуванню ХСН підкреслюється можливість підвищення ризику розвитку важкої гіперкаліємії при застосуванні спиронолактону та еплеренону, а також вказується на необхідність відміни цих препаратів при рівні креатиніну в сироватці крові більше 221 ммоль/л (2,5 мг/дл) та калію в плазмі крові більше 5 ммоль/л [173].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Хоча існує потенційний ризик важкої гіперкаліємії (концентрація калію в сироватці крові &gt;6,0 ммоль/л) при застосуванні антагоністів альдостерону, особливо у поєднанні з інгібіторами АПФ, проте цей ризик невисокий у хворих з незміненою функцією нирок. Наприклад, в дослідженнях RALES [212] і EPHESUS [153], де пацієнти з вмістом креатиніну в сироватці крові більше 2,5 мг/дл або калію більше 5,0 ммоль/л не включалися, не виявлено випадків смерті від гіперкаліємії майже у 4000 пацієнтів, що отримували терапію антагоністами альдостерону.</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Окрім того, затримка рідини в організмі та формування набрякового синдрому є типовим проявом ХСН. Тому дегідратаційна терапія є однією з найважливіших складових успішного лікування хворих з ХСН. Діуретики виконують функцію лише одного з компонентів дегідратаційного лікування [122].</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Як наслідок, застосування сечогінних препаратів повинно бути чітко обґрунтованим, обов'язково поєднуватись з використанням нейрогуморальних модуляторів, таких як ІАПФ та антагоністи альдостерону, а також з препаратами, що утримують рідину в судинному руслі, покращують нирковий кровотік та фільтрацію.</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Основні положення дегідратаційної терапії, в тому числі застосування діуретиків, зводяться до наступного: 1) лікування сечогінними засобами починається лише при клінічних ознаках застою (II А стадія, II клас за </w:t>
      </w:r>
      <w:r w:rsidRPr="00F90B6B">
        <w:rPr>
          <w:rFonts w:ascii="Times New Roman" w:hAnsi="Times New Roman"/>
          <w:sz w:val="28"/>
          <w:szCs w:val="28"/>
          <w:lang w:val="en-US"/>
        </w:rPr>
        <w:t>Cillip</w:t>
      </w:r>
      <w:r w:rsidRPr="00F90B6B">
        <w:rPr>
          <w:rFonts w:ascii="Times New Roman" w:hAnsi="Times New Roman"/>
          <w:sz w:val="28"/>
          <w:szCs w:val="28"/>
        </w:rPr>
        <w:t xml:space="preserve"> для класифікації гострої серцевої недостатності), вони не уповільнюють прогресування ХСН; 2) </w:t>
      </w:r>
      <w:r w:rsidRPr="00F90B6B">
        <w:rPr>
          <w:rFonts w:ascii="Times New Roman" w:hAnsi="Times New Roman"/>
          <w:sz w:val="28"/>
          <w:szCs w:val="28"/>
        </w:rPr>
        <w:lastRenderedPageBreak/>
        <w:t>лікування сечогінними розпочинається із застосування більш слабкого з ефективних препаратів - перевагу слід віддавати тіазидним діуретикам (гіпотіазид) і, лише при їх недостатній ефективності, переходити до призначення потужних петльових діуретиків (фуросемід, етакринова кислота, буметанід, торасемід); 3) лікування необхідно розпочинати з малих доз, в подальшому підбираючи дозу; 4) тіазидні діуретики (гіпотіазид), ефективні при рівні клубочкової фільтрації до 30-50 мл/хв, тому при нирковій недостатності їх застосування є неефективним.</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Із загальної групи діуретиків потрібно звернути увагу на торасемід - типовий петльовий діуретик, що блокує реабсорбцію натрію та води у висхідній частині петлі Генле. За фармакокінетичними властивостями він перевершує фуросемід, дає триваліший діуретичний ефект і рідше викликає гіпокаліємію, ніж фуросемід. У контрольованих дослідженнях, при застосуванні у хворих з серцевою та нирковою недостатністю, а також декомпенсованим цирозом печінки торасемід за ефективністю та безпекою не поступається фуросеміду.</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дослідженні DIG відмічено тенденцію до зниження смертності при прогресуючій ХСН внаслідок декомпенсації ХСН в групі лікування дігоксином - в середньому на 12,0%. Найбільша користь при застосуванні дігоксину відзначалася у хворих з низькою ФВЛШ (до 25,0%). Дослідження DIG, з включенням 7788 хворих, показало, що обережне застосування невисоких доз дігоксину в лікуванні хворих з ХСН та синусовим ритмом особливо при низькій ФВ виправдано з клінічної точки зору, хоча не покращує прогноз захворювання [32, 209].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Малі дози дігоксину мають нейромодулюючу активність та викликають нелінійні зміни ФВЛШ, підвищення толерантності до фізичного навантаження, позитивно впливають на зміни добової варіабельної ритму, пікове споживання кисню та концентрації нітрогліцерину. Ці зміни відсутні при переході на більш високі дози [79].</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Аналізуючи дослідження останній років, варто виділити декілька нових груп препаратів в лікуванні ХСН, властивості та ефективність яких ще досліджуються, але, можливо, ці препарати в майбутньому стануть основними препаратами при веденні таких хворих.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lastRenderedPageBreak/>
        <w:t>Лікування аліскіреном сприяло значному зниженню концентрації N-термінального фрагменту мозкового натрійуретичного пептиду (NTproBNP), викликало зниження екскреції альдостерону із сечею, що можна охарактеризувати в якості додаткового ефекту, порівняно з ІАПФ [90, 195]. На сьогодні проводяться великомасштабні дослідження аліскірену - AUSTRONAUТ та ATMOSPHERE, в яких планується встановити, чи можливо замінити або доповнити ІАПФ аліскіреном у хворих з ХСН [90].</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Також клінічну перевагу в порівнянні з ІАПФ у хворих з ХСН можуть мати інгібітори вазопептидаз [133]. Відомим інгібітором вазопептидаз є LCZ696. Препарати цієї групи спричиняють вплив одночасно як антагоністи рецепторів ангіотензину II та інгібують неприлізин. Блокада неприлізину знижує розпад натрійуретичних пептидів та може збільшувати їх судинорозширювальний, натрійуретичний та інший позитивні впливи [217]. Слід вказати на великомасштабне дослідження PARADIGMHF для оцінки впливу LCZ696 в порівнянні з еналаприлом на комбіновану кінцеву точку - серцево-судинну смертність та частоту госпіталізацій із приводу ХСН [141].</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Інший нейрогормон, який тісно пов'язаний з РААС - це вазопресин або антидіуретичний гормон. Антагоніст V2- рецепторів вазопресину - толваптан може посилювати діурез без виведення електролітів. В ряді досліджень відмічений потужний акваретичний ефект без ушкодження нирок у хворих з гострою декомпенсацією ХСН при лікуванні толваптаном [102]. Зокрема, в дослідженні SALT показано, що цей препарат ефективний та безпечний у хворих з ХСН та гіпонатріємією </w:t>
      </w:r>
      <w:r w:rsidRPr="00F90B6B">
        <w:rPr>
          <w:sz w:val="28"/>
          <w:szCs w:val="28"/>
          <w:lang w:val="ru-RU"/>
        </w:rPr>
        <w:t>[78]</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Також слід відмітити перспективи цього препарату при</w:t>
      </w:r>
      <w:r w:rsidRPr="00F90B6B">
        <w:rPr>
          <w:sz w:val="28"/>
          <w:szCs w:val="28"/>
          <w:lang w:val="ru-RU"/>
        </w:rPr>
        <w:t xml:space="preserve"> </w:t>
      </w:r>
      <w:r w:rsidRPr="00F90B6B">
        <w:rPr>
          <w:sz w:val="28"/>
          <w:szCs w:val="28"/>
        </w:rPr>
        <w:t xml:space="preserve">коморбідному перебізі ХСН та ожиріння. Зокрема, в дослідженні EVEREST, що включало більше 4000 хворих, госпіталізованих з приводу ХСН, у пацієнтів, які отримували толваптан принаймні впродовж 60 днів, знижувалась маса тіла та зменшувалася вираженість клінічної симптоматики ХСН в порівнянні з показниками групи контролю, але сприятливого впливу на смертність, в тому числі від серцево-судинних причин, і частоту госпіталізацій з приводу ХСН не виявлено [26, 67, 92, 99, 123, 219]. </w:t>
      </w:r>
      <w:r w:rsidRPr="00F90B6B">
        <w:rPr>
          <w:sz w:val="28"/>
          <w:szCs w:val="28"/>
        </w:rPr>
        <w:lastRenderedPageBreak/>
        <w:t>Неселективний антагоніст V1a - і V2- рецепторів вазопресину коніваптан менш вивчений.</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Можливо, антагоністи вазопресину зможуть знайти свою нішу в лікуванні хворих з вираженою ХСН, рефрактерною до діуретиків, персистуючою гіперволемією та вираженою гіпонатріємією.</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RLY5016 - неадсорбований перорально калійзв’язуючий полімер. Препарат мінімально впливає на шлунково-кишковий тракт та не призводить до заміни калію на натрій та розвитку гіпернатріємії. В дослідженні PEARLHF 105 хворим з ХСН та гіперкаліємією в анамнезі, що потребувало відміни блокаторів РААС та β-АБ, на фоні хронічної хвороби нирок та швидкістю клубочкової фільтрації (ШКФ) &lt;60 мл/хв./1,73м</w:t>
      </w:r>
      <w:r w:rsidRPr="00F90B6B">
        <w:rPr>
          <w:sz w:val="28"/>
          <w:szCs w:val="28"/>
          <w:vertAlign w:val="superscript"/>
        </w:rPr>
        <w:t>2</w:t>
      </w:r>
      <w:r w:rsidRPr="00F90B6B">
        <w:rPr>
          <w:sz w:val="28"/>
          <w:szCs w:val="28"/>
        </w:rPr>
        <w:t xml:space="preserve"> рандомізовано призначали RLY5016 або плацебо впродовж 4 тижнів [221]. У хворих, що отримували RLY5016, була меншою концентрація калію в сироватці крові та рідше зустрічалася гіперкаліємія, ніж в групі контролю, та їм частіше вдавалося призначати спіронолактон в цільовій дозі [221].</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Виявлення істотного зниження частоти госпіталізацій та збільшення виживаності під впливом β-АБ, в свій час, викликало численні дискусії про можливі механізми цього впливу. Було висунено припущення, що принаймні частково це пов'язано зі зниженням частоти серцевих скорочень (ЧСС). Івабрадин, селективний інгібітор If-каналів, призводить до зниження ЧСС без іншої безпосередньої дії на серцево-судинну систему </w:t>
      </w:r>
      <w:r w:rsidRPr="00F90B6B">
        <w:rPr>
          <w:sz w:val="28"/>
          <w:szCs w:val="28"/>
          <w:lang w:val="ru-RU"/>
        </w:rPr>
        <w:t>[132]</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дослідженні SHIFT вивчали вплив івабрадину на фоні оптимально підібраної медикаментозної терапії у хворих з ХСН II-III функціональних класів (ФК) за NYHA, які були госпіталізовані з приводу ХСН впродовж попередніх 12 місяців та мали синусовий ритм з ЧСС принаймні 70/хвилину. Лікування івабрадином сприяло значному зниженню частоти первинної кінцевої точки - серцево-судинної смертності або частоти госпіталізацій з приводу погіршення перебігу ХСН, головним чином за рахунок останньої [196, 197].</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У дослідженні не виявлено значного зниження загальної і серцево-судинної смертності, хоча відзначалося зниження смертності, пов'язаної з СН. Було показано зменшення ефективності івабрадину у хворих, що мали меншу початкову ЧСС </w:t>
      </w:r>
      <w:r w:rsidRPr="00F90B6B">
        <w:rPr>
          <w:sz w:val="28"/>
          <w:szCs w:val="28"/>
        </w:rPr>
        <w:lastRenderedPageBreak/>
        <w:t>(&lt;77/хвилину) та приймали більш високі дози β-АБ. Аналіз отриманих результатів свідчить про те, що сприятливі ефекти івабрадину в дослідженні SHIFT пов'язані зі зниженням ЧСС [196, 197]. Чи має цей препарат додаткові переваги в порівнянні з використанням повної дози β-АБ, невідомо.</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Вважається, що покращення скорочувальної здатності міокарда ослаблює нейрогуморальну активацію та ремоделювання шлуночків, які призводять до прогресування ХСН. Проте відносно чисельних пероральних агоністів β-адренорецепторів (наприклад, ксамотерола) та інгібіторів фосфодіестерази (наприклад, мілринону, еноксимону) в клінічних дослідженнях виявлений їх несприятливий вплив або відсутність сприятливого впливу [39]. </w:t>
      </w:r>
    </w:p>
    <w:p w:rsidR="00EF4063" w:rsidRPr="00F90B6B" w:rsidRDefault="00EF4063" w:rsidP="00F0048B">
      <w:pPr>
        <w:pStyle w:val="a3"/>
        <w:spacing w:before="0" w:beforeAutospacing="0" w:after="0" w:afterAutospacing="0" w:line="360" w:lineRule="auto"/>
        <w:ind w:firstLine="709"/>
        <w:jc w:val="both"/>
        <w:rPr>
          <w:sz w:val="28"/>
          <w:szCs w:val="28"/>
          <w:lang w:val="ru-RU"/>
        </w:rPr>
      </w:pPr>
      <w:r w:rsidRPr="00F90B6B">
        <w:rPr>
          <w:sz w:val="28"/>
          <w:szCs w:val="28"/>
        </w:rPr>
        <w:t>Останнім часом в клінічних дослідженнях вивчається новий препарат істароксим, що покращує скорочувальну здатність міокарду шляхом інгібування Na/K-АТФази, подібно до дігоксину, а також стимулює кальцієві канали саркоплазматичної мережі (SERCA2a). Додаткова активація каналів SERCA2а теоретично може зменшувати діастолічну дисфункцію та зменшувати потенційні побічні ефекти підвищення внутрішньоклітинної концентрації кальцію. В декількох роботах вивчали внутрішньовенне застосування істароксиму</w:t>
      </w:r>
      <w:r w:rsidRPr="00F90B6B">
        <w:rPr>
          <w:sz w:val="28"/>
          <w:szCs w:val="28"/>
          <w:lang w:val="ru-RU"/>
        </w:rPr>
        <w:t xml:space="preserve"> [</w:t>
      </w:r>
      <w:r w:rsidRPr="00F90B6B">
        <w:rPr>
          <w:sz w:val="28"/>
          <w:szCs w:val="28"/>
        </w:rPr>
        <w:t>173</w:t>
      </w:r>
      <w:r w:rsidRPr="00F90B6B">
        <w:rPr>
          <w:sz w:val="28"/>
          <w:szCs w:val="28"/>
          <w:lang w:val="ru-RU"/>
        </w:rPr>
        <w:t>]</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Активатори серцевого міозину - новий клас препаратів, які прямо впливають на роботу актин-міозинових з’єднань. Селективний активатор серцевого міозину - омекамтив мекарбил зв'язується з каталітичним доменом міозину, який збільшує швидкість переходу міозину в актинзв’язаний стан.</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дослідженні, що включало здорових добровольців та хворих з ХСН, було підтверджено, що цей препарат збільшує тривалість систоли, що призводить до збільшення ударного об'єму та фракції викиду зі зниженням кінцевих об'ємів шлуночків. Для вирішення питання відносно можливості та безпеки широкого впровадження цього препарату потрібні подальші дослідження [170].</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Лікарські засоби метаболічної дії є особливо перспективними за наявності коморбідного перебігу ХСН та ожиріння. Зокрема, часткові інгібітори окиснення жирних кислот змінюють метаболізм міокарду, сприяючи переходу від окиснення жирних кислот до окиснення глюкози, за рахунок чого утилізація кисню відбувається </w:t>
      </w:r>
      <w:r w:rsidRPr="00F90B6B">
        <w:rPr>
          <w:sz w:val="28"/>
          <w:szCs w:val="28"/>
        </w:rPr>
        <w:lastRenderedPageBreak/>
        <w:t>ефективнішим шляхом, зменшується потреба міокарду в кисні, при цьому робота міокарду не змінюється [124]. На стадії II клінічних досліджень знаходяться два подібні препарати: ранолазин та етомоксир.</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ураженому міокарді спостерігаються також порушення кальцієвого гомеостазу та порушення рівнів контрактильних протеїнів, що може бути причиною зниження скоротливості, а також розвитку діастолічної дисфункції. Окрім того, в експериментах на нормальному і перевантаженому тиском міокарді щурів було показано, що рівні основного протеїну в кальцієвому циклі - кальцієвої АТФ-ази саркоплазматичного ретикулума, а також альфа-глобулину важких ланцюгів підвищуються в результаті лікування етомоксиром-інгібітором карнітин пальмітоїл трансферази.</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Також, на сьогоднішній день, імунна теорія патогенезу ХСН набуває все більшого числа прибічників. Відповідно до цієї концепції неспецифічна активація макрофагів та моноцитів у плазмі та міжтканинній рідині, що виникає при важких розладах мікроциркуляції, є індуктором синтезу прозапальних цитокінів, які визначають еволюцію дисфункції ЛШ. У плазмі крові хворих з ХСН незалежно від етіології підвищений вміст так званих прозапальних цитокінів, до яких відносяться фактор некрозу пухлини-альфа, інтерлейкіни-1α, 1-β, інтерлейкін-6. Вважають, що ці речовини відіграють важливу роль в реалізації: процесів гіперкоагуляції крові, порушенні регулювання судинного тонусу, формування синдрому ендотеліальної дисфункції, індукції процесів метаболізму в скелетних м'язах, прогресуванні м'язової дистрофії. Підвищення рівня прозапальних цитокінів, що асоціюється з дисфункцією ЛШ, розглядається багатьма авторами як фактор ушкодження судинного ендотелію. Відомі препарати, що спричиняють вплив на синтез та функції цитокінів-інтерлейкінів 1, 2, 4, 6, TNF (антагоністи фактора некрозу), GM - CSF, G - CSF, IFN- гамма (пентоксифілін, амлодипін, ІАПФ, веснаринон, пімобендан).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Окрім того, у хворих з ХСН, в тому числі на фоні супутнього ожиріння, часто зустрічаються дефіцит заліза та супутня анемія, що несприятливо впливає на прогноз </w:t>
      </w:r>
      <w:r w:rsidRPr="00F90B6B">
        <w:rPr>
          <w:sz w:val="28"/>
          <w:szCs w:val="28"/>
          <w:lang w:val="ru-RU"/>
        </w:rPr>
        <w:t>[144]</w:t>
      </w:r>
      <w:r w:rsidRPr="00F90B6B">
        <w:rPr>
          <w:sz w:val="28"/>
          <w:szCs w:val="28"/>
        </w:rPr>
        <w:t xml:space="preserve">. У дослідженні FAIRHF було показане поліпшення клінічної симптоматики, збільшення переносимості фізичних навантажень та підвищення якості життя у таких </w:t>
      </w:r>
      <w:r w:rsidRPr="00F90B6B">
        <w:rPr>
          <w:sz w:val="28"/>
          <w:szCs w:val="28"/>
        </w:rPr>
        <w:lastRenderedPageBreak/>
        <w:t>хворих при внутрішньовенному призначенні препаратів заліза (ferric carboxymaltose) [114, 115, 172]. На сьогодні проводиться дослідження відносно вивчення можливості корекції анемії за допомогою препаратів, які стимулюючих гемопоез (наприклад, дарбепоетин) [54].</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Інгібітори фосфодіэстерази-5A (такі як силденафіл) селективно гальмують гідроліз цГМФ, який є важливою сигнальною молекулою при ХСН, що відіграє роль в розвитку міокардіальної дисфункції, патологічного ремоделювання та легеневої гіпертензії. Результати ряду невеликих досліджень показали, що інгібітори фосфодіестерази-5A покращують переносимість фізичних навантажень, гемодинамічні показники, якість життя у хворих з систолічною дисфункцією ЛШ на фоні ХСН.</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Триває вивчення несиритиду - синтетичної форми мозкового натрійуретичного пептиду для лікування гострої декомпенсації ХСН. Несиритид викликає розширення вен, артерій та коронарних судин, зменшує пред- та постнавантаження на серце, що призводить до збільшення серцевого викиду без інотропного впливу.</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експериментальних дослідженнях показана сприятливу дію несиритиду на нирки [83]. Проте у хворих з ХСН діуретична дія препарату була менш вираженою, порівніно зі здоровими особами. Швидкість клубочкової фільтрації не збільшувалася під його впливом навіть у пацієнтів, у яких цей препарат спричиняв натрійуретичну та діуретичну дію. Дія несиритиду на нирковий плазмоток, діурез та екскрецію натрію була співставимою з ефектом плацебо.</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нещодавно завершеному дослідженні не виявлено значного впливу несиритиду (інфузії 1-2 рази на тиждень впродовж 12 тиж.) на прогноз та якість життя у хворих з важкою СН (n=900, у 600 з них ШКФ була &lt;60 мл/мін), але відмічено його вплив на нирки - підвищення рівня креатиніну сироватки на 0,5 мг/дл (44 мкмоль/л) [83].</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В порівнянні з групою плацебо у хворих, пролікованих несиритидом, вірогідність повторної госпіталізації впродовж 30 днів була на 57,0% меншою, а тривалість повторної госпіталізації в 2,6 разів коротшою. При метааналізі даних семи великих рандомізованих контрольованих досліджень Arora et al. встановили, що </w:t>
      </w:r>
      <w:r w:rsidRPr="00F90B6B">
        <w:rPr>
          <w:sz w:val="28"/>
          <w:szCs w:val="28"/>
        </w:rPr>
        <w:lastRenderedPageBreak/>
        <w:t>відносний ризик смерті впродовж 30 та 180 днів в групах несиритиду та плацебо вірогідно не відрізнявся [83].</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Отже, потрібно проведення подальших великомасштабних плацебоконтролюємих досліджень для остаточного визначення місця несиритиду в лікуванні хворих з кардіоренальною дисфункцією.</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Майбутні напрямки в терапії ХСН можуть включати пряму дію на клітини за допомогою гормонів, цитокінів, факторів росту, імплантацію стовбурових клітин та генну терапію, що проводиться за допомогою кардіоміоцитспецифічних вірусів.</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той же час, особливої уваги потребують «особливі» групи пацієнтів. Зокрема, актуальним залишається розробка доказової бази при лікуванні пацієнтів з коморбідним перебігом ХСН та ожиріння, а також поєднання даних клінічних станів з кардіоренальним синдромом та гіпонатріемією.</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b/>
          <w:sz w:val="28"/>
          <w:szCs w:val="28"/>
        </w:rPr>
      </w:pPr>
      <w:r w:rsidRPr="00F90B6B">
        <w:rPr>
          <w:rFonts w:ascii="Times New Roman" w:hAnsi="Times New Roman"/>
          <w:b/>
          <w:sz w:val="28"/>
          <w:szCs w:val="28"/>
        </w:rPr>
        <w:t>1.2. Прогностична роль гіпонатріємії в патогенезі, клінічних проявах, особливостях перебігу хронічної серцевої недостатності та ожиріння.</w:t>
      </w:r>
    </w:p>
    <w:p w:rsidR="00EF4063" w:rsidRPr="00F90B6B" w:rsidRDefault="00EF4063" w:rsidP="00F0048B">
      <w:pPr>
        <w:spacing w:after="0" w:line="360" w:lineRule="auto"/>
        <w:ind w:firstLine="709"/>
        <w:jc w:val="both"/>
        <w:rPr>
          <w:rFonts w:ascii="Times New Roman" w:hAnsi="Times New Roman"/>
          <w:b/>
          <w:sz w:val="28"/>
          <w:szCs w:val="28"/>
        </w:rPr>
      </w:pPr>
    </w:p>
    <w:p w:rsidR="00EF4063" w:rsidRPr="00F90B6B" w:rsidRDefault="00EF4063" w:rsidP="00F0048B">
      <w:pPr>
        <w:pStyle w:val="a3"/>
        <w:spacing w:before="0" w:beforeAutospacing="0" w:after="0" w:afterAutospacing="0" w:line="360" w:lineRule="auto"/>
        <w:ind w:firstLine="709"/>
        <w:jc w:val="both"/>
        <w:rPr>
          <w:sz w:val="28"/>
          <w:szCs w:val="28"/>
          <w:lang w:val="ru-RU"/>
        </w:rPr>
      </w:pPr>
      <w:r w:rsidRPr="00F90B6B">
        <w:rPr>
          <w:sz w:val="28"/>
          <w:szCs w:val="28"/>
        </w:rPr>
        <w:t xml:space="preserve">Гіпонатріємія, що визначається як зниження концентрації натрію сироватки крові ≤135 ммоль/л, є найбільш поширеним порушенням електролітного обміну в клінічній практиці [104, 188, 189]. Гіпонатріємія може ускладнювати перебіг багатьох захворювань, включаючи хронічну серцеву недостатність (ХСН) </w:t>
      </w:r>
      <w:r w:rsidRPr="00F90B6B">
        <w:rPr>
          <w:sz w:val="28"/>
          <w:szCs w:val="28"/>
          <w:lang w:val="ru-RU"/>
        </w:rPr>
        <w:t>[190, 191].</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Гіпонатріємія є станом, при якому відбуваються зміни плазмової концентрації натрію. Ступінь зміни плазмової концентрації натрію має як діагностичне, так і прогностичне значення. При псевдогіпонатріемії визначаються хибно низькі концентрації натрію в плазмі крові. В нормі плазма містить більше 90,0% води та 10,0% твердих речовин [140].</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 ряді випадків, збільшення вмісту твердих речовин, наприклад при гіперліпідемії, викликає відносне зменшення змісту в ній води. Незважаючи на те що вміст натрію може бути нормальним, значення концентрації натрію, виражене в ммоль/л плазми, буде зниженим.</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lastRenderedPageBreak/>
        <w:t>Хронічна гіпонатріємія часто спостерігається при захворюваннях, що супроводжуються набряками. Виявлення гіпонатріємії у хворих з серцевою недостатністю, особливо та фоні споживання помірної кількості рідини (менше 1,5 л на добу), свідчить про розвиток стадії затримки натрію та води [190].</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Класифікація гіпонатріємії за рівнем Na+: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1) легка - 130-134 ммоль/л;</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2) помірна - 125-129 ммоль/л;</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3) важка &lt;125 ммоль/л.</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Доведено, що на сьогоднішній день гіпонатріємія є поширеним явищем серед пацієнтів з ХСН та частотою близько 20,0% у пацієнтів, які госпіталізовані з декомпенсованою серцевою недостатністю. При більш точному аналізі цілого ряду досліджень частота гіпонатріемії при ХСН становить від 8,0 до 28,0%, залежно від вибірки [</w:t>
      </w:r>
      <w:r w:rsidRPr="00F90B6B">
        <w:rPr>
          <w:sz w:val="28"/>
          <w:szCs w:val="28"/>
          <w:lang w:val="ru-RU"/>
        </w:rPr>
        <w:t>30</w:t>
      </w:r>
      <w:r w:rsidRPr="00F90B6B">
        <w:rPr>
          <w:sz w:val="28"/>
          <w:szCs w:val="28"/>
        </w:rPr>
        <w:t xml:space="preserve">, </w:t>
      </w:r>
      <w:r w:rsidRPr="00F90B6B">
        <w:rPr>
          <w:sz w:val="28"/>
          <w:szCs w:val="28"/>
          <w:lang w:val="ru-RU"/>
        </w:rPr>
        <w:t>85</w:t>
      </w:r>
      <w:r w:rsidRPr="00F90B6B">
        <w:rPr>
          <w:sz w:val="28"/>
          <w:szCs w:val="28"/>
        </w:rPr>
        <w:t xml:space="preserve">, </w:t>
      </w:r>
      <w:r w:rsidRPr="00F90B6B">
        <w:rPr>
          <w:sz w:val="28"/>
          <w:szCs w:val="28"/>
          <w:lang w:val="ru-RU"/>
        </w:rPr>
        <w:t>91, 193, 213</w:t>
      </w:r>
      <w:r w:rsidRPr="00F90B6B">
        <w:rPr>
          <w:sz w:val="28"/>
          <w:szCs w:val="28"/>
        </w:rPr>
        <w:t xml:space="preserve">].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Навіть м'яка гіпонатріємія може викликати когнітивні та рухові порушення. Клітинний набряк, пов'язаний з гіпонатріємією, істотно впливає на функціональну здатність міокарда [164]. Окрім того, цей стан вносить суттєві обмеження та корективи щодо оптимального використання рекомендацій Європейського товаритсва кардіологів 2016 року при лікуванні ХСН, включаючи застосування діуретиків та блокаторів системи ренін-ангіотензину [173].</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Актуальним та незрозумілим питанням залишається роль гіпонатріємії в прогресуванні цього стану. Чи це є просто маркер важкості захворювання або даний стан відіграє причинну роль? Патогенетично у хворих з ХСН виявляється істина гіпонатріємія внаслідок декомпенсації та виведення натрію або гіперволемічна гіпонатріємія [31]. Тобто існують дві різні причини гіпонатріємії при гемодинамічній серцевій недостатності.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Пацієнти з серцевою недосттаністю, що мають гіпонатріємію за першим типом, зазвичай, гіповолемічні з абсолютним дефіцитом води, але відносний надлишок загальної кількості води співвідноситься з вмістом натрію в організмі. Ці хворі виснажені внаслідок нераціонального призначення та використання діуретиків, особливо тіазидних, що може сприяти стійкому гіпонатріємічному стану. Однією з </w:t>
      </w:r>
      <w:r w:rsidRPr="00F90B6B">
        <w:rPr>
          <w:sz w:val="28"/>
          <w:szCs w:val="28"/>
        </w:rPr>
        <w:lastRenderedPageBreak/>
        <w:t>ознак є вміст натрію в сечі &lt;20 ммоль/л, незважаючи на використання сечогінних засобів. Основою цієї гіпонатріємії є масивне виведення NaCl діуретичними засобами, якщо споживання солі обмежено з наступним відносним зменшенням об'єму плазми, зменшеним наповненням сердца, а звідси, відповідно до закону Франка-Старлінга, зменшення сили серцевих скорочень [40, 66].</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Можливо, однак, що гіпонатріємія також спричиняє прямий вплив на скорочувальну здатність міокарда. В таких випадках клінічно відзначається погіршення (подальше зменшення) хвилинного об’єму серця, що можна усунути при обережному призначенні NaCl. Тобто, гіпонатріємія в цих випадках дає вірогідно значиму початкову відповідь на введення ізотонічного розчину, проте може швидко посилюватиметься при подальшому застосуванні рідини за рахунок надлишкового синтезу антидіуретичного гормону, що асоційовано з ХСН. Отже, в цьому випадку внутрішньовенні інфузії рекомендується використовувати з обережністю [</w:t>
      </w:r>
      <w:r w:rsidRPr="00F90B6B">
        <w:rPr>
          <w:sz w:val="28"/>
          <w:szCs w:val="28"/>
          <w:lang w:val="ru-RU"/>
        </w:rPr>
        <w:t>214, 215</w:t>
      </w:r>
      <w:r w:rsidRPr="00F90B6B">
        <w:rPr>
          <w:sz w:val="28"/>
          <w:szCs w:val="28"/>
        </w:rPr>
        <w:t xml:space="preserve">].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Другий тип гіпонатріємії при ХСН є гіперволемічним і більш частою проблемою при встановленні діагнозу ХСН. Ця гіпонатріємія є мультифакторіальною, спричинена та розвинена на фоні підвищеного рівня ангіотензину II, на тлі високої симпатичної активності та неадекватно високим рівнем антидіуретичного гормону при зниженому ефективному циркулюючому об'ємі [20, 21].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Тобто даний тип гіпонатріємії спостерігається при важкій гемодинамічній серцевій недостатності на фоні відсутності виведення NaCl. Його вважають результатом переміщення іонів натрію в клітки. Припускається, що натрій, який у фізіологічних умовах повинен активно переводитися з клітини назад до позаклітинної рідини внаслідок його осмотичної регуляції («натрієвий насос») (наприклад, в діастолічну фазу серцевого циклу), затримується в клітинах внаслідок порушень функції «натрієвого насоса», що обумовлено зниженням парціального тиску кисню (внаслідок серцевої недостатності) [189].</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Ще однією причиного даного типу гіпонатріємії у хворих з ХСН може бути недостатність кортизолу (у деяких випадках препарати кортизону володіють гарним </w:t>
      </w:r>
      <w:r w:rsidRPr="00F90B6B">
        <w:rPr>
          <w:sz w:val="28"/>
          <w:szCs w:val="28"/>
        </w:rPr>
        <w:lastRenderedPageBreak/>
        <w:t>терапевтичним ефектом) при серцевій недостатності з підвищеною активністю адіуретину [182].</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Незалежно від причини, зниження рівня натрію сироватки пов'язане з несприятливим прогнозом і є маркером більш важкого перебігу будь-якого захворювання [126, </w:t>
      </w:r>
      <w:r w:rsidRPr="00F90B6B">
        <w:rPr>
          <w:sz w:val="28"/>
          <w:szCs w:val="28"/>
          <w:lang w:val="ru-RU"/>
        </w:rPr>
        <w:t>189</w:t>
      </w:r>
      <w:r w:rsidRPr="00F90B6B">
        <w:rPr>
          <w:sz w:val="28"/>
          <w:szCs w:val="28"/>
        </w:rPr>
        <w:t xml:space="preserve">]. На думку авторів, гіпонатріємія, що виявлена при госпіталізації у зв'язку з декомпенсацією ХСН, асоціюється зі збільшенням терміну перебування в стаціонарі і частотою повторних госпіталізацій [92, 93, 94].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Окрім того, на думку інших дослідників, гіпонатріємія у цього контингенту хворих є предиктором короткострокової та довгострокової смертності, навіть після поправки на показники центральної гемодинаміки та клінічні прояви ХСН [89, 154].</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Таким чином, при стабільному перебізі ХСН так само, як і при її декомпенсації, гіпонатріємія є важливим фактором ризику несприятливого прогнозу. Набагато менше відомо про значення розвитку гіпонатріємії на фоні активної дегідратаційної терапії при декомпенсації ХСН, тобто внутрішньогоспітальної гіпонатріємії [208]. Нарешті, враховуючи загальний патогенез порушення обміну натрію та розвитку гострого кардіоренального синдрому, можна припустити наявність зв'язку між цими ускладненнями в разі декомпенсації [105, 176].</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Вивчаючи причини розвитку гіпонатріємії, за дослідженнями різних авторів встановлено, що гіпонатріємія є наслідком абсолютного або відносного надлишку осмотично незв'язаної (вільної) води в організмі. До надлишку осмотично незв'язаної води призводить підвищена секреція антидіуретичного гормону, аргініну вазопресину в задній долі гіпофіза під впливом осмотичних та неосмотичних стимулів [97, 179, 198].</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Таким чином, у хворих з ХСН та ожирінням гіпонатріємію можна розглядати як одне з проявів нейрогуморальної активації у відповідь на зниження серцевого викиду [188, 190].</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 якості причин гіпонатріємії можна аналізувати як прогресуюче порушення гемодинаміки, так і вплив лікування. Виявилось, що до 90,0% пацієнтів використовують діуретики без консультації з лікарем. Дуже часто використовується </w:t>
      </w:r>
      <w:r w:rsidRPr="00F90B6B">
        <w:rPr>
          <w:rFonts w:ascii="Times New Roman" w:hAnsi="Times New Roman"/>
          <w:sz w:val="28"/>
          <w:szCs w:val="28"/>
        </w:rPr>
        <w:lastRenderedPageBreak/>
        <w:t xml:space="preserve">переривчасте (1-2 рази на тиждень) лікування фуросемідом і гидрохлортиазидом в комбінації </w:t>
      </w:r>
      <w:r w:rsidRPr="00F90B6B">
        <w:rPr>
          <w:rFonts w:ascii="Times New Roman" w:hAnsi="Times New Roman"/>
          <w:sz w:val="28"/>
          <w:szCs w:val="28"/>
          <w:lang w:val="ru-RU"/>
        </w:rPr>
        <w:t>[1].</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На думку інших дослідників, петльові діуретики практично не викликають зниження рівня натрію в крові. Навпаки, їх застосування є основою терапії гіпонатріємії. Тіазиди, навпаки, є однією з частих причин гіпонатріємії [87]. До гіпонатріємії можуть приводити також великі (натрійуретичні) дози спіронолактону. Актуальність даної проблеми зумовлена тим, що значення внутрішньогоспітальної гіпонатріємії до теперішнього часу є також практично не вивчено.</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Продовжуючи аналіз прогностичного значення цього клінічного стану, слід вказати, що у великому когортному дослідженні були розглянуті догоспітальна та госпітальна типи гіпонатріємії та встановлено, що обидва цих стани пов'язані зі збільшенням смертності [218]. Гіпонатріємія є несприятливим прогностичним чинником у пацієнтів з маніфестованою ХСН [94]. Безсимптомна легка та помірна гіпонатріємії раніше вважалися клінічно незначимими, особливо у людей похилого віку. Проте, згідно останніх даних, це твердження є невірним. Гіпонатріємія є важливою проблемою за наявності ХСН, причому у пацієнтів старше 65 років вона зустрічається в 30% випадків [214] та не є асимптоматичною.</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Незважаючи на актуальність даної проблеми, в цьому напрямку останнім часом проводяться лише поодинокі дослідження. Зокрема, в роботі Щекочихіна Д. Ю. та співав. [17, 18], метою роботи було визначення впливу догоспитальної та внутрішньогоспітальної гіпонатріємії на результати госпіталізації у хворих з декомпенсацією ХСН.</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Доведено, що поширеність догоспітальної гіпонатріємії становить 13,0%. [17, 18]. Подібні дані отримано також в інших, більш ранніх дослідженнях, де частота цього стану коливається від 8,0 до 20,0% [85, 192].</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Внутрішньогоспітальна гіпонатріємія, в роботі Щекочихіна Д. Ю. та співав., виявлена у 9,0% пацієнтів.</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Необхідно відмітити, що хворі з ХСН та внутрішньогоспітальною гіпонатріємією являють особливу клінічну групу. До цієї групи входять пацієнти з великою кількістю супутніх захворювань та низькими значеннями ШКФ. В той же </w:t>
      </w:r>
      <w:r w:rsidRPr="00F90B6B">
        <w:rPr>
          <w:sz w:val="28"/>
          <w:szCs w:val="28"/>
        </w:rPr>
        <w:lastRenderedPageBreak/>
        <w:t>час, в цій групі виявляється менше пацієнтів з вираженим набряковим синдромом (анасарка) [56, 57</w:t>
      </w:r>
      <w:r w:rsidRPr="00F90B6B">
        <w:rPr>
          <w:sz w:val="28"/>
          <w:szCs w:val="28"/>
          <w:lang w:val="ru-RU"/>
        </w:rPr>
        <w:t xml:space="preserve">, </w:t>
      </w:r>
      <w:r w:rsidRPr="00F90B6B">
        <w:rPr>
          <w:sz w:val="28"/>
          <w:szCs w:val="28"/>
        </w:rPr>
        <w:t xml:space="preserve">75].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При зіставленні частот летального кінця з порушеннями обміну натрію у хворих виявлені великі значення, як в групі догоспітальної гіпонатріємії, так і в групі внутрішньогоспітальної. Відмічено тенденцію до підвищення смертності у хворих з догоспітальною гіпонатріємією в порівнянні з групою внутрішньогоспітальної гіпонатріємії, що не досягла статистичної значущості [73].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В дослідженні Damman K., при проведенні регресивного аналізу з поправкою на стать, вік та індекс коморбідності виявлено значиме підвищення ризику летального кінця за наявності догоспітальної гіпонатріємії в 7,8 разів. Для внутрішньогоспітальної гіпонатріємії підвищення ризику летального кінця в 3,5 разів не досягло статистичній значущості [56]. Також в роботі </w:t>
      </w:r>
      <w:r w:rsidRPr="00F90B6B">
        <w:rPr>
          <w:sz w:val="28"/>
          <w:szCs w:val="28"/>
          <w:lang w:val="en-US"/>
        </w:rPr>
        <w:t>K</w:t>
      </w:r>
      <w:r w:rsidRPr="00F90B6B">
        <w:rPr>
          <w:sz w:val="28"/>
          <w:szCs w:val="28"/>
        </w:rPr>
        <w:t>. Damman при проведенні логістичного регресивного аналізу виявлено значне підвищення ризику погіршення функції нирок при розвитку внутрішньогоспітальної гіпонатріємії (в 12,4 разів) [57].</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Тобто корекція рівня натрію у пацієнтів з ХСН може сприяти зменшенню загальної та серцево-судинної смертності, асоційованою з гіпонартіємією. Є певна доказова база, що корекція рівня натрію потенціально покращує якість життя.</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Підсумовуючи дані літературного огляду, можна сказати, що гіпонатріємія зі зниженням рівня натрію в сироватці менше 135 ммоль/л - часте порушення електролітного обміну у хворих з ХСН, що є фактором ризику підвищеної смертності, повторних госпіталізацій та погіршення функції нирок у хворих з декомпенсацією ХСН.</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Окрему увагу слід приділити причинам розвитку та клінічним наслідкам гіпонатріємії у цих пацієнтів.</w:t>
      </w:r>
    </w:p>
    <w:p w:rsidR="00EF4063" w:rsidRPr="007F242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br w:type="page"/>
      </w:r>
      <w:r w:rsidRPr="007F242B">
        <w:rPr>
          <w:rFonts w:ascii="Times New Roman" w:hAnsi="Times New Roman"/>
          <w:sz w:val="28"/>
          <w:szCs w:val="28"/>
        </w:rPr>
        <w:lastRenderedPageBreak/>
        <w:t>РОЗДІЛ 2</w:t>
      </w:r>
    </w:p>
    <w:p w:rsidR="00EF4063" w:rsidRPr="007F242B" w:rsidRDefault="00EF4063" w:rsidP="00F0048B">
      <w:pPr>
        <w:spacing w:after="0" w:line="360" w:lineRule="auto"/>
        <w:jc w:val="center"/>
        <w:rPr>
          <w:rFonts w:ascii="Times New Roman" w:hAnsi="Times New Roman"/>
          <w:sz w:val="28"/>
          <w:szCs w:val="28"/>
        </w:rPr>
      </w:pPr>
      <w:r w:rsidRPr="007F242B">
        <w:rPr>
          <w:rFonts w:ascii="Times New Roman" w:hAnsi="Times New Roman"/>
          <w:sz w:val="28"/>
          <w:szCs w:val="28"/>
        </w:rPr>
        <w:t>МАТЕРІАЛИ ТА МЕТОДИ ДОСЛІДЖЕННЯ</w:t>
      </w:r>
    </w:p>
    <w:p w:rsidR="00EF4063" w:rsidRPr="00F90B6B" w:rsidRDefault="00EF4063" w:rsidP="00F0048B">
      <w:pPr>
        <w:spacing w:after="0" w:line="360" w:lineRule="auto"/>
        <w:rPr>
          <w:rFonts w:ascii="Times New Roman" w:hAnsi="Times New Roman"/>
          <w:sz w:val="28"/>
          <w:szCs w:val="28"/>
        </w:rPr>
      </w:pPr>
    </w:p>
    <w:p w:rsidR="00EF4063" w:rsidRPr="00F90B6B" w:rsidRDefault="00EF4063" w:rsidP="00F0048B">
      <w:pPr>
        <w:pStyle w:val="1"/>
        <w:spacing w:after="0" w:line="360" w:lineRule="auto"/>
        <w:ind w:left="0" w:firstLine="709"/>
        <w:jc w:val="both"/>
        <w:rPr>
          <w:rFonts w:ascii="Times New Roman" w:hAnsi="Times New Roman"/>
          <w:b/>
          <w:sz w:val="28"/>
          <w:szCs w:val="28"/>
        </w:rPr>
      </w:pPr>
      <w:r w:rsidRPr="00F90B6B">
        <w:rPr>
          <w:rFonts w:ascii="Times New Roman" w:hAnsi="Times New Roman"/>
          <w:b/>
          <w:sz w:val="28"/>
          <w:szCs w:val="28"/>
        </w:rPr>
        <w:t>2.1. Дизайн дослідження.</w:t>
      </w:r>
    </w:p>
    <w:p w:rsidR="00EF4063" w:rsidRPr="00F90B6B" w:rsidRDefault="00EF4063" w:rsidP="00F0048B">
      <w:pPr>
        <w:pStyle w:val="a6"/>
        <w:spacing w:after="0" w:line="360" w:lineRule="auto"/>
        <w:ind w:left="0" w:firstLine="709"/>
        <w:jc w:val="both"/>
        <w:rPr>
          <w:sz w:val="28"/>
        </w:rPr>
      </w:pPr>
      <w:r w:rsidRPr="00F90B6B">
        <w:rPr>
          <w:sz w:val="28"/>
        </w:rPr>
        <w:t>Дисертаційна робота є аналізом методів анкетування,</w:t>
      </w:r>
      <w:r w:rsidR="00480604" w:rsidRPr="00480604">
        <w:rPr>
          <w:sz w:val="28"/>
        </w:rPr>
        <w:t xml:space="preserve"> </w:t>
      </w:r>
      <w:r w:rsidRPr="00F90B6B">
        <w:rPr>
          <w:sz w:val="28"/>
        </w:rPr>
        <w:t>загольно-клінічних, лабораторних і інструментальних методів дослідження, які проводились на базі відділень ДУ «Національний інститут терапії ім. Л. Т. Малої НАМН України».</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 основу роботи покладені 2 види клінічних спостережень.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Перший вид дослідження включав у себе проспективне клінічне спостереження за 176 особами, з них 146 хворих з </w:t>
      </w:r>
      <w:r w:rsidRPr="00F90B6B">
        <w:rPr>
          <w:rFonts w:ascii="Times New Roman" w:hAnsi="Times New Roman"/>
          <w:sz w:val="28"/>
        </w:rPr>
        <w:t>хронічною серцевою недостатністю</w:t>
      </w:r>
      <w:r w:rsidRPr="00F90B6B">
        <w:rPr>
          <w:rFonts w:ascii="Times New Roman" w:hAnsi="Times New Roman"/>
          <w:sz w:val="28"/>
          <w:szCs w:val="28"/>
        </w:rPr>
        <w:t xml:space="preserve"> та 30 практично здорових осіб. На початку дослідження всім хворим проводились клінічні (детальний збір скарг, анамнезу, ретельне об`єктивне обстеження), функціональні (електрокардіографія, ЕхоКГ), лабораторні (загальноклінічне, біохімічне, аналіз рівня натрію та калію) та імуноферментні дослідження (вміст натрійуретичного пептиду та альдостерону). </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Загальний дизайн дослідження на цьому етапі роботи наведено в табл. 2.1.</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2.1</w:t>
      </w:r>
    </w:p>
    <w:p w:rsidR="00EF4063" w:rsidRPr="00F90B6B" w:rsidRDefault="00EF4063" w:rsidP="00F0048B">
      <w:pPr>
        <w:spacing w:after="0" w:line="360" w:lineRule="auto"/>
        <w:jc w:val="center"/>
        <w:rPr>
          <w:rStyle w:val="FontStyle45"/>
          <w:b/>
          <w:sz w:val="28"/>
          <w:szCs w:val="28"/>
        </w:rPr>
      </w:pPr>
      <w:r w:rsidRPr="00F90B6B">
        <w:rPr>
          <w:rStyle w:val="FontStyle45"/>
          <w:b/>
          <w:sz w:val="28"/>
          <w:szCs w:val="28"/>
        </w:rPr>
        <w:t>Дизайн дослідження (етап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43"/>
        <w:gridCol w:w="3330"/>
        <w:gridCol w:w="3022"/>
      </w:tblGrid>
      <w:tr w:rsidR="00EF4063" w:rsidRPr="00F90B6B" w:rsidTr="00634277">
        <w:tc>
          <w:tcPr>
            <w:tcW w:w="1885"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Обстеження</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1</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2</w:t>
            </w:r>
          </w:p>
        </w:tc>
      </w:tr>
      <w:tr w:rsidR="00EF4063" w:rsidRPr="00F90B6B" w:rsidTr="00634277">
        <w:tc>
          <w:tcPr>
            <w:tcW w:w="1885"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Час</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1-5 день</w:t>
            </w:r>
          </w:p>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(включення в дослідження)</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12 міс.</w:t>
            </w:r>
          </w:p>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(амбулаторне спостереження)</w:t>
            </w:r>
          </w:p>
        </w:tc>
      </w:tr>
      <w:tr w:rsidR="00EF4063" w:rsidRPr="00F90B6B" w:rsidTr="00634277">
        <w:tc>
          <w:tcPr>
            <w:tcW w:w="1885" w:type="pct"/>
            <w:vAlign w:val="center"/>
          </w:tcPr>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Включення/</w:t>
            </w:r>
          </w:p>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виключення</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p>
        </w:tc>
      </w:tr>
      <w:tr w:rsidR="00EF4063" w:rsidRPr="00F90B6B" w:rsidTr="00634277">
        <w:tc>
          <w:tcPr>
            <w:tcW w:w="1885" w:type="pct"/>
            <w:vAlign w:val="center"/>
          </w:tcPr>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Згода пацієнта</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p>
        </w:tc>
      </w:tr>
      <w:tr w:rsidR="00EF4063" w:rsidRPr="00F90B6B" w:rsidTr="00634277">
        <w:tc>
          <w:tcPr>
            <w:tcW w:w="1885" w:type="pct"/>
            <w:vAlign w:val="center"/>
          </w:tcPr>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Клінічне</w:t>
            </w:r>
          </w:p>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обстеження</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r>
      <w:tr w:rsidR="00EF4063" w:rsidRPr="00F90B6B" w:rsidTr="00634277">
        <w:tc>
          <w:tcPr>
            <w:tcW w:w="1885" w:type="pct"/>
            <w:vAlign w:val="center"/>
          </w:tcPr>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Лабораторне дослідження:</w:t>
            </w:r>
          </w:p>
          <w:p w:rsidR="00EF4063" w:rsidRPr="00F90B6B" w:rsidRDefault="00EF4063" w:rsidP="00BC619F">
            <w:pPr>
              <w:pStyle w:val="1"/>
              <w:numPr>
                <w:ilvl w:val="0"/>
                <w:numId w:val="2"/>
              </w:numPr>
              <w:tabs>
                <w:tab w:val="left" w:pos="0"/>
                <w:tab w:val="left" w:pos="318"/>
              </w:tabs>
              <w:spacing w:after="0" w:line="240" w:lineRule="auto"/>
              <w:ind w:left="0" w:firstLine="0"/>
              <w:jc w:val="center"/>
              <w:rPr>
                <w:rStyle w:val="FontStyle45"/>
                <w:sz w:val="28"/>
                <w:szCs w:val="28"/>
              </w:rPr>
            </w:pPr>
            <w:r w:rsidRPr="00F90B6B">
              <w:rPr>
                <w:rStyle w:val="FontStyle45"/>
                <w:sz w:val="28"/>
                <w:szCs w:val="28"/>
              </w:rPr>
              <w:t>натрій, калій;</w:t>
            </w:r>
          </w:p>
          <w:p w:rsidR="00EF4063" w:rsidRPr="00F90B6B" w:rsidRDefault="00EF4063" w:rsidP="00BC619F">
            <w:pPr>
              <w:pStyle w:val="1"/>
              <w:numPr>
                <w:ilvl w:val="0"/>
                <w:numId w:val="2"/>
              </w:numPr>
              <w:tabs>
                <w:tab w:val="left" w:pos="0"/>
                <w:tab w:val="left" w:pos="318"/>
              </w:tabs>
              <w:spacing w:after="0" w:line="240" w:lineRule="auto"/>
              <w:ind w:left="0" w:firstLine="0"/>
              <w:jc w:val="center"/>
              <w:rPr>
                <w:rStyle w:val="FontStyle45"/>
                <w:sz w:val="28"/>
                <w:szCs w:val="28"/>
              </w:rPr>
            </w:pPr>
            <w:r w:rsidRPr="00F90B6B">
              <w:rPr>
                <w:rStyle w:val="FontStyle45"/>
                <w:sz w:val="28"/>
                <w:szCs w:val="28"/>
              </w:rPr>
              <w:t>ліпідограма;</w:t>
            </w:r>
          </w:p>
          <w:p w:rsidR="00EF4063" w:rsidRPr="00F90B6B" w:rsidRDefault="00EF4063" w:rsidP="00BC619F">
            <w:pPr>
              <w:pStyle w:val="1"/>
              <w:numPr>
                <w:ilvl w:val="0"/>
                <w:numId w:val="2"/>
              </w:numPr>
              <w:tabs>
                <w:tab w:val="left" w:pos="0"/>
                <w:tab w:val="left" w:pos="318"/>
              </w:tabs>
              <w:spacing w:after="0" w:line="240" w:lineRule="auto"/>
              <w:ind w:left="0" w:firstLine="0"/>
              <w:jc w:val="center"/>
              <w:rPr>
                <w:rStyle w:val="FontStyle45"/>
                <w:sz w:val="28"/>
                <w:szCs w:val="28"/>
                <w:lang w:eastAsia="ru-RU"/>
              </w:rPr>
            </w:pPr>
            <w:r w:rsidRPr="00F90B6B">
              <w:rPr>
                <w:rStyle w:val="FontStyle45"/>
                <w:sz w:val="28"/>
                <w:szCs w:val="28"/>
              </w:rPr>
              <w:t>коагулограма.</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p>
        </w:tc>
      </w:tr>
      <w:tr w:rsidR="00EF4063" w:rsidRPr="00F90B6B" w:rsidTr="00634277">
        <w:tc>
          <w:tcPr>
            <w:tcW w:w="1885" w:type="pct"/>
            <w:vAlign w:val="center"/>
          </w:tcPr>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Імунологічне дослідження:</w:t>
            </w:r>
          </w:p>
          <w:p w:rsidR="00EF4063" w:rsidRPr="00F90B6B" w:rsidRDefault="00EF4063" w:rsidP="00BC619F">
            <w:pPr>
              <w:pStyle w:val="1"/>
              <w:numPr>
                <w:ilvl w:val="0"/>
                <w:numId w:val="3"/>
              </w:numPr>
              <w:tabs>
                <w:tab w:val="left" w:pos="142"/>
              </w:tabs>
              <w:spacing w:after="0" w:line="240" w:lineRule="auto"/>
              <w:ind w:left="0" w:hanging="108"/>
              <w:jc w:val="center"/>
              <w:rPr>
                <w:rStyle w:val="FontStyle45"/>
                <w:sz w:val="28"/>
                <w:szCs w:val="28"/>
              </w:rPr>
            </w:pPr>
            <w:r w:rsidRPr="00F90B6B">
              <w:rPr>
                <w:rStyle w:val="FontStyle45"/>
                <w:sz w:val="28"/>
                <w:szCs w:val="28"/>
              </w:rPr>
              <w:t>альдостерон;</w:t>
            </w:r>
          </w:p>
          <w:p w:rsidR="00EF4063" w:rsidRPr="00F90B6B" w:rsidRDefault="00EF4063" w:rsidP="00BC619F">
            <w:pPr>
              <w:pStyle w:val="1"/>
              <w:numPr>
                <w:ilvl w:val="0"/>
                <w:numId w:val="3"/>
              </w:numPr>
              <w:tabs>
                <w:tab w:val="left" w:pos="284"/>
              </w:tabs>
              <w:spacing w:after="0" w:line="240" w:lineRule="auto"/>
              <w:ind w:left="0" w:hanging="108"/>
              <w:jc w:val="center"/>
              <w:rPr>
                <w:rStyle w:val="FontStyle45"/>
                <w:sz w:val="28"/>
                <w:szCs w:val="28"/>
                <w:lang w:eastAsia="ru-RU"/>
              </w:rPr>
            </w:pPr>
            <w:r w:rsidRPr="00F90B6B">
              <w:rPr>
                <w:rStyle w:val="FontStyle45"/>
                <w:sz w:val="28"/>
                <w:szCs w:val="28"/>
              </w:rPr>
              <w:t>натрійуретичний пептид.</w:t>
            </w:r>
          </w:p>
        </w:tc>
        <w:tc>
          <w:tcPr>
            <w:tcW w:w="1633" w:type="pct"/>
            <w:vAlign w:val="center"/>
          </w:tcPr>
          <w:p w:rsidR="00265A5E" w:rsidRDefault="00265A5E" w:rsidP="00BC619F">
            <w:pPr>
              <w:spacing w:after="0" w:line="240" w:lineRule="auto"/>
              <w:jc w:val="center"/>
              <w:rPr>
                <w:rStyle w:val="FontStyle45"/>
                <w:b/>
                <w:sz w:val="28"/>
                <w:szCs w:val="28"/>
                <w:lang w:val="ru-RU"/>
              </w:rPr>
            </w:pPr>
          </w:p>
          <w:p w:rsidR="00EF4063" w:rsidRDefault="00EF4063" w:rsidP="00BC619F">
            <w:pPr>
              <w:spacing w:after="0" w:line="240" w:lineRule="auto"/>
              <w:jc w:val="center"/>
              <w:rPr>
                <w:rStyle w:val="FontStyle45"/>
                <w:b/>
                <w:sz w:val="28"/>
                <w:szCs w:val="28"/>
                <w:lang w:val="ru-RU"/>
              </w:rPr>
            </w:pPr>
            <w:r w:rsidRPr="00F90B6B">
              <w:rPr>
                <w:rStyle w:val="FontStyle45"/>
                <w:b/>
                <w:sz w:val="28"/>
                <w:szCs w:val="28"/>
              </w:rPr>
              <w:t>+</w:t>
            </w:r>
          </w:p>
          <w:p w:rsidR="00265A5E" w:rsidRPr="00265A5E" w:rsidRDefault="00265A5E" w:rsidP="00BC619F">
            <w:pPr>
              <w:spacing w:after="0" w:line="240" w:lineRule="auto"/>
              <w:jc w:val="center"/>
              <w:rPr>
                <w:rStyle w:val="FontStyle45"/>
                <w:b/>
                <w:sz w:val="28"/>
                <w:szCs w:val="28"/>
                <w:lang w:val="ru-RU" w:eastAsia="ru-RU"/>
              </w:rPr>
            </w:pPr>
            <w:r>
              <w:rPr>
                <w:rStyle w:val="FontStyle45"/>
                <w:b/>
                <w:sz w:val="28"/>
                <w:szCs w:val="28"/>
                <w:lang w:val="ru-RU"/>
              </w:rPr>
              <w:t>+</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p>
        </w:tc>
      </w:tr>
      <w:tr w:rsidR="00EF4063" w:rsidRPr="00F90B6B" w:rsidTr="00634277">
        <w:tc>
          <w:tcPr>
            <w:tcW w:w="1885" w:type="pct"/>
            <w:vAlign w:val="center"/>
          </w:tcPr>
          <w:p w:rsidR="00EF4063" w:rsidRPr="00F90B6B" w:rsidRDefault="00EF4063" w:rsidP="00BC619F">
            <w:pPr>
              <w:spacing w:after="0" w:line="240" w:lineRule="auto"/>
              <w:jc w:val="center"/>
              <w:rPr>
                <w:rStyle w:val="FontStyle45"/>
                <w:sz w:val="28"/>
                <w:szCs w:val="28"/>
                <w:lang w:eastAsia="ru-RU"/>
              </w:rPr>
            </w:pPr>
            <w:r w:rsidRPr="00F90B6B">
              <w:rPr>
                <w:rStyle w:val="FontStyle45"/>
                <w:sz w:val="28"/>
                <w:szCs w:val="28"/>
              </w:rPr>
              <w:t>ЕхоКГ</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p>
        </w:tc>
      </w:tr>
    </w:tbl>
    <w:p w:rsidR="00EF4063" w:rsidRPr="00F90B6B" w:rsidRDefault="00EF4063" w:rsidP="00BC619F">
      <w:pPr>
        <w:jc w:val="right"/>
        <w:rPr>
          <w:rFonts w:ascii="Times New Roman" w:hAnsi="Times New Roman"/>
          <w:i/>
          <w:sz w:val="28"/>
          <w:szCs w:val="28"/>
          <w:lang w:val="ru-RU"/>
        </w:rPr>
      </w:pPr>
      <w:r w:rsidRPr="00F90B6B">
        <w:rPr>
          <w:rFonts w:ascii="Times New Roman" w:hAnsi="Times New Roman"/>
        </w:rPr>
        <w:br w:type="page"/>
      </w:r>
      <w:r w:rsidRPr="00F90B6B">
        <w:rPr>
          <w:rFonts w:ascii="Times New Roman" w:hAnsi="Times New Roman"/>
          <w:i/>
          <w:sz w:val="28"/>
          <w:szCs w:val="28"/>
        </w:rPr>
        <w:lastRenderedPageBreak/>
        <w:t xml:space="preserve">Продовження табл. </w:t>
      </w:r>
      <w:r w:rsidRPr="00F90B6B">
        <w:rPr>
          <w:rFonts w:ascii="Times New Roman" w:hAnsi="Times New Roman"/>
          <w:i/>
          <w:sz w:val="28"/>
          <w:szCs w:val="28"/>
          <w:lang w:val="ru-RU"/>
        </w:rPr>
        <w:t>2.1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43"/>
        <w:gridCol w:w="3330"/>
        <w:gridCol w:w="3022"/>
      </w:tblGrid>
      <w:tr w:rsidR="00EF4063" w:rsidRPr="00F90B6B" w:rsidTr="00634277">
        <w:tc>
          <w:tcPr>
            <w:tcW w:w="1885" w:type="pct"/>
            <w:vAlign w:val="center"/>
          </w:tcPr>
          <w:p w:rsidR="00EF4063" w:rsidRPr="00F90B6B" w:rsidRDefault="00EF4063" w:rsidP="00BC619F">
            <w:pPr>
              <w:spacing w:after="0" w:line="240" w:lineRule="auto"/>
              <w:jc w:val="center"/>
              <w:rPr>
                <w:rStyle w:val="FontStyle45"/>
                <w:i/>
                <w:sz w:val="28"/>
                <w:szCs w:val="28"/>
                <w:lang w:eastAsia="ru-RU"/>
              </w:rPr>
            </w:pPr>
            <w:r w:rsidRPr="00F90B6B">
              <w:rPr>
                <w:rStyle w:val="FontStyle45"/>
                <w:i/>
                <w:sz w:val="28"/>
                <w:szCs w:val="28"/>
              </w:rPr>
              <w:t>Клінічні наслідки</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r>
      <w:tr w:rsidR="00EF4063" w:rsidRPr="00F90B6B" w:rsidTr="00634277">
        <w:tc>
          <w:tcPr>
            <w:tcW w:w="1885" w:type="pct"/>
            <w:vAlign w:val="center"/>
          </w:tcPr>
          <w:p w:rsidR="00EF4063" w:rsidRPr="00F90B6B" w:rsidRDefault="00EF4063" w:rsidP="00BC619F">
            <w:pPr>
              <w:pStyle w:val="1"/>
              <w:numPr>
                <w:ilvl w:val="0"/>
                <w:numId w:val="4"/>
              </w:numPr>
              <w:tabs>
                <w:tab w:val="left" w:pos="284"/>
              </w:tabs>
              <w:spacing w:after="0" w:line="240" w:lineRule="auto"/>
              <w:ind w:left="0" w:firstLine="0"/>
              <w:jc w:val="center"/>
              <w:rPr>
                <w:rFonts w:ascii="Times New Roman" w:hAnsi="Times New Roman"/>
                <w:sz w:val="28"/>
                <w:szCs w:val="28"/>
                <w:lang w:eastAsia="ru-RU"/>
              </w:rPr>
            </w:pPr>
            <w:r w:rsidRPr="00F90B6B">
              <w:rPr>
                <w:rFonts w:ascii="Times New Roman" w:hAnsi="Times New Roman"/>
                <w:sz w:val="28"/>
                <w:szCs w:val="28"/>
              </w:rPr>
              <w:t>загальна кардіальна смертність</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r>
      <w:tr w:rsidR="00EF4063" w:rsidRPr="00F90B6B" w:rsidTr="00634277">
        <w:tc>
          <w:tcPr>
            <w:tcW w:w="1885" w:type="pct"/>
            <w:vAlign w:val="center"/>
          </w:tcPr>
          <w:p w:rsidR="00EF4063" w:rsidRPr="00F90B6B" w:rsidRDefault="00EF4063" w:rsidP="00BC619F">
            <w:pPr>
              <w:pStyle w:val="1"/>
              <w:numPr>
                <w:ilvl w:val="0"/>
                <w:numId w:val="4"/>
              </w:numPr>
              <w:tabs>
                <w:tab w:val="left" w:pos="284"/>
              </w:tabs>
              <w:spacing w:after="0" w:line="240" w:lineRule="auto"/>
              <w:ind w:left="0" w:firstLine="0"/>
              <w:jc w:val="center"/>
              <w:rPr>
                <w:rFonts w:ascii="Times New Roman" w:hAnsi="Times New Roman"/>
                <w:sz w:val="28"/>
                <w:szCs w:val="28"/>
                <w:lang w:eastAsia="ru-RU"/>
              </w:rPr>
            </w:pPr>
            <w:r w:rsidRPr="00F90B6B">
              <w:rPr>
                <w:rFonts w:ascii="Times New Roman" w:hAnsi="Times New Roman"/>
                <w:sz w:val="28"/>
                <w:szCs w:val="28"/>
              </w:rPr>
              <w:t>нефатальний ІМ</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r>
      <w:tr w:rsidR="00EF4063" w:rsidRPr="00F90B6B" w:rsidTr="00634277">
        <w:tc>
          <w:tcPr>
            <w:tcW w:w="1885" w:type="pct"/>
            <w:vAlign w:val="center"/>
          </w:tcPr>
          <w:p w:rsidR="00EF4063" w:rsidRPr="00F90B6B" w:rsidRDefault="00EF4063" w:rsidP="00BC619F">
            <w:pPr>
              <w:pStyle w:val="1"/>
              <w:numPr>
                <w:ilvl w:val="0"/>
                <w:numId w:val="4"/>
              </w:numPr>
              <w:tabs>
                <w:tab w:val="left" w:pos="284"/>
              </w:tabs>
              <w:spacing w:after="0" w:line="240" w:lineRule="auto"/>
              <w:ind w:left="0" w:firstLine="0"/>
              <w:jc w:val="center"/>
              <w:rPr>
                <w:rFonts w:ascii="Times New Roman" w:hAnsi="Times New Roman"/>
                <w:sz w:val="28"/>
                <w:szCs w:val="28"/>
                <w:lang w:eastAsia="ru-RU"/>
              </w:rPr>
            </w:pPr>
            <w:r w:rsidRPr="00F90B6B">
              <w:rPr>
                <w:rFonts w:ascii="Times New Roman" w:hAnsi="Times New Roman"/>
                <w:sz w:val="28"/>
                <w:szCs w:val="28"/>
              </w:rPr>
              <w:t>зміна функціонального класу ХСН</w:t>
            </w:r>
          </w:p>
        </w:tc>
        <w:tc>
          <w:tcPr>
            <w:tcW w:w="1633" w:type="pct"/>
            <w:vAlign w:val="center"/>
          </w:tcPr>
          <w:p w:rsidR="00EF4063" w:rsidRPr="00F90B6B" w:rsidRDefault="00EF4063" w:rsidP="00BC619F">
            <w:pPr>
              <w:spacing w:after="0" w:line="240" w:lineRule="auto"/>
              <w:jc w:val="center"/>
              <w:rPr>
                <w:rStyle w:val="FontStyle45"/>
                <w:b/>
                <w:sz w:val="28"/>
                <w:szCs w:val="28"/>
                <w:lang w:eastAsia="ru-RU"/>
              </w:rPr>
            </w:pPr>
          </w:p>
        </w:tc>
        <w:tc>
          <w:tcPr>
            <w:tcW w:w="1482" w:type="pct"/>
            <w:vAlign w:val="center"/>
          </w:tcPr>
          <w:p w:rsidR="00EF4063" w:rsidRPr="00F90B6B" w:rsidRDefault="00EF4063" w:rsidP="00BC619F">
            <w:pPr>
              <w:spacing w:after="0" w:line="240" w:lineRule="auto"/>
              <w:jc w:val="center"/>
              <w:rPr>
                <w:rStyle w:val="FontStyle45"/>
                <w:b/>
                <w:sz w:val="28"/>
                <w:szCs w:val="28"/>
                <w:lang w:eastAsia="ru-RU"/>
              </w:rPr>
            </w:pPr>
            <w:r w:rsidRPr="00F90B6B">
              <w:rPr>
                <w:rStyle w:val="FontStyle45"/>
                <w:b/>
                <w:sz w:val="28"/>
                <w:szCs w:val="28"/>
              </w:rPr>
              <w:t>+</w:t>
            </w:r>
          </w:p>
        </w:tc>
      </w:tr>
    </w:tbl>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rPr>
        <w:t xml:space="preserve">Другий вид дослідження – ретроспективний, який проводився шляхом аналізу лікування 217 історій хвороб пацієнтів з  хронічною серцевою недостатністю, що впродовж 2010 - 2015 років знаходились на стаціонарному лікуванні в ДУ «Національному інституті терапії ім. Л. Т. Малої НАМН України» (м. Харків) з метою оцінки клінічних наслідків перебігу та взаємообтяження хронічної серцевої недостатності, ожиріння, а також ролі гіпонатріємії.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Усі параметри, що вивчалися, були внесені до статистичної бази даних зі збереженням принципу конфіденційності персональних даних пацієнтів. </w:t>
      </w:r>
    </w:p>
    <w:p w:rsidR="00EF4063" w:rsidRPr="00F90B6B" w:rsidRDefault="00EF4063" w:rsidP="00F0048B">
      <w:pPr>
        <w:tabs>
          <w:tab w:val="left" w:pos="0"/>
        </w:tabs>
        <w:spacing w:after="0" w:line="360" w:lineRule="auto"/>
        <w:ind w:firstLine="567"/>
        <w:jc w:val="both"/>
        <w:rPr>
          <w:rFonts w:ascii="Times New Roman" w:hAnsi="Times New Roman"/>
          <w:sz w:val="28"/>
          <w:szCs w:val="28"/>
          <w:lang w:val="ru-RU"/>
        </w:rPr>
      </w:pPr>
      <w:r w:rsidRPr="00F90B6B">
        <w:rPr>
          <w:rFonts w:ascii="Times New Roman" w:hAnsi="Times New Roman"/>
          <w:sz w:val="28"/>
          <w:szCs w:val="28"/>
        </w:rPr>
        <w:t>Всім пацієнтам проводили обов’язкові скринінгові методи дослідження. Верифікацію хронічної серцевої недостатності та визначення функціонального класу проводили з використанням критеріїв, рекомендованих Європейським товариством кардіологів в 2016 році [173</w:t>
      </w:r>
      <w:r w:rsidRPr="00F90B6B">
        <w:rPr>
          <w:rFonts w:ascii="Times New Roman" w:hAnsi="Times New Roman"/>
          <w:sz w:val="28"/>
          <w:szCs w:val="28"/>
          <w:lang w:val="ru-RU"/>
        </w:rPr>
        <w:t xml:space="preserve">]. </w:t>
      </w:r>
    </w:p>
    <w:p w:rsidR="00EF4063" w:rsidRPr="00F90B6B" w:rsidRDefault="00EF4063" w:rsidP="00F0048B">
      <w:pPr>
        <w:spacing w:after="0" w:line="360" w:lineRule="auto"/>
        <w:rPr>
          <w:rFonts w:ascii="Times New Roman" w:hAnsi="Times New Roman"/>
          <w:sz w:val="28"/>
          <w:szCs w:val="28"/>
          <w:lang w:val="ru-RU"/>
        </w:rPr>
      </w:pPr>
    </w:p>
    <w:p w:rsidR="00EF4063" w:rsidRPr="00F90B6B" w:rsidRDefault="00EF4063" w:rsidP="00F0048B">
      <w:pPr>
        <w:tabs>
          <w:tab w:val="left" w:pos="0"/>
        </w:tabs>
        <w:spacing w:after="0" w:line="360" w:lineRule="auto"/>
        <w:ind w:firstLine="567"/>
        <w:jc w:val="both"/>
        <w:rPr>
          <w:rFonts w:ascii="Times New Roman" w:hAnsi="Times New Roman"/>
          <w:sz w:val="28"/>
          <w:szCs w:val="28"/>
          <w:lang w:val="ru-RU"/>
        </w:rPr>
      </w:pPr>
    </w:p>
    <w:p w:rsidR="00EF4063" w:rsidRPr="00F90B6B" w:rsidRDefault="00EF4063" w:rsidP="00F0048B">
      <w:pPr>
        <w:tabs>
          <w:tab w:val="left" w:pos="0"/>
        </w:tabs>
        <w:spacing w:after="0" w:line="360" w:lineRule="auto"/>
        <w:ind w:firstLine="567"/>
        <w:jc w:val="both"/>
        <w:rPr>
          <w:rFonts w:ascii="Times New Roman" w:hAnsi="Times New Roman"/>
          <w:b/>
          <w:sz w:val="28"/>
          <w:szCs w:val="28"/>
          <w:highlight w:val="yellow"/>
        </w:rPr>
      </w:pPr>
      <w:r w:rsidRPr="00F90B6B">
        <w:rPr>
          <w:rFonts w:ascii="Times New Roman" w:hAnsi="Times New Roman"/>
          <w:b/>
          <w:sz w:val="28"/>
          <w:szCs w:val="28"/>
          <w:lang w:val="ru-RU"/>
        </w:rPr>
        <w:t>2</w:t>
      </w:r>
      <w:r w:rsidRPr="00F90B6B">
        <w:rPr>
          <w:rFonts w:ascii="Times New Roman" w:hAnsi="Times New Roman"/>
          <w:b/>
          <w:sz w:val="28"/>
          <w:szCs w:val="28"/>
        </w:rPr>
        <w:t>.2. Клінічна характеристика обстежених хворих.</w:t>
      </w:r>
    </w:p>
    <w:p w:rsidR="00EF4063" w:rsidRPr="00F90B6B" w:rsidRDefault="00EF4063" w:rsidP="00BC619F">
      <w:pPr>
        <w:tabs>
          <w:tab w:val="left" w:pos="0"/>
        </w:tabs>
        <w:spacing w:after="0" w:line="360" w:lineRule="auto"/>
        <w:ind w:firstLine="567"/>
        <w:jc w:val="both"/>
        <w:rPr>
          <w:rFonts w:ascii="Times New Roman" w:hAnsi="Times New Roman"/>
          <w:sz w:val="28"/>
          <w:szCs w:val="28"/>
          <w:lang w:val="ru-RU"/>
        </w:rPr>
      </w:pPr>
      <w:r w:rsidRPr="00F90B6B">
        <w:rPr>
          <w:rFonts w:ascii="Times New Roman" w:hAnsi="Times New Roman"/>
          <w:sz w:val="28"/>
          <w:szCs w:val="28"/>
        </w:rPr>
        <w:t xml:space="preserve">За результатами клінічного спостереження, характером перебігу, даними клініко-функціональних та лабораторних обстежень хворі, що були включені в проспективне дослідження, були розподілені на наступні групи, рис. 2.1. </w:t>
      </w:r>
    </w:p>
    <w:p w:rsidR="00EF4063" w:rsidRPr="00F90B6B" w:rsidRDefault="00EF4063" w:rsidP="00BC619F">
      <w:pPr>
        <w:tabs>
          <w:tab w:val="left" w:pos="0"/>
        </w:tabs>
        <w:spacing w:after="0" w:line="360" w:lineRule="auto"/>
        <w:ind w:firstLine="567"/>
        <w:jc w:val="both"/>
        <w:rPr>
          <w:rFonts w:ascii="Times New Roman" w:hAnsi="Times New Roman"/>
          <w:sz w:val="28"/>
          <w:szCs w:val="28"/>
        </w:rPr>
      </w:pPr>
      <w:r w:rsidRPr="00F90B6B">
        <w:rPr>
          <w:rFonts w:ascii="Times New Roman" w:hAnsi="Times New Roman"/>
          <w:sz w:val="28"/>
          <w:szCs w:val="28"/>
        </w:rPr>
        <w:t xml:space="preserve">Верифікацію хронічної серцевої недостатності та визначення функціонального класу проводили з використанням критеріїв, рекомендованих Європейським товариством кардіологів в 2016 році [173] на основі типових клінічних симптомів - задишка, пастозність нижніх кінцівок, втома, зниження фізичної активності після виключення інших станів, що супроводжуються подібною симптоматикою та верифікації параметрів, що характеризують роботу лівого шлуночка за рахунок </w:t>
      </w:r>
      <w:r w:rsidRPr="00F90B6B">
        <w:rPr>
          <w:rFonts w:ascii="Times New Roman" w:hAnsi="Times New Roman"/>
          <w:sz w:val="28"/>
          <w:szCs w:val="28"/>
        </w:rPr>
        <w:lastRenderedPageBreak/>
        <w:t>додаткових методів. Збереженою фракцією викиду лівого шлуночка вважався показник більше 50,0%.</w:t>
      </w:r>
    </w:p>
    <w:p w:rsidR="00EF4063" w:rsidRPr="00F90B6B" w:rsidRDefault="00EF4063" w:rsidP="00F0048B">
      <w:pPr>
        <w:spacing w:after="0" w:line="360" w:lineRule="auto"/>
        <w:ind w:firstLine="708"/>
        <w:jc w:val="both"/>
        <w:rPr>
          <w:rFonts w:ascii="Times New Roman" w:hAnsi="Times New Roman"/>
          <w:sz w:val="28"/>
          <w:szCs w:val="28"/>
        </w:rPr>
      </w:pPr>
    </w:p>
    <w:p w:rsidR="00EF4063" w:rsidRPr="00F90B6B" w:rsidRDefault="006F7754" w:rsidP="00F0048B">
      <w:pPr>
        <w:spacing w:after="0" w:line="360" w:lineRule="auto"/>
        <w:ind w:firstLine="708"/>
        <w:jc w:val="both"/>
        <w:rPr>
          <w:rFonts w:ascii="Times New Roman" w:hAnsi="Times New Roman"/>
          <w:sz w:val="28"/>
          <w:szCs w:val="28"/>
        </w:rPr>
      </w:pPr>
      <w:r w:rsidRPr="00BD2F09">
        <w:rPr>
          <w:rFonts w:ascii="Times New Roman" w:hAnsi="Times New Roman"/>
          <w:noProof/>
          <w:sz w:val="24"/>
          <w:szCs w:val="24"/>
          <w:lang w:val="ru-RU" w:eastAsia="ru-RU"/>
        </w:rPr>
        <w:drawing>
          <wp:inline distT="0" distB="0" distL="0" distR="0">
            <wp:extent cx="5543550" cy="2676525"/>
            <wp:effectExtent l="0" t="0" r="0" b="0"/>
            <wp:docPr id="152"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b/>
          <w:sz w:val="28"/>
          <w:szCs w:val="28"/>
        </w:rPr>
        <w:t xml:space="preserve">Рис. 2.1. </w:t>
      </w:r>
      <w:r w:rsidRPr="00F90B6B">
        <w:rPr>
          <w:rFonts w:ascii="Times New Roman" w:hAnsi="Times New Roman"/>
          <w:sz w:val="28"/>
          <w:szCs w:val="28"/>
        </w:rPr>
        <w:t>Співвідношення груп хворих, включених в дослідження.</w:t>
      </w:r>
    </w:p>
    <w:p w:rsidR="00EF4063" w:rsidRPr="00F90B6B" w:rsidRDefault="00EF4063" w:rsidP="00F0048B">
      <w:pPr>
        <w:spacing w:after="0" w:line="360" w:lineRule="auto"/>
        <w:ind w:firstLine="708"/>
        <w:jc w:val="both"/>
        <w:rPr>
          <w:rFonts w:ascii="Times New Roman" w:hAnsi="Times New Roman"/>
          <w:sz w:val="28"/>
          <w:szCs w:val="28"/>
          <w:lang w:val="ru-RU"/>
        </w:rPr>
      </w:pP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Для оцінки нормальної, надлишкової ваги тіла або ожиріння використовувався індекс маси тіла (ІМТ) та критерії, розроблені Міжнародною групою з ожиріння (IOTF WHO): нормальна маса – ІМТ 18,5-24,9 кг/м²; надлишкова маса тіла - ІМТ 25,0-29,9 кг/м²; ожиріння верифікувалось при ІМТ 30,0 кг/м² або більше.</w:t>
      </w:r>
    </w:p>
    <w:p w:rsidR="00EF4063" w:rsidRPr="00F90B6B" w:rsidRDefault="00EF4063" w:rsidP="00F0048B">
      <w:pPr>
        <w:spacing w:after="0" w:line="360" w:lineRule="auto"/>
        <w:ind w:firstLine="708"/>
        <w:jc w:val="both"/>
        <w:rPr>
          <w:rFonts w:ascii="Times New Roman" w:hAnsi="Times New Roman"/>
          <w:sz w:val="28"/>
          <w:szCs w:val="28"/>
          <w:lang w:val="ru-RU"/>
        </w:rPr>
      </w:pPr>
      <w:r w:rsidRPr="00F90B6B">
        <w:rPr>
          <w:rFonts w:ascii="Times New Roman" w:hAnsi="Times New Roman"/>
          <w:sz w:val="28"/>
          <w:szCs w:val="28"/>
        </w:rPr>
        <w:t xml:space="preserve">Таким чином, до групи </w:t>
      </w:r>
      <w:r w:rsidRPr="00F90B6B">
        <w:rPr>
          <w:rFonts w:ascii="Times New Roman" w:hAnsi="Times New Roman"/>
          <w:sz w:val="28"/>
          <w:szCs w:val="28"/>
          <w:lang w:val="ru-RU"/>
        </w:rPr>
        <w:t xml:space="preserve">(група 1) </w:t>
      </w:r>
      <w:r w:rsidRPr="00F90B6B">
        <w:rPr>
          <w:rFonts w:ascii="Times New Roman" w:hAnsi="Times New Roman"/>
          <w:sz w:val="28"/>
          <w:szCs w:val="28"/>
        </w:rPr>
        <w:t>з ХСН</w:t>
      </w:r>
      <w:r w:rsidRPr="00F90B6B">
        <w:rPr>
          <w:rFonts w:ascii="Times New Roman" w:hAnsi="Times New Roman"/>
          <w:sz w:val="28"/>
          <w:szCs w:val="28"/>
          <w:lang w:val="ru-RU"/>
        </w:rPr>
        <w:t xml:space="preserve"> з</w:t>
      </w:r>
      <w:r w:rsidRPr="00F90B6B">
        <w:rPr>
          <w:rFonts w:ascii="Times New Roman" w:hAnsi="Times New Roman"/>
          <w:sz w:val="28"/>
          <w:szCs w:val="28"/>
        </w:rPr>
        <w:t>і ЗФВЛШ та нормальною вагою було включено 40</w:t>
      </w:r>
      <w:r w:rsidRPr="00F90B6B">
        <w:rPr>
          <w:rFonts w:ascii="Times New Roman" w:hAnsi="Times New Roman"/>
          <w:sz w:val="28"/>
          <w:szCs w:val="28"/>
          <w:lang w:val="ru-RU"/>
        </w:rPr>
        <w:t xml:space="preserve"> чол. (27,4%), до групи з ХСН зі ЗФВЛШ та надлишковою вагою – 35 чол. (24,0%), з ХСН зі ЗФВЛШ та ожирінням – 71 чол. (48,6%).</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Критеріями включення в дослідження було: верифікована ХСН зі збереженою фракцією лівого шлуночка (ЗФЛШ);</w:t>
      </w:r>
      <w:r w:rsidRPr="00F90B6B">
        <w:rPr>
          <w:rFonts w:ascii="Times New Roman" w:hAnsi="Times New Roman"/>
          <w:sz w:val="28"/>
          <w:szCs w:val="28"/>
          <w:lang w:val="ru-RU"/>
        </w:rPr>
        <w:t xml:space="preserve"> </w:t>
      </w:r>
      <w:r w:rsidRPr="00F90B6B">
        <w:rPr>
          <w:rFonts w:ascii="Times New Roman" w:hAnsi="Times New Roman"/>
          <w:sz w:val="28"/>
          <w:szCs w:val="28"/>
        </w:rPr>
        <w:t>II та III функціональний клас за NYHA;</w:t>
      </w:r>
      <w:r w:rsidRPr="00F90B6B">
        <w:rPr>
          <w:rFonts w:ascii="Times New Roman" w:hAnsi="Times New Roman"/>
          <w:sz w:val="28"/>
          <w:szCs w:val="28"/>
          <w:lang w:val="ru-RU"/>
        </w:rPr>
        <w:t xml:space="preserve"> </w:t>
      </w:r>
      <w:r w:rsidRPr="00F90B6B">
        <w:rPr>
          <w:rFonts w:ascii="Times New Roman" w:hAnsi="Times New Roman"/>
          <w:sz w:val="28"/>
          <w:szCs w:val="28"/>
        </w:rPr>
        <w:t>вік пацієнтів від 39 років та старше;</w:t>
      </w:r>
      <w:r w:rsidRPr="00F90B6B">
        <w:rPr>
          <w:rFonts w:ascii="Times New Roman" w:hAnsi="Times New Roman"/>
          <w:sz w:val="28"/>
          <w:szCs w:val="28"/>
          <w:lang w:val="ru-RU"/>
        </w:rPr>
        <w:t xml:space="preserve"> </w:t>
      </w:r>
      <w:r w:rsidRPr="00F90B6B">
        <w:rPr>
          <w:rFonts w:ascii="Times New Roman" w:hAnsi="Times New Roman"/>
          <w:sz w:val="28"/>
          <w:szCs w:val="28"/>
        </w:rPr>
        <w:t xml:space="preserve">наявність інформованої згоди пацієнта. </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Критеріями виключення були: не підписання інформованої згоди; наявність онкологічних захворювань; наявність гострого інфаркту міокарду або гострого коронарного синдрому на момент дослідження; зловживання алкоголем або наркотиками в анамнезі; важкі ураження центральної нервової системи; наявність набутих вад серця; запальні ушкодження суглобів; хронічне обструктивне захворювання легень; анемія середнього та важкого ступенів; захворювання нирок; </w:t>
      </w:r>
      <w:r w:rsidRPr="00F90B6B">
        <w:rPr>
          <w:rFonts w:ascii="Times New Roman" w:hAnsi="Times New Roman"/>
          <w:sz w:val="28"/>
          <w:szCs w:val="28"/>
        </w:rPr>
        <w:lastRenderedPageBreak/>
        <w:t>системні захворювання сполучної тканини; неможливість виконувати процедури дослідження.</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Розподіл пацієнтів на групи проводився залежно від індексу маси тіла (ІМТ), який був розрахований за формулою:</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i/>
          <w:sz w:val="28"/>
          <w:szCs w:val="28"/>
        </w:rPr>
        <w:t>ІМТ=</w:t>
      </w:r>
      <w:r w:rsidRPr="00F90B6B">
        <w:rPr>
          <w:rFonts w:ascii="Times New Roman" w:hAnsi="Times New Roman"/>
          <w:i/>
          <w:sz w:val="28"/>
          <w:szCs w:val="28"/>
          <w:lang w:val="en-US"/>
        </w:rPr>
        <w:t>m</w:t>
      </w:r>
      <w:r w:rsidRPr="00F90B6B">
        <w:rPr>
          <w:rFonts w:ascii="Times New Roman" w:hAnsi="Times New Roman"/>
          <w:i/>
          <w:sz w:val="28"/>
          <w:szCs w:val="28"/>
          <w:lang w:val="ru-RU"/>
        </w:rPr>
        <w:t>/</w:t>
      </w:r>
      <w:r w:rsidRPr="00F90B6B">
        <w:rPr>
          <w:rFonts w:ascii="Times New Roman" w:hAnsi="Times New Roman"/>
          <w:i/>
          <w:sz w:val="28"/>
          <w:szCs w:val="28"/>
          <w:lang w:val="en-US"/>
        </w:rPr>
        <w:t>h</w:t>
      </w:r>
      <w:r w:rsidRPr="00F90B6B">
        <w:rPr>
          <w:rFonts w:ascii="Times New Roman" w:hAnsi="Times New Roman"/>
          <w:i/>
          <w:sz w:val="28"/>
          <w:szCs w:val="28"/>
          <w:vertAlign w:val="superscript"/>
          <w:lang w:val="ru-RU"/>
        </w:rPr>
        <w:t>2</w:t>
      </w:r>
      <w:r w:rsidRPr="00F90B6B">
        <w:rPr>
          <w:rFonts w:ascii="Times New Roman" w:hAnsi="Times New Roman"/>
          <w:i/>
          <w:sz w:val="28"/>
          <w:szCs w:val="28"/>
        </w:rPr>
        <w:t xml:space="preserve">, </w:t>
      </w:r>
      <w:r w:rsidRPr="00F90B6B">
        <w:rPr>
          <w:rFonts w:ascii="Times New Roman" w:hAnsi="Times New Roman"/>
          <w:sz w:val="28"/>
          <w:szCs w:val="28"/>
        </w:rPr>
        <w:t xml:space="preserve">де </w:t>
      </w:r>
    </w:p>
    <w:p w:rsidR="00EF4063" w:rsidRPr="00F90B6B" w:rsidRDefault="00EF4063" w:rsidP="00F0048B">
      <w:pPr>
        <w:spacing w:after="0" w:line="360" w:lineRule="auto"/>
        <w:ind w:firstLine="708"/>
        <w:jc w:val="both"/>
        <w:rPr>
          <w:rFonts w:ascii="Times New Roman" w:hAnsi="Times New Roman"/>
          <w:sz w:val="28"/>
          <w:szCs w:val="28"/>
          <w:lang w:val="ru-RU"/>
        </w:rPr>
      </w:pPr>
      <w:r w:rsidRPr="00F90B6B">
        <w:rPr>
          <w:rFonts w:ascii="Times New Roman" w:hAnsi="Times New Roman"/>
          <w:sz w:val="28"/>
          <w:szCs w:val="28"/>
        </w:rPr>
        <w:t xml:space="preserve">m - маса тіла в кілограмах; </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h – ріст в метрах.</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Контрольна група складалась з </w:t>
      </w:r>
      <w:r w:rsidRPr="00F90B6B">
        <w:rPr>
          <w:rFonts w:ascii="Times New Roman" w:hAnsi="Times New Roman"/>
          <w:sz w:val="28"/>
          <w:szCs w:val="28"/>
          <w:lang w:val="ru-RU"/>
        </w:rPr>
        <w:t>30 осіб</w:t>
      </w:r>
      <w:r w:rsidRPr="00F90B6B">
        <w:rPr>
          <w:rFonts w:ascii="Times New Roman" w:hAnsi="Times New Roman"/>
          <w:sz w:val="28"/>
          <w:szCs w:val="28"/>
        </w:rPr>
        <w:t>, які не відрізнялися за віковим та статевим розподілом від основної групи.</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Функціональний клас пацієнтів, визначався за тестом з 6-хвилинною ходою. Число хворих, що долали від 425 до 500 м та віднесених до ХСН I функціонального класу було 14,4% (21 чол.), від 300 до 425 м та віднесених до ХСН II функціонального класу – 61,6% (90 чол.), від 150 до 300 м та віднесених до ХСН III функціонального класу – 24,0% (35 чол.), рис. 2.2.</w:t>
      </w:r>
    </w:p>
    <w:p w:rsidR="00EF4063" w:rsidRPr="00F90B6B" w:rsidRDefault="00EF4063" w:rsidP="00F0048B">
      <w:pPr>
        <w:spacing w:after="0" w:line="360" w:lineRule="auto"/>
        <w:ind w:firstLine="708"/>
        <w:jc w:val="both"/>
        <w:rPr>
          <w:rFonts w:ascii="Times New Roman" w:hAnsi="Times New Roman"/>
          <w:sz w:val="28"/>
          <w:szCs w:val="28"/>
          <w:lang w:val="ru-RU"/>
        </w:rPr>
      </w:pPr>
      <w:r w:rsidRPr="00F90B6B">
        <w:rPr>
          <w:rFonts w:ascii="Times New Roman" w:hAnsi="Times New Roman"/>
          <w:sz w:val="28"/>
          <w:szCs w:val="28"/>
        </w:rPr>
        <w:t>Згідно гендерного розподілу серед 146 пацієнтів було 114 жінок (78,0%) та 62 чоловіки (22,0%). Середній вік обстежених становив 62,0±12,3 років, з недостовірною різницею (р</w:t>
      </w:r>
      <w:r w:rsidRPr="00F90B6B">
        <w:rPr>
          <w:rFonts w:ascii="Times New Roman" w:hAnsi="Times New Roman"/>
          <w:sz w:val="28"/>
          <w:szCs w:val="28"/>
          <w:lang w:val="ru-RU"/>
        </w:rPr>
        <w:t>&gt;0,05</w:t>
      </w:r>
      <w:r w:rsidRPr="00F90B6B">
        <w:rPr>
          <w:rFonts w:ascii="Times New Roman" w:hAnsi="Times New Roman"/>
          <w:sz w:val="28"/>
          <w:szCs w:val="28"/>
        </w:rPr>
        <w:t>) між жінками (62,7±9,84) та чоловіками (61,6±13,3).</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У певної частини обстежених хворих були виявлені різні форми порушення ритму серця, а саме у вигляді фібриляції передсердь (13,0%, 19 чол.) та шлуночкових екстрасистол (4,8%, 7 чол.), сумарно – 15,0% (</w:t>
      </w:r>
      <w:r w:rsidRPr="00F90B6B">
        <w:rPr>
          <w:rFonts w:ascii="Times New Roman" w:hAnsi="Times New Roman"/>
          <w:sz w:val="28"/>
          <w:szCs w:val="28"/>
          <w:lang w:val="ru-RU"/>
        </w:rPr>
        <w:t xml:space="preserve">22 </w:t>
      </w:r>
      <w:r w:rsidRPr="00F90B6B">
        <w:rPr>
          <w:rFonts w:ascii="Times New Roman" w:hAnsi="Times New Roman"/>
          <w:sz w:val="28"/>
          <w:szCs w:val="28"/>
        </w:rPr>
        <w:t>чол.). Артеріальна гіпертензія виявлена у 79,4% хворих (116 чол.), табл. 2.2.</w:t>
      </w:r>
    </w:p>
    <w:p w:rsidR="00EF4063" w:rsidRPr="00F90B6B" w:rsidRDefault="006F7754" w:rsidP="00F0048B">
      <w:pPr>
        <w:spacing w:after="0" w:line="360" w:lineRule="auto"/>
        <w:jc w:val="center"/>
        <w:rPr>
          <w:rFonts w:ascii="Times New Roman" w:hAnsi="Times New Roman"/>
          <w:sz w:val="28"/>
          <w:szCs w:val="28"/>
        </w:rPr>
      </w:pPr>
      <w:r w:rsidRPr="00BD2F09">
        <w:rPr>
          <w:rFonts w:ascii="Times New Roman" w:hAnsi="Times New Roman"/>
          <w:noProof/>
          <w:sz w:val="24"/>
          <w:szCs w:val="24"/>
          <w:lang w:val="ru-RU" w:eastAsia="ru-RU"/>
        </w:rPr>
        <w:drawing>
          <wp:inline distT="0" distB="0" distL="0" distR="0">
            <wp:extent cx="5543550" cy="2466975"/>
            <wp:effectExtent l="0" t="0" r="0" b="0"/>
            <wp:docPr id="15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b/>
          <w:sz w:val="28"/>
          <w:szCs w:val="28"/>
        </w:rPr>
        <w:lastRenderedPageBreak/>
        <w:t xml:space="preserve">Рис. 2.2. </w:t>
      </w:r>
      <w:r w:rsidRPr="00F90B6B">
        <w:rPr>
          <w:rFonts w:ascii="Times New Roman" w:hAnsi="Times New Roman"/>
          <w:sz w:val="28"/>
          <w:szCs w:val="28"/>
        </w:rPr>
        <w:t xml:space="preserve">Розподіл хворих, включених в дослідження за функціональним класом </w:t>
      </w:r>
      <w:r w:rsidRPr="00F90B6B">
        <w:rPr>
          <w:rFonts w:ascii="Times New Roman" w:hAnsi="Times New Roman"/>
          <w:sz w:val="28"/>
          <w:szCs w:val="28"/>
          <w:lang w:val="en-US"/>
        </w:rPr>
        <w:t>NYHA</w:t>
      </w:r>
      <w:r w:rsidRPr="00F90B6B">
        <w:rPr>
          <w:rFonts w:ascii="Times New Roman" w:hAnsi="Times New Roman"/>
          <w:sz w:val="28"/>
          <w:szCs w:val="28"/>
          <w:lang w:val="ru-RU"/>
        </w:rPr>
        <w:t>.</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Наявність супутньої патології, за даними анамнезу, було встановлено у 15,0% обстежених хворих (18 чол.). Це були хворі з наявністю ХОЗЛ, у періоді ремісії – 10 чол. (8,3%) обстежених, та захворюваннями ШКТ (хронічний гастрит, період ремісії) – 75 (51,4%) від усіх хворих, табл. 2.2.</w:t>
      </w:r>
    </w:p>
    <w:p w:rsidR="00EF4063" w:rsidRPr="00F90B6B" w:rsidRDefault="00EF4063" w:rsidP="00F0048B">
      <w:pPr>
        <w:spacing w:after="0" w:line="360" w:lineRule="auto"/>
        <w:ind w:firstLine="708"/>
        <w:jc w:val="right"/>
        <w:rPr>
          <w:rFonts w:ascii="Times New Roman" w:hAnsi="Times New Roman"/>
          <w:i/>
          <w:sz w:val="28"/>
          <w:szCs w:val="28"/>
        </w:rPr>
      </w:pPr>
      <w:r w:rsidRPr="00F90B6B">
        <w:rPr>
          <w:rFonts w:ascii="Times New Roman" w:hAnsi="Times New Roman"/>
          <w:i/>
          <w:sz w:val="28"/>
          <w:szCs w:val="28"/>
        </w:rPr>
        <w:t>Таблиця 2.2</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Розподіл супутньої патології серед обстежених хворих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Показник</w:t>
            </w:r>
          </w:p>
        </w:tc>
        <w:tc>
          <w:tcPr>
            <w:tcW w:w="3285"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Абс.</w:t>
            </w:r>
          </w:p>
        </w:tc>
        <w:tc>
          <w:tcPr>
            <w:tcW w:w="3285"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Фібриляція передсердь</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19</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13,0</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Шлуночкові екстрасистоли</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7</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4,8</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Артеріальна гіпертензія</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116</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79,4</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ХОЗЛ в стадії ремісії</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10</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8,3</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Хронічний гастрит</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75</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51,4</w:t>
            </w:r>
          </w:p>
        </w:tc>
      </w:tr>
    </w:tbl>
    <w:p w:rsidR="00EF4063" w:rsidRPr="00F90B6B" w:rsidRDefault="00EF4063" w:rsidP="00F0048B">
      <w:pPr>
        <w:spacing w:after="0" w:line="360" w:lineRule="auto"/>
        <w:ind w:firstLine="708"/>
        <w:jc w:val="both"/>
        <w:rPr>
          <w:rFonts w:ascii="Times New Roman" w:hAnsi="Times New Roman"/>
          <w:sz w:val="28"/>
          <w:szCs w:val="28"/>
          <w:lang w:val="ru-RU"/>
        </w:rPr>
      </w:pP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rPr>
        <w:t>З факторів ризику на недостатнє фізичне навантаження вказали 80 чол. (54,8%), емоційне навантаження - 51 чол. (34,9%), паління - 27 чол. (18,5%), зловживання алкоголем заперечували всі з обстежених хворих. Індекс маси тіла для чоловіків складав 26,32±5,71, для жінок 28,19±4,91.</w:t>
      </w:r>
    </w:p>
    <w:p w:rsidR="00EF4063" w:rsidRPr="00F90B6B" w:rsidRDefault="00EF4063" w:rsidP="00F0048B">
      <w:pPr>
        <w:spacing w:after="0" w:line="360" w:lineRule="auto"/>
        <w:ind w:firstLine="708"/>
        <w:jc w:val="right"/>
        <w:rPr>
          <w:rFonts w:ascii="Times New Roman" w:hAnsi="Times New Roman"/>
          <w:i/>
          <w:sz w:val="28"/>
          <w:szCs w:val="28"/>
        </w:rPr>
      </w:pPr>
      <w:r w:rsidRPr="00F90B6B">
        <w:rPr>
          <w:rFonts w:ascii="Times New Roman" w:hAnsi="Times New Roman"/>
          <w:i/>
          <w:sz w:val="28"/>
          <w:szCs w:val="28"/>
        </w:rPr>
        <w:t>Таблиця 2.3</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Розподіл факторів ризику серед хворих, включених в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b/>
                <w:sz w:val="28"/>
                <w:szCs w:val="28"/>
                <w:lang w:eastAsia="ru-RU"/>
              </w:rPr>
              <w:t>Показник</w:t>
            </w:r>
          </w:p>
        </w:tc>
        <w:tc>
          <w:tcPr>
            <w:tcW w:w="3285"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Абс.</w:t>
            </w:r>
          </w:p>
        </w:tc>
        <w:tc>
          <w:tcPr>
            <w:tcW w:w="3285"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Фізичне навантаження</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80</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54,8</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Емоційне навантаження</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51</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34,9</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Паління</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27</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18,5</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Індекс маси тіла:</w:t>
            </w:r>
          </w:p>
          <w:p w:rsidR="00EF4063" w:rsidRPr="00F90B6B" w:rsidRDefault="00EF4063" w:rsidP="00F0048B">
            <w:pPr>
              <w:pStyle w:val="1"/>
              <w:numPr>
                <w:ilvl w:val="0"/>
                <w:numId w:val="6"/>
              </w:numPr>
              <w:spacing w:after="0" w:line="360" w:lineRule="auto"/>
              <w:jc w:val="center"/>
              <w:rPr>
                <w:rFonts w:ascii="Times New Roman" w:hAnsi="Times New Roman"/>
                <w:sz w:val="28"/>
                <w:szCs w:val="28"/>
              </w:rPr>
            </w:pPr>
            <w:r w:rsidRPr="00F90B6B">
              <w:rPr>
                <w:rFonts w:ascii="Times New Roman" w:hAnsi="Times New Roman"/>
                <w:sz w:val="28"/>
                <w:szCs w:val="28"/>
              </w:rPr>
              <w:t>чоловіки;</w:t>
            </w:r>
          </w:p>
          <w:p w:rsidR="00EF4063" w:rsidRPr="00F90B6B" w:rsidRDefault="00EF4063" w:rsidP="00F0048B">
            <w:pPr>
              <w:pStyle w:val="1"/>
              <w:numPr>
                <w:ilvl w:val="0"/>
                <w:numId w:val="6"/>
              </w:numPr>
              <w:spacing w:after="0" w:line="360" w:lineRule="auto"/>
              <w:jc w:val="center"/>
              <w:rPr>
                <w:rFonts w:ascii="Times New Roman" w:hAnsi="Times New Roman"/>
                <w:sz w:val="28"/>
                <w:szCs w:val="28"/>
                <w:lang w:eastAsia="ru-RU"/>
              </w:rPr>
            </w:pPr>
            <w:r w:rsidRPr="00F90B6B">
              <w:rPr>
                <w:rFonts w:ascii="Times New Roman" w:hAnsi="Times New Roman"/>
                <w:sz w:val="28"/>
                <w:szCs w:val="28"/>
              </w:rPr>
              <w:t>жінки.</w:t>
            </w:r>
          </w:p>
        </w:tc>
        <w:tc>
          <w:tcPr>
            <w:tcW w:w="6570" w:type="dxa"/>
            <w:gridSpan w:val="2"/>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26,32±5,71</w:t>
            </w:r>
          </w:p>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28,19±4,91</w:t>
            </w:r>
          </w:p>
        </w:tc>
      </w:tr>
    </w:tbl>
    <w:p w:rsidR="00EF4063" w:rsidRPr="00F90B6B" w:rsidRDefault="00EF4063" w:rsidP="00F0048B">
      <w:pPr>
        <w:spacing w:after="0" w:line="360" w:lineRule="auto"/>
        <w:ind w:firstLine="708"/>
        <w:jc w:val="both"/>
        <w:rPr>
          <w:rFonts w:ascii="Times New Roman" w:hAnsi="Times New Roman"/>
          <w:b/>
          <w:bCs/>
          <w:sz w:val="28"/>
          <w:szCs w:val="28"/>
          <w:lang w:eastAsia="ru-RU"/>
        </w:rPr>
      </w:pPr>
      <w:r w:rsidRPr="00F90B6B">
        <w:rPr>
          <w:rFonts w:ascii="Times New Roman" w:hAnsi="Times New Roman"/>
          <w:sz w:val="28"/>
          <w:szCs w:val="28"/>
        </w:rPr>
        <w:lastRenderedPageBreak/>
        <w:t>Всім пацієнтам проведене ретельне обстеження, що складалося зі збору скарг та оцінки анамнезу. Серед скарг переважали серцево-судинні (задишка, пастозність нижніх кінцівок, кардіалгії, серцебиття, перебої, підвищення артеріального тиску) та церебральні (головний біль, головокружіння, мерехтіння «мушок» перед очима, шум у вухах, погіршення пам`яті, безсоння, дратівливість, табл. 2.4)</w:t>
      </w:r>
      <w:r w:rsidRPr="00F90B6B">
        <w:rPr>
          <w:rFonts w:ascii="Times New Roman" w:hAnsi="Times New Roman"/>
          <w:b/>
          <w:bCs/>
          <w:sz w:val="28"/>
          <w:szCs w:val="28"/>
        </w:rPr>
        <w:t>.</w:t>
      </w:r>
    </w:p>
    <w:p w:rsidR="00EF4063" w:rsidRPr="00F90B6B" w:rsidRDefault="00EF4063" w:rsidP="00F0048B">
      <w:pPr>
        <w:pStyle w:val="a4"/>
        <w:spacing w:after="0" w:line="360" w:lineRule="auto"/>
        <w:jc w:val="right"/>
        <w:rPr>
          <w:i/>
          <w:sz w:val="28"/>
          <w:szCs w:val="28"/>
        </w:rPr>
      </w:pPr>
      <w:r w:rsidRPr="00F90B6B">
        <w:rPr>
          <w:i/>
          <w:sz w:val="28"/>
          <w:szCs w:val="28"/>
        </w:rPr>
        <w:t>Таблиця 2.4</w:t>
      </w:r>
    </w:p>
    <w:p w:rsidR="00EF4063" w:rsidRPr="00F90B6B" w:rsidRDefault="00EF4063" w:rsidP="00F0048B">
      <w:pPr>
        <w:pStyle w:val="2"/>
        <w:spacing w:after="0" w:line="360" w:lineRule="auto"/>
        <w:jc w:val="center"/>
        <w:rPr>
          <w:b/>
          <w:sz w:val="28"/>
          <w:szCs w:val="28"/>
        </w:rPr>
      </w:pPr>
      <w:r w:rsidRPr="00F90B6B">
        <w:rPr>
          <w:b/>
          <w:sz w:val="28"/>
          <w:szCs w:val="28"/>
        </w:rPr>
        <w:t>Розподіл скарг хворих, що включені в дослідження</w:t>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A0" w:firstRow="1" w:lastRow="0" w:firstColumn="1" w:lastColumn="0" w:noHBand="0" w:noVBand="0"/>
      </w:tblPr>
      <w:tblGrid>
        <w:gridCol w:w="4788"/>
        <w:gridCol w:w="2520"/>
        <w:gridCol w:w="2160"/>
      </w:tblGrid>
      <w:tr w:rsidR="00EF4063" w:rsidRPr="00F90B6B" w:rsidTr="00634277">
        <w:trPr>
          <w:cantSplit/>
        </w:trPr>
        <w:tc>
          <w:tcPr>
            <w:tcW w:w="4788" w:type="dxa"/>
            <w:vMerge w:val="restart"/>
            <w:tcBorders>
              <w:top w:val="single" w:sz="4" w:space="0" w:color="auto"/>
            </w:tcBorders>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Клінічні ознаки</w:t>
            </w:r>
          </w:p>
        </w:tc>
        <w:tc>
          <w:tcPr>
            <w:tcW w:w="4680" w:type="dxa"/>
            <w:gridSpan w:val="2"/>
            <w:tcBorders>
              <w:top w:val="single" w:sz="4" w:space="0" w:color="auto"/>
            </w:tcBorders>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Кількість хворих</w:t>
            </w:r>
          </w:p>
        </w:tc>
      </w:tr>
      <w:tr w:rsidR="00EF4063" w:rsidRPr="00F90B6B" w:rsidTr="00634277">
        <w:trPr>
          <w:cantSplit/>
        </w:trPr>
        <w:tc>
          <w:tcPr>
            <w:tcW w:w="9468" w:type="dxa"/>
            <w:vMerge/>
            <w:tcBorders>
              <w:top w:val="single" w:sz="4" w:space="0" w:color="auto"/>
            </w:tcBorders>
            <w:vAlign w:val="center"/>
          </w:tcPr>
          <w:p w:rsidR="00EF4063" w:rsidRPr="00F90B6B" w:rsidRDefault="00EF4063" w:rsidP="00F0048B">
            <w:pPr>
              <w:spacing w:after="0" w:line="360" w:lineRule="auto"/>
              <w:rPr>
                <w:rFonts w:ascii="Times New Roman" w:hAnsi="Times New Roman"/>
                <w:b/>
                <w:sz w:val="28"/>
                <w:szCs w:val="28"/>
                <w:lang w:eastAsia="ru-RU"/>
              </w:rPr>
            </w:pPr>
          </w:p>
        </w:tc>
        <w:tc>
          <w:tcPr>
            <w:tcW w:w="2520"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Абс.</w:t>
            </w:r>
          </w:p>
        </w:tc>
        <w:tc>
          <w:tcPr>
            <w:tcW w:w="2160"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rPr>
              <w:t>%</w:t>
            </w:r>
          </w:p>
        </w:tc>
      </w:tr>
      <w:tr w:rsidR="00EF4063" w:rsidRPr="00F90B6B" w:rsidTr="00634277">
        <w:tc>
          <w:tcPr>
            <w:tcW w:w="9468" w:type="dxa"/>
            <w:gridSpan w:val="3"/>
            <w:vAlign w:val="center"/>
          </w:tcPr>
          <w:p w:rsidR="00EF4063" w:rsidRPr="00F90B6B" w:rsidRDefault="00EF4063" w:rsidP="00F0048B">
            <w:pPr>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rPr>
              <w:t>І. Серцево-судинні прояви</w:t>
            </w:r>
          </w:p>
        </w:tc>
      </w:tr>
      <w:tr w:rsidR="00EF4063" w:rsidRPr="00F90B6B" w:rsidTr="00634277">
        <w:tc>
          <w:tcPr>
            <w:tcW w:w="4788" w:type="dxa"/>
            <w:vAlign w:val="center"/>
          </w:tcPr>
          <w:p w:rsidR="00EF4063" w:rsidRPr="00C14753" w:rsidRDefault="00EF4063" w:rsidP="00F0048B">
            <w:pPr>
              <w:pStyle w:val="4"/>
              <w:spacing w:line="360" w:lineRule="auto"/>
              <w:rPr>
                <w:b w:val="0"/>
                <w:color w:val="auto"/>
                <w:sz w:val="28"/>
                <w:szCs w:val="28"/>
              </w:rPr>
            </w:pPr>
            <w:r w:rsidRPr="00C14753">
              <w:rPr>
                <w:b w:val="0"/>
                <w:color w:val="auto"/>
                <w:sz w:val="28"/>
                <w:szCs w:val="28"/>
              </w:rPr>
              <w:t>Підвищення артеріального тиску</w:t>
            </w:r>
          </w:p>
        </w:tc>
        <w:tc>
          <w:tcPr>
            <w:tcW w:w="2520"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116</w:t>
            </w:r>
          </w:p>
        </w:tc>
        <w:tc>
          <w:tcPr>
            <w:tcW w:w="2160"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rPr>
              <w:t>79,4</w:t>
            </w:r>
          </w:p>
        </w:tc>
      </w:tr>
      <w:tr w:rsidR="00EF4063" w:rsidRPr="00F90B6B" w:rsidTr="00B83D2F">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 xml:space="preserve">Задишка при подоланні </w:t>
            </w:r>
            <w:r w:rsidRPr="00F90B6B">
              <w:rPr>
                <w:rFonts w:ascii="Times New Roman" w:hAnsi="Times New Roman"/>
                <w:sz w:val="28"/>
                <w:szCs w:val="28"/>
                <w:lang w:val="ru-RU"/>
              </w:rPr>
              <w:t>&lt;</w:t>
            </w:r>
            <w:r w:rsidRPr="00F90B6B">
              <w:rPr>
                <w:rFonts w:ascii="Times New Roman" w:hAnsi="Times New Roman"/>
                <w:sz w:val="28"/>
                <w:szCs w:val="28"/>
              </w:rPr>
              <w:t>300</w:t>
            </w:r>
            <w:r w:rsidRPr="00F90B6B">
              <w:rPr>
                <w:rFonts w:ascii="Times New Roman" w:hAnsi="Times New Roman"/>
                <w:sz w:val="28"/>
                <w:szCs w:val="28"/>
                <w:lang w:val="ru-RU"/>
              </w:rPr>
              <w:t xml:space="preserve"> </w:t>
            </w:r>
            <w:r w:rsidRPr="00F90B6B">
              <w:rPr>
                <w:rFonts w:ascii="Times New Roman" w:hAnsi="Times New Roman"/>
                <w:sz w:val="28"/>
                <w:szCs w:val="28"/>
              </w:rPr>
              <w:t>м/6 хв.</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sz w:val="28"/>
                <w:szCs w:val="28"/>
              </w:rPr>
              <w:t>21</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lang w:eastAsia="ru-RU"/>
              </w:rPr>
              <w:t>14,4</w:t>
            </w:r>
          </w:p>
        </w:tc>
      </w:tr>
      <w:tr w:rsidR="00EF4063" w:rsidRPr="00F90B6B" w:rsidTr="00B83D2F">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 xml:space="preserve">Задишка при подоланні </w:t>
            </w:r>
            <w:r w:rsidRPr="00F90B6B">
              <w:rPr>
                <w:rFonts w:ascii="Times New Roman" w:hAnsi="Times New Roman"/>
                <w:sz w:val="28"/>
                <w:szCs w:val="28"/>
                <w:lang w:val="ru-RU"/>
              </w:rPr>
              <w:t>&lt;</w:t>
            </w:r>
            <w:r w:rsidRPr="00F90B6B">
              <w:rPr>
                <w:rFonts w:ascii="Times New Roman" w:hAnsi="Times New Roman"/>
                <w:sz w:val="28"/>
                <w:szCs w:val="28"/>
              </w:rPr>
              <w:t>425</w:t>
            </w:r>
            <w:r w:rsidRPr="00F90B6B">
              <w:rPr>
                <w:rFonts w:ascii="Times New Roman" w:hAnsi="Times New Roman"/>
                <w:sz w:val="28"/>
                <w:szCs w:val="28"/>
                <w:lang w:val="ru-RU"/>
              </w:rPr>
              <w:t xml:space="preserve"> </w:t>
            </w:r>
            <w:r w:rsidRPr="00F90B6B">
              <w:rPr>
                <w:rFonts w:ascii="Times New Roman" w:hAnsi="Times New Roman"/>
                <w:sz w:val="28"/>
                <w:szCs w:val="28"/>
              </w:rPr>
              <w:t>м/6 хв.</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sz w:val="28"/>
                <w:szCs w:val="28"/>
              </w:rPr>
              <w:t>90</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lang w:eastAsia="ru-RU"/>
              </w:rPr>
              <w:t>61,6</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 xml:space="preserve">Задишка при подоланні </w:t>
            </w:r>
            <w:r w:rsidRPr="00F90B6B">
              <w:rPr>
                <w:rFonts w:ascii="Times New Roman" w:hAnsi="Times New Roman"/>
                <w:sz w:val="28"/>
                <w:szCs w:val="28"/>
                <w:lang w:val="ru-RU"/>
              </w:rPr>
              <w:t>&lt;</w:t>
            </w:r>
            <w:r w:rsidRPr="00F90B6B">
              <w:rPr>
                <w:rFonts w:ascii="Times New Roman" w:hAnsi="Times New Roman"/>
                <w:sz w:val="28"/>
                <w:szCs w:val="28"/>
              </w:rPr>
              <w:t>550</w:t>
            </w:r>
            <w:r w:rsidRPr="00F90B6B">
              <w:rPr>
                <w:rFonts w:ascii="Times New Roman" w:hAnsi="Times New Roman"/>
                <w:sz w:val="28"/>
                <w:szCs w:val="28"/>
                <w:lang w:val="ru-RU"/>
              </w:rPr>
              <w:t xml:space="preserve"> </w:t>
            </w:r>
            <w:r w:rsidRPr="00F90B6B">
              <w:rPr>
                <w:rFonts w:ascii="Times New Roman" w:hAnsi="Times New Roman"/>
                <w:sz w:val="28"/>
                <w:szCs w:val="28"/>
              </w:rPr>
              <w:t>м/6 хв.</w:t>
            </w:r>
          </w:p>
        </w:tc>
        <w:tc>
          <w:tcPr>
            <w:tcW w:w="2520"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35</w:t>
            </w:r>
          </w:p>
        </w:tc>
        <w:tc>
          <w:tcPr>
            <w:tcW w:w="2160"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24,0</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Серцебиття</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49</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33,5</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Перебої</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22</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15,0</w:t>
            </w:r>
          </w:p>
        </w:tc>
      </w:tr>
      <w:tr w:rsidR="00EF4063" w:rsidRPr="00F90B6B" w:rsidTr="00634277">
        <w:tc>
          <w:tcPr>
            <w:tcW w:w="9468" w:type="dxa"/>
            <w:gridSpan w:val="3"/>
            <w:vAlign w:val="center"/>
          </w:tcPr>
          <w:p w:rsidR="00EF4063" w:rsidRPr="00F90B6B" w:rsidRDefault="00EF4063" w:rsidP="00F0048B">
            <w:pPr>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rPr>
              <w:t>ІІ. Церебральні прояви</w:t>
            </w:r>
          </w:p>
        </w:tc>
      </w:tr>
      <w:tr w:rsidR="00EF4063" w:rsidRPr="00F90B6B" w:rsidTr="00634277">
        <w:tc>
          <w:tcPr>
            <w:tcW w:w="4788" w:type="dxa"/>
            <w:vAlign w:val="center"/>
          </w:tcPr>
          <w:p w:rsidR="00EF4063" w:rsidRPr="00C14753" w:rsidRDefault="00EF4063" w:rsidP="00F0048B">
            <w:pPr>
              <w:pStyle w:val="4"/>
              <w:spacing w:line="360" w:lineRule="auto"/>
              <w:rPr>
                <w:b w:val="0"/>
                <w:color w:val="auto"/>
                <w:sz w:val="28"/>
                <w:szCs w:val="28"/>
              </w:rPr>
            </w:pPr>
            <w:r w:rsidRPr="00C14753">
              <w:rPr>
                <w:b w:val="0"/>
                <w:color w:val="auto"/>
                <w:sz w:val="28"/>
                <w:szCs w:val="28"/>
              </w:rPr>
              <w:t>Головний біль</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79</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53,0</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Головокружіння</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78</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53,4</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Погіршення сну</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50</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34,2</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Депресія</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21</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14,3</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Подразливість</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36</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24,6</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Сонливість</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34</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23,3</w:t>
            </w:r>
          </w:p>
        </w:tc>
      </w:tr>
      <w:tr w:rsidR="00EF4063" w:rsidRPr="00F90B6B" w:rsidTr="00634277">
        <w:tc>
          <w:tcPr>
            <w:tcW w:w="4788"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Лабільність настрою</w:t>
            </w:r>
          </w:p>
        </w:tc>
        <w:tc>
          <w:tcPr>
            <w:tcW w:w="252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36</w:t>
            </w:r>
          </w:p>
        </w:tc>
        <w:tc>
          <w:tcPr>
            <w:tcW w:w="2160" w:type="dxa"/>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24,6</w:t>
            </w:r>
          </w:p>
        </w:tc>
      </w:tr>
      <w:tr w:rsidR="00EF4063" w:rsidRPr="00F90B6B" w:rsidTr="00634277">
        <w:tc>
          <w:tcPr>
            <w:tcW w:w="4788" w:type="dxa"/>
            <w:tcBorders>
              <w:bottom w:val="single" w:sz="4" w:space="0" w:color="auto"/>
            </w:tcBorders>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sz w:val="28"/>
                <w:szCs w:val="28"/>
              </w:rPr>
              <w:t>Втомлюваність</w:t>
            </w:r>
          </w:p>
        </w:tc>
        <w:tc>
          <w:tcPr>
            <w:tcW w:w="2520" w:type="dxa"/>
            <w:tcBorders>
              <w:bottom w:val="single" w:sz="4" w:space="0" w:color="auto"/>
            </w:tcBorders>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92</w:t>
            </w:r>
          </w:p>
        </w:tc>
        <w:tc>
          <w:tcPr>
            <w:tcW w:w="2160" w:type="dxa"/>
            <w:tcBorders>
              <w:bottom w:val="single" w:sz="4" w:space="0" w:color="auto"/>
            </w:tcBorders>
            <w:vAlign w:val="center"/>
          </w:tcPr>
          <w:p w:rsidR="00EF4063" w:rsidRPr="00F90B6B" w:rsidRDefault="00EF4063" w:rsidP="00F0048B">
            <w:pPr>
              <w:spacing w:after="0" w:line="360" w:lineRule="auto"/>
              <w:jc w:val="center"/>
              <w:rPr>
                <w:rFonts w:ascii="Times New Roman" w:hAnsi="Times New Roman"/>
                <w:bCs/>
                <w:sz w:val="28"/>
                <w:szCs w:val="28"/>
                <w:lang w:eastAsia="ru-RU"/>
              </w:rPr>
            </w:pPr>
            <w:r w:rsidRPr="00F90B6B">
              <w:rPr>
                <w:rFonts w:ascii="Times New Roman" w:hAnsi="Times New Roman"/>
                <w:bCs/>
                <w:sz w:val="28"/>
                <w:szCs w:val="28"/>
              </w:rPr>
              <w:t>63,0</w:t>
            </w:r>
          </w:p>
        </w:tc>
      </w:tr>
    </w:tbl>
    <w:p w:rsidR="00EF4063" w:rsidRPr="00F90B6B" w:rsidRDefault="00EF4063" w:rsidP="00F0048B">
      <w:pPr>
        <w:pStyle w:val="21"/>
        <w:spacing w:after="0" w:line="360" w:lineRule="auto"/>
        <w:ind w:left="0" w:firstLine="709"/>
        <w:jc w:val="both"/>
        <w:rPr>
          <w:sz w:val="28"/>
          <w:szCs w:val="28"/>
          <w:lang w:val="ru-RU"/>
        </w:rPr>
      </w:pPr>
    </w:p>
    <w:p w:rsidR="00EF4063" w:rsidRPr="00F90B6B" w:rsidRDefault="00EF4063" w:rsidP="00F0048B">
      <w:pPr>
        <w:pStyle w:val="21"/>
        <w:spacing w:after="0" w:line="360" w:lineRule="auto"/>
        <w:ind w:left="0" w:firstLine="709"/>
        <w:jc w:val="both"/>
        <w:rPr>
          <w:sz w:val="28"/>
          <w:szCs w:val="28"/>
        </w:rPr>
      </w:pPr>
      <w:r w:rsidRPr="00F90B6B">
        <w:rPr>
          <w:sz w:val="28"/>
          <w:szCs w:val="28"/>
        </w:rPr>
        <w:t>Рівень базальної ЧСС при надходженні склав 78,62±10,85 уд/хв., відповідно, 77,08±10,17 уд/хв. у чоловіків та 79,77±11,26 уд/хв. у жінок (р=0,12).</w:t>
      </w:r>
    </w:p>
    <w:p w:rsidR="00EF4063" w:rsidRPr="00F90B6B" w:rsidRDefault="00EF4063" w:rsidP="00F0048B">
      <w:pPr>
        <w:pStyle w:val="21"/>
        <w:spacing w:after="0" w:line="360" w:lineRule="auto"/>
        <w:ind w:left="0" w:firstLine="709"/>
        <w:jc w:val="both"/>
        <w:rPr>
          <w:sz w:val="28"/>
          <w:szCs w:val="28"/>
        </w:rPr>
      </w:pPr>
      <w:r w:rsidRPr="00F90B6B">
        <w:rPr>
          <w:sz w:val="28"/>
          <w:szCs w:val="28"/>
        </w:rPr>
        <w:lastRenderedPageBreak/>
        <w:t xml:space="preserve">З метою дослідження стану ремоделювання міокарда, наявності систолічної або діастолічної дисфункції проводились ЕхоКГ, доповнена кольоровою доплерометрією (у 146 хворих та 30 особам контрольної групи – 100%) </w:t>
      </w:r>
      <w:r w:rsidRPr="00F90B6B">
        <w:rPr>
          <w:sz w:val="28"/>
          <w:szCs w:val="28"/>
          <w:lang w:val="ru-RU"/>
        </w:rPr>
        <w:t>[61]</w:t>
      </w:r>
      <w:r w:rsidRPr="00F90B6B">
        <w:rPr>
          <w:sz w:val="28"/>
          <w:szCs w:val="28"/>
        </w:rPr>
        <w:t>. В результаті ЕхоКГ дослідження було виявлено, що середнє значення фракції викиду лівого шлуночка (ФВЛШ) досягало 60,9±4,62%, в групі 1 - 64,1±2,26, в групі 2 - 60,5±4,5, в групі 3 - 60,0±4,17%. Для верифікації діастолічної дисфунції використовувались показники Е/А (середній показник – 0,85±0,28), IVRT (середній показник – 78,6±6,80 мс) та DT (середній показник – 290,1±28,3 мс).</w:t>
      </w:r>
    </w:p>
    <w:p w:rsidR="00EF4063" w:rsidRPr="00F90B6B" w:rsidRDefault="00EF4063" w:rsidP="00F0048B">
      <w:pPr>
        <w:pStyle w:val="21"/>
        <w:spacing w:after="0" w:line="360" w:lineRule="auto"/>
        <w:ind w:left="0" w:firstLine="709"/>
        <w:jc w:val="both"/>
        <w:rPr>
          <w:sz w:val="28"/>
          <w:szCs w:val="28"/>
        </w:rPr>
      </w:pPr>
      <w:r w:rsidRPr="00F90B6B">
        <w:rPr>
          <w:sz w:val="28"/>
          <w:szCs w:val="28"/>
        </w:rPr>
        <w:t xml:space="preserve">Загальноклінічні лабораторні обстеження, проведені всім 146 хворим  та всім 30 особам контрольної групи. Вихідний рівень ХС по групі складав 6,9±1,13 ммоль/л, ліпопротеїдів низької щільності (ЛПНЩ) 3,52±1,1 ммоль/л, фібриногену 2,67±0,65 г/л, з невірогідною перевагою для ХС для жінок, порівняно з чоловіками (7,01±1,18 та 6,74±1,05, </w:t>
      </w:r>
      <w:r w:rsidRPr="00F90B6B">
        <w:rPr>
          <w:sz w:val="28"/>
          <w:szCs w:val="28"/>
          <w:lang w:val="en-US"/>
        </w:rPr>
        <w:t>p</w:t>
      </w:r>
      <w:r w:rsidRPr="00F90B6B">
        <w:rPr>
          <w:sz w:val="28"/>
          <w:szCs w:val="28"/>
        </w:rPr>
        <w:t>&gt;0,05), такої ж тенденції для ЛПНЩ (3,57±1,16 та 3,45±1,04, р&gt;0,05), зворотньої тенденції для фібриногену (2,78±0,72 для чоловіків, 2,6±0,6 для жінок, р&gt;0,05).</w:t>
      </w:r>
    </w:p>
    <w:p w:rsidR="00EF4063" w:rsidRPr="00F90B6B" w:rsidRDefault="00EF4063" w:rsidP="00F0048B">
      <w:pPr>
        <w:pStyle w:val="21"/>
        <w:spacing w:after="0" w:line="360" w:lineRule="auto"/>
        <w:ind w:left="0" w:firstLine="709"/>
        <w:jc w:val="both"/>
        <w:rPr>
          <w:sz w:val="28"/>
          <w:szCs w:val="28"/>
        </w:rPr>
      </w:pPr>
      <w:r w:rsidRPr="00F90B6B">
        <w:rPr>
          <w:sz w:val="28"/>
          <w:szCs w:val="28"/>
        </w:rPr>
        <w:t>Аналіз маркерів серцевої недостатності проведений в наступному обсязі та розподілі: рівень пронатрійуретичного пептиду досліджений у 146 хворих (100,0%, середній рівень становив 225,4±75,5 пмоль/мл), альдостерону – у 90 (61,6%, середній рівень – 62,8±23,4 пг/мл), вміст іонів калію (</w:t>
      </w:r>
      <w:r w:rsidRPr="00F90B6B">
        <w:rPr>
          <w:sz w:val="28"/>
          <w:szCs w:val="28"/>
          <w:lang w:val="ru-RU"/>
        </w:rPr>
        <w:t>середній рівень – 4,44±0,53 ммоль/л</w:t>
      </w:r>
      <w:r w:rsidRPr="00F90B6B">
        <w:rPr>
          <w:sz w:val="28"/>
          <w:szCs w:val="28"/>
        </w:rPr>
        <w:t>) та натрію (</w:t>
      </w:r>
      <w:r w:rsidRPr="00F90B6B">
        <w:rPr>
          <w:sz w:val="28"/>
          <w:szCs w:val="28"/>
          <w:lang w:val="ru-RU"/>
        </w:rPr>
        <w:t xml:space="preserve">середній рівень – 144,3±15,9 ммоль/л) </w:t>
      </w:r>
      <w:r w:rsidRPr="00F90B6B">
        <w:rPr>
          <w:sz w:val="28"/>
          <w:szCs w:val="28"/>
        </w:rPr>
        <w:t>в сироватці у 146 (100,0%) пацієнтів.</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t xml:space="preserve">Проведене комплексне дослідження надає можливість об’єктивізувати патогенетичні та функціональні ланки прояву ХСН за поєднаного перебігу з ожирінням та гіпонатріємією. </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t>Після первинного обстеження всім хворим з ХСН зі збереженою ФВЛШ та супутнім ожирінням, а також хворим з ХСН та нормальною вагою на тлі гіпонатріємії призначалась відповідна терапія згідно діючих рекомендацій.</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Загальна тривалість періоду контрольованого спостереження складала 12 місяців. Обстеження проводились перед початком спостереження та в кінці дослідження. </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lastRenderedPageBreak/>
        <w:t>Другий тип дослідження представлене ретроспективним вибірковим дослідженням клінічного перебігу хронічної серцевої недостатності з гіпонатріємією. Під час первинного включення у когорту дослідження хворі були стратифіковані на групи ХСН з нормальною вагою, ХСН з підвищеною вагою та ХСН з ожирінням. Аналіз даних клінічного перебігу ХСН проводився шляхом вивчення історій хвороб пацієнтів та виписних епікризів. Віддалений період з аналізом наслідків клінічного перебігу простежено у пацієнтів з 2010 по 2015 рік. В аналіз було включено 217 історій хвороб пацієнтів.</w:t>
      </w:r>
    </w:p>
    <w:p w:rsidR="00EF4063" w:rsidRPr="00F90B6B" w:rsidRDefault="00EF4063" w:rsidP="00F0048B">
      <w:pPr>
        <w:tabs>
          <w:tab w:val="left" w:pos="426"/>
          <w:tab w:val="left" w:pos="1069"/>
        </w:tabs>
        <w:spacing w:after="0" w:line="360" w:lineRule="auto"/>
        <w:ind w:firstLine="709"/>
        <w:jc w:val="both"/>
        <w:rPr>
          <w:rFonts w:ascii="Times New Roman" w:hAnsi="Times New Roman"/>
          <w:sz w:val="28"/>
          <w:szCs w:val="28"/>
        </w:rPr>
      </w:pPr>
      <w:r w:rsidRPr="00F90B6B">
        <w:rPr>
          <w:rFonts w:ascii="Times New Roman" w:hAnsi="Times New Roman"/>
          <w:sz w:val="28"/>
          <w:szCs w:val="28"/>
        </w:rPr>
        <w:t>Критерії включення: хронічна серцева недостатність ІІ-І</w:t>
      </w:r>
      <w:r w:rsidRPr="00F90B6B">
        <w:rPr>
          <w:rFonts w:ascii="Times New Roman" w:hAnsi="Times New Roman"/>
          <w:sz w:val="28"/>
          <w:szCs w:val="28"/>
          <w:lang w:val="en-US"/>
        </w:rPr>
        <w:t>V</w:t>
      </w:r>
      <w:r w:rsidRPr="00F90B6B">
        <w:rPr>
          <w:rFonts w:ascii="Times New Roman" w:hAnsi="Times New Roman"/>
          <w:sz w:val="28"/>
          <w:szCs w:val="28"/>
        </w:rPr>
        <w:t xml:space="preserve"> функціональних класів за </w:t>
      </w:r>
      <w:r w:rsidRPr="00F90B6B">
        <w:rPr>
          <w:rFonts w:ascii="Times New Roman" w:hAnsi="Times New Roman"/>
          <w:sz w:val="28"/>
          <w:szCs w:val="28"/>
          <w:lang w:val="en-US"/>
        </w:rPr>
        <w:t>NYHA</w:t>
      </w:r>
      <w:r w:rsidRPr="00F90B6B">
        <w:rPr>
          <w:rFonts w:ascii="Times New Roman" w:hAnsi="Times New Roman"/>
          <w:sz w:val="28"/>
          <w:szCs w:val="28"/>
        </w:rPr>
        <w:t>, в ряді випадків - поєднання ХСН з гіпонатріємією, поєднання ХСН з підвищеною вагою тіла та ожирінням, проживання на території м. Харкова та Харківської області.</w:t>
      </w:r>
    </w:p>
    <w:p w:rsidR="00EF4063" w:rsidRPr="00F90B6B" w:rsidRDefault="00EF4063" w:rsidP="00F0048B">
      <w:pPr>
        <w:tabs>
          <w:tab w:val="left" w:pos="426"/>
          <w:tab w:val="left" w:pos="1069"/>
        </w:tabs>
        <w:spacing w:after="0" w:line="360" w:lineRule="auto"/>
        <w:ind w:firstLine="709"/>
        <w:jc w:val="both"/>
        <w:rPr>
          <w:rFonts w:ascii="Times New Roman" w:hAnsi="Times New Roman"/>
          <w:sz w:val="28"/>
          <w:szCs w:val="28"/>
        </w:rPr>
      </w:pPr>
      <w:r w:rsidRPr="00F90B6B">
        <w:rPr>
          <w:rFonts w:ascii="Times New Roman" w:hAnsi="Times New Roman"/>
          <w:sz w:val="28"/>
          <w:szCs w:val="28"/>
        </w:rPr>
        <w:t>Гендерне співвідношення характеризувалось наявністю більшої кількості осіб чоловічої статі – 115 (53,0%) проти 102 жінки (47,0%). Середній вік хворих, включених в ретроспективне дослідження, становив 67,0±11,57 років (від 46,0 до 87,0 років).</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Критерії виключення: наявність ХСН з систолічною дисфункцією ЛШ (ФВ&lt;40%), наявність набутих вад серця, запальні та травматичні ушкодження центральної нервової системи, запальні ушкодження суглобів, системні захворювання сполучної тканини.</w:t>
      </w:r>
    </w:p>
    <w:p w:rsidR="00EF4063" w:rsidRPr="00F90B6B" w:rsidRDefault="00EF4063" w:rsidP="00F0048B">
      <w:pPr>
        <w:tabs>
          <w:tab w:val="left" w:pos="426"/>
          <w:tab w:val="left" w:pos="1069"/>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Первинна мета дослідження вмістила в себе вивчення кінцевих сурогатних точок, а саме – кардіальної летальності, виникнення гострого коронарного синдрому та гострого інфаркту міокарда у хворих з ХСН та гіпонатріємією. </w:t>
      </w:r>
      <w:r w:rsidRPr="00F90B6B">
        <w:rPr>
          <w:rFonts w:ascii="Times New Roman" w:hAnsi="Times New Roman"/>
          <w:sz w:val="28"/>
        </w:rPr>
        <w:t xml:space="preserve">У всіх пацієнтів, що були включені до когорти обстеження, оцінювалися наявність факторів ризику, анамнестичні дані, структурні зміни міокарду при проведенні ехокардіографічного дослідження, показники лабораторного обстеження, особлива увага приділялася показникам іонограми з аналізом рівнів натрію та калію. </w:t>
      </w:r>
    </w:p>
    <w:p w:rsidR="00EF4063" w:rsidRPr="00F90B6B" w:rsidRDefault="00EF4063" w:rsidP="00F0048B">
      <w:pPr>
        <w:spacing w:after="0" w:line="360" w:lineRule="auto"/>
        <w:ind w:firstLine="709"/>
        <w:jc w:val="both"/>
        <w:rPr>
          <w:rFonts w:ascii="Times New Roman" w:hAnsi="Times New Roman"/>
          <w:b/>
          <w:sz w:val="28"/>
        </w:rPr>
      </w:pPr>
    </w:p>
    <w:p w:rsidR="00EF4063" w:rsidRPr="00F90B6B" w:rsidRDefault="00EF4063" w:rsidP="00F0048B">
      <w:pPr>
        <w:pStyle w:val="a6"/>
        <w:spacing w:after="0" w:line="360" w:lineRule="auto"/>
        <w:ind w:left="0" w:firstLine="709"/>
        <w:jc w:val="both"/>
        <w:rPr>
          <w:b/>
          <w:sz w:val="28"/>
        </w:rPr>
      </w:pPr>
    </w:p>
    <w:p w:rsidR="00EF4063" w:rsidRPr="00F90B6B" w:rsidRDefault="00EF4063" w:rsidP="00F0048B">
      <w:pPr>
        <w:pStyle w:val="a6"/>
        <w:spacing w:after="0" w:line="360" w:lineRule="auto"/>
        <w:ind w:left="0" w:firstLine="709"/>
        <w:jc w:val="both"/>
        <w:rPr>
          <w:b/>
          <w:sz w:val="28"/>
        </w:rPr>
      </w:pPr>
    </w:p>
    <w:p w:rsidR="00EF4063" w:rsidRPr="00F90B6B" w:rsidRDefault="00EF4063" w:rsidP="00F0048B">
      <w:pPr>
        <w:pStyle w:val="a6"/>
        <w:spacing w:after="0" w:line="360" w:lineRule="auto"/>
        <w:ind w:left="0" w:firstLine="709"/>
        <w:jc w:val="both"/>
        <w:rPr>
          <w:b/>
          <w:sz w:val="28"/>
        </w:rPr>
      </w:pPr>
      <w:r w:rsidRPr="00F90B6B">
        <w:rPr>
          <w:b/>
          <w:sz w:val="28"/>
        </w:rPr>
        <w:lastRenderedPageBreak/>
        <w:t>2.3. Методи дослідження.</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t>Хворим було проведене обстеження, яке включало інструментальні дослідження, клінічні лабораторні дослідження, спеціальні біохімічні, а також імунологічні дослідження.</w:t>
      </w:r>
    </w:p>
    <w:p w:rsidR="00EF4063" w:rsidRPr="00F90B6B" w:rsidRDefault="00EF4063" w:rsidP="00F0048B">
      <w:pPr>
        <w:spacing w:after="0" w:line="360" w:lineRule="auto"/>
        <w:ind w:firstLine="540"/>
        <w:jc w:val="both"/>
        <w:rPr>
          <w:rFonts w:ascii="Times New Roman" w:hAnsi="Times New Roman"/>
          <w:sz w:val="28"/>
          <w:szCs w:val="28"/>
          <w:lang w:val="ru-RU"/>
        </w:rPr>
      </w:pPr>
      <w:r w:rsidRPr="00F90B6B">
        <w:rPr>
          <w:rFonts w:ascii="Times New Roman" w:hAnsi="Times New Roman"/>
          <w:sz w:val="28"/>
          <w:szCs w:val="28"/>
        </w:rPr>
        <w:t>Для виключення (або підтвердження) діагнозу</w:t>
      </w:r>
      <w:r w:rsidRPr="00F90B6B">
        <w:rPr>
          <w:rFonts w:ascii="Times New Roman" w:hAnsi="Times New Roman"/>
          <w:sz w:val="28"/>
          <w:szCs w:val="28"/>
          <w:lang w:val="ru-RU"/>
        </w:rPr>
        <w:t xml:space="preserve"> хрон</w:t>
      </w:r>
      <w:r w:rsidRPr="00F90B6B">
        <w:rPr>
          <w:rFonts w:ascii="Times New Roman" w:hAnsi="Times New Roman"/>
          <w:sz w:val="28"/>
          <w:szCs w:val="28"/>
        </w:rPr>
        <w:t xml:space="preserve">ічної серцевої недостатності використовувався тест з 6-хвилинною ходою. </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t>Критеріями припинення тесту були: біль в грудній клітці;</w:t>
      </w:r>
      <w:r w:rsidRPr="00F90B6B">
        <w:rPr>
          <w:rFonts w:ascii="Times New Roman" w:hAnsi="Times New Roman"/>
          <w:sz w:val="28"/>
          <w:szCs w:val="28"/>
          <w:lang w:val="ru-RU"/>
        </w:rPr>
        <w:t xml:space="preserve"> </w:t>
      </w:r>
      <w:r w:rsidRPr="00F90B6B">
        <w:rPr>
          <w:rFonts w:ascii="Times New Roman" w:hAnsi="Times New Roman"/>
          <w:sz w:val="28"/>
          <w:szCs w:val="28"/>
        </w:rPr>
        <w:t>нестерпна задишка;</w:t>
      </w:r>
      <w:r w:rsidRPr="00F90B6B">
        <w:rPr>
          <w:rFonts w:ascii="Times New Roman" w:hAnsi="Times New Roman"/>
          <w:sz w:val="28"/>
          <w:szCs w:val="28"/>
          <w:lang w:val="ru-RU"/>
        </w:rPr>
        <w:t xml:space="preserve"> </w:t>
      </w:r>
      <w:r w:rsidRPr="00F90B6B">
        <w:rPr>
          <w:rFonts w:ascii="Times New Roman" w:hAnsi="Times New Roman"/>
          <w:sz w:val="28"/>
          <w:szCs w:val="28"/>
        </w:rPr>
        <w:t>судоми у м’язах нижніх кінцівок;</w:t>
      </w:r>
      <w:r w:rsidRPr="00F90B6B">
        <w:rPr>
          <w:rFonts w:ascii="Times New Roman" w:hAnsi="Times New Roman"/>
          <w:sz w:val="28"/>
          <w:szCs w:val="28"/>
          <w:lang w:val="ru-RU"/>
        </w:rPr>
        <w:t xml:space="preserve"> </w:t>
      </w:r>
      <w:r w:rsidRPr="00F90B6B">
        <w:rPr>
          <w:rFonts w:ascii="Times New Roman" w:hAnsi="Times New Roman"/>
          <w:sz w:val="28"/>
          <w:szCs w:val="28"/>
        </w:rPr>
        <w:t>втрата рівноваги;</w:t>
      </w:r>
      <w:r w:rsidRPr="00F90B6B">
        <w:rPr>
          <w:rFonts w:ascii="Times New Roman" w:hAnsi="Times New Roman"/>
          <w:sz w:val="28"/>
          <w:szCs w:val="28"/>
          <w:lang w:val="ru-RU"/>
        </w:rPr>
        <w:t xml:space="preserve"> </w:t>
      </w:r>
      <w:r w:rsidRPr="00F90B6B">
        <w:rPr>
          <w:rFonts w:ascii="Times New Roman" w:hAnsi="Times New Roman"/>
          <w:sz w:val="28"/>
          <w:szCs w:val="28"/>
        </w:rPr>
        <w:t xml:space="preserve">рясне потовиділення; раптова блідість шкіри чи зниження насичення гемоглобіну киснем (якщо використовується пульсоксиметр).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Рівень якості життя (ЯЖ) пацієнтів оцінювали за Міннесотським опитувальником якості життя хворих з ХСН. Опитувач складається з 21 питання, які охоплюють різні сторони ЯЖ пацієнта з ХСН. Для відповіді на кожне питання хворому пропонується самостійно використати 6-пунктову шкалу Лікерта, що відповідає вираженості тих або інших порушень функціонування. Загальноприйнятим стандартним підходом при аналізі результатів заповнення анкети Міннесоти є визначення загальної суми балів, хоча існує можливість окремої оцінки фізичною і емоційною складових ЯЖ (0 балів - відмінна якість життя, 105 балів -максимально погана якість).</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Ультразвукове дослідження є високоінформативним методом, який дозволяє оцінити морфофункціональний стан міокарда, як один з предикторів ураження органів-мішеней на фоні патології, що вивчається, та оцінити показники центральної та внутрішньосерцевої гемодинаміки. </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t xml:space="preserve">Дослідження виконували за допомогою ультразвукових сканерів «Vivid-3» за допомогою мультичастотного секторного датчику (частота 2,5-5,0 Мгц) парастернальним, супрастернальним та апікальним доступами з аналізом розмірів порожнин серця за довгою та короткою осями ЛШ в одномірній і двомірній (2-4-х камерних проекціях) та  аналізом транмітрального потоку, кровотоку у виносному тракті ЛШ та висхідному відділі та дузі аорти. </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lastRenderedPageBreak/>
        <w:t xml:space="preserve">ЕхоКГ виконували в горизонтальному положенні хворого на спині та/чи на лівому боці в другому-четвертому міжребір’ях, в М- та В-режимах, а також у режимах імпульсно-хвильової та кольорової доплерографії за стандартною методикою [63, 64]. </w:t>
      </w:r>
    </w:p>
    <w:p w:rsidR="00EF4063" w:rsidRPr="00F90B6B" w:rsidRDefault="00EF4063" w:rsidP="00F0048B">
      <w:pPr>
        <w:spacing w:after="0" w:line="360" w:lineRule="auto"/>
        <w:ind w:firstLine="540"/>
        <w:jc w:val="both"/>
        <w:rPr>
          <w:rFonts w:ascii="Times New Roman" w:hAnsi="Times New Roman"/>
          <w:sz w:val="28"/>
          <w:szCs w:val="28"/>
          <w:lang w:val="ru-RU"/>
        </w:rPr>
      </w:pPr>
      <w:r w:rsidRPr="00F90B6B">
        <w:rPr>
          <w:rFonts w:ascii="Times New Roman" w:hAnsi="Times New Roman"/>
          <w:sz w:val="28"/>
          <w:szCs w:val="28"/>
        </w:rPr>
        <w:t>Оцінювали наступні показники стану систолічної функції міокарду: кінцевий діастолічний розмір (КДР) – максимальний розмір (у см) ЛШ у діастолу відвовідно зубця R на ЕКГ; кінцевий систолічний розмір (КСР) – розмір порожнини ЛШ (у см) у систолу відповідно зубця Т на ЕКГ, товщину задньої стінки ЛШ (см) в систолу та діастолу (ТЗСЛШс, ТЗСЛШд), товщину міжшлуночкової перетинки (МШП) (см) в систолу та діастолу (ТМШПс, ТМШПд), розмір кореня аорти (Ао) та ЛП (см). Для подальшої роботи використовували наступні розрахунки показників функціонального стану міокарда, кардіальної та системної гемодинаміки, структурного стану міокарда та камер серця</w:t>
      </w:r>
      <w:r w:rsidRPr="00F90B6B">
        <w:rPr>
          <w:rFonts w:ascii="Times New Roman" w:hAnsi="Times New Roman"/>
          <w:sz w:val="28"/>
          <w:szCs w:val="28"/>
          <w:lang w:val="ru-RU"/>
        </w:rPr>
        <w:t xml:space="preserve">. </w:t>
      </w:r>
      <w:r w:rsidRPr="00F90B6B">
        <w:rPr>
          <w:rFonts w:ascii="Times New Roman" w:hAnsi="Times New Roman"/>
          <w:sz w:val="28"/>
          <w:szCs w:val="28"/>
        </w:rPr>
        <w:t>КДО і КСО розраховували за формулою L. E. Teicholz [63, 64].</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t>Розрахунок об'єму та фракції викиду ЛШ проводили за модифікованим методом Симпсона. Ендокард шлуночку обкреслювал вручну. Метод припускає наявність обертальної симетрії ЛШ. Таким чином, об'єм шлуночку можна вважати рівним сумі об'ємів циліндрів, які вписуються в обкреслену межу ендокарду.</w:t>
      </w:r>
    </w:p>
    <w:p w:rsidR="00EF4063" w:rsidRPr="00F90B6B" w:rsidRDefault="00EF4063" w:rsidP="00F0048B">
      <w:pPr>
        <w:spacing w:after="0" w:line="360" w:lineRule="auto"/>
        <w:ind w:firstLine="540"/>
        <w:jc w:val="both"/>
        <w:rPr>
          <w:rFonts w:ascii="Times New Roman" w:hAnsi="Times New Roman"/>
          <w:sz w:val="28"/>
          <w:szCs w:val="28"/>
        </w:rPr>
      </w:pPr>
      <w:r w:rsidRPr="00F90B6B">
        <w:rPr>
          <w:rFonts w:ascii="Times New Roman" w:hAnsi="Times New Roman"/>
          <w:sz w:val="28"/>
          <w:szCs w:val="28"/>
        </w:rPr>
        <w:t xml:space="preserve">Вимірювались та розраховувались наступні показники трансмітрального потоку: Ve - максимальна швидкість раннього піку Е (швидкість раннього діастолічного наповнення); Va - максимальна швидкість пізнього піку А (швидкість пізнього діастолічного наповнення підчас систоли передсердя); показник співвідношення Е/А; час IVRT(с) – тривалість ізоволюметричного розслаблення лівого шлуночка; DT Е(с) – час уповільнення раннього діастолічного піку трансмітрального протоку. </w:t>
      </w:r>
    </w:p>
    <w:p w:rsidR="00EF4063" w:rsidRPr="00F90B6B" w:rsidRDefault="00EF4063" w:rsidP="00F0048B">
      <w:pPr>
        <w:widowControl w:val="0"/>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 основі поєднання отриманих величин трансмітрального діастолічного потоку встановлювали тип діастолічної дисфункції ЛШ: І тип (початковий, «порушення релаксації») - Ve/Va&lt;1, DТ Е&gt; 0,15 с, IVRТ &gt; 0,1 с; ІІ тип («псевдонормальний») - 1&lt;Ve/Va&lt;2, DТ Е&lt; 0,15 с, 0,06&lt;IVRТ&lt;0,1 с; ІІІ тип («рестриктивний») - Ve/Va&gt;2, </w:t>
      </w:r>
      <w:r w:rsidRPr="00F90B6B">
        <w:rPr>
          <w:rFonts w:ascii="Times New Roman" w:hAnsi="Times New Roman"/>
          <w:sz w:val="28"/>
          <w:szCs w:val="28"/>
          <w:lang w:val="en-US"/>
        </w:rPr>
        <w:t>D</w:t>
      </w:r>
      <w:r w:rsidRPr="00F90B6B">
        <w:rPr>
          <w:rFonts w:ascii="Times New Roman" w:hAnsi="Times New Roman"/>
          <w:sz w:val="28"/>
          <w:szCs w:val="28"/>
        </w:rPr>
        <w:t xml:space="preserve">Т Е&lt; 0,15 с, </w:t>
      </w:r>
      <w:r w:rsidRPr="00F90B6B">
        <w:rPr>
          <w:rFonts w:ascii="Times New Roman" w:hAnsi="Times New Roman"/>
          <w:sz w:val="28"/>
          <w:szCs w:val="28"/>
          <w:lang w:val="en-US"/>
        </w:rPr>
        <w:t>IVR</w:t>
      </w:r>
      <w:r w:rsidRPr="00F90B6B">
        <w:rPr>
          <w:rFonts w:ascii="Times New Roman" w:hAnsi="Times New Roman"/>
          <w:sz w:val="28"/>
          <w:szCs w:val="28"/>
        </w:rPr>
        <w:t>Т &lt; 0,06 с.[15].</w:t>
      </w:r>
    </w:p>
    <w:p w:rsidR="00EF4063" w:rsidRPr="00F90B6B" w:rsidRDefault="00EF4063" w:rsidP="00F0048B">
      <w:pPr>
        <w:widowControl w:val="0"/>
        <w:spacing w:after="0" w:line="360" w:lineRule="auto"/>
        <w:ind w:firstLine="680"/>
        <w:jc w:val="both"/>
        <w:rPr>
          <w:rFonts w:ascii="Times New Roman" w:hAnsi="Times New Roman"/>
          <w:sz w:val="28"/>
          <w:szCs w:val="28"/>
        </w:rPr>
      </w:pPr>
      <w:r w:rsidRPr="00F90B6B">
        <w:rPr>
          <w:rFonts w:ascii="Times New Roman" w:hAnsi="Times New Roman"/>
          <w:sz w:val="28"/>
          <w:szCs w:val="28"/>
        </w:rPr>
        <w:t xml:space="preserve">Кров для виконання біохімічних досліджень брали у хворих вранці, натще, з ліктьової вени, використовуючи як стабілізатор крові гепарин або 3,8% розчин </w:t>
      </w:r>
      <w:r w:rsidRPr="00F90B6B">
        <w:rPr>
          <w:rFonts w:ascii="Times New Roman" w:hAnsi="Times New Roman"/>
          <w:sz w:val="28"/>
          <w:szCs w:val="28"/>
        </w:rPr>
        <w:lastRenderedPageBreak/>
        <w:t>цитрату натрію у вакуумні стерильні пробірки. Для отримная плазми, кров центрифугували при 3000 обертах за хвилину протягом 10 хвилин. Отриману плазму розподіляли на аліквоти по 0,5 мл та заморожували у морозильній камері при темпереатурі – 24 °C. У день обстеження алікватовані зразки розморожували, перемішували и проводили вимірювання зразків.</w:t>
      </w:r>
    </w:p>
    <w:p w:rsidR="00EF4063" w:rsidRPr="00F90B6B" w:rsidRDefault="00EF4063" w:rsidP="00F0048B">
      <w:pPr>
        <w:pStyle w:val="10"/>
        <w:spacing w:line="360" w:lineRule="auto"/>
        <w:ind w:firstLine="680"/>
        <w:rPr>
          <w:sz w:val="28"/>
          <w:szCs w:val="28"/>
          <w:lang w:val="uk-UA"/>
        </w:rPr>
      </w:pPr>
      <w:r w:rsidRPr="00F90B6B">
        <w:rPr>
          <w:sz w:val="28"/>
          <w:szCs w:val="28"/>
        </w:rPr>
        <w:t xml:space="preserve">Визначення NTproBNP в сироватці крові проводили методом </w:t>
      </w:r>
      <w:r w:rsidRPr="00F90B6B">
        <w:rPr>
          <w:sz w:val="28"/>
          <w:szCs w:val="28"/>
          <w:lang w:val="uk-UA"/>
        </w:rPr>
        <w:t>імуноферментного аналізу (ІФА) за допомо</w:t>
      </w:r>
      <w:r w:rsidRPr="00F90B6B">
        <w:rPr>
          <w:sz w:val="28"/>
          <w:szCs w:val="28"/>
        </w:rPr>
        <w:t>гою набору реактивів "</w:t>
      </w:r>
      <w:r w:rsidRPr="00F90B6B">
        <w:rPr>
          <w:sz w:val="28"/>
          <w:szCs w:val="28"/>
          <w:lang w:val="uk-UA"/>
        </w:rPr>
        <w:t>І</w:t>
      </w:r>
      <w:r w:rsidRPr="00F90B6B">
        <w:rPr>
          <w:sz w:val="28"/>
          <w:szCs w:val="28"/>
        </w:rPr>
        <w:t>ФА-БЕСТ"</w:t>
      </w:r>
      <w:r w:rsidRPr="00F90B6B">
        <w:rPr>
          <w:sz w:val="28"/>
          <w:szCs w:val="28"/>
          <w:lang w:val="uk-UA"/>
        </w:rPr>
        <w:t xml:space="preserve"> </w:t>
      </w:r>
      <w:r w:rsidRPr="00F90B6B">
        <w:rPr>
          <w:sz w:val="28"/>
          <w:szCs w:val="28"/>
        </w:rPr>
        <w:t xml:space="preserve">(ЗАТ "Вектор-Бест", Росія). </w:t>
      </w:r>
    </w:p>
    <w:p w:rsidR="00EF4063" w:rsidRPr="00F90B6B" w:rsidRDefault="00EF4063" w:rsidP="00F0048B">
      <w:pPr>
        <w:pStyle w:val="10"/>
        <w:spacing w:line="360" w:lineRule="auto"/>
        <w:ind w:firstLine="680"/>
        <w:rPr>
          <w:sz w:val="28"/>
          <w:szCs w:val="28"/>
          <w:lang w:val="uk-UA"/>
        </w:rPr>
      </w:pPr>
      <w:r w:rsidRPr="00F90B6B">
        <w:rPr>
          <w:sz w:val="28"/>
          <w:szCs w:val="28"/>
          <w:lang w:val="uk-UA"/>
        </w:rPr>
        <w:t xml:space="preserve">Альдостерон в сироватці крові визначали имуноферментним методом за допомогою реактивів </w:t>
      </w:r>
      <w:r w:rsidRPr="00F90B6B">
        <w:rPr>
          <w:sz w:val="28"/>
          <w:szCs w:val="28"/>
          <w:lang w:val="en-US"/>
        </w:rPr>
        <w:t>Aldosteron</w:t>
      </w:r>
      <w:r w:rsidRPr="00F90B6B">
        <w:rPr>
          <w:sz w:val="28"/>
          <w:szCs w:val="28"/>
        </w:rPr>
        <w:t>ELISA</w:t>
      </w:r>
      <w:r w:rsidRPr="00F90B6B">
        <w:rPr>
          <w:sz w:val="28"/>
          <w:szCs w:val="28"/>
          <w:lang w:val="uk-UA"/>
        </w:rPr>
        <w:t xml:space="preserve"> (</w:t>
      </w:r>
      <w:r w:rsidRPr="00F90B6B">
        <w:rPr>
          <w:sz w:val="28"/>
          <w:szCs w:val="28"/>
        </w:rPr>
        <w:t>DRGInstrumentsGmbH</w:t>
      </w:r>
      <w:r w:rsidRPr="00F90B6B">
        <w:rPr>
          <w:sz w:val="28"/>
          <w:szCs w:val="28"/>
          <w:lang w:val="uk-UA"/>
        </w:rPr>
        <w:t xml:space="preserve">, Німеччина). </w:t>
      </w:r>
    </w:p>
    <w:p w:rsidR="00EF4063" w:rsidRPr="00F90B6B" w:rsidRDefault="00EF4063" w:rsidP="00F0048B">
      <w:pPr>
        <w:pStyle w:val="10"/>
        <w:spacing w:line="360" w:lineRule="auto"/>
        <w:ind w:firstLine="680"/>
        <w:rPr>
          <w:sz w:val="28"/>
          <w:szCs w:val="28"/>
          <w:lang w:val="uk-UA"/>
        </w:rPr>
      </w:pPr>
      <w:r w:rsidRPr="00F90B6B">
        <w:rPr>
          <w:sz w:val="28"/>
          <w:szCs w:val="28"/>
          <w:lang w:val="uk-UA"/>
        </w:rPr>
        <w:t>Даний тести засновані на “сендвіч” методі твердофазного імуноферментного аналізу. Дослідження проводилось на імуноферментному аналізаторі Rayto-</w:t>
      </w:r>
      <w:smartTag w:uri="urn:schemas-microsoft-com:office:smarttags" w:element="metricconverter">
        <w:smartTagPr>
          <w:attr w:name="ProductID" w:val="2100C"/>
        </w:smartTagPr>
        <w:r w:rsidRPr="00F90B6B">
          <w:rPr>
            <w:sz w:val="28"/>
            <w:szCs w:val="28"/>
            <w:lang w:val="uk-UA"/>
          </w:rPr>
          <w:t>2100C</w:t>
        </w:r>
      </w:smartTag>
      <w:r w:rsidRPr="00F90B6B">
        <w:rPr>
          <w:sz w:val="28"/>
          <w:szCs w:val="28"/>
          <w:lang w:val="uk-UA"/>
        </w:rPr>
        <w:t xml:space="preserve"> (China).</w:t>
      </w:r>
    </w:p>
    <w:p w:rsidR="00EF4063" w:rsidRPr="00F90B6B" w:rsidRDefault="00EF4063" w:rsidP="00F0048B">
      <w:pPr>
        <w:pStyle w:val="10"/>
        <w:spacing w:line="360" w:lineRule="auto"/>
        <w:ind w:firstLine="680"/>
        <w:rPr>
          <w:sz w:val="28"/>
          <w:szCs w:val="28"/>
          <w:lang w:val="uk-UA"/>
        </w:rPr>
      </w:pPr>
      <w:r w:rsidRPr="00F90B6B">
        <w:rPr>
          <w:sz w:val="28"/>
          <w:szCs w:val="28"/>
          <w:lang w:val="uk-UA"/>
        </w:rPr>
        <w:t>Рівень іонів калію в сироватці крові визначали турбодиметричним методом без депротеїнізації ("Філісит - Діагностика", Україна). Вміст іонів натрію в сироватці крові досліджували за допомогою реагентів для фотометричного визначення (уранілацетатний реагент) (</w:t>
      </w:r>
      <w:r w:rsidRPr="00F90B6B">
        <w:rPr>
          <w:sz w:val="28"/>
          <w:szCs w:val="28"/>
        </w:rPr>
        <w:t>DAC</w:t>
      </w:r>
      <w:r w:rsidRPr="00F90B6B">
        <w:rPr>
          <w:sz w:val="28"/>
          <w:szCs w:val="28"/>
          <w:lang w:val="uk-UA"/>
        </w:rPr>
        <w:t xml:space="preserve"> - </w:t>
      </w:r>
      <w:r w:rsidRPr="00F90B6B">
        <w:rPr>
          <w:sz w:val="28"/>
          <w:szCs w:val="28"/>
        </w:rPr>
        <w:t>SpectroMed</w:t>
      </w:r>
      <w:r w:rsidRPr="00F90B6B">
        <w:rPr>
          <w:sz w:val="28"/>
          <w:szCs w:val="28"/>
          <w:lang w:val="uk-UA"/>
        </w:rPr>
        <w:t>, Молдова).</w:t>
      </w:r>
    </w:p>
    <w:p w:rsidR="00EF4063" w:rsidRPr="00F90B6B" w:rsidRDefault="00EF4063" w:rsidP="00F0048B">
      <w:pPr>
        <w:pStyle w:val="10"/>
        <w:spacing w:line="360" w:lineRule="auto"/>
        <w:ind w:firstLine="680"/>
        <w:rPr>
          <w:sz w:val="28"/>
          <w:szCs w:val="28"/>
          <w:lang w:val="uk-UA"/>
        </w:rPr>
      </w:pPr>
      <w:r w:rsidRPr="00F90B6B">
        <w:rPr>
          <w:sz w:val="28"/>
          <w:szCs w:val="28"/>
          <w:lang w:val="uk-UA"/>
        </w:rPr>
        <w:t>Лабораторний біохімічний спектр параметрів ліпідного обміну визначали у плазмі крові за допомогою напівавтоматичного спектрофотометру СФ 2000 з визначенням вмісту загального холестерину плазми (ЗХС), холестерину ліпопротеїдів високої щільності (ХС-ЛПВЩ), холестерину ліпопротеїдів низької щільності (ХС-ЛПНЩ), тригліцеридів (ТГ), а також вміст загальних ліпідів плазми (ЗЛ).</w:t>
      </w:r>
    </w:p>
    <w:p w:rsidR="00EF4063" w:rsidRPr="00F90B6B" w:rsidRDefault="00EF4063" w:rsidP="00F0048B">
      <w:pPr>
        <w:widowControl w:val="0"/>
        <w:spacing w:after="0" w:line="360" w:lineRule="auto"/>
        <w:ind w:firstLine="680"/>
        <w:jc w:val="both"/>
        <w:rPr>
          <w:rFonts w:ascii="Times New Roman" w:hAnsi="Times New Roman"/>
          <w:sz w:val="28"/>
          <w:szCs w:val="28"/>
        </w:rPr>
      </w:pPr>
      <w:r w:rsidRPr="00F90B6B">
        <w:rPr>
          <w:rFonts w:ascii="Times New Roman" w:hAnsi="Times New Roman"/>
          <w:sz w:val="28"/>
          <w:szCs w:val="28"/>
        </w:rPr>
        <w:t xml:space="preserve">Визначення загального холестерину (ЗХС) (ммоль/л) проводили в плазмі крові ферментативним колориметричним методом використовуючи реактиви (ТОВ НВП «Філісіт-Діагностика») [14]. Вміст ХС-ЛПНЩ (г/л) визначали за допомогою гепаринового реактиву (ФОП Даниш) із додаванням іонів кальцію, вимірюючи колориметрично ступінь опалесценції яка з‘являється внаслідок цієї реакції. Вміст зразка ХС-ЛПНЩ у г/л перераховували у ммоль/л [9]. Визначення холестерину ЛПВЩ проводиться у два етапи: 1. До дослідного зразка додають осаджуюючий </w:t>
      </w:r>
      <w:r w:rsidRPr="00F90B6B">
        <w:rPr>
          <w:rFonts w:ascii="Times New Roman" w:hAnsi="Times New Roman"/>
          <w:sz w:val="28"/>
          <w:szCs w:val="28"/>
        </w:rPr>
        <w:lastRenderedPageBreak/>
        <w:t>реагент (хлорид магнію та фосфорновольфрамову кислоту), внаслідок чого хіломікріни, ліпопротеїди низької та дуже низької щільності випадають у осад. 2. Проводиться центрифугування 20 хв., на 4000 об/хв., забір надосадової рідини, яка містить неосаджений ХС-ЛПВЩ, який визначається ензиматичним колориметричним методом з використанням реактивів для вищначення загального холестерину [14]. Концентрацію тригліцеридів проводили ензиматичним колориметрим методом, за визначенням інтенсивності забарвлення кінцевого продукту реакції – хіноніміну при довжині хвилі 505 нм із використанням реактивів ТОВ НВП «Філісіт-Діагностика» [14, 41]. Вміст загальних ліпідів визначали за допомогою колориметричного методу, в основі якого лежить здатність фосфорнованілінового реактиву утворювати забарвлений комплекс із продуктами гідролізу  ненасичених ліпідів. Інтенсивність фотопоглинання комплексу вимірюють при довжині хвилі 530 нм. Концентрація загальних ліпідів плазми визначається у г/л, референсні величини складають 5±2 г/л [14].</w:t>
      </w:r>
    </w:p>
    <w:p w:rsidR="00EF4063" w:rsidRPr="00F90B6B" w:rsidRDefault="00EF4063" w:rsidP="00F0048B">
      <w:pPr>
        <w:widowControl w:val="0"/>
        <w:spacing w:after="0" w:line="360" w:lineRule="auto"/>
        <w:ind w:firstLine="680"/>
        <w:jc w:val="both"/>
        <w:rPr>
          <w:rFonts w:ascii="Times New Roman" w:hAnsi="Times New Roman"/>
          <w:sz w:val="28"/>
          <w:szCs w:val="28"/>
        </w:rPr>
      </w:pPr>
      <w:r w:rsidRPr="00F90B6B">
        <w:rPr>
          <w:rFonts w:ascii="Times New Roman" w:hAnsi="Times New Roman"/>
          <w:sz w:val="28"/>
          <w:szCs w:val="28"/>
        </w:rPr>
        <w:t xml:space="preserve">Вміст холестерину ліпопротеїдів дуже низької щільності (ХС-ЛПДНЩ) визначали за формулою: ХС-ЛПДНЩ = 0,45 х ТГ (ммоль/л) [3]. </w:t>
      </w:r>
    </w:p>
    <w:p w:rsidR="00EF4063" w:rsidRPr="00F90B6B" w:rsidRDefault="00EF4063" w:rsidP="00F0048B">
      <w:pPr>
        <w:pStyle w:val="a6"/>
        <w:spacing w:after="0" w:line="360" w:lineRule="auto"/>
        <w:ind w:left="0" w:firstLine="709"/>
        <w:jc w:val="both"/>
        <w:rPr>
          <w:sz w:val="28"/>
          <w:szCs w:val="28"/>
        </w:rPr>
      </w:pPr>
    </w:p>
    <w:p w:rsidR="00EF4063" w:rsidRPr="00F90B6B" w:rsidRDefault="00EF4063" w:rsidP="00F0048B">
      <w:pPr>
        <w:pStyle w:val="10"/>
        <w:spacing w:line="360" w:lineRule="auto"/>
        <w:ind w:firstLine="680"/>
        <w:rPr>
          <w:sz w:val="28"/>
          <w:szCs w:val="28"/>
          <w:lang w:val="uk-UA"/>
        </w:rPr>
      </w:pPr>
      <w:r w:rsidRPr="00F90B6B">
        <w:rPr>
          <w:b/>
          <w:sz w:val="28"/>
          <w:szCs w:val="28"/>
          <w:lang w:val="uk-UA"/>
        </w:rPr>
        <w:t>2.4. Методи статистичного аналізу.</w:t>
      </w:r>
    </w:p>
    <w:p w:rsidR="00EF4063" w:rsidRPr="00F90B6B" w:rsidRDefault="00EF4063" w:rsidP="00F0048B">
      <w:pPr>
        <w:widowControl w:val="0"/>
        <w:spacing w:after="0" w:line="360" w:lineRule="auto"/>
        <w:ind w:firstLine="680"/>
        <w:jc w:val="both"/>
        <w:rPr>
          <w:rFonts w:ascii="Times New Roman" w:hAnsi="Times New Roman"/>
          <w:sz w:val="28"/>
          <w:szCs w:val="28"/>
          <w:lang w:eastAsia="uk-UA"/>
        </w:rPr>
      </w:pPr>
      <w:r w:rsidRPr="00F90B6B">
        <w:rPr>
          <w:rFonts w:ascii="Times New Roman" w:hAnsi="Times New Roman"/>
          <w:sz w:val="28"/>
          <w:szCs w:val="28"/>
        </w:rPr>
        <w:t>Для статистичного аналізу отриманих результатів використовували пакет програм обробки даних загального призначення Statistica for Windows версії 7.0</w:t>
      </w:r>
      <w:r w:rsidRPr="00F90B6B">
        <w:rPr>
          <w:rFonts w:ascii="Times New Roman" w:hAnsi="Times New Roman"/>
          <w:sz w:val="28"/>
          <w:szCs w:val="28"/>
          <w:lang w:eastAsia="uk-UA"/>
        </w:rPr>
        <w:t xml:space="preserve"> (Stat Soft inc., США) та </w:t>
      </w:r>
      <w:r w:rsidRPr="00F90B6B">
        <w:rPr>
          <w:rFonts w:ascii="Times New Roman" w:hAnsi="Times New Roman"/>
          <w:sz w:val="28"/>
          <w:szCs w:val="28"/>
          <w:lang w:val="en-US"/>
        </w:rPr>
        <w:t>SPSS</w:t>
      </w:r>
      <w:r w:rsidRPr="00F90B6B">
        <w:rPr>
          <w:rFonts w:ascii="Times New Roman" w:hAnsi="Times New Roman"/>
          <w:sz w:val="28"/>
          <w:szCs w:val="28"/>
        </w:rPr>
        <w:t xml:space="preserve"> 17.0.</w:t>
      </w:r>
      <w:r w:rsidRPr="00F90B6B">
        <w:rPr>
          <w:rFonts w:ascii="Times New Roman" w:hAnsi="Times New Roman"/>
          <w:sz w:val="28"/>
          <w:szCs w:val="28"/>
          <w:lang w:eastAsia="uk-UA"/>
        </w:rPr>
        <w:t xml:space="preserve"> </w:t>
      </w:r>
    </w:p>
    <w:p w:rsidR="00EF4063" w:rsidRPr="00F90B6B" w:rsidRDefault="00EF4063" w:rsidP="00F0048B">
      <w:pPr>
        <w:widowControl w:val="0"/>
        <w:spacing w:after="0" w:line="360" w:lineRule="auto"/>
        <w:ind w:firstLine="680"/>
        <w:jc w:val="both"/>
        <w:rPr>
          <w:rFonts w:ascii="Times New Roman" w:hAnsi="Times New Roman"/>
          <w:sz w:val="28"/>
          <w:szCs w:val="28"/>
          <w:lang w:eastAsia="uk-UA"/>
        </w:rPr>
      </w:pPr>
      <w:r w:rsidRPr="00F90B6B">
        <w:rPr>
          <w:rFonts w:ascii="Times New Roman" w:hAnsi="Times New Roman"/>
          <w:sz w:val="28"/>
          <w:szCs w:val="28"/>
          <w:lang w:eastAsia="uk-UA"/>
        </w:rPr>
        <w:t xml:space="preserve">Нормальність розподілу перевіряли за допомогою тесту Колмогорова-Смірнова. Достовірність різниці визначали за допомогою t-критерію Стьюдента та F-критерію Фішера для параметричних даних. При непараметричному розподілі використовували </w:t>
      </w:r>
      <w:r w:rsidRPr="00F90B6B">
        <w:rPr>
          <w:rFonts w:ascii="Times New Roman" w:hAnsi="Times New Roman"/>
          <w:sz w:val="28"/>
          <w:szCs w:val="28"/>
        </w:rPr>
        <w:t xml:space="preserve">для множинного порівняння – Н-критерій Краскела-Уоліса, для парного – ранговий U-критерій Манна-Уітні (у випадку незалежних вибірок) та Т-критерій Вілкоксона (у випадку залежних груп). </w:t>
      </w:r>
      <w:r w:rsidRPr="00F90B6B">
        <w:rPr>
          <w:rFonts w:ascii="Times New Roman" w:hAnsi="Times New Roman"/>
          <w:sz w:val="28"/>
          <w:szCs w:val="28"/>
          <w:lang w:eastAsia="uk-UA"/>
        </w:rPr>
        <w:t xml:space="preserve">Для оцінки міри залежності між перемінними використовували кореляційний аналіз за Пірсоном при параметричному розподілі та коефіціент рангової кореляції Спірмена при розподілі показників, що вірогідно відрізнялися від нормального. Кількісні показники, які мали нормальний </w:t>
      </w:r>
      <w:r w:rsidRPr="00F90B6B">
        <w:rPr>
          <w:rFonts w:ascii="Times New Roman" w:hAnsi="Times New Roman"/>
          <w:sz w:val="28"/>
          <w:szCs w:val="28"/>
          <w:lang w:eastAsia="uk-UA"/>
        </w:rPr>
        <w:lastRenderedPageBreak/>
        <w:t>розподіл представлені у вигляді середнє±стандартне відхилення [</w:t>
      </w:r>
      <w:r w:rsidRPr="00F90B6B">
        <w:rPr>
          <w:rFonts w:ascii="Times New Roman" w:hAnsi="Times New Roman"/>
          <w:sz w:val="28"/>
          <w:szCs w:val="28"/>
        </w:rPr>
        <w:t>12</w:t>
      </w:r>
      <w:r w:rsidRPr="00F90B6B">
        <w:rPr>
          <w:rFonts w:ascii="Times New Roman" w:hAnsi="Times New Roman"/>
          <w:sz w:val="28"/>
          <w:szCs w:val="28"/>
          <w:lang w:eastAsia="uk-UA"/>
        </w:rPr>
        <w:t xml:space="preserve">]. </w:t>
      </w:r>
    </w:p>
    <w:p w:rsidR="00EF4063" w:rsidRPr="00F90B6B" w:rsidRDefault="00EF4063" w:rsidP="00F0048B">
      <w:pPr>
        <w:widowControl w:val="0"/>
        <w:spacing w:after="0" w:line="360" w:lineRule="auto"/>
        <w:ind w:firstLine="680"/>
        <w:jc w:val="both"/>
        <w:rPr>
          <w:rFonts w:ascii="Times New Roman" w:hAnsi="Times New Roman"/>
          <w:sz w:val="28"/>
          <w:szCs w:val="28"/>
          <w:lang w:eastAsia="uk-UA"/>
        </w:rPr>
      </w:pPr>
      <w:r w:rsidRPr="00F90B6B">
        <w:rPr>
          <w:rFonts w:ascii="Times New Roman" w:hAnsi="Times New Roman"/>
          <w:sz w:val="28"/>
          <w:szCs w:val="28"/>
          <w:lang w:eastAsia="uk-UA"/>
        </w:rPr>
        <w:t>Дискретні величини представлені у вигляді частот (процент спостережень до загальної кількості обстежених). Для порівняння дискретних величин у незалежних группах використовували критерій χ2 Пірсона.</w:t>
      </w:r>
    </w:p>
    <w:p w:rsidR="00EF4063" w:rsidRPr="00F90B6B" w:rsidRDefault="00EF4063" w:rsidP="00F0048B">
      <w:pPr>
        <w:widowControl w:val="0"/>
        <w:spacing w:after="0" w:line="360" w:lineRule="auto"/>
        <w:ind w:firstLine="680"/>
        <w:jc w:val="both"/>
        <w:rPr>
          <w:rFonts w:ascii="Times New Roman" w:hAnsi="Times New Roman"/>
          <w:sz w:val="28"/>
          <w:szCs w:val="28"/>
          <w:lang w:eastAsia="ru-RU"/>
        </w:rPr>
      </w:pPr>
      <w:r w:rsidRPr="00F90B6B">
        <w:rPr>
          <w:rFonts w:ascii="Times New Roman" w:hAnsi="Times New Roman"/>
          <w:sz w:val="28"/>
          <w:szCs w:val="28"/>
          <w:lang w:eastAsia="uk-UA"/>
        </w:rPr>
        <w:t xml:space="preserve">Оцінка ризику настання несприятливої події проводилась з врахуванням </w:t>
      </w:r>
      <w:r w:rsidRPr="00F90B6B">
        <w:rPr>
          <w:rFonts w:ascii="Times New Roman" w:hAnsi="Times New Roman"/>
          <w:sz w:val="28"/>
          <w:szCs w:val="28"/>
        </w:rPr>
        <w:t xml:space="preserve">абсолютного (AR) та відносного (RR) ризиків, а також відношення шансів (OR), з розрахунком довірчих інтервалів та критерію достовірності щодо RR та OR [12]. </w:t>
      </w:r>
    </w:p>
    <w:p w:rsidR="00EF4063" w:rsidRPr="00F90B6B" w:rsidRDefault="00EF4063" w:rsidP="00F0048B">
      <w:pPr>
        <w:widowControl w:val="0"/>
        <w:spacing w:after="0" w:line="360" w:lineRule="auto"/>
        <w:ind w:firstLine="680"/>
        <w:jc w:val="both"/>
        <w:rPr>
          <w:rFonts w:ascii="Times New Roman" w:hAnsi="Times New Roman"/>
          <w:sz w:val="28"/>
          <w:szCs w:val="28"/>
          <w:lang w:eastAsia="uk-UA"/>
        </w:rPr>
      </w:pPr>
      <w:r w:rsidRPr="00F90B6B">
        <w:rPr>
          <w:rFonts w:ascii="Times New Roman" w:hAnsi="Times New Roman"/>
          <w:sz w:val="28"/>
          <w:szCs w:val="28"/>
          <w:lang w:eastAsia="uk-UA"/>
        </w:rPr>
        <w:t>При р&lt;0,05 розбіжності вважали статистично вірогідними.</w:t>
      </w:r>
    </w:p>
    <w:p w:rsidR="00EF4063" w:rsidRPr="00F90B6B" w:rsidRDefault="00EF4063" w:rsidP="00F0048B">
      <w:pPr>
        <w:widowControl w:val="0"/>
        <w:spacing w:after="0" w:line="360" w:lineRule="auto"/>
        <w:ind w:firstLine="680"/>
        <w:jc w:val="both"/>
        <w:rPr>
          <w:rFonts w:ascii="Times New Roman" w:hAnsi="Times New Roman"/>
          <w:b/>
          <w:sz w:val="28"/>
          <w:szCs w:val="28"/>
          <w:lang w:eastAsia="uk-UA"/>
        </w:rPr>
      </w:pPr>
    </w:p>
    <w:p w:rsidR="00EF4063" w:rsidRPr="00F90B6B" w:rsidRDefault="00EF4063" w:rsidP="00F0048B">
      <w:pPr>
        <w:widowControl w:val="0"/>
        <w:spacing w:after="0" w:line="360" w:lineRule="auto"/>
        <w:ind w:firstLine="680"/>
        <w:jc w:val="both"/>
        <w:rPr>
          <w:rFonts w:ascii="Times New Roman" w:hAnsi="Times New Roman"/>
          <w:b/>
          <w:sz w:val="28"/>
          <w:szCs w:val="28"/>
          <w:lang w:eastAsia="uk-UA"/>
        </w:rPr>
      </w:pPr>
      <w:r w:rsidRPr="00F90B6B">
        <w:rPr>
          <w:rFonts w:ascii="Times New Roman" w:hAnsi="Times New Roman"/>
          <w:b/>
          <w:sz w:val="28"/>
          <w:szCs w:val="28"/>
          <w:lang w:eastAsia="uk-UA"/>
        </w:rPr>
        <w:t>2.5. Забезпечення вимог біоетики</w:t>
      </w:r>
    </w:p>
    <w:p w:rsidR="00EF4063" w:rsidRPr="00F90B6B" w:rsidRDefault="00EF4063" w:rsidP="00F0048B">
      <w:pPr>
        <w:autoSpaceDE w:val="0"/>
        <w:autoSpaceDN w:val="0"/>
        <w:adjustRightInd w:val="0"/>
        <w:spacing w:after="0" w:line="360" w:lineRule="auto"/>
        <w:ind w:firstLine="680"/>
        <w:jc w:val="both"/>
        <w:rPr>
          <w:rFonts w:ascii="Times New Roman" w:eastAsia="TimesNewRoman" w:hAnsi="Times New Roman"/>
          <w:sz w:val="28"/>
          <w:szCs w:val="28"/>
          <w:lang w:val="ru-RU"/>
        </w:rPr>
      </w:pPr>
      <w:r w:rsidRPr="00F90B6B">
        <w:rPr>
          <w:rFonts w:ascii="Times New Roman" w:hAnsi="Times New Roman"/>
          <w:sz w:val="28"/>
          <w:szCs w:val="28"/>
          <w:lang w:eastAsia="uk-UA"/>
        </w:rPr>
        <w:t xml:space="preserve">Дослідження виконано відповідно до основних принципів Хельсінкської декларації по біомедичним дослідженням (1974), адаптованої на 41-й Міжнародній асамблеї у Гонконзі (вересень, 1989 р.), в яких людина виступає їх об’єктом. У ньому дотримуються таких базисних принципів як повага особистості, інформованість пацієнта, оцінка ризику шкоди та користі. У цілому, цей протокол відображує етичні принципи у відношенні до людей, які виступають суб’єктами обстеження, викладені у Белмонтській доповіді (18.04.1979 р.) (Люди, що є суб’єктами дослідження // Белмонтська доповідь. Україно-Американський семінар з питань біоетики / Київ, 10-12 грудня 2001 року). Протокол обстеження хворих був </w:t>
      </w:r>
      <w:r w:rsidRPr="00F90B6B">
        <w:rPr>
          <w:rFonts w:ascii="Times New Roman" w:eastAsia="TimesNewRoman" w:hAnsi="Times New Roman"/>
          <w:sz w:val="28"/>
          <w:szCs w:val="28"/>
        </w:rPr>
        <w:t>проведення дисертаційного дослідження було ухвалено комісією з питань біоетики ДУ «Національний інститут терапії імені Л.Т. Малої НАМН України» згідно до протоколу № 14 від 25.12.2015</w:t>
      </w:r>
      <w:r w:rsidRPr="00F90B6B">
        <w:rPr>
          <w:rFonts w:ascii="Times New Roman" w:eastAsia="TimesNewRoman" w:hAnsi="Times New Roman"/>
          <w:color w:val="FF0000"/>
          <w:sz w:val="28"/>
          <w:szCs w:val="28"/>
        </w:rPr>
        <w:t xml:space="preserve"> </w:t>
      </w:r>
      <w:r w:rsidRPr="00F90B6B">
        <w:rPr>
          <w:rFonts w:ascii="Times New Roman" w:eastAsia="TimesNewRoman" w:hAnsi="Times New Roman"/>
          <w:sz w:val="28"/>
          <w:szCs w:val="28"/>
        </w:rPr>
        <w:t xml:space="preserve">року </w:t>
      </w:r>
      <w:r w:rsidRPr="00F90B6B">
        <w:rPr>
          <w:rFonts w:ascii="Times New Roman" w:hAnsi="Times New Roman"/>
          <w:sz w:val="28"/>
          <w:szCs w:val="28"/>
          <w:lang w:eastAsia="uk-UA"/>
        </w:rPr>
        <w:t xml:space="preserve">затверджений на засіданні адміністрації </w:t>
      </w:r>
      <w:r w:rsidRPr="00F90B6B">
        <w:rPr>
          <w:rFonts w:ascii="Times New Roman" w:hAnsi="Times New Roman"/>
          <w:sz w:val="28"/>
          <w:szCs w:val="28"/>
        </w:rPr>
        <w:t>державної установи «Національний інститут терапії ім. Л. Т. Малої НАМН Укр</w:t>
      </w:r>
      <w:r w:rsidRPr="00F90B6B">
        <w:rPr>
          <w:rFonts w:ascii="Times New Roman" w:hAnsi="Times New Roman"/>
          <w:sz w:val="28"/>
        </w:rPr>
        <w:t>аїни» (м. Харків).</w:t>
      </w:r>
      <w:r w:rsidRPr="00F90B6B">
        <w:rPr>
          <w:rFonts w:ascii="Times New Roman" w:hAnsi="Times New Roman"/>
          <w:sz w:val="28"/>
          <w:szCs w:val="28"/>
          <w:lang w:eastAsia="uk-UA"/>
        </w:rPr>
        <w:t xml:space="preserve"> </w:t>
      </w:r>
    </w:p>
    <w:p w:rsidR="00EF4063" w:rsidRPr="007F242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b/>
          <w:sz w:val="28"/>
          <w:szCs w:val="28"/>
          <w:lang w:eastAsia="uk-UA"/>
        </w:rPr>
        <w:br w:type="page"/>
      </w:r>
      <w:r w:rsidRPr="007F242B">
        <w:rPr>
          <w:rFonts w:ascii="Times New Roman" w:hAnsi="Times New Roman"/>
          <w:sz w:val="28"/>
          <w:szCs w:val="28"/>
          <w:lang w:eastAsia="uk-UA"/>
        </w:rPr>
        <w:lastRenderedPageBreak/>
        <w:t>РОЗДІЛ 3</w:t>
      </w:r>
    </w:p>
    <w:p w:rsidR="00EF4063" w:rsidRPr="007F242B" w:rsidRDefault="00EF4063" w:rsidP="00F0048B">
      <w:pPr>
        <w:spacing w:after="0" w:line="360" w:lineRule="auto"/>
        <w:jc w:val="center"/>
        <w:rPr>
          <w:rFonts w:ascii="Times New Roman" w:hAnsi="Times New Roman"/>
          <w:sz w:val="28"/>
          <w:szCs w:val="28"/>
          <w:lang w:eastAsia="uk-UA"/>
        </w:rPr>
      </w:pPr>
      <w:r w:rsidRPr="007F242B">
        <w:rPr>
          <w:rFonts w:ascii="Times New Roman" w:hAnsi="Times New Roman"/>
          <w:sz w:val="28"/>
          <w:szCs w:val="28"/>
          <w:lang w:eastAsia="uk-UA"/>
        </w:rPr>
        <w:t>РЕЗУЛЬТАТИ ВЛАСНИХ ДОСЛІДЖЕНЬ</w:t>
      </w: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ind w:firstLine="709"/>
        <w:jc w:val="both"/>
        <w:rPr>
          <w:rFonts w:ascii="Times New Roman" w:hAnsi="Times New Roman"/>
          <w:b/>
          <w:sz w:val="28"/>
          <w:szCs w:val="28"/>
        </w:rPr>
      </w:pPr>
      <w:r w:rsidRPr="00F90B6B">
        <w:rPr>
          <w:rFonts w:ascii="Times New Roman" w:hAnsi="Times New Roman"/>
          <w:b/>
          <w:sz w:val="28"/>
          <w:szCs w:val="28"/>
        </w:rPr>
        <w:t>3.1. Поширеність та фактори, асоційовані з гіпонатріємією у хворих з хронічною серцевою недостатністю зі збереженою фракцією викиду лівого шлуночка.</w:t>
      </w:r>
    </w:p>
    <w:p w:rsidR="00EF4063" w:rsidRPr="00F90B6B" w:rsidRDefault="00EF4063" w:rsidP="00F0048B">
      <w:pPr>
        <w:spacing w:after="0" w:line="360" w:lineRule="auto"/>
        <w:ind w:firstLine="709"/>
        <w:jc w:val="both"/>
        <w:rPr>
          <w:rFonts w:ascii="Times New Roman" w:hAnsi="Times New Roman"/>
          <w:b/>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Гіпонатріємія, що супроводжується зниженням рівня натрію в сироватці менше 135 ммоль/л є частим порушенням електролітного обміну у хворих з хронічною серцевою недостатністю. Даний стан є додатковим фактором ризику підвищеної смертності, повторних госпіталізацій та погіршення функції нирок. Несприятливий вплив догоспітальної та внутрішньогоспітальної гіпонатріємії на загальний, серцево-судинний та нирковий прогноз підтверджений у хворих з декомпенсованою ХСН в ряді досліджень [89, 91].</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цих же роботах визначено поширеність догоспітальної та внутрішньогоспітальної гіпонатріємії, що коливається від 8,0 до 20,0% [89, 91], вплив на серцево-судинні наслідки у хворих з декомпенсацією ХСН [17, 18]. Незважаючи на певні коливання розповсюдженості гіпонатріємії в різних регіонах, необхідно зазначити, що хворі з ХСН з розвитком внутрішньогоспітальної гіпонатріємії становлять особливу клінічну групу. Зокрема, в цю групу входять пацієнти з великою кількістю супутніх захворювань та низькими значеннями ШКФ.</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Проте, вивчення поширеності гіпонатріємії у хворих з ХСН в нашій країні, фактично, не проводилось. Також немає досліджень, що представляють можливі фактори, які асоційовані з цим клінічним станом.</w:t>
      </w:r>
      <w:r w:rsidRPr="00F90B6B">
        <w:rPr>
          <w:rFonts w:ascii="Times New Roman" w:hAnsi="Times New Roman"/>
          <w:sz w:val="28"/>
          <w:szCs w:val="28"/>
          <w:lang w:val="ru-RU"/>
        </w:rPr>
        <w:t xml:space="preserve"> </w:t>
      </w:r>
      <w:r w:rsidRPr="00F90B6B">
        <w:rPr>
          <w:rFonts w:ascii="Times New Roman" w:hAnsi="Times New Roman"/>
          <w:sz w:val="28"/>
          <w:szCs w:val="28"/>
        </w:rPr>
        <w:t>Тому метою даного етапу дослідження було вивчити поширеність та можливі фактори, асоційовані з гіпонатріємією у хворих з хронічною серцевою недостатністю зі збереженою фракцією викиду лівого шлуночка.</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Для досягнення даної мети було проведено проспективне клінічне спостереження та обстежено 146 хворих з ХСН зі збереженою фракцією викиду лівого шлуночка. Всім хворим проводились клінічне та функціональне дослідження </w:t>
      </w:r>
      <w:r w:rsidRPr="00F90B6B">
        <w:rPr>
          <w:sz w:val="28"/>
          <w:szCs w:val="28"/>
        </w:rPr>
        <w:lastRenderedPageBreak/>
        <w:t xml:space="preserve">із застосуванням електрокардіографії та ЕхоКГ, лабораторне обстеження із включенням іонограми, біохімічного обстеження, визначення вмісту печінковоспецифічних та кардіоспецифічних ферментів, імуноферментне з дослідженням вмісту натрійуретичного пептиду та альдостерону. </w:t>
      </w:r>
    </w:p>
    <w:p w:rsidR="00EF4063" w:rsidRPr="00F90B6B" w:rsidRDefault="00EF4063" w:rsidP="00F0048B">
      <w:pPr>
        <w:tabs>
          <w:tab w:val="left" w:pos="308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Дослідження проводилось рандомізованим методом – випадкове включення, за виключенням хворих з декомпенсованими соматичними захворюваннями, вадами серця, наявністю гострих порушень коронарного кровообігу. Першим кро</w:t>
      </w:r>
      <w:r w:rsidR="00D25DD7">
        <w:rPr>
          <w:rFonts w:ascii="Times New Roman" w:hAnsi="Times New Roman"/>
          <w:sz w:val="28"/>
          <w:szCs w:val="28"/>
        </w:rPr>
        <w:t>ком була оцінка поширеності</w:t>
      </w:r>
      <w:r w:rsidRPr="00F90B6B">
        <w:rPr>
          <w:rFonts w:ascii="Times New Roman" w:hAnsi="Times New Roman"/>
          <w:sz w:val="28"/>
          <w:szCs w:val="28"/>
        </w:rPr>
        <w:t xml:space="preserve"> гіпонатріємії у госпіталізованих хворих з ХСН, рис. 3.1.1. </w:t>
      </w:r>
    </w:p>
    <w:p w:rsidR="00EF4063" w:rsidRPr="00F90B6B" w:rsidRDefault="00EF4063" w:rsidP="00F0048B">
      <w:pPr>
        <w:tabs>
          <w:tab w:val="left" w:pos="308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За критерій гіпонатріємії прийнятий рівень </w:t>
      </w:r>
      <w:r w:rsidRPr="00F90B6B">
        <w:rPr>
          <w:rFonts w:ascii="Times New Roman" w:hAnsi="Times New Roman"/>
          <w:sz w:val="28"/>
          <w:szCs w:val="28"/>
          <w:lang w:val="en-US"/>
        </w:rPr>
        <w:t>Na</w:t>
      </w:r>
      <w:r w:rsidRPr="00F90B6B">
        <w:rPr>
          <w:rFonts w:ascii="Times New Roman" w:hAnsi="Times New Roman"/>
          <w:sz w:val="28"/>
          <w:szCs w:val="28"/>
        </w:rPr>
        <w:t xml:space="preserve">+ 135 ммоль/л, нормонатріємії – 135-155 ммоль/л, гіпернатріємії – більше 155 ммоль/л. Встановлено, що серед хворих, госпіталізованих з приводу декомпенсації хронічної СН частота гіпонатріємії сягає 33,5% (49 чол.), число хворих з нормонатріємією становило 51,3% (75 чол.), підвищеним рівнем </w:t>
      </w:r>
      <w:r w:rsidRPr="00F90B6B">
        <w:rPr>
          <w:rFonts w:ascii="Times New Roman" w:hAnsi="Times New Roman"/>
          <w:sz w:val="28"/>
          <w:szCs w:val="28"/>
          <w:lang w:val="en-US"/>
        </w:rPr>
        <w:t>Na</w:t>
      </w:r>
      <w:r w:rsidRPr="00F90B6B">
        <w:rPr>
          <w:rFonts w:ascii="Times New Roman" w:hAnsi="Times New Roman"/>
          <w:sz w:val="28"/>
          <w:szCs w:val="28"/>
        </w:rPr>
        <w:t>+ - 15,1% (22 чол.), рис. 3.1.1.</w:t>
      </w:r>
    </w:p>
    <w:p w:rsidR="00EF4063" w:rsidRPr="00F90B6B" w:rsidRDefault="00EF4063" w:rsidP="00F0048B">
      <w:pPr>
        <w:tabs>
          <w:tab w:val="left" w:pos="3084"/>
        </w:tabs>
        <w:spacing w:after="0" w:line="360" w:lineRule="auto"/>
        <w:ind w:firstLine="709"/>
        <w:jc w:val="both"/>
        <w:rPr>
          <w:rFonts w:ascii="Times New Roman" w:hAnsi="Times New Roman"/>
          <w:sz w:val="28"/>
          <w:szCs w:val="28"/>
        </w:rPr>
      </w:pPr>
    </w:p>
    <w:p w:rsidR="00EF4063" w:rsidRPr="00F90B6B" w:rsidRDefault="006F7754" w:rsidP="00F0048B">
      <w:pPr>
        <w:tabs>
          <w:tab w:val="left" w:pos="3084"/>
        </w:tabs>
        <w:spacing w:after="0" w:line="360" w:lineRule="auto"/>
        <w:ind w:firstLine="709"/>
        <w:jc w:val="both"/>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534025" cy="2600325"/>
            <wp:effectExtent l="0" t="0" r="0" b="0"/>
            <wp:docPr id="154" name="Диаграмма 8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F4063" w:rsidRPr="00F90B6B" w:rsidRDefault="00EF4063" w:rsidP="00F0048B">
      <w:pPr>
        <w:tabs>
          <w:tab w:val="left" w:pos="3084"/>
        </w:tabs>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3.1.1. </w:t>
      </w:r>
      <w:r w:rsidRPr="00F90B6B">
        <w:rPr>
          <w:rFonts w:ascii="Times New Roman" w:hAnsi="Times New Roman"/>
          <w:sz w:val="28"/>
          <w:szCs w:val="28"/>
          <w:lang w:val="ru-RU"/>
        </w:rPr>
        <w:t>Поширеність</w:t>
      </w:r>
      <w:r w:rsidRPr="00F90B6B">
        <w:rPr>
          <w:rFonts w:ascii="Times New Roman" w:hAnsi="Times New Roman"/>
          <w:sz w:val="28"/>
          <w:szCs w:val="28"/>
        </w:rPr>
        <w:t xml:space="preserve"> гіпонатріємії у хворих, госпіталізованих з приводу ХСН.</w:t>
      </w:r>
    </w:p>
    <w:p w:rsidR="00EF4063" w:rsidRPr="00F90B6B" w:rsidRDefault="00EF4063" w:rsidP="00F0048B">
      <w:pPr>
        <w:tabs>
          <w:tab w:val="left" w:pos="2856"/>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2856"/>
        </w:tabs>
        <w:spacing w:after="0" w:line="360" w:lineRule="auto"/>
        <w:ind w:firstLine="709"/>
        <w:jc w:val="both"/>
        <w:rPr>
          <w:rFonts w:ascii="Times New Roman" w:hAnsi="Times New Roman"/>
          <w:sz w:val="28"/>
          <w:szCs w:val="28"/>
        </w:rPr>
      </w:pPr>
      <w:r w:rsidRPr="00F90B6B">
        <w:rPr>
          <w:rFonts w:ascii="Times New Roman" w:hAnsi="Times New Roman"/>
          <w:sz w:val="28"/>
          <w:szCs w:val="28"/>
        </w:rPr>
        <w:t>Наступним кроком був аналіз можливих асоціацій гіпонатріємії з факторами, що характеризують клінічні, лабораторні та інструментально-функціональні особливості перебігу ХСН.</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Аналізуючи абсолютний та відносний ризик, а також шанси гендерної залежності розвитку гіпонатріємії, порівняно з хворими, в яких не відмічено порушення іонного гомеостазу, при декомпенсації ХСН, були отримані дані, що представлені в таблиці 3.1.1.</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3.1.1</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шанси гендерної залежності розвитку гіпонатріємії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Жінки</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34,0</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1,19</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[0,72-1,98]</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1,29</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[0,62-2,66]</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Чоловіки</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28,0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2856"/>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2856"/>
        </w:tabs>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абсолютний ризик розвитку гіпонатріємії у жінок підвищується на 6,0%, відносний ризик – в 1,19 разів, шанси – в 1,29 разів.</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За оцінки вікової залежності розвитку гіпонатріємії у хворих з ХСН були отримані дані, що наведені на рис. 3.1.2.</w:t>
      </w:r>
    </w:p>
    <w:p w:rsidR="00EF4063" w:rsidRPr="00F90B6B" w:rsidRDefault="006F7754" w:rsidP="00F0048B">
      <w:pPr>
        <w:tabs>
          <w:tab w:val="left" w:pos="3864"/>
        </w:tabs>
        <w:spacing w:after="0" w:line="360" w:lineRule="auto"/>
        <w:ind w:firstLine="709"/>
        <w:jc w:val="both"/>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534025" cy="2828925"/>
            <wp:effectExtent l="0" t="0" r="0" b="0"/>
            <wp:docPr id="155" name="Диаграмма 8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3.1.2. </w:t>
      </w:r>
      <w:r w:rsidRPr="00F90B6B">
        <w:rPr>
          <w:rFonts w:ascii="Times New Roman" w:hAnsi="Times New Roman"/>
          <w:sz w:val="28"/>
          <w:szCs w:val="28"/>
        </w:rPr>
        <w:t>Середній вік хворих з ХСН залежно від наявності іонних порушень.</w:t>
      </w:r>
    </w:p>
    <w:p w:rsidR="00EF4063" w:rsidRPr="00F90B6B" w:rsidRDefault="006F7754" w:rsidP="00F0048B">
      <w:pPr>
        <w:tabs>
          <w:tab w:val="left" w:pos="3864"/>
        </w:tabs>
        <w:spacing w:after="0" w:line="360" w:lineRule="auto"/>
        <w:ind w:firstLine="709"/>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60288" behindDoc="0" locked="0" layoutInCell="1" allowOverlap="1">
                <wp:simplePos x="0" y="0"/>
                <wp:positionH relativeFrom="column">
                  <wp:posOffset>1302385</wp:posOffset>
                </wp:positionH>
                <wp:positionV relativeFrom="paragraph">
                  <wp:posOffset>1905</wp:posOffset>
                </wp:positionV>
                <wp:extent cx="274320" cy="148590"/>
                <wp:effectExtent l="0" t="0" r="11430" b="22860"/>
                <wp:wrapNone/>
                <wp:docPr id="21" name="5-конечная звезда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4320" cy="148590"/>
                        </a:xfrm>
                        <a:custGeom>
                          <a:avLst/>
                          <a:gdLst>
                            <a:gd name="T0" fmla="*/ 0 w 274320"/>
                            <a:gd name="T1" fmla="*/ 96049 h 251460"/>
                            <a:gd name="T2" fmla="*/ 104781 w 274320"/>
                            <a:gd name="T3" fmla="*/ 96050 h 251460"/>
                            <a:gd name="T4" fmla="*/ 137160 w 274320"/>
                            <a:gd name="T5" fmla="*/ 0 h 251460"/>
                            <a:gd name="T6" fmla="*/ 169539 w 274320"/>
                            <a:gd name="T7" fmla="*/ 96050 h 251460"/>
                            <a:gd name="T8" fmla="*/ 274320 w 274320"/>
                            <a:gd name="T9" fmla="*/ 96049 h 251460"/>
                            <a:gd name="T10" fmla="*/ 189550 w 274320"/>
                            <a:gd name="T11" fmla="*/ 155410 h 251460"/>
                            <a:gd name="T12" fmla="*/ 221929 w 274320"/>
                            <a:gd name="T13" fmla="*/ 251459 h 251460"/>
                            <a:gd name="T14" fmla="*/ 137160 w 274320"/>
                            <a:gd name="T15" fmla="*/ 192097 h 251460"/>
                            <a:gd name="T16" fmla="*/ 52391 w 274320"/>
                            <a:gd name="T17" fmla="*/ 251459 h 251460"/>
                            <a:gd name="T18" fmla="*/ 84770 w 274320"/>
                            <a:gd name="T19" fmla="*/ 155410 h 251460"/>
                            <a:gd name="T20" fmla="*/ 0 w 274320"/>
                            <a:gd name="T21" fmla="*/ 96049 h 25146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74320" h="251460">
                              <a:moveTo>
                                <a:pt x="0" y="96049"/>
                              </a:moveTo>
                              <a:lnTo>
                                <a:pt x="104781" y="96050"/>
                              </a:lnTo>
                              <a:lnTo>
                                <a:pt x="137160" y="0"/>
                              </a:lnTo>
                              <a:lnTo>
                                <a:pt x="169539" y="96050"/>
                              </a:lnTo>
                              <a:lnTo>
                                <a:pt x="274320" y="96049"/>
                              </a:lnTo>
                              <a:lnTo>
                                <a:pt x="189550" y="155410"/>
                              </a:lnTo>
                              <a:lnTo>
                                <a:pt x="221929" y="251459"/>
                              </a:lnTo>
                              <a:lnTo>
                                <a:pt x="137160" y="192097"/>
                              </a:lnTo>
                              <a:lnTo>
                                <a:pt x="52391" y="251459"/>
                              </a:lnTo>
                              <a:lnTo>
                                <a:pt x="84770" y="155410"/>
                              </a:lnTo>
                              <a:lnTo>
                                <a:pt x="0" y="96049"/>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4B256E0" id="5-конечная звезда 84" o:spid="_x0000_s1026" style="position:absolute;margin-left:102.55pt;margin-top:.15pt;width:21.6pt;height:1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74320,251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" path="m,96049r104781,1l137160,r32379,96050l274320,96049r-84770,59361l221929,251459,137160,192097,52391,251459,84770,155410,,96049xe" fillcolor="#4f81bd" strokecolor="#243f60" strokeweight="2pt">
                <v:path arrowok="t" o:connecttype="custom" o:connectlocs="0,56756;104781,56757;137160,0;169539,56757;274320,56756;189550,91833;221929,148589;137160,113512;52391,148589;84770,91833;0,56756" o:connectangles="0,0,0,0,0,0,0,0,0,0,0"/>
              </v:shape>
            </w:pict>
          </mc:Fallback>
        </mc:AlternateContent>
      </w:r>
      <w:r w:rsidR="00EF4063" w:rsidRPr="00F90B6B">
        <w:rPr>
          <w:rFonts w:ascii="Times New Roman" w:hAnsi="Times New Roman"/>
          <w:i/>
          <w:sz w:val="28"/>
          <w:szCs w:val="28"/>
        </w:rPr>
        <w:t xml:space="preserve">Примітка:       - </w:t>
      </w:r>
      <w:r w:rsidR="00EF4063" w:rsidRPr="00F90B6B">
        <w:rPr>
          <w:rFonts w:ascii="Times New Roman" w:hAnsi="Times New Roman"/>
          <w:sz w:val="28"/>
          <w:szCs w:val="28"/>
        </w:rPr>
        <w:t>вірогідна різниця між групами спостереження (р</w:t>
      </w:r>
      <w:r w:rsidR="00EF4063" w:rsidRPr="00F90B6B">
        <w:rPr>
          <w:rFonts w:ascii="Times New Roman" w:hAnsi="Times New Roman"/>
          <w:sz w:val="28"/>
          <w:szCs w:val="28"/>
          <w:lang w:val="ru-RU"/>
        </w:rPr>
        <w:t>&lt;0,05</w:t>
      </w:r>
      <w:r w:rsidR="00EF4063" w:rsidRPr="00F90B6B">
        <w:rPr>
          <w:rFonts w:ascii="Times New Roman" w:hAnsi="Times New Roman"/>
          <w:sz w:val="28"/>
          <w:szCs w:val="28"/>
        </w:rPr>
        <w:t>)</w:t>
      </w:r>
      <w:r w:rsidR="00EF4063" w:rsidRPr="00F90B6B">
        <w:rPr>
          <w:rFonts w:ascii="Times New Roman" w:hAnsi="Times New Roman"/>
          <w:sz w:val="28"/>
          <w:szCs w:val="28"/>
          <w:lang w:val="ru-RU"/>
        </w:rPr>
        <w:t>.</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Зокрема, середній вік хворих з гіпонатріємією був вірогідно вищим (65,9±5,35) в порівнянні з пацієнтами, які мали нормальний рівень натрію (59,8±4,22 р</w:t>
      </w:r>
      <w:r w:rsidRPr="00F90B6B">
        <w:rPr>
          <w:rFonts w:ascii="Times New Roman" w:hAnsi="Times New Roman"/>
          <w:sz w:val="28"/>
          <w:szCs w:val="28"/>
          <w:lang w:val="ru-RU"/>
        </w:rPr>
        <w:t>&lt;0,05</w:t>
      </w:r>
      <w:r w:rsidRPr="00F90B6B">
        <w:rPr>
          <w:rFonts w:ascii="Times New Roman" w:hAnsi="Times New Roman"/>
          <w:sz w:val="28"/>
          <w:szCs w:val="28"/>
        </w:rPr>
        <w:t xml:space="preserve">). </w:t>
      </w:r>
      <w:r w:rsidRPr="00F90B6B">
        <w:rPr>
          <w:rFonts w:ascii="Times New Roman" w:hAnsi="Times New Roman"/>
          <w:sz w:val="28"/>
          <w:szCs w:val="28"/>
        </w:rPr>
        <w:lastRenderedPageBreak/>
        <w:t>Таким чином, можна сказати, що гіпонатріємія є вік-асоційованим станом та частіше виявляється у пацієнтів старше 65 років.</w:t>
      </w:r>
    </w:p>
    <w:p w:rsidR="00EF4063" w:rsidRPr="00F90B6B" w:rsidRDefault="00EF4063" w:rsidP="00F0048B">
      <w:pPr>
        <w:tabs>
          <w:tab w:val="left" w:pos="1752"/>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Як бачимо, характерною </w:t>
      </w:r>
      <w:r w:rsidRPr="00021D22">
        <w:rPr>
          <w:rFonts w:ascii="Times New Roman" w:hAnsi="Times New Roman"/>
          <w:sz w:val="28"/>
          <w:szCs w:val="28"/>
        </w:rPr>
        <w:t xml:space="preserve">особливістю </w:t>
      </w:r>
      <w:r w:rsidR="00021D22" w:rsidRPr="00021D22">
        <w:rPr>
          <w:rFonts w:ascii="Times New Roman" w:hAnsi="Times New Roman" w:cs="Arial"/>
          <w:color w:val="222222"/>
          <w:sz w:val="28"/>
        </w:rPr>
        <w:t>поширеності</w:t>
      </w:r>
      <w:r w:rsidRPr="00F90B6B">
        <w:rPr>
          <w:rFonts w:ascii="Times New Roman" w:hAnsi="Times New Roman"/>
          <w:sz w:val="28"/>
          <w:szCs w:val="28"/>
        </w:rPr>
        <w:t xml:space="preserve"> гіпонатріємії була її більша частота у осіб, старших 65 років – 34,2% проти 23,0%.</w:t>
      </w:r>
    </w:p>
    <w:p w:rsidR="00EF4063" w:rsidRPr="00F90B6B" w:rsidRDefault="00EF4063" w:rsidP="00F0048B">
      <w:pPr>
        <w:tabs>
          <w:tab w:val="left" w:pos="1752"/>
        </w:tabs>
        <w:spacing w:after="0" w:line="360" w:lineRule="auto"/>
        <w:ind w:firstLine="709"/>
        <w:jc w:val="both"/>
        <w:rPr>
          <w:rFonts w:ascii="Times New Roman" w:hAnsi="Times New Roman"/>
          <w:sz w:val="28"/>
          <w:szCs w:val="28"/>
        </w:rPr>
      </w:pPr>
      <w:r w:rsidRPr="00F90B6B">
        <w:rPr>
          <w:rFonts w:ascii="Times New Roman" w:hAnsi="Times New Roman"/>
          <w:sz w:val="28"/>
          <w:szCs w:val="28"/>
        </w:rPr>
        <w:t>Виявлено зростання абсолютного ризику на 16,0% у осіб старших 65 років, відносний ризик – 1,43 [0,99-2,05] та відношення шансів 1,91 [0,96-3,80] виявлено, табл. 3.1.2.</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3.1.2</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шанси вікової залежності розвитку гіпонатріємії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 xml:space="preserve">Вік </w:t>
            </w:r>
            <w:r w:rsidRPr="00F90B6B">
              <w:rPr>
                <w:rFonts w:ascii="Times New Roman" w:hAnsi="Times New Roman"/>
                <w:i/>
                <w:sz w:val="28"/>
                <w:szCs w:val="28"/>
                <w:lang w:val="en-US"/>
              </w:rPr>
              <w:t xml:space="preserve">&gt;65 </w:t>
            </w:r>
            <w:r w:rsidRPr="00F90B6B">
              <w:rPr>
                <w:rFonts w:ascii="Times New Roman" w:hAnsi="Times New Roman"/>
                <w:i/>
                <w:sz w:val="28"/>
                <w:szCs w:val="28"/>
              </w:rPr>
              <w:t>років</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53,0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rPr>
              <w:t>1,43</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[0,99-2,05]</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1,91</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[0,96-3,80]</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 xml:space="preserve">Вік </w:t>
            </w:r>
            <w:r w:rsidRPr="00F90B6B">
              <w:rPr>
                <w:rFonts w:ascii="Times New Roman" w:hAnsi="Times New Roman"/>
                <w:i/>
                <w:sz w:val="28"/>
                <w:szCs w:val="28"/>
                <w:lang w:val="en-US"/>
              </w:rPr>
              <w:t xml:space="preserve">&lt;65 </w:t>
            </w:r>
            <w:r w:rsidRPr="00F90B6B">
              <w:rPr>
                <w:rFonts w:ascii="Times New Roman" w:hAnsi="Times New Roman"/>
                <w:i/>
                <w:sz w:val="28"/>
                <w:szCs w:val="28"/>
              </w:rPr>
              <w:t>років</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37,0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1752"/>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1752"/>
        </w:tabs>
        <w:spacing w:after="0" w:line="360" w:lineRule="auto"/>
        <w:ind w:firstLine="709"/>
        <w:jc w:val="both"/>
        <w:rPr>
          <w:rFonts w:ascii="Times New Roman" w:hAnsi="Times New Roman"/>
          <w:sz w:val="28"/>
          <w:szCs w:val="28"/>
        </w:rPr>
      </w:pPr>
      <w:r w:rsidRPr="00F90B6B">
        <w:rPr>
          <w:rFonts w:ascii="Times New Roman" w:hAnsi="Times New Roman"/>
          <w:sz w:val="28"/>
          <w:szCs w:val="28"/>
        </w:rPr>
        <w:t>Цікавим фактом було наявність асоціації гіпонатріємії з надлишковою вагою та ожирінням – індекс маси тіла становив 30,6±1,28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проти 28,7±1,75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при нормонатріємії та 27,3±1,54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при гіпернатріємії, рис. 3.1.3.</w:t>
      </w:r>
    </w:p>
    <w:p w:rsidR="00EF4063" w:rsidRPr="00F90B6B" w:rsidRDefault="006F7754" w:rsidP="00F0048B">
      <w:pPr>
        <w:tabs>
          <w:tab w:val="left" w:pos="3864"/>
        </w:tabs>
        <w:spacing w:after="0" w:line="360" w:lineRule="auto"/>
        <w:ind w:firstLine="709"/>
        <w:jc w:val="both"/>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534025" cy="2828925"/>
            <wp:effectExtent l="0" t="0" r="0" b="0"/>
            <wp:docPr id="156" name="Диаграмма 9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F4063" w:rsidRPr="00F90B6B" w:rsidRDefault="006F7754" w:rsidP="00F0048B">
      <w:pPr>
        <w:tabs>
          <w:tab w:val="left" w:pos="3864"/>
        </w:tabs>
        <w:spacing w:after="0" w:line="360" w:lineRule="auto"/>
        <w:ind w:firstLine="709"/>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61312" behindDoc="0" locked="0" layoutInCell="1" allowOverlap="1">
                <wp:simplePos x="0" y="0"/>
                <wp:positionH relativeFrom="column">
                  <wp:posOffset>1821180</wp:posOffset>
                </wp:positionH>
                <wp:positionV relativeFrom="paragraph">
                  <wp:posOffset>275590</wp:posOffset>
                </wp:positionV>
                <wp:extent cx="180975" cy="266065"/>
                <wp:effectExtent l="0" t="0" r="28575" b="19685"/>
                <wp:wrapNone/>
                <wp:docPr id="18" name="5-конечная звезда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0975" cy="266065"/>
                        </a:xfrm>
                        <a:custGeom>
                          <a:avLst/>
                          <a:gdLst>
                            <a:gd name="T0" fmla="*/ 0 w 274320"/>
                            <a:gd name="T1" fmla="*/ 96049 h 251460"/>
                            <a:gd name="T2" fmla="*/ 104781 w 274320"/>
                            <a:gd name="T3" fmla="*/ 96050 h 251460"/>
                            <a:gd name="T4" fmla="*/ 137160 w 274320"/>
                            <a:gd name="T5" fmla="*/ 0 h 251460"/>
                            <a:gd name="T6" fmla="*/ 169539 w 274320"/>
                            <a:gd name="T7" fmla="*/ 96050 h 251460"/>
                            <a:gd name="T8" fmla="*/ 274320 w 274320"/>
                            <a:gd name="T9" fmla="*/ 96049 h 251460"/>
                            <a:gd name="T10" fmla="*/ 189550 w 274320"/>
                            <a:gd name="T11" fmla="*/ 155410 h 251460"/>
                            <a:gd name="T12" fmla="*/ 221929 w 274320"/>
                            <a:gd name="T13" fmla="*/ 251459 h 251460"/>
                            <a:gd name="T14" fmla="*/ 137160 w 274320"/>
                            <a:gd name="T15" fmla="*/ 192097 h 251460"/>
                            <a:gd name="T16" fmla="*/ 52391 w 274320"/>
                            <a:gd name="T17" fmla="*/ 251459 h 251460"/>
                            <a:gd name="T18" fmla="*/ 84770 w 274320"/>
                            <a:gd name="T19" fmla="*/ 155410 h 251460"/>
                            <a:gd name="T20" fmla="*/ 0 w 274320"/>
                            <a:gd name="T21" fmla="*/ 96049 h 25146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74320" h="251460">
                              <a:moveTo>
                                <a:pt x="0" y="96049"/>
                              </a:moveTo>
                              <a:lnTo>
                                <a:pt x="104781" y="96050"/>
                              </a:lnTo>
                              <a:lnTo>
                                <a:pt x="137160" y="0"/>
                              </a:lnTo>
                              <a:lnTo>
                                <a:pt x="169539" y="96050"/>
                              </a:lnTo>
                              <a:lnTo>
                                <a:pt x="274320" y="96049"/>
                              </a:lnTo>
                              <a:lnTo>
                                <a:pt x="189550" y="155410"/>
                              </a:lnTo>
                              <a:lnTo>
                                <a:pt x="221929" y="251459"/>
                              </a:lnTo>
                              <a:lnTo>
                                <a:pt x="137160" y="192097"/>
                              </a:lnTo>
                              <a:lnTo>
                                <a:pt x="52391" y="251459"/>
                              </a:lnTo>
                              <a:lnTo>
                                <a:pt x="84770" y="155410"/>
                              </a:lnTo>
                              <a:lnTo>
                                <a:pt x="0" y="96049"/>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2BCF984" id="5-конечная звезда 85" o:spid="_x0000_s1026" style="position:absolute;margin-left:143.4pt;margin-top:21.7pt;width:14.25pt;height:20.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74320,251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" path="m,96049r104781,1l137160,r32379,96050l274320,96049r-84770,59361l221929,251459,137160,192097,52391,251459,84770,155410,,96049xe" fillcolor="#4f81bd" strokecolor="#243f60" strokeweight="2pt">
                <v:path arrowok="t" o:connecttype="custom" o:connectlocs="0,101628;69126,101629;90488,0;111849,101629;180975,101628;125050,164436;146411,266064;90488,203254;34564,266064;55925,164436;0,101628" o:connectangles="0,0,0,0,0,0,0,0,0,0,0"/>
              </v:shape>
            </w:pict>
          </mc:Fallback>
        </mc:AlternateContent>
      </w:r>
      <w:r w:rsidR="00EF4063" w:rsidRPr="00F90B6B">
        <w:rPr>
          <w:rFonts w:ascii="Times New Roman" w:hAnsi="Times New Roman"/>
          <w:b/>
          <w:sz w:val="28"/>
          <w:szCs w:val="28"/>
        </w:rPr>
        <w:t xml:space="preserve">Рис. 3.1.3. </w:t>
      </w:r>
      <w:r w:rsidR="00EF4063" w:rsidRPr="00F90B6B">
        <w:rPr>
          <w:rFonts w:ascii="Times New Roman" w:hAnsi="Times New Roman"/>
          <w:sz w:val="28"/>
          <w:szCs w:val="28"/>
        </w:rPr>
        <w:t>Індекс маси тіла хворих з ХСН залежно від наявності іонних порушень.</w:t>
      </w:r>
      <w:r w:rsidR="00EF4063" w:rsidRPr="00F90B6B">
        <w:rPr>
          <w:rFonts w:ascii="Times New Roman" w:hAnsi="Times New Roman"/>
          <w:sz w:val="28"/>
          <w:szCs w:val="28"/>
          <w:lang w:val="ru-RU"/>
        </w:rPr>
        <w:t xml:space="preserve"> </w:t>
      </w:r>
      <w:r w:rsidR="00EF4063" w:rsidRPr="00F90B6B">
        <w:rPr>
          <w:rFonts w:ascii="Times New Roman" w:hAnsi="Times New Roman"/>
          <w:i/>
          <w:sz w:val="28"/>
          <w:szCs w:val="28"/>
        </w:rPr>
        <w:t xml:space="preserve">Примітка:         - </w:t>
      </w:r>
      <w:r w:rsidR="00EF4063" w:rsidRPr="00F90B6B">
        <w:rPr>
          <w:rFonts w:ascii="Times New Roman" w:hAnsi="Times New Roman"/>
          <w:sz w:val="28"/>
          <w:szCs w:val="28"/>
        </w:rPr>
        <w:t>вірогідна різниця між групами спостереження (р</w:t>
      </w:r>
      <w:r w:rsidR="00EF4063" w:rsidRPr="00F90B6B">
        <w:rPr>
          <w:rFonts w:ascii="Times New Roman" w:hAnsi="Times New Roman"/>
          <w:sz w:val="28"/>
          <w:szCs w:val="28"/>
          <w:lang w:val="ru-RU"/>
        </w:rPr>
        <w:t>&lt;0,05</w:t>
      </w:r>
      <w:r w:rsidR="00EF4063" w:rsidRPr="00F90B6B">
        <w:rPr>
          <w:rFonts w:ascii="Times New Roman" w:hAnsi="Times New Roman"/>
          <w:sz w:val="28"/>
          <w:szCs w:val="28"/>
        </w:rPr>
        <w:t>)</w:t>
      </w:r>
      <w:r w:rsidR="00EF4063" w:rsidRPr="00F90B6B">
        <w:rPr>
          <w:rFonts w:ascii="Times New Roman" w:hAnsi="Times New Roman"/>
          <w:sz w:val="28"/>
          <w:szCs w:val="28"/>
          <w:lang w:val="ru-RU"/>
        </w:rPr>
        <w:t>.</w:t>
      </w:r>
    </w:p>
    <w:p w:rsidR="00EF4063" w:rsidRPr="00F90B6B" w:rsidRDefault="00EF4063" w:rsidP="00F0048B">
      <w:pPr>
        <w:tabs>
          <w:tab w:val="left" w:pos="3372"/>
        </w:tabs>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Аналізуючи кореляційну залежність між параметрами, що характеризують антропометричні показники та вміст натрію в плазмі, були отримані результати, наведені на рис. 3.1.4-3.1.7.</w:t>
      </w:r>
    </w:p>
    <w:p w:rsidR="00EF4063" w:rsidRPr="00F90B6B" w:rsidRDefault="00EF4063" w:rsidP="00F0048B">
      <w:pPr>
        <w:tabs>
          <w:tab w:val="left" w:pos="3372"/>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Слід зазначити, що в усіх випадках було отримано від’ємний вірогідний кореляційний зв’язок. Тобто, при нижчому рівні натрію верифіковано більшу вагу пацієнта (рис. 3.1.4.), більше ІМТ (рис. 3.1.5.), окружність талії (рис. 3.1.6.) та співвідношення розміру талії/стегна (рис. 3.1.7). Зокрема, зв’язок між вагою та вмістом іонізованого натрію в плазмі у пацієнтів, госпіталізованих з приводу ХСН встановлений як </w:t>
      </w:r>
      <w:r w:rsidRPr="00F90B6B">
        <w:rPr>
          <w:rFonts w:ascii="Times New Roman" w:hAnsi="Times New Roman"/>
          <w:sz w:val="28"/>
          <w:szCs w:val="28"/>
          <w:lang w:val="en-US"/>
        </w:rPr>
        <w:t>r</w:t>
      </w:r>
      <w:r w:rsidRPr="00F90B6B">
        <w:rPr>
          <w:rFonts w:ascii="Times New Roman" w:hAnsi="Times New Roman"/>
          <w:sz w:val="28"/>
          <w:szCs w:val="28"/>
        </w:rPr>
        <w:t>=-0,48 (</w:t>
      </w:r>
      <w:r w:rsidRPr="00F90B6B">
        <w:rPr>
          <w:rFonts w:ascii="Times New Roman" w:hAnsi="Times New Roman"/>
          <w:sz w:val="28"/>
          <w:szCs w:val="28"/>
          <w:lang w:val="en-US"/>
        </w:rPr>
        <w:t>p</w:t>
      </w:r>
      <w:r w:rsidRPr="00F90B6B">
        <w:rPr>
          <w:rFonts w:ascii="Times New Roman" w:hAnsi="Times New Roman"/>
          <w:sz w:val="28"/>
          <w:szCs w:val="28"/>
        </w:rPr>
        <w:t xml:space="preserve">&lt;0,05, рис. 3.1.4), індексом маси тіла та вмістом іонізованого натрію - </w:t>
      </w:r>
      <w:r w:rsidR="00476958" w:rsidRPr="00F90B6B">
        <w:rPr>
          <w:rFonts w:ascii="Times New Roman" w:hAnsi="Times New Roman"/>
          <w:sz w:val="28"/>
          <w:szCs w:val="28"/>
          <w:lang w:val="en-US"/>
        </w:rPr>
        <w:t>r</w:t>
      </w:r>
      <w:r w:rsidR="00476958" w:rsidRPr="00F90B6B">
        <w:rPr>
          <w:rFonts w:ascii="Times New Roman" w:hAnsi="Times New Roman"/>
          <w:sz w:val="28"/>
          <w:szCs w:val="28"/>
        </w:rPr>
        <w:t xml:space="preserve"> </w:t>
      </w:r>
      <w:r w:rsidRPr="00F90B6B">
        <w:rPr>
          <w:rFonts w:ascii="Times New Roman" w:hAnsi="Times New Roman"/>
          <w:sz w:val="28"/>
          <w:szCs w:val="28"/>
        </w:rPr>
        <w:t>=-0,35 (</w:t>
      </w:r>
      <w:r w:rsidRPr="00F90B6B">
        <w:rPr>
          <w:rFonts w:ascii="Times New Roman" w:hAnsi="Times New Roman"/>
          <w:sz w:val="28"/>
          <w:szCs w:val="28"/>
          <w:lang w:val="en-US"/>
        </w:rPr>
        <w:t>p</w:t>
      </w:r>
      <w:r w:rsidRPr="00F90B6B">
        <w:rPr>
          <w:rFonts w:ascii="Times New Roman" w:hAnsi="Times New Roman"/>
          <w:sz w:val="28"/>
          <w:szCs w:val="28"/>
        </w:rPr>
        <w:t>&lt;0,05, рис. 3.1.5).</w:t>
      </w:r>
    </w:p>
    <w:tbl>
      <w:tblPr>
        <w:tblW w:w="0" w:type="auto"/>
        <w:tblLook w:val="00A0" w:firstRow="1" w:lastRow="0" w:firstColumn="1" w:lastColumn="0" w:noHBand="0" w:noVBand="0"/>
      </w:tblPr>
      <w:tblGrid>
        <w:gridCol w:w="4927"/>
        <w:gridCol w:w="4928"/>
      </w:tblGrid>
      <w:tr w:rsidR="00EF4063" w:rsidRPr="00F90B6B" w:rsidTr="0076299F">
        <w:tc>
          <w:tcPr>
            <w:tcW w:w="4927"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rPr>
              <w:object w:dxaOrig="4745" w:dyaOrig="35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5" type="#_x0000_t75" style="width:234.75pt;height:178.5pt" o:ole="">
                  <v:imagedata r:id="rId12" o:title=""/>
                </v:shape>
                <o:OLEObject Type="Embed" ProgID="STATISTICA.Graph" ShapeID="_x0000_i1135" DrawAspect="Content" ObjectID="_1624460744" r:id="rId13">
                  <o:FieldCodes>\s</o:FieldCodes>
                </o:OLEObject>
              </w:object>
            </w:r>
          </w:p>
        </w:tc>
        <w:tc>
          <w:tcPr>
            <w:tcW w:w="4928"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rPr>
              <w:object w:dxaOrig="4620" w:dyaOrig="3476">
                <v:shape id="_x0000_i1136" type="#_x0000_t75" style="width:231pt;height:174pt" o:ole="">
                  <v:imagedata r:id="rId14" o:title=""/>
                </v:shape>
                <o:OLEObject Type="Embed" ProgID="STATISTICA.Graph" ShapeID="_x0000_i1136" DrawAspect="Content" ObjectID="_1624460745" r:id="rId15">
                  <o:FieldCodes>\s</o:FieldCodes>
                </o:OLEObject>
              </w:object>
            </w:r>
          </w:p>
        </w:tc>
      </w:tr>
      <w:tr w:rsidR="00EF4063" w:rsidRPr="00F90B6B" w:rsidTr="0076299F">
        <w:tc>
          <w:tcPr>
            <w:tcW w:w="4927"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 xml:space="preserve">Рис. 3.1.4. </w:t>
            </w:r>
            <w:r w:rsidRPr="00F90B6B">
              <w:rPr>
                <w:rFonts w:ascii="Times New Roman" w:hAnsi="Times New Roman"/>
                <w:sz w:val="28"/>
                <w:szCs w:val="28"/>
              </w:rPr>
              <w:t>Кореляційний зв’язок між вагою пацієнтів та вмістом іонізованого натрію в плазмі.</w:t>
            </w:r>
          </w:p>
        </w:tc>
        <w:tc>
          <w:tcPr>
            <w:tcW w:w="4928"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Рис. 3.1.5</w:t>
            </w:r>
            <w:r w:rsidRPr="00F90B6B">
              <w:rPr>
                <w:rFonts w:ascii="Times New Roman" w:hAnsi="Times New Roman"/>
                <w:sz w:val="28"/>
                <w:szCs w:val="28"/>
              </w:rPr>
              <w:t>. Кореляційний зв’язок між ІМТ пацієнтів та вмістом іонізованого натрію в плазмі.</w:t>
            </w:r>
          </w:p>
        </w:tc>
      </w:tr>
    </w:tbl>
    <w:p w:rsidR="00EF4063" w:rsidRPr="00F90B6B" w:rsidRDefault="00EF4063" w:rsidP="00F0048B">
      <w:pPr>
        <w:tabs>
          <w:tab w:val="left" w:pos="1176"/>
        </w:tabs>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При більшій окружності талії пацієнтів з ХСН встановлено більш низький вміст іонізованого натрію (</w:t>
      </w:r>
      <w:r w:rsidRPr="00F90B6B">
        <w:rPr>
          <w:rFonts w:ascii="Times New Roman" w:hAnsi="Times New Roman"/>
          <w:sz w:val="28"/>
          <w:szCs w:val="28"/>
          <w:lang w:val="en-US"/>
        </w:rPr>
        <w:t>r</w:t>
      </w:r>
      <w:r w:rsidRPr="00F90B6B">
        <w:rPr>
          <w:rFonts w:ascii="Times New Roman" w:hAnsi="Times New Roman"/>
          <w:sz w:val="28"/>
          <w:szCs w:val="28"/>
          <w:lang w:val="ru-RU"/>
        </w:rPr>
        <w:t xml:space="preserve">=-0,46, </w:t>
      </w:r>
      <w:r w:rsidRPr="00F90B6B">
        <w:rPr>
          <w:rFonts w:ascii="Times New Roman" w:hAnsi="Times New Roman"/>
          <w:sz w:val="28"/>
          <w:szCs w:val="28"/>
          <w:lang w:val="en-US"/>
        </w:rPr>
        <w:t>p</w:t>
      </w:r>
      <w:r w:rsidRPr="00F90B6B">
        <w:rPr>
          <w:rFonts w:ascii="Times New Roman" w:hAnsi="Times New Roman"/>
          <w:sz w:val="28"/>
          <w:szCs w:val="28"/>
          <w:lang w:val="ru-RU"/>
        </w:rPr>
        <w:t>&lt;0,05</w:t>
      </w:r>
      <w:r w:rsidRPr="00F90B6B">
        <w:rPr>
          <w:rFonts w:ascii="Times New Roman" w:hAnsi="Times New Roman"/>
          <w:sz w:val="28"/>
          <w:szCs w:val="28"/>
        </w:rPr>
        <w:t xml:space="preserve">), за оцінки співвідношення стегна/талія (С/Т) до вмісту іонізованого натрію – </w:t>
      </w:r>
      <w:r w:rsidRPr="00F90B6B">
        <w:rPr>
          <w:rFonts w:ascii="Times New Roman" w:hAnsi="Times New Roman"/>
          <w:sz w:val="28"/>
          <w:szCs w:val="28"/>
          <w:lang w:val="en-US"/>
        </w:rPr>
        <w:t>r</w:t>
      </w:r>
      <w:r w:rsidRPr="00F90B6B">
        <w:rPr>
          <w:rFonts w:ascii="Times New Roman" w:hAnsi="Times New Roman"/>
          <w:sz w:val="28"/>
          <w:szCs w:val="28"/>
          <w:lang w:val="ru-RU"/>
        </w:rPr>
        <w:t>=-0,50 (</w:t>
      </w:r>
      <w:r w:rsidRPr="00F90B6B">
        <w:rPr>
          <w:rFonts w:ascii="Times New Roman" w:hAnsi="Times New Roman"/>
          <w:sz w:val="28"/>
          <w:szCs w:val="28"/>
          <w:lang w:val="en-US"/>
        </w:rPr>
        <w:t>p</w:t>
      </w:r>
      <w:r w:rsidRPr="00F90B6B">
        <w:rPr>
          <w:rFonts w:ascii="Times New Roman" w:hAnsi="Times New Roman"/>
          <w:sz w:val="28"/>
          <w:szCs w:val="28"/>
          <w:lang w:val="ru-RU"/>
        </w:rPr>
        <w:t>&lt;0,05).</w:t>
      </w:r>
    </w:p>
    <w:p w:rsidR="00EF4063" w:rsidRPr="00F90B6B" w:rsidRDefault="00EF4063" w:rsidP="00F0048B">
      <w:pPr>
        <w:tabs>
          <w:tab w:val="left" w:pos="1176"/>
        </w:tabs>
        <w:spacing w:after="0" w:line="360" w:lineRule="auto"/>
        <w:ind w:firstLine="709"/>
        <w:jc w:val="both"/>
        <w:rPr>
          <w:rFonts w:ascii="Times New Roman" w:hAnsi="Times New Roman"/>
          <w:sz w:val="28"/>
          <w:szCs w:val="28"/>
          <w:lang w:val="ru-RU"/>
        </w:rPr>
      </w:pPr>
    </w:p>
    <w:tbl>
      <w:tblPr>
        <w:tblW w:w="0" w:type="auto"/>
        <w:tblLook w:val="00A0" w:firstRow="1" w:lastRow="0" w:firstColumn="1" w:lastColumn="0" w:noHBand="0" w:noVBand="0"/>
      </w:tblPr>
      <w:tblGrid>
        <w:gridCol w:w="4927"/>
        <w:gridCol w:w="4928"/>
      </w:tblGrid>
      <w:tr w:rsidR="00EF4063" w:rsidRPr="00F90B6B" w:rsidTr="0076299F">
        <w:tc>
          <w:tcPr>
            <w:tcW w:w="4927" w:type="dxa"/>
          </w:tcPr>
          <w:p w:rsidR="00EF4063" w:rsidRPr="00F90B6B" w:rsidRDefault="00EF4063" w:rsidP="00F0048B">
            <w:pPr>
              <w:tabs>
                <w:tab w:val="left" w:pos="1416"/>
              </w:tabs>
              <w:spacing w:after="0" w:line="360" w:lineRule="auto"/>
              <w:jc w:val="both"/>
              <w:rPr>
                <w:rFonts w:ascii="Times New Roman" w:hAnsi="Times New Roman"/>
                <w:sz w:val="28"/>
                <w:szCs w:val="28"/>
              </w:rPr>
            </w:pPr>
            <w:r w:rsidRPr="00F90B6B">
              <w:rPr>
                <w:rFonts w:ascii="Times New Roman" w:hAnsi="Times New Roman"/>
              </w:rPr>
              <w:object w:dxaOrig="4657" w:dyaOrig="3488">
                <v:shape id="_x0000_i1137" type="#_x0000_t75" style="width:230.25pt;height:174.75pt" o:ole="">
                  <v:imagedata r:id="rId16" o:title=""/>
                </v:shape>
                <o:OLEObject Type="Embed" ProgID="STATISTICA.Graph" ShapeID="_x0000_i1137" DrawAspect="Content" ObjectID="_1624460746" r:id="rId17">
                  <o:FieldCodes>\s</o:FieldCodes>
                </o:OLEObject>
              </w:object>
            </w:r>
          </w:p>
        </w:tc>
        <w:tc>
          <w:tcPr>
            <w:tcW w:w="4928"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rPr>
              <w:object w:dxaOrig="4657" w:dyaOrig="3497">
                <v:shape id="_x0000_i1138" type="#_x0000_t75" style="width:230.25pt;height:173.25pt" o:ole="">
                  <v:imagedata r:id="rId18" o:title=""/>
                </v:shape>
                <o:OLEObject Type="Embed" ProgID="STATISTICA.Graph" ShapeID="_x0000_i1138" DrawAspect="Content" ObjectID="_1624460747" r:id="rId19">
                  <o:FieldCodes>\s</o:FieldCodes>
                </o:OLEObject>
              </w:object>
            </w:r>
          </w:p>
        </w:tc>
      </w:tr>
      <w:tr w:rsidR="00EF4063" w:rsidRPr="00F90B6B" w:rsidTr="0076299F">
        <w:tc>
          <w:tcPr>
            <w:tcW w:w="4927"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 xml:space="preserve">Рис. 3.1.6. </w:t>
            </w:r>
            <w:r w:rsidRPr="00F90B6B">
              <w:rPr>
                <w:rFonts w:ascii="Times New Roman" w:hAnsi="Times New Roman"/>
                <w:sz w:val="28"/>
                <w:szCs w:val="28"/>
              </w:rPr>
              <w:t>Кореляційний зв’язок між окружністю талії пацієнтів з ХСН та вмістом іонізованого натрію в плазмі.</w:t>
            </w:r>
          </w:p>
        </w:tc>
        <w:tc>
          <w:tcPr>
            <w:tcW w:w="4928"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Рис. 3.1.7</w:t>
            </w:r>
            <w:r w:rsidRPr="00F90B6B">
              <w:rPr>
                <w:rFonts w:ascii="Times New Roman" w:hAnsi="Times New Roman"/>
                <w:sz w:val="28"/>
                <w:szCs w:val="28"/>
              </w:rPr>
              <w:t>. Кореляційний зв’язок між С/Т співвідношенням та вмістом іонізованого натрію в плазмі.</w:t>
            </w:r>
          </w:p>
        </w:tc>
      </w:tr>
    </w:tbl>
    <w:p w:rsidR="00EF4063" w:rsidRPr="00F90B6B" w:rsidRDefault="00EF4063" w:rsidP="00F0048B">
      <w:pPr>
        <w:tabs>
          <w:tab w:val="left" w:pos="1752"/>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Встановлено приріст абсолютного ризику на 15,0%, зростання RR до 1,43[0,99-2,07], OR - 1,88[0,95-3,71] розвитку гіпонатріємії у хворих з ІМТ </w:t>
      </w:r>
      <w:r w:rsidRPr="00F90B6B">
        <w:rPr>
          <w:rFonts w:ascii="Times New Roman" w:hAnsi="Times New Roman"/>
          <w:sz w:val="28"/>
          <w:szCs w:val="28"/>
          <w:lang w:val="ru-RU"/>
        </w:rPr>
        <w:t>≥</w:t>
      </w:r>
      <w:r w:rsidRPr="00F90B6B">
        <w:rPr>
          <w:rFonts w:ascii="Times New Roman" w:hAnsi="Times New Roman"/>
          <w:sz w:val="28"/>
          <w:szCs w:val="28"/>
        </w:rPr>
        <w:t>30</w:t>
      </w:r>
      <w:r w:rsidRPr="00F90B6B">
        <w:rPr>
          <w:rFonts w:ascii="Times New Roman" w:hAnsi="Times New Roman"/>
          <w:b/>
          <w:sz w:val="28"/>
          <w:szCs w:val="28"/>
        </w:rPr>
        <w:t> </w:t>
      </w:r>
      <w:r w:rsidRPr="00F90B6B">
        <w:rPr>
          <w:rFonts w:ascii="Times New Roman" w:hAnsi="Times New Roman"/>
          <w:sz w:val="28"/>
          <w:szCs w:val="28"/>
        </w:rPr>
        <w:t>кг/м</w:t>
      </w:r>
      <w:r w:rsidRPr="00F90B6B">
        <w:rPr>
          <w:rFonts w:ascii="Times New Roman" w:hAnsi="Times New Roman"/>
          <w:sz w:val="28"/>
          <w:szCs w:val="28"/>
          <w:vertAlign w:val="superscript"/>
        </w:rPr>
        <w:t>2</w:t>
      </w:r>
      <w:r w:rsidRPr="00F90B6B">
        <w:rPr>
          <w:rFonts w:ascii="Times New Roman" w:hAnsi="Times New Roman"/>
          <w:sz w:val="28"/>
          <w:szCs w:val="28"/>
        </w:rPr>
        <w:t>, табл. 3.1.3.</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3.1.3</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залежності розвитку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 xml:space="preserve">ІМТ </w:t>
            </w:r>
            <w:r w:rsidRPr="00F90B6B">
              <w:rPr>
                <w:rFonts w:ascii="Times New Roman" w:hAnsi="Times New Roman"/>
                <w:i/>
                <w:sz w:val="28"/>
                <w:szCs w:val="28"/>
                <w:lang w:val="en-US"/>
              </w:rPr>
              <w:t>≥</w:t>
            </w:r>
            <w:r w:rsidRPr="00F90B6B">
              <w:rPr>
                <w:rFonts w:ascii="Times New Roman" w:hAnsi="Times New Roman"/>
                <w:i/>
                <w:sz w:val="28"/>
                <w:szCs w:val="28"/>
              </w:rPr>
              <w:t>30 кг/м</w:t>
            </w:r>
            <w:r w:rsidRPr="00F90B6B">
              <w:rPr>
                <w:rFonts w:ascii="Times New Roman" w:hAnsi="Times New Roman"/>
                <w:i/>
                <w:sz w:val="28"/>
                <w:szCs w:val="28"/>
                <w:vertAlign w:val="superscript"/>
              </w:rPr>
              <w:t>2</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51,0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rPr>
              <w:t>1,43</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[0,99-2,07]</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1,88</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[0,95-3,71]</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 xml:space="preserve">ІМТ </w:t>
            </w:r>
            <w:r w:rsidRPr="00F90B6B">
              <w:rPr>
                <w:rFonts w:ascii="Times New Roman" w:hAnsi="Times New Roman"/>
                <w:i/>
                <w:sz w:val="28"/>
                <w:szCs w:val="28"/>
                <w:lang w:val="en-US"/>
              </w:rPr>
              <w:t>&lt;</w:t>
            </w:r>
            <w:r w:rsidRPr="00F90B6B">
              <w:rPr>
                <w:rFonts w:ascii="Times New Roman" w:hAnsi="Times New Roman"/>
                <w:i/>
                <w:sz w:val="28"/>
                <w:szCs w:val="28"/>
              </w:rPr>
              <w:t>30 кг/м</w:t>
            </w:r>
            <w:r w:rsidRPr="00F90B6B">
              <w:rPr>
                <w:rFonts w:ascii="Times New Roman" w:hAnsi="Times New Roman"/>
                <w:i/>
                <w:sz w:val="28"/>
                <w:szCs w:val="28"/>
                <w:vertAlign w:val="superscript"/>
              </w:rPr>
              <w:t>2</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36,0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Серед коморбідних станів, у обстежених хворих були виділені супутні серцево-судинні захворювання та синдроми (артеріальна гіпертензія, фібриляція передсердь, ступінь компенсації серцевої недостатності), захворювання інших органів та систем в стадії компенсації (цукровий діабет типу 2, хронічне обструктивне захворювання легень, анемічний синдром, виразкова хвороба шлунку (та/або ДПК) та хронічний гастрит, зниження швидкості клубочкової фільтрації). Також проводився аналіз щодо асоціації гіпонатріємії на фоні ХСН з кардіоваскулярними ускладненнями (порушення мозкового кровообігу, інфаркт міокарда). Паралельно проводилась оцінка середніх значень лабораторно-інструментальних показників залежно від вмісту іонізованого натрію в плазмі.</w:t>
      </w:r>
      <w:r w:rsidRPr="00F90B6B">
        <w:rPr>
          <w:rFonts w:ascii="Times New Roman" w:hAnsi="Times New Roman"/>
          <w:sz w:val="28"/>
          <w:szCs w:val="28"/>
          <w:lang w:val="ru-RU"/>
        </w:rPr>
        <w:t xml:space="preserve"> </w:t>
      </w:r>
      <w:r w:rsidRPr="00F90B6B">
        <w:rPr>
          <w:rFonts w:ascii="Times New Roman" w:hAnsi="Times New Roman"/>
          <w:sz w:val="28"/>
          <w:szCs w:val="28"/>
        </w:rPr>
        <w:t xml:space="preserve">Приріст абсолютного ризику виявлення </w:t>
      </w:r>
      <w:r w:rsidRPr="00F90B6B">
        <w:rPr>
          <w:rFonts w:ascii="Times New Roman" w:hAnsi="Times New Roman"/>
          <w:sz w:val="28"/>
          <w:szCs w:val="28"/>
        </w:rPr>
        <w:lastRenderedPageBreak/>
        <w:t>гіпертонічної хвороби у хворих, госпіталізованих з приводу ХСН становив 10,0%, відносний ризик - 1,17 [0,93-1,48], шанси - 1,60 [0,77-3,34], табл. 3.1.4.</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3.1.4</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гіпертонічної хвороби та гіпонатріємії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71,0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rPr>
              <w:t>1,17</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[0,93-1,48]</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rPr>
              <w:t>1,60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[0,77-3,34]</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61,0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оцінці рівня функціональних порушень при ХСН залежно від стану іонного гомеостазу було виявлено дещо більшу кількість хворих з гіпонатріємією, що віднесені до ФК ІІІ серцевої недостатності. Проте, за оцінки частотного співвідношення (AR, RR та OR) отримані результати виявились невірогідними, табл. 3.1.5.</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Частота асоціації цукрового діабету з гіпонатріємію (24,5%) була більшою, ніж з нормальним вмістом натрію (15,2%), проте менше, ніж з гіпернатріємією (27,3%), табл. 3.1.6. </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3.1.5</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високих функціональних класів СН та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18,0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rPr>
              <w:t>1,21</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[0,57-2,54]</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rPr>
              <w:t>1,25</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[0,51-3,07]</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15,0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Додатній ризик встановлений на рівні 9,0%, відносний - 1,61 [0,82-3,13], шанси - 1,80 [0,78-4,19], табл. 3.1.6.</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3.1.6</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lastRenderedPageBreak/>
        <w:t>Абсолютний та відносний ризик, відношення шансів асоціації цукрового діабету та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24,0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rPr>
              <w:t>1,61</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[0,82-3,13]</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1,80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[0,78-4,19]</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15,0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Стосовно хронічного обструктивного захворювання легень у пацієнтів, госпіталізованих з приводу ХСН та його асоціації з гіпонатріємією, вірогідної закономірності не встановлено, 3.1.7.</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3.1.7</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хронічного обструктивного захворювання легень та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rPr>
              <w:t>1,29</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[0,32-5,17]</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1,30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[0,29-5,69]</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Приріст абсолютного ризику був лише 1,0%, RR - 1,29 [0,32-5,17], ОR - 1,30 [0,29-5,69], табл. 3.1.7.</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Проводячи оцінку загальнолабораторних та біохімічних показників у пацієнтів з ХСН, залежно від параметрів іонного гомеостазу, були отримані дані, представлені в таблиці 3.1.8.</w:t>
      </w:r>
    </w:p>
    <w:p w:rsidR="00EF4063" w:rsidRPr="00F90B6B" w:rsidRDefault="00EF4063" w:rsidP="00F0048B">
      <w:pPr>
        <w:tabs>
          <w:tab w:val="left" w:pos="3864"/>
          <w:tab w:val="left" w:pos="6228"/>
        </w:tabs>
        <w:spacing w:after="0" w:line="360" w:lineRule="auto"/>
        <w:ind w:firstLine="709"/>
        <w:jc w:val="both"/>
        <w:rPr>
          <w:rFonts w:ascii="Times New Roman" w:hAnsi="Times New Roman"/>
          <w:sz w:val="28"/>
          <w:szCs w:val="28"/>
        </w:rPr>
      </w:pPr>
      <w:r w:rsidRPr="00F90B6B">
        <w:rPr>
          <w:rFonts w:ascii="Times New Roman" w:hAnsi="Times New Roman"/>
          <w:sz w:val="28"/>
          <w:szCs w:val="28"/>
        </w:rPr>
        <w:t>Слід зазначити, що у пацієнтів з гіпонатріємією за оцінки середнього рівня глюкози, еритроцитів, гемоглобіну, лейкоцитів та тромбоцитів, не встановлено вірогідної різниці щодо хворих з нормальним вмістом натрію, на відміну від групи хворих з гіпернатріємією за показниками рівня еритроцитів, гемоглобіну та лейкоцитів (</w:t>
      </w:r>
      <w:r w:rsidRPr="00F90B6B">
        <w:rPr>
          <w:rFonts w:ascii="Times New Roman" w:hAnsi="Times New Roman"/>
          <w:sz w:val="28"/>
          <w:szCs w:val="28"/>
          <w:lang w:val="en-US"/>
        </w:rPr>
        <w:t>p</w:t>
      </w:r>
      <w:r w:rsidRPr="00F90B6B">
        <w:rPr>
          <w:rFonts w:ascii="Times New Roman" w:hAnsi="Times New Roman"/>
          <w:sz w:val="28"/>
          <w:szCs w:val="28"/>
        </w:rPr>
        <w:t>&lt;0,05), табл. 3.1.8. Цікавим фактом було те, що вміст печінковоспецифічних ферментів у пацієнтів з гіпонатріємією був вірогідно нижчим, ніж в інших групах (</w:t>
      </w:r>
      <w:r w:rsidRPr="00F90B6B">
        <w:rPr>
          <w:rFonts w:ascii="Times New Roman" w:hAnsi="Times New Roman"/>
          <w:sz w:val="28"/>
          <w:szCs w:val="28"/>
          <w:lang w:val="en-US"/>
        </w:rPr>
        <w:t>p</w:t>
      </w:r>
      <w:r w:rsidRPr="00F90B6B">
        <w:rPr>
          <w:rFonts w:ascii="Times New Roman" w:hAnsi="Times New Roman"/>
          <w:sz w:val="28"/>
          <w:szCs w:val="28"/>
        </w:rPr>
        <w:t>&lt;0,05). Окрім того, закономірним було підвищення рівня калію при гіпонатріємії (</w:t>
      </w:r>
      <w:r w:rsidRPr="00F90B6B">
        <w:rPr>
          <w:rFonts w:ascii="Times New Roman" w:hAnsi="Times New Roman"/>
          <w:sz w:val="28"/>
          <w:szCs w:val="28"/>
          <w:lang w:val="en-US"/>
        </w:rPr>
        <w:t>p</w:t>
      </w:r>
      <w:r w:rsidRPr="00F90B6B">
        <w:rPr>
          <w:rFonts w:ascii="Times New Roman" w:hAnsi="Times New Roman"/>
          <w:sz w:val="28"/>
          <w:szCs w:val="28"/>
        </w:rPr>
        <w:t xml:space="preserve">&lt;0,05). В той же, час, слід зазначити, що, в цілому, </w:t>
      </w:r>
      <w:r w:rsidRPr="00F90B6B">
        <w:rPr>
          <w:rFonts w:ascii="Times New Roman" w:hAnsi="Times New Roman"/>
          <w:sz w:val="28"/>
          <w:szCs w:val="28"/>
        </w:rPr>
        <w:lastRenderedPageBreak/>
        <w:t>з</w:t>
      </w:r>
      <w:r w:rsidRPr="00F90B6B">
        <w:rPr>
          <w:rFonts w:ascii="Times New Roman" w:hAnsi="Times New Roman"/>
          <w:sz w:val="28"/>
          <w:szCs w:val="28"/>
          <w:lang w:eastAsia="ru-RU"/>
        </w:rPr>
        <w:t>агальноклінічні лабораторні показники у пацієнтів з хронічною серцевою недостатністю знаходились в межах референсних значень.</w:t>
      </w:r>
    </w:p>
    <w:p w:rsidR="00EF4063" w:rsidRPr="00F90B6B" w:rsidRDefault="00EF4063" w:rsidP="00F0048B">
      <w:pPr>
        <w:shd w:val="clear" w:color="auto" w:fill="FFFFFF"/>
        <w:spacing w:after="0" w:line="360" w:lineRule="auto"/>
        <w:ind w:firstLine="709"/>
        <w:jc w:val="right"/>
        <w:rPr>
          <w:rFonts w:ascii="Times New Roman" w:hAnsi="Times New Roman"/>
          <w:i/>
          <w:sz w:val="28"/>
          <w:szCs w:val="28"/>
          <w:lang w:eastAsia="ru-RU"/>
        </w:rPr>
      </w:pPr>
      <w:r w:rsidRPr="00F90B6B">
        <w:rPr>
          <w:rFonts w:ascii="Times New Roman" w:hAnsi="Times New Roman"/>
          <w:i/>
          <w:sz w:val="28"/>
          <w:szCs w:val="28"/>
          <w:lang w:eastAsia="ru-RU"/>
        </w:rPr>
        <w:t>Таблиця 3.1.8</w:t>
      </w:r>
    </w:p>
    <w:p w:rsidR="00EF4063" w:rsidRPr="00F90B6B" w:rsidRDefault="00EF4063" w:rsidP="00F0048B">
      <w:pPr>
        <w:shd w:val="clear" w:color="auto" w:fill="FFFFFF"/>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Загальноклінічні лабораторні показники у пацієнтів з хронічною серцевою недостатністю залежно від порушень іонного гомеостазу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48"/>
        <w:gridCol w:w="2549"/>
        <w:gridCol w:w="2549"/>
        <w:gridCol w:w="2549"/>
      </w:tblGrid>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rPr>
              <w:t>Нормонатріємія</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n=</w:t>
            </w:r>
            <w:r w:rsidRPr="00F90B6B">
              <w:rPr>
                <w:rFonts w:ascii="Times New Roman" w:hAnsi="Times New Roman"/>
                <w:b/>
                <w:sz w:val="28"/>
                <w:szCs w:val="28"/>
              </w:rPr>
              <w:t>75</w:t>
            </w:r>
          </w:p>
        </w:tc>
        <w:tc>
          <w:tcPr>
            <w:tcW w:w="1250" w:type="pct"/>
            <w:vAlign w:val="center"/>
          </w:tcPr>
          <w:p w:rsidR="00EF4063" w:rsidRPr="00F90B6B" w:rsidRDefault="00EF4063" w:rsidP="00F0048B">
            <w:pPr>
              <w:autoSpaceDE w:val="0"/>
              <w:autoSpaceDN w:val="0"/>
              <w:adjustRightInd w:val="0"/>
              <w:spacing w:after="0" w:line="360" w:lineRule="auto"/>
              <w:ind w:left="60" w:right="60"/>
              <w:jc w:val="center"/>
              <w:rPr>
                <w:rFonts w:ascii="Times New Roman" w:hAnsi="Times New Roman"/>
                <w:b/>
                <w:sz w:val="28"/>
                <w:szCs w:val="28"/>
                <w:lang w:val="en-US"/>
              </w:rPr>
            </w:pPr>
            <w:r w:rsidRPr="00F90B6B">
              <w:rPr>
                <w:rFonts w:ascii="Times New Roman" w:hAnsi="Times New Roman"/>
                <w:b/>
                <w:sz w:val="28"/>
                <w:szCs w:val="28"/>
              </w:rPr>
              <w:t>Гіпернатріємія</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n=22</w:t>
            </w:r>
          </w:p>
        </w:tc>
        <w:tc>
          <w:tcPr>
            <w:tcW w:w="1250" w:type="pct"/>
            <w:vAlign w:val="center"/>
          </w:tcPr>
          <w:p w:rsidR="00EF4063" w:rsidRPr="00F90B6B" w:rsidRDefault="00EF4063" w:rsidP="00F0048B">
            <w:pPr>
              <w:autoSpaceDE w:val="0"/>
              <w:autoSpaceDN w:val="0"/>
              <w:adjustRightInd w:val="0"/>
              <w:spacing w:after="0" w:line="360" w:lineRule="auto"/>
              <w:ind w:left="60" w:right="60"/>
              <w:jc w:val="center"/>
              <w:rPr>
                <w:rFonts w:ascii="Times New Roman" w:hAnsi="Times New Roman"/>
                <w:b/>
                <w:sz w:val="28"/>
                <w:szCs w:val="28"/>
              </w:rPr>
            </w:pPr>
            <w:r w:rsidRPr="00F90B6B">
              <w:rPr>
                <w:rFonts w:ascii="Times New Roman" w:hAnsi="Times New Roman"/>
                <w:b/>
                <w:sz w:val="28"/>
                <w:szCs w:val="28"/>
              </w:rPr>
              <w:t>Гіпонатріємія</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n=49</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 xml:space="preserve">Калій, </w:t>
            </w:r>
            <w:r w:rsidRPr="00F90B6B">
              <w:rPr>
                <w:rFonts w:ascii="Times New Roman" w:hAnsi="Times New Roman"/>
                <w:i/>
                <w:sz w:val="28"/>
                <w:szCs w:val="28"/>
                <w:lang w:val="ru-RU"/>
              </w:rPr>
              <w:t>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4,35±0,48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4,69±0,6</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4,87±0,4* **</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Глюкоза, 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5,67±1,96</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5,54±1,91</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5,58±2,23</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АсТ</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41,8±18,7</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46,4±16,1</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30,4±13,4* **</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АлТ</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43,8±13,9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50,2±14,8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33,4±13,5* **</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Еритроцити, Г/л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4,49±0,38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4,56±0,69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4,46±0,36* **</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Гемоглобін, г/л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135,6±12,4</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137,4±1,22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134,0±5,32**</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Лейкоцити, Т/л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6,30±1,13</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7,15±0,86</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6,60±1,45**</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Тромбоцити, Т/л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225,8±51,7</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230,1±61,2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223,3±58,4</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 вірогідна різниця показників відносно групи пацієнтів з нормонатріємією;</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 вірогідна різниця показників відносно групи пацієнтів з гіпернатріємією.</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p w:rsidR="00EF4063" w:rsidRPr="00F90B6B" w:rsidRDefault="00EF4063" w:rsidP="00BC619F">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Окрім того, при регресійному аналізі, виділивши з цією метою тільки хворих з гіпонатріємією було встановлено негативний зв’язок між вмістом натрію та еритроцитів (</w:t>
      </w:r>
      <w:r w:rsidRPr="00F90B6B">
        <w:rPr>
          <w:rFonts w:ascii="Times New Roman" w:hAnsi="Times New Roman"/>
          <w:sz w:val="28"/>
          <w:szCs w:val="28"/>
          <w:lang w:val="en-US"/>
        </w:rPr>
        <w:t>r</w:t>
      </w:r>
      <w:r w:rsidRPr="00F90B6B">
        <w:rPr>
          <w:rFonts w:ascii="Times New Roman" w:hAnsi="Times New Roman"/>
          <w:sz w:val="28"/>
          <w:szCs w:val="28"/>
        </w:rPr>
        <w:t xml:space="preserve">=-0,25, </w:t>
      </w:r>
      <w:r w:rsidRPr="00F90B6B">
        <w:rPr>
          <w:rFonts w:ascii="Times New Roman" w:hAnsi="Times New Roman"/>
          <w:sz w:val="28"/>
          <w:szCs w:val="28"/>
          <w:lang w:val="en-US"/>
        </w:rPr>
        <w:t>p</w:t>
      </w:r>
      <w:r w:rsidRPr="00F90B6B">
        <w:rPr>
          <w:rFonts w:ascii="Times New Roman" w:hAnsi="Times New Roman"/>
          <w:sz w:val="28"/>
          <w:szCs w:val="28"/>
        </w:rPr>
        <w:t>&lt;0,05, рис. 3.1.8), а також клініко-лабораторних показників – позитивних зв’язок між глюкоземією та ІМТ (</w:t>
      </w:r>
      <w:r w:rsidRPr="00F90B6B">
        <w:rPr>
          <w:rFonts w:ascii="Times New Roman" w:hAnsi="Times New Roman"/>
          <w:sz w:val="28"/>
          <w:szCs w:val="28"/>
          <w:lang w:val="en-US"/>
        </w:rPr>
        <w:t>r</w:t>
      </w:r>
      <w:r w:rsidRPr="00F90B6B">
        <w:rPr>
          <w:rFonts w:ascii="Times New Roman" w:hAnsi="Times New Roman"/>
          <w:sz w:val="28"/>
          <w:szCs w:val="28"/>
        </w:rPr>
        <w:t xml:space="preserve">=0,53, </w:t>
      </w:r>
      <w:r w:rsidRPr="00F90B6B">
        <w:rPr>
          <w:rFonts w:ascii="Times New Roman" w:hAnsi="Times New Roman"/>
          <w:sz w:val="28"/>
          <w:szCs w:val="28"/>
          <w:lang w:val="en-US"/>
        </w:rPr>
        <w:t>p</w:t>
      </w:r>
      <w:r w:rsidRPr="00F90B6B">
        <w:rPr>
          <w:rFonts w:ascii="Times New Roman" w:hAnsi="Times New Roman"/>
          <w:sz w:val="28"/>
          <w:szCs w:val="28"/>
        </w:rPr>
        <w:t xml:space="preserve">&lt;0,05), рис. 3.1.9. </w:t>
      </w:r>
    </w:p>
    <w:p w:rsidR="00EF4063" w:rsidRPr="00F90B6B" w:rsidRDefault="00EF4063" w:rsidP="00BC619F">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Також, не зважаючи на те, що середній рівень гемоглобіну в усіх групах знаходився в межах референсних значень, окремим завданням нашої роботи було оцінити частоту асоціації анемічного синдрому з різними видами іонних порушень. В даному випадку межовим значенням був рівень гемоглобіну нижче 120 г/л у жінок на нижче 130 г/л у чоловіків. </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tbl>
      <w:tblPr>
        <w:tblW w:w="0" w:type="auto"/>
        <w:tblLook w:val="00A0" w:firstRow="1" w:lastRow="0" w:firstColumn="1" w:lastColumn="0" w:noHBand="0" w:noVBand="0"/>
      </w:tblPr>
      <w:tblGrid>
        <w:gridCol w:w="4927"/>
        <w:gridCol w:w="4928"/>
      </w:tblGrid>
      <w:tr w:rsidR="00EF4063" w:rsidRPr="00F90B6B" w:rsidTr="0076299F">
        <w:tc>
          <w:tcPr>
            <w:tcW w:w="4927"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86" w:dyaOrig="3455">
                <v:shape id="_x0000_i1038" type="#_x0000_t75" style="width:229.5pt;height:171pt" o:ole="">
                  <v:imagedata r:id="rId20" o:title=""/>
                </v:shape>
                <o:OLEObject Type="Embed" ProgID="STATISTICA.Graph" ShapeID="_x0000_i1038" DrawAspect="Content" ObjectID="_1624460748" r:id="rId21">
                  <o:FieldCodes>\s</o:FieldCodes>
                </o:OLEObject>
              </w:object>
            </w:r>
          </w:p>
        </w:tc>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76" w:dyaOrig="3361">
                <v:shape id="_x0000_i1039" type="#_x0000_t75" style="width:221.25pt;height:168pt" o:ole="">
                  <v:imagedata r:id="rId22" o:title=""/>
                </v:shape>
                <o:OLEObject Type="Embed" ProgID="STATISTICA.Graph" ShapeID="_x0000_i1039" DrawAspect="Content" ObjectID="_1624460749" r:id="rId23">
                  <o:FieldCodes>\s</o:FieldCodes>
                </o:OLEObject>
              </w:object>
            </w:r>
          </w:p>
        </w:tc>
      </w:tr>
      <w:tr w:rsidR="00EF4063" w:rsidRPr="00F90B6B" w:rsidTr="0076299F">
        <w:tc>
          <w:tcPr>
            <w:tcW w:w="4927"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 xml:space="preserve">Рис. 3.1.8. </w:t>
            </w:r>
            <w:r w:rsidRPr="00F90B6B">
              <w:rPr>
                <w:rFonts w:ascii="Times New Roman" w:hAnsi="Times New Roman"/>
                <w:sz w:val="28"/>
                <w:szCs w:val="28"/>
              </w:rPr>
              <w:t>Кореляційний зв’язок між вмістом еритроцитів у пацієнтів з ХСН та вмістом іонізованого натрію в плазмі.</w:t>
            </w:r>
          </w:p>
        </w:tc>
        <w:tc>
          <w:tcPr>
            <w:tcW w:w="4928"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Рис. 3.1.9</w:t>
            </w:r>
            <w:r w:rsidRPr="00F90B6B">
              <w:rPr>
                <w:rFonts w:ascii="Times New Roman" w:hAnsi="Times New Roman"/>
                <w:sz w:val="28"/>
                <w:szCs w:val="28"/>
              </w:rPr>
              <w:t>. Кореляційний зв’язок між глюземією та ІМТ у пацієнтів з гіпонатріємією.</w:t>
            </w: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Так, частота асоціації анемічного синдрому при гіпонатріємії становила 40,8% проти 30,5% у пацієнтів з нормонатріємією. Ризик виявлення анемічного синдрому при ХСН та гіпонатріємії зростав на 11,0%, порівняно з нормонатріємією, RR встановлено як 1,34 [0,86-2,09], OR - 1,57 [0,78-3,19], табл. 3.1.9.</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3.1.9</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анемічного синдрому та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41,0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1,34</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[0,86-2,09]</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1,57</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[0,78-3,19]</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30,0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Зміни ліпідного гомеостазу у пацієнтів з ХСН  та гіпонатріємією характеризувались порушенням ліпідного профілю за рахунок вірогідного підвищення вмісту проатерогенної фракції ліпопротеїдів дуже низької щільності (ЛПДНЩ, </w:t>
      </w:r>
      <w:r w:rsidRPr="00F90B6B">
        <w:rPr>
          <w:rFonts w:ascii="Times New Roman" w:hAnsi="Times New Roman"/>
          <w:sz w:val="28"/>
          <w:szCs w:val="28"/>
          <w:lang w:val="en-US"/>
        </w:rPr>
        <w:t>p</w:t>
      </w:r>
      <w:r w:rsidRPr="00F90B6B">
        <w:rPr>
          <w:rFonts w:ascii="Times New Roman" w:hAnsi="Times New Roman"/>
          <w:sz w:val="28"/>
          <w:szCs w:val="28"/>
        </w:rPr>
        <w:t xml:space="preserve">&lt;0,05), зниження антиатерогенної фракції ліпопротеїдів високої щільності (ЛПВЩ, </w:t>
      </w:r>
      <w:r w:rsidRPr="00F90B6B">
        <w:rPr>
          <w:rFonts w:ascii="Times New Roman" w:hAnsi="Times New Roman"/>
          <w:sz w:val="28"/>
          <w:szCs w:val="28"/>
          <w:lang w:val="en-US"/>
        </w:rPr>
        <w:t>p</w:t>
      </w:r>
      <w:r w:rsidRPr="00F90B6B">
        <w:rPr>
          <w:rFonts w:ascii="Times New Roman" w:hAnsi="Times New Roman"/>
          <w:sz w:val="28"/>
          <w:szCs w:val="28"/>
        </w:rPr>
        <w:t>&lt;0,05), а також збільшенням вмісту тригліцеридів (</w:t>
      </w:r>
      <w:r w:rsidRPr="00F90B6B">
        <w:rPr>
          <w:rFonts w:ascii="Times New Roman" w:hAnsi="Times New Roman"/>
          <w:sz w:val="28"/>
          <w:szCs w:val="28"/>
          <w:lang w:val="en-US"/>
        </w:rPr>
        <w:t>p</w:t>
      </w:r>
      <w:r w:rsidRPr="00F90B6B">
        <w:rPr>
          <w:rFonts w:ascii="Times New Roman" w:hAnsi="Times New Roman"/>
          <w:sz w:val="28"/>
          <w:szCs w:val="28"/>
        </w:rPr>
        <w:t>&lt;0,05), табл. 3.1.10.</w:t>
      </w:r>
    </w:p>
    <w:p w:rsidR="00EF4063" w:rsidRPr="00F90B6B" w:rsidRDefault="00BB305F" w:rsidP="00F0048B">
      <w:pPr>
        <w:shd w:val="clear" w:color="auto" w:fill="FFFFFF"/>
        <w:spacing w:after="0" w:line="360" w:lineRule="auto"/>
        <w:ind w:firstLine="709"/>
        <w:jc w:val="right"/>
        <w:rPr>
          <w:rFonts w:ascii="Times New Roman" w:hAnsi="Times New Roman"/>
          <w:i/>
          <w:sz w:val="28"/>
          <w:szCs w:val="28"/>
          <w:lang w:eastAsia="ru-RU"/>
        </w:rPr>
      </w:pPr>
      <w:r w:rsidRPr="00F90B6B">
        <w:rPr>
          <w:rFonts w:ascii="Times New Roman" w:hAnsi="Times New Roman"/>
          <w:i/>
          <w:sz w:val="28"/>
          <w:szCs w:val="28"/>
          <w:lang w:eastAsia="ru-RU"/>
        </w:rPr>
        <w:br w:type="page"/>
      </w:r>
      <w:r w:rsidR="00EF4063" w:rsidRPr="00F90B6B">
        <w:rPr>
          <w:rFonts w:ascii="Times New Roman" w:hAnsi="Times New Roman"/>
          <w:i/>
          <w:sz w:val="28"/>
          <w:szCs w:val="28"/>
          <w:lang w:eastAsia="ru-RU"/>
        </w:rPr>
        <w:lastRenderedPageBreak/>
        <w:t>Таблиця 3.1.10</w:t>
      </w:r>
    </w:p>
    <w:p w:rsidR="00EF4063" w:rsidRPr="00F90B6B" w:rsidRDefault="00EF4063" w:rsidP="00F0048B">
      <w:pPr>
        <w:shd w:val="clear" w:color="auto" w:fill="FFFFFF"/>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Ліпідний профіль у пацієнтів з хронічною серцевою недостатністю залежно від порушень іонного гомеостазу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48"/>
        <w:gridCol w:w="2549"/>
        <w:gridCol w:w="2549"/>
        <w:gridCol w:w="2549"/>
      </w:tblGrid>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rPr>
              <w:t>Нормонатріємія</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n=</w:t>
            </w:r>
            <w:r w:rsidRPr="00F90B6B">
              <w:rPr>
                <w:rFonts w:ascii="Times New Roman" w:hAnsi="Times New Roman"/>
                <w:b/>
                <w:sz w:val="28"/>
                <w:szCs w:val="28"/>
              </w:rPr>
              <w:t>7</w:t>
            </w:r>
            <w:r w:rsidRPr="00F90B6B">
              <w:rPr>
                <w:rFonts w:ascii="Times New Roman" w:hAnsi="Times New Roman"/>
                <w:b/>
                <w:sz w:val="28"/>
                <w:szCs w:val="28"/>
                <w:lang w:val="en-US"/>
              </w:rPr>
              <w:t>5</w:t>
            </w:r>
          </w:p>
        </w:tc>
        <w:tc>
          <w:tcPr>
            <w:tcW w:w="1250" w:type="pct"/>
            <w:vAlign w:val="center"/>
          </w:tcPr>
          <w:p w:rsidR="00EF4063" w:rsidRPr="00F90B6B" w:rsidRDefault="00EF4063" w:rsidP="00F0048B">
            <w:pPr>
              <w:autoSpaceDE w:val="0"/>
              <w:autoSpaceDN w:val="0"/>
              <w:adjustRightInd w:val="0"/>
              <w:spacing w:after="0" w:line="360" w:lineRule="auto"/>
              <w:ind w:left="60" w:right="60"/>
              <w:jc w:val="center"/>
              <w:rPr>
                <w:rFonts w:ascii="Times New Roman" w:hAnsi="Times New Roman"/>
                <w:b/>
                <w:sz w:val="28"/>
                <w:szCs w:val="28"/>
                <w:lang w:val="en-US"/>
              </w:rPr>
            </w:pPr>
            <w:r w:rsidRPr="00F90B6B">
              <w:rPr>
                <w:rFonts w:ascii="Times New Roman" w:hAnsi="Times New Roman"/>
                <w:b/>
                <w:sz w:val="28"/>
                <w:szCs w:val="28"/>
              </w:rPr>
              <w:t>Гіпернатріємія</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n=22</w:t>
            </w:r>
          </w:p>
        </w:tc>
        <w:tc>
          <w:tcPr>
            <w:tcW w:w="1250" w:type="pct"/>
            <w:vAlign w:val="center"/>
          </w:tcPr>
          <w:p w:rsidR="00EF4063" w:rsidRPr="00F90B6B" w:rsidRDefault="00EF4063" w:rsidP="00F0048B">
            <w:pPr>
              <w:autoSpaceDE w:val="0"/>
              <w:autoSpaceDN w:val="0"/>
              <w:adjustRightInd w:val="0"/>
              <w:spacing w:after="0" w:line="360" w:lineRule="auto"/>
              <w:ind w:left="60" w:right="60"/>
              <w:jc w:val="center"/>
              <w:rPr>
                <w:rFonts w:ascii="Times New Roman" w:hAnsi="Times New Roman"/>
                <w:b/>
                <w:sz w:val="28"/>
                <w:szCs w:val="28"/>
              </w:rPr>
            </w:pPr>
            <w:r w:rsidRPr="00F90B6B">
              <w:rPr>
                <w:rFonts w:ascii="Times New Roman" w:hAnsi="Times New Roman"/>
                <w:b/>
                <w:sz w:val="28"/>
                <w:szCs w:val="28"/>
              </w:rPr>
              <w:t>Гіпонатріємія</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n=49</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rPr>
              <w:t>Холестерин, 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5,54±1,10</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5,65±2,19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5,58±1,02</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ЛПНЩ,</w:t>
            </w:r>
          </w:p>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rPr>
              <w:t>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3,29±1,42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3,34±1,19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3,35±1,0</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lang w:val="ru-RU"/>
              </w:rPr>
              <w:t>ЛПДНЩ,</w:t>
            </w:r>
          </w:p>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rPr>
              <w:t>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0,77±0,33</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0,74±0,30</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0,99±0,38*</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ЛПВЩ,</w:t>
            </w:r>
          </w:p>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rPr>
              <w:t>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1,25±0,22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1,16±0,16</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1,15±0,26*, **</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Тригліцериди,</w:t>
            </w:r>
          </w:p>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rPr>
              <w:t>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1,59±0,22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1,55±0,55</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1,73±0,29*</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 вірогідна різниця показників відносно групи пацієнтів з нормонатріємією;</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 вірогідна різниця показників відносно групи пацієнтів з гіпернатріємією.</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Стосовно кореляційних співвідношень та показників, що характеризують ступінь ліпідних порушень за наявності ХСН, було встановлено негативний зв’язок відносно рівня натрію та тригліцеридів (</w:t>
      </w:r>
      <w:r w:rsidRPr="00F90B6B">
        <w:rPr>
          <w:rFonts w:ascii="Times New Roman" w:hAnsi="Times New Roman"/>
          <w:sz w:val="28"/>
          <w:szCs w:val="28"/>
          <w:lang w:val="en-US"/>
        </w:rPr>
        <w:t>r</w:t>
      </w:r>
      <w:r w:rsidRPr="00F90B6B">
        <w:rPr>
          <w:rFonts w:ascii="Times New Roman" w:hAnsi="Times New Roman"/>
          <w:sz w:val="28"/>
          <w:szCs w:val="28"/>
        </w:rPr>
        <w:t xml:space="preserve">=-0,27, </w:t>
      </w:r>
      <w:r w:rsidRPr="00F90B6B">
        <w:rPr>
          <w:rFonts w:ascii="Times New Roman" w:hAnsi="Times New Roman"/>
          <w:sz w:val="28"/>
          <w:szCs w:val="28"/>
          <w:lang w:val="en-US"/>
        </w:rPr>
        <w:t>p</w:t>
      </w:r>
      <w:r w:rsidRPr="00F90B6B">
        <w:rPr>
          <w:rFonts w:ascii="Times New Roman" w:hAnsi="Times New Roman"/>
          <w:sz w:val="28"/>
          <w:szCs w:val="28"/>
        </w:rPr>
        <w:t>&lt;0,05, рис. 3.1.10).</w:t>
      </w:r>
    </w:p>
    <w:p w:rsidR="00EF4063" w:rsidRPr="00F90B6B" w:rsidRDefault="00EF4063" w:rsidP="00F0048B">
      <w:pPr>
        <w:tabs>
          <w:tab w:val="left" w:pos="3864"/>
        </w:tabs>
        <w:spacing w:after="0" w:line="360" w:lineRule="auto"/>
        <w:ind w:firstLine="709"/>
        <w:jc w:val="center"/>
        <w:rPr>
          <w:rFonts w:ascii="Times New Roman" w:hAnsi="Times New Roman"/>
        </w:rPr>
      </w:pPr>
      <w:r w:rsidRPr="00F90B6B">
        <w:rPr>
          <w:rFonts w:ascii="Times New Roman" w:hAnsi="Times New Roman"/>
        </w:rPr>
        <w:object w:dxaOrig="7393" w:dyaOrig="5547">
          <v:shape id="_x0000_i1025" type="#_x0000_t75" style="width:369.75pt;height:274.5pt" o:ole="">
            <v:imagedata r:id="rId24" o:title=""/>
          </v:shape>
          <o:OLEObject Type="Embed" ProgID="STATISTICA.Graph" ShapeID="_x0000_i1025" DrawAspect="Content" ObjectID="_1624460750" r:id="rId25">
            <o:FieldCodes>\s</o:FieldCodes>
          </o:OLEObject>
        </w:objec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3.1.10. </w:t>
      </w:r>
      <w:r w:rsidRPr="00F90B6B">
        <w:rPr>
          <w:rFonts w:ascii="Times New Roman" w:hAnsi="Times New Roman"/>
          <w:sz w:val="28"/>
          <w:szCs w:val="28"/>
        </w:rPr>
        <w:t>Кореляційний зв’язок між рівнем натрію та тригліцеридів плазми крові у пацієнтів, госпіталізованих з приводу ХСН.</w:t>
      </w:r>
    </w:p>
    <w:p w:rsidR="00EF4063" w:rsidRPr="00F90B6B" w:rsidRDefault="00EF4063" w:rsidP="00F0048B">
      <w:pPr>
        <w:shd w:val="clear" w:color="auto" w:fill="FFFFFF"/>
        <w:spacing w:after="0" w:line="360" w:lineRule="auto"/>
        <w:ind w:firstLine="709"/>
        <w:jc w:val="both"/>
        <w:rPr>
          <w:rFonts w:ascii="Times New Roman" w:hAnsi="Times New Roman"/>
          <w:sz w:val="16"/>
          <w:szCs w:val="16"/>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Окрім того, в групі хворих з ХСН та гіпонатріємією виявлено вірогідний позитивний зв’язок між вмістом ЛПНЩ та ІМТ (</w:t>
      </w:r>
      <w:r w:rsidRPr="00F90B6B">
        <w:rPr>
          <w:rFonts w:ascii="Times New Roman" w:hAnsi="Times New Roman"/>
          <w:sz w:val="28"/>
          <w:szCs w:val="28"/>
          <w:lang w:val="en-US"/>
        </w:rPr>
        <w:t>r</w:t>
      </w:r>
      <w:r w:rsidRPr="00F90B6B">
        <w:rPr>
          <w:rFonts w:ascii="Times New Roman" w:hAnsi="Times New Roman"/>
          <w:sz w:val="28"/>
          <w:szCs w:val="28"/>
        </w:rPr>
        <w:t xml:space="preserve">=0,35, </w:t>
      </w:r>
      <w:r w:rsidRPr="00F90B6B">
        <w:rPr>
          <w:rFonts w:ascii="Times New Roman" w:hAnsi="Times New Roman"/>
          <w:sz w:val="28"/>
          <w:szCs w:val="28"/>
          <w:lang w:val="en-US"/>
        </w:rPr>
        <w:t>p</w:t>
      </w:r>
      <w:r w:rsidRPr="00F90B6B">
        <w:rPr>
          <w:rFonts w:ascii="Times New Roman" w:hAnsi="Times New Roman"/>
          <w:sz w:val="28"/>
          <w:szCs w:val="28"/>
        </w:rPr>
        <w:t>&lt;0,05, рис. 3.1.11), а також від’ємний зв’язок між рівнем тригліцеридів та функціональним класом ХСН (</w:t>
      </w:r>
      <w:r w:rsidRPr="00F90B6B">
        <w:rPr>
          <w:rFonts w:ascii="Times New Roman" w:hAnsi="Times New Roman"/>
          <w:sz w:val="28"/>
          <w:szCs w:val="28"/>
          <w:lang w:val="en-US"/>
        </w:rPr>
        <w:t>r</w:t>
      </w:r>
      <w:r w:rsidRPr="00F90B6B">
        <w:rPr>
          <w:rFonts w:ascii="Times New Roman" w:hAnsi="Times New Roman"/>
          <w:sz w:val="28"/>
          <w:szCs w:val="28"/>
        </w:rPr>
        <w:t xml:space="preserve">=-0,37, </w:t>
      </w:r>
      <w:r w:rsidRPr="00F90B6B">
        <w:rPr>
          <w:rFonts w:ascii="Times New Roman" w:hAnsi="Times New Roman"/>
          <w:sz w:val="28"/>
          <w:szCs w:val="28"/>
          <w:lang w:val="en-US"/>
        </w:rPr>
        <w:t>p</w:t>
      </w:r>
      <w:r w:rsidRPr="00F90B6B">
        <w:rPr>
          <w:rFonts w:ascii="Times New Roman" w:hAnsi="Times New Roman"/>
          <w:sz w:val="28"/>
          <w:szCs w:val="28"/>
        </w:rPr>
        <w:t>&lt;0,05), рис. 3.1.12.</w:t>
      </w:r>
    </w:p>
    <w:p w:rsidR="00EF4063" w:rsidRPr="00F90B6B" w:rsidRDefault="00EF4063" w:rsidP="00F0048B">
      <w:pPr>
        <w:tabs>
          <w:tab w:val="left" w:pos="3864"/>
        </w:tabs>
        <w:spacing w:after="0" w:line="360" w:lineRule="auto"/>
        <w:ind w:firstLine="709"/>
        <w:jc w:val="both"/>
        <w:rPr>
          <w:rFonts w:ascii="Times New Roman" w:hAnsi="Times New Roman"/>
          <w:b/>
          <w:sz w:val="28"/>
          <w:szCs w:val="28"/>
        </w:rPr>
      </w:pPr>
    </w:p>
    <w:tbl>
      <w:tblPr>
        <w:tblW w:w="0" w:type="auto"/>
        <w:tblLook w:val="00A0" w:firstRow="1" w:lastRow="0" w:firstColumn="1" w:lastColumn="0" w:noHBand="0" w:noVBand="0"/>
      </w:tblPr>
      <w:tblGrid>
        <w:gridCol w:w="5092"/>
        <w:gridCol w:w="4899"/>
      </w:tblGrid>
      <w:tr w:rsidR="00EF4063" w:rsidRPr="00F90B6B" w:rsidTr="0076299F">
        <w:tc>
          <w:tcPr>
            <w:tcW w:w="5021" w:type="dxa"/>
          </w:tcPr>
          <w:p w:rsidR="00EF4063" w:rsidRPr="00F90B6B" w:rsidRDefault="00EF4063" w:rsidP="00F0048B">
            <w:pPr>
              <w:tabs>
                <w:tab w:val="left" w:pos="3864"/>
              </w:tabs>
              <w:spacing w:after="0" w:line="360" w:lineRule="auto"/>
              <w:jc w:val="both"/>
              <w:rPr>
                <w:rFonts w:ascii="Times New Roman" w:hAnsi="Times New Roman"/>
                <w:sz w:val="28"/>
                <w:szCs w:val="28"/>
              </w:rPr>
            </w:pPr>
            <w:r w:rsidRPr="00F90B6B">
              <w:rPr>
                <w:rFonts w:ascii="Times New Roman" w:hAnsi="Times New Roman"/>
              </w:rPr>
              <w:object w:dxaOrig="4871" w:dyaOrig="3653">
                <v:shape id="_x0000_i1026" type="#_x0000_t75" style="width:243.75pt;height:180.75pt" o:ole="">
                  <v:imagedata r:id="rId26" o:title=""/>
                </v:shape>
                <o:OLEObject Type="Embed" ProgID="STATISTICA.Graph" ShapeID="_x0000_i1026" DrawAspect="Content" ObjectID="_1624460751" r:id="rId27">
                  <o:FieldCodes>\s</o:FieldCodes>
                </o:OLEObject>
              </w:object>
            </w:r>
          </w:p>
        </w:tc>
        <w:tc>
          <w:tcPr>
            <w:tcW w:w="4834" w:type="dxa"/>
          </w:tcPr>
          <w:p w:rsidR="00EF4063" w:rsidRPr="00F90B6B" w:rsidRDefault="00EF4063" w:rsidP="00F0048B">
            <w:pPr>
              <w:tabs>
                <w:tab w:val="left" w:pos="3864"/>
              </w:tabs>
              <w:spacing w:after="0" w:line="360" w:lineRule="auto"/>
              <w:jc w:val="both"/>
              <w:rPr>
                <w:rFonts w:ascii="Times New Roman" w:hAnsi="Times New Roman"/>
                <w:sz w:val="28"/>
                <w:szCs w:val="28"/>
              </w:rPr>
            </w:pPr>
            <w:r w:rsidRPr="00F90B6B">
              <w:rPr>
                <w:rFonts w:ascii="Times New Roman" w:hAnsi="Times New Roman"/>
              </w:rPr>
              <w:object w:dxaOrig="4682" w:dyaOrig="3506">
                <v:shape id="_x0000_i1027" type="#_x0000_t75" style="width:234pt;height:173.25pt" o:ole="">
                  <v:imagedata r:id="rId28" o:title=""/>
                </v:shape>
                <o:OLEObject Type="Embed" ProgID="STATISTICA.Graph" ShapeID="_x0000_i1027" DrawAspect="Content" ObjectID="_1624460752" r:id="rId29">
                  <o:FieldCodes>\s</o:FieldCodes>
                </o:OLEObject>
              </w:object>
            </w:r>
          </w:p>
        </w:tc>
      </w:tr>
      <w:tr w:rsidR="00EF4063" w:rsidRPr="00F90B6B" w:rsidTr="0076299F">
        <w:tc>
          <w:tcPr>
            <w:tcW w:w="5021" w:type="dxa"/>
          </w:tcPr>
          <w:p w:rsidR="00EF4063" w:rsidRPr="00F90B6B" w:rsidRDefault="00EF4063" w:rsidP="001B6B2E">
            <w:pPr>
              <w:tabs>
                <w:tab w:val="left" w:pos="3372"/>
              </w:tabs>
              <w:spacing w:after="0" w:line="240" w:lineRule="auto"/>
              <w:jc w:val="both"/>
              <w:rPr>
                <w:rFonts w:ascii="Times New Roman" w:hAnsi="Times New Roman"/>
                <w:sz w:val="28"/>
                <w:szCs w:val="28"/>
              </w:rPr>
            </w:pPr>
            <w:r w:rsidRPr="00F90B6B">
              <w:rPr>
                <w:rFonts w:ascii="Times New Roman" w:hAnsi="Times New Roman"/>
                <w:b/>
                <w:sz w:val="28"/>
                <w:szCs w:val="28"/>
              </w:rPr>
              <w:t xml:space="preserve">Рис. 3.1.11. </w:t>
            </w:r>
            <w:r w:rsidRPr="00F90B6B">
              <w:rPr>
                <w:rFonts w:ascii="Times New Roman" w:hAnsi="Times New Roman"/>
                <w:sz w:val="28"/>
                <w:szCs w:val="28"/>
              </w:rPr>
              <w:t>Кореляційний зв’язок між вмістом ЛПНЩ та ІМТ у пацієнтів з ХСН та гіпонатріємією.</w:t>
            </w:r>
          </w:p>
        </w:tc>
        <w:tc>
          <w:tcPr>
            <w:tcW w:w="4834" w:type="dxa"/>
          </w:tcPr>
          <w:p w:rsidR="00EF4063" w:rsidRPr="00F90B6B" w:rsidRDefault="00EF4063" w:rsidP="001B6B2E">
            <w:pPr>
              <w:tabs>
                <w:tab w:val="left" w:pos="3372"/>
              </w:tabs>
              <w:spacing w:after="0" w:line="240" w:lineRule="auto"/>
              <w:jc w:val="both"/>
              <w:rPr>
                <w:rFonts w:ascii="Times New Roman" w:hAnsi="Times New Roman"/>
                <w:sz w:val="28"/>
                <w:szCs w:val="28"/>
              </w:rPr>
            </w:pPr>
            <w:r w:rsidRPr="00F90B6B">
              <w:rPr>
                <w:rFonts w:ascii="Times New Roman" w:hAnsi="Times New Roman"/>
                <w:b/>
                <w:sz w:val="28"/>
                <w:szCs w:val="28"/>
              </w:rPr>
              <w:t>Рис. 3.1.12</w:t>
            </w:r>
            <w:r w:rsidRPr="00F90B6B">
              <w:rPr>
                <w:rFonts w:ascii="Times New Roman" w:hAnsi="Times New Roman"/>
                <w:sz w:val="28"/>
                <w:szCs w:val="28"/>
              </w:rPr>
              <w:t>. Кореляційний зв’язок між рівнем тригліцеридів та ФК ХСН у пацієнтів з гіпонатріємією.</w:t>
            </w: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За оцінки наявності виразкової хвороби або хронічного гастриту в анамнезі у пацієнтів з ХСН, було виявлено асоціацією з двома видами порушень іонного гомеостазу – як з гіпонатріємією, так і з гіпернатріємією, порівняно з хворими, що мали нормальні показники іонного статусу. За аналізу вірогідності частотних співвідношень відносно груп гіпонатріємії та нормонатріємії, встановлено приріст абсолютного ризику на 22,0% щодо виявлення виразкової хвороби або хронічного гастриту при зниженому рівні натрію, вірогідні відносний ризик (1,70 [1,16-2,47], </w:t>
      </w:r>
      <w:r w:rsidRPr="00F90B6B">
        <w:rPr>
          <w:rFonts w:ascii="Times New Roman" w:hAnsi="Times New Roman"/>
          <w:sz w:val="28"/>
          <w:szCs w:val="28"/>
          <w:lang w:val="en-US"/>
        </w:rPr>
        <w:t>p</w:t>
      </w:r>
      <w:r w:rsidRPr="00F90B6B">
        <w:rPr>
          <w:rFonts w:ascii="Times New Roman" w:hAnsi="Times New Roman"/>
          <w:sz w:val="28"/>
          <w:szCs w:val="28"/>
        </w:rPr>
        <w:t xml:space="preserve">&lt;0,05) та відношення шансів (2,48 [1,25-4,93], </w:t>
      </w:r>
      <w:r w:rsidRPr="00F90B6B">
        <w:rPr>
          <w:rFonts w:ascii="Times New Roman" w:hAnsi="Times New Roman"/>
          <w:sz w:val="28"/>
          <w:szCs w:val="28"/>
          <w:lang w:val="en-US"/>
        </w:rPr>
        <w:t>p</w:t>
      </w:r>
      <w:r w:rsidRPr="00F90B6B">
        <w:rPr>
          <w:rFonts w:ascii="Times New Roman" w:hAnsi="Times New Roman"/>
          <w:sz w:val="28"/>
          <w:szCs w:val="28"/>
        </w:rPr>
        <w:t>&lt;0,05) асоціації виразкової хвороби або гастриту з гіпонатріємією у пацієнтів, госпіталізованих з приводу ХСН, табл. 3.1.11.</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3.1.11</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виразкової хвороби або хронічного гастриту з гіпонатріємією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53,0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rPr>
              <w:t>1,70</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[1,16-2,47]</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2,48</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[1,25-4,93]</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31,0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Ехокардіографічні розміри, об’єми та індекси у пацієнтів з хронічною серцевою недостатністю залежно від порушень іонного гомеостазу наведені в таблиці 3.1.12.</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вірогідні зміни за наявності гіпонатріємії встановлені за рахунок приросту кінцевосистолічного та кінцеводіастолічного розмірів (</w:t>
      </w:r>
      <w:r w:rsidRPr="00F90B6B">
        <w:rPr>
          <w:rFonts w:ascii="Times New Roman" w:hAnsi="Times New Roman"/>
          <w:sz w:val="28"/>
          <w:szCs w:val="28"/>
          <w:lang w:val="en-US"/>
        </w:rPr>
        <w:t>p</w:t>
      </w:r>
      <w:r w:rsidRPr="00F90B6B">
        <w:rPr>
          <w:rFonts w:ascii="Times New Roman" w:hAnsi="Times New Roman"/>
          <w:sz w:val="28"/>
          <w:szCs w:val="28"/>
        </w:rPr>
        <w:t>&lt;0,05) та об’ємів (</w:t>
      </w:r>
      <w:r w:rsidRPr="00F90B6B">
        <w:rPr>
          <w:rFonts w:ascii="Times New Roman" w:hAnsi="Times New Roman"/>
          <w:sz w:val="28"/>
          <w:szCs w:val="28"/>
          <w:lang w:val="en-US"/>
        </w:rPr>
        <w:t>p</w:t>
      </w:r>
      <w:r w:rsidRPr="00F90B6B">
        <w:rPr>
          <w:rFonts w:ascii="Times New Roman" w:hAnsi="Times New Roman"/>
          <w:sz w:val="28"/>
          <w:szCs w:val="28"/>
        </w:rPr>
        <w:t>&lt;0,05), а також збільшення товщини задньої стінки лівого шлуночка (</w:t>
      </w:r>
      <w:r w:rsidRPr="00F90B6B">
        <w:rPr>
          <w:rFonts w:ascii="Times New Roman" w:hAnsi="Times New Roman"/>
          <w:sz w:val="28"/>
          <w:szCs w:val="28"/>
          <w:lang w:val="en-US"/>
        </w:rPr>
        <w:t>p</w:t>
      </w:r>
      <w:r w:rsidRPr="00F90B6B">
        <w:rPr>
          <w:rFonts w:ascii="Times New Roman" w:hAnsi="Times New Roman"/>
          <w:sz w:val="28"/>
          <w:szCs w:val="28"/>
        </w:rPr>
        <w:t>&lt;0,05) та міжшлуночкової перетинки (</w:t>
      </w:r>
      <w:r w:rsidRPr="00F90B6B">
        <w:rPr>
          <w:rFonts w:ascii="Times New Roman" w:hAnsi="Times New Roman"/>
          <w:sz w:val="28"/>
          <w:szCs w:val="28"/>
          <w:lang w:val="en-US"/>
        </w:rPr>
        <w:t>p</w:t>
      </w:r>
      <w:r w:rsidRPr="00F90B6B">
        <w:rPr>
          <w:rFonts w:ascii="Times New Roman" w:hAnsi="Times New Roman"/>
          <w:sz w:val="28"/>
          <w:szCs w:val="28"/>
        </w:rPr>
        <w:t>&lt;0,05). Проте, інтегральний показник скоротливості міокарда – фракція викиду лівого шлуночка вірогідно не змінювався при міжгруповому аналізі, табл. 3.1.12.</w:t>
      </w:r>
    </w:p>
    <w:p w:rsidR="00EF4063" w:rsidRPr="00F90B6B" w:rsidRDefault="00EF4063" w:rsidP="00F0048B">
      <w:pPr>
        <w:shd w:val="clear" w:color="auto" w:fill="FFFFFF"/>
        <w:spacing w:after="0" w:line="360" w:lineRule="auto"/>
        <w:ind w:firstLine="709"/>
        <w:jc w:val="right"/>
        <w:rPr>
          <w:rFonts w:ascii="Times New Roman" w:hAnsi="Times New Roman"/>
          <w:i/>
          <w:sz w:val="28"/>
          <w:szCs w:val="28"/>
          <w:lang w:eastAsia="ru-RU"/>
        </w:rPr>
      </w:pPr>
    </w:p>
    <w:p w:rsidR="00EF4063" w:rsidRPr="00F90B6B" w:rsidRDefault="00EF4063" w:rsidP="00F0048B">
      <w:pPr>
        <w:shd w:val="clear" w:color="auto" w:fill="FFFFFF"/>
        <w:spacing w:after="0" w:line="360" w:lineRule="auto"/>
        <w:ind w:firstLine="709"/>
        <w:jc w:val="right"/>
        <w:rPr>
          <w:rFonts w:ascii="Times New Roman" w:hAnsi="Times New Roman"/>
          <w:i/>
          <w:sz w:val="28"/>
          <w:szCs w:val="28"/>
          <w:lang w:eastAsia="ru-RU"/>
        </w:rPr>
      </w:pPr>
    </w:p>
    <w:p w:rsidR="00EF4063" w:rsidRPr="00F90B6B" w:rsidRDefault="00EF4063" w:rsidP="00F0048B">
      <w:pPr>
        <w:shd w:val="clear" w:color="auto" w:fill="FFFFFF"/>
        <w:spacing w:after="0" w:line="360" w:lineRule="auto"/>
        <w:ind w:firstLine="709"/>
        <w:jc w:val="right"/>
        <w:rPr>
          <w:rFonts w:ascii="Times New Roman" w:hAnsi="Times New Roman"/>
          <w:i/>
          <w:sz w:val="28"/>
          <w:szCs w:val="28"/>
          <w:lang w:eastAsia="ru-RU"/>
        </w:rPr>
      </w:pPr>
    </w:p>
    <w:p w:rsidR="00EF4063" w:rsidRPr="00F90B6B" w:rsidRDefault="00EF4063" w:rsidP="00F0048B">
      <w:pPr>
        <w:shd w:val="clear" w:color="auto" w:fill="FFFFFF"/>
        <w:spacing w:after="0" w:line="360" w:lineRule="auto"/>
        <w:ind w:firstLine="709"/>
        <w:jc w:val="right"/>
        <w:rPr>
          <w:rFonts w:ascii="Times New Roman" w:hAnsi="Times New Roman"/>
          <w:i/>
          <w:sz w:val="28"/>
          <w:szCs w:val="28"/>
          <w:lang w:eastAsia="ru-RU"/>
        </w:rPr>
      </w:pPr>
    </w:p>
    <w:p w:rsidR="00EF4063" w:rsidRPr="00F90B6B" w:rsidRDefault="00EF4063" w:rsidP="00F0048B">
      <w:pPr>
        <w:shd w:val="clear" w:color="auto" w:fill="FFFFFF"/>
        <w:spacing w:after="0" w:line="360" w:lineRule="auto"/>
        <w:ind w:firstLine="709"/>
        <w:jc w:val="right"/>
        <w:rPr>
          <w:rFonts w:ascii="Times New Roman" w:hAnsi="Times New Roman"/>
          <w:i/>
          <w:sz w:val="28"/>
          <w:szCs w:val="28"/>
          <w:lang w:eastAsia="ru-RU"/>
        </w:rPr>
      </w:pPr>
      <w:r w:rsidRPr="00F90B6B">
        <w:rPr>
          <w:rFonts w:ascii="Times New Roman" w:hAnsi="Times New Roman"/>
          <w:i/>
          <w:sz w:val="28"/>
          <w:szCs w:val="28"/>
          <w:lang w:eastAsia="ru-RU"/>
        </w:rPr>
        <w:t>Таблиця 3.1.12</w:t>
      </w:r>
    </w:p>
    <w:p w:rsidR="00EF4063" w:rsidRPr="00F90B6B" w:rsidRDefault="00EF4063" w:rsidP="00F0048B">
      <w:pPr>
        <w:shd w:val="clear" w:color="auto" w:fill="FFFFFF"/>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lastRenderedPageBreak/>
        <w:t xml:space="preserve">Ехокардіографічні </w:t>
      </w:r>
      <w:r w:rsidRPr="00F90B6B">
        <w:rPr>
          <w:rFonts w:ascii="Times New Roman" w:hAnsi="Times New Roman"/>
          <w:b/>
          <w:sz w:val="28"/>
          <w:szCs w:val="28"/>
        </w:rPr>
        <w:t xml:space="preserve">розміри, об’єми та індекси </w:t>
      </w:r>
      <w:r w:rsidRPr="00F90B6B">
        <w:rPr>
          <w:rFonts w:ascii="Times New Roman" w:hAnsi="Times New Roman"/>
          <w:b/>
          <w:sz w:val="28"/>
          <w:szCs w:val="28"/>
          <w:lang w:eastAsia="ru-RU"/>
        </w:rPr>
        <w:t>у пацієнтів з хронічною серцевою недостатністю залежно від порушень іонного гомеостазу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1B6B2E">
            <w:pPr>
              <w:spacing w:after="0" w:line="24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1B6B2E">
            <w:pPr>
              <w:tabs>
                <w:tab w:val="left" w:pos="3864"/>
              </w:tabs>
              <w:spacing w:after="0" w:line="240" w:lineRule="auto"/>
              <w:rPr>
                <w:rFonts w:ascii="Times New Roman" w:hAnsi="Times New Roman"/>
                <w:b/>
                <w:sz w:val="28"/>
                <w:szCs w:val="28"/>
              </w:rPr>
            </w:pPr>
            <w:r w:rsidRPr="00F90B6B">
              <w:rPr>
                <w:rFonts w:ascii="Times New Roman" w:hAnsi="Times New Roman"/>
                <w:b/>
                <w:sz w:val="28"/>
                <w:szCs w:val="28"/>
              </w:rPr>
              <w:t>Нормонатріємія</w:t>
            </w:r>
          </w:p>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lang w:val="en-US"/>
              </w:rPr>
              <w:t>n=</w:t>
            </w:r>
            <w:r w:rsidRPr="00F90B6B">
              <w:rPr>
                <w:rFonts w:ascii="Times New Roman" w:hAnsi="Times New Roman"/>
                <w:b/>
                <w:sz w:val="28"/>
                <w:szCs w:val="28"/>
              </w:rPr>
              <w:t>7</w:t>
            </w:r>
            <w:r w:rsidRPr="00F90B6B">
              <w:rPr>
                <w:rFonts w:ascii="Times New Roman" w:hAnsi="Times New Roman"/>
                <w:b/>
                <w:sz w:val="28"/>
                <w:szCs w:val="28"/>
                <w:lang w:val="en-US"/>
              </w:rPr>
              <w:t>5</w:t>
            </w:r>
          </w:p>
        </w:tc>
        <w:tc>
          <w:tcPr>
            <w:tcW w:w="2464" w:type="dxa"/>
            <w:vAlign w:val="center"/>
          </w:tcPr>
          <w:p w:rsidR="00EF4063" w:rsidRPr="00F90B6B" w:rsidRDefault="00EF4063" w:rsidP="001B6B2E">
            <w:pPr>
              <w:autoSpaceDE w:val="0"/>
              <w:autoSpaceDN w:val="0"/>
              <w:adjustRightInd w:val="0"/>
              <w:spacing w:after="0" w:line="240" w:lineRule="auto"/>
              <w:ind w:left="60" w:right="60"/>
              <w:jc w:val="center"/>
              <w:rPr>
                <w:rFonts w:ascii="Times New Roman" w:hAnsi="Times New Roman"/>
                <w:b/>
                <w:sz w:val="28"/>
                <w:szCs w:val="28"/>
                <w:lang w:val="en-US"/>
              </w:rPr>
            </w:pPr>
            <w:r w:rsidRPr="00F90B6B">
              <w:rPr>
                <w:rFonts w:ascii="Times New Roman" w:hAnsi="Times New Roman"/>
                <w:b/>
                <w:sz w:val="28"/>
                <w:szCs w:val="28"/>
              </w:rPr>
              <w:t>Гіпернатріємія</w:t>
            </w:r>
          </w:p>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lang w:val="en-US"/>
              </w:rPr>
              <w:t>n=22</w:t>
            </w:r>
          </w:p>
        </w:tc>
        <w:tc>
          <w:tcPr>
            <w:tcW w:w="2464" w:type="dxa"/>
            <w:vAlign w:val="center"/>
          </w:tcPr>
          <w:p w:rsidR="00EF4063" w:rsidRPr="00F90B6B" w:rsidRDefault="00EF4063" w:rsidP="001B6B2E">
            <w:pPr>
              <w:autoSpaceDE w:val="0"/>
              <w:autoSpaceDN w:val="0"/>
              <w:adjustRightInd w:val="0"/>
              <w:spacing w:after="0" w:line="240" w:lineRule="auto"/>
              <w:ind w:left="60" w:right="60"/>
              <w:jc w:val="center"/>
              <w:rPr>
                <w:rFonts w:ascii="Times New Roman" w:hAnsi="Times New Roman"/>
                <w:b/>
                <w:sz w:val="28"/>
                <w:szCs w:val="28"/>
              </w:rPr>
            </w:pPr>
            <w:r w:rsidRPr="00F90B6B">
              <w:rPr>
                <w:rFonts w:ascii="Times New Roman" w:hAnsi="Times New Roman"/>
                <w:b/>
                <w:sz w:val="28"/>
                <w:szCs w:val="28"/>
              </w:rPr>
              <w:t>Гіпонатріємія</w:t>
            </w:r>
          </w:p>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lang w:val="en-US"/>
              </w:rPr>
              <w:t>n=49</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КДР, см</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4,98±0,26</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4,95±0,16</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5,0±0,29**</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КСР, см</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3,32±0,26</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3,35±0,13</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3,39±0,30**</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КДО, мл</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117,8±5,0</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115,9±3,42</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119,0±3,72*</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КСО, мл</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45,8±4,29</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45,3±4,44</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48,5±1,35*</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ФВ ЛШ, %</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59,8±4,14</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59,3±3,13</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59,2±3,91</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ТМШП, см</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 xml:space="preserve">1,22±0,04 </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1,22±0,04</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1,23±0,02*</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ТЗСЛШ, см</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1,20±0,03</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1,21±0,03</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1,22±0,06*</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 вірогідна різниця показників відносно групи пацієнтів з нормонатріємією;</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 вірогідна різниця показників відносно групи пацієнтів з гіпернатріємією.</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Із результатів регресійного аналізу з використанням клінічних показників та даних ехокардіографії для хворих з гіпонатріємією встановлено позитивний кореляційний зв’язок між величиною лівого передсердя та ІМТ (</w:t>
      </w:r>
      <w:r w:rsidRPr="00F90B6B">
        <w:rPr>
          <w:rFonts w:ascii="Times New Roman" w:hAnsi="Times New Roman"/>
          <w:sz w:val="28"/>
          <w:szCs w:val="28"/>
          <w:lang w:val="en-US"/>
        </w:rPr>
        <w:t>r</w:t>
      </w:r>
      <w:r w:rsidRPr="00F90B6B">
        <w:rPr>
          <w:rFonts w:ascii="Times New Roman" w:hAnsi="Times New Roman"/>
          <w:sz w:val="28"/>
          <w:szCs w:val="28"/>
        </w:rPr>
        <w:t xml:space="preserve">=0,36, </w:t>
      </w:r>
      <w:r w:rsidRPr="00F90B6B">
        <w:rPr>
          <w:rFonts w:ascii="Times New Roman" w:hAnsi="Times New Roman"/>
          <w:sz w:val="28"/>
          <w:szCs w:val="28"/>
          <w:lang w:val="en-US"/>
        </w:rPr>
        <w:t>p</w:t>
      </w:r>
      <w:r w:rsidRPr="00F90B6B">
        <w:rPr>
          <w:rFonts w:ascii="Times New Roman" w:hAnsi="Times New Roman"/>
          <w:sz w:val="28"/>
          <w:szCs w:val="28"/>
        </w:rPr>
        <w:t>&lt;0,05, рис. 3.1.13), а також негативний вірогідний зв’язок між кінцеводіастолічним об’ємом та функціональним класом серцевої недостатності (</w:t>
      </w:r>
      <w:r w:rsidRPr="00F90B6B">
        <w:rPr>
          <w:rFonts w:ascii="Times New Roman" w:hAnsi="Times New Roman"/>
          <w:sz w:val="28"/>
          <w:szCs w:val="28"/>
          <w:lang w:val="en-US"/>
        </w:rPr>
        <w:t>r</w:t>
      </w:r>
      <w:r w:rsidRPr="00F90B6B">
        <w:rPr>
          <w:rFonts w:ascii="Times New Roman" w:hAnsi="Times New Roman"/>
          <w:sz w:val="28"/>
          <w:szCs w:val="28"/>
        </w:rPr>
        <w:t xml:space="preserve">=-0,24, </w:t>
      </w:r>
      <w:r w:rsidRPr="00F90B6B">
        <w:rPr>
          <w:rFonts w:ascii="Times New Roman" w:hAnsi="Times New Roman"/>
          <w:sz w:val="28"/>
          <w:szCs w:val="28"/>
          <w:lang w:val="en-US"/>
        </w:rPr>
        <w:t>p</w:t>
      </w:r>
      <w:r w:rsidRPr="00F90B6B">
        <w:rPr>
          <w:rFonts w:ascii="Times New Roman" w:hAnsi="Times New Roman"/>
          <w:sz w:val="28"/>
          <w:szCs w:val="28"/>
        </w:rPr>
        <w:t>&lt;0,05, рис. 3.1.14).</w:t>
      </w:r>
    </w:p>
    <w:tbl>
      <w:tblPr>
        <w:tblW w:w="0" w:type="auto"/>
        <w:tblLook w:val="00A0" w:firstRow="1" w:lastRow="0" w:firstColumn="1" w:lastColumn="0" w:noHBand="0" w:noVBand="0"/>
      </w:tblPr>
      <w:tblGrid>
        <w:gridCol w:w="4971"/>
        <w:gridCol w:w="4928"/>
      </w:tblGrid>
      <w:tr w:rsidR="00EF4063" w:rsidRPr="00F90B6B" w:rsidTr="0076299F">
        <w:tc>
          <w:tcPr>
            <w:tcW w:w="4927" w:type="dxa"/>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rPr>
              <w:object w:dxaOrig="4755" w:dyaOrig="3805">
                <v:shape id="_x0000_i1028" type="#_x0000_t75" style="width:237.75pt;height:188.25pt" o:ole="">
                  <v:imagedata r:id="rId30" o:title=""/>
                </v:shape>
                <o:OLEObject Type="Embed" ProgID="STATISTICA.Graph" ShapeID="_x0000_i1028" DrawAspect="Content" ObjectID="_1624460753" r:id="rId31">
                  <o:FieldCodes>\s</o:FieldCodes>
                </o:OLEObject>
              </w:object>
            </w:r>
          </w:p>
        </w:tc>
        <w:tc>
          <w:tcPr>
            <w:tcW w:w="4928" w:type="dxa"/>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rPr>
              <w:object w:dxaOrig="4632" w:dyaOrig="3475">
                <v:shape id="_x0000_i1029" type="#_x0000_t75" style="width:231.75pt;height:174pt" o:ole="">
                  <v:imagedata r:id="rId32" o:title=""/>
                </v:shape>
                <o:OLEObject Type="Embed" ProgID="STATISTICA.Graph" ShapeID="_x0000_i1029" DrawAspect="Content" ObjectID="_1624460754" r:id="rId33">
                  <o:FieldCodes>\s</o:FieldCodes>
                </o:OLEObject>
              </w:object>
            </w:r>
          </w:p>
        </w:tc>
      </w:tr>
      <w:tr w:rsidR="00EF4063" w:rsidRPr="00F90B6B" w:rsidTr="0076299F">
        <w:tc>
          <w:tcPr>
            <w:tcW w:w="4927"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 xml:space="preserve">Рис. 3.1.13. </w:t>
            </w:r>
            <w:r w:rsidRPr="00F90B6B">
              <w:rPr>
                <w:rFonts w:ascii="Times New Roman" w:hAnsi="Times New Roman"/>
                <w:sz w:val="28"/>
                <w:szCs w:val="28"/>
              </w:rPr>
              <w:t>Кореляційний зв’язок між розміром лівого передсердя та ІМТ у пацієнтів з ХСН та гіпонатріємією.</w:t>
            </w:r>
          </w:p>
        </w:tc>
        <w:tc>
          <w:tcPr>
            <w:tcW w:w="4928" w:type="dxa"/>
          </w:tcPr>
          <w:p w:rsidR="00EF4063" w:rsidRPr="00F90B6B" w:rsidRDefault="00EF4063" w:rsidP="00F0048B">
            <w:pPr>
              <w:tabs>
                <w:tab w:val="left" w:pos="3372"/>
              </w:tabs>
              <w:spacing w:after="0" w:line="360" w:lineRule="auto"/>
              <w:jc w:val="both"/>
              <w:rPr>
                <w:rFonts w:ascii="Times New Roman" w:hAnsi="Times New Roman"/>
                <w:sz w:val="28"/>
                <w:szCs w:val="28"/>
              </w:rPr>
            </w:pPr>
            <w:r w:rsidRPr="00F90B6B">
              <w:rPr>
                <w:rFonts w:ascii="Times New Roman" w:hAnsi="Times New Roman"/>
                <w:b/>
                <w:sz w:val="28"/>
                <w:szCs w:val="28"/>
              </w:rPr>
              <w:t>Рис. 3.1.14</w:t>
            </w:r>
            <w:r w:rsidRPr="00F90B6B">
              <w:rPr>
                <w:rFonts w:ascii="Times New Roman" w:hAnsi="Times New Roman"/>
                <w:sz w:val="28"/>
                <w:szCs w:val="28"/>
              </w:rPr>
              <w:t>. Кореляційний зв’язок між КДО та ФК ХСН у пацієнтів з гіпонатріємією.</w:t>
            </w:r>
          </w:p>
        </w:tc>
      </w:tr>
    </w:tbl>
    <w:p w:rsidR="00EF4063" w:rsidRPr="00F90B6B" w:rsidRDefault="00EF4063" w:rsidP="00BB305F">
      <w:pPr>
        <w:tabs>
          <w:tab w:val="left" w:pos="2484"/>
        </w:tabs>
        <w:spacing w:after="0" w:line="336" w:lineRule="auto"/>
        <w:ind w:firstLine="709"/>
        <w:jc w:val="both"/>
        <w:rPr>
          <w:rFonts w:ascii="Times New Roman" w:hAnsi="Times New Roman"/>
          <w:sz w:val="28"/>
          <w:szCs w:val="28"/>
        </w:rPr>
      </w:pPr>
      <w:r w:rsidRPr="00F90B6B">
        <w:rPr>
          <w:rFonts w:ascii="Times New Roman" w:hAnsi="Times New Roman"/>
          <w:sz w:val="28"/>
          <w:szCs w:val="28"/>
        </w:rPr>
        <w:lastRenderedPageBreak/>
        <w:t>Окремим завданням за оцінки даних ехокардіогафії, було вивчити ступінь вираженості діастолічної дисфункції у хворих з ХСН та різними ступенями іонних порушень.</w:t>
      </w:r>
    </w:p>
    <w:p w:rsidR="00EF4063" w:rsidRPr="00F90B6B" w:rsidRDefault="00EF4063" w:rsidP="00BB305F">
      <w:pPr>
        <w:tabs>
          <w:tab w:val="left" w:pos="3864"/>
        </w:tabs>
        <w:spacing w:after="0" w:line="336" w:lineRule="auto"/>
        <w:ind w:firstLine="709"/>
        <w:jc w:val="both"/>
        <w:rPr>
          <w:rFonts w:ascii="Times New Roman" w:hAnsi="Times New Roman"/>
          <w:sz w:val="28"/>
          <w:szCs w:val="28"/>
        </w:rPr>
      </w:pPr>
      <w:r w:rsidRPr="00F90B6B">
        <w:rPr>
          <w:rFonts w:ascii="Times New Roman" w:hAnsi="Times New Roman"/>
          <w:sz w:val="28"/>
          <w:szCs w:val="28"/>
        </w:rPr>
        <w:t>Критерієм нормальної діастолічної функції вважалось Е/А співвідношення на рівні 1,0-2,0. Дані, отримані на цьому етапі дослідження за показником трансмітрального потоку в лівому передсерді наведені в табл. 3.1.24.</w:t>
      </w:r>
    </w:p>
    <w:p w:rsidR="00EF4063" w:rsidRPr="00F90B6B" w:rsidRDefault="00EF4063" w:rsidP="00BB305F">
      <w:pPr>
        <w:tabs>
          <w:tab w:val="left" w:pos="3864"/>
        </w:tabs>
        <w:spacing w:after="0" w:line="336" w:lineRule="auto"/>
        <w:ind w:firstLine="709"/>
        <w:jc w:val="both"/>
        <w:rPr>
          <w:rFonts w:ascii="Times New Roman" w:hAnsi="Times New Roman"/>
          <w:sz w:val="28"/>
          <w:szCs w:val="28"/>
        </w:rPr>
      </w:pPr>
      <w:r w:rsidRPr="00F90B6B">
        <w:rPr>
          <w:rFonts w:ascii="Times New Roman" w:hAnsi="Times New Roman"/>
          <w:sz w:val="28"/>
          <w:szCs w:val="28"/>
        </w:rPr>
        <w:t>Доведено, що частота виявлення діастолічної дисфункції у пацієнтів, госпіталізованих з приводу ХСН за наявності іонних порушень, зокрема, гіпонатріємії, була більшою, ніж при нормальному іонному складі. При визначенні абсолютного та відносного ризиків, відношення шансів асоціації діастолічної дисфункції зі зменшенням показників трансмітрального потоку Е/А менше 1,0 у пацієнтів з ХСН та гіпонатріємією, виявлено приріст абсолютного ризику на 14,0%, RR - 1,21 [1,0-1,46], OR - 2,13 [0,93-4,89], табл. 3.1.13.</w:t>
      </w:r>
    </w:p>
    <w:p w:rsidR="00EF4063" w:rsidRPr="00F90B6B" w:rsidRDefault="00EF4063" w:rsidP="00BB305F">
      <w:pPr>
        <w:tabs>
          <w:tab w:val="left" w:pos="3864"/>
        </w:tabs>
        <w:spacing w:after="0" w:line="336" w:lineRule="auto"/>
        <w:ind w:firstLine="709"/>
        <w:jc w:val="right"/>
        <w:rPr>
          <w:rFonts w:ascii="Times New Roman" w:hAnsi="Times New Roman"/>
          <w:i/>
          <w:sz w:val="28"/>
          <w:szCs w:val="28"/>
        </w:rPr>
      </w:pPr>
      <w:r w:rsidRPr="00F90B6B">
        <w:rPr>
          <w:rFonts w:ascii="Times New Roman" w:hAnsi="Times New Roman"/>
          <w:i/>
          <w:sz w:val="28"/>
          <w:szCs w:val="28"/>
        </w:rPr>
        <w:t>Таблиця 3.1.13</w:t>
      </w:r>
    </w:p>
    <w:p w:rsidR="00EF4063" w:rsidRPr="00F90B6B" w:rsidRDefault="00EF4063" w:rsidP="00BB305F">
      <w:pPr>
        <w:tabs>
          <w:tab w:val="left" w:pos="3864"/>
        </w:tabs>
        <w:spacing w:after="0" w:line="336"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розвитку діастолічної дисфункції та Е/А&lt;1,0 у пацієнтів з ХСН та гіпонатріємією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BB305F">
            <w:pPr>
              <w:tabs>
                <w:tab w:val="left" w:pos="3864"/>
              </w:tabs>
              <w:spacing w:after="0" w:line="336"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BB305F">
            <w:pPr>
              <w:tabs>
                <w:tab w:val="left" w:pos="3864"/>
              </w:tabs>
              <w:spacing w:after="0" w:line="336"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BB305F">
            <w:pPr>
              <w:tabs>
                <w:tab w:val="left" w:pos="3864"/>
              </w:tabs>
              <w:spacing w:after="0" w:line="336"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BB305F">
            <w:pPr>
              <w:tabs>
                <w:tab w:val="left" w:pos="3864"/>
              </w:tabs>
              <w:spacing w:after="0" w:line="336"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BB305F">
            <w:pPr>
              <w:tabs>
                <w:tab w:val="left" w:pos="3864"/>
              </w:tabs>
              <w:spacing w:after="0" w:line="336"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BB305F">
            <w:pPr>
              <w:tabs>
                <w:tab w:val="left" w:pos="3864"/>
              </w:tabs>
              <w:spacing w:after="0" w:line="336" w:lineRule="auto"/>
              <w:jc w:val="center"/>
              <w:rPr>
                <w:rFonts w:ascii="Times New Roman" w:hAnsi="Times New Roman"/>
                <w:sz w:val="28"/>
                <w:szCs w:val="28"/>
              </w:rPr>
            </w:pPr>
            <w:r w:rsidRPr="00F90B6B">
              <w:rPr>
                <w:rFonts w:ascii="Times New Roman" w:hAnsi="Times New Roman"/>
                <w:sz w:val="28"/>
                <w:szCs w:val="28"/>
              </w:rPr>
              <w:t>82,0</w:t>
            </w:r>
          </w:p>
        </w:tc>
        <w:tc>
          <w:tcPr>
            <w:tcW w:w="2464" w:type="dxa"/>
            <w:vMerge w:val="restart"/>
            <w:vAlign w:val="center"/>
          </w:tcPr>
          <w:p w:rsidR="00EF4063" w:rsidRPr="00F90B6B" w:rsidRDefault="00EF4063" w:rsidP="00BB305F">
            <w:pPr>
              <w:tabs>
                <w:tab w:val="left" w:pos="2856"/>
              </w:tabs>
              <w:spacing w:after="0" w:line="336" w:lineRule="auto"/>
              <w:jc w:val="center"/>
              <w:rPr>
                <w:rFonts w:ascii="Times New Roman" w:hAnsi="Times New Roman"/>
                <w:sz w:val="28"/>
                <w:szCs w:val="28"/>
              </w:rPr>
            </w:pPr>
            <w:r w:rsidRPr="00F90B6B">
              <w:rPr>
                <w:rFonts w:ascii="Times New Roman" w:hAnsi="Times New Roman"/>
                <w:sz w:val="28"/>
                <w:szCs w:val="28"/>
                <w:lang w:val="en-US"/>
              </w:rPr>
              <w:t>1,21</w:t>
            </w:r>
          </w:p>
          <w:p w:rsidR="00EF4063" w:rsidRPr="00F90B6B" w:rsidRDefault="00EF4063" w:rsidP="00BB305F">
            <w:pPr>
              <w:tabs>
                <w:tab w:val="left" w:pos="2856"/>
              </w:tabs>
              <w:spacing w:after="0" w:line="336" w:lineRule="auto"/>
              <w:jc w:val="center"/>
              <w:rPr>
                <w:rFonts w:ascii="Times New Roman" w:hAnsi="Times New Roman"/>
                <w:sz w:val="28"/>
                <w:szCs w:val="28"/>
                <w:lang w:val="en-US"/>
              </w:rPr>
            </w:pPr>
            <w:r w:rsidRPr="00F90B6B">
              <w:rPr>
                <w:rFonts w:ascii="Times New Roman" w:hAnsi="Times New Roman"/>
                <w:sz w:val="28"/>
                <w:szCs w:val="28"/>
                <w:lang w:val="en-US"/>
              </w:rPr>
              <w:t>[1,0-1,46]</w:t>
            </w:r>
          </w:p>
        </w:tc>
        <w:tc>
          <w:tcPr>
            <w:tcW w:w="2464" w:type="dxa"/>
            <w:vMerge w:val="restart"/>
            <w:vAlign w:val="center"/>
          </w:tcPr>
          <w:p w:rsidR="00EF4063" w:rsidRPr="00F90B6B" w:rsidRDefault="00EF4063" w:rsidP="00BB305F">
            <w:pPr>
              <w:tabs>
                <w:tab w:val="left" w:pos="3864"/>
              </w:tabs>
              <w:spacing w:after="0" w:line="336" w:lineRule="auto"/>
              <w:jc w:val="center"/>
              <w:rPr>
                <w:rFonts w:ascii="Times New Roman" w:hAnsi="Times New Roman"/>
                <w:sz w:val="28"/>
                <w:szCs w:val="28"/>
              </w:rPr>
            </w:pPr>
            <w:r w:rsidRPr="00F90B6B">
              <w:rPr>
                <w:rFonts w:ascii="Times New Roman" w:hAnsi="Times New Roman"/>
                <w:sz w:val="28"/>
                <w:szCs w:val="28"/>
                <w:lang w:val="en-US"/>
              </w:rPr>
              <w:t>2,13</w:t>
            </w:r>
          </w:p>
          <w:p w:rsidR="00EF4063" w:rsidRPr="00F90B6B" w:rsidRDefault="00EF4063" w:rsidP="00BB305F">
            <w:pPr>
              <w:tabs>
                <w:tab w:val="left" w:pos="3864"/>
              </w:tabs>
              <w:spacing w:after="0" w:line="336" w:lineRule="auto"/>
              <w:jc w:val="center"/>
              <w:rPr>
                <w:rFonts w:ascii="Times New Roman" w:hAnsi="Times New Roman"/>
                <w:sz w:val="28"/>
                <w:szCs w:val="28"/>
                <w:lang w:val="en-US"/>
              </w:rPr>
            </w:pPr>
            <w:r w:rsidRPr="00F90B6B">
              <w:rPr>
                <w:rFonts w:ascii="Times New Roman" w:hAnsi="Times New Roman"/>
                <w:sz w:val="28"/>
                <w:szCs w:val="28"/>
                <w:lang w:val="en-US"/>
              </w:rPr>
              <w:t>[0,93-4,89]</w:t>
            </w:r>
          </w:p>
        </w:tc>
      </w:tr>
      <w:tr w:rsidR="00EF4063" w:rsidRPr="00F90B6B" w:rsidTr="0076299F">
        <w:tc>
          <w:tcPr>
            <w:tcW w:w="2463" w:type="dxa"/>
            <w:vAlign w:val="center"/>
          </w:tcPr>
          <w:p w:rsidR="00EF4063" w:rsidRPr="00F90B6B" w:rsidRDefault="00EF4063" w:rsidP="00BB305F">
            <w:pPr>
              <w:tabs>
                <w:tab w:val="left" w:pos="3864"/>
              </w:tabs>
              <w:spacing w:after="0" w:line="336"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BB305F">
            <w:pPr>
              <w:tabs>
                <w:tab w:val="left" w:pos="3864"/>
              </w:tabs>
              <w:spacing w:after="0" w:line="336" w:lineRule="auto"/>
              <w:jc w:val="center"/>
              <w:rPr>
                <w:rFonts w:ascii="Times New Roman" w:hAnsi="Times New Roman"/>
                <w:sz w:val="28"/>
                <w:szCs w:val="28"/>
              </w:rPr>
            </w:pPr>
            <w:r w:rsidRPr="00F90B6B">
              <w:rPr>
                <w:rFonts w:ascii="Times New Roman" w:hAnsi="Times New Roman"/>
                <w:sz w:val="28"/>
                <w:szCs w:val="28"/>
              </w:rPr>
              <w:t>68,0</w:t>
            </w:r>
          </w:p>
        </w:tc>
        <w:tc>
          <w:tcPr>
            <w:tcW w:w="2464" w:type="dxa"/>
            <w:vMerge/>
            <w:vAlign w:val="center"/>
          </w:tcPr>
          <w:p w:rsidR="00EF4063" w:rsidRPr="00F90B6B" w:rsidRDefault="00EF4063" w:rsidP="00BB305F">
            <w:pPr>
              <w:tabs>
                <w:tab w:val="left" w:pos="3864"/>
              </w:tabs>
              <w:spacing w:after="0" w:line="336" w:lineRule="auto"/>
              <w:jc w:val="center"/>
              <w:rPr>
                <w:rFonts w:ascii="Times New Roman" w:hAnsi="Times New Roman"/>
                <w:sz w:val="28"/>
                <w:szCs w:val="28"/>
              </w:rPr>
            </w:pPr>
          </w:p>
        </w:tc>
        <w:tc>
          <w:tcPr>
            <w:tcW w:w="2464" w:type="dxa"/>
            <w:vMerge/>
            <w:vAlign w:val="center"/>
          </w:tcPr>
          <w:p w:rsidR="00EF4063" w:rsidRPr="00F90B6B" w:rsidRDefault="00EF4063" w:rsidP="00BB305F">
            <w:pPr>
              <w:tabs>
                <w:tab w:val="left" w:pos="3864"/>
              </w:tabs>
              <w:spacing w:after="0" w:line="336" w:lineRule="auto"/>
              <w:jc w:val="center"/>
              <w:rPr>
                <w:rFonts w:ascii="Times New Roman" w:hAnsi="Times New Roman"/>
                <w:sz w:val="28"/>
                <w:szCs w:val="28"/>
              </w:rPr>
            </w:pPr>
          </w:p>
        </w:tc>
      </w:tr>
    </w:tbl>
    <w:p w:rsidR="00EF4063" w:rsidRPr="00F90B6B" w:rsidRDefault="00EF4063" w:rsidP="00BB305F">
      <w:pPr>
        <w:tabs>
          <w:tab w:val="left" w:pos="3444"/>
        </w:tabs>
        <w:spacing w:after="0" w:line="336" w:lineRule="auto"/>
        <w:ind w:firstLine="709"/>
        <w:jc w:val="center"/>
        <w:rPr>
          <w:rFonts w:ascii="Times New Roman" w:hAnsi="Times New Roman"/>
          <w:b/>
          <w:sz w:val="28"/>
          <w:szCs w:val="28"/>
        </w:rPr>
      </w:pPr>
      <w:r w:rsidRPr="00F90B6B">
        <w:rPr>
          <w:rFonts w:ascii="Times New Roman" w:hAnsi="Times New Roman"/>
        </w:rPr>
        <w:object w:dxaOrig="6407" w:dyaOrig="4805">
          <v:shape id="_x0000_i1030" type="#_x0000_t75" style="width:297.75pt;height:223.5pt" o:ole="">
            <v:imagedata r:id="rId34" o:title=""/>
          </v:shape>
          <o:OLEObject Type="Embed" ProgID="STATISTICA.Graph" ShapeID="_x0000_i1030" DrawAspect="Content" ObjectID="_1624460755" r:id="rId35">
            <o:FieldCodes>\s</o:FieldCodes>
          </o:OLEObject>
        </w:object>
      </w:r>
    </w:p>
    <w:p w:rsidR="00EF4063" w:rsidRPr="00F90B6B" w:rsidRDefault="00EF4063" w:rsidP="00BB305F">
      <w:pPr>
        <w:tabs>
          <w:tab w:val="left" w:pos="3864"/>
        </w:tabs>
        <w:spacing w:after="0" w:line="336" w:lineRule="auto"/>
        <w:ind w:firstLine="709"/>
        <w:jc w:val="both"/>
        <w:rPr>
          <w:rFonts w:ascii="Times New Roman" w:hAnsi="Times New Roman"/>
          <w:sz w:val="28"/>
          <w:szCs w:val="28"/>
        </w:rPr>
      </w:pPr>
      <w:r w:rsidRPr="00F90B6B">
        <w:rPr>
          <w:rFonts w:ascii="Times New Roman" w:hAnsi="Times New Roman"/>
          <w:b/>
          <w:sz w:val="28"/>
          <w:szCs w:val="28"/>
        </w:rPr>
        <w:t>Рис. 3.1.15</w:t>
      </w:r>
      <w:r w:rsidRPr="00F90B6B">
        <w:rPr>
          <w:rFonts w:ascii="Times New Roman" w:hAnsi="Times New Roman"/>
          <w:sz w:val="28"/>
          <w:szCs w:val="28"/>
        </w:rPr>
        <w:t>. Кореляційний зв’язок між фракцією викиду лівого шлуночка та швидкістю трансмітрального потоку у хворих з ХСН та гіпонатріємією.</w:t>
      </w:r>
    </w:p>
    <w:p w:rsidR="00EF4063" w:rsidRPr="00F90B6B" w:rsidRDefault="00EF4063" w:rsidP="006B2589">
      <w:pPr>
        <w:tabs>
          <w:tab w:val="left" w:pos="3864"/>
        </w:tabs>
        <w:spacing w:after="0" w:line="324"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Зважаючи на те, що інтегральним показником, який характеризує скоротливу, тобто систолічну функцію лівого шлуночка, є фракція викиду, а Е/А співвідношення відображає діастолічну дисфункцію, ми проаналізували регресійний кореляційний зв’язок між систолічною та діастолічною функціями за наявності ХСН на фоні гіпонатріємії. Він виявився прямим, вірогідним, на рівні </w:t>
      </w:r>
      <w:r w:rsidRPr="00F90B6B">
        <w:rPr>
          <w:rFonts w:ascii="Times New Roman" w:hAnsi="Times New Roman"/>
          <w:sz w:val="28"/>
          <w:szCs w:val="28"/>
          <w:lang w:val="en-US"/>
        </w:rPr>
        <w:t>r</w:t>
      </w:r>
      <w:r w:rsidRPr="00F90B6B">
        <w:rPr>
          <w:rFonts w:ascii="Times New Roman" w:hAnsi="Times New Roman"/>
          <w:sz w:val="28"/>
          <w:szCs w:val="28"/>
        </w:rPr>
        <w:t>=0,56 (</w:t>
      </w:r>
      <w:r w:rsidRPr="00F90B6B">
        <w:rPr>
          <w:rFonts w:ascii="Times New Roman" w:hAnsi="Times New Roman"/>
          <w:sz w:val="28"/>
          <w:szCs w:val="28"/>
          <w:lang w:val="en-US"/>
        </w:rPr>
        <w:t>p</w:t>
      </w:r>
      <w:r w:rsidRPr="00F90B6B">
        <w:rPr>
          <w:rFonts w:ascii="Times New Roman" w:hAnsi="Times New Roman"/>
          <w:sz w:val="28"/>
          <w:szCs w:val="28"/>
        </w:rPr>
        <w:t>&lt;0,05), рис. 3.1.15.</w:t>
      </w:r>
    </w:p>
    <w:p w:rsidR="00EF4063" w:rsidRPr="00F90B6B" w:rsidRDefault="00EF4063" w:rsidP="006B2589">
      <w:pPr>
        <w:tabs>
          <w:tab w:val="left" w:pos="2436"/>
        </w:tabs>
        <w:spacing w:after="0" w:line="324" w:lineRule="auto"/>
        <w:ind w:firstLine="709"/>
        <w:jc w:val="both"/>
        <w:rPr>
          <w:rFonts w:ascii="Times New Roman" w:hAnsi="Times New Roman"/>
          <w:sz w:val="28"/>
          <w:szCs w:val="28"/>
        </w:rPr>
      </w:pPr>
      <w:r w:rsidRPr="00F90B6B">
        <w:rPr>
          <w:rFonts w:ascii="Times New Roman" w:hAnsi="Times New Roman"/>
          <w:sz w:val="28"/>
          <w:szCs w:val="28"/>
        </w:rPr>
        <w:t xml:space="preserve">Досліджуючи вміст таких, прогностично значимих біомаркерів при ХСН, як </w:t>
      </w:r>
      <w:r w:rsidRPr="00F90B6B">
        <w:rPr>
          <w:rFonts w:ascii="Times New Roman" w:hAnsi="Times New Roman"/>
          <w:sz w:val="28"/>
          <w:szCs w:val="28"/>
          <w:lang w:val="en-US"/>
        </w:rPr>
        <w:t>NTproBNP</w:t>
      </w:r>
      <w:r w:rsidRPr="00F90B6B">
        <w:rPr>
          <w:rFonts w:ascii="Times New Roman" w:hAnsi="Times New Roman"/>
          <w:sz w:val="28"/>
          <w:szCs w:val="28"/>
        </w:rPr>
        <w:t xml:space="preserve"> та альдостерон у хворих з різними видами іонних порушень, ми отримали результати, що наведені на рис. 3.1.16-3.1.17.</w:t>
      </w:r>
    </w:p>
    <w:p w:rsidR="00EF4063" w:rsidRPr="00F90B6B" w:rsidRDefault="006F7754" w:rsidP="00BB305F">
      <w:pPr>
        <w:tabs>
          <w:tab w:val="left" w:pos="2436"/>
        </w:tabs>
        <w:spacing w:after="0" w:line="336" w:lineRule="auto"/>
        <w:ind w:firstLine="709"/>
        <w:jc w:val="both"/>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838825" cy="2486025"/>
            <wp:effectExtent l="0" t="0" r="0" b="0"/>
            <wp:docPr id="8" name="Объект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F4063" w:rsidRPr="00F90B6B" w:rsidRDefault="00EF4063" w:rsidP="00BB305F">
      <w:pPr>
        <w:tabs>
          <w:tab w:val="left" w:pos="2436"/>
        </w:tabs>
        <w:spacing w:after="0" w:line="336" w:lineRule="auto"/>
        <w:ind w:firstLine="709"/>
        <w:jc w:val="both"/>
        <w:rPr>
          <w:rFonts w:ascii="Times New Roman" w:hAnsi="Times New Roman"/>
          <w:sz w:val="28"/>
          <w:szCs w:val="28"/>
          <w:lang w:val="ru-RU"/>
        </w:rPr>
      </w:pPr>
      <w:r w:rsidRPr="00F90B6B">
        <w:rPr>
          <w:rFonts w:ascii="Times New Roman" w:hAnsi="Times New Roman"/>
          <w:b/>
          <w:sz w:val="28"/>
          <w:szCs w:val="28"/>
        </w:rPr>
        <w:t xml:space="preserve">Рис. 3.1.16. </w:t>
      </w:r>
      <w:r w:rsidRPr="00F90B6B">
        <w:rPr>
          <w:rFonts w:ascii="Times New Roman" w:hAnsi="Times New Roman"/>
          <w:sz w:val="28"/>
          <w:szCs w:val="28"/>
        </w:rPr>
        <w:t xml:space="preserve">Вміст </w:t>
      </w:r>
      <w:r w:rsidRPr="00F90B6B">
        <w:rPr>
          <w:rFonts w:ascii="Times New Roman" w:hAnsi="Times New Roman"/>
          <w:sz w:val="28"/>
          <w:szCs w:val="28"/>
          <w:lang w:val="en-US"/>
        </w:rPr>
        <w:t>NTproBNP</w:t>
      </w:r>
      <w:r w:rsidRPr="00F90B6B">
        <w:rPr>
          <w:rFonts w:ascii="Times New Roman" w:hAnsi="Times New Roman"/>
          <w:sz w:val="28"/>
          <w:szCs w:val="28"/>
        </w:rPr>
        <w:t xml:space="preserve"> у хворих з ХСН та різними видами іонних порушень. </w:t>
      </w:r>
    </w:p>
    <w:p w:rsidR="00EF4063" w:rsidRPr="00F90B6B" w:rsidRDefault="00EF4063" w:rsidP="00BB305F">
      <w:pPr>
        <w:tabs>
          <w:tab w:val="left" w:pos="2436"/>
        </w:tabs>
        <w:spacing w:after="0" w:line="336" w:lineRule="auto"/>
        <w:ind w:firstLine="709"/>
        <w:jc w:val="both"/>
        <w:rPr>
          <w:rFonts w:ascii="Times New Roman" w:hAnsi="Times New Roman"/>
          <w:sz w:val="28"/>
          <w:szCs w:val="28"/>
        </w:rPr>
      </w:pPr>
      <w:r w:rsidRPr="00F90B6B">
        <w:rPr>
          <w:rFonts w:ascii="Times New Roman" w:hAnsi="Times New Roman"/>
          <w:sz w:val="28"/>
          <w:szCs w:val="28"/>
        </w:rPr>
        <w:t xml:space="preserve">Як бачимо, вміст </w:t>
      </w:r>
      <w:r w:rsidRPr="00F90B6B">
        <w:rPr>
          <w:rFonts w:ascii="Times New Roman" w:hAnsi="Times New Roman"/>
          <w:sz w:val="28"/>
          <w:szCs w:val="28"/>
          <w:lang w:val="en-US"/>
        </w:rPr>
        <w:t>NTproBNP</w:t>
      </w:r>
      <w:r w:rsidRPr="00F90B6B">
        <w:rPr>
          <w:rFonts w:ascii="Times New Roman" w:hAnsi="Times New Roman"/>
          <w:sz w:val="28"/>
          <w:szCs w:val="28"/>
        </w:rPr>
        <w:t xml:space="preserve"> у хворих з ХСН не був пов’язаний з наявністю іонних порушень, в тому числі гіпонатріємії, </w:t>
      </w:r>
      <w:r w:rsidRPr="00F90B6B">
        <w:rPr>
          <w:rFonts w:ascii="Times New Roman" w:hAnsi="Times New Roman"/>
          <w:sz w:val="28"/>
          <w:szCs w:val="28"/>
          <w:lang w:val="en-US"/>
        </w:rPr>
        <w:t>p</w:t>
      </w:r>
      <w:r w:rsidRPr="00F90B6B">
        <w:rPr>
          <w:rFonts w:ascii="Times New Roman" w:hAnsi="Times New Roman"/>
          <w:sz w:val="28"/>
          <w:szCs w:val="28"/>
          <w:lang w:val="ru-RU"/>
        </w:rPr>
        <w:t>&gt;0,05</w:t>
      </w:r>
      <w:r w:rsidRPr="00F90B6B">
        <w:rPr>
          <w:rFonts w:ascii="Times New Roman" w:hAnsi="Times New Roman"/>
          <w:sz w:val="28"/>
          <w:szCs w:val="28"/>
        </w:rPr>
        <w:t xml:space="preserve">, рис. 3.1.16. </w:t>
      </w:r>
    </w:p>
    <w:p w:rsidR="00EF4063" w:rsidRPr="00F90B6B" w:rsidRDefault="006F7754" w:rsidP="001B6B2E">
      <w:pPr>
        <w:tabs>
          <w:tab w:val="left" w:pos="2436"/>
        </w:tabs>
        <w:spacing w:after="0" w:line="348" w:lineRule="auto"/>
        <w:ind w:firstLine="709"/>
        <w:jc w:val="both"/>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895975" cy="2676525"/>
            <wp:effectExtent l="0" t="0" r="0" b="0"/>
            <wp:docPr id="9" name="Объект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F4063" w:rsidRPr="00F90B6B" w:rsidRDefault="00EF4063" w:rsidP="001B6B2E">
      <w:pPr>
        <w:tabs>
          <w:tab w:val="left" w:pos="2436"/>
        </w:tabs>
        <w:spacing w:after="0" w:line="348" w:lineRule="auto"/>
        <w:ind w:firstLine="709"/>
        <w:jc w:val="both"/>
        <w:rPr>
          <w:rFonts w:ascii="Times New Roman" w:hAnsi="Times New Roman"/>
          <w:sz w:val="28"/>
          <w:szCs w:val="28"/>
        </w:rPr>
      </w:pPr>
      <w:r w:rsidRPr="00F90B6B">
        <w:rPr>
          <w:rFonts w:ascii="Times New Roman" w:hAnsi="Times New Roman"/>
          <w:b/>
          <w:sz w:val="28"/>
          <w:szCs w:val="28"/>
        </w:rPr>
        <w:t xml:space="preserve">Рис. 3.1.17. </w:t>
      </w:r>
      <w:r w:rsidRPr="00F90B6B">
        <w:rPr>
          <w:rFonts w:ascii="Times New Roman" w:hAnsi="Times New Roman"/>
          <w:sz w:val="28"/>
          <w:szCs w:val="28"/>
        </w:rPr>
        <w:t>Вміст альдостерону у хворих з ХСН та різними видами іонних порушень.</w:t>
      </w:r>
    </w:p>
    <w:p w:rsidR="00EF4063" w:rsidRPr="00F90B6B" w:rsidRDefault="00EF4063" w:rsidP="00F0048B">
      <w:pPr>
        <w:tabs>
          <w:tab w:val="left" w:pos="2436"/>
        </w:tabs>
        <w:spacing w:after="0" w:line="360" w:lineRule="auto"/>
        <w:ind w:firstLine="709"/>
        <w:jc w:val="both"/>
        <w:rPr>
          <w:rFonts w:ascii="Times New Roman" w:hAnsi="Times New Roman"/>
          <w:i/>
          <w:sz w:val="28"/>
          <w:szCs w:val="28"/>
        </w:rPr>
      </w:pPr>
      <w:r w:rsidRPr="00F90B6B">
        <w:rPr>
          <w:rFonts w:ascii="Times New Roman" w:hAnsi="Times New Roman"/>
          <w:i/>
          <w:sz w:val="28"/>
          <w:szCs w:val="28"/>
        </w:rPr>
        <w:lastRenderedPageBreak/>
        <w:t>Примітка:</w:t>
      </w:r>
    </w:p>
    <w:p w:rsidR="00EF4063" w:rsidRPr="00F90B6B" w:rsidRDefault="006F7754" w:rsidP="00F0048B">
      <w:pPr>
        <w:pStyle w:val="1"/>
        <w:numPr>
          <w:ilvl w:val="0"/>
          <w:numId w:val="18"/>
        </w:numPr>
        <w:tabs>
          <w:tab w:val="left" w:pos="2436"/>
        </w:tabs>
        <w:spacing w:after="0" w:line="360" w:lineRule="auto"/>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62336" behindDoc="0" locked="0" layoutInCell="1" allowOverlap="1">
                <wp:simplePos x="0" y="0"/>
                <wp:positionH relativeFrom="column">
                  <wp:posOffset>342265</wp:posOffset>
                </wp:positionH>
                <wp:positionV relativeFrom="paragraph">
                  <wp:posOffset>-635</wp:posOffset>
                </wp:positionV>
                <wp:extent cx="213360" cy="205740"/>
                <wp:effectExtent l="0" t="0" r="15240" b="22860"/>
                <wp:wrapNone/>
                <wp:docPr id="17" name="5-конечная звезда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3360" cy="205740"/>
                        </a:xfrm>
                        <a:custGeom>
                          <a:avLst/>
                          <a:gdLst>
                            <a:gd name="T0" fmla="*/ 0 w 213360"/>
                            <a:gd name="T1" fmla="*/ 78585 h 205740"/>
                            <a:gd name="T2" fmla="*/ 81497 w 213360"/>
                            <a:gd name="T3" fmla="*/ 78586 h 205740"/>
                            <a:gd name="T4" fmla="*/ 106680 w 213360"/>
                            <a:gd name="T5" fmla="*/ 0 h 205740"/>
                            <a:gd name="T6" fmla="*/ 131863 w 213360"/>
                            <a:gd name="T7" fmla="*/ 78586 h 205740"/>
                            <a:gd name="T8" fmla="*/ 213360 w 213360"/>
                            <a:gd name="T9" fmla="*/ 78585 h 205740"/>
                            <a:gd name="T10" fmla="*/ 147427 w 213360"/>
                            <a:gd name="T11" fmla="*/ 127154 h 205740"/>
                            <a:gd name="T12" fmla="*/ 172612 w 213360"/>
                            <a:gd name="T13" fmla="*/ 205739 h 205740"/>
                            <a:gd name="T14" fmla="*/ 106680 w 213360"/>
                            <a:gd name="T15" fmla="*/ 157170 h 205740"/>
                            <a:gd name="T16" fmla="*/ 40748 w 213360"/>
                            <a:gd name="T17" fmla="*/ 205739 h 205740"/>
                            <a:gd name="T18" fmla="*/ 65933 w 213360"/>
                            <a:gd name="T19" fmla="*/ 127154 h 205740"/>
                            <a:gd name="T20" fmla="*/ 0 w 213360"/>
                            <a:gd name="T21" fmla="*/ 78585 h 20574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13360" h="205740">
                              <a:moveTo>
                                <a:pt x="0" y="78585"/>
                              </a:moveTo>
                              <a:lnTo>
                                <a:pt x="81497" y="78586"/>
                              </a:lnTo>
                              <a:lnTo>
                                <a:pt x="106680" y="0"/>
                              </a:lnTo>
                              <a:lnTo>
                                <a:pt x="131863" y="78586"/>
                              </a:lnTo>
                              <a:lnTo>
                                <a:pt x="213360" y="78585"/>
                              </a:lnTo>
                              <a:lnTo>
                                <a:pt x="147427" y="127154"/>
                              </a:lnTo>
                              <a:lnTo>
                                <a:pt x="172612" y="205739"/>
                              </a:lnTo>
                              <a:lnTo>
                                <a:pt x="106680" y="157170"/>
                              </a:lnTo>
                              <a:lnTo>
                                <a:pt x="40748" y="205739"/>
                              </a:lnTo>
                              <a:lnTo>
                                <a:pt x="65933" y="127154"/>
                              </a:lnTo>
                              <a:lnTo>
                                <a:pt x="0" y="78585"/>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ADB0747" id="5-конечная звезда 86" o:spid="_x0000_s1026" style="position:absolute;margin-left:26.95pt;margin-top:-.05pt;width:16.8pt;height:16.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3360,205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" path="m,78585r81497,1l106680,r25183,78586l213360,78585r-65933,48569l172612,205739,106680,157170,40748,205739,65933,127154,,78585xe" fillcolor="#4f81bd" strokecolor="#243f60" strokeweight="2pt">
                <v:path arrowok="t" o:connecttype="custom" o:connectlocs="0,78585;81497,78586;106680,0;131863,78586;213360,78585;147427,127154;172612,205739;106680,157170;40748,205739;65933,127154;0,78585" o:connectangles="0,0,0,0,0,0,0,0,0,0,0"/>
              </v:shape>
            </w:pict>
          </mc:Fallback>
        </mc:AlternateContent>
      </w:r>
      <w:r w:rsidR="00EF4063" w:rsidRPr="00F90B6B">
        <w:rPr>
          <w:rFonts w:ascii="Times New Roman" w:hAnsi="Times New Roman"/>
          <w:sz w:val="28"/>
          <w:szCs w:val="28"/>
        </w:rPr>
        <w:t>вірогідна різниця відносно групи пацієнтів з нормонатріємією;</w:t>
      </w:r>
    </w:p>
    <w:p w:rsidR="00EF4063" w:rsidRPr="00F90B6B" w:rsidRDefault="006F7754" w:rsidP="00F0048B">
      <w:pPr>
        <w:pStyle w:val="1"/>
        <w:numPr>
          <w:ilvl w:val="0"/>
          <w:numId w:val="18"/>
        </w:numPr>
        <w:tabs>
          <w:tab w:val="left" w:pos="2436"/>
        </w:tabs>
        <w:spacing w:after="0" w:line="360" w:lineRule="auto"/>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63360" behindDoc="0" locked="0" layoutInCell="1" allowOverlap="1">
                <wp:simplePos x="0" y="0"/>
                <wp:positionH relativeFrom="column">
                  <wp:posOffset>349885</wp:posOffset>
                </wp:positionH>
                <wp:positionV relativeFrom="paragraph">
                  <wp:posOffset>5080</wp:posOffset>
                </wp:positionV>
                <wp:extent cx="289560" cy="236220"/>
                <wp:effectExtent l="19050" t="19050" r="34290" b="11430"/>
                <wp:wrapNone/>
                <wp:docPr id="16" name="Равнобедренный тре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9560" cy="236220"/>
                        </a:xfrm>
                        <a:prstGeom prst="triangle">
                          <a:avLst>
                            <a:gd name="adj" fmla="val 50000"/>
                          </a:avLst>
                        </a:prstGeom>
                        <a:solidFill>
                          <a:srgbClr val="4F81BD"/>
                        </a:solidFill>
                        <a:ln w="25400">
                          <a:solidFill>
                            <a:srgbClr val="243F6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7585FAB2"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87" o:spid="_x0000_s1026" type="#_x0000_t5" style="position:absolute;margin-left:27.55pt;margin-top:.4pt;width:22.8pt;height:18.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" fillcolor="#4f81bd" strokecolor="#243f60" strokeweight="2pt">
                <v:path arrowok="t"/>
              </v:shape>
            </w:pict>
          </mc:Fallback>
        </mc:AlternateContent>
      </w:r>
      <w:r w:rsidR="00EF4063" w:rsidRPr="00F90B6B">
        <w:rPr>
          <w:rFonts w:ascii="Times New Roman" w:hAnsi="Times New Roman"/>
          <w:sz w:val="28"/>
          <w:szCs w:val="28"/>
        </w:rPr>
        <w:t>вірогідна різниця відносно гр</w:t>
      </w:r>
      <w:r w:rsidR="00476958">
        <w:rPr>
          <w:rFonts w:ascii="Times New Roman" w:hAnsi="Times New Roman"/>
          <w:sz w:val="28"/>
          <w:szCs w:val="28"/>
        </w:rPr>
        <w:t>упи пацієнтів з гіпернатріємією</w:t>
      </w:r>
    </w:p>
    <w:p w:rsidR="00EF4063" w:rsidRPr="00F90B6B" w:rsidRDefault="00EF4063" w:rsidP="00F0048B">
      <w:pPr>
        <w:pStyle w:val="1"/>
        <w:tabs>
          <w:tab w:val="left" w:pos="2436"/>
        </w:tabs>
        <w:spacing w:after="0" w:line="360" w:lineRule="auto"/>
        <w:ind w:left="1369"/>
        <w:jc w:val="both"/>
        <w:rPr>
          <w:rFonts w:ascii="Times New Roman" w:hAnsi="Times New Roman"/>
          <w:sz w:val="28"/>
          <w:szCs w:val="28"/>
        </w:rPr>
      </w:pPr>
    </w:p>
    <w:p w:rsidR="00EF4063" w:rsidRPr="00F90B6B" w:rsidRDefault="00EF4063" w:rsidP="00F0048B">
      <w:pPr>
        <w:spacing w:after="0" w:line="360" w:lineRule="auto"/>
        <w:jc w:val="center"/>
        <w:rPr>
          <w:rFonts w:ascii="Times New Roman" w:hAnsi="Times New Roman"/>
        </w:rPr>
      </w:pPr>
      <w:r w:rsidRPr="00F90B6B">
        <w:rPr>
          <w:rFonts w:ascii="Times New Roman" w:hAnsi="Times New Roman"/>
        </w:rPr>
        <w:object w:dxaOrig="6431" w:dyaOrig="4823">
          <v:shape id="_x0000_i1031" type="#_x0000_t75" style="width:321.75pt;height:241.5pt" o:ole="">
            <v:imagedata r:id="rId38" o:title=""/>
          </v:shape>
          <o:OLEObject Type="Embed" ProgID="STATISTICA.Graph" ShapeID="_x0000_i1031" DrawAspect="Content" ObjectID="_1624460756" r:id="rId39">
            <o:FieldCodes>\s</o:FieldCodes>
          </o:OLEObject>
        </w:objec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3.1.18. </w:t>
      </w:r>
      <w:r w:rsidRPr="00F90B6B">
        <w:rPr>
          <w:rFonts w:ascii="Times New Roman" w:hAnsi="Times New Roman"/>
          <w:sz w:val="28"/>
          <w:szCs w:val="28"/>
        </w:rPr>
        <w:t>Кореляційний зв’язок між вмістом альдостерону та ІМТ у хворих з ХСН та гіпонатріємією.</w:t>
      </w:r>
    </w:p>
    <w:p w:rsidR="00EF4063" w:rsidRPr="00F90B6B" w:rsidRDefault="00EF4063" w:rsidP="00F0048B">
      <w:pPr>
        <w:tabs>
          <w:tab w:val="left" w:pos="2436"/>
        </w:tabs>
        <w:spacing w:after="0" w:line="360" w:lineRule="auto"/>
        <w:ind w:firstLine="709"/>
        <w:jc w:val="both"/>
        <w:rPr>
          <w:rFonts w:ascii="Times New Roman" w:hAnsi="Times New Roman"/>
          <w:sz w:val="28"/>
          <w:szCs w:val="28"/>
        </w:rPr>
      </w:pPr>
    </w:p>
    <w:p w:rsidR="00EF4063" w:rsidRPr="00F90B6B" w:rsidRDefault="00EF4063" w:rsidP="00F0048B">
      <w:pPr>
        <w:tabs>
          <w:tab w:val="left" w:pos="2436"/>
        </w:tabs>
        <w:spacing w:after="0" w:line="360" w:lineRule="auto"/>
        <w:ind w:firstLine="709"/>
        <w:jc w:val="both"/>
        <w:rPr>
          <w:rFonts w:ascii="Times New Roman" w:hAnsi="Times New Roman"/>
          <w:sz w:val="28"/>
          <w:szCs w:val="28"/>
        </w:rPr>
      </w:pPr>
      <w:r w:rsidRPr="00F90B6B">
        <w:rPr>
          <w:rFonts w:ascii="Times New Roman" w:hAnsi="Times New Roman"/>
          <w:sz w:val="28"/>
          <w:szCs w:val="28"/>
        </w:rPr>
        <w:t>Натомість, рівень альдостерону, як і очікувалось, вірогідно співвідносився зі станом іонного гомеостазу, приймаючи найвище значення у пацієнтів з гіпонатріємією, найнижче – зі зниженим рівнем натрію, рис. 3.1.17.</w:t>
      </w:r>
    </w:p>
    <w:p w:rsidR="00EF4063" w:rsidRPr="00F90B6B" w:rsidRDefault="00EF4063" w:rsidP="00F0048B">
      <w:pPr>
        <w:tabs>
          <w:tab w:val="left" w:pos="2436"/>
        </w:tabs>
        <w:spacing w:after="0" w:line="360" w:lineRule="auto"/>
        <w:ind w:firstLine="709"/>
        <w:jc w:val="both"/>
        <w:rPr>
          <w:rFonts w:ascii="Times New Roman" w:hAnsi="Times New Roman"/>
          <w:sz w:val="28"/>
          <w:szCs w:val="28"/>
        </w:rPr>
      </w:pPr>
      <w:r w:rsidRPr="00F90B6B">
        <w:rPr>
          <w:rFonts w:ascii="Times New Roman" w:hAnsi="Times New Roman"/>
          <w:sz w:val="28"/>
          <w:szCs w:val="28"/>
        </w:rPr>
        <w:t>Окрім того, при проведенні регресійного аналізу в групі з гіпонатріємією, був встановлений позитивний кореляційний зв’язок відносно ІМТ (</w:t>
      </w:r>
      <w:r w:rsidRPr="00F90B6B">
        <w:rPr>
          <w:rFonts w:ascii="Times New Roman" w:hAnsi="Times New Roman"/>
          <w:sz w:val="28"/>
          <w:szCs w:val="28"/>
          <w:lang w:val="en-US"/>
        </w:rPr>
        <w:t>r</w:t>
      </w:r>
      <w:r w:rsidRPr="00F90B6B">
        <w:rPr>
          <w:rFonts w:ascii="Times New Roman" w:hAnsi="Times New Roman"/>
          <w:sz w:val="28"/>
          <w:szCs w:val="28"/>
          <w:lang w:val="ru-RU"/>
        </w:rPr>
        <w:t xml:space="preserve">=0,23, </w:t>
      </w:r>
      <w:r w:rsidRPr="00F90B6B">
        <w:rPr>
          <w:rFonts w:ascii="Times New Roman" w:hAnsi="Times New Roman"/>
          <w:sz w:val="28"/>
          <w:szCs w:val="28"/>
          <w:lang w:val="en-US"/>
        </w:rPr>
        <w:t>p</w:t>
      </w:r>
      <w:r w:rsidRPr="00F90B6B">
        <w:rPr>
          <w:rFonts w:ascii="Times New Roman" w:hAnsi="Times New Roman"/>
          <w:sz w:val="28"/>
          <w:szCs w:val="28"/>
          <w:lang w:val="ru-RU"/>
        </w:rPr>
        <w:t>&lt;0,05</w:t>
      </w:r>
      <w:r w:rsidRPr="00F90B6B">
        <w:rPr>
          <w:rFonts w:ascii="Times New Roman" w:hAnsi="Times New Roman"/>
          <w:sz w:val="28"/>
          <w:szCs w:val="28"/>
        </w:rPr>
        <w:t>), рис. 3.1.18.</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Частота зниження швидкості клубочкової фільтрації (кардіоренального синдрому) була вищою у хворих ХСН при наявності гіпонатріємії. У пацієнтів з гіпонатріємією ризик кардіоренального синдрому підвищувався на 20,0%, що обумовлювало вірогідні показники відносного ризику (2,14 [1,23-3,75], </w:t>
      </w:r>
      <w:r w:rsidRPr="00F90B6B">
        <w:rPr>
          <w:rFonts w:ascii="Times New Roman" w:hAnsi="Times New Roman"/>
          <w:sz w:val="28"/>
          <w:szCs w:val="28"/>
          <w:lang w:val="en-US"/>
        </w:rPr>
        <w:t>p</w:t>
      </w:r>
      <w:r w:rsidRPr="00F90B6B">
        <w:rPr>
          <w:rFonts w:ascii="Times New Roman" w:hAnsi="Times New Roman"/>
          <w:sz w:val="28"/>
          <w:szCs w:val="28"/>
        </w:rPr>
        <w:t xml:space="preserve">&lt;0,05) та відношення шансів (2,81 [1,29-6,08], </w:t>
      </w:r>
      <w:r w:rsidRPr="00F90B6B">
        <w:rPr>
          <w:rFonts w:ascii="Times New Roman" w:hAnsi="Times New Roman"/>
          <w:sz w:val="28"/>
          <w:szCs w:val="28"/>
          <w:lang w:val="en-US"/>
        </w:rPr>
        <w:t>p</w:t>
      </w:r>
      <w:r w:rsidRPr="00F90B6B">
        <w:rPr>
          <w:rFonts w:ascii="Times New Roman" w:hAnsi="Times New Roman"/>
          <w:sz w:val="28"/>
          <w:szCs w:val="28"/>
        </w:rPr>
        <w:t>&lt;0,05), табл. 3.1.14.</w:t>
      </w:r>
    </w:p>
    <w:p w:rsidR="00EF4063" w:rsidRPr="00F90B6B" w:rsidRDefault="00BB305F" w:rsidP="00F0048B">
      <w:pPr>
        <w:tabs>
          <w:tab w:val="left" w:pos="1680"/>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br w:type="page"/>
      </w:r>
      <w:r w:rsidR="00EF4063" w:rsidRPr="00F90B6B">
        <w:rPr>
          <w:rFonts w:ascii="Times New Roman" w:hAnsi="Times New Roman"/>
          <w:i/>
          <w:sz w:val="28"/>
          <w:szCs w:val="28"/>
        </w:rPr>
        <w:lastRenderedPageBreak/>
        <w:t>Таблиця 3.1.14</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кардіоренального синдрому та гіпонатріємії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37,0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2,14</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w:t>
            </w:r>
            <w:r w:rsidRPr="00F90B6B">
              <w:rPr>
                <w:rFonts w:ascii="Times New Roman" w:hAnsi="Times New Roman"/>
                <w:sz w:val="28"/>
                <w:szCs w:val="28"/>
              </w:rPr>
              <w:t>,23-3,75</w:t>
            </w:r>
            <w:r w:rsidRPr="00F90B6B">
              <w:rPr>
                <w:rFonts w:ascii="Times New Roman" w:hAnsi="Times New Roman"/>
                <w:sz w:val="28"/>
                <w:szCs w:val="28"/>
                <w:lang w:val="en-US"/>
              </w:rPr>
              <w:t>]</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2,81</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w:t>
            </w:r>
            <w:r w:rsidRPr="00F90B6B">
              <w:rPr>
                <w:rFonts w:ascii="Times New Roman" w:hAnsi="Times New Roman"/>
                <w:sz w:val="28"/>
                <w:szCs w:val="28"/>
              </w:rPr>
              <w:t>,29-6,08</w:t>
            </w:r>
            <w:r w:rsidRPr="00F90B6B">
              <w:rPr>
                <w:rFonts w:ascii="Times New Roman" w:hAnsi="Times New Roman"/>
                <w:sz w:val="28"/>
                <w:szCs w:val="28"/>
                <w:lang w:val="en-US"/>
              </w:rPr>
              <w:t>]</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17,0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2436"/>
        </w:tabs>
        <w:spacing w:after="0" w:line="360" w:lineRule="auto"/>
        <w:ind w:firstLine="709"/>
        <w:jc w:val="both"/>
        <w:rPr>
          <w:rFonts w:ascii="Times New Roman" w:hAnsi="Times New Roman"/>
          <w:sz w:val="28"/>
          <w:szCs w:val="28"/>
        </w:rPr>
      </w:pPr>
    </w:p>
    <w:p w:rsidR="00EF4063" w:rsidRPr="00F90B6B" w:rsidRDefault="00EF4063" w:rsidP="00F0048B">
      <w:pPr>
        <w:pStyle w:val="a6"/>
        <w:spacing w:after="0" w:line="360" w:lineRule="auto"/>
        <w:ind w:left="0" w:firstLine="709"/>
        <w:jc w:val="both"/>
        <w:rPr>
          <w:sz w:val="28"/>
        </w:rPr>
      </w:pPr>
      <w:r w:rsidRPr="00F90B6B">
        <w:rPr>
          <w:sz w:val="28"/>
          <w:szCs w:val="28"/>
        </w:rPr>
        <w:t xml:space="preserve">Таким чином, в розділі 3.1. наведено поширеність гіпонатріємії та фактори, асоційовані у хворих з хронічною серцевою недостатністю, що госпіталізовані в </w:t>
      </w:r>
      <w:r w:rsidRPr="00F90B6B">
        <w:rPr>
          <w:sz w:val="28"/>
        </w:rPr>
        <w:t>ДУ «Національний інститут терапії ім. Л. Т. Малої НАМН України» (м. Харків).</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Для досягнення даної мети було проведено проспективне клінічне спостереження 146 хворих з ХСН. Всім пацієнтам проводились клінічне, функціональне, лабораторне та інструментальне дослідження.</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Втановлено, що поширеність госпітальної гіпонатріємії у хворих з ХСН становить 33,5%. Немодифікуемими факторами, асоційованими з госпітальною гіпонатріємією у хворих з ХСН є жіноча стать (29,8%), вік більше 65 років (34,2%).</w:t>
      </w:r>
    </w:p>
    <w:p w:rsidR="00EF4063" w:rsidRPr="00F90B6B" w:rsidRDefault="00EF4063" w:rsidP="00F0048B">
      <w:pPr>
        <w:tabs>
          <w:tab w:val="left" w:pos="2856"/>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Серед клінічних факторів, що модифікуються характерною особливістю було наявність асоціації гіпонатріємії з надлишковою вагою та ожирінням. При нижчому рівні натрію верифіковано більшу вагу пацієнта (р&lt;0,05), більший ІМТ (р&lt;0,05), окружність талії (р&lt;0,05) та співвідношення розміру талії/стегна (р&lt;0,05). </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Серед супутніх станів частота верифікації артеріальної гіпертензії у хворих з гіпонатріємією становила 71,4%, що було вище, ніж при нормонатріємії (60,9%). Частота асоціації анемічного синдрому та гіпонатріємії становила 40,8% проти 30,5% у пацієнтів з нормонатріємією. </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Зміни ліпідного гомеостазу у пацієнтів з ХСН та гіпонатріємією характеризувались порушенням ліпідного профілю за рахунок вірогідного підвищення вмісту проатерогенної фракції ліпопротеїдів дуже низької щільності (ЛПДНЩ, </w:t>
      </w:r>
      <w:r w:rsidRPr="00F90B6B">
        <w:rPr>
          <w:rFonts w:ascii="Times New Roman" w:hAnsi="Times New Roman"/>
          <w:sz w:val="28"/>
          <w:szCs w:val="28"/>
          <w:lang w:val="en-US"/>
        </w:rPr>
        <w:t>p</w:t>
      </w:r>
      <w:r w:rsidRPr="00F90B6B">
        <w:rPr>
          <w:rFonts w:ascii="Times New Roman" w:hAnsi="Times New Roman"/>
          <w:sz w:val="28"/>
          <w:szCs w:val="28"/>
        </w:rPr>
        <w:t xml:space="preserve">&lt;0,05), зниження антиатерогенної фракції ліпопротеїдів високої щільності (ЛПВЩ, </w:t>
      </w:r>
      <w:r w:rsidRPr="00F90B6B">
        <w:rPr>
          <w:rFonts w:ascii="Times New Roman" w:hAnsi="Times New Roman"/>
          <w:sz w:val="28"/>
          <w:szCs w:val="28"/>
          <w:lang w:val="en-US"/>
        </w:rPr>
        <w:t>p</w:t>
      </w:r>
      <w:r w:rsidRPr="00F90B6B">
        <w:rPr>
          <w:rFonts w:ascii="Times New Roman" w:hAnsi="Times New Roman"/>
          <w:sz w:val="28"/>
          <w:szCs w:val="28"/>
        </w:rPr>
        <w:t>&lt;0,05), а також збільшенням вмісту тригліцеридів (</w:t>
      </w:r>
      <w:r w:rsidRPr="00F90B6B">
        <w:rPr>
          <w:rFonts w:ascii="Times New Roman" w:hAnsi="Times New Roman"/>
          <w:sz w:val="28"/>
          <w:szCs w:val="28"/>
          <w:lang w:val="en-US"/>
        </w:rPr>
        <w:t>p</w:t>
      </w:r>
      <w:r w:rsidRPr="00F90B6B">
        <w:rPr>
          <w:rFonts w:ascii="Times New Roman" w:hAnsi="Times New Roman"/>
          <w:sz w:val="28"/>
          <w:szCs w:val="28"/>
        </w:rPr>
        <w:t xml:space="preserve">&lt;0,05). Також встановлено негативний зв’язок відносно рівня натрію та тригліцеридів </w:t>
      </w:r>
      <w:r w:rsidR="00ED6686" w:rsidRPr="00ED6686">
        <w:rPr>
          <w:rFonts w:ascii="Times New Roman" w:hAnsi="Times New Roman"/>
          <w:sz w:val="28"/>
          <w:szCs w:val="28"/>
        </w:rPr>
        <w:br/>
      </w:r>
      <w:r w:rsidRPr="00F90B6B">
        <w:rPr>
          <w:rFonts w:ascii="Times New Roman" w:hAnsi="Times New Roman"/>
          <w:sz w:val="28"/>
          <w:szCs w:val="28"/>
        </w:rPr>
        <w:lastRenderedPageBreak/>
        <w:t>(</w:t>
      </w:r>
      <w:r w:rsidRPr="00F90B6B">
        <w:rPr>
          <w:rFonts w:ascii="Times New Roman" w:hAnsi="Times New Roman"/>
          <w:sz w:val="28"/>
          <w:szCs w:val="28"/>
          <w:lang w:val="en-US"/>
        </w:rPr>
        <w:t>r</w:t>
      </w:r>
      <w:r w:rsidRPr="00F90B6B">
        <w:rPr>
          <w:rFonts w:ascii="Times New Roman" w:hAnsi="Times New Roman"/>
          <w:sz w:val="28"/>
          <w:szCs w:val="28"/>
        </w:rPr>
        <w:t xml:space="preserve">=-0,27, </w:t>
      </w:r>
      <w:r w:rsidRPr="00F90B6B">
        <w:rPr>
          <w:rFonts w:ascii="Times New Roman" w:hAnsi="Times New Roman"/>
          <w:sz w:val="28"/>
          <w:szCs w:val="28"/>
          <w:lang w:val="en-US"/>
        </w:rPr>
        <w:t>p</w:t>
      </w:r>
      <w:r w:rsidRPr="00F90B6B">
        <w:rPr>
          <w:rFonts w:ascii="Times New Roman" w:hAnsi="Times New Roman"/>
          <w:sz w:val="28"/>
          <w:szCs w:val="28"/>
        </w:rPr>
        <w:t>&lt;0,05), рівнем тригліцеридів та функціональним класом ХСН (</w:t>
      </w:r>
      <w:r w:rsidRPr="00F90B6B">
        <w:rPr>
          <w:rFonts w:ascii="Times New Roman" w:hAnsi="Times New Roman"/>
          <w:sz w:val="28"/>
          <w:szCs w:val="28"/>
          <w:lang w:val="en-US"/>
        </w:rPr>
        <w:t>r</w:t>
      </w:r>
      <w:r w:rsidRPr="00F90B6B">
        <w:rPr>
          <w:rFonts w:ascii="Times New Roman" w:hAnsi="Times New Roman"/>
          <w:sz w:val="28"/>
          <w:szCs w:val="28"/>
        </w:rPr>
        <w:t xml:space="preserve">=-0,37, </w:t>
      </w:r>
      <w:r w:rsidRPr="00F90B6B">
        <w:rPr>
          <w:rFonts w:ascii="Times New Roman" w:hAnsi="Times New Roman"/>
          <w:sz w:val="28"/>
          <w:szCs w:val="28"/>
          <w:lang w:val="en-US"/>
        </w:rPr>
        <w:t>p</w:t>
      </w:r>
      <w:r w:rsidRPr="00F90B6B">
        <w:rPr>
          <w:rFonts w:ascii="Times New Roman" w:hAnsi="Times New Roman"/>
          <w:sz w:val="28"/>
          <w:szCs w:val="28"/>
        </w:rPr>
        <w:t>&lt;0,05), позитивний зв’язок між вмістом ЛПНЩ та ІМТ (</w:t>
      </w:r>
      <w:r w:rsidRPr="00F90B6B">
        <w:rPr>
          <w:rFonts w:ascii="Times New Roman" w:hAnsi="Times New Roman"/>
          <w:sz w:val="28"/>
          <w:szCs w:val="28"/>
          <w:lang w:val="en-US"/>
        </w:rPr>
        <w:t>r</w:t>
      </w:r>
      <w:r w:rsidRPr="00F90B6B">
        <w:rPr>
          <w:rFonts w:ascii="Times New Roman" w:hAnsi="Times New Roman"/>
          <w:sz w:val="28"/>
          <w:szCs w:val="28"/>
        </w:rPr>
        <w:t xml:space="preserve">=0,35,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Окрім того, серед супутніх захворювань встановлено приріст абсолютного ризику на 22,0% щодо асоціації виразкової хвороби або хронічного гастриту при зниженому рівні натрію на фоні ХСН, вірогідні відносний ризик (1,70 [1,16-2,47], </w:t>
      </w:r>
      <w:r w:rsidRPr="00F90B6B">
        <w:rPr>
          <w:rFonts w:ascii="Times New Roman" w:hAnsi="Times New Roman"/>
          <w:sz w:val="28"/>
          <w:szCs w:val="28"/>
          <w:lang w:val="en-US"/>
        </w:rPr>
        <w:t>p</w:t>
      </w:r>
      <w:r w:rsidRPr="00F90B6B">
        <w:rPr>
          <w:rFonts w:ascii="Times New Roman" w:hAnsi="Times New Roman"/>
          <w:sz w:val="28"/>
          <w:szCs w:val="28"/>
        </w:rPr>
        <w:t xml:space="preserve">&lt;0,05) та відношення шансів (2,48 [1,25-4,93],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За аналізу ехокардіографічних показників вірогідні зміни за наявності гіпонатріємії встановлені за рахунок приросту кінцевосистолічного та кінцеводіастолічного розмірів (</w:t>
      </w:r>
      <w:r w:rsidRPr="00F90B6B">
        <w:rPr>
          <w:rFonts w:ascii="Times New Roman" w:hAnsi="Times New Roman"/>
          <w:sz w:val="28"/>
          <w:szCs w:val="28"/>
          <w:lang w:val="en-US"/>
        </w:rPr>
        <w:t>p</w:t>
      </w:r>
      <w:r w:rsidRPr="00F90B6B">
        <w:rPr>
          <w:rFonts w:ascii="Times New Roman" w:hAnsi="Times New Roman"/>
          <w:sz w:val="28"/>
          <w:szCs w:val="28"/>
        </w:rPr>
        <w:t>&lt;0,05) та об’ємів (</w:t>
      </w:r>
      <w:r w:rsidRPr="00F90B6B">
        <w:rPr>
          <w:rFonts w:ascii="Times New Roman" w:hAnsi="Times New Roman"/>
          <w:sz w:val="28"/>
          <w:szCs w:val="28"/>
          <w:lang w:val="en-US"/>
        </w:rPr>
        <w:t>p</w:t>
      </w:r>
      <w:r w:rsidRPr="00F90B6B">
        <w:rPr>
          <w:rFonts w:ascii="Times New Roman" w:hAnsi="Times New Roman"/>
          <w:sz w:val="28"/>
          <w:szCs w:val="28"/>
        </w:rPr>
        <w:t>&lt;0,05), а також збільшення товщини задньої стінки лівого шлуночка (</w:t>
      </w:r>
      <w:r w:rsidRPr="00F90B6B">
        <w:rPr>
          <w:rFonts w:ascii="Times New Roman" w:hAnsi="Times New Roman"/>
          <w:sz w:val="28"/>
          <w:szCs w:val="28"/>
          <w:lang w:val="en-US"/>
        </w:rPr>
        <w:t>p</w:t>
      </w:r>
      <w:r w:rsidRPr="00F90B6B">
        <w:rPr>
          <w:rFonts w:ascii="Times New Roman" w:hAnsi="Times New Roman"/>
          <w:sz w:val="28"/>
          <w:szCs w:val="28"/>
        </w:rPr>
        <w:t>&lt;0,05) та міжшлуночкової перетинки (</w:t>
      </w:r>
      <w:r w:rsidRPr="00F90B6B">
        <w:rPr>
          <w:rFonts w:ascii="Times New Roman" w:hAnsi="Times New Roman"/>
          <w:sz w:val="28"/>
          <w:szCs w:val="28"/>
          <w:lang w:val="en-US"/>
        </w:rPr>
        <w:t>p</w:t>
      </w:r>
      <w:r w:rsidRPr="00F90B6B">
        <w:rPr>
          <w:rFonts w:ascii="Times New Roman" w:hAnsi="Times New Roman"/>
          <w:sz w:val="28"/>
          <w:szCs w:val="28"/>
        </w:rPr>
        <w:t>&lt;0,05). Виявлено позитивний кореляційний зв’язок між величиною лівого передсердя та ІМТ (</w:t>
      </w:r>
      <w:r w:rsidRPr="00F90B6B">
        <w:rPr>
          <w:rFonts w:ascii="Times New Roman" w:hAnsi="Times New Roman"/>
          <w:sz w:val="28"/>
          <w:szCs w:val="28"/>
          <w:lang w:val="en-US"/>
        </w:rPr>
        <w:t>r</w:t>
      </w:r>
      <w:r w:rsidRPr="00F90B6B">
        <w:rPr>
          <w:rFonts w:ascii="Times New Roman" w:hAnsi="Times New Roman"/>
          <w:sz w:val="28"/>
          <w:szCs w:val="28"/>
        </w:rPr>
        <w:t xml:space="preserve">=0,36, </w:t>
      </w:r>
      <w:r w:rsidRPr="00F90B6B">
        <w:rPr>
          <w:rFonts w:ascii="Times New Roman" w:hAnsi="Times New Roman"/>
          <w:sz w:val="28"/>
          <w:szCs w:val="28"/>
          <w:lang w:val="en-US"/>
        </w:rPr>
        <w:t>p</w:t>
      </w:r>
      <w:r w:rsidRPr="00F90B6B">
        <w:rPr>
          <w:rFonts w:ascii="Times New Roman" w:hAnsi="Times New Roman"/>
          <w:sz w:val="28"/>
          <w:szCs w:val="28"/>
        </w:rPr>
        <w:t>&lt;0,05), негативний зв’язок між кінцеводіастолічним об’ємом та функціональним класом серцевої недостатності (</w:t>
      </w:r>
      <w:r w:rsidRPr="00F90B6B">
        <w:rPr>
          <w:rFonts w:ascii="Times New Roman" w:hAnsi="Times New Roman"/>
          <w:sz w:val="28"/>
          <w:szCs w:val="28"/>
          <w:lang w:val="en-US"/>
        </w:rPr>
        <w:t>r</w:t>
      </w:r>
      <w:r w:rsidRPr="00F90B6B">
        <w:rPr>
          <w:rFonts w:ascii="Times New Roman" w:hAnsi="Times New Roman"/>
          <w:sz w:val="28"/>
          <w:szCs w:val="28"/>
        </w:rPr>
        <w:t xml:space="preserve">=-0,24,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tabs>
          <w:tab w:val="left" w:pos="3864"/>
        </w:tabs>
        <w:spacing w:after="0" w:line="360" w:lineRule="auto"/>
        <w:ind w:firstLine="709"/>
        <w:jc w:val="both"/>
        <w:rPr>
          <w:rFonts w:ascii="Times New Roman" w:hAnsi="Times New Roman"/>
          <w:b/>
          <w:sz w:val="28"/>
          <w:szCs w:val="28"/>
        </w:rPr>
      </w:pPr>
      <w:r w:rsidRPr="00F90B6B">
        <w:rPr>
          <w:rFonts w:ascii="Times New Roman" w:hAnsi="Times New Roman"/>
          <w:sz w:val="28"/>
          <w:szCs w:val="28"/>
        </w:rPr>
        <w:t>Доведено, що частота виявлення діастолічної дисфункції у пацієнтів, госпіталізованих з приводу ХСН за наявності гіпонатріємії, була більшою, ніж при нормальному іонному складі - приріст абсолютного ризику на 14,0%, RR - 1,21 [1,0-1,46], OR - 2,13 [0,93-4,89],</w:t>
      </w:r>
    </w:p>
    <w:p w:rsidR="00EF4063" w:rsidRPr="00F90B6B" w:rsidRDefault="00EF4063" w:rsidP="00F0048B">
      <w:pPr>
        <w:tabs>
          <w:tab w:val="left" w:pos="2436"/>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Встановлено, що вміст </w:t>
      </w:r>
      <w:r w:rsidRPr="00F90B6B">
        <w:rPr>
          <w:rFonts w:ascii="Times New Roman" w:hAnsi="Times New Roman"/>
          <w:sz w:val="28"/>
          <w:szCs w:val="28"/>
          <w:lang w:val="en-US"/>
        </w:rPr>
        <w:t>NTproBNP</w:t>
      </w:r>
      <w:r w:rsidRPr="00F90B6B">
        <w:rPr>
          <w:rFonts w:ascii="Times New Roman" w:hAnsi="Times New Roman"/>
          <w:sz w:val="28"/>
          <w:szCs w:val="28"/>
        </w:rPr>
        <w:t xml:space="preserve"> у хворих з ХСН не був пов’язаний з наявністю іонних порушень, в тому числі гіпонатріємії, проте рівень альдостерону був найвищим (</w:t>
      </w:r>
      <w:r w:rsidRPr="00F90B6B">
        <w:rPr>
          <w:rFonts w:ascii="Times New Roman" w:hAnsi="Times New Roman"/>
          <w:sz w:val="28"/>
          <w:szCs w:val="28"/>
          <w:lang w:val="en-US"/>
        </w:rPr>
        <w:t>p</w:t>
      </w:r>
      <w:r w:rsidRPr="00F90B6B">
        <w:rPr>
          <w:rFonts w:ascii="Times New Roman" w:hAnsi="Times New Roman"/>
          <w:sz w:val="28"/>
          <w:szCs w:val="28"/>
        </w:rPr>
        <w:t>&lt;0,05) у пацієнтів з гіпонатріємією.</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За оцінки асоціації ниркової дисфункції та гіпонатріємії - частота кардіоренального синдрому підвищувалась на 20,0%, що обумовлювало вірогідні показники відносного ризику (2,14 [1,23-3,75], </w:t>
      </w:r>
      <w:r w:rsidRPr="00F90B6B">
        <w:rPr>
          <w:rFonts w:ascii="Times New Roman" w:hAnsi="Times New Roman"/>
          <w:sz w:val="28"/>
          <w:szCs w:val="28"/>
          <w:lang w:val="en-US"/>
        </w:rPr>
        <w:t>p</w:t>
      </w:r>
      <w:r w:rsidRPr="00F90B6B">
        <w:rPr>
          <w:rFonts w:ascii="Times New Roman" w:hAnsi="Times New Roman"/>
          <w:sz w:val="28"/>
          <w:szCs w:val="28"/>
        </w:rPr>
        <w:t xml:space="preserve">&lt;0,05) та відношення шансів (2,81 [1,29-6,08],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spacing w:after="0" w:line="360" w:lineRule="auto"/>
        <w:ind w:firstLine="709"/>
        <w:jc w:val="both"/>
        <w:rPr>
          <w:rFonts w:ascii="Times New Roman" w:hAnsi="Times New Roman"/>
          <w:i/>
          <w:sz w:val="28"/>
          <w:szCs w:val="28"/>
        </w:rPr>
      </w:pPr>
    </w:p>
    <w:p w:rsidR="00EF4063" w:rsidRPr="00F90B6B" w:rsidRDefault="00ED6686" w:rsidP="00F0048B">
      <w:pPr>
        <w:spacing w:after="0" w:line="360" w:lineRule="auto"/>
        <w:ind w:firstLine="709"/>
        <w:jc w:val="both"/>
        <w:rPr>
          <w:rFonts w:ascii="Times New Roman" w:hAnsi="Times New Roman"/>
          <w:i/>
          <w:sz w:val="28"/>
          <w:szCs w:val="28"/>
        </w:rPr>
      </w:pPr>
      <w:r>
        <w:rPr>
          <w:rFonts w:ascii="Times New Roman" w:hAnsi="Times New Roman"/>
          <w:i/>
          <w:sz w:val="28"/>
          <w:szCs w:val="28"/>
        </w:rPr>
        <w:br w:type="page"/>
      </w:r>
      <w:r w:rsidR="00EF4063" w:rsidRPr="00F90B6B">
        <w:rPr>
          <w:rFonts w:ascii="Times New Roman" w:hAnsi="Times New Roman"/>
          <w:i/>
          <w:sz w:val="28"/>
          <w:szCs w:val="28"/>
        </w:rPr>
        <w:lastRenderedPageBreak/>
        <w:t>Матеріали, що представлені в розділі 3.1. включені в наступні публікації дисертанта:</w:t>
      </w:r>
    </w:p>
    <w:p w:rsidR="00EF4063" w:rsidRPr="00F90B6B" w:rsidRDefault="00EF4063" w:rsidP="00F0048B">
      <w:pPr>
        <w:pStyle w:val="1"/>
        <w:widowControl w:val="0"/>
        <w:numPr>
          <w:ilvl w:val="0"/>
          <w:numId w:val="28"/>
        </w:numPr>
        <w:spacing w:after="0" w:line="360" w:lineRule="auto"/>
        <w:ind w:left="0" w:firstLine="0"/>
        <w:jc w:val="both"/>
        <w:rPr>
          <w:rFonts w:ascii="Times New Roman" w:hAnsi="Times New Roman"/>
          <w:bCs/>
          <w:color w:val="339966"/>
          <w:sz w:val="28"/>
          <w:szCs w:val="28"/>
          <w:shd w:val="clear" w:color="auto" w:fill="FFFFFF"/>
        </w:rPr>
      </w:pPr>
      <w:r w:rsidRPr="00F90B6B">
        <w:rPr>
          <w:rFonts w:ascii="Times New Roman" w:hAnsi="Times New Roman"/>
          <w:bCs/>
          <w:sz w:val="28"/>
          <w:szCs w:val="28"/>
          <w:shd w:val="clear" w:color="auto" w:fill="FFFFFF"/>
        </w:rPr>
        <w:t>Лазиди Е.Л., Рудык Ю.С. Роль уровня ионов натрия в сыворотке крови в прогнозе риска смерти у пациентов с хронической сердечной недостаточностью и сохраненной фракцией выброса левого желудочка. / Е.Л Лазиди., Ю.С. Рудык // Експериментальна і клінічна медицина. – 2017. - №4(77). – С. 32-37.</w:t>
      </w:r>
    </w:p>
    <w:p w:rsidR="00EF4063" w:rsidRPr="00F90B6B" w:rsidRDefault="00EF4063" w:rsidP="00F0048B">
      <w:pPr>
        <w:pStyle w:val="1"/>
        <w:numPr>
          <w:ilvl w:val="0"/>
          <w:numId w:val="28"/>
        </w:numPr>
        <w:spacing w:after="0" w:line="360" w:lineRule="auto"/>
        <w:ind w:left="0" w:firstLine="0"/>
        <w:jc w:val="both"/>
        <w:rPr>
          <w:rFonts w:ascii="Times New Roman" w:hAnsi="Times New Roman"/>
          <w:bCs/>
          <w:sz w:val="28"/>
          <w:szCs w:val="28"/>
          <w:shd w:val="clear" w:color="auto" w:fill="FFFFFF"/>
        </w:rPr>
      </w:pPr>
      <w:r w:rsidRPr="00F90B6B">
        <w:rPr>
          <w:rFonts w:ascii="Times New Roman" w:hAnsi="Times New Roman"/>
          <w:sz w:val="28"/>
          <w:szCs w:val="28"/>
          <w:lang w:val="uz-Cyrl-UZ"/>
        </w:rPr>
        <w:t xml:space="preserve">Лазиди Е.Л., Рудык Ю.С., Высоцкая Е.В., Печерская А.И., Болотских А.В. Гипонатриемия у пациентов с хронической сердечной недостаточностью и сохраненной фракцией выброса левого желудочка / Е.Л. Лазиди., Ю.С. Рудык, Е.В. Высоцкая, А.И. Печерская, А.В. Болотских // </w:t>
      </w:r>
      <w:r w:rsidRPr="00F90B6B">
        <w:rPr>
          <w:rFonts w:ascii="Times New Roman" w:hAnsi="Times New Roman"/>
          <w:bCs/>
          <w:sz w:val="28"/>
          <w:szCs w:val="28"/>
          <w:shd w:val="clear" w:color="auto" w:fill="FFFFFF"/>
        </w:rPr>
        <w:t>«</w:t>
      </w:r>
      <w:r w:rsidRPr="00F90B6B">
        <w:rPr>
          <w:rFonts w:ascii="Times New Roman" w:hAnsi="Times New Roman"/>
          <w:bCs/>
          <w:sz w:val="28"/>
          <w:szCs w:val="28"/>
          <w:shd w:val="clear" w:color="auto" w:fill="FFFFFF"/>
          <w:lang w:val="uz-Cyrl-UZ"/>
        </w:rPr>
        <w:t xml:space="preserve">ScienceRise: Medical Science». – </w:t>
      </w:r>
      <w:r w:rsidRPr="00F90B6B">
        <w:rPr>
          <w:rFonts w:ascii="Times New Roman" w:hAnsi="Times New Roman"/>
          <w:bCs/>
          <w:sz w:val="28"/>
          <w:szCs w:val="28"/>
          <w:shd w:val="clear" w:color="auto" w:fill="FFFFFF"/>
        </w:rPr>
        <w:t xml:space="preserve">2018. – </w:t>
      </w:r>
      <w:r w:rsidRPr="00F90B6B">
        <w:rPr>
          <w:rFonts w:ascii="Times New Roman" w:hAnsi="Times New Roman"/>
          <w:bCs/>
          <w:sz w:val="28"/>
          <w:szCs w:val="28"/>
          <w:shd w:val="clear" w:color="auto" w:fill="FFFFFF"/>
          <w:lang w:val="uz-Cyrl-UZ"/>
        </w:rPr>
        <w:t>Vol.</w:t>
      </w:r>
      <w:r w:rsidRPr="00F90B6B">
        <w:rPr>
          <w:rFonts w:ascii="Times New Roman" w:hAnsi="Times New Roman"/>
          <w:bCs/>
          <w:sz w:val="28"/>
          <w:szCs w:val="28"/>
          <w:shd w:val="clear" w:color="auto" w:fill="FFFFFF"/>
        </w:rPr>
        <w:t xml:space="preserve"> 2(22). – Р.4-9.</w:t>
      </w:r>
    </w:p>
    <w:p w:rsidR="00EF4063" w:rsidRPr="00F90B6B" w:rsidRDefault="00EF4063" w:rsidP="00F0048B">
      <w:pPr>
        <w:pStyle w:val="1"/>
        <w:numPr>
          <w:ilvl w:val="0"/>
          <w:numId w:val="28"/>
        </w:numPr>
        <w:spacing w:after="0" w:line="360" w:lineRule="auto"/>
        <w:ind w:left="0" w:firstLine="0"/>
        <w:jc w:val="both"/>
        <w:rPr>
          <w:rFonts w:ascii="Times New Roman" w:hAnsi="Times New Roman"/>
          <w:i/>
          <w:sz w:val="28"/>
          <w:szCs w:val="28"/>
        </w:rPr>
      </w:pPr>
      <w:r w:rsidRPr="00F90B6B">
        <w:rPr>
          <w:rFonts w:ascii="Times New Roman" w:hAnsi="Times New Roman"/>
          <w:bCs/>
          <w:sz w:val="28"/>
          <w:szCs w:val="28"/>
        </w:rPr>
        <w:t xml:space="preserve">Лазиди Е.Л., Рудык Ю.С. Прогностичекое значение ожирения и гипонатриемии в прогрессировании хронической сердечной недостаточности: сердечно-сосудистая смертность и кардиоренальный синдром / </w:t>
      </w:r>
      <w:r w:rsidRPr="00F90B6B">
        <w:rPr>
          <w:rFonts w:ascii="Times New Roman" w:hAnsi="Times New Roman"/>
          <w:sz w:val="28"/>
          <w:szCs w:val="28"/>
        </w:rPr>
        <w:t>Е.Л. Лазиди, Ю.С.Рудык //</w:t>
      </w:r>
      <w:r w:rsidRPr="00F90B6B">
        <w:rPr>
          <w:rFonts w:ascii="Times New Roman" w:hAnsi="Times New Roman"/>
          <w:bCs/>
          <w:sz w:val="28"/>
          <w:szCs w:val="28"/>
        </w:rPr>
        <w:t xml:space="preserve"> </w:t>
      </w:r>
      <w:r w:rsidRPr="00F90B6B">
        <w:rPr>
          <w:rFonts w:ascii="Times New Roman" w:hAnsi="Times New Roman"/>
          <w:bCs/>
          <w:sz w:val="28"/>
          <w:szCs w:val="28"/>
          <w:shd w:val="clear" w:color="auto" w:fill="FFFFFF"/>
          <w:lang w:val="en-US"/>
        </w:rPr>
        <w:t>Georgian</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medical</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news</w:t>
      </w:r>
      <w:r w:rsidRPr="00F90B6B">
        <w:rPr>
          <w:rFonts w:ascii="Times New Roman" w:hAnsi="Times New Roman"/>
          <w:bCs/>
          <w:sz w:val="28"/>
          <w:szCs w:val="28"/>
          <w:shd w:val="clear" w:color="auto" w:fill="FFFFFF"/>
        </w:rPr>
        <w:t xml:space="preserve">. – 2018. – Грузия, Тбилиси. - №9(282) . – Р.65-73 </w:t>
      </w:r>
      <w:r w:rsidRPr="00F90B6B">
        <w:rPr>
          <w:rFonts w:ascii="Times New Roman" w:hAnsi="Times New Roman"/>
          <w:i/>
          <w:sz w:val="28"/>
          <w:szCs w:val="28"/>
        </w:rPr>
        <w:t>(Особисто здобувачем проведено обстеження хворих, оцінку анкетування та інтерпретацію отриманих результатів, написання статті та підготовку статті до друку)</w:t>
      </w:r>
      <w:r w:rsidRPr="00F90B6B">
        <w:rPr>
          <w:rFonts w:ascii="Times New Roman" w:hAnsi="Times New Roman"/>
          <w:sz w:val="28"/>
          <w:szCs w:val="28"/>
        </w:rPr>
        <w:t xml:space="preserve"> (</w:t>
      </w:r>
      <w:r w:rsidRPr="00F90B6B">
        <w:rPr>
          <w:rFonts w:ascii="Times New Roman" w:hAnsi="Times New Roman"/>
          <w:sz w:val="28"/>
          <w:szCs w:val="28"/>
          <w:lang w:val="en-US"/>
        </w:rPr>
        <w:t>SCOPUS</w:t>
      </w:r>
      <w:r w:rsidRPr="00F90B6B">
        <w:rPr>
          <w:rFonts w:ascii="Times New Roman" w:hAnsi="Times New Roman"/>
          <w:sz w:val="28"/>
          <w:szCs w:val="28"/>
        </w:rPr>
        <w:t>).</w:t>
      </w:r>
    </w:p>
    <w:p w:rsidR="00EF4063" w:rsidRPr="00F90B6B" w:rsidRDefault="00EF4063" w:rsidP="00F0048B">
      <w:pPr>
        <w:pStyle w:val="1"/>
        <w:numPr>
          <w:ilvl w:val="0"/>
          <w:numId w:val="28"/>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Лазіді К.Л., Рудик Ю.С. Гіпонаріємія і прогноз хворих із ХСН: чи існує зв'язок? / К.Л. Лазіді,</w:t>
      </w:r>
      <w:r w:rsidRPr="00F90B6B">
        <w:rPr>
          <w:rFonts w:ascii="Times New Roman" w:hAnsi="Times New Roman"/>
          <w:color w:val="339966"/>
          <w:sz w:val="28"/>
          <w:szCs w:val="28"/>
        </w:rPr>
        <w:t xml:space="preserve"> </w:t>
      </w:r>
      <w:r w:rsidRPr="00F90B6B">
        <w:rPr>
          <w:rFonts w:ascii="Times New Roman" w:hAnsi="Times New Roman"/>
          <w:sz w:val="28"/>
          <w:szCs w:val="28"/>
        </w:rPr>
        <w:t>Ю.С.Рудик // Матеріали науково-практичної конференції за участю міжнародних спеціалістів</w:t>
      </w:r>
      <w:r w:rsidRPr="00F90B6B">
        <w:rPr>
          <w:rFonts w:ascii="Times New Roman" w:hAnsi="Times New Roman"/>
          <w:caps/>
          <w:sz w:val="28"/>
          <w:szCs w:val="28"/>
        </w:rPr>
        <w:t xml:space="preserve"> </w:t>
      </w:r>
      <w:r w:rsidRPr="00F90B6B">
        <w:rPr>
          <w:rFonts w:ascii="Times New Roman" w:hAnsi="Times New Roman"/>
          <w:sz w:val="28"/>
          <w:szCs w:val="28"/>
        </w:rPr>
        <w:t>«Щорічні терапевтичні читання: Профілактика неінфекційних захворювань на перехресті терапевтичних наук</w:t>
      </w:r>
      <w:r w:rsidRPr="00F90B6B">
        <w:rPr>
          <w:rFonts w:ascii="Times New Roman" w:hAnsi="Times New Roman"/>
          <w:bCs/>
          <w:iCs/>
          <w:caps/>
          <w:sz w:val="28"/>
          <w:szCs w:val="28"/>
        </w:rPr>
        <w:t>». 21</w:t>
      </w:r>
      <w:r w:rsidRPr="00F90B6B">
        <w:rPr>
          <w:rFonts w:ascii="Times New Roman" w:hAnsi="Times New Roman"/>
          <w:sz w:val="28"/>
          <w:szCs w:val="28"/>
        </w:rPr>
        <w:t xml:space="preserve"> квітня</w:t>
      </w:r>
      <w:r w:rsidRPr="00F90B6B">
        <w:rPr>
          <w:rFonts w:ascii="Times New Roman" w:hAnsi="Times New Roman"/>
          <w:bCs/>
          <w:iCs/>
          <w:caps/>
          <w:sz w:val="28"/>
          <w:szCs w:val="28"/>
        </w:rPr>
        <w:t xml:space="preserve"> </w:t>
      </w:r>
      <w:r w:rsidRPr="00F90B6B">
        <w:rPr>
          <w:rFonts w:ascii="Times New Roman" w:hAnsi="Times New Roman"/>
          <w:sz w:val="28"/>
          <w:szCs w:val="28"/>
        </w:rPr>
        <w:t>2016 р. Харків. С. 281.</w:t>
      </w:r>
    </w:p>
    <w:p w:rsidR="00EF4063" w:rsidRPr="00F90B6B" w:rsidRDefault="00EF4063" w:rsidP="00F0048B">
      <w:pPr>
        <w:pStyle w:val="1"/>
        <w:numPr>
          <w:ilvl w:val="0"/>
          <w:numId w:val="28"/>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 xml:space="preserve">Лазіді К.Л., Рудик Ю.С. </w:t>
      </w:r>
      <w:r w:rsidRPr="00F90B6B">
        <w:rPr>
          <w:rStyle w:val="shorttext"/>
          <w:rFonts w:ascii="Times New Roman" w:hAnsi="Times New Roman"/>
          <w:sz w:val="28"/>
          <w:szCs w:val="28"/>
        </w:rPr>
        <w:t>Електролітні</w:t>
      </w:r>
      <w:r w:rsidRPr="00F90B6B">
        <w:rPr>
          <w:rStyle w:val="shorttext"/>
          <w:rFonts w:ascii="Times New Roman" w:hAnsi="Times New Roman"/>
          <w:szCs w:val="28"/>
        </w:rPr>
        <w:t xml:space="preserve"> </w:t>
      </w:r>
      <w:r w:rsidRPr="00F90B6B">
        <w:rPr>
          <w:rFonts w:ascii="Times New Roman" w:hAnsi="Times New Roman"/>
          <w:sz w:val="28"/>
          <w:szCs w:val="28"/>
        </w:rPr>
        <w:t>порушення у хворих із хронічною серцевою недостатністю / К.Л. Лазіді, Ю.С.Рудик</w:t>
      </w:r>
      <w:r w:rsidRPr="00F90B6B">
        <w:rPr>
          <w:rFonts w:ascii="Times New Roman" w:hAnsi="Times New Roman"/>
          <w:color w:val="339966"/>
          <w:sz w:val="28"/>
          <w:szCs w:val="28"/>
        </w:rPr>
        <w:t xml:space="preserve"> </w:t>
      </w:r>
      <w:r w:rsidRPr="00F90B6B">
        <w:rPr>
          <w:rFonts w:ascii="Times New Roman" w:hAnsi="Times New Roman"/>
          <w:sz w:val="28"/>
          <w:szCs w:val="28"/>
        </w:rPr>
        <w:t>// Матеріали</w:t>
      </w:r>
      <w:r w:rsidRPr="00F90B6B">
        <w:rPr>
          <w:rFonts w:ascii="Times New Roman" w:hAnsi="Times New Roman"/>
          <w:color w:val="339966"/>
          <w:sz w:val="28"/>
          <w:szCs w:val="28"/>
        </w:rPr>
        <w:t xml:space="preserve"> </w:t>
      </w:r>
      <w:r w:rsidRPr="00F90B6B">
        <w:rPr>
          <w:rFonts w:ascii="Times New Roman" w:hAnsi="Times New Roman"/>
          <w:sz w:val="28"/>
          <w:szCs w:val="28"/>
        </w:rPr>
        <w:t>н</w:t>
      </w:r>
      <w:r w:rsidRPr="00F90B6B">
        <w:rPr>
          <w:rFonts w:ascii="Times New Roman" w:hAnsi="Times New Roman"/>
          <w:bCs/>
          <w:iCs/>
          <w:sz w:val="28"/>
          <w:szCs w:val="28"/>
        </w:rPr>
        <w:t>ауково-практичної конференції молодих учених за участю міжнародних спеціалістів,</w:t>
      </w:r>
      <w:r w:rsidRPr="00F90B6B">
        <w:rPr>
          <w:rFonts w:ascii="Times New Roman" w:hAnsi="Times New Roman"/>
          <w:iCs/>
          <w:spacing w:val="8"/>
          <w:sz w:val="28"/>
          <w:szCs w:val="28"/>
        </w:rPr>
        <w:t xml:space="preserve"> присвячена Дню науки </w:t>
      </w:r>
      <w:r w:rsidRPr="00F90B6B">
        <w:rPr>
          <w:rFonts w:ascii="Times New Roman" w:hAnsi="Times New Roman"/>
          <w:bCs/>
          <w:sz w:val="28"/>
          <w:szCs w:val="28"/>
        </w:rPr>
        <w:t xml:space="preserve">«Медична наука та клінічна практика - 2016». </w:t>
      </w:r>
      <w:r w:rsidRPr="00F90B6B">
        <w:rPr>
          <w:rFonts w:ascii="Times New Roman" w:hAnsi="Times New Roman"/>
          <w:sz w:val="28"/>
          <w:szCs w:val="28"/>
        </w:rPr>
        <w:t>20 травня 2016 р.</w:t>
      </w:r>
      <w:r w:rsidRPr="00F90B6B">
        <w:rPr>
          <w:rFonts w:ascii="Times New Roman" w:hAnsi="Times New Roman"/>
          <w:bCs/>
          <w:sz w:val="28"/>
          <w:szCs w:val="28"/>
        </w:rPr>
        <w:t xml:space="preserve"> Харків. С. 56-57.</w:t>
      </w:r>
    </w:p>
    <w:p w:rsidR="00EF4063" w:rsidRPr="00F90B6B" w:rsidRDefault="00EF4063" w:rsidP="00F0048B">
      <w:pPr>
        <w:pStyle w:val="1"/>
        <w:numPr>
          <w:ilvl w:val="0"/>
          <w:numId w:val="28"/>
        </w:numPr>
        <w:spacing w:after="0" w:line="360" w:lineRule="auto"/>
        <w:ind w:left="0" w:firstLine="0"/>
        <w:jc w:val="both"/>
        <w:rPr>
          <w:rFonts w:ascii="Times New Roman" w:hAnsi="Times New Roman"/>
          <w:sz w:val="28"/>
          <w:szCs w:val="28"/>
          <w:shd w:val="clear" w:color="auto" w:fill="FFFFFF"/>
        </w:rPr>
      </w:pPr>
      <w:r w:rsidRPr="00F90B6B">
        <w:rPr>
          <w:rFonts w:ascii="Times New Roman" w:hAnsi="Times New Roman"/>
          <w:sz w:val="28"/>
          <w:szCs w:val="28"/>
        </w:rPr>
        <w:t>Лазіді К.Л., Рудик Ю.С</w:t>
      </w:r>
      <w:r w:rsidRPr="00F90B6B">
        <w:rPr>
          <w:rFonts w:ascii="Times New Roman" w:hAnsi="Times New Roman"/>
          <w:sz w:val="28"/>
          <w:szCs w:val="28"/>
          <w:shd w:val="clear" w:color="auto" w:fill="FFFFFF"/>
        </w:rPr>
        <w:t xml:space="preserve"> Які фактори впливають на клінічний перебіг у пацієнтів з хронічною серцевою недостатністю зі збереженою фракцією викиду </w:t>
      </w:r>
      <w:r w:rsidRPr="00F90B6B">
        <w:rPr>
          <w:rFonts w:ascii="Times New Roman" w:hAnsi="Times New Roman"/>
          <w:sz w:val="28"/>
          <w:szCs w:val="28"/>
          <w:shd w:val="clear" w:color="auto" w:fill="FFFFFF"/>
        </w:rPr>
        <w:lastRenderedPageBreak/>
        <w:t xml:space="preserve">лівого шлуночка? / </w:t>
      </w:r>
      <w:r w:rsidRPr="00F90B6B">
        <w:rPr>
          <w:rFonts w:ascii="Times New Roman" w:hAnsi="Times New Roman"/>
          <w:sz w:val="28"/>
          <w:szCs w:val="28"/>
        </w:rPr>
        <w:t xml:space="preserve">К.Л. Лазіді, Ю.С.Рудик // Матеріали </w:t>
      </w:r>
      <w:r w:rsidRPr="00F90B6B">
        <w:rPr>
          <w:rFonts w:ascii="Times New Roman" w:hAnsi="Times New Roman"/>
          <w:sz w:val="28"/>
          <w:szCs w:val="28"/>
          <w:shd w:val="clear" w:color="auto" w:fill="FFFFFF"/>
        </w:rPr>
        <w:t>щорічної підсумкова науково-</w:t>
      </w:r>
      <w:r w:rsidRPr="00F90B6B">
        <w:rPr>
          <w:rFonts w:ascii="Times New Roman" w:hAnsi="Times New Roman"/>
          <w:sz w:val="28"/>
          <w:szCs w:val="28"/>
          <w:shd w:val="clear" w:color="auto" w:fill="FFFFFF"/>
        </w:rPr>
        <w:lastRenderedPageBreak/>
        <w:t>практичної конференції молодих вчених Харківської медичної академії післядипломної освіти «Медицина 21 століття». 24 листопада 2016 р. Харків . С. 61.</w:t>
      </w:r>
    </w:p>
    <w:p w:rsidR="00EF4063" w:rsidRPr="00F90B6B" w:rsidRDefault="00EF4063" w:rsidP="00F0048B">
      <w:pPr>
        <w:pStyle w:val="1"/>
        <w:numPr>
          <w:ilvl w:val="0"/>
          <w:numId w:val="28"/>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Лазіді К.Л., Рудик Ю.С</w:t>
      </w:r>
      <w:r w:rsidRPr="00F90B6B">
        <w:rPr>
          <w:rFonts w:ascii="Times New Roman" w:hAnsi="Times New Roman"/>
          <w:sz w:val="28"/>
          <w:szCs w:val="28"/>
          <w:shd w:val="clear" w:color="auto" w:fill="FFFFFF"/>
        </w:rPr>
        <w:t xml:space="preserve"> </w:t>
      </w:r>
      <w:r w:rsidRPr="00F90B6B">
        <w:rPr>
          <w:rFonts w:ascii="Times New Roman" w:hAnsi="Times New Roman"/>
          <w:sz w:val="28"/>
          <w:szCs w:val="28"/>
        </w:rPr>
        <w:t>Чи  впливає дисбаланс електролітів на розвиток ускладнень у пацієнтів з хронічною серцевою недостатністю? / К.Л. Лазіді, Ю.С.Рудик // Матеріали Всеукраїнської науково-практичної конференції молодих учених «Медична наука в практику охорони здоров</w:t>
      </w:r>
      <w:r w:rsidR="00476958" w:rsidRPr="00476958">
        <w:rPr>
          <w:rFonts w:ascii="Times New Roman" w:hAnsi="Times New Roman"/>
          <w:sz w:val="28"/>
          <w:szCs w:val="28"/>
        </w:rPr>
        <w:t>’</w:t>
      </w:r>
      <w:r w:rsidRPr="00F90B6B">
        <w:rPr>
          <w:rFonts w:ascii="Times New Roman" w:hAnsi="Times New Roman"/>
          <w:sz w:val="28"/>
          <w:szCs w:val="28"/>
        </w:rPr>
        <w:t xml:space="preserve">я». 9 грудня  2016 р. Полтава. </w:t>
      </w:r>
      <w:r w:rsidR="00476958">
        <w:rPr>
          <w:rFonts w:ascii="Times New Roman" w:hAnsi="Times New Roman"/>
          <w:sz w:val="28"/>
          <w:szCs w:val="28"/>
          <w:lang w:val="ru-RU"/>
        </w:rPr>
        <w:br/>
      </w:r>
      <w:r w:rsidRPr="00F90B6B">
        <w:rPr>
          <w:rFonts w:ascii="Times New Roman" w:hAnsi="Times New Roman"/>
          <w:sz w:val="28"/>
          <w:szCs w:val="28"/>
        </w:rPr>
        <w:t>С. 39.</w:t>
      </w:r>
    </w:p>
    <w:p w:rsidR="00EF4063" w:rsidRPr="00F90B6B" w:rsidRDefault="00EF4063" w:rsidP="00F0048B">
      <w:pPr>
        <w:pStyle w:val="1"/>
        <w:widowControl w:val="0"/>
        <w:numPr>
          <w:ilvl w:val="0"/>
          <w:numId w:val="28"/>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Лазіді К.Л., Рудик Ю.С</w:t>
      </w:r>
      <w:r w:rsidRPr="00F90B6B">
        <w:rPr>
          <w:rFonts w:ascii="Times New Roman" w:hAnsi="Times New Roman"/>
          <w:sz w:val="28"/>
          <w:szCs w:val="28"/>
          <w:shd w:val="clear" w:color="auto" w:fill="FFFFFF"/>
        </w:rPr>
        <w:t xml:space="preserve"> </w:t>
      </w:r>
      <w:r w:rsidRPr="00F90B6B">
        <w:rPr>
          <w:rFonts w:ascii="Times New Roman" w:hAnsi="Times New Roman"/>
          <w:bCs/>
          <w:sz w:val="28"/>
          <w:szCs w:val="28"/>
          <w:shd w:val="clear" w:color="auto" w:fill="FFFFFF"/>
        </w:rPr>
        <w:t xml:space="preserve">Електролітні порушення  у пацієнтів з хронічною серцевою недостатністю зі збереженою фракцією викиду лівого шлуночка і супутнім ожирінням: чи  існує зв’язок? / </w:t>
      </w:r>
      <w:r w:rsidRPr="00F90B6B">
        <w:rPr>
          <w:rFonts w:ascii="Times New Roman" w:hAnsi="Times New Roman"/>
          <w:sz w:val="28"/>
          <w:szCs w:val="28"/>
        </w:rPr>
        <w:t>К.Л. Лазіді, Ю.С.Рудик // Матеріали міжнародної науково-практичної конференції «Світова медицина: сучасні тенденції та фактори розвитку». 27-28 січня 2017 р. Львів. С. 22-23.</w:t>
      </w:r>
    </w:p>
    <w:p w:rsidR="00EF4063" w:rsidRPr="00F90B6B" w:rsidRDefault="00EF4063" w:rsidP="00F0048B">
      <w:pPr>
        <w:pStyle w:val="1"/>
        <w:numPr>
          <w:ilvl w:val="0"/>
          <w:numId w:val="28"/>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Лазіді К.Л.</w:t>
      </w:r>
      <w:r w:rsidRPr="00F90B6B">
        <w:rPr>
          <w:rFonts w:ascii="Times New Roman" w:hAnsi="Times New Roman"/>
          <w:sz w:val="28"/>
          <w:szCs w:val="28"/>
          <w:shd w:val="clear" w:color="auto" w:fill="FFFFFF"/>
        </w:rPr>
        <w:t xml:space="preserve"> Гіпонатріємія у пацієнтів з хронічною серцевою недостатністю і супутнім ожирінням: чи змінюється прогноз? / </w:t>
      </w:r>
      <w:r w:rsidRPr="00F90B6B">
        <w:rPr>
          <w:rFonts w:ascii="Times New Roman" w:hAnsi="Times New Roman"/>
          <w:sz w:val="28"/>
          <w:szCs w:val="28"/>
        </w:rPr>
        <w:t>К.Л. Лазіді //</w:t>
      </w:r>
      <w:r w:rsidRPr="00F90B6B">
        <w:rPr>
          <w:rFonts w:ascii="Times New Roman" w:hAnsi="Times New Roman"/>
          <w:color w:val="339966"/>
          <w:sz w:val="28"/>
          <w:szCs w:val="28"/>
        </w:rPr>
        <w:t xml:space="preserve"> </w:t>
      </w:r>
      <w:r w:rsidRPr="00F90B6B">
        <w:rPr>
          <w:rFonts w:ascii="Times New Roman" w:hAnsi="Times New Roman"/>
          <w:bCs/>
          <w:sz w:val="28"/>
          <w:szCs w:val="28"/>
        </w:rPr>
        <w:t>Матеріали</w:t>
      </w:r>
      <w:r w:rsidRPr="00F90B6B">
        <w:rPr>
          <w:rFonts w:ascii="Times New Roman" w:hAnsi="Times New Roman"/>
          <w:sz w:val="28"/>
          <w:szCs w:val="28"/>
          <w:lang w:val="uz-Cyrl-UZ"/>
        </w:rPr>
        <w:t xml:space="preserve"> міжнародн</w:t>
      </w:r>
      <w:r w:rsidRPr="00F90B6B">
        <w:rPr>
          <w:rFonts w:ascii="Times New Roman" w:hAnsi="Times New Roman"/>
          <w:sz w:val="28"/>
          <w:szCs w:val="28"/>
        </w:rPr>
        <w:t>ої</w:t>
      </w:r>
      <w:r w:rsidRPr="00F90B6B">
        <w:rPr>
          <w:rFonts w:ascii="Times New Roman" w:hAnsi="Times New Roman"/>
          <w:sz w:val="28"/>
          <w:szCs w:val="28"/>
          <w:lang w:val="uz-Cyrl-UZ"/>
        </w:rPr>
        <w:t xml:space="preserve"> науково-практичн</w:t>
      </w:r>
      <w:r w:rsidRPr="00F90B6B">
        <w:rPr>
          <w:rFonts w:ascii="Times New Roman" w:hAnsi="Times New Roman"/>
          <w:sz w:val="28"/>
          <w:szCs w:val="28"/>
        </w:rPr>
        <w:t>ої</w:t>
      </w:r>
      <w:r w:rsidRPr="00F90B6B">
        <w:rPr>
          <w:rFonts w:ascii="Times New Roman" w:hAnsi="Times New Roman"/>
          <w:sz w:val="28"/>
          <w:szCs w:val="28"/>
          <w:lang w:val="uz-Cyrl-UZ"/>
        </w:rPr>
        <w:t xml:space="preserve"> конференці</w:t>
      </w:r>
      <w:r w:rsidRPr="00F90B6B">
        <w:rPr>
          <w:rFonts w:ascii="Times New Roman" w:hAnsi="Times New Roman"/>
          <w:sz w:val="28"/>
          <w:szCs w:val="28"/>
        </w:rPr>
        <w:t xml:space="preserve">ї </w:t>
      </w:r>
      <w:r w:rsidRPr="00F90B6B">
        <w:rPr>
          <w:rFonts w:ascii="Times New Roman" w:hAnsi="Times New Roman"/>
          <w:sz w:val="28"/>
          <w:szCs w:val="28"/>
          <w:lang w:val="uz-Cyrl-UZ"/>
        </w:rPr>
        <w:t>«Сучасні тенденції розвитку медичної науки та медичної практики»</w:t>
      </w:r>
      <w:r w:rsidRPr="00F90B6B">
        <w:rPr>
          <w:rFonts w:ascii="Times New Roman" w:hAnsi="Times New Roman"/>
          <w:sz w:val="28"/>
          <w:szCs w:val="28"/>
        </w:rPr>
        <w:t xml:space="preserve">. </w:t>
      </w:r>
      <w:r w:rsidRPr="00F90B6B">
        <w:rPr>
          <w:rFonts w:ascii="Times New Roman" w:hAnsi="Times New Roman"/>
          <w:sz w:val="28"/>
          <w:szCs w:val="28"/>
          <w:lang w:val="uz-Cyrl-UZ"/>
        </w:rPr>
        <w:t>22-23 грудня 2017 р</w:t>
      </w:r>
      <w:r w:rsidRPr="00F90B6B">
        <w:rPr>
          <w:rFonts w:ascii="Times New Roman" w:hAnsi="Times New Roman"/>
          <w:sz w:val="28"/>
          <w:szCs w:val="28"/>
        </w:rPr>
        <w:t>.</w:t>
      </w:r>
      <w:r w:rsidRPr="00F90B6B">
        <w:rPr>
          <w:rFonts w:ascii="Times New Roman" w:hAnsi="Times New Roman"/>
          <w:sz w:val="28"/>
          <w:szCs w:val="28"/>
          <w:lang w:val="uz-Cyrl-UZ"/>
        </w:rPr>
        <w:t xml:space="preserve"> Львів</w:t>
      </w:r>
      <w:r w:rsidRPr="00F90B6B">
        <w:rPr>
          <w:rFonts w:ascii="Times New Roman" w:hAnsi="Times New Roman"/>
          <w:sz w:val="28"/>
          <w:szCs w:val="28"/>
        </w:rPr>
        <w:t>. С. 23.</w:t>
      </w:r>
    </w:p>
    <w:p w:rsidR="00EF4063" w:rsidRPr="00F90B6B" w:rsidRDefault="00EF4063" w:rsidP="00F0048B">
      <w:pPr>
        <w:pStyle w:val="1"/>
        <w:widowControl w:val="0"/>
        <w:numPr>
          <w:ilvl w:val="0"/>
          <w:numId w:val="28"/>
        </w:numPr>
        <w:spacing w:after="0" w:line="360" w:lineRule="auto"/>
        <w:ind w:left="0" w:firstLine="0"/>
        <w:jc w:val="both"/>
        <w:rPr>
          <w:rFonts w:ascii="Times New Roman" w:hAnsi="Times New Roman"/>
          <w:bCs/>
          <w:iCs/>
          <w:sz w:val="28"/>
          <w:szCs w:val="28"/>
        </w:rPr>
      </w:pPr>
      <w:r w:rsidRPr="00F90B6B">
        <w:rPr>
          <w:rFonts w:ascii="Times New Roman" w:hAnsi="Times New Roman"/>
          <w:sz w:val="28"/>
          <w:szCs w:val="28"/>
        </w:rPr>
        <w:t>Лазиди Е.Л., Рудык Ю.С</w:t>
      </w:r>
      <w:r w:rsidRPr="00F90B6B">
        <w:rPr>
          <w:rFonts w:ascii="Times New Roman" w:hAnsi="Times New Roman"/>
          <w:sz w:val="28"/>
          <w:szCs w:val="28"/>
          <w:shd w:val="clear" w:color="auto" w:fill="FFFFFF"/>
        </w:rPr>
        <w:t xml:space="preserve">. Гипонатриемия у пациентов с хронической сердечной недостаточностью и сохраненной фракцией выброса левого желудочка </w:t>
      </w:r>
      <w:r w:rsidRPr="00F90B6B">
        <w:rPr>
          <w:rFonts w:ascii="Times New Roman" w:hAnsi="Times New Roman"/>
          <w:b/>
        </w:rPr>
        <w:t xml:space="preserve">/ </w:t>
      </w:r>
      <w:r w:rsidRPr="00F90B6B">
        <w:rPr>
          <w:rFonts w:ascii="Times New Roman" w:hAnsi="Times New Roman"/>
          <w:sz w:val="28"/>
          <w:szCs w:val="28"/>
        </w:rPr>
        <w:t>Е.Л. Лазиди, Ю.С.Рудык</w:t>
      </w:r>
      <w:r w:rsidRPr="00F90B6B">
        <w:rPr>
          <w:rFonts w:ascii="Times New Roman" w:hAnsi="Times New Roman"/>
          <w:color w:val="339966"/>
          <w:sz w:val="28"/>
          <w:szCs w:val="28"/>
        </w:rPr>
        <w:t xml:space="preserve"> // </w:t>
      </w:r>
      <w:r w:rsidRPr="00F90B6B">
        <w:rPr>
          <w:rFonts w:ascii="Times New Roman" w:hAnsi="Times New Roman"/>
          <w:bCs/>
          <w:sz w:val="28"/>
          <w:szCs w:val="28"/>
        </w:rPr>
        <w:t>Матеріали</w:t>
      </w:r>
      <w:r w:rsidRPr="00F90B6B">
        <w:rPr>
          <w:rFonts w:ascii="Times New Roman" w:hAnsi="Times New Roman"/>
          <w:b/>
        </w:rPr>
        <w:t xml:space="preserve"> </w:t>
      </w:r>
      <w:r w:rsidRPr="00F90B6B">
        <w:rPr>
          <w:rFonts w:ascii="Times New Roman" w:hAnsi="Times New Roman"/>
          <w:sz w:val="28"/>
          <w:szCs w:val="28"/>
        </w:rPr>
        <w:t xml:space="preserve">науково-практичноъ конференції молодих вчених з міжнародною участю присвяченої 25-річному ювілею НАМН України та  Дню науки «Профілактична медицина сьогодні:внесок молодих спеціалістів». </w:t>
      </w:r>
      <w:r w:rsidRPr="00F90B6B">
        <w:rPr>
          <w:rFonts w:ascii="Times New Roman" w:hAnsi="Times New Roman"/>
          <w:bCs/>
          <w:iCs/>
          <w:sz w:val="28"/>
          <w:szCs w:val="28"/>
        </w:rPr>
        <w:t>24 травня 2018 р. Харків. С. 33.</w:t>
      </w:r>
    </w:p>
    <w:p w:rsidR="00EF4063" w:rsidRPr="00F90B6B" w:rsidRDefault="00EF4063" w:rsidP="00F0048B">
      <w:pPr>
        <w:pStyle w:val="1"/>
        <w:numPr>
          <w:ilvl w:val="0"/>
          <w:numId w:val="28"/>
        </w:numPr>
        <w:spacing w:after="0" w:line="360" w:lineRule="auto"/>
        <w:ind w:left="0" w:firstLine="0"/>
        <w:jc w:val="both"/>
        <w:rPr>
          <w:rFonts w:ascii="Times New Roman" w:hAnsi="Times New Roman"/>
          <w:bCs/>
          <w:color w:val="000080"/>
        </w:rPr>
      </w:pPr>
      <w:r w:rsidRPr="00F90B6B">
        <w:rPr>
          <w:rFonts w:ascii="Times New Roman" w:hAnsi="Times New Roman"/>
          <w:sz w:val="28"/>
          <w:szCs w:val="28"/>
        </w:rPr>
        <w:t>Лазиди Е.Л., Рудык Ю.С. Встречаемость гипонатриемии у пациентов с хронической сердечной недостаточностью и сохраненной фракцией выброса левого желудочка / Е.Л. Лазиди, Ю.С.Рудык //</w:t>
      </w:r>
      <w:r w:rsidRPr="00F90B6B">
        <w:rPr>
          <w:rFonts w:ascii="Times New Roman" w:hAnsi="Times New Roman"/>
          <w:color w:val="339966"/>
          <w:sz w:val="28"/>
          <w:szCs w:val="28"/>
        </w:rPr>
        <w:t xml:space="preserve"> </w:t>
      </w:r>
      <w:r w:rsidRPr="00F90B6B">
        <w:rPr>
          <w:rFonts w:ascii="Times New Roman" w:hAnsi="Times New Roman"/>
          <w:sz w:val="28"/>
          <w:szCs w:val="28"/>
        </w:rPr>
        <w:t>Матеріали</w:t>
      </w:r>
      <w:r w:rsidRPr="00F90B6B">
        <w:rPr>
          <w:rFonts w:ascii="Times New Roman" w:hAnsi="Times New Roman"/>
          <w:bCs/>
          <w:color w:val="000080"/>
        </w:rPr>
        <w:t xml:space="preserve"> </w:t>
      </w:r>
      <w:r w:rsidRPr="00F90B6B">
        <w:rPr>
          <w:rFonts w:ascii="Times New Roman" w:hAnsi="Times New Roman"/>
          <w:bCs/>
          <w:iCs/>
          <w:sz w:val="28"/>
          <w:szCs w:val="28"/>
        </w:rPr>
        <w:t>Х</w:t>
      </w:r>
      <w:r w:rsidRPr="00F90B6B">
        <w:rPr>
          <w:rFonts w:ascii="Times New Roman" w:hAnsi="Times New Roman"/>
          <w:bCs/>
          <w:iCs/>
          <w:sz w:val="28"/>
          <w:szCs w:val="28"/>
          <w:lang w:val="en-US"/>
        </w:rPr>
        <w:t>I</w:t>
      </w:r>
      <w:r w:rsidRPr="00F90B6B">
        <w:rPr>
          <w:rFonts w:ascii="Times New Roman" w:hAnsi="Times New Roman"/>
          <w:bCs/>
          <w:iCs/>
          <w:sz w:val="28"/>
          <w:szCs w:val="28"/>
        </w:rPr>
        <w:t>Х національного конгресу кардіологів України. 26-28 вересня 2018 р. Київ. С. 166.</w:t>
      </w:r>
    </w:p>
    <w:p w:rsidR="00EF4063" w:rsidRPr="00F90B6B" w:rsidRDefault="00EF4063" w:rsidP="00F0048B">
      <w:pPr>
        <w:spacing w:after="0" w:line="360" w:lineRule="auto"/>
        <w:jc w:val="center"/>
        <w:rPr>
          <w:rFonts w:ascii="Times New Roman" w:hAnsi="Times New Roman"/>
          <w:b/>
          <w:sz w:val="28"/>
          <w:szCs w:val="28"/>
          <w:lang w:eastAsia="uk-UA"/>
        </w:rPr>
      </w:pPr>
    </w:p>
    <w:p w:rsidR="00EF4063" w:rsidRPr="00F90B6B" w:rsidRDefault="00EF4063" w:rsidP="00ED6686">
      <w:pPr>
        <w:spacing w:after="0" w:line="348" w:lineRule="auto"/>
        <w:rPr>
          <w:rFonts w:ascii="Times New Roman" w:hAnsi="Times New Roman"/>
          <w:b/>
          <w:sz w:val="28"/>
          <w:szCs w:val="28"/>
        </w:rPr>
      </w:pPr>
      <w:r w:rsidRPr="00F90B6B">
        <w:rPr>
          <w:rFonts w:ascii="Times New Roman" w:hAnsi="Times New Roman"/>
          <w:b/>
          <w:sz w:val="28"/>
          <w:szCs w:val="28"/>
        </w:rPr>
        <w:lastRenderedPageBreak/>
        <w:t xml:space="preserve">3.2. Клінічні, лабораторні особливості, структурно-функціональні параметри та рівень NTproBNP у хворих з хронічною серцевою недостатністю зі збереженою фракцією викиду лівого шлуночка та ожирінням. </w:t>
      </w:r>
    </w:p>
    <w:p w:rsidR="00EF4063" w:rsidRPr="00F90B6B" w:rsidRDefault="00EF4063" w:rsidP="00ED6686">
      <w:pPr>
        <w:spacing w:after="0" w:line="348" w:lineRule="auto"/>
        <w:ind w:firstLine="709"/>
        <w:jc w:val="both"/>
        <w:rPr>
          <w:rFonts w:ascii="Times New Roman" w:hAnsi="Times New Roman"/>
          <w:b/>
          <w:sz w:val="28"/>
          <w:szCs w:val="28"/>
        </w:rPr>
      </w:pPr>
    </w:p>
    <w:p w:rsidR="00EF4063" w:rsidRPr="00F90B6B" w:rsidRDefault="00EF4063" w:rsidP="00ED6686">
      <w:pPr>
        <w:spacing w:after="0" w:line="348" w:lineRule="auto"/>
        <w:ind w:firstLine="709"/>
        <w:jc w:val="both"/>
        <w:rPr>
          <w:rFonts w:ascii="Times New Roman" w:hAnsi="Times New Roman"/>
          <w:sz w:val="28"/>
          <w:szCs w:val="28"/>
        </w:rPr>
      </w:pPr>
      <w:r w:rsidRPr="00F90B6B">
        <w:rPr>
          <w:rFonts w:ascii="Times New Roman" w:hAnsi="Times New Roman"/>
          <w:sz w:val="28"/>
          <w:szCs w:val="28"/>
        </w:rPr>
        <w:t>Хронічна серцева недостатність (ХСН) є важливою медичною, соціальною та економічною проблемою.</w:t>
      </w:r>
      <w:r w:rsidRPr="00F90B6B">
        <w:rPr>
          <w:rFonts w:ascii="Times New Roman" w:hAnsi="Times New Roman"/>
          <w:sz w:val="28"/>
          <w:szCs w:val="28"/>
          <w:lang w:val="ru-RU"/>
        </w:rPr>
        <w:t xml:space="preserve"> </w:t>
      </w:r>
      <w:r w:rsidRPr="00F90B6B">
        <w:rPr>
          <w:rFonts w:ascii="Times New Roman" w:hAnsi="Times New Roman"/>
          <w:sz w:val="28"/>
          <w:szCs w:val="28"/>
        </w:rPr>
        <w:t xml:space="preserve">Окрім первинних причин, гемодинамічних, в якості факторів несприятливого прогнозу ХСН розглядаються метаболічні порушення, в тому числі ожиріння [118]. </w:t>
      </w:r>
    </w:p>
    <w:p w:rsidR="00EF4063" w:rsidRPr="00F90B6B" w:rsidRDefault="00EF4063" w:rsidP="00ED6686">
      <w:pPr>
        <w:spacing w:after="0" w:line="348" w:lineRule="auto"/>
        <w:ind w:firstLine="709"/>
        <w:jc w:val="both"/>
        <w:rPr>
          <w:rFonts w:ascii="Times New Roman" w:hAnsi="Times New Roman"/>
          <w:sz w:val="28"/>
          <w:szCs w:val="28"/>
        </w:rPr>
      </w:pPr>
      <w:r w:rsidRPr="00F90B6B">
        <w:rPr>
          <w:rFonts w:ascii="Times New Roman" w:hAnsi="Times New Roman"/>
          <w:sz w:val="28"/>
          <w:szCs w:val="28"/>
        </w:rPr>
        <w:t>В інших роботах вказується, що зміна концентрації ліпідів в сироватці крові є клінічно важливим показником при ХСН, оскільки пов'язано зі збільшенням ризику системного атеросклерозу [75].</w:t>
      </w:r>
    </w:p>
    <w:p w:rsidR="00EF4063" w:rsidRPr="00F90B6B" w:rsidRDefault="00EF4063" w:rsidP="00ED6686">
      <w:pPr>
        <w:spacing w:after="0" w:line="348" w:lineRule="auto"/>
        <w:ind w:firstLine="709"/>
        <w:jc w:val="both"/>
        <w:rPr>
          <w:rFonts w:ascii="Times New Roman" w:hAnsi="Times New Roman"/>
          <w:sz w:val="28"/>
          <w:szCs w:val="28"/>
        </w:rPr>
      </w:pPr>
      <w:r w:rsidRPr="00F90B6B">
        <w:rPr>
          <w:rFonts w:ascii="Times New Roman" w:hAnsi="Times New Roman"/>
          <w:sz w:val="28"/>
          <w:szCs w:val="28"/>
        </w:rPr>
        <w:t>Наявність ожиріння у хворих з ХСН асоціюється з вірогідним підвищенням рівня тригліцеридів та зниженням холестерину ЛПВЩ. Рівні натрійуретичного пептиду та його попередника в останніх рекомендаціях зазначені як провідні фактори важкого перебігу ХСН, проте у хворих з хронічною серцевою недостатністю та ожирінням значення цього біомаркера є не до кінця з’ясованим.</w:t>
      </w:r>
    </w:p>
    <w:p w:rsidR="00EF4063" w:rsidRPr="00F90B6B" w:rsidRDefault="00EF4063" w:rsidP="00ED6686">
      <w:pPr>
        <w:pStyle w:val="a3"/>
        <w:spacing w:before="0" w:beforeAutospacing="0" w:after="0" w:afterAutospacing="0" w:line="348" w:lineRule="auto"/>
        <w:ind w:firstLine="709"/>
        <w:jc w:val="both"/>
        <w:rPr>
          <w:sz w:val="28"/>
          <w:szCs w:val="28"/>
        </w:rPr>
      </w:pPr>
      <w:r w:rsidRPr="00F90B6B">
        <w:rPr>
          <w:sz w:val="28"/>
          <w:szCs w:val="28"/>
        </w:rPr>
        <w:t>Тому актуальним напрямком подальших досліджень, а також одним із завдань нашої роботи було вивчення діагностичної і прогностичної значущості клінічних та лабораторних показників у хворих з хронічною серцевою недостатністю та ожирінням, їх співвідношення з параметрами гемодинаміки, толерантністю до фізичних навантажень, а також якістю життя.</w:t>
      </w:r>
    </w:p>
    <w:p w:rsidR="00EF4063" w:rsidRPr="00F90B6B" w:rsidRDefault="00EF4063" w:rsidP="00ED6686">
      <w:pPr>
        <w:pStyle w:val="a3"/>
        <w:spacing w:before="0" w:beforeAutospacing="0" w:after="0" w:afterAutospacing="0" w:line="348" w:lineRule="auto"/>
        <w:ind w:firstLine="709"/>
        <w:jc w:val="both"/>
        <w:rPr>
          <w:sz w:val="28"/>
          <w:szCs w:val="28"/>
        </w:rPr>
      </w:pPr>
      <w:r w:rsidRPr="00F90B6B">
        <w:rPr>
          <w:sz w:val="28"/>
          <w:szCs w:val="28"/>
        </w:rPr>
        <w:t xml:space="preserve">Для досягнення даної мети було проведено проспективне клінічне спостереження та обстежено 146 хворих з ХСН. Всім хворим проводились клінічне дослідження, функціональне – електрокардіографія та ЕхоКГ, лабораторне, імуноферментне з дослідженням вмісту натрійуретичного пептиду та альдостерону, а також оцінювалась якість життя за Міннесотським опитувачем. Для порівняння було обстежено 30 практично здорових осіб. </w:t>
      </w:r>
    </w:p>
    <w:p w:rsidR="00EF4063" w:rsidRPr="00F90B6B" w:rsidRDefault="00EF4063" w:rsidP="00ED6686">
      <w:pPr>
        <w:spacing w:after="0" w:line="348" w:lineRule="auto"/>
        <w:ind w:firstLine="709"/>
        <w:jc w:val="both"/>
        <w:rPr>
          <w:rFonts w:ascii="Times New Roman" w:hAnsi="Times New Roman"/>
          <w:sz w:val="28"/>
          <w:szCs w:val="28"/>
          <w:lang w:eastAsia="ru-RU"/>
        </w:rPr>
      </w:pPr>
      <w:r w:rsidRPr="00F90B6B">
        <w:rPr>
          <w:rFonts w:ascii="Times New Roman" w:hAnsi="Times New Roman"/>
          <w:sz w:val="28"/>
          <w:szCs w:val="28"/>
        </w:rPr>
        <w:t>На першому етапі, зважаючи на завдання нашої роботи, пацієнти були розподілені на групи – з</w:t>
      </w:r>
      <w:r w:rsidRPr="00F90B6B">
        <w:rPr>
          <w:rFonts w:ascii="Times New Roman" w:hAnsi="Times New Roman"/>
          <w:sz w:val="28"/>
          <w:szCs w:val="28"/>
          <w:lang w:eastAsia="ru-RU"/>
        </w:rPr>
        <w:t xml:space="preserve"> ХСН та нормальною масою тіла (індекс маси тіла (ІМТ) – 18,5-24,9, 40 чол.), ХСН та надлишковою масою тіла (ІМТ – 25-30, 35 чол.), ХСН та </w:t>
      </w:r>
      <w:r w:rsidRPr="00F90B6B">
        <w:rPr>
          <w:rFonts w:ascii="Times New Roman" w:hAnsi="Times New Roman"/>
          <w:sz w:val="28"/>
          <w:szCs w:val="28"/>
          <w:lang w:eastAsia="ru-RU"/>
        </w:rPr>
        <w:lastRenderedPageBreak/>
        <w:t>ожирінням (ІМТ більше 30, 71 чол.). Відсоткове співвідношення досліджуваних груп наведено на рис. 3.2.1</w:t>
      </w:r>
    </w:p>
    <w:p w:rsidR="00BB305F" w:rsidRPr="00F90B6B" w:rsidRDefault="00BB305F" w:rsidP="00ED6686">
      <w:pPr>
        <w:shd w:val="clear" w:color="auto" w:fill="FFFFFF"/>
        <w:spacing w:after="0" w:line="348"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Як, бачимо, більшість пацієнтів з ХСН, включених в дослідження, за аналізу ІМТ мали надмірну вагу тіла або ожиріння. В контрольній групі співвідношення склало відповідно 43,3% (13 чол.- ІМТ 18,5-24,9), 36,7% (11 чол. - ІМТ 25-30) та 20,0% (6 чол. - ІМТ більше 30).</w:t>
      </w:r>
    </w:p>
    <w:p w:rsidR="00EF4063" w:rsidRPr="00F90B6B" w:rsidRDefault="006F7754" w:rsidP="00ED6686">
      <w:pPr>
        <w:spacing w:after="0" w:line="348" w:lineRule="auto"/>
        <w:ind w:firstLine="709"/>
        <w:jc w:val="both"/>
        <w:rPr>
          <w:rFonts w:ascii="Times New Roman" w:hAnsi="Times New Roman"/>
          <w:sz w:val="28"/>
          <w:szCs w:val="28"/>
          <w:lang w:eastAsia="ru-RU"/>
        </w:rPr>
      </w:pPr>
      <w:r w:rsidRPr="00BD2F09">
        <w:rPr>
          <w:rFonts w:ascii="Times New Roman" w:hAnsi="Times New Roman"/>
          <w:noProof/>
          <w:lang w:val="ru-RU" w:eastAsia="ru-RU"/>
        </w:rPr>
        <w:drawing>
          <wp:inline distT="0" distB="0" distL="0" distR="0">
            <wp:extent cx="5229225" cy="2733675"/>
            <wp:effectExtent l="0" t="0" r="0" b="0"/>
            <wp:docPr id="11"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F4063" w:rsidRPr="00F90B6B" w:rsidRDefault="00EF4063" w:rsidP="00ED6686">
      <w:pPr>
        <w:shd w:val="clear" w:color="auto" w:fill="FFFFFF"/>
        <w:spacing w:after="0" w:line="348" w:lineRule="auto"/>
        <w:ind w:firstLine="709"/>
        <w:rPr>
          <w:rFonts w:ascii="Times New Roman" w:hAnsi="Times New Roman"/>
          <w:sz w:val="28"/>
          <w:szCs w:val="28"/>
          <w:lang w:eastAsia="ru-RU"/>
        </w:rPr>
      </w:pPr>
      <w:r w:rsidRPr="00F90B6B">
        <w:rPr>
          <w:rFonts w:ascii="Times New Roman" w:hAnsi="Times New Roman"/>
          <w:b/>
          <w:sz w:val="28"/>
          <w:szCs w:val="28"/>
          <w:lang w:eastAsia="ru-RU"/>
        </w:rPr>
        <w:t xml:space="preserve">Рис. 3.2.1. </w:t>
      </w:r>
      <w:r w:rsidRPr="00F90B6B">
        <w:rPr>
          <w:rFonts w:ascii="Times New Roman" w:hAnsi="Times New Roman"/>
          <w:sz w:val="28"/>
          <w:szCs w:val="28"/>
          <w:lang w:eastAsia="ru-RU"/>
        </w:rPr>
        <w:t>Співвідношення хворих, включених в дослідження за індексом маси тіла.</w:t>
      </w:r>
    </w:p>
    <w:p w:rsidR="00ED6686" w:rsidRPr="007E797D" w:rsidRDefault="00EF4063" w:rsidP="00ED6686">
      <w:pPr>
        <w:shd w:val="clear" w:color="auto" w:fill="FFFFFF"/>
        <w:spacing w:after="0" w:line="336" w:lineRule="auto"/>
        <w:ind w:firstLine="709"/>
        <w:jc w:val="both"/>
        <w:rPr>
          <w:rFonts w:ascii="Times New Roman" w:hAnsi="Times New Roman"/>
          <w:sz w:val="28"/>
          <w:szCs w:val="28"/>
          <w:lang w:val="ru-RU" w:eastAsia="ru-RU"/>
        </w:rPr>
      </w:pPr>
      <w:r w:rsidRPr="00F90B6B">
        <w:rPr>
          <w:rFonts w:ascii="Times New Roman" w:hAnsi="Times New Roman"/>
          <w:sz w:val="28"/>
          <w:szCs w:val="28"/>
          <w:lang w:eastAsia="ru-RU"/>
        </w:rPr>
        <w:t xml:space="preserve">Наступним кроком була оцінка співвідношення клінічної вираженості ХСН за тестом з 6-хвилинною ходьбою, а також аналіз якості життя у обстежених пацієнтів залежності від такого фактора ризику як надмірна вага. Статистична оцінка проводилась за допомогою багатогрупового аналізу </w:t>
      </w:r>
      <w:r w:rsidRPr="00F90B6B">
        <w:rPr>
          <w:rFonts w:ascii="Times New Roman" w:hAnsi="Times New Roman"/>
          <w:sz w:val="28"/>
          <w:szCs w:val="28"/>
          <w:lang w:val="en-US" w:eastAsia="ru-RU"/>
        </w:rPr>
        <w:t>ANOVA</w:t>
      </w:r>
      <w:r w:rsidRPr="00F90B6B">
        <w:rPr>
          <w:rFonts w:ascii="Times New Roman" w:hAnsi="Times New Roman"/>
          <w:sz w:val="28"/>
          <w:szCs w:val="28"/>
          <w:lang w:eastAsia="ru-RU"/>
        </w:rPr>
        <w:t>, де код «1» відповідав ІМТ 18,5-24,9, код «2» - ІМТ 25-30 та код «3» - ІМТ більше 30. Дані наведені на рис. 3.2.2.</w:t>
      </w:r>
      <w:r w:rsidR="00ED6686" w:rsidRPr="00ED6686">
        <w:rPr>
          <w:rFonts w:ascii="Times New Roman" w:hAnsi="Times New Roman"/>
          <w:sz w:val="28"/>
          <w:szCs w:val="28"/>
          <w:lang w:eastAsia="ru-RU"/>
        </w:rPr>
        <w:t xml:space="preserve"> </w:t>
      </w:r>
    </w:p>
    <w:p w:rsidR="00ED6686" w:rsidRPr="00F90B6B" w:rsidRDefault="00ED6686" w:rsidP="00ED6686">
      <w:pPr>
        <w:shd w:val="clear" w:color="auto" w:fill="FFFFFF"/>
        <w:spacing w:after="0" w:line="336"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Встановлено зворотню залежність між рівнем переносимості фізичних навантажень та надлишком маси тіла у хворих з ХСН. Зокрема, при нормальній вазі тіла дистанція, що долалась за 6 хвилин становила, в середньому 387,1±28,4 м, при ІМТ 25-30 – 381,3±18,2 м, при ІМТ більше 30 – 368,8±22,4 м. Відповідний показник в контрольній групі становив 583,4±11,3 м. Тобто було виявлено вірогідне зниження толерантності до фізичного навантаження за наявності надлишкової ваги тіла як щодо контрольної групи, так і між пацієнтами з ІМТ більше 30 до хворих з ІМТ 18,5-24,9 та 25-30. Аналізуючи лінійну регресійну залежність, рис. 3.2.3.1, було </w:t>
      </w:r>
      <w:r w:rsidRPr="00F90B6B">
        <w:rPr>
          <w:rFonts w:ascii="Times New Roman" w:hAnsi="Times New Roman"/>
          <w:sz w:val="28"/>
          <w:szCs w:val="28"/>
          <w:lang w:eastAsia="ru-RU"/>
        </w:rPr>
        <w:lastRenderedPageBreak/>
        <w:t>отримано зворотній вірогідний кореляційний зв’язок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між толерантністю до фізичного навантаження та ІМТ.</w:t>
      </w:r>
    </w:p>
    <w:p w:rsidR="00EF4063" w:rsidRPr="00F90B6B" w:rsidRDefault="00EF4063" w:rsidP="00ED6686">
      <w:pPr>
        <w:shd w:val="clear" w:color="auto" w:fill="FFFFFF"/>
        <w:spacing w:after="0" w:line="348" w:lineRule="auto"/>
        <w:ind w:firstLine="709"/>
        <w:jc w:val="both"/>
        <w:rPr>
          <w:rFonts w:ascii="Times New Roman" w:hAnsi="Times New Roman"/>
          <w:sz w:val="28"/>
          <w:szCs w:val="28"/>
          <w:lang w:eastAsia="ru-RU"/>
        </w:rPr>
      </w:pPr>
    </w:p>
    <w:tbl>
      <w:tblPr>
        <w:tblW w:w="0" w:type="auto"/>
        <w:tblLook w:val="00A0" w:firstRow="1" w:lastRow="0" w:firstColumn="1" w:lastColumn="0" w:noHBand="0" w:noVBand="0"/>
      </w:tblPr>
      <w:tblGrid>
        <w:gridCol w:w="5359"/>
        <w:gridCol w:w="5062"/>
      </w:tblGrid>
      <w:tr w:rsidR="00EF4063" w:rsidRPr="00F90B6B" w:rsidTr="0076299F">
        <w:tc>
          <w:tcPr>
            <w:tcW w:w="4927"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rPr>
              <w:object w:dxaOrig="5205" w:dyaOrig="3885">
                <v:shape id="_x0000_i1032" type="#_x0000_t75" style="width:260.25pt;height:194.25pt" o:ole="">
                  <v:imagedata r:id="rId41" o:title=""/>
                </v:shape>
                <o:OLEObject Type="Embed" ProgID="STATISTICA.Graph" ShapeID="_x0000_i1032" DrawAspect="Content" ObjectID="_1624460757" r:id="rId42">
                  <o:FieldCodes>\s</o:FieldCodes>
                </o:OLEObject>
              </w:object>
            </w:r>
          </w:p>
        </w:tc>
        <w:tc>
          <w:tcPr>
            <w:tcW w:w="4928"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rPr>
              <w:object w:dxaOrig="4905" w:dyaOrig="3690">
                <v:shape id="_x0000_i1033" type="#_x0000_t75" style="width:245.25pt;height:184.5pt" o:ole="">
                  <v:imagedata r:id="rId43" o:title=""/>
                </v:shape>
                <o:OLEObject Type="Embed" ProgID="STATISTICA.Graph" ShapeID="_x0000_i1033" DrawAspect="Content" ObjectID="_1624460758" r:id="rId44">
                  <o:FieldCodes>\s</o:FieldCodes>
                </o:OLEObject>
              </w:object>
            </w:r>
          </w:p>
        </w:tc>
      </w:tr>
      <w:tr w:rsidR="00EF4063" w:rsidRPr="00F90B6B" w:rsidTr="0076299F">
        <w:tc>
          <w:tcPr>
            <w:tcW w:w="4927" w:type="dxa"/>
            <w:vAlign w:val="center"/>
          </w:tcPr>
          <w:p w:rsidR="00EF4063" w:rsidRPr="00F90B6B" w:rsidRDefault="00EF4063" w:rsidP="00BB305F">
            <w:pPr>
              <w:spacing w:after="0" w:line="312"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3.2.2.1. </w:t>
            </w:r>
            <w:r w:rsidRPr="00F90B6B">
              <w:rPr>
                <w:rFonts w:ascii="Times New Roman" w:hAnsi="Times New Roman"/>
                <w:sz w:val="28"/>
                <w:szCs w:val="28"/>
                <w:lang w:eastAsia="ru-RU"/>
              </w:rPr>
              <w:t>Толерантність до фізичного навантаження у пацієнтів з серцевою недостатністю залежно від індексу маси тіла.</w:t>
            </w:r>
          </w:p>
        </w:tc>
        <w:tc>
          <w:tcPr>
            <w:tcW w:w="4928" w:type="dxa"/>
          </w:tcPr>
          <w:p w:rsidR="00EF4063" w:rsidRPr="00F90B6B" w:rsidRDefault="00EF4063" w:rsidP="00BB305F">
            <w:pPr>
              <w:spacing w:after="0" w:line="312" w:lineRule="auto"/>
              <w:jc w:val="both"/>
              <w:rPr>
                <w:rFonts w:ascii="Times New Roman" w:hAnsi="Times New Roman"/>
                <w:sz w:val="28"/>
                <w:szCs w:val="28"/>
                <w:lang w:eastAsia="ru-RU"/>
              </w:rPr>
            </w:pPr>
            <w:r w:rsidRPr="00F90B6B">
              <w:rPr>
                <w:rFonts w:ascii="Times New Roman" w:hAnsi="Times New Roman"/>
                <w:b/>
                <w:sz w:val="28"/>
                <w:szCs w:val="28"/>
                <w:lang w:eastAsia="ru-RU"/>
              </w:rPr>
              <w:t>Рис. 3.2.2.2.</w:t>
            </w:r>
            <w:r w:rsidRPr="00F90B6B">
              <w:rPr>
                <w:rFonts w:ascii="Times New Roman" w:hAnsi="Times New Roman"/>
                <w:sz w:val="28"/>
                <w:szCs w:val="28"/>
                <w:lang w:eastAsia="ru-RU"/>
              </w:rPr>
              <w:t xml:space="preserve"> Якість життя у пацієнтів з серцевою недостатністю залежно від індексу маси тіла.</w:t>
            </w:r>
          </w:p>
        </w:tc>
      </w:tr>
    </w:tbl>
    <w:p w:rsidR="00ED6686" w:rsidRPr="007E797D" w:rsidRDefault="00EF4063" w:rsidP="00ED6686">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Відносно якості життя за Міннесотським опитувальником були отримані подібні результати – обмеження фізичних можливостей та психічного стану за рахунок проявів ХСН при більшій вазі пацієнта було вірогідно вищим та становило 14,4±8,6 (ІМТ 18,5-24,9), 24,9±15,6 (ІМТ 25-30, р&lt;0,05) та 28,4±13,2 (ІМТ більше 30, р&lt;0,05), тобто точкою переходу в даному випадку був ІМТ 25,0. Дані лінійного регресійного аналізу наведені на рис. 3.2.3.2. Встановлено прямий позитивний кореляційний зв’язок між підвищенням ІМТ та зростанням фізичного та психологічного дискомфорту і, відповідно, погіршення якості життя у хворих з ХСН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=0,39,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00ED6686" w:rsidRPr="00ED6686">
        <w:rPr>
          <w:rFonts w:ascii="Times New Roman" w:hAnsi="Times New Roman"/>
          <w:sz w:val="28"/>
          <w:szCs w:val="28"/>
          <w:lang w:eastAsia="ru-RU"/>
        </w:rPr>
        <w:t xml:space="preserve"> </w:t>
      </w:r>
    </w:p>
    <w:p w:rsidR="00ED6686" w:rsidRPr="00ED6686" w:rsidRDefault="00ED6686" w:rsidP="00ED6686">
      <w:pPr>
        <w:shd w:val="clear" w:color="auto" w:fill="FFFFFF"/>
        <w:spacing w:after="0" w:line="360" w:lineRule="auto"/>
        <w:ind w:firstLine="709"/>
        <w:jc w:val="both"/>
        <w:rPr>
          <w:rFonts w:ascii="Times New Roman" w:hAnsi="Times New Roman"/>
          <w:sz w:val="28"/>
          <w:szCs w:val="28"/>
          <w:lang w:val="ru-RU" w:eastAsia="ru-RU"/>
        </w:rPr>
      </w:pPr>
      <w:r w:rsidRPr="00F90B6B">
        <w:rPr>
          <w:rFonts w:ascii="Times New Roman" w:hAnsi="Times New Roman"/>
          <w:sz w:val="28"/>
          <w:szCs w:val="28"/>
          <w:lang w:eastAsia="ru-RU"/>
        </w:rPr>
        <w:t>Наступним кроком був аналіз лабораторних показників, зокрема ліпідного спектру у пацієнтів з ХСН залежно від ступені надлишкової ваги</w:t>
      </w:r>
      <w:r>
        <w:rPr>
          <w:rFonts w:ascii="Times New Roman" w:hAnsi="Times New Roman"/>
          <w:sz w:val="28"/>
          <w:szCs w:val="28"/>
          <w:lang w:val="ru-RU" w:eastAsia="ru-RU"/>
        </w:rPr>
        <w:t>.</w:t>
      </w:r>
    </w:p>
    <w:p w:rsidR="00ED6686" w:rsidRPr="00F90B6B" w:rsidRDefault="00ED6686" w:rsidP="00ED6686">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Дослідженню піддавався рівень холестерину, ліпопротеїдів низької та дуже низької щільності, ліпопротеїдів високої щільності, а також тригліцеридів при попередній градації хворих за рівнем ІМТ. Отримані дані наведені на рис. 3.2.4.-3.2.6.</w:t>
      </w:r>
    </w:p>
    <w:tbl>
      <w:tblPr>
        <w:tblW w:w="0" w:type="auto"/>
        <w:tblLook w:val="00A0" w:firstRow="1" w:lastRow="0" w:firstColumn="1" w:lastColumn="0" w:noHBand="0" w:noVBand="0"/>
      </w:tblPr>
      <w:tblGrid>
        <w:gridCol w:w="4902"/>
        <w:gridCol w:w="25"/>
        <w:gridCol w:w="4928"/>
      </w:tblGrid>
      <w:tr w:rsidR="00EF4063" w:rsidRPr="00F90B6B" w:rsidTr="0076299F">
        <w:tc>
          <w:tcPr>
            <w:tcW w:w="4927" w:type="dxa"/>
            <w:gridSpan w:val="2"/>
            <w:vAlign w:val="center"/>
          </w:tcPr>
          <w:p w:rsidR="00EF4063" w:rsidRPr="00F90B6B" w:rsidRDefault="00EF4063" w:rsidP="00BB305F">
            <w:pPr>
              <w:spacing w:after="0" w:line="336" w:lineRule="auto"/>
              <w:jc w:val="center"/>
              <w:rPr>
                <w:rFonts w:ascii="Times New Roman" w:hAnsi="Times New Roman"/>
                <w:sz w:val="28"/>
                <w:szCs w:val="28"/>
                <w:lang w:eastAsia="ru-RU"/>
              </w:rPr>
            </w:pPr>
            <w:r w:rsidRPr="00F90B6B">
              <w:rPr>
                <w:rFonts w:ascii="Times New Roman" w:hAnsi="Times New Roman"/>
              </w:rPr>
              <w:object w:dxaOrig="4530" w:dyaOrig="3375">
                <v:shape id="_x0000_i1034" type="#_x0000_t75" style="width:226.5pt;height:168.75pt" o:ole="">
                  <v:imagedata r:id="rId45" o:title=""/>
                </v:shape>
                <o:OLEObject Type="Embed" ProgID="STATISTICA.Graph" ShapeID="_x0000_i1034" DrawAspect="Content" ObjectID="_1624460759" r:id="rId46">
                  <o:FieldCodes>\s</o:FieldCodes>
                </o:OLEObject>
              </w:object>
            </w:r>
          </w:p>
        </w:tc>
        <w:tc>
          <w:tcPr>
            <w:tcW w:w="4928" w:type="dxa"/>
            <w:vAlign w:val="center"/>
          </w:tcPr>
          <w:p w:rsidR="00EF4063" w:rsidRPr="00F90B6B" w:rsidRDefault="00EF4063" w:rsidP="00BB305F">
            <w:pPr>
              <w:spacing w:after="0" w:line="336" w:lineRule="auto"/>
              <w:jc w:val="center"/>
              <w:rPr>
                <w:rFonts w:ascii="Times New Roman" w:hAnsi="Times New Roman"/>
                <w:sz w:val="28"/>
                <w:szCs w:val="28"/>
                <w:lang w:eastAsia="ru-RU"/>
              </w:rPr>
            </w:pPr>
            <w:r w:rsidRPr="00F90B6B">
              <w:rPr>
                <w:rFonts w:ascii="Times New Roman" w:hAnsi="Times New Roman"/>
              </w:rPr>
              <w:object w:dxaOrig="4590" w:dyaOrig="3450">
                <v:shape id="_x0000_i1035" type="#_x0000_t75" style="width:229.5pt;height:172.5pt" o:ole="">
                  <v:imagedata r:id="rId47" o:title=""/>
                </v:shape>
                <o:OLEObject Type="Embed" ProgID="STATISTICA.Graph" ShapeID="_x0000_i1035" DrawAspect="Content" ObjectID="_1624460760" r:id="rId48">
                  <o:FieldCodes>\s</o:FieldCodes>
                </o:OLEObject>
              </w:object>
            </w:r>
          </w:p>
        </w:tc>
      </w:tr>
      <w:tr w:rsidR="00EF4063" w:rsidRPr="00F90B6B" w:rsidTr="0076299F">
        <w:tc>
          <w:tcPr>
            <w:tcW w:w="4927" w:type="dxa"/>
            <w:gridSpan w:val="2"/>
            <w:vAlign w:val="center"/>
          </w:tcPr>
          <w:p w:rsidR="00EF4063" w:rsidRPr="00F90B6B" w:rsidRDefault="00EF4063" w:rsidP="00BB305F">
            <w:pPr>
              <w:spacing w:after="0" w:line="360" w:lineRule="auto"/>
              <w:rPr>
                <w:rFonts w:ascii="Times New Roman" w:hAnsi="Times New Roman"/>
                <w:sz w:val="28"/>
                <w:szCs w:val="28"/>
                <w:lang w:eastAsia="ru-RU"/>
              </w:rPr>
            </w:pPr>
            <w:r w:rsidRPr="00F90B6B">
              <w:rPr>
                <w:rFonts w:ascii="Times New Roman" w:hAnsi="Times New Roman"/>
                <w:b/>
                <w:sz w:val="28"/>
                <w:szCs w:val="28"/>
                <w:lang w:eastAsia="ru-RU"/>
              </w:rPr>
              <w:t xml:space="preserve">Рис. 3.2.3.1. </w:t>
            </w:r>
            <w:r w:rsidRPr="00F90B6B">
              <w:rPr>
                <w:rFonts w:ascii="Times New Roman" w:hAnsi="Times New Roman"/>
                <w:sz w:val="28"/>
                <w:szCs w:val="28"/>
                <w:lang w:eastAsia="ru-RU"/>
              </w:rPr>
              <w:t>Кореляційний зв’язок між толерантністю до фізичного навантаження та індексом маси тіла у пацієнтів з серцевою недостатністю.</w:t>
            </w:r>
          </w:p>
        </w:tc>
        <w:tc>
          <w:tcPr>
            <w:tcW w:w="4928" w:type="dxa"/>
          </w:tcPr>
          <w:p w:rsidR="00EF4063" w:rsidRPr="00F90B6B" w:rsidRDefault="00EF4063" w:rsidP="00BB305F">
            <w:pPr>
              <w:spacing w:after="0" w:line="360" w:lineRule="auto"/>
              <w:rPr>
                <w:rFonts w:ascii="Times New Roman" w:hAnsi="Times New Roman"/>
                <w:sz w:val="28"/>
                <w:szCs w:val="28"/>
                <w:lang w:eastAsia="ru-RU"/>
              </w:rPr>
            </w:pPr>
            <w:r w:rsidRPr="00F90B6B">
              <w:rPr>
                <w:rFonts w:ascii="Times New Roman" w:hAnsi="Times New Roman"/>
                <w:b/>
                <w:sz w:val="28"/>
                <w:szCs w:val="28"/>
                <w:lang w:eastAsia="ru-RU"/>
              </w:rPr>
              <w:t>Рис. 3.2.3.2.</w:t>
            </w:r>
            <w:r w:rsidRPr="00F90B6B">
              <w:rPr>
                <w:rFonts w:ascii="Times New Roman" w:hAnsi="Times New Roman"/>
                <w:sz w:val="28"/>
                <w:szCs w:val="28"/>
                <w:lang w:eastAsia="ru-RU"/>
              </w:rPr>
              <w:t xml:space="preserve"> Кореляційний зв’язок між балами за MMPI та індексом маси тіла у пацієнтів з серцевою недостатністю.</w:t>
            </w:r>
          </w:p>
        </w:tc>
      </w:tr>
      <w:tr w:rsidR="00EF4063" w:rsidRPr="00F90B6B" w:rsidTr="0076299F">
        <w:tc>
          <w:tcPr>
            <w:tcW w:w="4902"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rPr>
              <w:object w:dxaOrig="4650" w:dyaOrig="3480">
                <v:shape id="_x0000_i1036" type="#_x0000_t75" style="width:232.5pt;height:174pt" o:ole="">
                  <v:imagedata r:id="rId49" o:title=""/>
                </v:shape>
                <o:OLEObject Type="Embed" ProgID="STATISTICA.Graph" ShapeID="_x0000_i1036" DrawAspect="Content" ObjectID="_1624460761" r:id="rId50">
                  <o:FieldCodes>\s</o:FieldCodes>
                </o:OLEObject>
              </w:object>
            </w:r>
          </w:p>
        </w:tc>
        <w:tc>
          <w:tcPr>
            <w:tcW w:w="4953" w:type="dxa"/>
            <w:gridSpan w:val="2"/>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rPr>
              <w:object w:dxaOrig="4710" w:dyaOrig="3540">
                <v:shape id="_x0000_i1037" type="#_x0000_t75" style="width:235.5pt;height:177pt" o:ole="">
                  <v:imagedata r:id="rId51" o:title=""/>
                </v:shape>
                <o:OLEObject Type="Embed" ProgID="STATISTICA.Graph" ShapeID="_x0000_i1037" DrawAspect="Content" ObjectID="_1624460762" r:id="rId52">
                  <o:FieldCodes>\s</o:FieldCodes>
                </o:OLEObject>
              </w:object>
            </w:r>
          </w:p>
        </w:tc>
      </w:tr>
      <w:tr w:rsidR="00EF4063" w:rsidRPr="00F90B6B" w:rsidTr="0076299F">
        <w:tc>
          <w:tcPr>
            <w:tcW w:w="4902" w:type="dxa"/>
            <w:vAlign w:val="center"/>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Рис. 3.2.4.1.</w:t>
            </w:r>
            <w:r w:rsidRPr="00F90B6B">
              <w:rPr>
                <w:rFonts w:ascii="Times New Roman" w:hAnsi="Times New Roman"/>
                <w:sz w:val="28"/>
                <w:szCs w:val="28"/>
                <w:lang w:eastAsia="ru-RU"/>
              </w:rPr>
              <w:t xml:space="preserve"> Рівень холестерину у пацієнтів з серцевою недостатністю залежно від індексу маси тіла.</w:t>
            </w:r>
          </w:p>
        </w:tc>
        <w:tc>
          <w:tcPr>
            <w:tcW w:w="4953" w:type="dxa"/>
            <w:gridSpan w:val="2"/>
            <w:vAlign w:val="center"/>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Рис. 3.2.4.2.</w:t>
            </w:r>
            <w:r w:rsidRPr="00F90B6B">
              <w:rPr>
                <w:rFonts w:ascii="Times New Roman" w:hAnsi="Times New Roman"/>
                <w:sz w:val="28"/>
                <w:szCs w:val="28"/>
                <w:lang w:eastAsia="ru-RU"/>
              </w:rPr>
              <w:t xml:space="preserve"> Рівень тригліцеридів у пацієнтів з серцевою недостатністю залежно від індексу маси тіла.</w:t>
            </w:r>
          </w:p>
        </w:tc>
      </w:tr>
    </w:tbl>
    <w:p w:rsidR="00BB305F" w:rsidRPr="00F90B6B" w:rsidRDefault="00BB305F" w:rsidP="00F0048B">
      <w:pPr>
        <w:shd w:val="clear" w:color="auto" w:fill="FFFFFF"/>
        <w:spacing w:after="0" w:line="360" w:lineRule="auto"/>
        <w:ind w:firstLine="709"/>
        <w:jc w:val="both"/>
        <w:rPr>
          <w:rFonts w:ascii="Times New Roman" w:hAnsi="Times New Roman"/>
          <w:sz w:val="28"/>
          <w:szCs w:val="28"/>
          <w:lang w:val="ru-RU" w:eastAsia="ru-RU"/>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Було доведено наявність вірогідно більшого рівня холестерину (4,99±0,93 проти 5,54±1,20 та 5,45±1,16 ммоль/л,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тригліцеридів (1,19±0,36 проти 1,58±0,59 та 1,67±0,72 ммоль/л,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рис. 3.2.4., а також проатерогенної фракції ліпопротеідів – ЛПНЩ (2,68±0,57 проти 3,39±1,14 та 3,40±1,12ммоль/л,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та ЛПДНЩ (0,58±0,17 проти 0,70±0,18 та 0,78±0,22 ммоль/л,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у пацієнтів з ХСН та ІМТ більше 25, рис. 3.2.5. Причому, за всіма параметрами ліпідограми, вірогідної різниці між групами з ІМТ 25-30 та ІМТ більше 30 в нашому дослідженні не </w:t>
      </w:r>
      <w:r w:rsidRPr="00F90B6B">
        <w:rPr>
          <w:rFonts w:ascii="Times New Roman" w:hAnsi="Times New Roman"/>
          <w:sz w:val="28"/>
          <w:szCs w:val="28"/>
          <w:lang w:eastAsia="ru-RU"/>
        </w:rPr>
        <w:lastRenderedPageBreak/>
        <w:t>встановлено, тобто для хворих з ХСН перехідною точкою ризику слід вважати ІМТ 25.</w:t>
      </w:r>
    </w:p>
    <w:tbl>
      <w:tblPr>
        <w:tblW w:w="0" w:type="auto"/>
        <w:tblLook w:val="00A0" w:firstRow="1" w:lastRow="0" w:firstColumn="1" w:lastColumn="0" w:noHBand="0" w:noVBand="0"/>
      </w:tblPr>
      <w:tblGrid>
        <w:gridCol w:w="4993"/>
        <w:gridCol w:w="4862"/>
      </w:tblGrid>
      <w:tr w:rsidR="00EF4063" w:rsidRPr="00F90B6B" w:rsidTr="0076299F">
        <w:tc>
          <w:tcPr>
            <w:tcW w:w="4993"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4770" w:dyaOrig="3585">
                <v:shape id="_x0000_i1040" type="#_x0000_t75" style="width:238.5pt;height:179.25pt" o:ole="">
                  <v:imagedata r:id="rId53" o:title=""/>
                </v:shape>
                <o:OLEObject Type="Embed" ProgID="STATISTICA.Graph" ShapeID="_x0000_i1040" DrawAspect="Content" ObjectID="_1624460763" r:id="rId54">
                  <o:FieldCodes>\s</o:FieldCodes>
                </o:OLEObject>
              </w:object>
            </w:r>
          </w:p>
        </w:tc>
        <w:tc>
          <w:tcPr>
            <w:tcW w:w="4862"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4590" w:dyaOrig="3450">
                <v:shape id="_x0000_i1041" type="#_x0000_t75" style="width:229.5pt;height:172.5pt" o:ole="">
                  <v:imagedata r:id="rId55" o:title=""/>
                </v:shape>
                <o:OLEObject Type="Embed" ProgID="STATISTICA.Graph" ShapeID="_x0000_i1041" DrawAspect="Content" ObjectID="_1624460764" r:id="rId56">
                  <o:FieldCodes>\s</o:FieldCodes>
                </o:OLEObject>
              </w:object>
            </w:r>
          </w:p>
        </w:tc>
      </w:tr>
      <w:tr w:rsidR="00EF4063" w:rsidRPr="00F90B6B" w:rsidTr="0076299F">
        <w:tc>
          <w:tcPr>
            <w:tcW w:w="4993" w:type="dxa"/>
            <w:vAlign w:val="center"/>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Рис. 3.2.5.1.</w:t>
            </w:r>
            <w:r w:rsidRPr="00F90B6B">
              <w:rPr>
                <w:rFonts w:ascii="Times New Roman" w:hAnsi="Times New Roman"/>
                <w:sz w:val="28"/>
                <w:szCs w:val="28"/>
                <w:lang w:eastAsia="ru-RU"/>
              </w:rPr>
              <w:t xml:space="preserve"> Рівень ЛПНЩ у пацієнтів з серцевою недостатністю залежно від індексу маси тіла.</w:t>
            </w:r>
          </w:p>
        </w:tc>
        <w:tc>
          <w:tcPr>
            <w:tcW w:w="4862" w:type="dxa"/>
            <w:vAlign w:val="center"/>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Рис. 3.2.5.2.</w:t>
            </w:r>
            <w:r w:rsidRPr="00F90B6B">
              <w:rPr>
                <w:rFonts w:ascii="Times New Roman" w:hAnsi="Times New Roman"/>
                <w:sz w:val="28"/>
                <w:szCs w:val="28"/>
                <w:lang w:eastAsia="ru-RU"/>
              </w:rPr>
              <w:t xml:space="preserve"> Рівень ЛПДНЩ у пацієнтів з серцевою недостатністю залежно від індексу маси тіла.</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Зворотню залежність було виявлено для вмісту ЛПВЩ – антиатерогенної фракції ліпопротеїдів, з вірогідно вищими значення у пацієнтів, які мали ІМТ до 25 (1,38±0,27 ммоль/л,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при порівнянні з надлишковою масою та ожирінням, проте не виявлено вірогідної різниці між ІМТ 25-30 (1,32±0,29 ммоль/л) та більше 30 (1,32±0,28 ммоль/л, </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&gt;0,05), рис. 3.2.6.1.</w:t>
      </w:r>
    </w:p>
    <w:tbl>
      <w:tblPr>
        <w:tblW w:w="0" w:type="auto"/>
        <w:tblLook w:val="00A0" w:firstRow="1" w:lastRow="0" w:firstColumn="1" w:lastColumn="0" w:noHBand="0" w:noVBand="0"/>
      </w:tblPr>
      <w:tblGrid>
        <w:gridCol w:w="4971"/>
        <w:gridCol w:w="4886"/>
      </w:tblGrid>
      <w:tr w:rsidR="00EF4063" w:rsidRPr="00F90B6B" w:rsidTr="0076299F">
        <w:tc>
          <w:tcPr>
            <w:tcW w:w="4969"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rPr>
              <w:object w:dxaOrig="4755" w:dyaOrig="3585">
                <v:shape id="_x0000_i1042" type="#_x0000_t75" style="width:237.75pt;height:179.25pt" o:ole="">
                  <v:imagedata r:id="rId57" o:title=""/>
                </v:shape>
                <o:OLEObject Type="Embed" ProgID="STATISTICA.Graph" ShapeID="_x0000_i1042" DrawAspect="Content" ObjectID="_1624460765" r:id="rId58">
                  <o:FieldCodes>\s</o:FieldCodes>
                </o:OLEObject>
              </w:object>
            </w:r>
          </w:p>
        </w:tc>
        <w:tc>
          <w:tcPr>
            <w:tcW w:w="4886"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rPr>
              <w:object w:dxaOrig="4620" w:dyaOrig="3465">
                <v:shape id="_x0000_i1043" type="#_x0000_t75" style="width:231pt;height:173.25pt" o:ole="">
                  <v:imagedata r:id="rId59" o:title=""/>
                </v:shape>
                <o:OLEObject Type="Embed" ProgID="STATISTICA.Graph" ShapeID="_x0000_i1043" DrawAspect="Content" ObjectID="_1624460766" r:id="rId60">
                  <o:FieldCodes>\s</o:FieldCodes>
                </o:OLEObject>
              </w:object>
            </w:r>
          </w:p>
        </w:tc>
      </w:tr>
      <w:tr w:rsidR="00EF4063" w:rsidRPr="00F90B6B" w:rsidTr="0076299F">
        <w:tc>
          <w:tcPr>
            <w:tcW w:w="4969" w:type="dxa"/>
            <w:vAlign w:val="center"/>
          </w:tcPr>
          <w:p w:rsidR="00EF4063" w:rsidRPr="00F90B6B" w:rsidRDefault="00EF4063" w:rsidP="00F0048B">
            <w:pPr>
              <w:spacing w:after="0" w:line="360" w:lineRule="auto"/>
              <w:rPr>
                <w:rFonts w:ascii="Times New Roman" w:hAnsi="Times New Roman"/>
                <w:sz w:val="28"/>
                <w:szCs w:val="28"/>
                <w:lang w:eastAsia="ru-RU"/>
              </w:rPr>
            </w:pPr>
            <w:r w:rsidRPr="00F90B6B">
              <w:rPr>
                <w:rFonts w:ascii="Times New Roman" w:hAnsi="Times New Roman"/>
                <w:b/>
                <w:sz w:val="28"/>
                <w:szCs w:val="28"/>
                <w:lang w:eastAsia="ru-RU"/>
              </w:rPr>
              <w:t>Рис. 3.2.6.1.</w:t>
            </w:r>
            <w:r w:rsidRPr="00F90B6B">
              <w:rPr>
                <w:rFonts w:ascii="Times New Roman" w:hAnsi="Times New Roman"/>
                <w:sz w:val="28"/>
                <w:szCs w:val="28"/>
                <w:lang w:eastAsia="ru-RU"/>
              </w:rPr>
              <w:t xml:space="preserve"> Рівень ЛПВЩ у пацієнтів з серцевою недостатністю залежно від індексу маси тіла.</w:t>
            </w:r>
          </w:p>
        </w:tc>
        <w:tc>
          <w:tcPr>
            <w:tcW w:w="4886" w:type="dxa"/>
            <w:vAlign w:val="center"/>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Рис. 3.2.6.1.</w:t>
            </w:r>
            <w:r w:rsidRPr="00F90B6B">
              <w:rPr>
                <w:rFonts w:ascii="Times New Roman" w:hAnsi="Times New Roman"/>
                <w:sz w:val="28"/>
                <w:szCs w:val="28"/>
                <w:lang w:eastAsia="ru-RU"/>
              </w:rPr>
              <w:t xml:space="preserve"> Індекс атерогенності у пацієнтів з серцевою недостатністю залежно від індексу маси тіла.</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lastRenderedPageBreak/>
        <w:t>Індекс атерогенності, що являє собою співвідношення між рівнем холестерину та вмістом ЛПВЩ наведений на рис. 3.2.6.2. Показник становив 2,71±1,0 ОД в групі з ХСН та ІМТ 18,5-24,9, що вкладається в межі цільових значень. В групах з ІМТ 25-30 та більше 30 значення індекс атерогенності сягало 3,37±1,15 та 3,18±1,16 ОД, що було вірогідно вище, ніж в підгрупі 1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 групі контролю вміст ХС становив 5,03±0,89 ммоль/л, ЛПНЩ – 2,75±0,83 ммоль/л, ЛПДНЩ – 0,65±0,17 ммоль/л, тригліцеридів – 1,23±0,40 ммоль/л, ЛПВЩ – 1,36±0,28 ммоль/л, що вірогідно не відрізнялось від групи з ІМТ до 25.</w:t>
      </w:r>
    </w:p>
    <w:p w:rsidR="00EF4063" w:rsidRPr="00F90B6B" w:rsidRDefault="00EF4063" w:rsidP="001B6B2E">
      <w:pPr>
        <w:shd w:val="clear" w:color="auto" w:fill="FFFFFF"/>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lang w:eastAsia="ru-RU"/>
        </w:rPr>
        <w:t>Ряд інших загальноклінічних показників наведений в таблиці 3.2.1.</w:t>
      </w:r>
      <w:r w:rsidRPr="00F90B6B">
        <w:rPr>
          <w:rFonts w:ascii="Times New Roman" w:hAnsi="Times New Roman"/>
          <w:sz w:val="28"/>
          <w:szCs w:val="28"/>
        </w:rPr>
        <w:t xml:space="preserve"> </w:t>
      </w:r>
    </w:p>
    <w:p w:rsidR="00EF4063" w:rsidRPr="00F90B6B" w:rsidRDefault="00EF4063" w:rsidP="001B6B2E">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Як бачимо, було встановлено вірогідну різницю щодо рівня креатиніну з більшими значеннями у хворих з ХСН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xml:space="preserve">, рівня ранішньої глікемії залежно від величини ІМТ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&lt;0,05)</w:t>
      </w:r>
      <w:r w:rsidRPr="00F90B6B">
        <w:rPr>
          <w:rFonts w:ascii="Times New Roman" w:hAnsi="Times New Roman"/>
          <w:sz w:val="28"/>
          <w:szCs w:val="28"/>
        </w:rPr>
        <w:t xml:space="preserve">, а також вмісту печінковоспецифічних ферментів – АсАТ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&lt;0,05)</w:t>
      </w:r>
      <w:r w:rsidRPr="00F90B6B">
        <w:rPr>
          <w:rFonts w:ascii="Times New Roman" w:hAnsi="Times New Roman"/>
          <w:sz w:val="28"/>
          <w:szCs w:val="28"/>
        </w:rPr>
        <w:t xml:space="preserve"> та АлАТ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 xml:space="preserve">&lt;0,05) </w:t>
      </w:r>
      <w:r w:rsidRPr="00F90B6B">
        <w:rPr>
          <w:rFonts w:ascii="Times New Roman" w:hAnsi="Times New Roman"/>
          <w:sz w:val="28"/>
          <w:szCs w:val="28"/>
        </w:rPr>
        <w:t>у пацієнтів з надмірною вагою та ХСН.</w:t>
      </w:r>
    </w:p>
    <w:p w:rsidR="00EF4063" w:rsidRPr="00F90B6B" w:rsidRDefault="00EF4063" w:rsidP="00F0048B">
      <w:pPr>
        <w:shd w:val="clear" w:color="auto" w:fill="FFFFFF"/>
        <w:spacing w:after="0" w:line="360" w:lineRule="auto"/>
        <w:ind w:firstLine="709"/>
        <w:jc w:val="right"/>
        <w:rPr>
          <w:rFonts w:ascii="Times New Roman" w:hAnsi="Times New Roman"/>
          <w:i/>
          <w:sz w:val="28"/>
          <w:szCs w:val="28"/>
          <w:lang w:eastAsia="ru-RU"/>
        </w:rPr>
      </w:pPr>
      <w:r w:rsidRPr="00F90B6B">
        <w:rPr>
          <w:rFonts w:ascii="Times New Roman" w:hAnsi="Times New Roman"/>
          <w:i/>
          <w:sz w:val="28"/>
          <w:szCs w:val="28"/>
          <w:lang w:eastAsia="ru-RU"/>
        </w:rPr>
        <w:t>Таблиця 3.2.1</w:t>
      </w:r>
    </w:p>
    <w:p w:rsidR="00EF4063" w:rsidRPr="00F90B6B" w:rsidRDefault="00EF4063" w:rsidP="00F0048B">
      <w:pPr>
        <w:shd w:val="clear" w:color="auto" w:fill="FFFFFF"/>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Загальноклінічні лабораторні показники у пацієнтів з хронічною серцевою недостатністю залежно від ІМТ та в групі контролю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1"/>
        <w:gridCol w:w="1971"/>
        <w:gridCol w:w="1971"/>
        <w:gridCol w:w="1971"/>
        <w:gridCol w:w="1971"/>
      </w:tblGrid>
      <w:tr w:rsidR="00EF4063" w:rsidRPr="00F90B6B" w:rsidTr="0076299F">
        <w:tc>
          <w:tcPr>
            <w:tcW w:w="1971" w:type="dxa"/>
            <w:vAlign w:val="center"/>
          </w:tcPr>
          <w:p w:rsidR="00EF4063" w:rsidRPr="00F90B6B" w:rsidRDefault="00EF4063" w:rsidP="001B6B2E">
            <w:pPr>
              <w:spacing w:after="0" w:line="240" w:lineRule="auto"/>
              <w:jc w:val="center"/>
              <w:rPr>
                <w:rFonts w:ascii="Times New Roman" w:hAnsi="Times New Roman"/>
                <w:b/>
                <w:sz w:val="28"/>
                <w:szCs w:val="28"/>
              </w:rPr>
            </w:pPr>
            <w:r w:rsidRPr="00F90B6B">
              <w:rPr>
                <w:rFonts w:ascii="Times New Roman" w:hAnsi="Times New Roman"/>
                <w:b/>
                <w:sz w:val="28"/>
                <w:szCs w:val="28"/>
                <w:lang w:eastAsia="ru-RU"/>
              </w:rPr>
              <w:t>Показник</w:t>
            </w:r>
          </w:p>
        </w:tc>
        <w:tc>
          <w:tcPr>
            <w:tcW w:w="1971" w:type="dxa"/>
            <w:vAlign w:val="center"/>
          </w:tcPr>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rPr>
              <w:t>Контроль</w:t>
            </w:r>
          </w:p>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lang w:val="en-US"/>
              </w:rPr>
              <w:t>n=30</w:t>
            </w:r>
          </w:p>
        </w:tc>
        <w:tc>
          <w:tcPr>
            <w:tcW w:w="1971" w:type="dxa"/>
            <w:vAlign w:val="center"/>
          </w:tcPr>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rPr>
              <w:t>ІМТ 18,5-24,9</w:t>
            </w:r>
          </w:p>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lang w:val="en-US"/>
              </w:rPr>
              <w:t>n=</w:t>
            </w:r>
            <w:r w:rsidRPr="00F90B6B">
              <w:rPr>
                <w:rFonts w:ascii="Times New Roman" w:hAnsi="Times New Roman"/>
                <w:b/>
                <w:sz w:val="28"/>
                <w:szCs w:val="28"/>
              </w:rPr>
              <w:t>40</w:t>
            </w:r>
          </w:p>
        </w:tc>
        <w:tc>
          <w:tcPr>
            <w:tcW w:w="1971" w:type="dxa"/>
            <w:vAlign w:val="center"/>
          </w:tcPr>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rPr>
              <w:t>ІМТ 25-30</w:t>
            </w:r>
          </w:p>
          <w:p w:rsidR="00EF4063" w:rsidRPr="00F90B6B" w:rsidRDefault="00EF4063" w:rsidP="001B6B2E">
            <w:pPr>
              <w:spacing w:after="0" w:line="240" w:lineRule="auto"/>
              <w:jc w:val="center"/>
              <w:rPr>
                <w:rFonts w:ascii="Times New Roman" w:hAnsi="Times New Roman"/>
                <w:b/>
                <w:sz w:val="28"/>
                <w:szCs w:val="28"/>
              </w:rPr>
            </w:pPr>
            <w:r w:rsidRPr="00F90B6B">
              <w:rPr>
                <w:rFonts w:ascii="Times New Roman" w:hAnsi="Times New Roman"/>
                <w:b/>
                <w:sz w:val="28"/>
                <w:szCs w:val="28"/>
                <w:lang w:val="en-US"/>
              </w:rPr>
              <w:t>n=3</w:t>
            </w:r>
            <w:r w:rsidRPr="00F90B6B">
              <w:rPr>
                <w:rFonts w:ascii="Times New Roman" w:hAnsi="Times New Roman"/>
                <w:b/>
                <w:sz w:val="28"/>
                <w:szCs w:val="28"/>
              </w:rPr>
              <w:t>5</w:t>
            </w:r>
          </w:p>
        </w:tc>
        <w:tc>
          <w:tcPr>
            <w:tcW w:w="1971" w:type="dxa"/>
            <w:vAlign w:val="center"/>
          </w:tcPr>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rPr>
              <w:t>ІМТ</w:t>
            </w:r>
            <w:r w:rsidRPr="00F90B6B">
              <w:rPr>
                <w:rFonts w:ascii="Times New Roman" w:hAnsi="Times New Roman"/>
                <w:b/>
                <w:sz w:val="28"/>
                <w:szCs w:val="28"/>
                <w:lang w:val="en-US"/>
              </w:rPr>
              <w:t>&gt;</w:t>
            </w:r>
            <w:r w:rsidRPr="00F90B6B">
              <w:rPr>
                <w:rFonts w:ascii="Times New Roman" w:hAnsi="Times New Roman"/>
                <w:b/>
                <w:sz w:val="28"/>
                <w:szCs w:val="28"/>
              </w:rPr>
              <w:t>30</w:t>
            </w:r>
          </w:p>
          <w:p w:rsidR="00EF4063" w:rsidRPr="00F90B6B" w:rsidRDefault="00EF4063" w:rsidP="001B6B2E">
            <w:pPr>
              <w:spacing w:after="0" w:line="240" w:lineRule="auto"/>
              <w:jc w:val="center"/>
              <w:rPr>
                <w:rFonts w:ascii="Times New Roman" w:hAnsi="Times New Roman"/>
                <w:b/>
                <w:sz w:val="28"/>
                <w:szCs w:val="28"/>
                <w:lang w:val="en-US"/>
              </w:rPr>
            </w:pPr>
            <w:r w:rsidRPr="00F90B6B">
              <w:rPr>
                <w:rFonts w:ascii="Times New Roman" w:hAnsi="Times New Roman"/>
                <w:b/>
                <w:sz w:val="28"/>
                <w:szCs w:val="28"/>
                <w:lang w:val="en-US"/>
              </w:rPr>
              <w:t>n=</w:t>
            </w:r>
            <w:r w:rsidRPr="00F90B6B">
              <w:rPr>
                <w:rFonts w:ascii="Times New Roman" w:hAnsi="Times New Roman"/>
                <w:b/>
                <w:sz w:val="28"/>
                <w:szCs w:val="28"/>
              </w:rPr>
              <w:t>71</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rPr>
              <w:t>К</w:t>
            </w:r>
            <w:r w:rsidRPr="00F90B6B">
              <w:rPr>
                <w:rFonts w:ascii="Times New Roman" w:hAnsi="Times New Roman"/>
                <w:i/>
                <w:sz w:val="28"/>
                <w:szCs w:val="28"/>
                <w:lang w:val="ru-RU"/>
              </w:rPr>
              <w:t>реатинін</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71,4±12,1</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85,7±</w:t>
            </w:r>
            <w:r w:rsidRPr="00F90B6B">
              <w:rPr>
                <w:rFonts w:ascii="Times New Roman" w:hAnsi="Times New Roman"/>
                <w:sz w:val="28"/>
                <w:szCs w:val="28"/>
                <w:lang w:val="en-US"/>
              </w:rPr>
              <w:t>2</w:t>
            </w:r>
            <w:r w:rsidRPr="00F90B6B">
              <w:rPr>
                <w:rFonts w:ascii="Times New Roman" w:hAnsi="Times New Roman"/>
                <w:sz w:val="28"/>
                <w:szCs w:val="28"/>
              </w:rPr>
              <w:t>0,5</w:t>
            </w:r>
            <w:r w:rsidRPr="00F90B6B">
              <w:rPr>
                <w:rFonts w:ascii="Times New Roman" w:hAnsi="Times New Roman"/>
                <w:sz w:val="28"/>
                <w:szCs w:val="28"/>
                <w:lang w:val="en-US"/>
              </w:rPr>
              <w:t>*</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84,4±21,2</w:t>
            </w:r>
            <w:r w:rsidRPr="00F90B6B">
              <w:rPr>
                <w:rFonts w:ascii="Times New Roman" w:hAnsi="Times New Roman"/>
                <w:sz w:val="28"/>
                <w:szCs w:val="28"/>
                <w:lang w:val="en-US"/>
              </w:rPr>
              <w:t>*</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83,8±17,7</w:t>
            </w:r>
            <w:r w:rsidRPr="00F90B6B">
              <w:rPr>
                <w:rFonts w:ascii="Times New Roman" w:hAnsi="Times New Roman"/>
                <w:sz w:val="28"/>
                <w:szCs w:val="28"/>
                <w:lang w:val="en-US"/>
              </w:rPr>
              <w:t>*</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Сечовина</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5,78±1,18</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6,30</w:t>
            </w:r>
            <w:r w:rsidRPr="00F90B6B">
              <w:rPr>
                <w:rFonts w:ascii="Times New Roman" w:hAnsi="Times New Roman"/>
                <w:sz w:val="28"/>
                <w:szCs w:val="28"/>
              </w:rPr>
              <w:t>±3,49</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6,49±2,25</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6,30±2,06</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Глюкоза</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4,97±0,41</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5,07±0,29</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5,31±0,76</w:t>
            </w:r>
            <w:r w:rsidRPr="00F90B6B">
              <w:rPr>
                <w:rFonts w:ascii="Times New Roman" w:hAnsi="Times New Roman"/>
                <w:sz w:val="28"/>
                <w:szCs w:val="28"/>
                <w:lang w:val="en-US"/>
              </w:rPr>
              <w:t>*</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5,67±0,99</w:t>
            </w:r>
            <w:r w:rsidRPr="00F90B6B">
              <w:rPr>
                <w:rFonts w:ascii="Times New Roman" w:hAnsi="Times New Roman"/>
                <w:sz w:val="28"/>
                <w:szCs w:val="28"/>
                <w:lang w:val="en-US"/>
              </w:rPr>
              <w:t>*</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АсТ</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22,1±4,92</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22,2±4,23</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24,0±</w:t>
            </w:r>
            <w:r w:rsidRPr="00F90B6B">
              <w:rPr>
                <w:rFonts w:ascii="Times New Roman" w:hAnsi="Times New Roman"/>
                <w:sz w:val="28"/>
                <w:szCs w:val="28"/>
                <w:lang w:val="en-US"/>
              </w:rPr>
              <w:t>3</w:t>
            </w:r>
            <w:r w:rsidRPr="00F90B6B">
              <w:rPr>
                <w:rFonts w:ascii="Times New Roman" w:hAnsi="Times New Roman"/>
                <w:sz w:val="28"/>
                <w:szCs w:val="28"/>
              </w:rPr>
              <w:t>,10</w:t>
            </w:r>
            <w:r w:rsidRPr="00F90B6B">
              <w:rPr>
                <w:rFonts w:ascii="Times New Roman" w:hAnsi="Times New Roman"/>
                <w:sz w:val="28"/>
                <w:szCs w:val="28"/>
                <w:lang w:val="en-US"/>
              </w:rPr>
              <w:t>*,**</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24,5±3,71</w:t>
            </w:r>
            <w:r w:rsidRPr="00F90B6B">
              <w:rPr>
                <w:rFonts w:ascii="Times New Roman" w:hAnsi="Times New Roman"/>
                <w:sz w:val="28"/>
                <w:szCs w:val="28"/>
                <w:lang w:val="en-US"/>
              </w:rPr>
              <w:t>*,**</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lang w:val="ru-RU"/>
              </w:rPr>
            </w:pPr>
            <w:r w:rsidRPr="00F90B6B">
              <w:rPr>
                <w:rFonts w:ascii="Times New Roman" w:hAnsi="Times New Roman"/>
                <w:i/>
                <w:sz w:val="28"/>
                <w:szCs w:val="28"/>
                <w:lang w:val="ru-RU"/>
              </w:rPr>
              <w:t>АлТ</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23,2±5,0</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23,9±4,91</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26,0±5,80</w:t>
            </w:r>
            <w:r w:rsidRPr="00F90B6B">
              <w:rPr>
                <w:rFonts w:ascii="Times New Roman" w:hAnsi="Times New Roman"/>
                <w:sz w:val="28"/>
                <w:szCs w:val="28"/>
                <w:lang w:val="en-US"/>
              </w:rPr>
              <w:t>*,**</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27,4±5,31</w:t>
            </w:r>
            <w:r w:rsidRPr="00F90B6B">
              <w:rPr>
                <w:rFonts w:ascii="Times New Roman" w:hAnsi="Times New Roman"/>
                <w:sz w:val="28"/>
                <w:szCs w:val="28"/>
                <w:lang w:val="en-US"/>
              </w:rPr>
              <w:t>*,**</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Еритроцити</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4,42±0,29</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4,32±0,43</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4,44±0,35</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4,57±0,36</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Гемоглобін</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133,8±10,1</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133,2±12,3</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135,4±20,1</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137,8±10,9</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Лейкоцити</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5,78±0,84</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5,75±0,87</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6,28±1,37</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6,10±1,06</w:t>
            </w:r>
          </w:p>
        </w:tc>
      </w:tr>
      <w:tr w:rsidR="00EF4063" w:rsidRPr="00F90B6B" w:rsidTr="0076299F">
        <w:tc>
          <w:tcPr>
            <w:tcW w:w="1971"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Тромбоцити</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250,3±42,1</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234,3±52,8</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223,0±49,9</w:t>
            </w:r>
          </w:p>
        </w:tc>
        <w:tc>
          <w:tcPr>
            <w:tcW w:w="197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226,9±61,9</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lang w:val="ru-RU"/>
        </w:rPr>
        <w:t xml:space="preserve">* - </w:t>
      </w:r>
      <w:r w:rsidRPr="00F90B6B">
        <w:rPr>
          <w:rFonts w:ascii="Times New Roman" w:hAnsi="Times New Roman"/>
          <w:sz w:val="28"/>
          <w:szCs w:val="28"/>
        </w:rPr>
        <w:t>вірогідна різниця показників відносно контрольної групи;</w:t>
      </w:r>
    </w:p>
    <w:p w:rsidR="00ED6686" w:rsidRPr="007E797D" w:rsidRDefault="00EF4063" w:rsidP="00ED6686">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 вірогідна різниця показників відносно підгрупи пацієнтів з ХСН та нормальною масою тіла.</w:t>
      </w:r>
      <w:r w:rsidR="00ED6686" w:rsidRPr="00ED6686">
        <w:rPr>
          <w:rFonts w:ascii="Times New Roman" w:hAnsi="Times New Roman"/>
          <w:sz w:val="28"/>
          <w:szCs w:val="28"/>
        </w:rPr>
        <w:t xml:space="preserve"> </w:t>
      </w:r>
    </w:p>
    <w:p w:rsidR="00ED6686" w:rsidRPr="00F90B6B" w:rsidRDefault="00ED6686" w:rsidP="00ED6686">
      <w:pPr>
        <w:shd w:val="clear" w:color="auto" w:fill="FFFFFF"/>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rPr>
        <w:lastRenderedPageBreak/>
        <w:t xml:space="preserve">Вірогідність розвитку ниркової дисфункції у хворих з кардіальною патологією значно вище, ніж у загальній популяції. [136, 137, 138]. </w:t>
      </w:r>
      <w:r w:rsidRPr="00F90B6B">
        <w:rPr>
          <w:rFonts w:ascii="Times New Roman" w:hAnsi="Times New Roman"/>
          <w:sz w:val="28"/>
          <w:szCs w:val="28"/>
          <w:lang w:eastAsia="uk-UA"/>
        </w:rPr>
        <w:t>За даними дослідження РIUMA помірне зниження швидкості клубочкокової фільтрації (ШКФ) веде до збільшення ризику кардіальної смерті вдвічі, окрім того виявлено незалежний зворотний зв'язок між зниженням швидкості клубочкової та збільшенням ризику смерті і серцево-судинних ускладнень.</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Тому на наступному етапі ми вважали за доцільне проаналізували рівень клубочкової фільтрації у хворих з ХСН залежно від маси тіла. Дані наведені  на </w:t>
      </w:r>
      <w:r w:rsidRPr="00F90B6B">
        <w:rPr>
          <w:rFonts w:ascii="Times New Roman" w:hAnsi="Times New Roman"/>
          <w:sz w:val="28"/>
          <w:szCs w:val="28"/>
        </w:rPr>
        <w:t>рис. 3.2.7.</w:t>
      </w:r>
    </w:p>
    <w:p w:rsidR="00EF4063" w:rsidRPr="00F90B6B" w:rsidRDefault="00EF4063" w:rsidP="00F0048B">
      <w:pPr>
        <w:shd w:val="clear" w:color="auto" w:fill="FFFFFF"/>
        <w:spacing w:line="360" w:lineRule="auto"/>
        <w:jc w:val="center"/>
        <w:rPr>
          <w:rFonts w:ascii="Times New Roman" w:hAnsi="Times New Roman"/>
          <w:sz w:val="28"/>
          <w:szCs w:val="28"/>
        </w:rPr>
      </w:pPr>
      <w:r w:rsidRPr="00F90B6B">
        <w:rPr>
          <w:rFonts w:ascii="Times New Roman" w:hAnsi="Times New Roman"/>
        </w:rPr>
        <w:object w:dxaOrig="7005" w:dyaOrig="5280">
          <v:shape id="_x0000_i1044" type="#_x0000_t75" style="width:350.25pt;height:264pt" o:ole="">
            <v:imagedata r:id="rId61" o:title=""/>
          </v:shape>
          <o:OLEObject Type="Embed" ProgID="STATISTICA.Graph" ShapeID="_x0000_i1044" DrawAspect="Content" ObjectID="_1624460767" r:id="rId62">
            <o:FieldCodes>\s</o:FieldCodes>
          </o:OLEObject>
        </w:objec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3.2.7. </w:t>
      </w:r>
      <w:r w:rsidRPr="00F90B6B">
        <w:rPr>
          <w:rFonts w:ascii="Times New Roman" w:hAnsi="Times New Roman"/>
          <w:sz w:val="28"/>
          <w:szCs w:val="28"/>
        </w:rPr>
        <w:t>Швидкість клубочкової фільтрації у пацієнтів з хронічною серцевою недостатністю залежно від індексу маси тіла.</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Відмічено вірогідне зниження ШКФ у хворих з ХСН та надмірною вагою тіла – 84,9±16,3 (ІМТ 25-30), а також з ХСН та ожирінням (ІМТ 30) - 78,6±16,8 порівняно з пацієнтами, які мали нормальну вагу – 95,3±12,1 (ІМТ 18,5-24,9), р&lt;0,05. </w:t>
      </w:r>
    </w:p>
    <w:p w:rsidR="00EF4063" w:rsidRPr="00F90B6B" w:rsidRDefault="00EF4063" w:rsidP="00ED6686">
      <w:pPr>
        <w:shd w:val="clear" w:color="auto" w:fill="FFFFFF"/>
        <w:spacing w:after="0" w:line="336" w:lineRule="auto"/>
        <w:ind w:firstLine="709"/>
        <w:jc w:val="both"/>
        <w:rPr>
          <w:rFonts w:ascii="Times New Roman" w:hAnsi="Times New Roman"/>
          <w:sz w:val="28"/>
          <w:szCs w:val="28"/>
          <w:lang w:val="en-US"/>
        </w:rPr>
      </w:pPr>
      <w:r w:rsidRPr="00F90B6B">
        <w:rPr>
          <w:rFonts w:ascii="Times New Roman" w:hAnsi="Times New Roman"/>
          <w:sz w:val="28"/>
          <w:szCs w:val="28"/>
        </w:rPr>
        <w:lastRenderedPageBreak/>
        <w:t>Дані лінійного регресійного аналізу між ШКФ та ІМТ наведені на рис. 3.2.8. Встановлено вірогідний зворотній кореляційний зв’язок між функціональним станом нирок та масою тіла у хворих з серцевою недостатністю (</w:t>
      </w:r>
      <w:r w:rsidRPr="00F90B6B">
        <w:rPr>
          <w:rFonts w:ascii="Times New Roman" w:hAnsi="Times New Roman"/>
          <w:sz w:val="28"/>
          <w:szCs w:val="28"/>
          <w:lang w:val="en-US"/>
        </w:rPr>
        <w:t xml:space="preserve">r=-0,32, </w:t>
      </w:r>
      <w:r w:rsidRPr="00F90B6B">
        <w:rPr>
          <w:rFonts w:ascii="Times New Roman" w:hAnsi="Times New Roman"/>
          <w:sz w:val="28"/>
          <w:szCs w:val="28"/>
        </w:rPr>
        <w:t>р</w:t>
      </w:r>
      <w:r w:rsidRPr="00F90B6B">
        <w:rPr>
          <w:rFonts w:ascii="Times New Roman" w:hAnsi="Times New Roman"/>
          <w:sz w:val="28"/>
          <w:szCs w:val="28"/>
          <w:lang w:val="en-US"/>
        </w:rPr>
        <w:t>&lt;0,05).</w:t>
      </w:r>
    </w:p>
    <w:p w:rsidR="00EF4063" w:rsidRPr="00F90B6B" w:rsidRDefault="00EF4063" w:rsidP="00ED6686">
      <w:pPr>
        <w:shd w:val="clear" w:color="auto" w:fill="FFFFFF"/>
        <w:spacing w:after="0" w:line="336" w:lineRule="auto"/>
        <w:jc w:val="center"/>
        <w:rPr>
          <w:rFonts w:ascii="Times New Roman" w:hAnsi="Times New Roman"/>
        </w:rPr>
      </w:pPr>
      <w:r w:rsidRPr="00F90B6B">
        <w:rPr>
          <w:rFonts w:ascii="Times New Roman" w:hAnsi="Times New Roman"/>
        </w:rPr>
        <w:object w:dxaOrig="7395" w:dyaOrig="5565">
          <v:shape id="_x0000_i1045" type="#_x0000_t75" style="width:369.75pt;height:278.25pt" o:ole="">
            <v:imagedata r:id="rId63" o:title=""/>
          </v:shape>
          <o:OLEObject Type="Embed" ProgID="STATISTICA.Graph" ShapeID="_x0000_i1045" DrawAspect="Content" ObjectID="_1624460768" r:id="rId64">
            <o:FieldCodes>\s</o:FieldCodes>
          </o:OLEObject>
        </w:object>
      </w:r>
    </w:p>
    <w:p w:rsidR="00EF4063" w:rsidRPr="00F90B6B" w:rsidRDefault="00EF4063" w:rsidP="00ED6686">
      <w:pPr>
        <w:shd w:val="clear" w:color="auto" w:fill="FFFFFF"/>
        <w:spacing w:after="0" w:line="336" w:lineRule="auto"/>
        <w:ind w:firstLine="709"/>
        <w:rPr>
          <w:rFonts w:ascii="Times New Roman" w:hAnsi="Times New Roman"/>
          <w:sz w:val="28"/>
          <w:szCs w:val="28"/>
        </w:rPr>
      </w:pPr>
      <w:r w:rsidRPr="00F90B6B">
        <w:rPr>
          <w:rFonts w:ascii="Times New Roman" w:hAnsi="Times New Roman"/>
          <w:b/>
          <w:sz w:val="28"/>
          <w:szCs w:val="28"/>
        </w:rPr>
        <w:t xml:space="preserve">Рис. 3.2.8. </w:t>
      </w:r>
      <w:r w:rsidRPr="00F90B6B">
        <w:rPr>
          <w:rFonts w:ascii="Times New Roman" w:hAnsi="Times New Roman"/>
          <w:sz w:val="28"/>
          <w:szCs w:val="28"/>
        </w:rPr>
        <w:t>Кореляційний зв’язок між швидкістю клубочкової фільтрації та масою тіла у пацієнтів з хронічною серцевою недостатністю.</w:t>
      </w:r>
    </w:p>
    <w:p w:rsidR="00EF4063" w:rsidRPr="00F90B6B" w:rsidRDefault="00EF4063" w:rsidP="00ED6686">
      <w:pPr>
        <w:pStyle w:val="a3"/>
        <w:spacing w:before="0" w:beforeAutospacing="0" w:after="0" w:afterAutospacing="0" w:line="336" w:lineRule="auto"/>
        <w:ind w:firstLine="709"/>
        <w:jc w:val="both"/>
        <w:rPr>
          <w:sz w:val="28"/>
          <w:szCs w:val="28"/>
        </w:rPr>
      </w:pPr>
    </w:p>
    <w:p w:rsidR="00EF4063" w:rsidRPr="00F90B6B" w:rsidRDefault="00EF4063" w:rsidP="00ED6686">
      <w:pPr>
        <w:pStyle w:val="a3"/>
        <w:spacing w:before="0" w:beforeAutospacing="0" w:after="0" w:afterAutospacing="0" w:line="336" w:lineRule="auto"/>
        <w:ind w:firstLine="709"/>
        <w:jc w:val="both"/>
        <w:rPr>
          <w:sz w:val="28"/>
          <w:szCs w:val="28"/>
        </w:rPr>
      </w:pPr>
      <w:r w:rsidRPr="00F90B6B">
        <w:rPr>
          <w:sz w:val="28"/>
          <w:szCs w:val="28"/>
        </w:rPr>
        <w:t>Значення ШКФ як важливого фактора ризику серцево-судинних захворювань розглядається в ряді рандомізованих багатоцентрових досліджень. Зокрема, в трайлі ARIC (Atherosclerosis Risk in Communities Study) вказується, що частота нових серцево-судинних ускладнень зростала прямо-пропорційно ступеню зниження клубочкової фільтрації, а більше половини летальних випадків при термінальній хронічній нирковій недостатності була пов'язана з серцево-судинними захворюваннями [2]. Зважаючи на прогностичне значення рівня клубочкової фільтрації та спираючись на той факт, що хворі з ШКФ нижче 90 мл/хв/1,73 м² розглядаються як такі, що мають хронічну хворобу нирок (ХХН), наступним кроком був аналіз «шансів» розвитку ХХН у пацієнтів з серцевою недостатністю та ожирінням.</w:t>
      </w:r>
    </w:p>
    <w:p w:rsidR="00EF4063" w:rsidRPr="00F90B6B" w:rsidRDefault="00EF4063" w:rsidP="00ED6686">
      <w:pPr>
        <w:pStyle w:val="a3"/>
        <w:spacing w:before="0" w:beforeAutospacing="0" w:after="0" w:afterAutospacing="0" w:line="336" w:lineRule="auto"/>
        <w:ind w:firstLine="709"/>
        <w:jc w:val="both"/>
        <w:rPr>
          <w:sz w:val="28"/>
          <w:szCs w:val="28"/>
        </w:rPr>
      </w:pPr>
      <w:r w:rsidRPr="00F90B6B">
        <w:rPr>
          <w:sz w:val="28"/>
          <w:szCs w:val="28"/>
        </w:rPr>
        <w:t>Число хворих з швидкістю клубочкової фільтрації менше 60 мл/хв/м</w:t>
      </w:r>
      <w:r w:rsidRPr="00F90B6B">
        <w:rPr>
          <w:sz w:val="28"/>
          <w:szCs w:val="28"/>
          <w:vertAlign w:val="superscript"/>
        </w:rPr>
        <w:t>2</w:t>
      </w:r>
      <w:r w:rsidRPr="00F90B6B">
        <w:rPr>
          <w:sz w:val="28"/>
          <w:szCs w:val="28"/>
        </w:rPr>
        <w:t xml:space="preserve"> становило 38 (26,0%), рис. 3.2.9.</w:t>
      </w:r>
    </w:p>
    <w:p w:rsidR="00EF4063" w:rsidRPr="00F90B6B" w:rsidRDefault="006F7754" w:rsidP="00ED6686">
      <w:pPr>
        <w:pStyle w:val="a3"/>
        <w:spacing w:before="0" w:beforeAutospacing="0" w:after="0" w:afterAutospacing="0" w:line="336" w:lineRule="auto"/>
        <w:ind w:firstLine="709"/>
        <w:jc w:val="both"/>
        <w:rPr>
          <w:sz w:val="28"/>
          <w:szCs w:val="28"/>
        </w:rPr>
      </w:pPr>
      <w:r w:rsidRPr="00BD2F09">
        <w:rPr>
          <w:noProof/>
          <w:lang w:val="ru-RU" w:eastAsia="ru-RU"/>
        </w:rPr>
        <w:lastRenderedPageBreak/>
        <w:drawing>
          <wp:inline distT="0" distB="0" distL="0" distR="0">
            <wp:extent cx="5162550" cy="2752725"/>
            <wp:effectExtent l="0" t="0" r="0" b="0"/>
            <wp:docPr id="26"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3.2.9. </w:t>
      </w:r>
      <w:r w:rsidRPr="00F90B6B">
        <w:rPr>
          <w:rFonts w:ascii="Times New Roman" w:hAnsi="Times New Roman"/>
          <w:sz w:val="28"/>
          <w:szCs w:val="28"/>
        </w:rPr>
        <w:t>Частота виявлення ХХН ІІ-ІІІ при зниженні швидкості клубочкової фільтрації менше 60 мл/хв/м</w:t>
      </w:r>
      <w:r w:rsidRPr="00F90B6B">
        <w:rPr>
          <w:rFonts w:ascii="Times New Roman" w:hAnsi="Times New Roman"/>
          <w:sz w:val="28"/>
          <w:szCs w:val="28"/>
          <w:vertAlign w:val="superscript"/>
        </w:rPr>
        <w:t>2</w:t>
      </w:r>
      <w:r w:rsidRPr="00F90B6B">
        <w:rPr>
          <w:rFonts w:ascii="Times New Roman" w:hAnsi="Times New Roman"/>
          <w:sz w:val="28"/>
          <w:szCs w:val="28"/>
        </w:rPr>
        <w:t xml:space="preserve"> серед хворих, включених в дослідження.</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На першому кроці проаналізовані клінічні випадки у вигляді наявності/відсутності зниженні швидкості клубочкової фільтрації менше 60 мл/хв/м</w:t>
      </w:r>
      <w:r w:rsidRPr="00F90B6B">
        <w:rPr>
          <w:rFonts w:ascii="Times New Roman" w:hAnsi="Times New Roman"/>
          <w:sz w:val="28"/>
          <w:szCs w:val="28"/>
          <w:vertAlign w:val="superscript"/>
        </w:rPr>
        <w:t>2</w:t>
      </w:r>
      <w:r w:rsidRPr="00F90B6B">
        <w:rPr>
          <w:rFonts w:ascii="Times New Roman" w:hAnsi="Times New Roman"/>
          <w:sz w:val="28"/>
          <w:szCs w:val="28"/>
        </w:rPr>
        <w:t>, виходячи з надлишку маси тіла залежно від ІМТ. Первинні результати: частота ускладнення, загальна кількість хворих з ХХН, очікувані частоти і реальні частоти наведені</w:t>
      </w:r>
      <w:r w:rsidRPr="00F90B6B">
        <w:rPr>
          <w:rFonts w:ascii="Times New Roman" w:hAnsi="Times New Roman"/>
          <w:b/>
          <w:i/>
          <w:sz w:val="28"/>
          <w:szCs w:val="28"/>
        </w:rPr>
        <w:t xml:space="preserve"> </w:t>
      </w:r>
      <w:r w:rsidRPr="00F90B6B">
        <w:rPr>
          <w:rFonts w:ascii="Times New Roman" w:hAnsi="Times New Roman"/>
          <w:sz w:val="28"/>
          <w:szCs w:val="28"/>
        </w:rPr>
        <w:t>в таблиці 3.2.2.</w:t>
      </w:r>
    </w:p>
    <w:p w:rsidR="00BB305F" w:rsidRPr="00F90B6B" w:rsidRDefault="00BB305F"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3.2.2</w:t>
      </w:r>
    </w:p>
    <w:p w:rsidR="00EF4063" w:rsidRPr="00F90B6B" w:rsidRDefault="00EF4063" w:rsidP="00F0048B">
      <w:pPr>
        <w:spacing w:after="0" w:line="360" w:lineRule="auto"/>
        <w:ind w:firstLine="709"/>
        <w:jc w:val="center"/>
        <w:rPr>
          <w:rFonts w:ascii="Times New Roman" w:hAnsi="Times New Roman"/>
          <w:b/>
          <w:sz w:val="28"/>
          <w:szCs w:val="28"/>
        </w:rPr>
      </w:pPr>
      <w:r w:rsidRPr="00F90B6B">
        <w:rPr>
          <w:rFonts w:ascii="Times New Roman" w:hAnsi="Times New Roman"/>
          <w:b/>
          <w:sz w:val="28"/>
          <w:szCs w:val="28"/>
        </w:rPr>
        <w:t xml:space="preserve">Частота зниження швидкості клубочкової фільтрації менше 60 </w:t>
      </w:r>
      <w:r w:rsidRPr="00F90B6B">
        <w:rPr>
          <w:rFonts w:ascii="Times New Roman" w:hAnsi="Times New Roman"/>
          <w:sz w:val="28"/>
          <w:szCs w:val="28"/>
        </w:rPr>
        <w:t>мл/хв/м</w:t>
      </w:r>
      <w:r w:rsidRPr="00F90B6B">
        <w:rPr>
          <w:rFonts w:ascii="Times New Roman" w:hAnsi="Times New Roman"/>
          <w:sz w:val="28"/>
          <w:szCs w:val="28"/>
          <w:vertAlign w:val="superscript"/>
        </w:rPr>
        <w:t>2</w:t>
      </w:r>
      <w:r w:rsidRPr="00F90B6B">
        <w:rPr>
          <w:rFonts w:ascii="Times New Roman" w:hAnsi="Times New Roman"/>
          <w:sz w:val="28"/>
          <w:szCs w:val="28"/>
        </w:rPr>
        <w:t xml:space="preserve"> </w:t>
      </w:r>
      <w:r w:rsidRPr="00F90B6B">
        <w:rPr>
          <w:rFonts w:ascii="Times New Roman" w:hAnsi="Times New Roman"/>
          <w:b/>
          <w:sz w:val="28"/>
          <w:szCs w:val="28"/>
        </w:rPr>
        <w:t>залежно від рівня надлишкової ваги тіла у хворих з хронічною серцевою недостатністю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5"/>
        <w:gridCol w:w="1719"/>
        <w:gridCol w:w="2063"/>
        <w:gridCol w:w="1362"/>
        <w:gridCol w:w="1896"/>
      </w:tblGrid>
      <w:tr w:rsidR="00EF4063" w:rsidRPr="00F90B6B" w:rsidTr="00634277">
        <w:tc>
          <w:tcPr>
            <w:tcW w:w="2815" w:type="dxa"/>
            <w:vAlign w:val="center"/>
          </w:tcPr>
          <w:p w:rsidR="00EF4063" w:rsidRPr="00F90B6B" w:rsidRDefault="00EF4063" w:rsidP="00BB305F">
            <w:pPr>
              <w:spacing w:line="288" w:lineRule="auto"/>
              <w:jc w:val="center"/>
              <w:rPr>
                <w:rFonts w:ascii="Times New Roman" w:hAnsi="Times New Roman"/>
                <w:b/>
                <w:sz w:val="28"/>
                <w:szCs w:val="28"/>
                <w:lang w:val="ru-RU"/>
              </w:rPr>
            </w:pPr>
            <w:r w:rsidRPr="00F90B6B">
              <w:rPr>
                <w:rFonts w:ascii="Times New Roman" w:hAnsi="Times New Roman"/>
                <w:b/>
                <w:sz w:val="28"/>
                <w:szCs w:val="28"/>
                <w:lang w:val="ru-RU"/>
              </w:rPr>
              <w:t>Рівень впливу ІМТ</w:t>
            </w:r>
          </w:p>
        </w:tc>
        <w:tc>
          <w:tcPr>
            <w:tcW w:w="1719" w:type="dxa"/>
            <w:vAlign w:val="center"/>
          </w:tcPr>
          <w:p w:rsidR="00EF4063" w:rsidRPr="00F90B6B" w:rsidRDefault="00EF4063" w:rsidP="00BB305F">
            <w:pPr>
              <w:spacing w:line="288" w:lineRule="auto"/>
              <w:jc w:val="center"/>
              <w:rPr>
                <w:rFonts w:ascii="Times New Roman" w:hAnsi="Times New Roman"/>
                <w:b/>
                <w:sz w:val="28"/>
                <w:szCs w:val="28"/>
                <w:lang w:val="ru-RU"/>
              </w:rPr>
            </w:pPr>
            <w:r w:rsidRPr="00F90B6B">
              <w:rPr>
                <w:rFonts w:ascii="Times New Roman" w:hAnsi="Times New Roman"/>
                <w:b/>
                <w:sz w:val="28"/>
                <w:szCs w:val="28"/>
                <w:lang w:val="ru-RU"/>
              </w:rPr>
              <w:t>Частота ХХН</w:t>
            </w:r>
          </w:p>
        </w:tc>
        <w:tc>
          <w:tcPr>
            <w:tcW w:w="2063" w:type="dxa"/>
            <w:vAlign w:val="center"/>
          </w:tcPr>
          <w:p w:rsidR="00EF4063" w:rsidRPr="00F90B6B" w:rsidRDefault="00EF4063" w:rsidP="00BB305F">
            <w:pPr>
              <w:spacing w:line="288" w:lineRule="auto"/>
              <w:jc w:val="center"/>
              <w:rPr>
                <w:rFonts w:ascii="Times New Roman" w:hAnsi="Times New Roman"/>
                <w:b/>
                <w:sz w:val="28"/>
                <w:szCs w:val="28"/>
                <w:lang w:val="ru-RU"/>
              </w:rPr>
            </w:pPr>
            <w:r w:rsidRPr="00F90B6B">
              <w:rPr>
                <w:rFonts w:ascii="Times New Roman" w:hAnsi="Times New Roman"/>
                <w:b/>
                <w:sz w:val="28"/>
                <w:szCs w:val="28"/>
                <w:lang w:val="ru-RU"/>
              </w:rPr>
              <w:t>Число хворих без ХХН</w:t>
            </w:r>
          </w:p>
        </w:tc>
        <w:tc>
          <w:tcPr>
            <w:tcW w:w="1362" w:type="dxa"/>
            <w:vAlign w:val="center"/>
          </w:tcPr>
          <w:p w:rsidR="00EF4063" w:rsidRPr="00F90B6B" w:rsidRDefault="00EF4063" w:rsidP="00BB305F">
            <w:pPr>
              <w:spacing w:line="288" w:lineRule="auto"/>
              <w:jc w:val="center"/>
              <w:rPr>
                <w:rFonts w:ascii="Times New Roman" w:hAnsi="Times New Roman"/>
                <w:b/>
                <w:sz w:val="28"/>
                <w:szCs w:val="28"/>
                <w:lang w:val="ru-RU"/>
              </w:rPr>
            </w:pPr>
            <w:r w:rsidRPr="00F90B6B">
              <w:rPr>
                <w:rFonts w:ascii="Times New Roman" w:hAnsi="Times New Roman"/>
                <w:b/>
                <w:sz w:val="28"/>
                <w:szCs w:val="28"/>
                <w:lang w:val="ru-RU"/>
              </w:rPr>
              <w:t>Всього випадків</w:t>
            </w:r>
          </w:p>
        </w:tc>
        <w:tc>
          <w:tcPr>
            <w:tcW w:w="1896" w:type="dxa"/>
            <w:vAlign w:val="center"/>
          </w:tcPr>
          <w:p w:rsidR="00EF4063" w:rsidRPr="00F90B6B" w:rsidRDefault="00EF4063" w:rsidP="00BB305F">
            <w:pPr>
              <w:spacing w:line="288" w:lineRule="auto"/>
              <w:jc w:val="center"/>
              <w:rPr>
                <w:rFonts w:ascii="Times New Roman" w:hAnsi="Times New Roman"/>
                <w:b/>
                <w:sz w:val="28"/>
                <w:szCs w:val="28"/>
                <w:lang w:val="ru-RU"/>
              </w:rPr>
            </w:pPr>
            <w:r w:rsidRPr="00F90B6B">
              <w:rPr>
                <w:rFonts w:ascii="Times New Roman" w:hAnsi="Times New Roman"/>
                <w:b/>
                <w:sz w:val="28"/>
                <w:szCs w:val="28"/>
                <w:lang w:val="ru-RU"/>
              </w:rPr>
              <w:t>Очікувані частоти</w:t>
            </w:r>
          </w:p>
        </w:tc>
      </w:tr>
      <w:tr w:rsidR="00EF4063" w:rsidRPr="00F90B6B" w:rsidTr="00634277">
        <w:tc>
          <w:tcPr>
            <w:tcW w:w="2815"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ІМТ 18,5-24,9</w:t>
            </w:r>
          </w:p>
        </w:tc>
        <w:tc>
          <w:tcPr>
            <w:tcW w:w="1719"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2,0</w:t>
            </w:r>
          </w:p>
        </w:tc>
        <w:tc>
          <w:tcPr>
            <w:tcW w:w="2063"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10,0</w:t>
            </w:r>
          </w:p>
        </w:tc>
        <w:tc>
          <w:tcPr>
            <w:tcW w:w="1362"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12,0</w:t>
            </w:r>
          </w:p>
        </w:tc>
        <w:tc>
          <w:tcPr>
            <w:tcW w:w="1896"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0,2</w:t>
            </w:r>
          </w:p>
        </w:tc>
      </w:tr>
      <w:tr w:rsidR="00EF4063" w:rsidRPr="00F90B6B" w:rsidTr="00634277">
        <w:tc>
          <w:tcPr>
            <w:tcW w:w="2815"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ІМТ 25-30</w:t>
            </w:r>
          </w:p>
        </w:tc>
        <w:tc>
          <w:tcPr>
            <w:tcW w:w="1719"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8,0</w:t>
            </w:r>
          </w:p>
        </w:tc>
        <w:tc>
          <w:tcPr>
            <w:tcW w:w="2063"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30,0</w:t>
            </w:r>
          </w:p>
        </w:tc>
        <w:tc>
          <w:tcPr>
            <w:tcW w:w="1362"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38,0</w:t>
            </w:r>
          </w:p>
        </w:tc>
        <w:tc>
          <w:tcPr>
            <w:tcW w:w="1896"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0,27</w:t>
            </w:r>
          </w:p>
        </w:tc>
      </w:tr>
      <w:tr w:rsidR="00EF4063" w:rsidRPr="00F90B6B" w:rsidTr="00634277">
        <w:tc>
          <w:tcPr>
            <w:tcW w:w="2815"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ІМТ більше 30</w:t>
            </w:r>
          </w:p>
        </w:tc>
        <w:tc>
          <w:tcPr>
            <w:tcW w:w="1719"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13,0</w:t>
            </w:r>
          </w:p>
        </w:tc>
        <w:tc>
          <w:tcPr>
            <w:tcW w:w="2063"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27,0</w:t>
            </w:r>
          </w:p>
        </w:tc>
        <w:tc>
          <w:tcPr>
            <w:tcW w:w="1362"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40,0</w:t>
            </w:r>
          </w:p>
        </w:tc>
        <w:tc>
          <w:tcPr>
            <w:tcW w:w="1896"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0,48</w:t>
            </w:r>
          </w:p>
        </w:tc>
      </w:tr>
      <w:tr w:rsidR="00EF4063" w:rsidRPr="00F90B6B" w:rsidTr="00634277">
        <w:tc>
          <w:tcPr>
            <w:tcW w:w="2815"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Всього</w:t>
            </w:r>
          </w:p>
        </w:tc>
        <w:tc>
          <w:tcPr>
            <w:tcW w:w="1719"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23,0</w:t>
            </w:r>
          </w:p>
        </w:tc>
        <w:tc>
          <w:tcPr>
            <w:tcW w:w="2063"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31,0</w:t>
            </w:r>
          </w:p>
        </w:tc>
        <w:tc>
          <w:tcPr>
            <w:tcW w:w="1362" w:type="dxa"/>
            <w:vAlign w:val="center"/>
          </w:tcPr>
          <w:p w:rsidR="00EF4063" w:rsidRPr="00F90B6B" w:rsidRDefault="00EF4063" w:rsidP="00BB305F">
            <w:pPr>
              <w:spacing w:line="288" w:lineRule="auto"/>
              <w:jc w:val="center"/>
              <w:rPr>
                <w:rFonts w:ascii="Times New Roman" w:hAnsi="Times New Roman"/>
                <w:sz w:val="28"/>
                <w:szCs w:val="28"/>
                <w:lang w:val="ru-RU"/>
              </w:rPr>
            </w:pPr>
            <w:r w:rsidRPr="00F90B6B">
              <w:rPr>
                <w:rFonts w:ascii="Times New Roman" w:hAnsi="Times New Roman"/>
                <w:sz w:val="28"/>
                <w:szCs w:val="28"/>
                <w:lang w:val="ru-RU"/>
              </w:rPr>
              <w:t>90,0</w:t>
            </w:r>
          </w:p>
        </w:tc>
        <w:tc>
          <w:tcPr>
            <w:tcW w:w="1896" w:type="dxa"/>
            <w:vAlign w:val="center"/>
          </w:tcPr>
          <w:p w:rsidR="00EF4063" w:rsidRPr="00F90B6B" w:rsidRDefault="00EF4063" w:rsidP="00BB305F">
            <w:pPr>
              <w:spacing w:line="288" w:lineRule="auto"/>
              <w:jc w:val="center"/>
              <w:rPr>
                <w:rFonts w:ascii="Times New Roman" w:hAnsi="Times New Roman"/>
                <w:sz w:val="28"/>
                <w:szCs w:val="28"/>
                <w:lang w:val="ru-RU"/>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Доведено збільшення очікуваної частоти – з 0,2 до 0,48 подій у вигляді хронічної хвороби нирок на 100,0 випадків хронічної серцевої недостатності при підвищенні ІМТ з 24,9 до більше 30,0 одиниць.</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Наслідкова взаємодія між рівнем ризику за ІМТ та зниженням швидкості клубочкової фільтрації наведена в таблиці 3.2.3</w:t>
      </w:r>
    </w:p>
    <w:p w:rsidR="00EF4063" w:rsidRPr="00F90B6B" w:rsidRDefault="00EF4063" w:rsidP="00F0048B">
      <w:pPr>
        <w:spacing w:after="0" w:line="360" w:lineRule="auto"/>
        <w:ind w:firstLine="709"/>
        <w:jc w:val="right"/>
        <w:rPr>
          <w:rFonts w:ascii="Times New Roman" w:hAnsi="Times New Roman"/>
          <w:b/>
          <w:i/>
          <w:sz w:val="28"/>
          <w:szCs w:val="28"/>
        </w:rPr>
      </w:pPr>
      <w:r w:rsidRPr="00F90B6B">
        <w:rPr>
          <w:rFonts w:ascii="Times New Roman" w:hAnsi="Times New Roman"/>
          <w:b/>
          <w:i/>
          <w:sz w:val="28"/>
          <w:szCs w:val="28"/>
        </w:rPr>
        <w:t>Таблица 3.2.3</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Відношення шансів для кожного з рівнів значень індексу маси тіла та зниженням швидкості клубочкової фільтрації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6"/>
        <w:gridCol w:w="3287"/>
        <w:gridCol w:w="3282"/>
      </w:tblGrid>
      <w:tr w:rsidR="00EF4063" w:rsidRPr="00F90B6B" w:rsidTr="00634277">
        <w:tc>
          <w:tcPr>
            <w:tcW w:w="3286" w:type="dxa"/>
            <w:vAlign w:val="center"/>
          </w:tcPr>
          <w:p w:rsidR="00EF4063" w:rsidRPr="00F90B6B" w:rsidRDefault="00EF4063" w:rsidP="00F0048B">
            <w:pPr>
              <w:spacing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287"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b/>
                <w:sz w:val="28"/>
                <w:szCs w:val="28"/>
                <w:lang w:val="ru-RU"/>
              </w:rPr>
              <w:t>Очікувані частоти</w:t>
            </w:r>
          </w:p>
        </w:tc>
        <w:tc>
          <w:tcPr>
            <w:tcW w:w="3282" w:type="dxa"/>
            <w:vAlign w:val="center"/>
          </w:tcPr>
          <w:p w:rsidR="00EF4063" w:rsidRPr="00F90B6B" w:rsidRDefault="00EF4063" w:rsidP="00F0048B">
            <w:pPr>
              <w:spacing w:line="360" w:lineRule="auto"/>
              <w:jc w:val="center"/>
              <w:rPr>
                <w:rFonts w:ascii="Times New Roman" w:hAnsi="Times New Roman"/>
                <w:b/>
                <w:sz w:val="28"/>
                <w:szCs w:val="28"/>
                <w:lang w:val="ru-RU"/>
              </w:rPr>
            </w:pPr>
            <w:r w:rsidRPr="00F90B6B">
              <w:rPr>
                <w:rFonts w:ascii="Times New Roman" w:hAnsi="Times New Roman"/>
                <w:b/>
                <w:sz w:val="28"/>
                <w:szCs w:val="28"/>
                <w:lang w:val="ru-RU"/>
              </w:rPr>
              <w:t>ВШ</w:t>
            </w:r>
          </w:p>
        </w:tc>
      </w:tr>
      <w:tr w:rsidR="00EF4063" w:rsidRPr="00F90B6B" w:rsidTr="00634277">
        <w:tc>
          <w:tcPr>
            <w:tcW w:w="3286" w:type="dxa"/>
            <w:vAlign w:val="center"/>
          </w:tcPr>
          <w:p w:rsidR="00EF4063" w:rsidRPr="00F90B6B" w:rsidRDefault="00EF4063" w:rsidP="00F0048B">
            <w:pPr>
              <w:spacing w:line="360" w:lineRule="auto"/>
              <w:jc w:val="center"/>
              <w:rPr>
                <w:rFonts w:ascii="Times New Roman" w:hAnsi="Times New Roman"/>
                <w:sz w:val="28"/>
                <w:szCs w:val="28"/>
              </w:rPr>
            </w:pPr>
            <w:r w:rsidRPr="00F90B6B">
              <w:rPr>
                <w:rFonts w:ascii="Times New Roman" w:hAnsi="Times New Roman"/>
                <w:sz w:val="28"/>
                <w:szCs w:val="28"/>
                <w:lang w:val="ru-RU"/>
              </w:rPr>
              <w:t>ІМТ 18,5-24,9</w:t>
            </w:r>
          </w:p>
        </w:tc>
        <w:tc>
          <w:tcPr>
            <w:tcW w:w="3287"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0,2</w:t>
            </w:r>
          </w:p>
        </w:tc>
        <w:tc>
          <w:tcPr>
            <w:tcW w:w="3282"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1,0</w:t>
            </w:r>
          </w:p>
        </w:tc>
      </w:tr>
      <w:tr w:rsidR="00EF4063" w:rsidRPr="00F90B6B" w:rsidTr="00634277">
        <w:tc>
          <w:tcPr>
            <w:tcW w:w="3286"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ІМТ 25-30</w:t>
            </w:r>
          </w:p>
        </w:tc>
        <w:tc>
          <w:tcPr>
            <w:tcW w:w="3287"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0,27</w:t>
            </w:r>
          </w:p>
        </w:tc>
        <w:tc>
          <w:tcPr>
            <w:tcW w:w="3282"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1,33</w:t>
            </w:r>
          </w:p>
        </w:tc>
      </w:tr>
      <w:tr w:rsidR="00EF4063" w:rsidRPr="00F90B6B" w:rsidTr="00634277">
        <w:tc>
          <w:tcPr>
            <w:tcW w:w="3286"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ІМТ більше 30</w:t>
            </w:r>
          </w:p>
        </w:tc>
        <w:tc>
          <w:tcPr>
            <w:tcW w:w="3287"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0,48</w:t>
            </w:r>
          </w:p>
        </w:tc>
        <w:tc>
          <w:tcPr>
            <w:tcW w:w="3282" w:type="dxa"/>
            <w:vAlign w:val="center"/>
          </w:tcPr>
          <w:p w:rsidR="00EF4063" w:rsidRPr="00F90B6B" w:rsidRDefault="00EF4063" w:rsidP="00F0048B">
            <w:pPr>
              <w:spacing w:line="360" w:lineRule="auto"/>
              <w:jc w:val="center"/>
              <w:rPr>
                <w:rFonts w:ascii="Times New Roman" w:hAnsi="Times New Roman"/>
                <w:sz w:val="28"/>
                <w:szCs w:val="28"/>
                <w:lang w:val="ru-RU"/>
              </w:rPr>
            </w:pPr>
            <w:r w:rsidRPr="00F90B6B">
              <w:rPr>
                <w:rFonts w:ascii="Times New Roman" w:hAnsi="Times New Roman"/>
                <w:sz w:val="28"/>
                <w:szCs w:val="28"/>
                <w:lang w:val="ru-RU"/>
              </w:rPr>
              <w:t>2,41</w:t>
            </w:r>
          </w:p>
        </w:tc>
      </w:tr>
    </w:tbl>
    <w:p w:rsidR="00EF4063" w:rsidRPr="00F90B6B" w:rsidRDefault="00EF4063" w:rsidP="00F0048B">
      <w:pPr>
        <w:spacing w:after="0" w:line="360" w:lineRule="auto"/>
        <w:ind w:firstLine="709"/>
        <w:jc w:val="both"/>
        <w:rPr>
          <w:rFonts w:ascii="Times New Roman" w:hAnsi="Times New Roman"/>
          <w:sz w:val="28"/>
          <w:szCs w:val="28"/>
          <w:lang w:val="ru-RU" w:eastAsia="uk-UA"/>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uk-UA"/>
        </w:rPr>
        <w:t>Розрахунковий χ2 в тесті Мантеля-Хенцеля для лінійного тренду дорівнював 1,34 (р=0,24). Наявність нормальної маси тіла до невірогідного збільшення частоти ХХН – очікувана частота 0,2, ВШ – 1,0, наявність надмірної ваги тіла, атакож ожиріння підвищує цю вірогідність в 1,33 та 2,41 разів. Кумулятивне ВШ (за Лью-Агресті) склало 1,818</w:t>
      </w:r>
      <w:r w:rsidRPr="00F90B6B">
        <w:rPr>
          <w:rFonts w:ascii="Times New Roman" w:hAnsi="Times New Roman"/>
          <w:sz w:val="28"/>
          <w:szCs w:val="28"/>
        </w:rPr>
        <w:t>СІ [0,764-4,328].</w:t>
      </w:r>
    </w:p>
    <w:p w:rsidR="00EF4063" w:rsidRPr="00F90B6B" w:rsidRDefault="00EF4063" w:rsidP="001B6B2E">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Окрім того, були розраховані шанси зниження фільтраційної функції нирок при переході від нормальної до надмірної ваги тіла та ожиріння, а також атрибутивна фракція для кожної з категорій, таблиця 3.2.4. </w:t>
      </w:r>
    </w:p>
    <w:p w:rsidR="00EF4063" w:rsidRPr="00F90B6B" w:rsidRDefault="00EF4063" w:rsidP="001B6B2E">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Результати, отримані у власній роботі співпадають з даними інших досліджень - у хворих ХСН та надмірною вагою, а також ХСН та ожирінням порівняно з групами хворих, які мають нормальну вагу, встановлено нижчі значення </w:t>
      </w:r>
      <w:r w:rsidRPr="00F90B6B">
        <w:rPr>
          <w:rFonts w:ascii="Times New Roman" w:hAnsi="Times New Roman"/>
          <w:sz w:val="28"/>
          <w:szCs w:val="28"/>
          <w:lang w:val="en-US"/>
        </w:rPr>
        <w:t>NTproBNP</w:t>
      </w:r>
      <w:r w:rsidRPr="00F90B6B">
        <w:rPr>
          <w:rFonts w:ascii="Times New Roman" w:hAnsi="Times New Roman"/>
          <w:sz w:val="28"/>
          <w:szCs w:val="28"/>
        </w:rPr>
        <w:t xml:space="preserve"> – 232,3±61,7 пмоль/мл (ІМТ більше 30), 180,9±48,6 пмоль/мл (ІМТ 25-30) проти 396,9±66,4 пмоль/мл в групі пацієнтів з нормальною вагою тіла (р&lt;0,05).</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right"/>
        <w:rPr>
          <w:rFonts w:ascii="Times New Roman" w:hAnsi="Times New Roman"/>
          <w:b/>
          <w:sz w:val="28"/>
          <w:szCs w:val="28"/>
        </w:rPr>
      </w:pPr>
    </w:p>
    <w:p w:rsidR="00EF4063" w:rsidRPr="00F90B6B" w:rsidRDefault="00EF4063" w:rsidP="00F0048B">
      <w:pPr>
        <w:spacing w:after="0" w:line="360" w:lineRule="auto"/>
        <w:ind w:firstLine="709"/>
        <w:jc w:val="right"/>
        <w:rPr>
          <w:rFonts w:ascii="Times New Roman" w:hAnsi="Times New Roman"/>
          <w:b/>
          <w:sz w:val="28"/>
          <w:szCs w:val="28"/>
        </w:rPr>
      </w:pPr>
      <w:r w:rsidRPr="00F90B6B">
        <w:rPr>
          <w:rFonts w:ascii="Times New Roman" w:hAnsi="Times New Roman"/>
          <w:b/>
          <w:sz w:val="28"/>
          <w:szCs w:val="28"/>
        </w:rPr>
        <w:lastRenderedPageBreak/>
        <w:t>Таблица 3.2.4</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Відношення шансів з урахуванням переходу від нормальної ваги тіла до надмірної та ожиріння для зниження фільтраційної функції нирок у хворих з хронічною серцевою недостатністю</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49"/>
        <w:gridCol w:w="2509"/>
        <w:gridCol w:w="1809"/>
        <w:gridCol w:w="3654"/>
      </w:tblGrid>
      <w:tr w:rsidR="00EF4063" w:rsidRPr="00F90B6B" w:rsidTr="00BB305F">
        <w:tc>
          <w:tcPr>
            <w:tcW w:w="1175" w:type="pct"/>
            <w:vAlign w:val="center"/>
          </w:tcPr>
          <w:p w:rsidR="00EF4063" w:rsidRPr="00F90B6B" w:rsidRDefault="00EF4063" w:rsidP="00BB305F">
            <w:pPr>
              <w:spacing w:after="0" w:line="288" w:lineRule="auto"/>
              <w:jc w:val="center"/>
              <w:rPr>
                <w:rFonts w:ascii="Times New Roman" w:hAnsi="Times New Roman"/>
                <w:b/>
                <w:sz w:val="28"/>
                <w:szCs w:val="28"/>
              </w:rPr>
            </w:pPr>
            <w:r w:rsidRPr="00F90B6B">
              <w:rPr>
                <w:rFonts w:ascii="Times New Roman" w:hAnsi="Times New Roman"/>
                <w:b/>
                <w:sz w:val="28"/>
                <w:szCs w:val="28"/>
              </w:rPr>
              <w:t>Підвищення маси тіла</w:t>
            </w:r>
          </w:p>
        </w:tc>
        <w:tc>
          <w:tcPr>
            <w:tcW w:w="1204" w:type="pct"/>
            <w:vAlign w:val="center"/>
          </w:tcPr>
          <w:p w:rsidR="00EF4063" w:rsidRPr="00F90B6B" w:rsidRDefault="00EF4063" w:rsidP="00BB305F">
            <w:pPr>
              <w:spacing w:after="0" w:line="288" w:lineRule="auto"/>
              <w:jc w:val="center"/>
              <w:rPr>
                <w:rFonts w:ascii="Times New Roman" w:hAnsi="Times New Roman"/>
                <w:b/>
                <w:sz w:val="28"/>
                <w:szCs w:val="28"/>
                <w:lang w:val="ru-RU"/>
              </w:rPr>
            </w:pPr>
            <w:r w:rsidRPr="00F90B6B">
              <w:rPr>
                <w:rFonts w:ascii="Times New Roman" w:hAnsi="Times New Roman"/>
                <w:b/>
                <w:sz w:val="28"/>
                <w:szCs w:val="28"/>
                <w:lang w:val="ru-RU"/>
              </w:rPr>
              <w:t>Показники відношення шансів в точках переходу</w:t>
            </w:r>
          </w:p>
        </w:tc>
        <w:tc>
          <w:tcPr>
            <w:tcW w:w="868" w:type="pct"/>
            <w:vAlign w:val="center"/>
          </w:tcPr>
          <w:p w:rsidR="00EF4063" w:rsidRPr="00F90B6B" w:rsidRDefault="00EF4063" w:rsidP="00BB305F">
            <w:pPr>
              <w:spacing w:after="0" w:line="288" w:lineRule="auto"/>
              <w:jc w:val="center"/>
              <w:rPr>
                <w:rFonts w:ascii="Times New Roman" w:hAnsi="Times New Roman"/>
                <w:b/>
                <w:sz w:val="28"/>
                <w:szCs w:val="28"/>
                <w:lang w:val="ru-RU"/>
              </w:rPr>
            </w:pPr>
            <w:r w:rsidRPr="00F90B6B">
              <w:rPr>
                <w:rFonts w:ascii="Times New Roman" w:hAnsi="Times New Roman"/>
                <w:b/>
                <w:sz w:val="28"/>
                <w:szCs w:val="28"/>
                <w:lang w:val="ru-RU"/>
              </w:rPr>
              <w:t>Значення ІМТ</w:t>
            </w:r>
          </w:p>
        </w:tc>
        <w:tc>
          <w:tcPr>
            <w:tcW w:w="1753" w:type="pct"/>
            <w:vAlign w:val="center"/>
          </w:tcPr>
          <w:p w:rsidR="00EF4063" w:rsidRPr="00F90B6B" w:rsidRDefault="00EF4063" w:rsidP="00BB305F">
            <w:pPr>
              <w:spacing w:after="0" w:line="288" w:lineRule="auto"/>
              <w:jc w:val="center"/>
              <w:rPr>
                <w:rFonts w:ascii="Times New Roman" w:hAnsi="Times New Roman"/>
                <w:b/>
                <w:sz w:val="28"/>
                <w:szCs w:val="28"/>
                <w:lang w:val="ru-RU"/>
              </w:rPr>
            </w:pPr>
            <w:r w:rsidRPr="00F90B6B">
              <w:rPr>
                <w:rFonts w:ascii="Times New Roman" w:hAnsi="Times New Roman"/>
                <w:b/>
                <w:sz w:val="28"/>
                <w:szCs w:val="28"/>
                <w:lang w:val="ru-RU"/>
              </w:rPr>
              <w:t>Атрибутивна фракція для категорій ризику з рівнями вірогідності 95%[</w:t>
            </w:r>
            <w:r w:rsidRPr="00F90B6B">
              <w:rPr>
                <w:rFonts w:ascii="Times New Roman" w:hAnsi="Times New Roman"/>
                <w:b/>
                <w:sz w:val="28"/>
                <w:szCs w:val="28"/>
                <w:lang w:val="en-US"/>
              </w:rPr>
              <w:t>CI</w:t>
            </w:r>
            <w:r w:rsidRPr="00F90B6B">
              <w:rPr>
                <w:rFonts w:ascii="Times New Roman" w:hAnsi="Times New Roman"/>
                <w:b/>
                <w:sz w:val="28"/>
                <w:szCs w:val="28"/>
                <w:lang w:val="ru-RU"/>
              </w:rPr>
              <w:t>]</w:t>
            </w:r>
          </w:p>
        </w:tc>
      </w:tr>
      <w:tr w:rsidR="00EF4063" w:rsidRPr="00F90B6B" w:rsidTr="00BB305F">
        <w:tc>
          <w:tcPr>
            <w:tcW w:w="1175" w:type="pct"/>
            <w:vAlign w:val="center"/>
          </w:tcPr>
          <w:p w:rsidR="00EF4063" w:rsidRPr="00F90B6B" w:rsidRDefault="00EF4063" w:rsidP="00BB305F">
            <w:pPr>
              <w:spacing w:after="0" w:line="288" w:lineRule="auto"/>
              <w:jc w:val="center"/>
              <w:rPr>
                <w:rFonts w:ascii="Times New Roman" w:hAnsi="Times New Roman"/>
                <w:i/>
                <w:sz w:val="28"/>
                <w:szCs w:val="28"/>
                <w:lang w:val="ru-RU"/>
              </w:rPr>
            </w:pPr>
            <w:r w:rsidRPr="00F90B6B">
              <w:rPr>
                <w:rFonts w:ascii="Times New Roman" w:hAnsi="Times New Roman"/>
                <w:i/>
                <w:sz w:val="28"/>
                <w:szCs w:val="28"/>
                <w:lang w:val="ru-RU"/>
              </w:rPr>
              <w:t>З нормальної до надмірної</w:t>
            </w:r>
          </w:p>
        </w:tc>
        <w:tc>
          <w:tcPr>
            <w:tcW w:w="1204" w:type="pct"/>
            <w:vAlign w:val="center"/>
          </w:tcPr>
          <w:p w:rsidR="00EF4063" w:rsidRPr="00F90B6B" w:rsidRDefault="00EF4063" w:rsidP="00BB305F">
            <w:pPr>
              <w:spacing w:after="0" w:line="288" w:lineRule="auto"/>
              <w:jc w:val="center"/>
              <w:rPr>
                <w:rFonts w:ascii="Times New Roman" w:hAnsi="Times New Roman"/>
                <w:sz w:val="28"/>
                <w:szCs w:val="28"/>
                <w:lang w:val="ru-RU"/>
              </w:rPr>
            </w:pPr>
            <w:r w:rsidRPr="00F90B6B">
              <w:rPr>
                <w:rFonts w:ascii="Times New Roman" w:hAnsi="Times New Roman"/>
                <w:sz w:val="28"/>
                <w:szCs w:val="28"/>
                <w:lang w:eastAsia="uk-UA"/>
              </w:rPr>
              <w:t>1,842</w:t>
            </w:r>
          </w:p>
        </w:tc>
        <w:tc>
          <w:tcPr>
            <w:tcW w:w="868" w:type="pct"/>
            <w:vAlign w:val="center"/>
          </w:tcPr>
          <w:p w:rsidR="00EF4063" w:rsidRPr="00F90B6B" w:rsidRDefault="00EF4063" w:rsidP="00BB305F">
            <w:pPr>
              <w:spacing w:after="0" w:line="288" w:lineRule="auto"/>
              <w:jc w:val="center"/>
              <w:rPr>
                <w:rFonts w:ascii="Times New Roman" w:hAnsi="Times New Roman"/>
                <w:sz w:val="28"/>
                <w:szCs w:val="28"/>
                <w:lang w:val="ru-RU"/>
              </w:rPr>
            </w:pPr>
            <w:r w:rsidRPr="00F90B6B">
              <w:rPr>
                <w:rFonts w:ascii="Times New Roman" w:hAnsi="Times New Roman"/>
                <w:sz w:val="28"/>
                <w:szCs w:val="28"/>
                <w:lang w:val="ru-RU"/>
              </w:rPr>
              <w:t>25</w:t>
            </w:r>
          </w:p>
        </w:tc>
        <w:tc>
          <w:tcPr>
            <w:tcW w:w="1753" w:type="pct"/>
            <w:vAlign w:val="center"/>
          </w:tcPr>
          <w:p w:rsidR="00EF4063" w:rsidRPr="00F90B6B" w:rsidRDefault="00EF4063" w:rsidP="00BB305F">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24,91%</w:t>
            </w:r>
          </w:p>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w:t>
            </w:r>
            <w:r w:rsidRPr="00F90B6B">
              <w:rPr>
                <w:rFonts w:ascii="Times New Roman" w:hAnsi="Times New Roman"/>
                <w:sz w:val="28"/>
                <w:szCs w:val="28"/>
              </w:rPr>
              <w:t>0-</w:t>
            </w:r>
            <w:r w:rsidRPr="00F90B6B">
              <w:rPr>
                <w:rFonts w:ascii="Times New Roman" w:hAnsi="Times New Roman"/>
                <w:sz w:val="28"/>
                <w:szCs w:val="28"/>
                <w:lang w:eastAsia="uk-UA"/>
              </w:rPr>
              <w:t>46,51</w:t>
            </w:r>
            <w:r w:rsidRPr="00F90B6B">
              <w:rPr>
                <w:rFonts w:ascii="Times New Roman" w:hAnsi="Times New Roman"/>
                <w:sz w:val="28"/>
                <w:szCs w:val="28"/>
                <w:lang w:val="en-US"/>
              </w:rPr>
              <w:t>]</w:t>
            </w:r>
          </w:p>
        </w:tc>
      </w:tr>
      <w:tr w:rsidR="00EF4063" w:rsidRPr="00F90B6B" w:rsidTr="00BB305F">
        <w:tc>
          <w:tcPr>
            <w:tcW w:w="1175" w:type="pct"/>
            <w:vAlign w:val="center"/>
          </w:tcPr>
          <w:p w:rsidR="00EF4063" w:rsidRPr="00F90B6B" w:rsidRDefault="00EF4063" w:rsidP="00BB305F">
            <w:pPr>
              <w:spacing w:after="0" w:line="288" w:lineRule="auto"/>
              <w:jc w:val="center"/>
              <w:rPr>
                <w:rFonts w:ascii="Times New Roman" w:hAnsi="Times New Roman"/>
                <w:i/>
                <w:sz w:val="28"/>
                <w:szCs w:val="28"/>
                <w:lang w:val="ru-RU"/>
              </w:rPr>
            </w:pPr>
            <w:r w:rsidRPr="00F90B6B">
              <w:rPr>
                <w:rFonts w:ascii="Times New Roman" w:hAnsi="Times New Roman"/>
                <w:i/>
                <w:sz w:val="28"/>
                <w:szCs w:val="28"/>
                <w:lang w:val="ru-RU"/>
              </w:rPr>
              <w:t>З надмірної до ожиріння</w:t>
            </w:r>
          </w:p>
        </w:tc>
        <w:tc>
          <w:tcPr>
            <w:tcW w:w="1204" w:type="pct"/>
            <w:vAlign w:val="center"/>
          </w:tcPr>
          <w:p w:rsidR="00EF4063" w:rsidRPr="00F90B6B" w:rsidRDefault="00EF4063" w:rsidP="00BB305F">
            <w:pPr>
              <w:spacing w:after="0" w:line="288" w:lineRule="auto"/>
              <w:jc w:val="center"/>
              <w:rPr>
                <w:rFonts w:ascii="Times New Roman" w:hAnsi="Times New Roman"/>
                <w:sz w:val="28"/>
                <w:szCs w:val="28"/>
                <w:lang w:val="ru-RU"/>
              </w:rPr>
            </w:pPr>
            <w:r w:rsidRPr="00F90B6B">
              <w:rPr>
                <w:rFonts w:ascii="Times New Roman" w:hAnsi="Times New Roman"/>
                <w:sz w:val="28"/>
                <w:szCs w:val="28"/>
                <w:lang w:eastAsia="uk-UA"/>
              </w:rPr>
              <w:t>1,926</w:t>
            </w:r>
          </w:p>
        </w:tc>
        <w:tc>
          <w:tcPr>
            <w:tcW w:w="868" w:type="pct"/>
            <w:vAlign w:val="center"/>
          </w:tcPr>
          <w:p w:rsidR="00EF4063" w:rsidRPr="00F90B6B" w:rsidRDefault="00EF4063" w:rsidP="00BB305F">
            <w:pPr>
              <w:spacing w:after="0" w:line="288" w:lineRule="auto"/>
              <w:jc w:val="center"/>
              <w:rPr>
                <w:rFonts w:ascii="Times New Roman" w:hAnsi="Times New Roman"/>
                <w:sz w:val="28"/>
                <w:szCs w:val="28"/>
                <w:lang w:val="ru-RU"/>
              </w:rPr>
            </w:pPr>
            <w:r w:rsidRPr="00F90B6B">
              <w:rPr>
                <w:rFonts w:ascii="Times New Roman" w:hAnsi="Times New Roman"/>
                <w:sz w:val="28"/>
                <w:szCs w:val="28"/>
                <w:lang w:val="ru-RU"/>
              </w:rPr>
              <w:t>30</w:t>
            </w:r>
          </w:p>
        </w:tc>
        <w:tc>
          <w:tcPr>
            <w:tcW w:w="1753" w:type="pct"/>
            <w:vAlign w:val="center"/>
          </w:tcPr>
          <w:p w:rsidR="00EF4063" w:rsidRPr="00F90B6B" w:rsidRDefault="00EF4063" w:rsidP="00BB305F">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24,16%</w:t>
            </w:r>
          </w:p>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lang w:val="en-US"/>
              </w:rPr>
              <w:t>[</w:t>
            </w:r>
            <w:r w:rsidRPr="00F90B6B">
              <w:rPr>
                <w:rFonts w:ascii="Times New Roman" w:hAnsi="Times New Roman"/>
                <w:sz w:val="28"/>
                <w:szCs w:val="28"/>
                <w:lang w:eastAsia="uk-UA"/>
              </w:rPr>
              <w:t>0-66,99</w:t>
            </w:r>
            <w:r w:rsidRPr="00F90B6B">
              <w:rPr>
                <w:rFonts w:ascii="Times New Roman" w:hAnsi="Times New Roman"/>
                <w:sz w:val="28"/>
                <w:szCs w:val="28"/>
                <w:lang w:val="en-US"/>
              </w:rPr>
              <w:t>]</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p>
    <w:p w:rsidR="00EF4063" w:rsidRPr="00F90B6B" w:rsidRDefault="006F7754" w:rsidP="00F0048B">
      <w:pPr>
        <w:shd w:val="clear" w:color="auto" w:fill="FFFFFF"/>
        <w:spacing w:after="0" w:line="360" w:lineRule="auto"/>
        <w:ind w:firstLine="709"/>
        <w:jc w:val="both"/>
        <w:rPr>
          <w:rFonts w:ascii="Times New Roman" w:hAnsi="Times New Roman"/>
          <w:sz w:val="28"/>
          <w:szCs w:val="28"/>
        </w:rPr>
      </w:pPr>
      <w:r w:rsidRPr="00BD2F09">
        <w:rPr>
          <w:rFonts w:ascii="Times New Roman" w:hAnsi="Times New Roman"/>
          <w:noProof/>
          <w:lang w:val="ru-RU" w:eastAsia="ru-RU"/>
        </w:rPr>
        <w:drawing>
          <wp:inline distT="0" distB="0" distL="0" distR="0">
            <wp:extent cx="5543550" cy="3019425"/>
            <wp:effectExtent l="0" t="0" r="0" b="0"/>
            <wp:docPr id="27"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EF4063" w:rsidRPr="00F90B6B" w:rsidRDefault="006F7754" w:rsidP="00F0048B">
      <w:pPr>
        <w:shd w:val="clear" w:color="auto" w:fill="FFFFFF"/>
        <w:spacing w:after="0" w:line="360" w:lineRule="auto"/>
        <w:ind w:firstLine="709"/>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64384" behindDoc="0" locked="0" layoutInCell="1" allowOverlap="1">
                <wp:simplePos x="0" y="0"/>
                <wp:positionH relativeFrom="column">
                  <wp:posOffset>1421130</wp:posOffset>
                </wp:positionH>
                <wp:positionV relativeFrom="paragraph">
                  <wp:posOffset>272415</wp:posOffset>
                </wp:positionV>
                <wp:extent cx="228600" cy="244475"/>
                <wp:effectExtent l="0" t="0" r="19050" b="22225"/>
                <wp:wrapNone/>
                <wp:docPr id="15" name="5-конечная звезда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244475"/>
                        </a:xfrm>
                        <a:custGeom>
                          <a:avLst/>
                          <a:gdLst>
                            <a:gd name="T0" fmla="*/ 0 w 228600"/>
                            <a:gd name="T1" fmla="*/ 93381 h 244475"/>
                            <a:gd name="T2" fmla="*/ 87318 w 228600"/>
                            <a:gd name="T3" fmla="*/ 93382 h 244475"/>
                            <a:gd name="T4" fmla="*/ 114300 w 228600"/>
                            <a:gd name="T5" fmla="*/ 0 h 244475"/>
                            <a:gd name="T6" fmla="*/ 141282 w 228600"/>
                            <a:gd name="T7" fmla="*/ 93382 h 244475"/>
                            <a:gd name="T8" fmla="*/ 228600 w 228600"/>
                            <a:gd name="T9" fmla="*/ 93381 h 244475"/>
                            <a:gd name="T10" fmla="*/ 157958 w 228600"/>
                            <a:gd name="T11" fmla="*/ 151093 h 244475"/>
                            <a:gd name="T12" fmla="*/ 184941 w 228600"/>
                            <a:gd name="T13" fmla="*/ 244474 h 244475"/>
                            <a:gd name="T14" fmla="*/ 114300 w 228600"/>
                            <a:gd name="T15" fmla="*/ 186761 h 244475"/>
                            <a:gd name="T16" fmla="*/ 43659 w 228600"/>
                            <a:gd name="T17" fmla="*/ 244474 h 244475"/>
                            <a:gd name="T18" fmla="*/ 70642 w 228600"/>
                            <a:gd name="T19" fmla="*/ 151093 h 244475"/>
                            <a:gd name="T20" fmla="*/ 0 w 228600"/>
                            <a:gd name="T21" fmla="*/ 93381 h 244475"/>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8600" h="244475">
                              <a:moveTo>
                                <a:pt x="0" y="93381"/>
                              </a:moveTo>
                              <a:lnTo>
                                <a:pt x="87318" y="93382"/>
                              </a:lnTo>
                              <a:lnTo>
                                <a:pt x="114300" y="0"/>
                              </a:lnTo>
                              <a:lnTo>
                                <a:pt x="141282" y="93382"/>
                              </a:lnTo>
                              <a:lnTo>
                                <a:pt x="228600" y="93381"/>
                              </a:lnTo>
                              <a:lnTo>
                                <a:pt x="157958" y="151093"/>
                              </a:lnTo>
                              <a:lnTo>
                                <a:pt x="184941" y="244474"/>
                              </a:lnTo>
                              <a:lnTo>
                                <a:pt x="114300" y="186761"/>
                              </a:lnTo>
                              <a:lnTo>
                                <a:pt x="43659" y="244474"/>
                              </a:lnTo>
                              <a:lnTo>
                                <a:pt x="70642" y="151093"/>
                              </a:lnTo>
                              <a:lnTo>
                                <a:pt x="0" y="93381"/>
                              </a:lnTo>
                              <a:close/>
                            </a:path>
                          </a:pathLst>
                        </a:custGeom>
                        <a:solidFill>
                          <a:srgbClr val="4F81BD"/>
                        </a:solidFill>
                        <a:ln w="25400">
                          <a:solidFill>
                            <a:srgbClr val="243F6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78B06A" id="5-конечная звезда 1" o:spid="_x0000_s1026" style="position:absolute;margin-left:111.9pt;margin-top:21.45pt;width:18pt;height:1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28600,244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" path="m,93381r87318,1l114300,r26982,93382l228600,93381r-70642,57712l184941,244474,114300,186761,43659,244474,70642,151093,,93381xe" fillcolor="#4f81bd" strokecolor="#243f60" strokeweight="2pt">
                <v:path arrowok="t" o:connecttype="custom" o:connectlocs="0,93381;87318,93382;114300,0;141282,93382;228600,93381;157958,151093;184941,244474;114300,186761;43659,244474;70642,151093;0,93381" o:connectangles="0,0,0,0,0,0,0,0,0,0,0"/>
              </v:shape>
            </w:pict>
          </mc:Fallback>
        </mc:AlternateContent>
      </w:r>
      <w:r w:rsidR="00EF4063" w:rsidRPr="00F90B6B">
        <w:rPr>
          <w:rFonts w:ascii="Times New Roman" w:hAnsi="Times New Roman"/>
          <w:b/>
          <w:sz w:val="28"/>
          <w:szCs w:val="28"/>
        </w:rPr>
        <w:t xml:space="preserve">Рис. 3.2.10. </w:t>
      </w:r>
      <w:r w:rsidR="00EF4063" w:rsidRPr="00F90B6B">
        <w:rPr>
          <w:rFonts w:ascii="Times New Roman" w:hAnsi="Times New Roman"/>
          <w:sz w:val="28"/>
          <w:szCs w:val="28"/>
        </w:rPr>
        <w:t xml:space="preserve">Рівень </w:t>
      </w:r>
      <w:r w:rsidR="00EF4063" w:rsidRPr="00F90B6B">
        <w:rPr>
          <w:rFonts w:ascii="Times New Roman" w:hAnsi="Times New Roman"/>
          <w:sz w:val="28"/>
          <w:szCs w:val="28"/>
          <w:lang w:val="en-US"/>
        </w:rPr>
        <w:t>NTproBNP</w:t>
      </w:r>
      <w:r w:rsidR="00EF4063" w:rsidRPr="00F90B6B">
        <w:rPr>
          <w:rFonts w:ascii="Times New Roman" w:hAnsi="Times New Roman"/>
          <w:sz w:val="28"/>
          <w:szCs w:val="28"/>
        </w:rPr>
        <w:t xml:space="preserve"> у пацієнтів з ХСН залежно від ваги тіла.</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i/>
          <w:sz w:val="28"/>
          <w:szCs w:val="28"/>
        </w:rPr>
        <w:t xml:space="preserve">Примітка:        - </w:t>
      </w:r>
      <w:r w:rsidRPr="00F90B6B">
        <w:rPr>
          <w:rFonts w:ascii="Times New Roman" w:hAnsi="Times New Roman"/>
          <w:sz w:val="28"/>
          <w:szCs w:val="28"/>
        </w:rPr>
        <w:t>вірогідна різниця показників (</w:t>
      </w:r>
      <w:r w:rsidRPr="00F90B6B">
        <w:rPr>
          <w:rFonts w:ascii="Times New Roman" w:hAnsi="Times New Roman"/>
          <w:sz w:val="28"/>
          <w:szCs w:val="28"/>
          <w:lang w:val="en-US"/>
        </w:rPr>
        <w:t>p</w:t>
      </w:r>
      <w:r w:rsidRPr="00F90B6B">
        <w:rPr>
          <w:rFonts w:ascii="Times New Roman" w:hAnsi="Times New Roman"/>
          <w:sz w:val="28"/>
          <w:szCs w:val="28"/>
        </w:rPr>
        <w:t>&lt;0,05).</w:t>
      </w:r>
    </w:p>
    <w:p w:rsidR="00BB305F" w:rsidRPr="007E797D" w:rsidRDefault="00BB305F" w:rsidP="00F0048B">
      <w:pPr>
        <w:shd w:val="clear" w:color="auto" w:fill="FFFFFF"/>
        <w:spacing w:after="0" w:line="360" w:lineRule="auto"/>
        <w:ind w:firstLine="709"/>
        <w:jc w:val="both"/>
        <w:rPr>
          <w:rFonts w:ascii="Times New Roman" w:hAnsi="Times New Roman"/>
          <w:sz w:val="28"/>
          <w:szCs w:val="28"/>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 xml:space="preserve">В усіх випадках вміст </w:t>
      </w:r>
      <w:r w:rsidRPr="00F90B6B">
        <w:rPr>
          <w:rFonts w:ascii="Times New Roman" w:hAnsi="Times New Roman"/>
          <w:sz w:val="28"/>
          <w:szCs w:val="28"/>
          <w:lang w:val="en-US"/>
        </w:rPr>
        <w:t>NTproBNP</w:t>
      </w:r>
      <w:r w:rsidRPr="00F90B6B">
        <w:rPr>
          <w:rFonts w:ascii="Times New Roman" w:hAnsi="Times New Roman"/>
          <w:sz w:val="28"/>
          <w:szCs w:val="28"/>
        </w:rPr>
        <w:t xml:space="preserve"> був вірогідно вищим порівняно з групою контролю (46,9±28,9</w:t>
      </w:r>
      <w:r w:rsidRPr="00F90B6B">
        <w:rPr>
          <w:rFonts w:ascii="Times New Roman" w:hAnsi="Times New Roman"/>
          <w:sz w:val="28"/>
          <w:szCs w:val="28"/>
          <w:lang w:val="ru-RU"/>
        </w:rPr>
        <w:t xml:space="preserve"> </w:t>
      </w:r>
      <w:r w:rsidRPr="00F90B6B">
        <w:rPr>
          <w:rFonts w:ascii="Times New Roman" w:hAnsi="Times New Roman"/>
          <w:sz w:val="28"/>
          <w:szCs w:val="28"/>
        </w:rPr>
        <w:t>пмоль/мл,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Результати дослідження вмісту альдостерону наведені на рис. 3.2.11.</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Зважаючи на те, що розподіл значень даного біомаркеру суттєво відрізнявся від нормального, були засосовані методи непараметричної статистики і дані </w:t>
      </w:r>
      <w:r w:rsidRPr="00F90B6B">
        <w:rPr>
          <w:rFonts w:ascii="Times New Roman" w:hAnsi="Times New Roman"/>
          <w:sz w:val="28"/>
          <w:szCs w:val="28"/>
        </w:rPr>
        <w:lastRenderedPageBreak/>
        <w:t>представлені у вигляді Ме(</w:t>
      </w:r>
      <w:r w:rsidRPr="00F90B6B">
        <w:rPr>
          <w:rFonts w:ascii="Times New Roman" w:hAnsi="Times New Roman"/>
          <w:sz w:val="28"/>
          <w:szCs w:val="28"/>
          <w:lang w:val="en-US"/>
        </w:rPr>
        <w:t>Q</w:t>
      </w:r>
      <w:r w:rsidRPr="00F90B6B">
        <w:rPr>
          <w:rFonts w:ascii="Times New Roman" w:hAnsi="Times New Roman"/>
          <w:sz w:val="28"/>
          <w:szCs w:val="28"/>
          <w:vertAlign w:val="subscript"/>
        </w:rPr>
        <w:t>25-</w:t>
      </w:r>
      <w:r w:rsidRPr="00F90B6B">
        <w:rPr>
          <w:rFonts w:ascii="Times New Roman" w:hAnsi="Times New Roman"/>
          <w:sz w:val="28"/>
          <w:szCs w:val="28"/>
          <w:lang w:val="en-US"/>
        </w:rPr>
        <w:t>Q</w:t>
      </w:r>
      <w:r w:rsidRPr="00F90B6B">
        <w:rPr>
          <w:rFonts w:ascii="Times New Roman" w:hAnsi="Times New Roman"/>
          <w:sz w:val="28"/>
          <w:szCs w:val="28"/>
          <w:vertAlign w:val="subscript"/>
        </w:rPr>
        <w:t>75</w:t>
      </w:r>
      <w:r w:rsidRPr="00F90B6B">
        <w:rPr>
          <w:rFonts w:ascii="Times New Roman" w:hAnsi="Times New Roman"/>
          <w:sz w:val="28"/>
          <w:szCs w:val="28"/>
        </w:rPr>
        <w:t>). Зокрема, при нормальній вазі тіла у хворих з ХСН рівень альдостерону був 72,2(59,2-78,6) пг/мл, при надмірній – 60,3(48,9-81,6) пг/мл, при ожирінні – 56,8(44,7-71,9) пг/мл. Цікавим виявився той факт, що вміст даного гормону при нормальній вазі виявився вищим, ніж при надмірній вазі та ожирінні у хворих з ХСН (р&lt;0,05), а також вірогідна різниця від групи контролю – 61,1(49,8-76,3) пг/мл встановлена лише для групи з ІМТ 18,5-24,9 та ХСН. На нашу думку, в даному випадку слід проводити більш розширене дослідження з пошуком причин та наслідкових взаємодій, які могли б модифікувати синтез даного гормону. В той же час, в усіх групах рівень альдостерону не відрізнявся від загальноприйнятих референсних значень 13-145 пг/мл.</w:t>
      </w:r>
    </w:p>
    <w:p w:rsidR="00EF4063" w:rsidRPr="00F90B6B" w:rsidRDefault="00EF4063" w:rsidP="00F0048B">
      <w:pPr>
        <w:shd w:val="clear" w:color="auto" w:fill="FFFFFF"/>
        <w:spacing w:after="0" w:line="360" w:lineRule="auto"/>
        <w:ind w:firstLine="709"/>
        <w:jc w:val="center"/>
        <w:rPr>
          <w:rFonts w:ascii="Times New Roman" w:hAnsi="Times New Roman"/>
        </w:rPr>
      </w:pPr>
      <w:r w:rsidRPr="00F90B6B">
        <w:rPr>
          <w:rFonts w:ascii="Times New Roman" w:hAnsi="Times New Roman"/>
        </w:rPr>
        <w:object w:dxaOrig="7020" w:dyaOrig="5265">
          <v:shape id="_x0000_i1046" type="#_x0000_t75" style="width:351pt;height:263.25pt" o:ole="">
            <v:imagedata r:id="rId67" o:title=""/>
          </v:shape>
          <o:OLEObject Type="Embed" ProgID="STATISTICA.Graph" ShapeID="_x0000_i1046" DrawAspect="Content" ObjectID="_1624460769" r:id="rId68">
            <o:FieldCodes>\s</o:FieldCodes>
          </o:OLEObject>
        </w:objec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3.2.11. </w:t>
      </w:r>
      <w:r w:rsidRPr="00F90B6B">
        <w:rPr>
          <w:rFonts w:ascii="Times New Roman" w:hAnsi="Times New Roman"/>
          <w:sz w:val="28"/>
          <w:szCs w:val="28"/>
        </w:rPr>
        <w:t>Вміст альдостерону</w:t>
      </w:r>
      <w:r w:rsidRPr="00F90B6B">
        <w:rPr>
          <w:rFonts w:ascii="Times New Roman" w:hAnsi="Times New Roman"/>
          <w:sz w:val="28"/>
          <w:szCs w:val="28"/>
          <w:lang w:val="ru-RU"/>
        </w:rPr>
        <w:t xml:space="preserve"> </w:t>
      </w:r>
      <w:r w:rsidRPr="00F90B6B">
        <w:rPr>
          <w:rFonts w:ascii="Times New Roman" w:hAnsi="Times New Roman"/>
          <w:sz w:val="28"/>
          <w:szCs w:val="28"/>
        </w:rPr>
        <w:t>у пацієнтів з ХСН залежно від ваги тіла.</w:t>
      </w:r>
    </w:p>
    <w:p w:rsidR="00BB305F" w:rsidRPr="00F90B6B" w:rsidRDefault="00EF4063" w:rsidP="00BB305F">
      <w:pPr>
        <w:shd w:val="clear" w:color="auto" w:fill="FFFFFF"/>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Вміст основних іонів плазми – натрію та калію у пацієнтів з ХСН наведено на рис. 3.2.12.</w:t>
      </w:r>
      <w:r w:rsidR="00BB305F" w:rsidRPr="00F90B6B">
        <w:rPr>
          <w:rFonts w:ascii="Times New Roman" w:hAnsi="Times New Roman"/>
          <w:sz w:val="28"/>
          <w:szCs w:val="28"/>
        </w:rPr>
        <w:t xml:space="preserve"> </w:t>
      </w:r>
    </w:p>
    <w:p w:rsidR="00BB305F" w:rsidRPr="00F90B6B" w:rsidRDefault="00BB305F" w:rsidP="00BB305F">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Окрім того, було проведено оцінку рівня </w:t>
      </w:r>
      <w:r w:rsidRPr="00F90B6B">
        <w:rPr>
          <w:rFonts w:ascii="Times New Roman" w:hAnsi="Times New Roman"/>
          <w:sz w:val="28"/>
          <w:szCs w:val="28"/>
          <w:lang w:val="en-US"/>
        </w:rPr>
        <w:t>NTproBNP</w:t>
      </w:r>
      <w:r w:rsidRPr="00F90B6B">
        <w:rPr>
          <w:rFonts w:ascii="Times New Roman" w:hAnsi="Times New Roman"/>
          <w:sz w:val="28"/>
          <w:szCs w:val="28"/>
        </w:rPr>
        <w:t xml:space="preserve"> у пацієнтів з ожирінням, залежно від рівня натрію плазми крові.</w:t>
      </w:r>
    </w:p>
    <w:p w:rsidR="00BB305F" w:rsidRPr="00F90B6B" w:rsidRDefault="00BB305F" w:rsidP="00BB305F">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Відповідно, виділено три групи – гіпонатріємії (</w:t>
      </w:r>
      <w:r w:rsidRPr="00F90B6B">
        <w:rPr>
          <w:rFonts w:ascii="Times New Roman" w:hAnsi="Times New Roman"/>
          <w:sz w:val="28"/>
          <w:szCs w:val="28"/>
          <w:lang w:val="en-US"/>
        </w:rPr>
        <w:t>Na</w:t>
      </w:r>
      <w:r w:rsidRPr="00F90B6B">
        <w:rPr>
          <w:rFonts w:ascii="Times New Roman" w:hAnsi="Times New Roman"/>
          <w:sz w:val="28"/>
          <w:szCs w:val="28"/>
        </w:rPr>
        <w:t xml:space="preserve"> – нижче 135 ммоль/л), нормонатріємії (</w:t>
      </w:r>
      <w:r w:rsidRPr="00F90B6B">
        <w:rPr>
          <w:rFonts w:ascii="Times New Roman" w:hAnsi="Times New Roman"/>
          <w:sz w:val="28"/>
          <w:szCs w:val="28"/>
          <w:lang w:val="en-US"/>
        </w:rPr>
        <w:t>Na</w:t>
      </w:r>
      <w:r w:rsidRPr="00F90B6B">
        <w:rPr>
          <w:rFonts w:ascii="Times New Roman" w:hAnsi="Times New Roman"/>
          <w:sz w:val="28"/>
          <w:szCs w:val="28"/>
        </w:rPr>
        <w:t xml:space="preserve"> – 135-155 ммоль/л) та гіпертнатріємії (</w:t>
      </w:r>
      <w:r w:rsidRPr="00F90B6B">
        <w:rPr>
          <w:rFonts w:ascii="Times New Roman" w:hAnsi="Times New Roman"/>
          <w:sz w:val="28"/>
          <w:szCs w:val="28"/>
          <w:lang w:val="en-US"/>
        </w:rPr>
        <w:t>Na</w:t>
      </w:r>
      <w:r w:rsidRPr="00F90B6B">
        <w:rPr>
          <w:rFonts w:ascii="Times New Roman" w:hAnsi="Times New Roman"/>
          <w:sz w:val="28"/>
          <w:szCs w:val="28"/>
        </w:rPr>
        <w:t xml:space="preserve"> – більше 155 ммоль/л).</w:t>
      </w:r>
    </w:p>
    <w:p w:rsidR="00BB305F" w:rsidRPr="00F90B6B" w:rsidRDefault="00BB305F" w:rsidP="00BB305F">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Отримані результати наведені на рис. 3.2.1</w:t>
      </w:r>
      <w:r w:rsidRPr="00F90B6B">
        <w:rPr>
          <w:rFonts w:ascii="Times New Roman" w:hAnsi="Times New Roman"/>
          <w:sz w:val="28"/>
          <w:szCs w:val="28"/>
          <w:lang w:val="ru-RU"/>
        </w:rPr>
        <w:t>3</w:t>
      </w:r>
      <w:r w:rsidRPr="00F90B6B">
        <w:rPr>
          <w:rFonts w:ascii="Times New Roman" w:hAnsi="Times New Roman"/>
          <w:sz w:val="28"/>
          <w:szCs w:val="28"/>
        </w:rPr>
        <w:t>.</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p>
    <w:tbl>
      <w:tblPr>
        <w:tblW w:w="0" w:type="auto"/>
        <w:tblLayout w:type="fixed"/>
        <w:tblLook w:val="00A0" w:firstRow="1" w:lastRow="0" w:firstColumn="1" w:lastColumn="0" w:noHBand="0" w:noVBand="0"/>
      </w:tblPr>
      <w:tblGrid>
        <w:gridCol w:w="4928"/>
        <w:gridCol w:w="4927"/>
      </w:tblGrid>
      <w:tr w:rsidR="00EF4063" w:rsidRPr="00F90B6B" w:rsidTr="0076299F">
        <w:tc>
          <w:tcPr>
            <w:tcW w:w="4928"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4860" w:dyaOrig="3645">
                <v:shape id="_x0000_i1047" type="#_x0000_t75" style="width:243pt;height:182.25pt" o:ole="">
                  <v:imagedata r:id="rId69" o:title=""/>
                </v:shape>
                <o:OLEObject Type="Embed" ProgID="STATISTICA.Graph" ShapeID="_x0000_i1047" DrawAspect="Content" ObjectID="_1624460770" r:id="rId70">
                  <o:FieldCodes>\s</o:FieldCodes>
                </o:OLEObject>
              </w:object>
            </w:r>
          </w:p>
        </w:tc>
        <w:tc>
          <w:tcPr>
            <w:tcW w:w="4927"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5130" w:dyaOrig="3855">
                <v:shape id="_x0000_i1048" type="#_x0000_t75" style="width:256.5pt;height:192.75pt" o:ole="">
                  <v:imagedata r:id="rId71" o:title=""/>
                </v:shape>
                <o:OLEObject Type="Embed" ProgID="STATISTICA.Graph" ShapeID="_x0000_i1048" DrawAspect="Content" ObjectID="_1624460771" r:id="rId72">
                  <o:FieldCodes>\s</o:FieldCodes>
                </o:OLEObject>
              </w:object>
            </w:r>
          </w:p>
        </w:tc>
      </w:tr>
      <w:tr w:rsidR="00EF4063" w:rsidRPr="00F90B6B" w:rsidTr="0076299F">
        <w:tc>
          <w:tcPr>
            <w:tcW w:w="4928"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 xml:space="preserve">Рис. 3.2.12.1. </w:t>
            </w:r>
            <w:r w:rsidRPr="00F90B6B">
              <w:rPr>
                <w:rFonts w:ascii="Times New Roman" w:hAnsi="Times New Roman"/>
                <w:sz w:val="28"/>
                <w:szCs w:val="28"/>
              </w:rPr>
              <w:t>Вміст натрію</w:t>
            </w:r>
            <w:r w:rsidRPr="00F90B6B">
              <w:rPr>
                <w:rFonts w:ascii="Times New Roman" w:hAnsi="Times New Roman"/>
                <w:sz w:val="28"/>
                <w:szCs w:val="28"/>
                <w:lang w:val="ru-RU"/>
              </w:rPr>
              <w:t xml:space="preserve"> </w:t>
            </w:r>
            <w:r w:rsidRPr="00F90B6B">
              <w:rPr>
                <w:rFonts w:ascii="Times New Roman" w:hAnsi="Times New Roman"/>
                <w:sz w:val="28"/>
                <w:szCs w:val="28"/>
              </w:rPr>
              <w:t>у пацієнтів з ХСН залежно від ваги тіла.</w:t>
            </w:r>
          </w:p>
        </w:tc>
        <w:tc>
          <w:tcPr>
            <w:tcW w:w="4927"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 xml:space="preserve">Рис. 3.2.12.1. </w:t>
            </w:r>
            <w:r w:rsidRPr="00F90B6B">
              <w:rPr>
                <w:rFonts w:ascii="Times New Roman" w:hAnsi="Times New Roman"/>
                <w:sz w:val="28"/>
                <w:szCs w:val="28"/>
              </w:rPr>
              <w:t>Вміст калію</w:t>
            </w:r>
            <w:r w:rsidRPr="00F90B6B">
              <w:rPr>
                <w:rFonts w:ascii="Times New Roman" w:hAnsi="Times New Roman"/>
                <w:sz w:val="28"/>
                <w:szCs w:val="28"/>
                <w:lang w:val="ru-RU"/>
              </w:rPr>
              <w:t xml:space="preserve"> </w:t>
            </w:r>
            <w:r w:rsidRPr="00F90B6B">
              <w:rPr>
                <w:rFonts w:ascii="Times New Roman" w:hAnsi="Times New Roman"/>
                <w:sz w:val="28"/>
                <w:szCs w:val="28"/>
              </w:rPr>
              <w:t>у пацієнтів з ХСН залежно від ваги тіла.</w:t>
            </w:r>
          </w:p>
        </w:tc>
      </w:tr>
    </w:tbl>
    <w:p w:rsidR="00EF4063" w:rsidRPr="00F90B6B" w:rsidRDefault="00EF4063" w:rsidP="00F0048B">
      <w:pPr>
        <w:shd w:val="clear" w:color="auto" w:fill="FFFFFF"/>
        <w:spacing w:after="0" w:line="360" w:lineRule="auto"/>
        <w:ind w:firstLine="709"/>
        <w:jc w:val="both"/>
        <w:rPr>
          <w:rFonts w:ascii="Times New Roman" w:hAnsi="Times New Roman"/>
          <w:color w:val="FF0000"/>
          <w:sz w:val="28"/>
          <w:szCs w:val="28"/>
          <w:lang w:val="ru-RU"/>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Встановлено, що хворі ХСН зі ЗФВЛШ та супутнім ожирінням мають інший метаболічний профіль натрійуретичного пептиду за наявності гіпонатріємії – 351,8±64,2 пмоль/мл проти 294,0±59,2 пмоль/мл при нормонатріємії (</w:t>
      </w:r>
      <w:r w:rsidRPr="00F90B6B">
        <w:rPr>
          <w:rFonts w:ascii="Times New Roman" w:hAnsi="Times New Roman"/>
          <w:sz w:val="28"/>
          <w:szCs w:val="28"/>
          <w:lang w:val="en-US"/>
        </w:rPr>
        <w:t>p</w:t>
      </w:r>
      <w:r w:rsidRPr="00F90B6B">
        <w:rPr>
          <w:rFonts w:ascii="Times New Roman" w:hAnsi="Times New Roman"/>
          <w:sz w:val="28"/>
          <w:szCs w:val="28"/>
        </w:rPr>
        <w:t>&lt;0,05) та 101,2±32,8 пмоль/мл при гіпернатріємії (</w:t>
      </w:r>
      <w:r w:rsidRPr="00F90B6B">
        <w:rPr>
          <w:rFonts w:ascii="Times New Roman" w:hAnsi="Times New Roman"/>
          <w:sz w:val="28"/>
          <w:szCs w:val="28"/>
          <w:lang w:val="en-US"/>
        </w:rPr>
        <w:t>p</w:t>
      </w:r>
      <w:r w:rsidRPr="00F90B6B">
        <w:rPr>
          <w:rFonts w:ascii="Times New Roman" w:hAnsi="Times New Roman"/>
          <w:sz w:val="28"/>
          <w:szCs w:val="28"/>
          <w:vertAlign w:val="subscript"/>
        </w:rPr>
        <w:t>1</w:t>
      </w:r>
      <w:r w:rsidRPr="00F90B6B">
        <w:rPr>
          <w:rFonts w:ascii="Times New Roman" w:hAnsi="Times New Roman"/>
          <w:sz w:val="28"/>
          <w:szCs w:val="28"/>
        </w:rPr>
        <w:t>&lt;0,05).</w:t>
      </w:r>
    </w:p>
    <w:p w:rsidR="00EF4063" w:rsidRPr="00F90B6B" w:rsidRDefault="006F7754" w:rsidP="00F0048B">
      <w:pPr>
        <w:shd w:val="clear" w:color="auto" w:fill="FFFFFF"/>
        <w:spacing w:after="0" w:line="360" w:lineRule="auto"/>
        <w:ind w:firstLine="709"/>
        <w:jc w:val="both"/>
        <w:rPr>
          <w:rFonts w:ascii="Times New Roman" w:hAnsi="Times New Roman"/>
          <w:color w:val="FF0000"/>
          <w:sz w:val="28"/>
          <w:szCs w:val="28"/>
        </w:rPr>
      </w:pPr>
      <w:r w:rsidRPr="00BD2F09">
        <w:rPr>
          <w:rFonts w:ascii="Times New Roman" w:hAnsi="Times New Roman"/>
          <w:noProof/>
          <w:color w:val="FF0000"/>
          <w:lang w:val="ru-RU" w:eastAsia="ru-RU"/>
        </w:rPr>
        <w:drawing>
          <wp:inline distT="0" distB="0" distL="0" distR="0">
            <wp:extent cx="5543550" cy="3019425"/>
            <wp:effectExtent l="0" t="0" r="0" b="0"/>
            <wp:docPr id="31" name="Диаграмма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EF4063" w:rsidRPr="00F90B6B" w:rsidRDefault="006F7754" w:rsidP="00F0048B">
      <w:pPr>
        <w:shd w:val="clear" w:color="auto" w:fill="FFFFFF"/>
        <w:spacing w:after="0" w:line="360" w:lineRule="auto"/>
        <w:ind w:firstLine="709"/>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65408" behindDoc="0" locked="0" layoutInCell="1" allowOverlap="1">
                <wp:simplePos x="0" y="0"/>
                <wp:positionH relativeFrom="column">
                  <wp:posOffset>1367790</wp:posOffset>
                </wp:positionH>
                <wp:positionV relativeFrom="paragraph">
                  <wp:posOffset>560705</wp:posOffset>
                </wp:positionV>
                <wp:extent cx="228600" cy="244475"/>
                <wp:effectExtent l="0" t="0" r="19050" b="22225"/>
                <wp:wrapNone/>
                <wp:docPr id="14" name="Freeform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244475"/>
                        </a:xfrm>
                        <a:custGeom>
                          <a:avLst/>
                          <a:gdLst>
                            <a:gd name="T0" fmla="*/ 0 w 228600"/>
                            <a:gd name="T1" fmla="*/ 93381 h 244475"/>
                            <a:gd name="T2" fmla="*/ 87318 w 228600"/>
                            <a:gd name="T3" fmla="*/ 93382 h 244475"/>
                            <a:gd name="T4" fmla="*/ 114300 w 228600"/>
                            <a:gd name="T5" fmla="*/ 0 h 244475"/>
                            <a:gd name="T6" fmla="*/ 141282 w 228600"/>
                            <a:gd name="T7" fmla="*/ 93382 h 244475"/>
                            <a:gd name="T8" fmla="*/ 228600 w 228600"/>
                            <a:gd name="T9" fmla="*/ 93381 h 244475"/>
                            <a:gd name="T10" fmla="*/ 157958 w 228600"/>
                            <a:gd name="T11" fmla="*/ 151093 h 244475"/>
                            <a:gd name="T12" fmla="*/ 184941 w 228600"/>
                            <a:gd name="T13" fmla="*/ 244474 h 244475"/>
                            <a:gd name="T14" fmla="*/ 114300 w 228600"/>
                            <a:gd name="T15" fmla="*/ 186761 h 244475"/>
                            <a:gd name="T16" fmla="*/ 43659 w 228600"/>
                            <a:gd name="T17" fmla="*/ 244474 h 244475"/>
                            <a:gd name="T18" fmla="*/ 70642 w 228600"/>
                            <a:gd name="T19" fmla="*/ 151093 h 244475"/>
                            <a:gd name="T20" fmla="*/ 0 w 228600"/>
                            <a:gd name="T21" fmla="*/ 93381 h 244475"/>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8600" h="244475">
                              <a:moveTo>
                                <a:pt x="0" y="93381"/>
                              </a:moveTo>
                              <a:lnTo>
                                <a:pt x="87318" y="93382"/>
                              </a:lnTo>
                              <a:lnTo>
                                <a:pt x="114300" y="0"/>
                              </a:lnTo>
                              <a:lnTo>
                                <a:pt x="141282" y="93382"/>
                              </a:lnTo>
                              <a:lnTo>
                                <a:pt x="228600" y="93381"/>
                              </a:lnTo>
                              <a:lnTo>
                                <a:pt x="157958" y="151093"/>
                              </a:lnTo>
                              <a:lnTo>
                                <a:pt x="184941" y="244474"/>
                              </a:lnTo>
                              <a:lnTo>
                                <a:pt x="114300" y="186761"/>
                              </a:lnTo>
                              <a:lnTo>
                                <a:pt x="43659" y="244474"/>
                              </a:lnTo>
                              <a:lnTo>
                                <a:pt x="70642" y="151093"/>
                              </a:lnTo>
                              <a:lnTo>
                                <a:pt x="0" y="93381"/>
                              </a:lnTo>
                              <a:close/>
                            </a:path>
                          </a:pathLst>
                        </a:custGeom>
                        <a:solidFill>
                          <a:srgbClr val="4F81BD"/>
                        </a:solidFill>
                        <a:ln w="25400">
                          <a:solidFill>
                            <a:srgbClr val="243F6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E4C02" id="Freeform 101" o:spid="_x0000_s1026" style="position:absolute;margin-left:107.7pt;margin-top:44.15pt;width:18pt;height:1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28600,244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" path="m,93381r87318,1l114300,r26982,93382l228600,93381r-70642,57712l184941,244474,114300,186761,43659,244474,70642,151093,,93381xe" fillcolor="#4f81bd" strokecolor="#243f60" strokeweight="2pt">
                <v:path arrowok="t" o:connecttype="custom" o:connectlocs="0,93381;87318,93382;114300,0;141282,93382;228600,93381;157958,151093;184941,244474;114300,186761;43659,244474;70642,151093;0,93381" o:connectangles="0,0,0,0,0,0,0,0,0,0,0"/>
              </v:shape>
            </w:pict>
          </mc:Fallback>
        </mc:AlternateContent>
      </w:r>
      <w:r w:rsidR="00EF4063" w:rsidRPr="00F90B6B">
        <w:rPr>
          <w:rFonts w:ascii="Times New Roman" w:hAnsi="Times New Roman"/>
          <w:b/>
          <w:sz w:val="28"/>
          <w:szCs w:val="28"/>
        </w:rPr>
        <w:t xml:space="preserve">Рис. 3.2.13. </w:t>
      </w:r>
      <w:r w:rsidR="00EF4063" w:rsidRPr="00F90B6B">
        <w:rPr>
          <w:rFonts w:ascii="Times New Roman" w:hAnsi="Times New Roman"/>
          <w:sz w:val="28"/>
          <w:szCs w:val="28"/>
        </w:rPr>
        <w:t xml:space="preserve">Рівень </w:t>
      </w:r>
      <w:r w:rsidR="00EF4063" w:rsidRPr="00F90B6B">
        <w:rPr>
          <w:rFonts w:ascii="Times New Roman" w:hAnsi="Times New Roman"/>
          <w:sz w:val="28"/>
          <w:szCs w:val="28"/>
          <w:lang w:val="en-US"/>
        </w:rPr>
        <w:t>NTproBNP</w:t>
      </w:r>
      <w:r w:rsidR="00EF4063" w:rsidRPr="00F90B6B">
        <w:rPr>
          <w:rFonts w:ascii="Times New Roman" w:hAnsi="Times New Roman"/>
          <w:sz w:val="28"/>
          <w:szCs w:val="28"/>
        </w:rPr>
        <w:t xml:space="preserve"> у пацієнтів з ХСН та ЗФВЛШ при ожирінні залежно від вмісту натрію в плазмі крові.</w:t>
      </w:r>
    </w:p>
    <w:p w:rsidR="00BB305F" w:rsidRPr="00F90B6B" w:rsidRDefault="00EF4063" w:rsidP="00BB305F">
      <w:pPr>
        <w:shd w:val="clear" w:color="auto" w:fill="FFFFFF"/>
        <w:spacing w:after="0" w:line="360" w:lineRule="auto"/>
        <w:ind w:firstLine="709"/>
        <w:jc w:val="both"/>
        <w:rPr>
          <w:rFonts w:ascii="Times New Roman" w:hAnsi="Times New Roman"/>
          <w:sz w:val="28"/>
          <w:szCs w:val="28"/>
          <w:lang w:val="ru-RU"/>
        </w:rPr>
      </w:pPr>
      <w:r w:rsidRPr="00F90B6B">
        <w:rPr>
          <w:rFonts w:ascii="Times New Roman" w:hAnsi="Times New Roman"/>
          <w:i/>
          <w:sz w:val="28"/>
          <w:szCs w:val="28"/>
        </w:rPr>
        <w:t xml:space="preserve">Примітка:      - </w:t>
      </w:r>
      <w:r w:rsidRPr="00F90B6B">
        <w:rPr>
          <w:rFonts w:ascii="Times New Roman" w:hAnsi="Times New Roman"/>
          <w:sz w:val="28"/>
          <w:szCs w:val="28"/>
        </w:rPr>
        <w:t>вірогідна різниця показників відносно групи з нормальним рівнем натрію</w:t>
      </w:r>
      <w:r w:rsidRPr="00F90B6B">
        <w:rPr>
          <w:rFonts w:ascii="Times New Roman" w:hAnsi="Times New Roman"/>
          <w:sz w:val="28"/>
          <w:szCs w:val="28"/>
          <w:lang w:val="ru-RU"/>
        </w:rPr>
        <w:t xml:space="preserve"> </w:t>
      </w:r>
      <w:r w:rsidRPr="00F90B6B">
        <w:rPr>
          <w:rFonts w:ascii="Times New Roman" w:hAnsi="Times New Roman"/>
          <w:sz w:val="28"/>
          <w:szCs w:val="28"/>
        </w:rPr>
        <w:t>(</w:t>
      </w:r>
      <w:r w:rsidRPr="00F90B6B">
        <w:rPr>
          <w:rFonts w:ascii="Times New Roman" w:hAnsi="Times New Roman"/>
          <w:sz w:val="28"/>
          <w:szCs w:val="28"/>
          <w:lang w:val="en-US"/>
        </w:rPr>
        <w:t>p</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6F7754" w:rsidP="00F0048B">
      <w:pPr>
        <w:shd w:val="clear" w:color="auto" w:fill="FFFFFF"/>
        <w:spacing w:after="0" w:line="360" w:lineRule="auto"/>
        <w:ind w:firstLine="709"/>
        <w:jc w:val="both"/>
        <w:rPr>
          <w:rFonts w:ascii="Times New Roman" w:hAnsi="Times New Roman"/>
          <w:sz w:val="28"/>
          <w:szCs w:val="28"/>
        </w:rPr>
      </w:pPr>
      <w:r>
        <w:rPr>
          <w:noProof/>
          <w:lang w:val="ru-RU" w:eastAsia="ru-RU"/>
        </w:rPr>
        <w:lastRenderedPageBreak/>
        <mc:AlternateContent>
          <mc:Choice Requires="wps">
            <w:drawing>
              <wp:inline distT="0" distB="0" distL="0" distR="0">
                <wp:extent cx="169545" cy="244475"/>
                <wp:effectExtent l="36830" t="53340" r="31750" b="16510"/>
                <wp:docPr id="5" name="Равнобедренный тре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244475"/>
                        </a:xfrm>
                        <a:prstGeom prst="triangle">
                          <a:avLst>
                            <a:gd name="adj" fmla="val 50000"/>
                          </a:avLst>
                        </a:prstGeom>
                        <a:solidFill>
                          <a:srgbClr val="4F81BD"/>
                        </a:solidFill>
                        <a:ln w="25400">
                          <a:solidFill>
                            <a:srgbClr val="243F60"/>
                          </a:solidFill>
                          <a:miter lim="800000"/>
                          <a:headEnd/>
                          <a:tailEnd/>
                        </a:ln>
                      </wps:spPr>
                      <wps:bodyPr rot="0" vert="horz" wrap="square" lIns="91440" tIns="45720" rIns="91440" bIns="45720" anchor="t" anchorCtr="0" upright="1">
                        <a:noAutofit/>
                      </wps:bodyPr>
                    </wps:wsp>
                  </a:graphicData>
                </a:graphic>
              </wp:inline>
            </w:drawing>
          </mc:Choice>
          <mc:Fallback>
            <w:pict>
              <v:shape w14:anchorId="58541E40" id="Равнобедренный треугольник 1" o:spid="_x0000_s1026" type="#_x0000_t5" style="width:13.35pt;height:19.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" fillcolor="#4f81bd" strokecolor="#243f60" strokeweight="2pt">
                <w10:anchorlock/>
              </v:shape>
            </w:pict>
          </mc:Fallback>
        </mc:AlternateContent>
      </w:r>
      <w:r w:rsidR="00EF4063" w:rsidRPr="00F90B6B">
        <w:rPr>
          <w:rFonts w:ascii="Times New Roman" w:hAnsi="Times New Roman"/>
          <w:i/>
          <w:sz w:val="28"/>
          <w:szCs w:val="28"/>
        </w:rPr>
        <w:t xml:space="preserve">- </w:t>
      </w:r>
      <w:r w:rsidR="00EF4063" w:rsidRPr="00F90B6B">
        <w:rPr>
          <w:rFonts w:ascii="Times New Roman" w:hAnsi="Times New Roman"/>
          <w:sz w:val="28"/>
          <w:szCs w:val="28"/>
        </w:rPr>
        <w:t>вірогідна різниця показників відносно групи зі гіпернатріємією (</w:t>
      </w:r>
      <w:r w:rsidR="00EF4063" w:rsidRPr="00F90B6B">
        <w:rPr>
          <w:rFonts w:ascii="Times New Roman" w:hAnsi="Times New Roman"/>
          <w:sz w:val="28"/>
          <w:szCs w:val="28"/>
          <w:lang w:val="en-US"/>
        </w:rPr>
        <w:t>p</w:t>
      </w:r>
      <w:r w:rsidR="00EF4063" w:rsidRPr="00F90B6B">
        <w:rPr>
          <w:rFonts w:ascii="Times New Roman" w:hAnsi="Times New Roman"/>
          <w:sz w:val="28"/>
          <w:szCs w:val="28"/>
          <w:vertAlign w:val="subscript"/>
        </w:rPr>
        <w:t>1</w:t>
      </w:r>
      <w:r w:rsidR="00EF4063" w:rsidRPr="00F90B6B">
        <w:rPr>
          <w:rFonts w:ascii="Times New Roman" w:hAnsi="Times New Roman"/>
          <w:sz w:val="28"/>
          <w:szCs w:val="28"/>
        </w:rPr>
        <w:t>&lt;0,05).</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Таким чином, на основі отриманих результатів можна сказати, що у пацієнтів з ХСН зі ЗФЛШ рівень </w:t>
      </w:r>
      <w:r w:rsidRPr="00F90B6B">
        <w:rPr>
          <w:rFonts w:ascii="Times New Roman" w:hAnsi="Times New Roman"/>
          <w:sz w:val="28"/>
          <w:szCs w:val="28"/>
          <w:lang w:val="en-US"/>
        </w:rPr>
        <w:t>NTproBNP</w:t>
      </w:r>
      <w:r w:rsidRPr="00F90B6B">
        <w:rPr>
          <w:rFonts w:ascii="Times New Roman" w:hAnsi="Times New Roman"/>
          <w:sz w:val="28"/>
          <w:szCs w:val="28"/>
        </w:rPr>
        <w:t xml:space="preserve"> повинен оцінюватись залежно від ІМТ та вмісту натрію в плазмі крові. Як бачимо, гіпонатріємія зумовлює інші критерії оцінки та супроводжується більш високим рівнем </w:t>
      </w:r>
      <w:r w:rsidRPr="00F90B6B">
        <w:rPr>
          <w:rFonts w:ascii="Times New Roman" w:hAnsi="Times New Roman"/>
          <w:sz w:val="28"/>
          <w:szCs w:val="28"/>
          <w:lang w:val="en-US"/>
        </w:rPr>
        <w:t>NTproBNP</w:t>
      </w:r>
      <w:r w:rsidRPr="00F90B6B">
        <w:rPr>
          <w:rFonts w:ascii="Times New Roman" w:hAnsi="Times New Roman"/>
          <w:sz w:val="28"/>
          <w:szCs w:val="28"/>
        </w:rPr>
        <w:t>, порівняно з нормонатріємією.</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лінійному регресійному аналізі встановлено слабкий негативний зв’язок між індексом маси тіла та рівнем натрію у хворих з ХСН (</w:t>
      </w:r>
      <w:r w:rsidRPr="00F90B6B">
        <w:rPr>
          <w:rFonts w:ascii="Times New Roman" w:hAnsi="Times New Roman"/>
          <w:sz w:val="28"/>
          <w:szCs w:val="28"/>
          <w:lang w:val="en-US"/>
        </w:rPr>
        <w:t>r</w:t>
      </w:r>
      <w:r w:rsidRPr="00F90B6B">
        <w:rPr>
          <w:rFonts w:ascii="Times New Roman" w:hAnsi="Times New Roman"/>
          <w:sz w:val="28"/>
          <w:szCs w:val="28"/>
        </w:rPr>
        <w:t>=-0,16), рис. 3.2.14.</w:t>
      </w:r>
    </w:p>
    <w:p w:rsidR="00EF4063" w:rsidRPr="00F90B6B" w:rsidRDefault="00EF4063" w:rsidP="00F0048B">
      <w:pPr>
        <w:shd w:val="clear" w:color="auto" w:fill="FFFFFF"/>
        <w:spacing w:after="0" w:line="360" w:lineRule="auto"/>
        <w:jc w:val="center"/>
        <w:rPr>
          <w:rFonts w:ascii="Times New Roman" w:hAnsi="Times New Roman"/>
          <w:sz w:val="28"/>
          <w:szCs w:val="28"/>
        </w:rPr>
      </w:pPr>
      <w:r w:rsidRPr="00F90B6B">
        <w:rPr>
          <w:rFonts w:ascii="Times New Roman" w:hAnsi="Times New Roman"/>
        </w:rPr>
        <w:object w:dxaOrig="7005" w:dyaOrig="5280">
          <v:shape id="_x0000_i1049" type="#_x0000_t75" style="width:350.25pt;height:264pt" o:ole="">
            <v:imagedata r:id="rId74" o:title=""/>
          </v:shape>
          <o:OLEObject Type="Embed" ProgID="STATISTICA.Graph" ShapeID="_x0000_i1049" DrawAspect="Content" ObjectID="_1624460772" r:id="rId75">
            <o:FieldCodes>\s</o:FieldCodes>
          </o:OLEObject>
        </w:objec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3.2.14. </w:t>
      </w:r>
      <w:r w:rsidRPr="00F90B6B">
        <w:rPr>
          <w:rFonts w:ascii="Times New Roman" w:hAnsi="Times New Roman"/>
          <w:sz w:val="28"/>
          <w:szCs w:val="28"/>
        </w:rPr>
        <w:t>Кореляційний взаємозв’язок між рівнем натрію та індексом маси тіла у хворих з ХСН.</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Одним із важливих чинників, що безпосередньо впливають на тяжкість перебігу ХСН, є показники кардіогемодинаміки, а також зміни функціональних і структурно-морфологічних властивостей міокарда. Особливої уваги заслуговують процеси перебудови  міокарда під впливом гемодинамічних та метаболічних  змін, які об’єднані терміном “ремоделювання”.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Тому наступним завданням дослідження було проаналізувати особливості кардіогемодинаміки у хворих з хронічною серцевою недостатністю та ожирінням.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Частота серцевих скорочень (ЧСС) є доведеним несприятливим прогностичним чинником у пацієнтів з ХСН. В нашій роботі середня ЧСС, встановлена за даними добового моніторування, наведена на рис. 3.2.1</w:t>
      </w:r>
      <w:r w:rsidRPr="00F90B6B">
        <w:rPr>
          <w:rFonts w:ascii="Times New Roman" w:hAnsi="Times New Roman"/>
          <w:sz w:val="28"/>
          <w:szCs w:val="28"/>
          <w:lang w:val="ru-RU"/>
        </w:rPr>
        <w:t>5</w:t>
      </w:r>
      <w:r w:rsidRPr="00F90B6B">
        <w:rPr>
          <w:rFonts w:ascii="Times New Roman" w:hAnsi="Times New Roman"/>
          <w:sz w:val="28"/>
          <w:szCs w:val="28"/>
        </w:rPr>
        <w:t>.</w:t>
      </w:r>
    </w:p>
    <w:p w:rsidR="00EF4063" w:rsidRPr="00F90B6B" w:rsidRDefault="006F7754" w:rsidP="00F0048B">
      <w:pPr>
        <w:spacing w:after="0" w:line="360" w:lineRule="auto"/>
        <w:ind w:firstLine="709"/>
        <w:jc w:val="both"/>
        <w:rPr>
          <w:rFonts w:ascii="Times New Roman" w:hAnsi="Times New Roman"/>
          <w:sz w:val="28"/>
          <w:szCs w:val="28"/>
        </w:rPr>
      </w:pPr>
      <w:r w:rsidRPr="00BD2F09">
        <w:rPr>
          <w:rFonts w:ascii="Times New Roman" w:hAnsi="Times New Roman"/>
          <w:noProof/>
          <w:lang w:val="ru-RU" w:eastAsia="ru-RU"/>
        </w:rPr>
        <w:drawing>
          <wp:inline distT="0" distB="0" distL="0" distR="0">
            <wp:extent cx="5543550" cy="2971800"/>
            <wp:effectExtent l="0" t="0" r="0" b="0"/>
            <wp:docPr id="33"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Рис. 3.2.1</w:t>
      </w:r>
      <w:r w:rsidRPr="00F90B6B">
        <w:rPr>
          <w:rFonts w:ascii="Times New Roman" w:hAnsi="Times New Roman"/>
          <w:b/>
          <w:sz w:val="28"/>
          <w:szCs w:val="28"/>
          <w:lang w:val="ru-RU"/>
        </w:rPr>
        <w:t>5</w:t>
      </w:r>
      <w:r w:rsidRPr="00F90B6B">
        <w:rPr>
          <w:rFonts w:ascii="Times New Roman" w:hAnsi="Times New Roman"/>
          <w:b/>
          <w:sz w:val="28"/>
          <w:szCs w:val="28"/>
        </w:rPr>
        <w:t xml:space="preserve">. </w:t>
      </w:r>
      <w:r w:rsidRPr="00F90B6B">
        <w:rPr>
          <w:rFonts w:ascii="Times New Roman" w:hAnsi="Times New Roman"/>
          <w:sz w:val="28"/>
          <w:szCs w:val="28"/>
        </w:rPr>
        <w:t>Середня частота серцевих скорочень у хворих з ХСН залежно від індексу маси тіла.</w:t>
      </w:r>
    </w:p>
    <w:p w:rsidR="00EF4063" w:rsidRPr="00F90B6B" w:rsidRDefault="006F7754" w:rsidP="00F0048B">
      <w:pPr>
        <w:pStyle w:val="1"/>
        <w:spacing w:after="0" w:line="360" w:lineRule="auto"/>
        <w:ind w:left="0" w:firstLine="709"/>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49024" behindDoc="0" locked="0" layoutInCell="1" allowOverlap="1">
                <wp:simplePos x="0" y="0"/>
                <wp:positionH relativeFrom="column">
                  <wp:posOffset>1233805</wp:posOffset>
                </wp:positionH>
                <wp:positionV relativeFrom="paragraph">
                  <wp:posOffset>-1905</wp:posOffset>
                </wp:positionV>
                <wp:extent cx="228600" cy="220980"/>
                <wp:effectExtent l="0" t="0" r="19050" b="26670"/>
                <wp:wrapNone/>
                <wp:docPr id="12" name="5-конечная звезда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220980"/>
                        </a:xfrm>
                        <a:custGeom>
                          <a:avLst/>
                          <a:gdLst>
                            <a:gd name="T0" fmla="*/ 0 w 228600"/>
                            <a:gd name="T1" fmla="*/ 84407 h 220980"/>
                            <a:gd name="T2" fmla="*/ 87318 w 228600"/>
                            <a:gd name="T3" fmla="*/ 84407 h 220980"/>
                            <a:gd name="T4" fmla="*/ 114300 w 228600"/>
                            <a:gd name="T5" fmla="*/ 0 h 220980"/>
                            <a:gd name="T6" fmla="*/ 141282 w 228600"/>
                            <a:gd name="T7" fmla="*/ 84407 h 220980"/>
                            <a:gd name="T8" fmla="*/ 228600 w 228600"/>
                            <a:gd name="T9" fmla="*/ 84407 h 220980"/>
                            <a:gd name="T10" fmla="*/ 157958 w 228600"/>
                            <a:gd name="T11" fmla="*/ 136573 h 220980"/>
                            <a:gd name="T12" fmla="*/ 184941 w 228600"/>
                            <a:gd name="T13" fmla="*/ 220979 h 220980"/>
                            <a:gd name="T14" fmla="*/ 114300 w 228600"/>
                            <a:gd name="T15" fmla="*/ 168813 h 220980"/>
                            <a:gd name="T16" fmla="*/ 43659 w 228600"/>
                            <a:gd name="T17" fmla="*/ 220979 h 220980"/>
                            <a:gd name="T18" fmla="*/ 70642 w 228600"/>
                            <a:gd name="T19" fmla="*/ 136573 h 220980"/>
                            <a:gd name="T20" fmla="*/ 0 w 228600"/>
                            <a:gd name="T21" fmla="*/ 84407 h 22098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8600" h="220980">
                              <a:moveTo>
                                <a:pt x="0" y="84407"/>
                              </a:moveTo>
                              <a:lnTo>
                                <a:pt x="87318" y="84407"/>
                              </a:lnTo>
                              <a:lnTo>
                                <a:pt x="114300" y="0"/>
                              </a:lnTo>
                              <a:lnTo>
                                <a:pt x="141282" y="84407"/>
                              </a:lnTo>
                              <a:lnTo>
                                <a:pt x="228600" y="84407"/>
                              </a:lnTo>
                              <a:lnTo>
                                <a:pt x="157958" y="136573"/>
                              </a:lnTo>
                              <a:lnTo>
                                <a:pt x="184941" y="220979"/>
                              </a:lnTo>
                              <a:lnTo>
                                <a:pt x="114300" y="168813"/>
                              </a:lnTo>
                              <a:lnTo>
                                <a:pt x="43659" y="220979"/>
                              </a:lnTo>
                              <a:lnTo>
                                <a:pt x="70642" y="136573"/>
                              </a:lnTo>
                              <a:lnTo>
                                <a:pt x="0" y="84407"/>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6E3879E" id="5-конечная звезда 21" o:spid="_x0000_s1026" style="position:absolute;margin-left:97.15pt;margin-top:-.15pt;width:18pt;height:17.4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8600,220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" path="m,84407r87318,l114300,r26982,84407l228600,84407r-70642,52166l184941,220979,114300,168813,43659,220979,70642,136573,,84407xe" fillcolor="#4f81bd" strokecolor="#243f60" strokeweight="2pt">
                <v:path arrowok="t" o:connecttype="custom" o:connectlocs="0,84407;87318,84407;114300,0;141282,84407;228600,84407;157958,136573;184941,220979;114300,168813;43659,220979;70642,136573;0,84407" o:connectangles="0,0,0,0,0,0,0,0,0,0,0"/>
              </v:shape>
            </w:pict>
          </mc:Fallback>
        </mc:AlternateContent>
      </w:r>
      <w:r w:rsidR="00EF4063" w:rsidRPr="00F90B6B">
        <w:rPr>
          <w:rFonts w:ascii="Times New Roman" w:hAnsi="Times New Roman"/>
          <w:i/>
          <w:sz w:val="28"/>
          <w:szCs w:val="28"/>
        </w:rPr>
        <w:t xml:space="preserve">Примітка:    - </w:t>
      </w:r>
      <w:r w:rsidR="00EF4063" w:rsidRPr="00F90B6B">
        <w:rPr>
          <w:rFonts w:ascii="Times New Roman" w:hAnsi="Times New Roman"/>
          <w:sz w:val="28"/>
          <w:szCs w:val="28"/>
        </w:rPr>
        <w:t>вірогідна різниця показника в порівнянні з пацієнтами з ХСН та нормальною масою тіла.</w:t>
      </w:r>
    </w:p>
    <w:p w:rsidR="00BB305F" w:rsidRPr="00F90B6B" w:rsidRDefault="00BB305F"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 наявності ожиріння відмічено вірогідно більшу ЧСС в порівнянні з групами (77,7±8,49), що мали нормальну (72,4±6,31) та надлишкову (73,1±8,52) масу тіла.</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Відповідні зміни встановлено також для рівня середнього систолічного та діастолічного артеріального тиску (САТ та ДАТ), середні показники яких були вищими за наявності надлишкової ваги (140,1±9,62 та 88,4±7,65 мм рт. ст.) та ожиріння (145,3±10,5 та 91,2±6,16 мм рт. ст.) проти пацієнтів, що мали нормальну вагу тіла (127,6±8,12 та 81,2±7,81 мм рт. ст.), рис. 3.2.16.</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6F7754" w:rsidP="00F0048B">
      <w:pPr>
        <w:spacing w:after="0" w:line="360" w:lineRule="auto"/>
        <w:ind w:firstLine="709"/>
        <w:rPr>
          <w:rFonts w:ascii="Times New Roman" w:hAnsi="Times New Roman"/>
          <w:sz w:val="28"/>
          <w:szCs w:val="28"/>
        </w:rPr>
      </w:pPr>
      <w:r w:rsidRPr="00BD2F09">
        <w:rPr>
          <w:rFonts w:ascii="Times New Roman" w:hAnsi="Times New Roman"/>
          <w:noProof/>
          <w:lang w:val="ru-RU" w:eastAsia="ru-RU"/>
        </w:rPr>
        <w:lastRenderedPageBreak/>
        <w:drawing>
          <wp:inline distT="0" distB="0" distL="0" distR="0">
            <wp:extent cx="5543550" cy="2819400"/>
            <wp:effectExtent l="0" t="0" r="0" b="0"/>
            <wp:docPr id="34"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EF4063" w:rsidRPr="00F90B6B" w:rsidRDefault="006F7754" w:rsidP="00F0048B">
      <w:pPr>
        <w:spacing w:after="0" w:line="360" w:lineRule="auto"/>
        <w:ind w:firstLine="709"/>
        <w:rPr>
          <w:rFonts w:ascii="Times New Roman" w:hAnsi="Times New Roman"/>
          <w:sz w:val="28"/>
          <w:szCs w:val="28"/>
        </w:rPr>
      </w:pPr>
      <w:r>
        <w:rPr>
          <w:noProof/>
          <w:lang w:val="ru-RU" w:eastAsia="ru-RU"/>
        </w:rPr>
        <mc:AlternateContent>
          <mc:Choice Requires="wps">
            <w:drawing>
              <wp:anchor distT="0" distB="0" distL="114300" distR="114300" simplePos="0" relativeHeight="251652096" behindDoc="0" locked="0" layoutInCell="1" allowOverlap="1">
                <wp:simplePos x="0" y="0"/>
                <wp:positionH relativeFrom="column">
                  <wp:posOffset>212725</wp:posOffset>
                </wp:positionH>
                <wp:positionV relativeFrom="paragraph">
                  <wp:posOffset>565785</wp:posOffset>
                </wp:positionV>
                <wp:extent cx="190500" cy="228600"/>
                <wp:effectExtent l="0" t="0" r="19050" b="19050"/>
                <wp:wrapNone/>
                <wp:docPr id="4" name="5-конечная звезда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228600"/>
                        </a:xfrm>
                        <a:custGeom>
                          <a:avLst/>
                          <a:gdLst>
                            <a:gd name="T0" fmla="*/ 0 w 190500"/>
                            <a:gd name="T1" fmla="*/ 87317 h 228600"/>
                            <a:gd name="T2" fmla="*/ 72765 w 190500"/>
                            <a:gd name="T3" fmla="*/ 87318 h 228600"/>
                            <a:gd name="T4" fmla="*/ 95250 w 190500"/>
                            <a:gd name="T5" fmla="*/ 0 h 228600"/>
                            <a:gd name="T6" fmla="*/ 117735 w 190500"/>
                            <a:gd name="T7" fmla="*/ 87318 h 228600"/>
                            <a:gd name="T8" fmla="*/ 190500 w 190500"/>
                            <a:gd name="T9" fmla="*/ 87317 h 228600"/>
                            <a:gd name="T10" fmla="*/ 131632 w 190500"/>
                            <a:gd name="T11" fmla="*/ 141282 h 228600"/>
                            <a:gd name="T12" fmla="*/ 154118 w 190500"/>
                            <a:gd name="T13" fmla="*/ 228599 h 228600"/>
                            <a:gd name="T14" fmla="*/ 95250 w 190500"/>
                            <a:gd name="T15" fmla="*/ 174634 h 228600"/>
                            <a:gd name="T16" fmla="*/ 36382 w 190500"/>
                            <a:gd name="T17" fmla="*/ 228599 h 228600"/>
                            <a:gd name="T18" fmla="*/ 58868 w 190500"/>
                            <a:gd name="T19" fmla="*/ 141282 h 228600"/>
                            <a:gd name="T20" fmla="*/ 0 w 190500"/>
                            <a:gd name="T21" fmla="*/ 87317 h 2286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90500" h="228600">
                              <a:moveTo>
                                <a:pt x="0" y="87317"/>
                              </a:moveTo>
                              <a:lnTo>
                                <a:pt x="72765" y="87318"/>
                              </a:lnTo>
                              <a:lnTo>
                                <a:pt x="95250" y="0"/>
                              </a:lnTo>
                              <a:lnTo>
                                <a:pt x="117735" y="87318"/>
                              </a:lnTo>
                              <a:lnTo>
                                <a:pt x="190500" y="87317"/>
                              </a:lnTo>
                              <a:lnTo>
                                <a:pt x="131632" y="141282"/>
                              </a:lnTo>
                              <a:lnTo>
                                <a:pt x="154118" y="228599"/>
                              </a:lnTo>
                              <a:lnTo>
                                <a:pt x="95250" y="174634"/>
                              </a:lnTo>
                              <a:lnTo>
                                <a:pt x="36382" y="228599"/>
                              </a:lnTo>
                              <a:lnTo>
                                <a:pt x="58868" y="141282"/>
                              </a:lnTo>
                              <a:lnTo>
                                <a:pt x="0" y="87317"/>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C772BFC" id="5-конечная звезда 20" o:spid="_x0000_s1026" style="position:absolute;margin-left:16.75pt;margin-top:44.55pt;width:15pt;height:1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90500,228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" path="m,87317r72765,1l95250,r22485,87318l190500,87317r-58868,53965l154118,228599,95250,174634,36382,228599,58868,141282,,87317xe" fillcolor="#4f81bd" strokecolor="#243f60" strokeweight="2pt">
                <v:path arrowok="t" o:connecttype="custom" o:connectlocs="0,87317;72765,87318;95250,0;117735,87318;190500,87317;131632,141282;154118,228599;95250,174634;36382,228599;58868,141282;0,87317" o:connectangles="0,0,0,0,0,0,0,0,0,0,0"/>
              </v:shape>
            </w:pict>
          </mc:Fallback>
        </mc:AlternateContent>
      </w:r>
      <w:r w:rsidR="00EF4063" w:rsidRPr="00F90B6B">
        <w:rPr>
          <w:rFonts w:ascii="Times New Roman" w:hAnsi="Times New Roman"/>
          <w:b/>
          <w:sz w:val="28"/>
          <w:szCs w:val="28"/>
        </w:rPr>
        <w:t>Рис. 3.2.1</w:t>
      </w:r>
      <w:r w:rsidR="00EF4063" w:rsidRPr="00F90B6B">
        <w:rPr>
          <w:rFonts w:ascii="Times New Roman" w:hAnsi="Times New Roman"/>
          <w:b/>
          <w:sz w:val="28"/>
          <w:szCs w:val="28"/>
          <w:lang w:val="ru-RU"/>
        </w:rPr>
        <w:t>6</w:t>
      </w:r>
      <w:r w:rsidR="00EF4063" w:rsidRPr="00F90B6B">
        <w:rPr>
          <w:rFonts w:ascii="Times New Roman" w:hAnsi="Times New Roman"/>
          <w:b/>
          <w:sz w:val="28"/>
          <w:szCs w:val="28"/>
        </w:rPr>
        <w:t xml:space="preserve">. </w:t>
      </w:r>
      <w:r w:rsidR="00EF4063" w:rsidRPr="00F90B6B">
        <w:rPr>
          <w:rFonts w:ascii="Times New Roman" w:hAnsi="Times New Roman"/>
          <w:sz w:val="28"/>
          <w:szCs w:val="28"/>
        </w:rPr>
        <w:t>Показники систолічного та діастолічного артеріального тиску залежно від індексу маси тіла у хворих з ХСН.</w:t>
      </w:r>
    </w:p>
    <w:p w:rsidR="00EF4063" w:rsidRPr="00F90B6B" w:rsidRDefault="00EF4063" w:rsidP="00F0048B">
      <w:pPr>
        <w:spacing w:after="0" w:line="360" w:lineRule="auto"/>
        <w:ind w:left="994"/>
        <w:jc w:val="both"/>
        <w:rPr>
          <w:rFonts w:ascii="Times New Roman" w:hAnsi="Times New Roman"/>
          <w:sz w:val="28"/>
          <w:szCs w:val="28"/>
        </w:rPr>
      </w:pPr>
      <w:r w:rsidRPr="00F90B6B">
        <w:rPr>
          <w:rFonts w:ascii="Times New Roman" w:hAnsi="Times New Roman"/>
          <w:sz w:val="28"/>
          <w:szCs w:val="28"/>
        </w:rPr>
        <w:t>- вірогідна різниця показників відносно групи пацієнтів з ХСН та нормальною масою тіла (р&lt;0,05).</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Розрахункові показники середнього артеріального тиску, а також пульсового тиску представлені в таблиці 3.2.5.</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3.2.5</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Розрахункові показники середнього та пульсового артеріального тиску у хворих з ХСН залежно від індексу маси тіла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ІМТ 18,5-24,9</w:t>
            </w:r>
          </w:p>
        </w:tc>
        <w:tc>
          <w:tcPr>
            <w:tcW w:w="2464"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ІМТ 25-30</w:t>
            </w:r>
          </w:p>
        </w:tc>
        <w:tc>
          <w:tcPr>
            <w:tcW w:w="2464"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ІМТ більше 30</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Середній артеріальний тиск (мм рт. ст.)</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100,7±11,0</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110,1±10,1</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р</w:t>
            </w:r>
            <w:r w:rsidRPr="00F90B6B">
              <w:rPr>
                <w:rFonts w:ascii="Times New Roman" w:hAnsi="Times New Roman"/>
                <w:sz w:val="28"/>
                <w:szCs w:val="28"/>
                <w:lang w:val="en-US"/>
              </w:rPr>
              <w:t>&lt;0,05</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113,9±7,36</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р</w:t>
            </w:r>
            <w:r w:rsidRPr="00F90B6B">
              <w:rPr>
                <w:rFonts w:ascii="Times New Roman" w:hAnsi="Times New Roman"/>
                <w:sz w:val="28"/>
                <w:szCs w:val="28"/>
                <w:lang w:val="en-US"/>
              </w:rPr>
              <w:t>&lt;0,05</w:t>
            </w:r>
          </w:p>
        </w:tc>
      </w:tr>
      <w:tr w:rsidR="00EF4063" w:rsidRPr="00F90B6B" w:rsidTr="0076299F">
        <w:tc>
          <w:tcPr>
            <w:tcW w:w="2463"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Пульсовий артеріальний тиск (мм рт. ст.)</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46,4±6,72</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51,7±9,12</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р</w:t>
            </w:r>
            <w:r w:rsidRPr="00F90B6B">
              <w:rPr>
                <w:rFonts w:ascii="Times New Roman" w:hAnsi="Times New Roman"/>
                <w:sz w:val="28"/>
                <w:szCs w:val="28"/>
                <w:lang w:val="en-US"/>
              </w:rPr>
              <w:t>&lt;0,05</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54,1±7,62</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р</w:t>
            </w:r>
            <w:r w:rsidRPr="00F90B6B">
              <w:rPr>
                <w:rFonts w:ascii="Times New Roman" w:hAnsi="Times New Roman"/>
                <w:sz w:val="28"/>
                <w:szCs w:val="28"/>
                <w:lang w:val="en-US"/>
              </w:rPr>
              <w:t>&lt;0,05</w:t>
            </w:r>
          </w:p>
        </w:tc>
      </w:tr>
    </w:tbl>
    <w:p w:rsidR="00EF4063" w:rsidRPr="00F90B6B" w:rsidRDefault="00EF4063" w:rsidP="00F0048B">
      <w:pPr>
        <w:spacing w:after="0" w:line="360" w:lineRule="auto"/>
        <w:ind w:firstLine="709"/>
        <w:jc w:val="both"/>
        <w:rPr>
          <w:rFonts w:ascii="Times New Roman" w:hAnsi="Times New Roman"/>
          <w:i/>
          <w:sz w:val="28"/>
          <w:szCs w:val="28"/>
        </w:rPr>
      </w:pPr>
      <w:r w:rsidRPr="00F90B6B">
        <w:rPr>
          <w:rFonts w:ascii="Times New Roman" w:hAnsi="Times New Roman"/>
          <w:i/>
          <w:sz w:val="28"/>
          <w:szCs w:val="28"/>
        </w:rPr>
        <w:t xml:space="preserve">Примітка: </w:t>
      </w:r>
      <w:r w:rsidRPr="00F90B6B">
        <w:rPr>
          <w:rFonts w:ascii="Times New Roman" w:hAnsi="Times New Roman"/>
          <w:sz w:val="28"/>
          <w:szCs w:val="28"/>
        </w:rPr>
        <w:t>р – вірогідність різниці показників між пацієнтами з ХСН з нормальною та підвищеною масою тіла або ожирінням.</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Для даних показників також встановлено подібну закономірність з вірогідно вищими значеннями у пацієнтів з надлишковою масою тіла та ожирінням в порівнянні з хворими, що мали нормальну вагу тіла (р</w:t>
      </w:r>
      <w:r w:rsidRPr="00F90B6B">
        <w:rPr>
          <w:rFonts w:ascii="Times New Roman" w:hAnsi="Times New Roman"/>
          <w:sz w:val="28"/>
          <w:szCs w:val="28"/>
          <w:lang w:val="ru-RU"/>
        </w:rPr>
        <w:t>&lt;0,05).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Ремоделювання серця визначається як поєднання процесів, які відбуваються на відповідних рівнях: молекулярних, на рівні  кардіоміоцитів, тканини міокарда до структур камер серця в цілому. Ці процеси включають у себе гіпертрофію кардіоміоцитів, зміну форми і збільшення об’єму камер як компенсаторну реакцію для підтримання серцевого викиду [51, 52].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 огляду на це, важливим є вивчення змін кардіогемодинамічних показників, їх роль та взаємозв'язок із перебігом ХСН у хворих з нормальною, надлишковою масою тіла, а також ожирінням, що відображатиме ступінь кардіоваскулярного ризику та серцево-судинних прогноз.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Певну закономірність було встановлено при дослідженні інтегрального кардіогемодинамічного показника – фракція викиду лівого шлуночка (ФВЛШ), рис. 3.2.1</w:t>
      </w:r>
      <w:r w:rsidRPr="00F90B6B">
        <w:rPr>
          <w:rFonts w:ascii="Times New Roman" w:hAnsi="Times New Roman"/>
          <w:sz w:val="28"/>
          <w:szCs w:val="28"/>
          <w:lang w:val="ru-RU"/>
        </w:rPr>
        <w:t>7</w:t>
      </w:r>
      <w:r w:rsidRPr="00F90B6B">
        <w:rPr>
          <w:rFonts w:ascii="Times New Roman" w:hAnsi="Times New Roman"/>
          <w:sz w:val="28"/>
          <w:szCs w:val="28"/>
        </w:rPr>
        <w:t>.</w:t>
      </w:r>
    </w:p>
    <w:p w:rsidR="00EF4063" w:rsidRPr="00F90B6B" w:rsidRDefault="00EF4063" w:rsidP="00F0048B">
      <w:pPr>
        <w:spacing w:after="0" w:line="360" w:lineRule="auto"/>
        <w:jc w:val="center"/>
        <w:rPr>
          <w:rFonts w:ascii="Times New Roman" w:hAnsi="Times New Roman"/>
        </w:rPr>
      </w:pPr>
      <w:r w:rsidRPr="00F90B6B">
        <w:rPr>
          <w:rFonts w:ascii="Times New Roman" w:hAnsi="Times New Roman"/>
        </w:rPr>
        <w:object w:dxaOrig="6900" w:dyaOrig="5190">
          <v:shape id="_x0000_i1050" type="#_x0000_t75" style="width:345pt;height:259.5pt" o:ole="">
            <v:imagedata r:id="rId78" o:title=""/>
          </v:shape>
          <o:OLEObject Type="Embed" ProgID="STATISTICA.Graph" ShapeID="_x0000_i1050" DrawAspect="Content" ObjectID="_1624460773" r:id="rId79">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3.2.17. </w:t>
      </w:r>
      <w:r w:rsidRPr="00F90B6B">
        <w:rPr>
          <w:rFonts w:ascii="Times New Roman" w:hAnsi="Times New Roman"/>
          <w:sz w:val="28"/>
          <w:szCs w:val="28"/>
        </w:rPr>
        <w:t>Фракція викиду лівого шлуночка у пацієнтів з ХСН залежно від індексу маси тіла.</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Слід відмітити, що всі хворі, включені в дослідження мали збережену ФВЛШ, а серцева недостатність була діастолічного характеру. В той же час, у пацієнтів з надмірною вагою та ожирінням скоротлива здатність міокарду була вірогідно нижчою – 60,5±4,5 та 60,0±4,17% проти 64,1±2,26% </w:t>
      </w:r>
      <w:r w:rsidRPr="00F90B6B">
        <w:rPr>
          <w:rFonts w:ascii="Times New Roman" w:hAnsi="Times New Roman"/>
          <w:sz w:val="28"/>
          <w:szCs w:val="28"/>
          <w:lang w:val="ru-RU"/>
        </w:rPr>
        <w:t>(р&lt;0,05)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 останні 20 років було доведено, що об'єм лівого шлуночку є одним з найважливіших предикторов у хворих з ХСН. При ремоделюванні ЛШ внаслідок адаптивної відповіді на ушкодження міокарду, він стає більше сферичним. Це підвищує тиск наповнення, сприяє розвитку діастолічної дисфункції з'являється клінічна картина серцевої недостатності.</w:t>
      </w:r>
    </w:p>
    <w:p w:rsidR="00EF4063" w:rsidRPr="007E797D"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нашому дослідженні зниження ФВЛШ супроводжувалом відповідним збільшення кінцеводіастолічного та кінцевосистолічного розмірів (КДР та КСР), об’ємів (КДО та КСО) та індексів (ІКДО та ІКСО). Отримані дані представлені в таблиці 3.2.6.</w:t>
      </w:r>
    </w:p>
    <w:p w:rsidR="00BB305F" w:rsidRPr="007E797D" w:rsidRDefault="00BB305F"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3.2.6</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Кінцеводіастолічний та кінцевосистолічний розміри, об’єми та індекси у пацієнтів з ХСН залежно від маси тіла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BB305F">
            <w:pPr>
              <w:spacing w:after="0" w:line="288" w:lineRule="auto"/>
              <w:jc w:val="center"/>
              <w:rPr>
                <w:rFonts w:ascii="Times New Roman" w:hAnsi="Times New Roman"/>
                <w:b/>
                <w:sz w:val="28"/>
                <w:szCs w:val="28"/>
                <w:lang w:val="en-US"/>
              </w:rPr>
            </w:pPr>
            <w:r w:rsidRPr="00F90B6B">
              <w:rPr>
                <w:rFonts w:ascii="Times New Roman" w:hAnsi="Times New Roman"/>
                <w:b/>
                <w:sz w:val="28"/>
                <w:szCs w:val="28"/>
              </w:rPr>
              <w:t>ІМТ 18,5-24,9</w:t>
            </w:r>
          </w:p>
          <w:p w:rsidR="00EF4063" w:rsidRPr="00F90B6B" w:rsidRDefault="00EF4063" w:rsidP="00BB305F">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n=</w:t>
            </w:r>
            <w:r w:rsidRPr="00F90B6B">
              <w:rPr>
                <w:rFonts w:ascii="Times New Roman" w:hAnsi="Times New Roman"/>
                <w:b/>
                <w:sz w:val="28"/>
                <w:szCs w:val="28"/>
              </w:rPr>
              <w:t>40</w:t>
            </w:r>
          </w:p>
        </w:tc>
        <w:tc>
          <w:tcPr>
            <w:tcW w:w="2464" w:type="dxa"/>
            <w:vAlign w:val="center"/>
          </w:tcPr>
          <w:p w:rsidR="00EF4063" w:rsidRPr="00F90B6B" w:rsidRDefault="00EF4063" w:rsidP="00BB305F">
            <w:pPr>
              <w:spacing w:after="0" w:line="288" w:lineRule="auto"/>
              <w:jc w:val="center"/>
              <w:rPr>
                <w:rFonts w:ascii="Times New Roman" w:hAnsi="Times New Roman"/>
                <w:b/>
                <w:sz w:val="28"/>
                <w:szCs w:val="28"/>
                <w:lang w:val="en-US"/>
              </w:rPr>
            </w:pPr>
            <w:r w:rsidRPr="00F90B6B">
              <w:rPr>
                <w:rFonts w:ascii="Times New Roman" w:hAnsi="Times New Roman"/>
                <w:b/>
                <w:sz w:val="28"/>
                <w:szCs w:val="28"/>
              </w:rPr>
              <w:t>ІМТ 25-30</w:t>
            </w:r>
          </w:p>
          <w:p w:rsidR="00EF4063" w:rsidRPr="00F90B6B" w:rsidRDefault="00EF4063" w:rsidP="00BB305F">
            <w:pPr>
              <w:spacing w:after="0" w:line="288" w:lineRule="auto"/>
              <w:jc w:val="center"/>
              <w:rPr>
                <w:rFonts w:ascii="Times New Roman" w:hAnsi="Times New Roman"/>
                <w:b/>
                <w:sz w:val="28"/>
                <w:szCs w:val="28"/>
              </w:rPr>
            </w:pPr>
            <w:r w:rsidRPr="00F90B6B">
              <w:rPr>
                <w:rFonts w:ascii="Times New Roman" w:hAnsi="Times New Roman"/>
                <w:b/>
                <w:sz w:val="28"/>
                <w:szCs w:val="28"/>
                <w:lang w:val="en-US"/>
              </w:rPr>
              <w:t>n=3</w:t>
            </w:r>
            <w:r w:rsidRPr="00F90B6B">
              <w:rPr>
                <w:rFonts w:ascii="Times New Roman" w:hAnsi="Times New Roman"/>
                <w:b/>
                <w:sz w:val="28"/>
                <w:szCs w:val="28"/>
              </w:rPr>
              <w:t>5</w:t>
            </w:r>
          </w:p>
        </w:tc>
        <w:tc>
          <w:tcPr>
            <w:tcW w:w="2464" w:type="dxa"/>
            <w:vAlign w:val="center"/>
          </w:tcPr>
          <w:p w:rsidR="00EF4063" w:rsidRPr="00F90B6B" w:rsidRDefault="00EF4063" w:rsidP="00BB305F">
            <w:pPr>
              <w:spacing w:after="0" w:line="288" w:lineRule="auto"/>
              <w:jc w:val="center"/>
              <w:rPr>
                <w:rFonts w:ascii="Times New Roman" w:hAnsi="Times New Roman"/>
                <w:b/>
                <w:sz w:val="28"/>
                <w:szCs w:val="28"/>
                <w:lang w:val="en-US"/>
              </w:rPr>
            </w:pPr>
            <w:r w:rsidRPr="00F90B6B">
              <w:rPr>
                <w:rFonts w:ascii="Times New Roman" w:hAnsi="Times New Roman"/>
                <w:b/>
                <w:sz w:val="28"/>
                <w:szCs w:val="28"/>
              </w:rPr>
              <w:t>ІМТ</w:t>
            </w:r>
            <w:r w:rsidRPr="00F90B6B">
              <w:rPr>
                <w:rFonts w:ascii="Times New Roman" w:hAnsi="Times New Roman"/>
                <w:b/>
                <w:sz w:val="28"/>
                <w:szCs w:val="28"/>
                <w:lang w:val="en-US"/>
              </w:rPr>
              <w:t>&gt;</w:t>
            </w:r>
            <w:r w:rsidRPr="00F90B6B">
              <w:rPr>
                <w:rFonts w:ascii="Times New Roman" w:hAnsi="Times New Roman"/>
                <w:b/>
                <w:sz w:val="28"/>
                <w:szCs w:val="28"/>
              </w:rPr>
              <w:t>30</w:t>
            </w:r>
          </w:p>
          <w:p w:rsidR="00EF4063" w:rsidRPr="00F90B6B" w:rsidRDefault="00EF4063" w:rsidP="00BB305F">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n=</w:t>
            </w:r>
            <w:r w:rsidRPr="00F90B6B">
              <w:rPr>
                <w:rFonts w:ascii="Times New Roman" w:hAnsi="Times New Roman"/>
                <w:b/>
                <w:sz w:val="28"/>
                <w:szCs w:val="28"/>
              </w:rPr>
              <w:t>71</w:t>
            </w:r>
          </w:p>
        </w:tc>
      </w:tr>
      <w:tr w:rsidR="00EF4063" w:rsidRPr="00F90B6B" w:rsidTr="0076299F">
        <w:tc>
          <w:tcPr>
            <w:tcW w:w="2463" w:type="dxa"/>
            <w:vAlign w:val="center"/>
          </w:tcPr>
          <w:p w:rsidR="00EF4063" w:rsidRPr="00F90B6B" w:rsidRDefault="00EF4063" w:rsidP="00BB305F">
            <w:pPr>
              <w:spacing w:after="0" w:line="288" w:lineRule="auto"/>
              <w:jc w:val="center"/>
              <w:rPr>
                <w:rFonts w:ascii="Times New Roman" w:hAnsi="Times New Roman"/>
                <w:i/>
                <w:sz w:val="28"/>
                <w:szCs w:val="28"/>
              </w:rPr>
            </w:pPr>
            <w:r w:rsidRPr="00F90B6B">
              <w:rPr>
                <w:rFonts w:ascii="Times New Roman" w:hAnsi="Times New Roman"/>
                <w:i/>
                <w:sz w:val="28"/>
                <w:szCs w:val="28"/>
              </w:rPr>
              <w:t>КДР, см</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4,82±0,13</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4,96±0,29</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5,02±0,33</w:t>
            </w:r>
          </w:p>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76299F">
        <w:tc>
          <w:tcPr>
            <w:tcW w:w="2463" w:type="dxa"/>
            <w:vAlign w:val="center"/>
          </w:tcPr>
          <w:p w:rsidR="00EF4063" w:rsidRPr="00F90B6B" w:rsidRDefault="00EF4063" w:rsidP="00BB305F">
            <w:pPr>
              <w:spacing w:after="0" w:line="288" w:lineRule="auto"/>
              <w:jc w:val="center"/>
              <w:rPr>
                <w:rFonts w:ascii="Times New Roman" w:hAnsi="Times New Roman"/>
                <w:i/>
                <w:sz w:val="28"/>
                <w:szCs w:val="28"/>
              </w:rPr>
            </w:pPr>
            <w:r w:rsidRPr="00F90B6B">
              <w:rPr>
                <w:rFonts w:ascii="Times New Roman" w:hAnsi="Times New Roman"/>
                <w:i/>
                <w:sz w:val="28"/>
                <w:szCs w:val="28"/>
              </w:rPr>
              <w:t>КСР, см</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3,12±0,13</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rPr>
              <w:t>3,27±0,11</w:t>
            </w:r>
          </w:p>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rPr>
              <w:t>3,36±0,14</w:t>
            </w:r>
          </w:p>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76299F">
        <w:tc>
          <w:tcPr>
            <w:tcW w:w="2463" w:type="dxa"/>
            <w:vAlign w:val="center"/>
          </w:tcPr>
          <w:p w:rsidR="00EF4063" w:rsidRPr="00F90B6B" w:rsidRDefault="00EF4063" w:rsidP="00BB305F">
            <w:pPr>
              <w:spacing w:after="0" w:line="288" w:lineRule="auto"/>
              <w:jc w:val="center"/>
              <w:rPr>
                <w:rFonts w:ascii="Times New Roman" w:hAnsi="Times New Roman"/>
                <w:i/>
                <w:sz w:val="28"/>
                <w:szCs w:val="28"/>
              </w:rPr>
            </w:pPr>
            <w:r w:rsidRPr="00F90B6B">
              <w:rPr>
                <w:rFonts w:ascii="Times New Roman" w:hAnsi="Times New Roman"/>
                <w:i/>
                <w:sz w:val="28"/>
                <w:szCs w:val="28"/>
              </w:rPr>
              <w:t>КДО, мл</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109,1±7,12</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rPr>
              <w:t>116,7±6,43</w:t>
            </w:r>
          </w:p>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rPr>
              <w:t>120,4±12,0</w:t>
            </w:r>
          </w:p>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76299F">
        <w:tc>
          <w:tcPr>
            <w:tcW w:w="2463" w:type="dxa"/>
            <w:vAlign w:val="center"/>
          </w:tcPr>
          <w:p w:rsidR="00EF4063" w:rsidRPr="00F90B6B" w:rsidRDefault="00EF4063" w:rsidP="00BB305F">
            <w:pPr>
              <w:spacing w:after="0" w:line="288" w:lineRule="auto"/>
              <w:jc w:val="center"/>
              <w:rPr>
                <w:rFonts w:ascii="Times New Roman" w:hAnsi="Times New Roman"/>
                <w:i/>
                <w:sz w:val="28"/>
                <w:szCs w:val="28"/>
              </w:rPr>
            </w:pPr>
            <w:r w:rsidRPr="00F90B6B">
              <w:rPr>
                <w:rFonts w:ascii="Times New Roman" w:hAnsi="Times New Roman"/>
                <w:i/>
                <w:sz w:val="28"/>
                <w:szCs w:val="28"/>
              </w:rPr>
              <w:t>КСО, мл</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38,5±4,07</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43,7±8,81</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rPr>
              <w:t>46,9±6,09</w:t>
            </w:r>
          </w:p>
          <w:p w:rsidR="00EF4063" w:rsidRPr="00F90B6B" w:rsidRDefault="00EF4063" w:rsidP="00BB305F">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76299F">
        <w:tc>
          <w:tcPr>
            <w:tcW w:w="2463" w:type="dxa"/>
            <w:vAlign w:val="center"/>
          </w:tcPr>
          <w:p w:rsidR="00EF4063" w:rsidRPr="00F90B6B" w:rsidRDefault="00EF4063" w:rsidP="00BB305F">
            <w:pPr>
              <w:spacing w:after="0" w:line="288" w:lineRule="auto"/>
              <w:jc w:val="center"/>
              <w:rPr>
                <w:rFonts w:ascii="Times New Roman" w:hAnsi="Times New Roman"/>
                <w:i/>
                <w:sz w:val="28"/>
                <w:szCs w:val="28"/>
                <w:vertAlign w:val="superscript"/>
              </w:rPr>
            </w:pPr>
            <w:r w:rsidRPr="00F90B6B">
              <w:rPr>
                <w:rFonts w:ascii="Times New Roman" w:hAnsi="Times New Roman"/>
                <w:i/>
                <w:sz w:val="28"/>
                <w:szCs w:val="28"/>
              </w:rPr>
              <w:t>ІКДО, мл/м</w:t>
            </w:r>
            <w:r w:rsidRPr="00F90B6B">
              <w:rPr>
                <w:rFonts w:ascii="Times New Roman" w:hAnsi="Times New Roman"/>
                <w:i/>
                <w:sz w:val="28"/>
                <w:szCs w:val="28"/>
                <w:vertAlign w:val="superscript"/>
              </w:rPr>
              <w:t>2</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61,9±3,54</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62,4±4,51</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60,1±3,83</w:t>
            </w:r>
          </w:p>
        </w:tc>
      </w:tr>
      <w:tr w:rsidR="00EF4063" w:rsidRPr="00F90B6B" w:rsidTr="0076299F">
        <w:tc>
          <w:tcPr>
            <w:tcW w:w="2463" w:type="dxa"/>
            <w:vAlign w:val="center"/>
          </w:tcPr>
          <w:p w:rsidR="00EF4063" w:rsidRPr="00F90B6B" w:rsidRDefault="00EF4063" w:rsidP="00BB305F">
            <w:pPr>
              <w:spacing w:after="0" w:line="288" w:lineRule="auto"/>
              <w:jc w:val="center"/>
              <w:rPr>
                <w:rFonts w:ascii="Times New Roman" w:hAnsi="Times New Roman"/>
                <w:i/>
                <w:sz w:val="28"/>
                <w:szCs w:val="28"/>
              </w:rPr>
            </w:pPr>
            <w:r w:rsidRPr="00F90B6B">
              <w:rPr>
                <w:rFonts w:ascii="Times New Roman" w:hAnsi="Times New Roman"/>
                <w:i/>
                <w:sz w:val="28"/>
                <w:szCs w:val="28"/>
              </w:rPr>
              <w:t>ІКСО, мл/м</w:t>
            </w:r>
            <w:r w:rsidRPr="00F90B6B">
              <w:rPr>
                <w:rFonts w:ascii="Times New Roman" w:hAnsi="Times New Roman"/>
                <w:i/>
                <w:sz w:val="28"/>
                <w:szCs w:val="28"/>
                <w:vertAlign w:val="superscript"/>
              </w:rPr>
              <w:t>2</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21,8±2,28</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23,6±5,88</w:t>
            </w:r>
          </w:p>
        </w:tc>
        <w:tc>
          <w:tcPr>
            <w:tcW w:w="2464" w:type="dxa"/>
            <w:vAlign w:val="center"/>
          </w:tcPr>
          <w:p w:rsidR="00EF4063" w:rsidRPr="00F90B6B" w:rsidRDefault="00EF4063" w:rsidP="00BB305F">
            <w:pPr>
              <w:spacing w:after="0" w:line="288" w:lineRule="auto"/>
              <w:jc w:val="center"/>
              <w:rPr>
                <w:rFonts w:ascii="Times New Roman" w:hAnsi="Times New Roman"/>
                <w:sz w:val="28"/>
                <w:szCs w:val="28"/>
              </w:rPr>
            </w:pPr>
            <w:r w:rsidRPr="00F90B6B">
              <w:rPr>
                <w:rFonts w:ascii="Times New Roman" w:hAnsi="Times New Roman"/>
                <w:sz w:val="28"/>
                <w:szCs w:val="28"/>
              </w:rPr>
              <w:t>23,1±4,78</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i/>
          <w:sz w:val="28"/>
          <w:szCs w:val="28"/>
        </w:rPr>
        <w:t xml:space="preserve">Примітка: </w:t>
      </w:r>
      <w:r w:rsidRPr="00F90B6B">
        <w:rPr>
          <w:rFonts w:ascii="Times New Roman" w:hAnsi="Times New Roman"/>
          <w:sz w:val="28"/>
          <w:szCs w:val="28"/>
        </w:rPr>
        <w:t>р – вірогідність різниці показників між пацієнтами з ХСН з нормальною та підвищеною масою тіла або ожирінням.</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Додатковими розрахунковими показниками кардіогемодинаміки були ударний об’єм крові (УО), ударний індекс (УІ), хвилинний об’єм крові (ХОК), а також серцевий індекс (СІ).</w:t>
      </w:r>
    </w:p>
    <w:p w:rsidR="00EF4063" w:rsidRPr="00F90B6B" w:rsidRDefault="00EF4063" w:rsidP="00F0048B">
      <w:pPr>
        <w:spacing w:after="0" w:line="360" w:lineRule="auto"/>
        <w:ind w:firstLine="709"/>
        <w:jc w:val="both"/>
        <w:rPr>
          <w:rStyle w:val="st"/>
          <w:rFonts w:ascii="Times New Roman" w:hAnsi="Times New Roman"/>
        </w:rPr>
      </w:pPr>
      <w:r w:rsidRPr="00F90B6B">
        <w:rPr>
          <w:rFonts w:ascii="Times New Roman" w:hAnsi="Times New Roman"/>
          <w:sz w:val="28"/>
          <w:szCs w:val="28"/>
        </w:rPr>
        <w:t>Ударний об’єм – це показник</w:t>
      </w:r>
      <w:r w:rsidRPr="00F90B6B">
        <w:rPr>
          <w:rStyle w:val="st"/>
          <w:rFonts w:ascii="Times New Roman" w:hAnsi="Times New Roman"/>
          <w:sz w:val="28"/>
          <w:szCs w:val="28"/>
        </w:rPr>
        <w:t xml:space="preserve">, який є абсолютною величиною та відображає кількість </w:t>
      </w:r>
      <w:r w:rsidRPr="00F90B6B">
        <w:rPr>
          <w:rStyle w:val="ac"/>
          <w:rFonts w:ascii="Times New Roman" w:hAnsi="Times New Roman"/>
          <w:i w:val="0"/>
          <w:iCs/>
          <w:sz w:val="28"/>
          <w:szCs w:val="28"/>
        </w:rPr>
        <w:t>крові</w:t>
      </w:r>
      <w:r w:rsidRPr="00F90B6B">
        <w:rPr>
          <w:rStyle w:val="st"/>
          <w:rFonts w:ascii="Times New Roman" w:hAnsi="Times New Roman"/>
          <w:i/>
          <w:sz w:val="28"/>
          <w:szCs w:val="28"/>
        </w:rPr>
        <w:t>,</w:t>
      </w:r>
      <w:r w:rsidRPr="00F90B6B">
        <w:rPr>
          <w:rStyle w:val="st"/>
          <w:rFonts w:ascii="Times New Roman" w:hAnsi="Times New Roman"/>
          <w:sz w:val="28"/>
          <w:szCs w:val="28"/>
        </w:rPr>
        <w:t xml:space="preserve"> що виганяється лівим шлуночком за одне скорочення, фактично вираховується як різниця КДО та КСО. Ударний індекс – це величина ударного об’єму, перерахована на площу поверхні тіла.</w:t>
      </w:r>
    </w:p>
    <w:p w:rsidR="00EF4063" w:rsidRPr="00F90B6B" w:rsidRDefault="00EF4063" w:rsidP="00F0048B">
      <w:pPr>
        <w:spacing w:after="0" w:line="360" w:lineRule="auto"/>
        <w:ind w:firstLine="709"/>
        <w:jc w:val="both"/>
        <w:rPr>
          <w:rFonts w:ascii="Times New Roman" w:hAnsi="Times New Roman"/>
        </w:rPr>
      </w:pPr>
      <w:r w:rsidRPr="00F90B6B">
        <w:rPr>
          <w:rFonts w:ascii="Times New Roman" w:hAnsi="Times New Roman"/>
          <w:sz w:val="28"/>
          <w:szCs w:val="28"/>
        </w:rPr>
        <w:t>Слід сказати, що в нашій роботі відмічено приріст УО за наявності надлишкової ваги або ожиріння на фоні ХСН, рис. 3.2.1</w:t>
      </w:r>
      <w:r w:rsidRPr="00F90B6B">
        <w:rPr>
          <w:rFonts w:ascii="Times New Roman" w:hAnsi="Times New Roman"/>
          <w:sz w:val="28"/>
          <w:szCs w:val="28"/>
          <w:lang w:val="ru-RU"/>
        </w:rPr>
        <w:t>8</w:t>
      </w:r>
      <w:r w:rsidRPr="00F90B6B">
        <w:rPr>
          <w:rFonts w:ascii="Times New Roman" w:hAnsi="Times New Roman"/>
          <w:sz w:val="28"/>
          <w:szCs w:val="28"/>
        </w:rPr>
        <w:t>.</w:t>
      </w:r>
    </w:p>
    <w:tbl>
      <w:tblPr>
        <w:tblW w:w="0" w:type="auto"/>
        <w:tblLook w:val="00A0" w:firstRow="1" w:lastRow="0" w:firstColumn="1" w:lastColumn="0" w:noHBand="0" w:noVBand="0"/>
      </w:tblPr>
      <w:tblGrid>
        <w:gridCol w:w="5113"/>
        <w:gridCol w:w="5113"/>
      </w:tblGrid>
      <w:tr w:rsidR="00EF4063" w:rsidRPr="00F90B6B" w:rsidTr="0076299F">
        <w:tc>
          <w:tcPr>
            <w:tcW w:w="4927" w:type="dxa"/>
            <w:vAlign w:val="center"/>
          </w:tcPr>
          <w:p w:rsidR="00EF4063" w:rsidRPr="00F90B6B" w:rsidRDefault="006F7754" w:rsidP="00F0048B">
            <w:pPr>
              <w:spacing w:after="0" w:line="360" w:lineRule="auto"/>
              <w:jc w:val="center"/>
              <w:rPr>
                <w:rFonts w:ascii="Times New Roman" w:hAnsi="Times New Roman"/>
                <w:sz w:val="28"/>
                <w:szCs w:val="28"/>
              </w:rPr>
            </w:pPr>
            <w:r w:rsidRPr="00BD2F09">
              <w:rPr>
                <w:rFonts w:ascii="Times New Roman" w:hAnsi="Times New Roman"/>
                <w:noProof/>
                <w:lang w:val="ru-RU" w:eastAsia="ru-RU"/>
              </w:rPr>
              <w:drawing>
                <wp:inline distT="0" distB="0" distL="0" distR="0">
                  <wp:extent cx="3105150" cy="1914525"/>
                  <wp:effectExtent l="0" t="0" r="0" b="0"/>
                  <wp:docPr id="36"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tc>
        <w:tc>
          <w:tcPr>
            <w:tcW w:w="4928" w:type="dxa"/>
            <w:vAlign w:val="center"/>
          </w:tcPr>
          <w:p w:rsidR="00EF4063" w:rsidRPr="00F90B6B" w:rsidRDefault="006F7754" w:rsidP="00F0048B">
            <w:pPr>
              <w:spacing w:after="0" w:line="360" w:lineRule="auto"/>
              <w:jc w:val="center"/>
              <w:rPr>
                <w:rFonts w:ascii="Times New Roman" w:hAnsi="Times New Roman"/>
                <w:sz w:val="28"/>
                <w:szCs w:val="28"/>
              </w:rPr>
            </w:pPr>
            <w:r w:rsidRPr="00BD2F09">
              <w:rPr>
                <w:rFonts w:ascii="Times New Roman" w:hAnsi="Times New Roman"/>
                <w:noProof/>
                <w:lang w:val="ru-RU" w:eastAsia="ru-RU"/>
              </w:rPr>
              <w:drawing>
                <wp:inline distT="0" distB="0" distL="0" distR="0">
                  <wp:extent cx="3105150" cy="1962150"/>
                  <wp:effectExtent l="0" t="0" r="0" b="0"/>
                  <wp:docPr id="37"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tc>
      </w:tr>
      <w:tr w:rsidR="00EF4063" w:rsidRPr="00F90B6B" w:rsidTr="0076299F">
        <w:tc>
          <w:tcPr>
            <w:tcW w:w="4927"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Рис. 3.2.1</w:t>
            </w:r>
            <w:r w:rsidRPr="00F90B6B">
              <w:rPr>
                <w:rFonts w:ascii="Times New Roman" w:hAnsi="Times New Roman"/>
                <w:b/>
                <w:sz w:val="28"/>
                <w:szCs w:val="28"/>
                <w:lang w:val="ru-RU"/>
              </w:rPr>
              <w:t>8</w:t>
            </w:r>
            <w:r w:rsidRPr="00F90B6B">
              <w:rPr>
                <w:rFonts w:ascii="Times New Roman" w:hAnsi="Times New Roman"/>
                <w:b/>
                <w:sz w:val="28"/>
                <w:szCs w:val="28"/>
              </w:rPr>
              <w:t>.1.</w:t>
            </w:r>
            <w:r w:rsidRPr="00F90B6B">
              <w:rPr>
                <w:rFonts w:ascii="Times New Roman" w:hAnsi="Times New Roman"/>
                <w:sz w:val="28"/>
                <w:szCs w:val="28"/>
              </w:rPr>
              <w:t xml:space="preserve"> Ударний об’єм у хворих з ХСН залежно від маси тіла (мл).</w:t>
            </w:r>
          </w:p>
        </w:tc>
        <w:tc>
          <w:tcPr>
            <w:tcW w:w="4928"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Рис. 3.2.1</w:t>
            </w:r>
            <w:r w:rsidRPr="00F90B6B">
              <w:rPr>
                <w:rFonts w:ascii="Times New Roman" w:hAnsi="Times New Roman"/>
                <w:b/>
                <w:sz w:val="28"/>
                <w:szCs w:val="28"/>
                <w:lang w:val="ru-RU"/>
              </w:rPr>
              <w:t>8</w:t>
            </w:r>
            <w:r w:rsidRPr="00F90B6B">
              <w:rPr>
                <w:rFonts w:ascii="Times New Roman" w:hAnsi="Times New Roman"/>
                <w:b/>
                <w:sz w:val="28"/>
                <w:szCs w:val="28"/>
              </w:rPr>
              <w:t>.2.</w:t>
            </w:r>
            <w:r w:rsidRPr="00F90B6B">
              <w:rPr>
                <w:rFonts w:ascii="Times New Roman" w:hAnsi="Times New Roman"/>
                <w:sz w:val="28"/>
                <w:szCs w:val="28"/>
              </w:rPr>
              <w:t xml:space="preserve"> Ударний індекс у хворих з ХСН залежно від маси тіла (мл/м</w:t>
            </w:r>
            <w:r w:rsidRPr="00F90B6B">
              <w:rPr>
                <w:rFonts w:ascii="Times New Roman" w:hAnsi="Times New Roman"/>
                <w:sz w:val="28"/>
                <w:szCs w:val="28"/>
                <w:vertAlign w:val="superscript"/>
              </w:rPr>
              <w:t>2</w:t>
            </w:r>
            <w:r w:rsidRPr="00F90B6B">
              <w:rPr>
                <w:rFonts w:ascii="Times New Roman" w:hAnsi="Times New Roman"/>
                <w:sz w:val="28"/>
                <w:szCs w:val="28"/>
              </w:rPr>
              <w:t>).</w:t>
            </w:r>
          </w:p>
        </w:tc>
      </w:tr>
    </w:tbl>
    <w:p w:rsidR="00EF4063" w:rsidRPr="00F90B6B" w:rsidRDefault="006F7754" w:rsidP="00F0048B">
      <w:pPr>
        <w:pStyle w:val="1"/>
        <w:spacing w:after="0" w:line="360" w:lineRule="auto"/>
        <w:ind w:left="0" w:firstLine="709"/>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53120" behindDoc="0" locked="0" layoutInCell="1" allowOverlap="1">
                <wp:simplePos x="0" y="0"/>
                <wp:positionH relativeFrom="column">
                  <wp:posOffset>1233805</wp:posOffset>
                </wp:positionH>
                <wp:positionV relativeFrom="paragraph">
                  <wp:posOffset>-1905</wp:posOffset>
                </wp:positionV>
                <wp:extent cx="228600" cy="220980"/>
                <wp:effectExtent l="0" t="0" r="19050" b="26670"/>
                <wp:wrapNone/>
                <wp:docPr id="10" name="5-конечная звезда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220980"/>
                        </a:xfrm>
                        <a:custGeom>
                          <a:avLst/>
                          <a:gdLst>
                            <a:gd name="T0" fmla="*/ 0 w 228600"/>
                            <a:gd name="T1" fmla="*/ 84407 h 220980"/>
                            <a:gd name="T2" fmla="*/ 87318 w 228600"/>
                            <a:gd name="T3" fmla="*/ 84407 h 220980"/>
                            <a:gd name="T4" fmla="*/ 114300 w 228600"/>
                            <a:gd name="T5" fmla="*/ 0 h 220980"/>
                            <a:gd name="T6" fmla="*/ 141282 w 228600"/>
                            <a:gd name="T7" fmla="*/ 84407 h 220980"/>
                            <a:gd name="T8" fmla="*/ 228600 w 228600"/>
                            <a:gd name="T9" fmla="*/ 84407 h 220980"/>
                            <a:gd name="T10" fmla="*/ 157958 w 228600"/>
                            <a:gd name="T11" fmla="*/ 136573 h 220980"/>
                            <a:gd name="T12" fmla="*/ 184941 w 228600"/>
                            <a:gd name="T13" fmla="*/ 220979 h 220980"/>
                            <a:gd name="T14" fmla="*/ 114300 w 228600"/>
                            <a:gd name="T15" fmla="*/ 168813 h 220980"/>
                            <a:gd name="T16" fmla="*/ 43659 w 228600"/>
                            <a:gd name="T17" fmla="*/ 220979 h 220980"/>
                            <a:gd name="T18" fmla="*/ 70642 w 228600"/>
                            <a:gd name="T19" fmla="*/ 136573 h 220980"/>
                            <a:gd name="T20" fmla="*/ 0 w 228600"/>
                            <a:gd name="T21" fmla="*/ 84407 h 22098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8600" h="220980">
                              <a:moveTo>
                                <a:pt x="0" y="84407"/>
                              </a:moveTo>
                              <a:lnTo>
                                <a:pt x="87318" y="84407"/>
                              </a:lnTo>
                              <a:lnTo>
                                <a:pt x="114300" y="0"/>
                              </a:lnTo>
                              <a:lnTo>
                                <a:pt x="141282" y="84407"/>
                              </a:lnTo>
                              <a:lnTo>
                                <a:pt x="228600" y="84407"/>
                              </a:lnTo>
                              <a:lnTo>
                                <a:pt x="157958" y="136573"/>
                              </a:lnTo>
                              <a:lnTo>
                                <a:pt x="184941" y="220979"/>
                              </a:lnTo>
                              <a:lnTo>
                                <a:pt x="114300" y="168813"/>
                              </a:lnTo>
                              <a:lnTo>
                                <a:pt x="43659" y="220979"/>
                              </a:lnTo>
                              <a:lnTo>
                                <a:pt x="70642" y="136573"/>
                              </a:lnTo>
                              <a:lnTo>
                                <a:pt x="0" y="84407"/>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F90BC1F" id="5-конечная звезда 15" o:spid="_x0000_s1026" style="position:absolute;margin-left:97.15pt;margin-top:-.15pt;width:18pt;height:17.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8600,220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" path="m,84407r87318,l114300,r26982,84407l228600,84407r-70642,52166l184941,220979,114300,168813,43659,220979,70642,136573,,84407xe" fillcolor="#4f81bd" strokecolor="#243f60" strokeweight="2pt">
                <v:path arrowok="t" o:connecttype="custom" o:connectlocs="0,84407;87318,84407;114300,0;141282,84407;228600,84407;157958,136573;184941,220979;114300,168813;43659,220979;70642,136573;0,84407" o:connectangles="0,0,0,0,0,0,0,0,0,0,0"/>
              </v:shape>
            </w:pict>
          </mc:Fallback>
        </mc:AlternateContent>
      </w:r>
      <w:r w:rsidR="00EF4063" w:rsidRPr="00F90B6B">
        <w:rPr>
          <w:rFonts w:ascii="Times New Roman" w:hAnsi="Times New Roman"/>
          <w:i/>
          <w:sz w:val="28"/>
          <w:szCs w:val="28"/>
        </w:rPr>
        <w:t xml:space="preserve">Примітка:    - </w:t>
      </w:r>
      <w:r w:rsidR="00EF4063" w:rsidRPr="00F90B6B">
        <w:rPr>
          <w:rFonts w:ascii="Times New Roman" w:hAnsi="Times New Roman"/>
          <w:sz w:val="28"/>
          <w:szCs w:val="28"/>
        </w:rPr>
        <w:t>вірогідна різниця показника в порівнянні з пацієнтами з ХСН та нормальною масою тіла.</w:t>
      </w:r>
    </w:p>
    <w:p w:rsidR="00BB305F" w:rsidRPr="00F90B6B" w:rsidRDefault="00BB305F"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Зростання УО при ІМТ більше 30 становило 17,7% (81,8±25,0 мл, р</w:t>
      </w:r>
      <w:r w:rsidRPr="00F90B6B">
        <w:rPr>
          <w:rFonts w:ascii="Times New Roman" w:hAnsi="Times New Roman"/>
          <w:sz w:val="28"/>
          <w:szCs w:val="28"/>
          <w:lang w:val="ru-RU"/>
        </w:rPr>
        <w:t>&lt;0,05</w:t>
      </w:r>
      <w:r w:rsidRPr="00F90B6B">
        <w:rPr>
          <w:rFonts w:ascii="Times New Roman" w:hAnsi="Times New Roman"/>
          <w:sz w:val="28"/>
          <w:szCs w:val="28"/>
        </w:rPr>
        <w:t>), за наявності ІМТ 25,0-30,0 – 24,0% (86,2±19,3 мл</w:t>
      </w:r>
      <w:r w:rsidRPr="00F90B6B">
        <w:rPr>
          <w:rFonts w:ascii="Times New Roman" w:hAnsi="Times New Roman"/>
          <w:sz w:val="28"/>
          <w:szCs w:val="28"/>
          <w:lang w:val="ru-RU"/>
        </w:rPr>
        <w:t xml:space="preserve">, </w:t>
      </w:r>
      <w:r w:rsidRPr="00F90B6B">
        <w:rPr>
          <w:rFonts w:ascii="Times New Roman" w:hAnsi="Times New Roman"/>
          <w:sz w:val="28"/>
          <w:szCs w:val="28"/>
        </w:rPr>
        <w:t>р</w:t>
      </w:r>
      <w:r w:rsidRPr="00F90B6B">
        <w:rPr>
          <w:rFonts w:ascii="Times New Roman" w:hAnsi="Times New Roman"/>
          <w:sz w:val="28"/>
          <w:szCs w:val="28"/>
          <w:lang w:val="ru-RU"/>
        </w:rPr>
        <w:t>&lt;0,05</w:t>
      </w:r>
      <w:r w:rsidRPr="00F90B6B">
        <w:rPr>
          <w:rFonts w:ascii="Times New Roman" w:hAnsi="Times New Roman"/>
          <w:sz w:val="28"/>
          <w:szCs w:val="28"/>
        </w:rPr>
        <w:t>) в порівнянні з пацієнтами, що мали ІМТ 18,5-24,9 (69,5±4,36 мл).</w:t>
      </w:r>
      <w:r w:rsidRPr="00F90B6B">
        <w:rPr>
          <w:rFonts w:ascii="Times New Roman" w:hAnsi="Times New Roman"/>
          <w:sz w:val="28"/>
          <w:szCs w:val="28"/>
          <w:lang w:val="ru-RU"/>
        </w:rPr>
        <w:t xml:space="preserve"> </w:t>
      </w:r>
      <w:r w:rsidRPr="00F90B6B">
        <w:rPr>
          <w:rFonts w:ascii="Times New Roman" w:hAnsi="Times New Roman"/>
          <w:sz w:val="28"/>
          <w:szCs w:val="28"/>
        </w:rPr>
        <w:t>Подібну закономірність встановлено також для УІ – 47,2±12,2 мл при надмірній вазі проти 40,4±2,05 мл за нормального ІМТ – 16,8% (р</w:t>
      </w:r>
      <w:r w:rsidRPr="00F90B6B">
        <w:rPr>
          <w:rFonts w:ascii="Times New Roman" w:hAnsi="Times New Roman"/>
          <w:sz w:val="28"/>
          <w:szCs w:val="28"/>
          <w:lang w:val="ru-RU"/>
        </w:rPr>
        <w:t>&lt;0,05</w:t>
      </w:r>
      <w:r w:rsidRPr="00F90B6B">
        <w:rPr>
          <w:rFonts w:ascii="Times New Roman" w:hAnsi="Times New Roman"/>
          <w:sz w:val="28"/>
          <w:szCs w:val="28"/>
        </w:rPr>
        <w:t>), при фактично незмінному УІ за наявності ожиріння - 41,2±12,6 мл (р</w:t>
      </w:r>
      <w:r w:rsidRPr="00F90B6B">
        <w:rPr>
          <w:rFonts w:ascii="Times New Roman" w:hAnsi="Times New Roman"/>
          <w:sz w:val="28"/>
          <w:szCs w:val="28"/>
          <w:lang w:val="ru-RU"/>
        </w:rPr>
        <w:t xml:space="preserve">&gt;0,05).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Таким чином, можна припустити, що виявлені зміни є наслідком компенсаторної реакції, яка супроводжується підсиленням серцевого викиду при </w:t>
      </w:r>
      <w:r w:rsidRPr="00F90B6B">
        <w:rPr>
          <w:rFonts w:ascii="Times New Roman" w:hAnsi="Times New Roman"/>
          <w:sz w:val="28"/>
          <w:szCs w:val="28"/>
        </w:rPr>
        <w:lastRenderedPageBreak/>
        <w:t>збільшенні ваги пацієнта, проте появою декомпенсації при подальшому прирості маси тіла та появі ожиріння.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Надалі досліджувався хвилинний об’єм крові (ХОК), що є інтегральним показником функції серця як насоса. Паралельно проводився аналіз ХОК у перерахунку за 1 секунду. Дані представлені на рис. 3.2.1</w:t>
      </w:r>
      <w:r w:rsidRPr="00F90B6B">
        <w:rPr>
          <w:rFonts w:ascii="Times New Roman" w:hAnsi="Times New Roman"/>
          <w:sz w:val="28"/>
          <w:szCs w:val="28"/>
          <w:lang w:val="ru-RU"/>
        </w:rPr>
        <w:t>9</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Відмічено вірогідне підвищення ХОК при зростанні ваги тіла – на 24,3% (6361,2±619,8 мл, р&lt;0,05) та ожирінні – на 23,7% (6329,6±734,0 мл, р&lt;0,05) в порівнянні з пацієнтами, що мали нормальну вагу - 5116,3±615,6 мл, рис. 3.2.19.1.</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Приріст ХОК/сек. при надмірній вазі становив 18,3% (101,3±33,5 мл/сек, р</w:t>
      </w:r>
      <w:r w:rsidRPr="00F90B6B">
        <w:rPr>
          <w:rFonts w:ascii="Times New Roman" w:hAnsi="Times New Roman"/>
          <w:sz w:val="28"/>
          <w:szCs w:val="28"/>
          <w:lang w:val="ru-RU"/>
        </w:rPr>
        <w:t>&lt;0,05</w:t>
      </w:r>
      <w:r w:rsidRPr="00F90B6B">
        <w:rPr>
          <w:rFonts w:ascii="Times New Roman" w:hAnsi="Times New Roman"/>
          <w:sz w:val="28"/>
          <w:szCs w:val="28"/>
        </w:rPr>
        <w:t>), при ожирінні – 22,7% (105,1±28,7 мл/сек, р</w:t>
      </w:r>
      <w:r w:rsidRPr="00F90B6B">
        <w:rPr>
          <w:rFonts w:ascii="Times New Roman" w:hAnsi="Times New Roman"/>
          <w:sz w:val="28"/>
          <w:szCs w:val="28"/>
          <w:lang w:val="ru-RU"/>
        </w:rPr>
        <w:t>&lt;0,05</w:t>
      </w:r>
      <w:r w:rsidRPr="00F90B6B">
        <w:rPr>
          <w:rFonts w:ascii="Times New Roman" w:hAnsi="Times New Roman"/>
          <w:sz w:val="28"/>
          <w:szCs w:val="28"/>
        </w:rPr>
        <w:t xml:space="preserve">) в порівнянні з ІМТ 18,5-24,9 - 85,6±10,9 мл/сек.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Вірогідно такі тенденції відносно ХОК та ХОК/сек. є наслідком двох гемодинамічних причин – приріст УО та збільшення ЧСС.</w:t>
      </w:r>
    </w:p>
    <w:tbl>
      <w:tblPr>
        <w:tblW w:w="0" w:type="auto"/>
        <w:tblLook w:val="00A0" w:firstRow="1" w:lastRow="0" w:firstColumn="1" w:lastColumn="0" w:noHBand="0" w:noVBand="0"/>
      </w:tblPr>
      <w:tblGrid>
        <w:gridCol w:w="4949"/>
        <w:gridCol w:w="4928"/>
      </w:tblGrid>
      <w:tr w:rsidR="00EF4063" w:rsidRPr="00F90B6B" w:rsidTr="0076299F">
        <w:tc>
          <w:tcPr>
            <w:tcW w:w="4927" w:type="dxa"/>
            <w:vAlign w:val="center"/>
          </w:tcPr>
          <w:p w:rsidR="00EF4063" w:rsidRPr="00F90B6B" w:rsidRDefault="006F7754" w:rsidP="00F0048B">
            <w:pPr>
              <w:spacing w:after="0" w:line="360" w:lineRule="auto"/>
              <w:jc w:val="center"/>
              <w:rPr>
                <w:rFonts w:ascii="Times New Roman" w:hAnsi="Times New Roman"/>
                <w:sz w:val="28"/>
                <w:szCs w:val="28"/>
              </w:rPr>
            </w:pPr>
            <w:r w:rsidRPr="00BD2F09">
              <w:rPr>
                <w:rFonts w:ascii="Times New Roman" w:hAnsi="Times New Roman"/>
                <w:noProof/>
                <w:lang w:val="ru-RU" w:eastAsia="ru-RU"/>
              </w:rPr>
              <w:drawing>
                <wp:inline distT="0" distB="0" distL="0" distR="0">
                  <wp:extent cx="3009900" cy="2314575"/>
                  <wp:effectExtent l="0" t="0" r="0" b="0"/>
                  <wp:docPr id="38"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tc>
        <w:tc>
          <w:tcPr>
            <w:tcW w:w="4928" w:type="dxa"/>
            <w:vAlign w:val="center"/>
          </w:tcPr>
          <w:p w:rsidR="00EF4063" w:rsidRPr="00F90B6B" w:rsidRDefault="006F7754" w:rsidP="00F0048B">
            <w:pPr>
              <w:spacing w:after="0" w:line="360" w:lineRule="auto"/>
              <w:jc w:val="center"/>
              <w:rPr>
                <w:rFonts w:ascii="Times New Roman" w:hAnsi="Times New Roman"/>
                <w:sz w:val="28"/>
                <w:szCs w:val="28"/>
              </w:rPr>
            </w:pPr>
            <w:r w:rsidRPr="00BD2F09">
              <w:rPr>
                <w:rFonts w:ascii="Times New Roman" w:hAnsi="Times New Roman"/>
                <w:noProof/>
                <w:lang w:val="ru-RU" w:eastAsia="ru-RU"/>
              </w:rPr>
              <w:drawing>
                <wp:inline distT="0" distB="0" distL="0" distR="0">
                  <wp:extent cx="2800350" cy="2286000"/>
                  <wp:effectExtent l="0" t="0" r="0" b="0"/>
                  <wp:docPr id="39"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tc>
      </w:tr>
      <w:tr w:rsidR="00EF4063" w:rsidRPr="00F90B6B" w:rsidTr="0076299F">
        <w:tc>
          <w:tcPr>
            <w:tcW w:w="4927"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Рис. 3.2.1</w:t>
            </w:r>
            <w:r w:rsidRPr="00F90B6B">
              <w:rPr>
                <w:rFonts w:ascii="Times New Roman" w:hAnsi="Times New Roman"/>
                <w:b/>
                <w:sz w:val="28"/>
                <w:szCs w:val="28"/>
                <w:lang w:val="ru-RU"/>
              </w:rPr>
              <w:t>9</w:t>
            </w:r>
            <w:r w:rsidRPr="00F90B6B">
              <w:rPr>
                <w:rFonts w:ascii="Times New Roman" w:hAnsi="Times New Roman"/>
                <w:b/>
                <w:sz w:val="28"/>
                <w:szCs w:val="28"/>
              </w:rPr>
              <w:t>.1.</w:t>
            </w:r>
            <w:r w:rsidRPr="00F90B6B">
              <w:rPr>
                <w:rFonts w:ascii="Times New Roman" w:hAnsi="Times New Roman"/>
                <w:sz w:val="28"/>
                <w:szCs w:val="28"/>
              </w:rPr>
              <w:t xml:space="preserve"> Хвилинний об’єм крові у хворих з ХСН залежно від маси тіла, мл.</w:t>
            </w:r>
          </w:p>
        </w:tc>
        <w:tc>
          <w:tcPr>
            <w:tcW w:w="4928"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Рис. 3.2.1</w:t>
            </w:r>
            <w:r w:rsidRPr="00F90B6B">
              <w:rPr>
                <w:rFonts w:ascii="Times New Roman" w:hAnsi="Times New Roman"/>
                <w:b/>
                <w:sz w:val="28"/>
                <w:szCs w:val="28"/>
                <w:lang w:val="ru-RU"/>
              </w:rPr>
              <w:t>9</w:t>
            </w:r>
            <w:r w:rsidRPr="00F90B6B">
              <w:rPr>
                <w:rFonts w:ascii="Times New Roman" w:hAnsi="Times New Roman"/>
                <w:b/>
                <w:sz w:val="28"/>
                <w:szCs w:val="28"/>
              </w:rPr>
              <w:t>.2.</w:t>
            </w:r>
            <w:r w:rsidRPr="00F90B6B">
              <w:rPr>
                <w:rFonts w:ascii="Times New Roman" w:hAnsi="Times New Roman"/>
                <w:sz w:val="28"/>
                <w:szCs w:val="28"/>
              </w:rPr>
              <w:t xml:space="preserve"> Хвилинний об’єм крові за сек. у хворих з ХСН залежно від маси тіла, мл/сек.</w:t>
            </w:r>
          </w:p>
        </w:tc>
      </w:tr>
    </w:tbl>
    <w:p w:rsidR="00EF4063" w:rsidRPr="00F90B6B" w:rsidRDefault="006F7754" w:rsidP="00F0048B">
      <w:pPr>
        <w:pStyle w:val="1"/>
        <w:spacing w:after="0" w:line="360" w:lineRule="auto"/>
        <w:ind w:left="0" w:firstLine="709"/>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50048" behindDoc="0" locked="0" layoutInCell="1" allowOverlap="1">
                <wp:simplePos x="0" y="0"/>
                <wp:positionH relativeFrom="column">
                  <wp:posOffset>1233805</wp:posOffset>
                </wp:positionH>
                <wp:positionV relativeFrom="paragraph">
                  <wp:posOffset>-1905</wp:posOffset>
                </wp:positionV>
                <wp:extent cx="228600" cy="220980"/>
                <wp:effectExtent l="0" t="0" r="19050" b="26670"/>
                <wp:wrapNone/>
                <wp:docPr id="3" name="5-конечная звезда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220980"/>
                        </a:xfrm>
                        <a:custGeom>
                          <a:avLst/>
                          <a:gdLst>
                            <a:gd name="T0" fmla="*/ 0 w 228600"/>
                            <a:gd name="T1" fmla="*/ 84407 h 220980"/>
                            <a:gd name="T2" fmla="*/ 87318 w 228600"/>
                            <a:gd name="T3" fmla="*/ 84407 h 220980"/>
                            <a:gd name="T4" fmla="*/ 114300 w 228600"/>
                            <a:gd name="T5" fmla="*/ 0 h 220980"/>
                            <a:gd name="T6" fmla="*/ 141282 w 228600"/>
                            <a:gd name="T7" fmla="*/ 84407 h 220980"/>
                            <a:gd name="T8" fmla="*/ 228600 w 228600"/>
                            <a:gd name="T9" fmla="*/ 84407 h 220980"/>
                            <a:gd name="T10" fmla="*/ 157958 w 228600"/>
                            <a:gd name="T11" fmla="*/ 136573 h 220980"/>
                            <a:gd name="T12" fmla="*/ 184941 w 228600"/>
                            <a:gd name="T13" fmla="*/ 220979 h 220980"/>
                            <a:gd name="T14" fmla="*/ 114300 w 228600"/>
                            <a:gd name="T15" fmla="*/ 168813 h 220980"/>
                            <a:gd name="T16" fmla="*/ 43659 w 228600"/>
                            <a:gd name="T17" fmla="*/ 220979 h 220980"/>
                            <a:gd name="T18" fmla="*/ 70642 w 228600"/>
                            <a:gd name="T19" fmla="*/ 136573 h 220980"/>
                            <a:gd name="T20" fmla="*/ 0 w 228600"/>
                            <a:gd name="T21" fmla="*/ 84407 h 22098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8600" h="220980">
                              <a:moveTo>
                                <a:pt x="0" y="84407"/>
                              </a:moveTo>
                              <a:lnTo>
                                <a:pt x="87318" y="84407"/>
                              </a:lnTo>
                              <a:lnTo>
                                <a:pt x="114300" y="0"/>
                              </a:lnTo>
                              <a:lnTo>
                                <a:pt x="141282" y="84407"/>
                              </a:lnTo>
                              <a:lnTo>
                                <a:pt x="228600" y="84407"/>
                              </a:lnTo>
                              <a:lnTo>
                                <a:pt x="157958" y="136573"/>
                              </a:lnTo>
                              <a:lnTo>
                                <a:pt x="184941" y="220979"/>
                              </a:lnTo>
                              <a:lnTo>
                                <a:pt x="114300" y="168813"/>
                              </a:lnTo>
                              <a:lnTo>
                                <a:pt x="43659" y="220979"/>
                              </a:lnTo>
                              <a:lnTo>
                                <a:pt x="70642" y="136573"/>
                              </a:lnTo>
                              <a:lnTo>
                                <a:pt x="0" y="84407"/>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CA19BF9" id="5-конечная звезда 14" o:spid="_x0000_s1026" style="position:absolute;margin-left:97.15pt;margin-top:-.15pt;width:18pt;height:17.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8600,220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" path="m,84407r87318,l114300,r26982,84407l228600,84407r-70642,52166l184941,220979,114300,168813,43659,220979,70642,136573,,84407xe" fillcolor="#4f81bd" strokecolor="#243f60" strokeweight="2pt">
                <v:path arrowok="t" o:connecttype="custom" o:connectlocs="0,84407;87318,84407;114300,0;141282,84407;228600,84407;157958,136573;184941,220979;114300,168813;43659,220979;70642,136573;0,84407" o:connectangles="0,0,0,0,0,0,0,0,0,0,0"/>
              </v:shape>
            </w:pict>
          </mc:Fallback>
        </mc:AlternateContent>
      </w:r>
      <w:r w:rsidR="00EF4063" w:rsidRPr="00F90B6B">
        <w:rPr>
          <w:rFonts w:ascii="Times New Roman" w:hAnsi="Times New Roman"/>
          <w:i/>
          <w:sz w:val="28"/>
          <w:szCs w:val="28"/>
        </w:rPr>
        <w:t xml:space="preserve">Примітка:    - </w:t>
      </w:r>
      <w:r w:rsidR="00EF4063" w:rsidRPr="00F90B6B">
        <w:rPr>
          <w:rFonts w:ascii="Times New Roman" w:hAnsi="Times New Roman"/>
          <w:sz w:val="28"/>
          <w:szCs w:val="28"/>
        </w:rPr>
        <w:t>вірогідна різниця показника в порівнянні з пацієнтами з ХСН та нормальною масою тіла.</w:t>
      </w:r>
    </w:p>
    <w:p w:rsidR="00BB305F" w:rsidRPr="00F90B6B" w:rsidRDefault="00BB305F"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Style w:val="st"/>
          <w:rFonts w:ascii="Times New Roman" w:hAnsi="Times New Roman"/>
        </w:rPr>
      </w:pPr>
      <w:r w:rsidRPr="00F90B6B">
        <w:rPr>
          <w:rFonts w:ascii="Times New Roman" w:hAnsi="Times New Roman"/>
          <w:sz w:val="28"/>
          <w:szCs w:val="28"/>
        </w:rPr>
        <w:t xml:space="preserve">Також, серед розрахункових показників кардіогемодинаміки у хворих з ХСН проводився аналіз серцевого індексу (СІ) - </w:t>
      </w:r>
      <w:r w:rsidRPr="00F90B6B">
        <w:rPr>
          <w:rStyle w:val="st"/>
          <w:rFonts w:ascii="Times New Roman" w:hAnsi="Times New Roman"/>
          <w:sz w:val="28"/>
          <w:szCs w:val="28"/>
        </w:rPr>
        <w:t xml:space="preserve">показника функції серця, що представляє </w:t>
      </w:r>
      <w:r w:rsidRPr="00F90B6B">
        <w:rPr>
          <w:rStyle w:val="st"/>
          <w:rFonts w:ascii="Times New Roman" w:hAnsi="Times New Roman"/>
          <w:sz w:val="28"/>
          <w:szCs w:val="28"/>
        </w:rPr>
        <w:lastRenderedPageBreak/>
        <w:t>собою відношення хвилинного об'єму серця до площі поверхні тіла та виражається в л/хв*м</w:t>
      </w:r>
      <w:r w:rsidRPr="00F90B6B">
        <w:rPr>
          <w:rStyle w:val="st"/>
          <w:rFonts w:ascii="Times New Roman" w:hAnsi="Times New Roman"/>
          <w:sz w:val="28"/>
          <w:szCs w:val="28"/>
          <w:vertAlign w:val="superscript"/>
        </w:rPr>
        <w:t>2</w:t>
      </w:r>
      <w:r w:rsidRPr="00F90B6B">
        <w:rPr>
          <w:rStyle w:val="st"/>
          <w:rFonts w:ascii="Times New Roman" w:hAnsi="Times New Roman"/>
          <w:sz w:val="28"/>
          <w:szCs w:val="28"/>
        </w:rPr>
        <w:t>. Одночасно верифікувався СІ в перерахунку за 1 сек.</w:t>
      </w:r>
    </w:p>
    <w:p w:rsidR="00EF4063" w:rsidRPr="00F90B6B" w:rsidRDefault="00EF4063" w:rsidP="00F0048B">
      <w:pPr>
        <w:spacing w:after="0" w:line="360" w:lineRule="auto"/>
        <w:ind w:firstLine="709"/>
        <w:jc w:val="both"/>
        <w:rPr>
          <w:rStyle w:val="st"/>
          <w:rFonts w:ascii="Times New Roman" w:hAnsi="Times New Roman"/>
          <w:sz w:val="28"/>
          <w:szCs w:val="28"/>
        </w:rPr>
      </w:pPr>
      <w:r w:rsidRPr="00F90B6B">
        <w:rPr>
          <w:rStyle w:val="st"/>
          <w:rFonts w:ascii="Times New Roman" w:hAnsi="Times New Roman"/>
          <w:sz w:val="28"/>
          <w:szCs w:val="28"/>
        </w:rPr>
        <w:t>Дані представлені на рис. 3.2.</w:t>
      </w:r>
      <w:r w:rsidRPr="00F90B6B">
        <w:rPr>
          <w:rStyle w:val="st"/>
          <w:rFonts w:ascii="Times New Roman" w:hAnsi="Times New Roman"/>
          <w:sz w:val="28"/>
          <w:szCs w:val="28"/>
          <w:lang w:val="ru-RU"/>
        </w:rPr>
        <w:t>20</w:t>
      </w:r>
      <w:r w:rsidRPr="00F90B6B">
        <w:rPr>
          <w:rStyle w:val="st"/>
          <w:rFonts w:ascii="Times New Roman" w:hAnsi="Times New Roman"/>
          <w:sz w:val="28"/>
          <w:szCs w:val="28"/>
        </w:rPr>
        <w:t>.</w:t>
      </w:r>
    </w:p>
    <w:p w:rsidR="00EF4063" w:rsidRPr="00F90B6B" w:rsidRDefault="006F7754" w:rsidP="00F0048B">
      <w:pPr>
        <w:spacing w:after="0" w:line="360" w:lineRule="auto"/>
        <w:ind w:firstLine="709"/>
        <w:jc w:val="both"/>
        <w:rPr>
          <w:rStyle w:val="st"/>
          <w:rFonts w:ascii="Times New Roman" w:hAnsi="Times New Roman"/>
          <w:sz w:val="28"/>
          <w:szCs w:val="28"/>
        </w:rPr>
      </w:pPr>
      <w:r w:rsidRPr="00BD2F09">
        <w:rPr>
          <w:rFonts w:ascii="Times New Roman" w:hAnsi="Times New Roman"/>
          <w:noProof/>
          <w:lang w:val="ru-RU" w:eastAsia="ru-RU"/>
        </w:rPr>
        <w:drawing>
          <wp:inline distT="0" distB="0" distL="0" distR="0">
            <wp:extent cx="5105400" cy="3028950"/>
            <wp:effectExtent l="0" t="0" r="0" b="0"/>
            <wp:docPr id="40"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EF4063" w:rsidRPr="00F90B6B" w:rsidRDefault="00EF4063" w:rsidP="00F0048B">
      <w:pPr>
        <w:spacing w:after="0" w:line="360" w:lineRule="auto"/>
        <w:ind w:firstLine="709"/>
        <w:jc w:val="both"/>
        <w:rPr>
          <w:rStyle w:val="st"/>
          <w:rFonts w:ascii="Times New Roman" w:hAnsi="Times New Roman"/>
          <w:sz w:val="28"/>
          <w:szCs w:val="28"/>
        </w:rPr>
      </w:pPr>
      <w:r w:rsidRPr="00F90B6B">
        <w:rPr>
          <w:rFonts w:ascii="Times New Roman" w:hAnsi="Times New Roman"/>
          <w:b/>
          <w:sz w:val="28"/>
          <w:szCs w:val="28"/>
        </w:rPr>
        <w:t>Рис. 3.2.</w:t>
      </w:r>
      <w:r w:rsidRPr="00F90B6B">
        <w:rPr>
          <w:rFonts w:ascii="Times New Roman" w:hAnsi="Times New Roman"/>
          <w:b/>
          <w:sz w:val="28"/>
          <w:szCs w:val="28"/>
          <w:lang w:val="ru-RU"/>
        </w:rPr>
        <w:t>20</w:t>
      </w:r>
      <w:r w:rsidRPr="00F90B6B">
        <w:rPr>
          <w:rFonts w:ascii="Times New Roman" w:hAnsi="Times New Roman"/>
          <w:b/>
          <w:sz w:val="28"/>
          <w:szCs w:val="28"/>
        </w:rPr>
        <w:t xml:space="preserve">. </w:t>
      </w:r>
      <w:r w:rsidRPr="00F90B6B">
        <w:rPr>
          <w:rFonts w:ascii="Times New Roman" w:hAnsi="Times New Roman"/>
          <w:sz w:val="28"/>
          <w:szCs w:val="28"/>
        </w:rPr>
        <w:t xml:space="preserve">Серцевий індекс у хворих з ХСН залежно від маси тіла, </w:t>
      </w:r>
      <w:r w:rsidRPr="00F90B6B">
        <w:rPr>
          <w:rStyle w:val="st"/>
          <w:rFonts w:ascii="Times New Roman" w:hAnsi="Times New Roman"/>
          <w:sz w:val="28"/>
          <w:szCs w:val="28"/>
        </w:rPr>
        <w:t>мл/хв*м</w:t>
      </w:r>
      <w:r w:rsidRPr="00F90B6B">
        <w:rPr>
          <w:rStyle w:val="st"/>
          <w:rFonts w:ascii="Times New Roman" w:hAnsi="Times New Roman"/>
          <w:sz w:val="28"/>
          <w:szCs w:val="28"/>
          <w:vertAlign w:val="superscript"/>
        </w:rPr>
        <w:t>2</w:t>
      </w:r>
      <w:r w:rsidRPr="00F90B6B">
        <w:rPr>
          <w:rFonts w:ascii="Times New Roman" w:hAnsi="Times New Roman"/>
          <w:sz w:val="28"/>
          <w:szCs w:val="28"/>
        </w:rPr>
        <w:t>.</w:t>
      </w:r>
    </w:p>
    <w:p w:rsidR="00EF4063" w:rsidRPr="00F90B6B" w:rsidRDefault="006F7754" w:rsidP="00F0048B">
      <w:pPr>
        <w:pStyle w:val="1"/>
        <w:spacing w:after="0" w:line="360" w:lineRule="auto"/>
        <w:ind w:left="0" w:firstLine="709"/>
        <w:jc w:val="both"/>
        <w:rPr>
          <w:rFonts w:ascii="Times New Roman" w:hAnsi="Times New Roman"/>
          <w:sz w:val="28"/>
          <w:szCs w:val="28"/>
          <w:lang w:val="ru-RU"/>
        </w:rPr>
      </w:pPr>
      <w:r>
        <w:rPr>
          <w:noProof/>
          <w:lang w:val="ru-RU" w:eastAsia="ru-RU"/>
        </w:rPr>
        <mc:AlternateContent>
          <mc:Choice Requires="wps">
            <w:drawing>
              <wp:anchor distT="0" distB="0" distL="114300" distR="114300" simplePos="0" relativeHeight="251651072" behindDoc="0" locked="0" layoutInCell="1" allowOverlap="1">
                <wp:simplePos x="0" y="0"/>
                <wp:positionH relativeFrom="column">
                  <wp:posOffset>1233805</wp:posOffset>
                </wp:positionH>
                <wp:positionV relativeFrom="paragraph">
                  <wp:posOffset>-1905</wp:posOffset>
                </wp:positionV>
                <wp:extent cx="228600" cy="220980"/>
                <wp:effectExtent l="0" t="0" r="19050" b="26670"/>
                <wp:wrapNone/>
                <wp:docPr id="2" name="5-конечная звезда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 cy="220980"/>
                        </a:xfrm>
                        <a:custGeom>
                          <a:avLst/>
                          <a:gdLst>
                            <a:gd name="T0" fmla="*/ 0 w 228600"/>
                            <a:gd name="T1" fmla="*/ 84407 h 220980"/>
                            <a:gd name="T2" fmla="*/ 87318 w 228600"/>
                            <a:gd name="T3" fmla="*/ 84407 h 220980"/>
                            <a:gd name="T4" fmla="*/ 114300 w 228600"/>
                            <a:gd name="T5" fmla="*/ 0 h 220980"/>
                            <a:gd name="T6" fmla="*/ 141282 w 228600"/>
                            <a:gd name="T7" fmla="*/ 84407 h 220980"/>
                            <a:gd name="T8" fmla="*/ 228600 w 228600"/>
                            <a:gd name="T9" fmla="*/ 84407 h 220980"/>
                            <a:gd name="T10" fmla="*/ 157958 w 228600"/>
                            <a:gd name="T11" fmla="*/ 136573 h 220980"/>
                            <a:gd name="T12" fmla="*/ 184941 w 228600"/>
                            <a:gd name="T13" fmla="*/ 220979 h 220980"/>
                            <a:gd name="T14" fmla="*/ 114300 w 228600"/>
                            <a:gd name="T15" fmla="*/ 168813 h 220980"/>
                            <a:gd name="T16" fmla="*/ 43659 w 228600"/>
                            <a:gd name="T17" fmla="*/ 220979 h 220980"/>
                            <a:gd name="T18" fmla="*/ 70642 w 228600"/>
                            <a:gd name="T19" fmla="*/ 136573 h 220980"/>
                            <a:gd name="T20" fmla="*/ 0 w 228600"/>
                            <a:gd name="T21" fmla="*/ 84407 h 22098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8600" h="220980">
                              <a:moveTo>
                                <a:pt x="0" y="84407"/>
                              </a:moveTo>
                              <a:lnTo>
                                <a:pt x="87318" y="84407"/>
                              </a:lnTo>
                              <a:lnTo>
                                <a:pt x="114300" y="0"/>
                              </a:lnTo>
                              <a:lnTo>
                                <a:pt x="141282" y="84407"/>
                              </a:lnTo>
                              <a:lnTo>
                                <a:pt x="228600" y="84407"/>
                              </a:lnTo>
                              <a:lnTo>
                                <a:pt x="157958" y="136573"/>
                              </a:lnTo>
                              <a:lnTo>
                                <a:pt x="184941" y="220979"/>
                              </a:lnTo>
                              <a:lnTo>
                                <a:pt x="114300" y="168813"/>
                              </a:lnTo>
                              <a:lnTo>
                                <a:pt x="43659" y="220979"/>
                              </a:lnTo>
                              <a:lnTo>
                                <a:pt x="70642" y="136573"/>
                              </a:lnTo>
                              <a:lnTo>
                                <a:pt x="0" y="84407"/>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89F9B31" id="5-конечная звезда 17" o:spid="_x0000_s1026" style="position:absolute;margin-left:97.15pt;margin-top:-.15pt;width:18pt;height:17.4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8600,220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" path="m,84407r87318,l114300,r26982,84407l228600,84407r-70642,52166l184941,220979,114300,168813,43659,220979,70642,136573,,84407xe" fillcolor="#4f81bd" strokecolor="#243f60" strokeweight="2pt">
                <v:path arrowok="t" o:connecttype="custom" o:connectlocs="0,84407;87318,84407;114300,0;141282,84407;228600,84407;157958,136573;184941,220979;114300,168813;43659,220979;70642,136573;0,84407" o:connectangles="0,0,0,0,0,0,0,0,0,0,0"/>
              </v:shape>
            </w:pict>
          </mc:Fallback>
        </mc:AlternateContent>
      </w:r>
      <w:r w:rsidR="00EF4063" w:rsidRPr="00F90B6B">
        <w:rPr>
          <w:rFonts w:ascii="Times New Roman" w:hAnsi="Times New Roman"/>
          <w:i/>
          <w:sz w:val="28"/>
          <w:szCs w:val="28"/>
        </w:rPr>
        <w:t xml:space="preserve">Примітка:    - </w:t>
      </w:r>
      <w:r w:rsidR="00EF4063" w:rsidRPr="00F90B6B">
        <w:rPr>
          <w:rFonts w:ascii="Times New Roman" w:hAnsi="Times New Roman"/>
          <w:sz w:val="28"/>
          <w:szCs w:val="28"/>
        </w:rPr>
        <w:t>вірогідна різниця показника в порівнянні з пацієнтами з ХСН та нормальною масою тіла.</w:t>
      </w:r>
    </w:p>
    <w:p w:rsidR="00BB305F" w:rsidRPr="00F90B6B" w:rsidRDefault="00BB305F"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Style w:val="st"/>
          <w:rFonts w:ascii="Times New Roman" w:hAnsi="Times New Roman"/>
          <w:sz w:val="28"/>
          <w:szCs w:val="28"/>
        </w:rPr>
      </w:pPr>
      <w:r w:rsidRPr="00F90B6B">
        <w:rPr>
          <w:rFonts w:ascii="Times New Roman" w:hAnsi="Times New Roman"/>
          <w:sz w:val="28"/>
          <w:szCs w:val="28"/>
        </w:rPr>
        <w:t xml:space="preserve">Величина СІ становила 2908,0±308,8 </w:t>
      </w:r>
      <w:r w:rsidRPr="00F90B6B">
        <w:rPr>
          <w:rStyle w:val="st"/>
          <w:rFonts w:ascii="Times New Roman" w:hAnsi="Times New Roman"/>
          <w:sz w:val="28"/>
          <w:szCs w:val="28"/>
        </w:rPr>
        <w:t>мл/хв*м</w:t>
      </w:r>
      <w:r w:rsidRPr="00F90B6B">
        <w:rPr>
          <w:rStyle w:val="st"/>
          <w:rFonts w:ascii="Times New Roman" w:hAnsi="Times New Roman"/>
          <w:sz w:val="28"/>
          <w:szCs w:val="28"/>
          <w:vertAlign w:val="superscript"/>
        </w:rPr>
        <w:t xml:space="preserve">2 </w:t>
      </w:r>
      <w:r w:rsidRPr="00F90B6B">
        <w:rPr>
          <w:rStyle w:val="st"/>
          <w:rFonts w:ascii="Times New Roman" w:hAnsi="Times New Roman"/>
          <w:sz w:val="28"/>
          <w:szCs w:val="28"/>
        </w:rPr>
        <w:t>при нормальному ІМТ, з приростом до 3306,4±511,5 мл/хв*м</w:t>
      </w:r>
      <w:r w:rsidRPr="00F90B6B">
        <w:rPr>
          <w:rStyle w:val="st"/>
          <w:rFonts w:ascii="Times New Roman" w:hAnsi="Times New Roman"/>
          <w:sz w:val="28"/>
          <w:szCs w:val="28"/>
          <w:vertAlign w:val="superscript"/>
        </w:rPr>
        <w:t xml:space="preserve">2 </w:t>
      </w:r>
      <w:r w:rsidRPr="00F90B6B">
        <w:rPr>
          <w:rStyle w:val="st"/>
          <w:rFonts w:ascii="Times New Roman" w:hAnsi="Times New Roman"/>
          <w:sz w:val="28"/>
          <w:szCs w:val="28"/>
        </w:rPr>
        <w:t xml:space="preserve">при ІМТ 25,0-30,0 (13,7%, </w:t>
      </w:r>
      <w:r w:rsidRPr="00F90B6B">
        <w:rPr>
          <w:rFonts w:ascii="Times New Roman" w:hAnsi="Times New Roman"/>
          <w:sz w:val="28"/>
          <w:szCs w:val="28"/>
        </w:rPr>
        <w:t>р</w:t>
      </w:r>
      <w:r w:rsidRPr="00F90B6B">
        <w:rPr>
          <w:rFonts w:ascii="Times New Roman" w:hAnsi="Times New Roman"/>
          <w:sz w:val="28"/>
          <w:szCs w:val="28"/>
          <w:lang w:val="ru-RU"/>
        </w:rPr>
        <w:t>&lt;0,05</w:t>
      </w:r>
      <w:r w:rsidRPr="00F90B6B">
        <w:rPr>
          <w:rFonts w:ascii="Times New Roman" w:hAnsi="Times New Roman"/>
          <w:sz w:val="28"/>
          <w:szCs w:val="28"/>
        </w:rPr>
        <w:t xml:space="preserve">) </w:t>
      </w:r>
      <w:r w:rsidRPr="00F90B6B">
        <w:rPr>
          <w:rStyle w:val="st"/>
          <w:rFonts w:ascii="Times New Roman" w:hAnsi="Times New Roman"/>
          <w:sz w:val="28"/>
          <w:szCs w:val="28"/>
        </w:rPr>
        <w:t>та 3175,6±542,3 мл/хв*м</w:t>
      </w:r>
      <w:r w:rsidRPr="00F90B6B">
        <w:rPr>
          <w:rStyle w:val="st"/>
          <w:rFonts w:ascii="Times New Roman" w:hAnsi="Times New Roman"/>
          <w:sz w:val="28"/>
          <w:szCs w:val="28"/>
          <w:vertAlign w:val="superscript"/>
        </w:rPr>
        <w:t xml:space="preserve">2 </w:t>
      </w:r>
      <w:r w:rsidRPr="00F90B6B">
        <w:rPr>
          <w:rStyle w:val="st"/>
          <w:rFonts w:ascii="Times New Roman" w:hAnsi="Times New Roman"/>
          <w:sz w:val="28"/>
          <w:szCs w:val="28"/>
        </w:rPr>
        <w:t xml:space="preserve">при ІМТ більше 30,0, що було невірогідним (9,2%, </w:t>
      </w:r>
      <w:r w:rsidRPr="00F90B6B">
        <w:rPr>
          <w:rFonts w:ascii="Times New Roman" w:hAnsi="Times New Roman"/>
          <w:sz w:val="28"/>
          <w:szCs w:val="28"/>
        </w:rPr>
        <w:t>р</w:t>
      </w:r>
      <w:r w:rsidRPr="00F90B6B">
        <w:rPr>
          <w:rFonts w:ascii="Times New Roman" w:hAnsi="Times New Roman"/>
          <w:sz w:val="28"/>
          <w:szCs w:val="28"/>
          <w:lang w:val="ru-RU"/>
        </w:rPr>
        <w:t>&gt;0,05</w:t>
      </w:r>
      <w:r w:rsidRPr="00F90B6B">
        <w:rPr>
          <w:rStyle w:val="st"/>
          <w:rFonts w:ascii="Times New Roman" w:hAnsi="Times New Roman"/>
          <w:sz w:val="28"/>
          <w:szCs w:val="28"/>
        </w:rPr>
        <w:t xml:space="preserve">). </w:t>
      </w:r>
    </w:p>
    <w:p w:rsidR="00EF4063" w:rsidRPr="00F90B6B" w:rsidRDefault="00EF4063" w:rsidP="00F0048B">
      <w:pPr>
        <w:pStyle w:val="1"/>
        <w:spacing w:after="0" w:line="360" w:lineRule="auto"/>
        <w:ind w:left="0" w:firstLine="709"/>
        <w:jc w:val="both"/>
        <w:rPr>
          <w:rFonts w:ascii="Times New Roman" w:hAnsi="Times New Roman"/>
          <w:sz w:val="28"/>
          <w:szCs w:val="28"/>
        </w:rPr>
      </w:pPr>
      <w:r w:rsidRPr="00F90B6B">
        <w:rPr>
          <w:rFonts w:ascii="Times New Roman" w:hAnsi="Times New Roman"/>
          <w:sz w:val="28"/>
          <w:szCs w:val="28"/>
        </w:rPr>
        <w:t>В той же час, окрім скоротливої функції міокарда та параметрів кардіогемодинаміки у хворих з ХСН вкрай важливим є оцінка здатності лівого шлуночка до релаксації, тобто діастолічної дисфункції.</w:t>
      </w:r>
    </w:p>
    <w:p w:rsidR="00BB305F" w:rsidRPr="00F90B6B" w:rsidRDefault="00EF4063" w:rsidP="00BB305F">
      <w:pPr>
        <w:spacing w:after="0" w:line="360" w:lineRule="auto"/>
        <w:ind w:firstLine="709"/>
        <w:jc w:val="both"/>
        <w:rPr>
          <w:rFonts w:ascii="Times New Roman" w:hAnsi="Times New Roman"/>
          <w:spacing w:val="-2"/>
          <w:sz w:val="28"/>
          <w:szCs w:val="28"/>
          <w:lang w:val="ru-RU"/>
        </w:rPr>
      </w:pPr>
      <w:r w:rsidRPr="00F90B6B">
        <w:rPr>
          <w:rFonts w:ascii="Times New Roman" w:hAnsi="Times New Roman"/>
          <w:sz w:val="28"/>
          <w:szCs w:val="28"/>
        </w:rPr>
        <w:t>Швидкість трансмітрального потоку у хворих з ХСН залежно від маси тіла наведена на рис. 3.2.2</w:t>
      </w:r>
      <w:r w:rsidRPr="00F90B6B">
        <w:rPr>
          <w:rFonts w:ascii="Times New Roman" w:hAnsi="Times New Roman"/>
          <w:sz w:val="28"/>
          <w:szCs w:val="28"/>
          <w:lang w:val="ru-RU"/>
        </w:rPr>
        <w:t>1</w:t>
      </w:r>
      <w:r w:rsidRPr="00F90B6B">
        <w:rPr>
          <w:rFonts w:ascii="Times New Roman" w:hAnsi="Times New Roman"/>
          <w:sz w:val="28"/>
          <w:szCs w:val="28"/>
        </w:rPr>
        <w:t>.</w:t>
      </w:r>
      <w:r w:rsidR="00BB305F" w:rsidRPr="00F90B6B">
        <w:rPr>
          <w:rFonts w:ascii="Times New Roman" w:hAnsi="Times New Roman"/>
          <w:spacing w:val="-2"/>
          <w:sz w:val="28"/>
          <w:szCs w:val="28"/>
        </w:rPr>
        <w:t xml:space="preserve"> </w:t>
      </w:r>
    </w:p>
    <w:p w:rsidR="00BB305F" w:rsidRPr="00F90B6B" w:rsidRDefault="00BB305F" w:rsidP="00BB305F">
      <w:pPr>
        <w:spacing w:after="0" w:line="360" w:lineRule="auto"/>
        <w:ind w:firstLine="709"/>
        <w:jc w:val="both"/>
        <w:rPr>
          <w:rFonts w:ascii="Times New Roman" w:hAnsi="Times New Roman"/>
          <w:spacing w:val="-2"/>
          <w:sz w:val="28"/>
          <w:szCs w:val="28"/>
        </w:rPr>
      </w:pPr>
      <w:r w:rsidRPr="00F90B6B">
        <w:rPr>
          <w:rFonts w:ascii="Times New Roman" w:hAnsi="Times New Roman"/>
          <w:spacing w:val="-2"/>
          <w:sz w:val="28"/>
          <w:szCs w:val="28"/>
        </w:rPr>
        <w:t xml:space="preserve">На ранніх стадіях діастолічної дисфункції порушується процес релаксації і за рахунок енергійного скорочення передсердя. При прогресуванні захворювання знижується еластичність лівого шлуночку, внаслідок чого зростає тиск в лівому передсерді і, у свою чергу, це збільшує раннє наповнення лівого шлуночку, незважаючи на порушення його релаксації. Зважаючи на діастолічний характер </w:t>
      </w:r>
      <w:r w:rsidRPr="00F90B6B">
        <w:rPr>
          <w:rFonts w:ascii="Times New Roman" w:hAnsi="Times New Roman"/>
          <w:spacing w:val="-2"/>
          <w:sz w:val="28"/>
          <w:szCs w:val="28"/>
        </w:rPr>
        <w:lastRenderedPageBreak/>
        <w:t>серцевої недостатності у обстежених хворих, наступним завданням роботи було дослідження співвідношення пікової швидкості трансмітрального кровотоку у фазу раннього наповнення (Е) та пов'язаного з систолою передсердя пізнього наповнення (А).</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center"/>
        <w:rPr>
          <w:rFonts w:ascii="Times New Roman" w:hAnsi="Times New Roman"/>
        </w:rPr>
      </w:pPr>
      <w:r w:rsidRPr="00F90B6B">
        <w:rPr>
          <w:rFonts w:ascii="Times New Roman" w:hAnsi="Times New Roman"/>
        </w:rPr>
        <w:object w:dxaOrig="7410" w:dyaOrig="5565">
          <v:shape id="_x0000_i1051" type="#_x0000_t75" style="width:370.5pt;height:278.25pt" o:ole="">
            <v:imagedata r:id="rId85" o:title=""/>
          </v:shape>
          <o:OLEObject Type="Embed" ProgID="STATISTICA.Graph" ShapeID="_x0000_i1051" DrawAspect="Content" ObjectID="_1624460774" r:id="rId86">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b/>
          <w:sz w:val="28"/>
          <w:szCs w:val="28"/>
        </w:rPr>
        <w:t>Рис. 3.2.2</w:t>
      </w:r>
      <w:r w:rsidRPr="00F90B6B">
        <w:rPr>
          <w:rFonts w:ascii="Times New Roman" w:hAnsi="Times New Roman"/>
          <w:b/>
          <w:sz w:val="28"/>
          <w:szCs w:val="28"/>
          <w:lang w:val="ru-RU"/>
        </w:rPr>
        <w:t>1</w:t>
      </w:r>
      <w:r w:rsidRPr="00F90B6B">
        <w:rPr>
          <w:rFonts w:ascii="Times New Roman" w:hAnsi="Times New Roman"/>
          <w:b/>
          <w:sz w:val="28"/>
          <w:szCs w:val="28"/>
        </w:rPr>
        <w:t xml:space="preserve">. </w:t>
      </w:r>
      <w:r w:rsidRPr="00F90B6B">
        <w:rPr>
          <w:rFonts w:ascii="Times New Roman" w:hAnsi="Times New Roman"/>
          <w:sz w:val="28"/>
          <w:szCs w:val="28"/>
        </w:rPr>
        <w:t>Швидкість трансмітрального потоку у хворих з серцевою недостатністю залежно від маси тіла.</w:t>
      </w:r>
    </w:p>
    <w:p w:rsidR="00EF4063" w:rsidRPr="00F90B6B" w:rsidRDefault="00EF4063" w:rsidP="00F0048B">
      <w:pPr>
        <w:spacing w:after="0" w:line="360" w:lineRule="auto"/>
        <w:ind w:firstLine="709"/>
        <w:jc w:val="both"/>
        <w:rPr>
          <w:rFonts w:ascii="Times New Roman" w:hAnsi="Times New Roman"/>
          <w:sz w:val="16"/>
          <w:szCs w:val="16"/>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нашій роботі встановлено вірогідне зниження співвідношення Е/А при ожирінні (0,76±0,18,</w:t>
      </w:r>
      <w:r w:rsidRPr="00F90B6B">
        <w:rPr>
          <w:rFonts w:ascii="Times New Roman" w:hAnsi="Times New Roman"/>
          <w:sz w:val="28"/>
          <w:szCs w:val="28"/>
          <w:lang w:val="ru-RU"/>
        </w:rPr>
        <w:t xml:space="preserve"> </w:t>
      </w:r>
      <w:r w:rsidRPr="00F90B6B">
        <w:rPr>
          <w:rFonts w:ascii="Times New Roman" w:hAnsi="Times New Roman"/>
          <w:sz w:val="28"/>
          <w:szCs w:val="28"/>
        </w:rPr>
        <w:t>на 46,0%) та відповідну тенденцію у хворих з надлишковою вагою (1,03±0,26, на 7,8%) проти пацієнтів з ХСН, що мали нормальну вагу (1,11±0,27), р</w:t>
      </w:r>
      <w:r w:rsidRPr="00F90B6B">
        <w:rPr>
          <w:rFonts w:ascii="Times New Roman" w:hAnsi="Times New Roman"/>
          <w:sz w:val="28"/>
          <w:szCs w:val="28"/>
          <w:lang w:val="ru-RU"/>
        </w:rPr>
        <w:t>&lt;0,05</w:t>
      </w:r>
      <w:r w:rsidRPr="00F90B6B">
        <w:rPr>
          <w:rFonts w:ascii="Times New Roman" w:hAnsi="Times New Roman"/>
          <w:sz w:val="28"/>
          <w:szCs w:val="28"/>
        </w:rPr>
        <w:t>. В групі контролю співвідношення Е/А верифіковано на рівні 1,25±0,35, тобто було вірогідно вищим, ніж в усіх досліджуваних групах,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1B6B2E">
      <w:pPr>
        <w:spacing w:after="0" w:line="348" w:lineRule="auto"/>
        <w:ind w:firstLine="709"/>
        <w:jc w:val="both"/>
        <w:rPr>
          <w:rFonts w:ascii="Times New Roman" w:hAnsi="Times New Roman"/>
          <w:sz w:val="28"/>
          <w:szCs w:val="28"/>
        </w:rPr>
      </w:pPr>
      <w:r w:rsidRPr="00F90B6B">
        <w:rPr>
          <w:rFonts w:ascii="Times New Roman" w:hAnsi="Times New Roman"/>
          <w:sz w:val="28"/>
          <w:szCs w:val="28"/>
        </w:rPr>
        <w:t>Кількість хворих, в яких встановлено зниження швидкості трансмітрального потоку становило 74,0% (67 чол.) проти 26,0% пацієнтів, в яких швидкість трансмітрального потоку відповідала референсним значенням (23 чол.), рис. 3.2.2</w:t>
      </w:r>
      <w:r w:rsidRPr="00F90B6B">
        <w:rPr>
          <w:rFonts w:ascii="Times New Roman" w:hAnsi="Times New Roman"/>
          <w:sz w:val="28"/>
          <w:szCs w:val="28"/>
          <w:lang w:val="ru-RU"/>
        </w:rPr>
        <w:t>2</w:t>
      </w:r>
      <w:r w:rsidRPr="00F90B6B">
        <w:rPr>
          <w:rFonts w:ascii="Times New Roman" w:hAnsi="Times New Roman"/>
          <w:sz w:val="28"/>
          <w:szCs w:val="28"/>
        </w:rPr>
        <w:t>.</w:t>
      </w:r>
    </w:p>
    <w:p w:rsidR="00EF4063" w:rsidRPr="00F90B6B" w:rsidRDefault="00EF4063" w:rsidP="001B6B2E">
      <w:pPr>
        <w:spacing w:after="0" w:line="348" w:lineRule="auto"/>
        <w:ind w:firstLine="709"/>
        <w:jc w:val="both"/>
        <w:rPr>
          <w:rFonts w:ascii="Times New Roman" w:hAnsi="Times New Roman"/>
          <w:sz w:val="28"/>
          <w:szCs w:val="28"/>
        </w:rPr>
      </w:pPr>
      <w:r w:rsidRPr="00F90B6B">
        <w:rPr>
          <w:rFonts w:ascii="Times New Roman" w:hAnsi="Times New Roman"/>
          <w:sz w:val="28"/>
          <w:szCs w:val="28"/>
        </w:rPr>
        <w:t>За оцінки ризику та шансів зниження швидкості трансмітрального потоку залежно від ступеня намірної ваги тіла були отримані дані, що представлені в таблиці 3.2.7.</w:t>
      </w:r>
    </w:p>
    <w:p w:rsidR="00EF4063" w:rsidRPr="00F90B6B" w:rsidRDefault="00EF4063" w:rsidP="001B6B2E">
      <w:pPr>
        <w:spacing w:after="0" w:line="348" w:lineRule="auto"/>
        <w:ind w:firstLine="709"/>
        <w:jc w:val="both"/>
        <w:rPr>
          <w:rFonts w:ascii="Times New Roman" w:hAnsi="Times New Roman"/>
          <w:sz w:val="28"/>
          <w:szCs w:val="28"/>
        </w:rPr>
      </w:pPr>
      <w:r w:rsidRPr="00F90B6B">
        <w:rPr>
          <w:rFonts w:ascii="Times New Roman" w:hAnsi="Times New Roman"/>
          <w:sz w:val="28"/>
          <w:szCs w:val="28"/>
        </w:rPr>
        <w:lastRenderedPageBreak/>
        <w:t>І, хоча, відносний ризик та «шанси» зниження швидкості трансмітрального потоку у пацієнтів з нормальною та надмірною вагою вірогідно не розрізнялись, приріст абсолютного ризику при ІМТ більше 25,0 становив 19,0%.</w:t>
      </w:r>
    </w:p>
    <w:p w:rsidR="00EF4063" w:rsidRPr="00F90B6B" w:rsidRDefault="006F7754" w:rsidP="00F0048B">
      <w:pPr>
        <w:spacing w:after="0" w:line="360" w:lineRule="auto"/>
        <w:ind w:firstLine="709"/>
        <w:jc w:val="both"/>
        <w:rPr>
          <w:rFonts w:ascii="Times New Roman" w:hAnsi="Times New Roman"/>
          <w:sz w:val="28"/>
          <w:szCs w:val="28"/>
        </w:rPr>
      </w:pPr>
      <w:r w:rsidRPr="00BD2F09">
        <w:rPr>
          <w:rFonts w:ascii="Times New Roman" w:hAnsi="Times New Roman"/>
          <w:noProof/>
          <w:lang w:val="ru-RU" w:eastAsia="ru-RU"/>
        </w:rPr>
        <w:drawing>
          <wp:inline distT="0" distB="0" distL="0" distR="0">
            <wp:extent cx="5257800" cy="2409825"/>
            <wp:effectExtent l="0" t="0" r="0" b="0"/>
            <wp:docPr id="42" name="Объект 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r w:rsidR="00EF4063" w:rsidRPr="00F90B6B">
        <w:rPr>
          <w:rFonts w:ascii="Times New Roman" w:hAnsi="Times New Roman"/>
          <w:sz w:val="28"/>
          <w:szCs w:val="28"/>
        </w:rPr>
        <w:t xml:space="preserve">,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Рис. 3.2.2</w:t>
      </w:r>
      <w:r w:rsidRPr="00F90B6B">
        <w:rPr>
          <w:rFonts w:ascii="Times New Roman" w:hAnsi="Times New Roman"/>
          <w:b/>
          <w:sz w:val="28"/>
          <w:szCs w:val="28"/>
          <w:lang w:val="ru-RU"/>
        </w:rPr>
        <w:t>2</w:t>
      </w:r>
      <w:r w:rsidRPr="00F90B6B">
        <w:rPr>
          <w:rFonts w:ascii="Times New Roman" w:hAnsi="Times New Roman"/>
          <w:b/>
          <w:sz w:val="28"/>
          <w:szCs w:val="28"/>
        </w:rPr>
        <w:t xml:space="preserve">. </w:t>
      </w:r>
      <w:r w:rsidRPr="00F90B6B">
        <w:rPr>
          <w:rFonts w:ascii="Times New Roman" w:hAnsi="Times New Roman"/>
          <w:sz w:val="28"/>
          <w:szCs w:val="28"/>
        </w:rPr>
        <w:t>Число пацієнтів з порушенням релаксації ЛШ за швидкістю трансмітрального потоку.</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3.2.7</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швидкості трансмітрального потоку залежно від ступеня намірної ваги тіла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51"/>
        <w:gridCol w:w="1559"/>
        <w:gridCol w:w="2445"/>
        <w:gridCol w:w="1950"/>
        <w:gridCol w:w="1950"/>
      </w:tblGrid>
      <w:tr w:rsidR="00EF4063" w:rsidRPr="00F90B6B" w:rsidTr="0076299F">
        <w:tc>
          <w:tcPr>
            <w:tcW w:w="195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1559"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45"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Приріст </w:t>
            </w:r>
            <w:r w:rsidRPr="00F90B6B">
              <w:rPr>
                <w:rFonts w:ascii="Times New Roman" w:hAnsi="Times New Roman"/>
                <w:b/>
                <w:sz w:val="28"/>
                <w:szCs w:val="28"/>
                <w:lang w:val="en-US"/>
              </w:rPr>
              <w:t>AR</w:t>
            </w:r>
            <w:r w:rsidRPr="00F90B6B">
              <w:rPr>
                <w:rFonts w:ascii="Times New Roman" w:hAnsi="Times New Roman"/>
                <w:b/>
                <w:sz w:val="28"/>
                <w:szCs w:val="28"/>
              </w:rPr>
              <w:t>,%</w:t>
            </w:r>
          </w:p>
        </w:tc>
        <w:tc>
          <w:tcPr>
            <w:tcW w:w="1950"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tc>
        <w:tc>
          <w:tcPr>
            <w:tcW w:w="1950"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tc>
      </w:tr>
      <w:tr w:rsidR="00EF4063" w:rsidRPr="00F90B6B" w:rsidTr="0076299F">
        <w:tc>
          <w:tcPr>
            <w:tcW w:w="195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ІМТ 18,5-24,9</w:t>
            </w:r>
          </w:p>
        </w:tc>
        <w:tc>
          <w:tcPr>
            <w:tcW w:w="1559"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58,0</w:t>
            </w:r>
          </w:p>
        </w:tc>
        <w:tc>
          <w:tcPr>
            <w:tcW w:w="2445" w:type="dxa"/>
            <w:vMerge w:val="restar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19</w:t>
            </w:r>
            <w:r w:rsidRPr="00F90B6B">
              <w:rPr>
                <w:rFonts w:ascii="Times New Roman" w:hAnsi="Times New Roman"/>
                <w:sz w:val="28"/>
                <w:szCs w:val="28"/>
              </w:rPr>
              <w:t>,0</w:t>
            </w:r>
          </w:p>
        </w:tc>
        <w:tc>
          <w:tcPr>
            <w:tcW w:w="1950" w:type="dxa"/>
            <w:vMerge w:val="restar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0,76</w:t>
            </w:r>
          </w:p>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[0,46-1,24]</w:t>
            </w:r>
          </w:p>
        </w:tc>
        <w:tc>
          <w:tcPr>
            <w:tcW w:w="1950" w:type="dxa"/>
            <w:vMerge w:val="restar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0,42</w:t>
            </w:r>
          </w:p>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[0,12-1,48]</w:t>
            </w:r>
          </w:p>
        </w:tc>
      </w:tr>
      <w:tr w:rsidR="00EF4063" w:rsidRPr="00F90B6B" w:rsidTr="0076299F">
        <w:tc>
          <w:tcPr>
            <w:tcW w:w="195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ІМТ більше 25</w:t>
            </w:r>
          </w:p>
        </w:tc>
        <w:tc>
          <w:tcPr>
            <w:tcW w:w="1559"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77,0</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i/>
          <w:sz w:val="28"/>
          <w:szCs w:val="28"/>
        </w:rPr>
        <w:t>Примітка:</w:t>
      </w:r>
      <w:r w:rsidRPr="00F90B6B">
        <w:rPr>
          <w:rFonts w:ascii="Times New Roman" w:hAnsi="Times New Roman"/>
          <w:sz w:val="28"/>
          <w:szCs w:val="28"/>
        </w:rPr>
        <w:t xml:space="preserve"> </w:t>
      </w:r>
      <w:r w:rsidRPr="00F90B6B">
        <w:rPr>
          <w:rFonts w:ascii="Times New Roman" w:hAnsi="Times New Roman"/>
          <w:sz w:val="28"/>
          <w:szCs w:val="28"/>
          <w:lang w:val="en-US"/>
        </w:rPr>
        <w:t>AR</w:t>
      </w:r>
      <w:r w:rsidRPr="00F90B6B">
        <w:rPr>
          <w:rFonts w:ascii="Times New Roman" w:hAnsi="Times New Roman"/>
          <w:sz w:val="28"/>
          <w:szCs w:val="28"/>
        </w:rPr>
        <w:t xml:space="preserve"> – абсолютний ризик (</w:t>
      </w:r>
      <w:r w:rsidRPr="00F90B6B">
        <w:rPr>
          <w:rFonts w:ascii="Times New Roman" w:hAnsi="Times New Roman"/>
          <w:sz w:val="28"/>
          <w:szCs w:val="28"/>
          <w:lang w:val="en-US"/>
        </w:rPr>
        <w:t>absolute</w:t>
      </w:r>
      <w:r w:rsidRPr="00F90B6B">
        <w:rPr>
          <w:rFonts w:ascii="Times New Roman" w:hAnsi="Times New Roman"/>
          <w:sz w:val="28"/>
          <w:szCs w:val="28"/>
        </w:rPr>
        <w:t xml:space="preserve"> </w:t>
      </w:r>
      <w:r w:rsidRPr="00F90B6B">
        <w:rPr>
          <w:rFonts w:ascii="Times New Roman" w:hAnsi="Times New Roman"/>
          <w:sz w:val="28"/>
          <w:szCs w:val="28"/>
          <w:lang w:val="en-US"/>
        </w:rPr>
        <w:t>risk</w:t>
      </w:r>
      <w:r w:rsidRPr="00F90B6B">
        <w:rPr>
          <w:rFonts w:ascii="Times New Roman" w:hAnsi="Times New Roman"/>
          <w:sz w:val="28"/>
          <w:szCs w:val="28"/>
        </w:rPr>
        <w:t xml:space="preserve">); </w:t>
      </w:r>
    </w:p>
    <w:p w:rsidR="00EF4063" w:rsidRPr="00F90B6B" w:rsidRDefault="00EF4063" w:rsidP="00F0048B">
      <w:pPr>
        <w:spacing w:after="0" w:line="360" w:lineRule="auto"/>
        <w:ind w:left="1415" w:firstLine="1"/>
        <w:jc w:val="both"/>
        <w:rPr>
          <w:rFonts w:ascii="Times New Roman" w:hAnsi="Times New Roman"/>
          <w:sz w:val="28"/>
          <w:szCs w:val="28"/>
          <w:lang w:val="en-US"/>
        </w:rPr>
      </w:pPr>
      <w:r w:rsidRPr="00F90B6B">
        <w:rPr>
          <w:rFonts w:ascii="Times New Roman" w:hAnsi="Times New Roman"/>
          <w:sz w:val="28"/>
          <w:szCs w:val="28"/>
          <w:lang w:val="en-US"/>
        </w:rPr>
        <w:t>RR</w:t>
      </w:r>
      <w:r w:rsidRPr="00F90B6B">
        <w:rPr>
          <w:rFonts w:ascii="Times New Roman" w:hAnsi="Times New Roman"/>
          <w:sz w:val="28"/>
          <w:szCs w:val="28"/>
        </w:rPr>
        <w:t xml:space="preserve"> – відносний ризик</w:t>
      </w:r>
      <w:r w:rsidRPr="00F90B6B">
        <w:rPr>
          <w:rFonts w:ascii="Times New Roman" w:hAnsi="Times New Roman"/>
          <w:sz w:val="28"/>
          <w:szCs w:val="28"/>
          <w:lang w:val="en-US"/>
        </w:rPr>
        <w:t xml:space="preserve"> (relative risk)</w:t>
      </w:r>
      <w:r w:rsidRPr="00F90B6B">
        <w:rPr>
          <w:rFonts w:ascii="Times New Roman" w:hAnsi="Times New Roman"/>
          <w:sz w:val="28"/>
          <w:szCs w:val="28"/>
        </w:rPr>
        <w:t xml:space="preserve">; </w:t>
      </w:r>
    </w:p>
    <w:p w:rsidR="00EF4063" w:rsidRPr="00F90B6B" w:rsidRDefault="00EF4063" w:rsidP="00F0048B">
      <w:pPr>
        <w:spacing w:after="0" w:line="360" w:lineRule="auto"/>
        <w:ind w:left="1415" w:firstLine="1"/>
        <w:jc w:val="both"/>
        <w:rPr>
          <w:rFonts w:ascii="Times New Roman" w:hAnsi="Times New Roman"/>
          <w:sz w:val="28"/>
          <w:szCs w:val="28"/>
          <w:lang w:val="en-US"/>
        </w:rPr>
      </w:pPr>
      <w:r w:rsidRPr="00F90B6B">
        <w:rPr>
          <w:rFonts w:ascii="Times New Roman" w:hAnsi="Times New Roman"/>
          <w:sz w:val="28"/>
          <w:szCs w:val="28"/>
          <w:lang w:val="en-US"/>
        </w:rPr>
        <w:t>OR</w:t>
      </w:r>
      <w:r w:rsidRPr="00F90B6B">
        <w:rPr>
          <w:rFonts w:ascii="Times New Roman" w:hAnsi="Times New Roman"/>
          <w:sz w:val="28"/>
          <w:szCs w:val="28"/>
        </w:rPr>
        <w:t xml:space="preserve"> – відношення шансів</w:t>
      </w:r>
      <w:r w:rsidRPr="00F90B6B">
        <w:rPr>
          <w:rFonts w:ascii="Times New Roman" w:hAnsi="Times New Roman"/>
          <w:sz w:val="28"/>
          <w:szCs w:val="28"/>
          <w:lang w:val="en-US"/>
        </w:rPr>
        <w:t xml:space="preserve"> (odds ratio)</w:t>
      </w:r>
      <w:r w:rsidRPr="00F90B6B">
        <w:rPr>
          <w:rFonts w:ascii="Times New Roman" w:hAnsi="Times New Roman"/>
          <w:sz w:val="28"/>
          <w:szCs w:val="28"/>
        </w:rPr>
        <w:t>.</w:t>
      </w:r>
    </w:p>
    <w:p w:rsidR="00BB305F" w:rsidRPr="007E797D" w:rsidRDefault="00BB305F" w:rsidP="00F0048B">
      <w:pPr>
        <w:spacing w:after="0" w:line="360" w:lineRule="auto"/>
        <w:ind w:firstLine="709"/>
        <w:jc w:val="both"/>
        <w:rPr>
          <w:rFonts w:ascii="Times New Roman" w:hAnsi="Times New Roman"/>
          <w:sz w:val="28"/>
          <w:szCs w:val="28"/>
          <w:lang w:val="en-US"/>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Наступним показником, що аналізувався було IVRТ (isovolumic relaxation time) - час ізоволюмічного розслаблення від моменту закриття аортального клапана до моменту відкриття мітрального клапана. При погіршенні релаксації ЛШ ця величина зростає, рис. 3.2.2</w:t>
      </w:r>
      <w:r w:rsidRPr="00F90B6B">
        <w:rPr>
          <w:rFonts w:ascii="Times New Roman" w:hAnsi="Times New Roman"/>
          <w:sz w:val="28"/>
          <w:szCs w:val="28"/>
          <w:lang w:val="ru-RU"/>
        </w:rPr>
        <w:t>3</w:t>
      </w:r>
      <w:r w:rsidRPr="00F90B6B">
        <w:rPr>
          <w:rFonts w:ascii="Times New Roman" w:hAnsi="Times New Roman"/>
          <w:sz w:val="28"/>
          <w:szCs w:val="28"/>
        </w:rPr>
        <w:t>.</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7635" w:dyaOrig="5745">
          <v:shape id="_x0000_i1052" type="#_x0000_t75" style="width:381.75pt;height:287.25pt" o:ole="">
            <v:imagedata r:id="rId88" o:title=""/>
          </v:shape>
          <o:OLEObject Type="Embed" ProgID="STATISTICA.Graph" ShapeID="_x0000_i1052" DrawAspect="Content" ObjectID="_1624460775" r:id="rId89">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b/>
          <w:sz w:val="28"/>
          <w:szCs w:val="28"/>
        </w:rPr>
        <w:t>Рис. 3.2.2</w:t>
      </w:r>
      <w:r w:rsidRPr="00F90B6B">
        <w:rPr>
          <w:rFonts w:ascii="Times New Roman" w:hAnsi="Times New Roman"/>
          <w:b/>
          <w:sz w:val="28"/>
          <w:szCs w:val="28"/>
          <w:lang w:val="ru-RU"/>
        </w:rPr>
        <w:t>3</w:t>
      </w:r>
      <w:r w:rsidRPr="00F90B6B">
        <w:rPr>
          <w:rFonts w:ascii="Times New Roman" w:hAnsi="Times New Roman"/>
          <w:b/>
          <w:sz w:val="28"/>
          <w:szCs w:val="28"/>
        </w:rPr>
        <w:t xml:space="preserve">. </w:t>
      </w:r>
      <w:r w:rsidRPr="00F90B6B">
        <w:rPr>
          <w:rFonts w:ascii="Times New Roman" w:hAnsi="Times New Roman"/>
          <w:sz w:val="28"/>
          <w:szCs w:val="28"/>
        </w:rPr>
        <w:t>Час ізоволюмічного розслаблення у хворих з серцевою недостатністю залежно від маси тіла (мс).</w:t>
      </w:r>
    </w:p>
    <w:p w:rsidR="00EF4063" w:rsidRPr="00F90B6B" w:rsidRDefault="00EF4063"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Зокрема, у хворих, що мали нормальну вагу тіла IVRТ становило 73,3±6,91 мс на противагу пацієнтам з ожирінням – 79,3±7,26 мс, де спостерігався приріст показника на 7,6% з вірогідними змінами (р&lt;0,05), а також при надмірній вазі тіла, де відмічено невірогідну тенденцію 75,8±7,22 мс (приріст 3,2%, р</w:t>
      </w:r>
      <w:r w:rsidRPr="00F90B6B">
        <w:rPr>
          <w:rFonts w:ascii="Times New Roman" w:hAnsi="Times New Roman"/>
          <w:sz w:val="28"/>
          <w:szCs w:val="28"/>
          <w:lang w:val="ru-RU"/>
        </w:rPr>
        <w:t xml:space="preserve">&gt;0,05). </w:t>
      </w:r>
      <w:r w:rsidRPr="00F90B6B">
        <w:rPr>
          <w:rFonts w:ascii="Times New Roman" w:hAnsi="Times New Roman"/>
          <w:sz w:val="28"/>
          <w:szCs w:val="28"/>
        </w:rPr>
        <w:t>Відповідний показник в контрольній групі становив 71,6±6,49 мс.</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Також для характеристики діастолічної дисфункції лівого шлуночка використовується час уповільнення (deceleration time - DT) - від точки, коли досягнута максимальна швидкість ранньодіастолічного наповнення, до моменту його припинення.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Отримані результати наведені на рис. 3.2.2</w:t>
      </w:r>
      <w:r w:rsidRPr="00F90B6B">
        <w:rPr>
          <w:rFonts w:ascii="Times New Roman" w:hAnsi="Times New Roman"/>
          <w:sz w:val="28"/>
          <w:szCs w:val="28"/>
          <w:lang w:val="ru-RU"/>
        </w:rPr>
        <w:t>4</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Слід відмітити, що в усіх групах пацієнтів з ХСН час уповільнення (</w:t>
      </w:r>
      <w:r w:rsidRPr="00F90B6B">
        <w:rPr>
          <w:rFonts w:ascii="Times New Roman" w:hAnsi="Times New Roman"/>
          <w:sz w:val="24"/>
          <w:szCs w:val="24"/>
          <w:lang w:eastAsia="uk-UA"/>
        </w:rPr>
        <w:t xml:space="preserve">DT) </w:t>
      </w:r>
      <w:r w:rsidRPr="00F90B6B">
        <w:rPr>
          <w:rFonts w:ascii="Times New Roman" w:hAnsi="Times New Roman"/>
          <w:sz w:val="28"/>
          <w:szCs w:val="28"/>
        </w:rPr>
        <w:t>ранньодіастолічного наповнення був вище референсних значень (190,0±20,0 мс), а також показників контрольної групи (205,6±49,5 мс, р&lt;0,05), складаючи при нормальному ІМТ 225,5±39,7 мс, при надмірній вазі – 254,4±42,3 мс, при ожирінні – 299,3±68,1 мс.</w: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lastRenderedPageBreak/>
        <w:t>При розвитку діастолічної дисфункції ЛШ виділяють різні типи графіків потоку. I тип - уповільненої релаксації (гіпертрофічний); II тип - псевдонормальний; III тип - рестриктивний. Проте це не лише типи, але й стадії прогресування діастолічної дисфункції.</w:t>
      </w:r>
    </w:p>
    <w:p w:rsidR="00EF4063" w:rsidRPr="00F90B6B" w:rsidRDefault="00EF4063" w:rsidP="00F0048B">
      <w:pPr>
        <w:spacing w:after="0" w:line="360" w:lineRule="auto"/>
        <w:jc w:val="center"/>
        <w:rPr>
          <w:rFonts w:ascii="Times New Roman" w:hAnsi="Times New Roman"/>
        </w:rPr>
      </w:pPr>
      <w:r w:rsidRPr="00F90B6B">
        <w:rPr>
          <w:rFonts w:ascii="Times New Roman" w:hAnsi="Times New Roman"/>
        </w:rPr>
        <w:object w:dxaOrig="7170" w:dyaOrig="5370">
          <v:shape id="_x0000_i1053" type="#_x0000_t75" style="width:358.5pt;height:268.5pt" o:ole="">
            <v:imagedata r:id="rId90" o:title=""/>
          </v:shape>
          <o:OLEObject Type="Embed" ProgID="STATISTICA.Graph" ShapeID="_x0000_i1053" DrawAspect="Content" ObjectID="_1624460776" r:id="rId91">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Рис. 3.2.2</w:t>
      </w:r>
      <w:r w:rsidRPr="00F90B6B">
        <w:rPr>
          <w:rFonts w:ascii="Times New Roman" w:hAnsi="Times New Roman"/>
          <w:b/>
          <w:sz w:val="28"/>
          <w:szCs w:val="28"/>
          <w:lang w:val="ru-RU"/>
        </w:rPr>
        <w:t>4</w:t>
      </w:r>
      <w:r w:rsidRPr="00F90B6B">
        <w:rPr>
          <w:rFonts w:ascii="Times New Roman" w:hAnsi="Times New Roman"/>
          <w:b/>
          <w:sz w:val="28"/>
          <w:szCs w:val="28"/>
        </w:rPr>
        <w:t xml:space="preserve">. </w:t>
      </w:r>
      <w:r w:rsidRPr="00F90B6B">
        <w:rPr>
          <w:rFonts w:ascii="Times New Roman" w:hAnsi="Times New Roman"/>
          <w:sz w:val="28"/>
          <w:szCs w:val="28"/>
        </w:rPr>
        <w:t>Час уповільнення (</w:t>
      </w:r>
      <w:r w:rsidRPr="00F90B6B">
        <w:rPr>
          <w:rFonts w:ascii="Times New Roman" w:hAnsi="Times New Roman"/>
          <w:sz w:val="24"/>
          <w:szCs w:val="24"/>
          <w:lang w:eastAsia="uk-UA"/>
        </w:rPr>
        <w:t xml:space="preserve">DT) </w:t>
      </w:r>
      <w:r w:rsidRPr="00F90B6B">
        <w:rPr>
          <w:rFonts w:ascii="Times New Roman" w:hAnsi="Times New Roman"/>
          <w:sz w:val="28"/>
          <w:szCs w:val="28"/>
        </w:rPr>
        <w:t>ранньодіастолічного наповнення у хворих з серцевою недостатністю залежно від маси тіла (мс)</w:t>
      </w:r>
    </w:p>
    <w:p w:rsidR="00224E15" w:rsidRPr="007E797D" w:rsidRDefault="00EF4063" w:rsidP="00224E15">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нашій роботі абсолютну перевагу (85,1%) становив І тип діастолічної дисфункції, 6,4% - ІІ тип, 8,5% - ІІІ тип, рис. 3.2.25. Залежності від ІМТ не встановлено.</w:t>
      </w:r>
      <w:r w:rsidR="00224E15" w:rsidRPr="00F90B6B">
        <w:rPr>
          <w:rFonts w:ascii="Times New Roman" w:hAnsi="Times New Roman"/>
          <w:sz w:val="28"/>
          <w:szCs w:val="28"/>
        </w:rPr>
        <w:t xml:space="preserve"> </w:t>
      </w:r>
    </w:p>
    <w:p w:rsidR="00224E15" w:rsidRPr="00F90B6B" w:rsidRDefault="00224E15" w:rsidP="00224E15">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Проте, виявлено зміни, що свідчать про структурну перебудову міокарда – збільшення розмірів лівого передсердя, правого передсердя та правого шлуночка при надмірній вазі тіла та ожирінні у пацієнтів з ХСН, рис. 3.2.26-3.2.28.</w:t>
      </w:r>
    </w:p>
    <w:p w:rsidR="00224E15" w:rsidRPr="00F90B6B" w:rsidRDefault="00224E15" w:rsidP="00224E15">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Зокрема, розмір лівого передсердя при надмірній вазі та ожирінні верифікований як 3,57±0,26 та 3,57±0,27 см проти 3,33±0,18 см при нормальній вазі (р</w:t>
      </w:r>
      <w:r w:rsidRPr="00F90B6B">
        <w:rPr>
          <w:rFonts w:ascii="Times New Roman" w:hAnsi="Times New Roman"/>
          <w:sz w:val="28"/>
          <w:szCs w:val="28"/>
          <w:lang w:val="ru-RU"/>
        </w:rPr>
        <w:t>&lt;0,05</w:t>
      </w:r>
      <w:r w:rsidRPr="00F90B6B">
        <w:rPr>
          <w:rFonts w:ascii="Times New Roman" w:hAnsi="Times New Roman"/>
          <w:sz w:val="28"/>
          <w:szCs w:val="28"/>
        </w:rPr>
        <w:t>). Розмір правого передсердя становив, відповідно, 3,40±0,19 та 3,50±0,20 см проти 3,27±0,14 см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6F7754" w:rsidP="00F0048B">
      <w:pPr>
        <w:spacing w:after="0" w:line="360" w:lineRule="auto"/>
        <w:ind w:firstLine="709"/>
        <w:jc w:val="both"/>
        <w:rPr>
          <w:rFonts w:ascii="Times New Roman" w:hAnsi="Times New Roman"/>
          <w:sz w:val="28"/>
          <w:szCs w:val="28"/>
        </w:rPr>
      </w:pPr>
      <w:r w:rsidRPr="00BD2F09">
        <w:rPr>
          <w:rFonts w:ascii="Times New Roman" w:hAnsi="Times New Roman"/>
          <w:noProof/>
          <w:lang w:val="ru-RU" w:eastAsia="ru-RU"/>
        </w:rPr>
        <w:lastRenderedPageBreak/>
        <w:drawing>
          <wp:inline distT="0" distB="0" distL="0" distR="0">
            <wp:extent cx="5543550" cy="2571750"/>
            <wp:effectExtent l="0" t="0" r="0" b="0"/>
            <wp:docPr id="45" name="Диаграмма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Рис. 3.2.2</w:t>
      </w:r>
      <w:r w:rsidRPr="00F90B6B">
        <w:rPr>
          <w:rFonts w:ascii="Times New Roman" w:hAnsi="Times New Roman"/>
          <w:b/>
          <w:sz w:val="28"/>
          <w:szCs w:val="28"/>
          <w:lang w:val="ru-RU"/>
        </w:rPr>
        <w:t>5</w:t>
      </w:r>
      <w:r w:rsidRPr="00F90B6B">
        <w:rPr>
          <w:rFonts w:ascii="Times New Roman" w:hAnsi="Times New Roman"/>
          <w:b/>
          <w:sz w:val="28"/>
          <w:szCs w:val="28"/>
        </w:rPr>
        <w:t xml:space="preserve">. </w:t>
      </w:r>
      <w:r w:rsidRPr="00F90B6B">
        <w:rPr>
          <w:rFonts w:ascii="Times New Roman" w:hAnsi="Times New Roman"/>
          <w:sz w:val="28"/>
          <w:szCs w:val="28"/>
        </w:rPr>
        <w:t>Типи діастолічної дисфункції у пацієнтів з ХСН, включених в дослідження.</w:t>
      </w:r>
    </w:p>
    <w:p w:rsidR="00EF4063" w:rsidRPr="00F90B6B" w:rsidRDefault="00EF4063" w:rsidP="00F0048B">
      <w:pPr>
        <w:spacing w:after="0" w:line="360" w:lineRule="auto"/>
        <w:ind w:firstLine="709"/>
        <w:jc w:val="both"/>
        <w:rPr>
          <w:rFonts w:ascii="Times New Roman" w:hAnsi="Times New Roman"/>
          <w:sz w:val="28"/>
          <w:szCs w:val="28"/>
          <w:lang w:val="ru-RU"/>
        </w:rPr>
      </w:pPr>
    </w:p>
    <w:tbl>
      <w:tblPr>
        <w:tblW w:w="0" w:type="auto"/>
        <w:tblLook w:val="00A0" w:firstRow="1" w:lastRow="0" w:firstColumn="1" w:lastColumn="0" w:noHBand="0" w:noVBand="0"/>
      </w:tblPr>
      <w:tblGrid>
        <w:gridCol w:w="5076"/>
        <w:gridCol w:w="4941"/>
      </w:tblGrid>
      <w:tr w:rsidR="00EF4063" w:rsidRPr="00F90B6B" w:rsidTr="00224E15">
        <w:tc>
          <w:tcPr>
            <w:tcW w:w="5076"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4860" w:dyaOrig="3645">
                <v:shape id="_x0000_i1054" type="#_x0000_t75" style="width:243pt;height:182.25pt" o:ole="">
                  <v:imagedata r:id="rId93" o:title=""/>
                </v:shape>
                <o:OLEObject Type="Embed" ProgID="STATISTICA.Graph" ShapeID="_x0000_i1054" DrawAspect="Content" ObjectID="_1624460777" r:id="rId94">
                  <o:FieldCodes>\s</o:FieldCodes>
                </o:OLEObject>
              </w:object>
            </w:r>
          </w:p>
        </w:tc>
        <w:tc>
          <w:tcPr>
            <w:tcW w:w="4941"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4725" w:dyaOrig="3555">
                <v:shape id="_x0000_i1055" type="#_x0000_t75" style="width:236.25pt;height:177.75pt" o:ole="">
                  <v:imagedata r:id="rId95" o:title=""/>
                </v:shape>
                <o:OLEObject Type="Embed" ProgID="STATISTICA.Graph" ShapeID="_x0000_i1055" DrawAspect="Content" ObjectID="_1624460778" r:id="rId96">
                  <o:FieldCodes>\s</o:FieldCodes>
                </o:OLEObject>
              </w:object>
            </w:r>
          </w:p>
        </w:tc>
      </w:tr>
      <w:tr w:rsidR="00EF4063" w:rsidRPr="00F90B6B" w:rsidTr="00224E15">
        <w:tc>
          <w:tcPr>
            <w:tcW w:w="5076"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Рис. 3.2.2</w:t>
            </w:r>
            <w:r w:rsidRPr="00F90B6B">
              <w:rPr>
                <w:rFonts w:ascii="Times New Roman" w:hAnsi="Times New Roman"/>
                <w:b/>
                <w:sz w:val="28"/>
                <w:szCs w:val="28"/>
                <w:lang w:val="ru-RU"/>
              </w:rPr>
              <w:t>6</w:t>
            </w:r>
            <w:r w:rsidRPr="00F90B6B">
              <w:rPr>
                <w:rFonts w:ascii="Times New Roman" w:hAnsi="Times New Roman"/>
                <w:b/>
                <w:sz w:val="28"/>
                <w:szCs w:val="28"/>
              </w:rPr>
              <w:t xml:space="preserve">.1. </w:t>
            </w:r>
            <w:r w:rsidRPr="00F90B6B">
              <w:rPr>
                <w:rFonts w:ascii="Times New Roman" w:hAnsi="Times New Roman"/>
                <w:sz w:val="28"/>
                <w:szCs w:val="28"/>
              </w:rPr>
              <w:t>Розмір лівого передсердя</w:t>
            </w:r>
            <w:r w:rsidRPr="00F90B6B">
              <w:rPr>
                <w:rFonts w:ascii="Times New Roman" w:hAnsi="Times New Roman"/>
                <w:sz w:val="28"/>
                <w:szCs w:val="28"/>
                <w:lang w:val="ru-RU"/>
              </w:rPr>
              <w:t xml:space="preserve"> </w:t>
            </w:r>
            <w:r w:rsidRPr="00F90B6B">
              <w:rPr>
                <w:rFonts w:ascii="Times New Roman" w:hAnsi="Times New Roman"/>
                <w:sz w:val="28"/>
                <w:szCs w:val="28"/>
              </w:rPr>
              <w:t>у пацієнтів з ХСН залежно від ваги тіла.</w:t>
            </w:r>
          </w:p>
        </w:tc>
        <w:tc>
          <w:tcPr>
            <w:tcW w:w="4941" w:type="dxa"/>
            <w:vAlign w:val="center"/>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b/>
                <w:sz w:val="28"/>
                <w:szCs w:val="28"/>
              </w:rPr>
              <w:t>Рис. 3.2.2</w:t>
            </w:r>
            <w:r w:rsidRPr="00F90B6B">
              <w:rPr>
                <w:rFonts w:ascii="Times New Roman" w:hAnsi="Times New Roman"/>
                <w:b/>
                <w:sz w:val="28"/>
                <w:szCs w:val="28"/>
                <w:lang w:val="ru-RU"/>
              </w:rPr>
              <w:t>6</w:t>
            </w:r>
            <w:r w:rsidRPr="00F90B6B">
              <w:rPr>
                <w:rFonts w:ascii="Times New Roman" w:hAnsi="Times New Roman"/>
                <w:b/>
                <w:sz w:val="28"/>
                <w:szCs w:val="28"/>
              </w:rPr>
              <w:t xml:space="preserve">.1. </w:t>
            </w:r>
            <w:r w:rsidRPr="00F90B6B">
              <w:rPr>
                <w:rFonts w:ascii="Times New Roman" w:hAnsi="Times New Roman"/>
                <w:sz w:val="28"/>
                <w:szCs w:val="28"/>
              </w:rPr>
              <w:t>Розмір правого передсердя</w:t>
            </w:r>
            <w:r w:rsidRPr="00F90B6B">
              <w:rPr>
                <w:rFonts w:ascii="Times New Roman" w:hAnsi="Times New Roman"/>
                <w:sz w:val="28"/>
                <w:szCs w:val="28"/>
                <w:lang w:val="ru-RU"/>
              </w:rPr>
              <w:t xml:space="preserve"> </w:t>
            </w:r>
            <w:r w:rsidRPr="00F90B6B">
              <w:rPr>
                <w:rFonts w:ascii="Times New Roman" w:hAnsi="Times New Roman"/>
                <w:sz w:val="28"/>
                <w:szCs w:val="28"/>
              </w:rPr>
              <w:t>у пацієнтів з ХСН залежно від ваги тіла.</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224E15" w:rsidRPr="00F90B6B" w:rsidRDefault="00EF4063" w:rsidP="00224E15">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Збільшення правого шлуночка становило 11,8% у випадках ІМТ 25,0-30,0  (2,55±0,19 см) та ІМТ більше 30,0 (2,55±0,13 см) за співставлення з хворими, що мали нормальну вагу (2,28±0,12 см, р</w:t>
      </w:r>
      <w:r w:rsidRPr="00F90B6B">
        <w:rPr>
          <w:rFonts w:ascii="Times New Roman" w:hAnsi="Times New Roman"/>
          <w:sz w:val="28"/>
          <w:szCs w:val="28"/>
          <w:lang w:val="ru-RU"/>
        </w:rPr>
        <w:t>&lt;0,05</w:t>
      </w:r>
      <w:r w:rsidRPr="00F90B6B">
        <w:rPr>
          <w:rFonts w:ascii="Times New Roman" w:hAnsi="Times New Roman"/>
          <w:sz w:val="28"/>
          <w:szCs w:val="28"/>
        </w:rPr>
        <w:t>), рис. 3.2.27.</w:t>
      </w:r>
      <w:r w:rsidR="00224E15" w:rsidRPr="00F90B6B">
        <w:rPr>
          <w:rFonts w:ascii="Times New Roman" w:hAnsi="Times New Roman"/>
          <w:sz w:val="28"/>
          <w:szCs w:val="28"/>
        </w:rPr>
        <w:t xml:space="preserve"> </w:t>
      </w:r>
    </w:p>
    <w:p w:rsidR="00224E15" w:rsidRPr="00F90B6B" w:rsidRDefault="00224E15" w:rsidP="00224E15">
      <w:pPr>
        <w:spacing w:after="0" w:line="360" w:lineRule="auto"/>
        <w:ind w:firstLine="709"/>
        <w:jc w:val="both"/>
        <w:rPr>
          <w:rFonts w:ascii="Times New Roman" w:hAnsi="Times New Roman"/>
          <w:sz w:val="28"/>
          <w:szCs w:val="28"/>
        </w:rPr>
      </w:pPr>
      <w:r w:rsidRPr="00F90B6B">
        <w:rPr>
          <w:rFonts w:ascii="Times New Roman" w:hAnsi="Times New Roman"/>
          <w:sz w:val="28"/>
          <w:szCs w:val="28"/>
        </w:rPr>
        <w:t>Вказані дані свідчать про те, що ІМТ потрібно розглядати як особливий фактор, який потрібно враховувати при оцінці загального кардіоваскулярного ризику.</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rPr>
        <w:object w:dxaOrig="7005" w:dyaOrig="5280">
          <v:shape id="_x0000_i1056" type="#_x0000_t75" style="width:350.25pt;height:264pt" o:ole="">
            <v:imagedata r:id="rId97" o:title=""/>
          </v:shape>
          <o:OLEObject Type="Embed" ProgID="STATISTICA.Graph" ShapeID="_x0000_i1056" DrawAspect="Content" ObjectID="_1624460779" r:id="rId98">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Рис. 3.2.2</w:t>
      </w:r>
      <w:r w:rsidRPr="00F90B6B">
        <w:rPr>
          <w:rFonts w:ascii="Times New Roman" w:hAnsi="Times New Roman"/>
          <w:b/>
          <w:sz w:val="28"/>
          <w:szCs w:val="28"/>
          <w:lang w:val="ru-RU"/>
        </w:rPr>
        <w:t>7</w:t>
      </w:r>
      <w:r w:rsidRPr="00F90B6B">
        <w:rPr>
          <w:rFonts w:ascii="Times New Roman" w:hAnsi="Times New Roman"/>
          <w:b/>
          <w:sz w:val="28"/>
          <w:szCs w:val="28"/>
        </w:rPr>
        <w:t xml:space="preserve">. </w:t>
      </w:r>
      <w:r w:rsidRPr="00F90B6B">
        <w:rPr>
          <w:rFonts w:ascii="Times New Roman" w:hAnsi="Times New Roman"/>
          <w:sz w:val="28"/>
          <w:szCs w:val="28"/>
        </w:rPr>
        <w:t>Розмір правого передсердя</w:t>
      </w:r>
      <w:r w:rsidRPr="00F90B6B">
        <w:rPr>
          <w:rFonts w:ascii="Times New Roman" w:hAnsi="Times New Roman"/>
          <w:sz w:val="28"/>
          <w:szCs w:val="28"/>
          <w:lang w:val="ru-RU"/>
        </w:rPr>
        <w:t xml:space="preserve"> </w:t>
      </w:r>
      <w:r w:rsidRPr="00F90B6B">
        <w:rPr>
          <w:rFonts w:ascii="Times New Roman" w:hAnsi="Times New Roman"/>
          <w:sz w:val="28"/>
          <w:szCs w:val="28"/>
        </w:rPr>
        <w:t>у пацієнтів з ХСН залежно від ваги тіла.</w:t>
      </w:r>
    </w:p>
    <w:p w:rsidR="00EF4063" w:rsidRPr="00F90B6B" w:rsidRDefault="00EF4063"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 xml:space="preserve">Таким чином, в розділі 3.2. наведені клініко-анамнестична характеристику, зміни лабораторних показників та особливості кардіогемодинаміки у хворих з хронічною серцевою недостатністю та ожирінням. </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rPr>
        <w:t xml:space="preserve">Для досягнення даної мети було обстежено 90 хворих з ХСН, проводились клінічне, функціональне та лабораторне, дослідження, а також оцінювалась якість життя за Міннесотським опитувачем. </w:t>
      </w:r>
      <w:r w:rsidRPr="00F90B6B">
        <w:rPr>
          <w:rFonts w:ascii="Times New Roman" w:hAnsi="Times New Roman"/>
          <w:sz w:val="28"/>
          <w:szCs w:val="28"/>
          <w:lang w:eastAsia="ru-RU"/>
        </w:rPr>
        <w:t xml:space="preserve">Статистична оцінка проводилась за допомогою багатогрупового аналізу </w:t>
      </w:r>
      <w:r w:rsidRPr="00F90B6B">
        <w:rPr>
          <w:rFonts w:ascii="Times New Roman" w:hAnsi="Times New Roman"/>
          <w:sz w:val="28"/>
          <w:szCs w:val="28"/>
          <w:lang w:val="en-US" w:eastAsia="ru-RU"/>
        </w:rPr>
        <w:t>ANOVA</w:t>
      </w:r>
      <w:r w:rsidRPr="00F90B6B">
        <w:rPr>
          <w:rFonts w:ascii="Times New Roman" w:hAnsi="Times New Roman"/>
          <w:sz w:val="28"/>
          <w:szCs w:val="28"/>
          <w:lang w:eastAsia="ru-RU"/>
        </w:rPr>
        <w:t>.</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Більшість пацієнтів з ХСН, включених в дослідження, мали надмірну вагу тіла або ожиріння. В даних групах встановлено зворотню залежність між рівнем переносимості фізичних навантажень та надлишком маси тіла у хворих з ХСН, а також отримано зворотній вірогідний кореляційний зв’язок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між толерантністю до фізичного навантаження та ІМТ.</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При більшій вазі пацієнта обмеження фізичних можливостей та психічного стану за рахунок проявів ХСН при ожирінні було вірогідно вищим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з прямим позитивним кореляційним зв’язком між підвищенням ІМТ та зростанням </w:t>
      </w:r>
      <w:r w:rsidRPr="00F90B6B">
        <w:rPr>
          <w:rFonts w:ascii="Times New Roman" w:hAnsi="Times New Roman"/>
          <w:sz w:val="28"/>
          <w:szCs w:val="28"/>
          <w:lang w:eastAsia="ru-RU"/>
        </w:rPr>
        <w:lastRenderedPageBreak/>
        <w:t>фізичного та психологічного дискомфорту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=0,39,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а точкою переходу був ІМТ 25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Доведено наявність вірогідно більшого рівня холестерину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тригліцеридів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а також ЛПНЩ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та ЛПДНЩ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нижчого рівня ЛПВЩ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та більш високого індексу атерогенності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у пацієнтів з ХСН та ІМТ більше 25, проте за всіма параметрами ліпідограми, вірогідної різниці між групами з ІМТ 25-30 та ІМТ більше 30 не встановлено.</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Встановлено вірогідну різницю щодо рівня креатиніну з більшими значеннями у хворих з ХСН при ожирінні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xml:space="preserve">, рівня ранішньої глікемії залежно від величини ІМТ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&lt;0,05)</w:t>
      </w:r>
      <w:r w:rsidRPr="00F90B6B">
        <w:rPr>
          <w:rFonts w:ascii="Times New Roman" w:hAnsi="Times New Roman"/>
          <w:sz w:val="28"/>
          <w:szCs w:val="28"/>
        </w:rPr>
        <w:t xml:space="preserve">, а також вмісту печінковоспецифічних ферментів – АсАТ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&lt;0,05)</w:t>
      </w:r>
      <w:r w:rsidRPr="00F90B6B">
        <w:rPr>
          <w:rFonts w:ascii="Times New Roman" w:hAnsi="Times New Roman"/>
          <w:sz w:val="28"/>
          <w:szCs w:val="28"/>
        </w:rPr>
        <w:t xml:space="preserve"> та АлАТ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 xml:space="preserve">&lt;0,05) </w:t>
      </w:r>
      <w:r w:rsidRPr="00F90B6B">
        <w:rPr>
          <w:rFonts w:ascii="Times New Roman" w:hAnsi="Times New Roman"/>
          <w:sz w:val="28"/>
          <w:szCs w:val="28"/>
        </w:rPr>
        <w:t>у пацієнтів з надмірною вагою та ХСН.</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Відмічено вірогідне зниження ШКФ у хворих з ХСН при ожирінні порівняно з пацієнтами, які мали нормальну вагу, р&lt;0,05. Встановлено вірогідний зворотній кореляційний зв’язок між функціональним станом нирок та масою тіла у хворих з серцевою недостатністю (</w:t>
      </w:r>
      <w:r w:rsidRPr="00F90B6B">
        <w:rPr>
          <w:rFonts w:ascii="Times New Roman" w:hAnsi="Times New Roman"/>
          <w:sz w:val="28"/>
          <w:szCs w:val="28"/>
          <w:lang w:val="en-US"/>
        </w:rPr>
        <w:t>r</w:t>
      </w:r>
      <w:r w:rsidRPr="00F90B6B">
        <w:rPr>
          <w:rFonts w:ascii="Times New Roman" w:hAnsi="Times New Roman"/>
          <w:sz w:val="28"/>
          <w:szCs w:val="28"/>
        </w:rPr>
        <w:t>=-0,32, р&lt;0,05). Доведено прогресивне збільшення очікуваної частоти – з 0,5 до 4,71 подій у вигляді хронічної хвороби нирок на 100,0 випадків хронічної серцевої недостатності при підвищенні ІМТ з 24,9 до більше 30,0 одиниць.</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У хворих з ХСН при ожирінні, порівняно з групами хворих, які мають нормальну вагу, встановлено нижчі значення </w:t>
      </w:r>
      <w:r w:rsidRPr="00F90B6B">
        <w:rPr>
          <w:rFonts w:ascii="Times New Roman" w:hAnsi="Times New Roman"/>
          <w:sz w:val="28"/>
          <w:szCs w:val="28"/>
          <w:lang w:val="en-US"/>
        </w:rPr>
        <w:t>NTproBNP</w:t>
      </w:r>
      <w:r w:rsidRPr="00F90B6B">
        <w:rPr>
          <w:rFonts w:ascii="Times New Roman" w:hAnsi="Times New Roman"/>
          <w:sz w:val="28"/>
          <w:szCs w:val="28"/>
        </w:rPr>
        <w:t xml:space="preserve"> проти 396,9±66,4 пмоль/мл в групі пацієнтів з нормальною вагою тіла (р&lt;0,05), натомість в усіх випадках вміст </w:t>
      </w:r>
      <w:r w:rsidRPr="00F90B6B">
        <w:rPr>
          <w:rFonts w:ascii="Times New Roman" w:hAnsi="Times New Roman"/>
          <w:sz w:val="28"/>
          <w:szCs w:val="28"/>
          <w:lang w:val="en-US"/>
        </w:rPr>
        <w:t>NTproBNP</w:t>
      </w:r>
      <w:r w:rsidRPr="00F90B6B">
        <w:rPr>
          <w:rFonts w:ascii="Times New Roman" w:hAnsi="Times New Roman"/>
          <w:sz w:val="28"/>
          <w:szCs w:val="28"/>
        </w:rPr>
        <w:t xml:space="preserve"> був вірогідно вищим порівняно з групою контролю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лінійному регресійному аналізі встановлено слабкий негативний зв’язок між індексом маси тіла та рівнем натрію у хворих з ХСН (</w:t>
      </w:r>
      <w:r w:rsidRPr="00F90B6B">
        <w:rPr>
          <w:rFonts w:ascii="Times New Roman" w:hAnsi="Times New Roman"/>
          <w:sz w:val="28"/>
          <w:szCs w:val="28"/>
          <w:lang w:val="en-US"/>
        </w:rPr>
        <w:t>r</w:t>
      </w:r>
      <w:r w:rsidRPr="00F90B6B">
        <w:rPr>
          <w:rFonts w:ascii="Times New Roman" w:hAnsi="Times New Roman"/>
          <w:sz w:val="28"/>
          <w:szCs w:val="28"/>
          <w:lang w:val="ru-RU"/>
        </w:rPr>
        <w:t>=-0,16</w:t>
      </w:r>
      <w:r w:rsidRPr="00F90B6B">
        <w:rPr>
          <w:rFonts w:ascii="Times New Roman" w:hAnsi="Times New Roman"/>
          <w:sz w:val="28"/>
          <w:szCs w:val="28"/>
        </w:rPr>
        <w:t>).</w:t>
      </w:r>
      <w:r w:rsidRPr="00F90B6B">
        <w:rPr>
          <w:rFonts w:ascii="Times New Roman" w:hAnsi="Times New Roman"/>
          <w:sz w:val="28"/>
          <w:szCs w:val="28"/>
          <w:lang w:val="ru-RU"/>
        </w:rPr>
        <w:t xml:space="preserve"> </w:t>
      </w:r>
      <w:r w:rsidRPr="00F90B6B">
        <w:rPr>
          <w:rFonts w:ascii="Times New Roman" w:hAnsi="Times New Roman"/>
          <w:sz w:val="28"/>
          <w:szCs w:val="28"/>
        </w:rPr>
        <w:t xml:space="preserve">Було проведено оцінку рівня </w:t>
      </w:r>
      <w:r w:rsidRPr="00F90B6B">
        <w:rPr>
          <w:rFonts w:ascii="Times New Roman" w:hAnsi="Times New Roman"/>
          <w:sz w:val="28"/>
          <w:szCs w:val="28"/>
          <w:lang w:val="en-US"/>
        </w:rPr>
        <w:t>NTproBNP</w:t>
      </w:r>
      <w:r w:rsidRPr="00F90B6B">
        <w:rPr>
          <w:rFonts w:ascii="Times New Roman" w:hAnsi="Times New Roman"/>
          <w:sz w:val="28"/>
          <w:szCs w:val="28"/>
        </w:rPr>
        <w:t xml:space="preserve"> у пацієнтів з ожирінням, залежно від рівня натрію плазми крові. Встановлено, що хворі ХСН зі ЗФВЛШ та супутнім ожирінням мають інший метаболічний профіль натрійуретичного пептиду за наявності гіпонатріємії – 351,8±64,2 пмоль/мл проти 294,0±59,2 пмоль/мл при нормонатріємії та 101,2±32,8 пмоль/мл при гіпернатріємії.</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За наявності ожиріння відмічено вірогідно більшу ЧСС в порівнянні з групами, що мали нормальну та надлишкову масу тіла (р</w:t>
      </w:r>
      <w:r w:rsidRPr="00F90B6B">
        <w:rPr>
          <w:rFonts w:ascii="Times New Roman" w:hAnsi="Times New Roman"/>
          <w:sz w:val="28"/>
          <w:szCs w:val="28"/>
          <w:lang w:val="ru-RU"/>
        </w:rPr>
        <w:t>&lt;0,05</w:t>
      </w:r>
      <w:r w:rsidRPr="00F90B6B">
        <w:rPr>
          <w:rFonts w:ascii="Times New Roman" w:hAnsi="Times New Roman"/>
          <w:sz w:val="28"/>
          <w:szCs w:val="28"/>
        </w:rPr>
        <w:t>). Відповідні зміни встановлено також для рівня середнього систолічного та діастолічного артеріального тиску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При оцінці параметрів кардіогемодинаміки у пацієнтів з надмірною вагою та ожирінням скоротлива здатність міокарду за аналізу інтегрального показника скоротловості – фракції викиду була вірогідно нижчою </w:t>
      </w:r>
      <w:r w:rsidRPr="00F90B6B">
        <w:rPr>
          <w:rFonts w:ascii="Times New Roman" w:hAnsi="Times New Roman"/>
          <w:sz w:val="28"/>
          <w:szCs w:val="28"/>
          <w:lang w:val="ru-RU"/>
        </w:rPr>
        <w:t>(р&lt;0,05)</w:t>
      </w:r>
      <w:r w:rsidRPr="00F90B6B">
        <w:rPr>
          <w:rFonts w:ascii="Times New Roman" w:hAnsi="Times New Roman"/>
          <w:sz w:val="28"/>
          <w:szCs w:val="28"/>
        </w:rPr>
        <w:t>, проте відмічалось зростання ударного об’єму, ударного індексу, хвилинного об’єму крові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роботі встановлено вірогідне зниження співвідношення Е/А при ожирінні (на 46,0%, р</w:t>
      </w:r>
      <w:r w:rsidRPr="00F90B6B">
        <w:rPr>
          <w:rFonts w:ascii="Times New Roman" w:hAnsi="Times New Roman"/>
          <w:sz w:val="28"/>
          <w:szCs w:val="28"/>
          <w:lang w:val="ru-RU"/>
        </w:rPr>
        <w:t>&lt;0,05</w:t>
      </w:r>
      <w:r w:rsidRPr="00F90B6B">
        <w:rPr>
          <w:rFonts w:ascii="Times New Roman" w:hAnsi="Times New Roman"/>
          <w:sz w:val="28"/>
          <w:szCs w:val="28"/>
        </w:rPr>
        <w:t>) та відповідну тенденцію у хворих з надлишковою вагою (на 7,8%, р</w:t>
      </w:r>
      <w:r w:rsidRPr="00F90B6B">
        <w:rPr>
          <w:rFonts w:ascii="Times New Roman" w:hAnsi="Times New Roman"/>
          <w:sz w:val="28"/>
          <w:szCs w:val="28"/>
          <w:lang w:val="ru-RU"/>
        </w:rPr>
        <w:t>&gt;0,05</w:t>
      </w:r>
      <w:r w:rsidRPr="00F90B6B">
        <w:rPr>
          <w:rFonts w:ascii="Times New Roman" w:hAnsi="Times New Roman"/>
          <w:sz w:val="28"/>
          <w:szCs w:val="28"/>
        </w:rPr>
        <w:t>) проти пацієнтів з ХСН, що мали нормальну вагу.</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усіх групах пацієнтів з ХСН при ожирінні час уповільнення (</w:t>
      </w:r>
      <w:r w:rsidRPr="00F90B6B">
        <w:rPr>
          <w:rFonts w:ascii="Times New Roman" w:hAnsi="Times New Roman"/>
          <w:sz w:val="28"/>
          <w:szCs w:val="28"/>
          <w:lang w:eastAsia="uk-UA"/>
        </w:rPr>
        <w:t>DT)</w:t>
      </w:r>
      <w:r w:rsidRPr="00F90B6B">
        <w:rPr>
          <w:rFonts w:ascii="Times New Roman" w:hAnsi="Times New Roman"/>
          <w:sz w:val="24"/>
          <w:szCs w:val="24"/>
          <w:lang w:eastAsia="uk-UA"/>
        </w:rPr>
        <w:t xml:space="preserve"> </w:t>
      </w:r>
      <w:r w:rsidRPr="00F90B6B">
        <w:rPr>
          <w:rFonts w:ascii="Times New Roman" w:hAnsi="Times New Roman"/>
          <w:sz w:val="28"/>
          <w:szCs w:val="28"/>
        </w:rPr>
        <w:t>ранньодіастолічного наповнення був вище показників контрольної групи (р&lt;0,05), а перевагу (85,1%) становив І тип діастолічної дисфункції. Особливостей формування діастолічної дисфункції залежно від ІМТ не встановлено.</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Проте, встановлено наявність змін, що свідчать про структурну перебудову міокарда – збільшення розмірів лівого передсердя, правого передсердя та правого шлуночка при надмірній вазі тіла та ожирінні у пацієнтів з ХСН (р&gt;0,05).</w:t>
      </w:r>
    </w:p>
    <w:p w:rsidR="00EF4063" w:rsidRPr="00F90B6B" w:rsidRDefault="00EF4063" w:rsidP="00F0048B">
      <w:pPr>
        <w:pStyle w:val="a3"/>
        <w:spacing w:before="0" w:beforeAutospacing="0" w:after="0" w:afterAutospacing="0" w:line="360" w:lineRule="auto"/>
        <w:ind w:firstLine="709"/>
        <w:jc w:val="both"/>
        <w:rPr>
          <w:sz w:val="28"/>
          <w:szCs w:val="28"/>
        </w:rPr>
      </w:pPr>
    </w:p>
    <w:p w:rsidR="00EF4063" w:rsidRPr="00F90B6B" w:rsidRDefault="008F54E3" w:rsidP="00F0048B">
      <w:pPr>
        <w:spacing w:after="0" w:line="360" w:lineRule="auto"/>
        <w:ind w:firstLine="709"/>
        <w:jc w:val="both"/>
        <w:rPr>
          <w:rFonts w:ascii="Times New Roman" w:hAnsi="Times New Roman"/>
          <w:i/>
          <w:sz w:val="28"/>
          <w:szCs w:val="28"/>
        </w:rPr>
      </w:pPr>
      <w:r w:rsidRPr="00F90B6B">
        <w:rPr>
          <w:rFonts w:ascii="Times New Roman" w:hAnsi="Times New Roman"/>
          <w:i/>
          <w:sz w:val="28"/>
          <w:szCs w:val="28"/>
        </w:rPr>
        <w:br w:type="page"/>
      </w:r>
      <w:r w:rsidR="00EF4063" w:rsidRPr="00F90B6B">
        <w:rPr>
          <w:rFonts w:ascii="Times New Roman" w:hAnsi="Times New Roman"/>
          <w:i/>
          <w:sz w:val="28"/>
          <w:szCs w:val="28"/>
        </w:rPr>
        <w:lastRenderedPageBreak/>
        <w:t>Матеріали, що представлені в розділі 3.2, включені в наступні публікації дисертанта:</w:t>
      </w:r>
    </w:p>
    <w:p w:rsidR="00EF4063" w:rsidRPr="00F90B6B" w:rsidRDefault="00EF4063" w:rsidP="00F0048B">
      <w:pPr>
        <w:pStyle w:val="1"/>
        <w:spacing w:after="0" w:line="360" w:lineRule="auto"/>
        <w:ind w:left="0"/>
        <w:jc w:val="both"/>
        <w:rPr>
          <w:rFonts w:ascii="Times New Roman" w:hAnsi="Times New Roman"/>
          <w:bCs/>
          <w:sz w:val="28"/>
          <w:szCs w:val="28"/>
          <w:shd w:val="clear" w:color="auto" w:fill="FFFFFF"/>
        </w:rPr>
      </w:pPr>
      <w:r w:rsidRPr="00F90B6B">
        <w:rPr>
          <w:rFonts w:ascii="Times New Roman" w:hAnsi="Times New Roman"/>
          <w:sz w:val="28"/>
          <w:szCs w:val="28"/>
        </w:rPr>
        <w:t xml:space="preserve">1.Лазиди Е.Л. Влияние ожирения на кардиогемодинамические и эхокардиографические показатели у пациентов с хронической сердечной недостаточностью и сохраненной фракцией выброса левого желудочка / Е.Л. Лазиди // </w:t>
      </w:r>
      <w:r w:rsidRPr="00F90B6B">
        <w:rPr>
          <w:rFonts w:ascii="Times New Roman" w:hAnsi="Times New Roman"/>
          <w:bCs/>
          <w:sz w:val="28"/>
          <w:szCs w:val="28"/>
          <w:shd w:val="clear" w:color="auto" w:fill="FFFFFF"/>
          <w:lang w:val="en-US"/>
        </w:rPr>
        <w:t>International</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Scientific</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and</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Practical</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Conference</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WORLD</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SCIENCE</w:t>
      </w:r>
      <w:r w:rsidRPr="00F90B6B">
        <w:rPr>
          <w:rFonts w:ascii="Times New Roman" w:hAnsi="Times New Roman"/>
          <w:bCs/>
          <w:sz w:val="28"/>
          <w:szCs w:val="28"/>
          <w:shd w:val="clear" w:color="auto" w:fill="FFFFFF"/>
        </w:rPr>
        <w:t>» (</w:t>
      </w:r>
      <w:r w:rsidRPr="00F90B6B">
        <w:rPr>
          <w:rFonts w:ascii="Times New Roman" w:hAnsi="Times New Roman"/>
          <w:bCs/>
          <w:sz w:val="28"/>
          <w:szCs w:val="28"/>
          <w:shd w:val="clear" w:color="auto" w:fill="FFFFFF"/>
          <w:lang w:val="en-US"/>
        </w:rPr>
        <w:t>Ajman</w:t>
      </w:r>
      <w:r w:rsidRPr="00F90B6B">
        <w:rPr>
          <w:rFonts w:ascii="Times New Roman" w:hAnsi="Times New Roman"/>
          <w:bCs/>
          <w:sz w:val="28"/>
          <w:szCs w:val="28"/>
          <w:shd w:val="clear" w:color="auto" w:fill="FFFFFF"/>
        </w:rPr>
        <w:t>,</w:t>
      </w:r>
      <w:r w:rsidRPr="00F90B6B">
        <w:rPr>
          <w:rFonts w:ascii="Times New Roman" w:hAnsi="Times New Roman"/>
          <w:bCs/>
          <w:sz w:val="28"/>
          <w:szCs w:val="28"/>
          <w:shd w:val="clear" w:color="auto" w:fill="FFFFFF"/>
          <w:lang w:val="en-US"/>
        </w:rPr>
        <w:t>UAE</w:t>
      </w:r>
      <w:r w:rsidRPr="00F90B6B">
        <w:rPr>
          <w:rFonts w:ascii="Times New Roman" w:hAnsi="Times New Roman"/>
          <w:bCs/>
          <w:sz w:val="28"/>
          <w:szCs w:val="28"/>
          <w:shd w:val="clear" w:color="auto" w:fill="FFFFFF"/>
        </w:rPr>
        <w:t xml:space="preserve">). – 2017. - №8(24). - </w:t>
      </w:r>
      <w:r w:rsidRPr="00F90B6B">
        <w:rPr>
          <w:rFonts w:ascii="Times New Roman" w:hAnsi="Times New Roman"/>
          <w:bCs/>
          <w:sz w:val="28"/>
          <w:szCs w:val="28"/>
          <w:shd w:val="clear" w:color="auto" w:fill="FFFFFF"/>
          <w:lang w:val="en-US"/>
        </w:rPr>
        <w:t>Vol</w:t>
      </w:r>
      <w:r w:rsidRPr="00F90B6B">
        <w:rPr>
          <w:rFonts w:ascii="Times New Roman" w:hAnsi="Times New Roman"/>
          <w:bCs/>
          <w:sz w:val="28"/>
          <w:szCs w:val="28"/>
          <w:shd w:val="clear" w:color="auto" w:fill="FFFFFF"/>
        </w:rPr>
        <w:t>.3. – Р. 60-65.</w:t>
      </w:r>
    </w:p>
    <w:p w:rsidR="00EF4063" w:rsidRPr="00F90B6B" w:rsidRDefault="00EF4063" w:rsidP="00F0048B">
      <w:pPr>
        <w:pStyle w:val="1"/>
        <w:spacing w:after="0" w:line="360" w:lineRule="auto"/>
        <w:ind w:left="0"/>
        <w:jc w:val="both"/>
        <w:rPr>
          <w:rFonts w:ascii="Times New Roman" w:hAnsi="Times New Roman"/>
          <w:bCs/>
          <w:i/>
          <w:sz w:val="28"/>
          <w:szCs w:val="28"/>
        </w:rPr>
      </w:pPr>
      <w:r w:rsidRPr="00F90B6B">
        <w:rPr>
          <w:rFonts w:ascii="Times New Roman" w:hAnsi="Times New Roman"/>
          <w:bCs/>
          <w:iCs/>
          <w:sz w:val="28"/>
          <w:szCs w:val="28"/>
        </w:rPr>
        <w:t xml:space="preserve">2.Лазіді К.Л., Рудик Ю.С. Прогностична роль ожиріння при хронічній серцевій недостатності – якість життя та функціональний стан нирок / К.Л Лазіді., Ю.С. Рудик // </w:t>
      </w:r>
      <w:r w:rsidRPr="00F90B6B">
        <w:rPr>
          <w:rFonts w:ascii="Times New Roman" w:hAnsi="Times New Roman"/>
          <w:bCs/>
          <w:iCs/>
          <w:sz w:val="28"/>
          <w:szCs w:val="28"/>
          <w:lang w:val="en-US"/>
        </w:rPr>
        <w:t>S</w:t>
      </w:r>
      <w:r w:rsidRPr="00F90B6B">
        <w:rPr>
          <w:rFonts w:ascii="Times New Roman" w:hAnsi="Times New Roman"/>
          <w:bCs/>
          <w:iCs/>
          <w:sz w:val="28"/>
          <w:szCs w:val="28"/>
        </w:rPr>
        <w:t>С</w:t>
      </w:r>
      <w:r w:rsidRPr="00F90B6B">
        <w:rPr>
          <w:rFonts w:ascii="Times New Roman" w:hAnsi="Times New Roman"/>
          <w:bCs/>
          <w:iCs/>
          <w:sz w:val="28"/>
          <w:szCs w:val="28"/>
          <w:lang w:val="en-US"/>
        </w:rPr>
        <w:t>IENCE</w:t>
      </w:r>
      <w:r w:rsidRPr="00F90B6B">
        <w:rPr>
          <w:rFonts w:ascii="Times New Roman" w:hAnsi="Times New Roman"/>
          <w:bCs/>
          <w:iCs/>
          <w:sz w:val="28"/>
          <w:szCs w:val="28"/>
        </w:rPr>
        <w:t xml:space="preserve"> </w:t>
      </w:r>
      <w:r w:rsidRPr="00F90B6B">
        <w:rPr>
          <w:rFonts w:ascii="Times New Roman" w:hAnsi="Times New Roman"/>
          <w:bCs/>
          <w:iCs/>
          <w:sz w:val="28"/>
          <w:szCs w:val="28"/>
          <w:lang w:val="en-US"/>
        </w:rPr>
        <w:t>REVIEW</w:t>
      </w:r>
      <w:r w:rsidRPr="00F90B6B">
        <w:rPr>
          <w:rFonts w:ascii="Times New Roman" w:hAnsi="Times New Roman"/>
          <w:bCs/>
          <w:iCs/>
          <w:sz w:val="28"/>
          <w:szCs w:val="28"/>
        </w:rPr>
        <w:t xml:space="preserve">. – 2018. - </w:t>
      </w:r>
      <w:r w:rsidRPr="00F90B6B">
        <w:rPr>
          <w:rFonts w:ascii="Times New Roman" w:hAnsi="Times New Roman"/>
          <w:bCs/>
          <w:sz w:val="28"/>
          <w:szCs w:val="28"/>
          <w:lang w:val="en-US"/>
        </w:rPr>
        <w:t>Warsaw</w:t>
      </w:r>
      <w:r w:rsidRPr="00F90B6B">
        <w:rPr>
          <w:rFonts w:ascii="Times New Roman" w:hAnsi="Times New Roman"/>
          <w:bCs/>
          <w:iCs/>
          <w:sz w:val="28"/>
          <w:szCs w:val="28"/>
        </w:rPr>
        <w:t xml:space="preserve"> . - №7(14)</w:t>
      </w:r>
      <w:r w:rsidRPr="00F90B6B">
        <w:rPr>
          <w:rFonts w:ascii="Times New Roman" w:hAnsi="Times New Roman"/>
          <w:bCs/>
          <w:sz w:val="28"/>
          <w:szCs w:val="28"/>
        </w:rPr>
        <w:t xml:space="preserve">. – С.3-10. </w:t>
      </w:r>
      <w:r w:rsidRPr="00F90B6B">
        <w:rPr>
          <w:rFonts w:ascii="Times New Roman" w:hAnsi="Times New Roman"/>
          <w:bCs/>
          <w:i/>
          <w:sz w:val="28"/>
          <w:szCs w:val="28"/>
        </w:rPr>
        <w:t>(Здобувач сформувала групи хворих, провела анкетування та обстеження хворих, підготувала статтю до друку)</w:t>
      </w:r>
    </w:p>
    <w:p w:rsidR="00EF4063" w:rsidRPr="00F90B6B" w:rsidRDefault="00EF4063" w:rsidP="00F0048B">
      <w:pPr>
        <w:pStyle w:val="1"/>
        <w:spacing w:after="0" w:line="360" w:lineRule="auto"/>
        <w:ind w:left="0"/>
        <w:jc w:val="both"/>
        <w:rPr>
          <w:rFonts w:ascii="Times New Roman" w:hAnsi="Times New Roman"/>
          <w:i/>
          <w:sz w:val="28"/>
          <w:szCs w:val="28"/>
        </w:rPr>
      </w:pPr>
      <w:r w:rsidRPr="00F90B6B">
        <w:rPr>
          <w:rFonts w:ascii="Times New Roman" w:hAnsi="Times New Roman"/>
          <w:bCs/>
          <w:sz w:val="28"/>
          <w:szCs w:val="28"/>
        </w:rPr>
        <w:t xml:space="preserve">3.Лазиди Е.Л., Рудык Ю.С. Прогностичекое значение ожирения и гипонатриемии в прогрессировании хронической сердечной недостаточности: сердечно-сосудистая смертность и кардиоренальный синдром / </w:t>
      </w:r>
      <w:r w:rsidRPr="00F90B6B">
        <w:rPr>
          <w:rFonts w:ascii="Times New Roman" w:hAnsi="Times New Roman"/>
          <w:sz w:val="28"/>
          <w:szCs w:val="28"/>
        </w:rPr>
        <w:t>Е.Л. Лазиди, Ю.С.Рудык //</w:t>
      </w:r>
      <w:r w:rsidRPr="00F90B6B">
        <w:rPr>
          <w:rFonts w:ascii="Times New Roman" w:hAnsi="Times New Roman"/>
          <w:bCs/>
          <w:sz w:val="28"/>
          <w:szCs w:val="28"/>
        </w:rPr>
        <w:t xml:space="preserve"> </w:t>
      </w:r>
      <w:r w:rsidRPr="00F90B6B">
        <w:rPr>
          <w:rFonts w:ascii="Times New Roman" w:hAnsi="Times New Roman"/>
          <w:bCs/>
          <w:sz w:val="28"/>
          <w:szCs w:val="28"/>
          <w:shd w:val="clear" w:color="auto" w:fill="FFFFFF"/>
          <w:lang w:val="en-US"/>
        </w:rPr>
        <w:t>Georgian</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medical</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news</w:t>
      </w:r>
      <w:r w:rsidRPr="00F90B6B">
        <w:rPr>
          <w:rFonts w:ascii="Times New Roman" w:hAnsi="Times New Roman"/>
          <w:bCs/>
          <w:sz w:val="28"/>
          <w:szCs w:val="28"/>
          <w:shd w:val="clear" w:color="auto" w:fill="FFFFFF"/>
        </w:rPr>
        <w:t xml:space="preserve">. – 2018. – Грузия, Тбилиси. - №9(282) . – Р.65-73 </w:t>
      </w:r>
      <w:r w:rsidRPr="00F90B6B">
        <w:rPr>
          <w:rFonts w:ascii="Times New Roman" w:hAnsi="Times New Roman"/>
          <w:i/>
          <w:sz w:val="28"/>
          <w:szCs w:val="28"/>
        </w:rPr>
        <w:t>(Здобувачем проведено обстеження хворих, оцінку та інтерпретацію отриманих результатів, написання статті та підготовку статті до друку)</w:t>
      </w:r>
      <w:r w:rsidRPr="00F90B6B">
        <w:rPr>
          <w:rFonts w:ascii="Times New Roman" w:hAnsi="Times New Roman"/>
          <w:sz w:val="28"/>
          <w:szCs w:val="28"/>
        </w:rPr>
        <w:t xml:space="preserve"> (</w:t>
      </w:r>
      <w:r w:rsidRPr="00F90B6B">
        <w:rPr>
          <w:rFonts w:ascii="Times New Roman" w:hAnsi="Times New Roman"/>
          <w:sz w:val="28"/>
          <w:szCs w:val="28"/>
          <w:lang w:val="en-US"/>
        </w:rPr>
        <w:t>SCOPUS</w:t>
      </w:r>
      <w:r w:rsidRPr="00F90B6B">
        <w:rPr>
          <w:rFonts w:ascii="Times New Roman" w:hAnsi="Times New Roman"/>
          <w:sz w:val="28"/>
          <w:szCs w:val="28"/>
        </w:rPr>
        <w:t>).</w:t>
      </w:r>
    </w:p>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sz w:val="28"/>
          <w:szCs w:val="28"/>
        </w:rPr>
        <w:t xml:space="preserve">4. Лазіді К.Л. «Спосіб прогнозування прогресування хронічної серцевої недостатності у хворих зі збереженою фракцією викиду лівого шлуночка, гіпонатріємією та супутнім ожирінням» / К.Л.Лазіді, Ю.С. Рудик // Патент 129891, UA, МПК: G01N 33/48.;  Державна установа "Національний інститут терапії імені Л.Т. МАЛОЇ НАМН УКРАЇНИ". – опубл.12.11.2018, Бюл. № 21 </w:t>
      </w:r>
      <w:r w:rsidRPr="00F90B6B">
        <w:rPr>
          <w:rFonts w:ascii="Times New Roman" w:hAnsi="Times New Roman"/>
          <w:i/>
          <w:sz w:val="28"/>
          <w:szCs w:val="28"/>
        </w:rPr>
        <w:t>(Здобувачем проведено клінічне обстеження пацієнтів, статистичний аналіз і узагальнення результатів, розроблено та оформлено заявку до розгляду БРіВ).</w:t>
      </w:r>
    </w:p>
    <w:p w:rsidR="00EF4063" w:rsidRPr="00F90B6B" w:rsidRDefault="00EF4063" w:rsidP="00F0048B">
      <w:pPr>
        <w:pStyle w:val="1"/>
        <w:spacing w:after="0" w:line="360" w:lineRule="auto"/>
        <w:ind w:left="0"/>
        <w:jc w:val="both"/>
        <w:rPr>
          <w:rFonts w:ascii="Times New Roman" w:hAnsi="Times New Roman"/>
          <w:sz w:val="28"/>
          <w:szCs w:val="28"/>
        </w:rPr>
      </w:pPr>
      <w:r w:rsidRPr="00F90B6B">
        <w:rPr>
          <w:rFonts w:ascii="Times New Roman" w:hAnsi="Times New Roman"/>
          <w:sz w:val="28"/>
          <w:szCs w:val="28"/>
        </w:rPr>
        <w:t>5.Лазіді К.Л., Рудик Ю.С</w:t>
      </w:r>
      <w:r w:rsidRPr="00F90B6B">
        <w:rPr>
          <w:rFonts w:ascii="Times New Roman" w:hAnsi="Times New Roman"/>
          <w:sz w:val="28"/>
          <w:szCs w:val="28"/>
          <w:shd w:val="clear" w:color="auto" w:fill="FFFFFF"/>
        </w:rPr>
        <w:t xml:space="preserve"> Предиктори розвитку ускладнень хронічної серцевої недостатності зі збереженою фракцією викиду у пацієнтів із супутнім ожирінням / </w:t>
      </w:r>
      <w:r w:rsidRPr="00F90B6B">
        <w:rPr>
          <w:rFonts w:ascii="Times New Roman" w:hAnsi="Times New Roman"/>
          <w:sz w:val="28"/>
          <w:szCs w:val="28"/>
        </w:rPr>
        <w:t>К.Л. Лазіді</w:t>
      </w:r>
      <w:r w:rsidRPr="00F90B6B">
        <w:rPr>
          <w:rFonts w:ascii="Times New Roman" w:hAnsi="Times New Roman"/>
          <w:color w:val="339966"/>
          <w:sz w:val="28"/>
          <w:szCs w:val="28"/>
        </w:rPr>
        <w:t xml:space="preserve">, </w:t>
      </w:r>
      <w:r w:rsidRPr="00F90B6B">
        <w:rPr>
          <w:rFonts w:ascii="Times New Roman" w:hAnsi="Times New Roman"/>
          <w:sz w:val="28"/>
          <w:szCs w:val="28"/>
        </w:rPr>
        <w:t>Ю.С. Рудик // Матеріали</w:t>
      </w:r>
      <w:r w:rsidRPr="00F90B6B">
        <w:rPr>
          <w:rFonts w:ascii="Times New Roman" w:hAnsi="Times New Roman"/>
          <w:color w:val="339966"/>
          <w:sz w:val="28"/>
          <w:szCs w:val="28"/>
        </w:rPr>
        <w:t xml:space="preserve"> </w:t>
      </w:r>
      <w:r w:rsidRPr="00F90B6B">
        <w:rPr>
          <w:rFonts w:ascii="Times New Roman" w:hAnsi="Times New Roman"/>
          <w:sz w:val="28"/>
          <w:szCs w:val="28"/>
        </w:rPr>
        <w:t xml:space="preserve">науково-практичної конференції за участю міжнародних спеціалістів “Стратегії профілактики неінфекційних хвороб та шляхи </w:t>
      </w:r>
      <w:r w:rsidRPr="00F90B6B">
        <w:rPr>
          <w:rFonts w:ascii="Times New Roman" w:hAnsi="Times New Roman"/>
          <w:sz w:val="28"/>
          <w:szCs w:val="28"/>
        </w:rPr>
        <w:lastRenderedPageBreak/>
        <w:t>їх реалізації: від постулатів минулого в майбутнє”. 4 листопада 2016 р. Харків. С. 182.</w:t>
      </w:r>
    </w:p>
    <w:p w:rsidR="00EF4063" w:rsidRPr="00F90B6B" w:rsidRDefault="00EF4063" w:rsidP="00F0048B">
      <w:pPr>
        <w:pStyle w:val="1"/>
        <w:spacing w:after="0" w:line="360" w:lineRule="auto"/>
        <w:ind w:left="0"/>
        <w:jc w:val="both"/>
        <w:rPr>
          <w:rFonts w:ascii="Times New Roman" w:hAnsi="Times New Roman"/>
          <w:bCs/>
          <w:sz w:val="28"/>
          <w:szCs w:val="28"/>
        </w:rPr>
      </w:pPr>
      <w:r w:rsidRPr="00F90B6B">
        <w:rPr>
          <w:rFonts w:ascii="Times New Roman" w:hAnsi="Times New Roman"/>
          <w:sz w:val="28"/>
          <w:szCs w:val="28"/>
        </w:rPr>
        <w:t xml:space="preserve">6.Лазиди Е.Л. </w:t>
      </w:r>
      <w:r w:rsidRPr="00F90B6B">
        <w:rPr>
          <w:rFonts w:ascii="Times New Roman" w:hAnsi="Times New Roman"/>
          <w:sz w:val="28"/>
          <w:szCs w:val="28"/>
          <w:shd w:val="clear" w:color="auto" w:fill="FFFFFF"/>
        </w:rPr>
        <w:t xml:space="preserve">Связь ожирения и избыточной массы тела с показателями эхокардиографии у пациентов с хронической сердечной недостаточностью / </w:t>
      </w:r>
      <w:r w:rsidRPr="00F90B6B">
        <w:rPr>
          <w:rFonts w:ascii="Times New Roman" w:hAnsi="Times New Roman"/>
          <w:sz w:val="28"/>
          <w:szCs w:val="28"/>
        </w:rPr>
        <w:t>Е.Л. Лазиди//</w:t>
      </w:r>
      <w:r w:rsidRPr="00F90B6B">
        <w:rPr>
          <w:rFonts w:ascii="Times New Roman" w:hAnsi="Times New Roman"/>
          <w:bCs/>
          <w:sz w:val="28"/>
          <w:szCs w:val="28"/>
        </w:rPr>
        <w:t>Матеріали науково-практичної конференції з участю міжнародних спеціалістів, присвяченої Дню науки «Медична наука на перетині спеціальностей: сьогодення і майбутнє».19 травня 2017р. Харків. С. 62.</w:t>
      </w:r>
    </w:p>
    <w:p w:rsidR="00EF4063" w:rsidRPr="00F90B6B" w:rsidRDefault="00EF4063" w:rsidP="00F0048B">
      <w:pPr>
        <w:pStyle w:val="1"/>
        <w:spacing w:after="0" w:line="360" w:lineRule="auto"/>
        <w:ind w:left="0"/>
        <w:jc w:val="both"/>
        <w:rPr>
          <w:rFonts w:ascii="Times New Roman" w:hAnsi="Times New Roman"/>
          <w:sz w:val="28"/>
          <w:szCs w:val="28"/>
        </w:rPr>
      </w:pPr>
      <w:r w:rsidRPr="00F90B6B">
        <w:rPr>
          <w:rFonts w:ascii="Times New Roman" w:hAnsi="Times New Roman"/>
          <w:bCs/>
          <w:sz w:val="28"/>
          <w:szCs w:val="28"/>
          <w:shd w:val="clear" w:color="auto" w:fill="FFFFFF"/>
        </w:rPr>
        <w:t>7.Лазиди Е. Л</w:t>
      </w:r>
      <w:r w:rsidRPr="00F90B6B">
        <w:rPr>
          <w:rFonts w:ascii="Times New Roman" w:hAnsi="Times New Roman"/>
          <w:b/>
          <w:bCs/>
          <w:sz w:val="28"/>
          <w:szCs w:val="28"/>
        </w:rPr>
        <w:t xml:space="preserve"> </w:t>
      </w:r>
      <w:r w:rsidRPr="00F90B6B">
        <w:rPr>
          <w:rFonts w:ascii="Times New Roman" w:hAnsi="Times New Roman"/>
          <w:bCs/>
          <w:sz w:val="28"/>
          <w:szCs w:val="28"/>
        </w:rPr>
        <w:t>Связь ожирения и избыточной массы тела с показателями кардиогемодинамики у пациентов с хронической сердечной недостаточностью.</w:t>
      </w:r>
      <w:r w:rsidRPr="00F90B6B">
        <w:rPr>
          <w:rFonts w:ascii="Times New Roman" w:hAnsi="Times New Roman"/>
          <w:b/>
          <w:bCs/>
          <w:sz w:val="28"/>
          <w:szCs w:val="28"/>
        </w:rPr>
        <w:t xml:space="preserve"> / </w:t>
      </w:r>
      <w:r w:rsidRPr="00F90B6B">
        <w:rPr>
          <w:rFonts w:ascii="Times New Roman" w:hAnsi="Times New Roman"/>
          <w:bCs/>
          <w:sz w:val="28"/>
          <w:szCs w:val="28"/>
        </w:rPr>
        <w:t xml:space="preserve">Е. Л. Лазиди </w:t>
      </w:r>
      <w:r w:rsidRPr="00F90B6B">
        <w:rPr>
          <w:rFonts w:ascii="Times New Roman" w:hAnsi="Times New Roman"/>
          <w:b/>
          <w:bCs/>
          <w:sz w:val="28"/>
          <w:szCs w:val="28"/>
        </w:rPr>
        <w:t xml:space="preserve">// </w:t>
      </w:r>
      <w:r w:rsidRPr="00F90B6B">
        <w:rPr>
          <w:rFonts w:ascii="Times New Roman" w:hAnsi="Times New Roman"/>
          <w:bCs/>
          <w:sz w:val="28"/>
          <w:szCs w:val="28"/>
        </w:rPr>
        <w:t>Матеріали</w:t>
      </w:r>
      <w:r w:rsidRPr="00F90B6B">
        <w:rPr>
          <w:rFonts w:ascii="Times New Roman" w:hAnsi="Times New Roman"/>
          <w:bCs/>
          <w:sz w:val="28"/>
          <w:szCs w:val="28"/>
          <w:shd w:val="clear" w:color="auto" w:fill="FFFFFF"/>
        </w:rPr>
        <w:t xml:space="preserve"> </w:t>
      </w:r>
      <w:r w:rsidRPr="00F90B6B">
        <w:rPr>
          <w:rFonts w:ascii="Times New Roman" w:hAnsi="Times New Roman"/>
          <w:sz w:val="28"/>
          <w:szCs w:val="28"/>
          <w:lang w:val="uz-Cyrl-UZ"/>
        </w:rPr>
        <w:t>науково-практичн</w:t>
      </w:r>
      <w:r w:rsidRPr="00F90B6B">
        <w:rPr>
          <w:rFonts w:ascii="Times New Roman" w:hAnsi="Times New Roman"/>
          <w:sz w:val="28"/>
          <w:szCs w:val="28"/>
        </w:rPr>
        <w:t xml:space="preserve">ої </w:t>
      </w:r>
      <w:r w:rsidRPr="00F90B6B">
        <w:rPr>
          <w:rFonts w:ascii="Times New Roman" w:hAnsi="Times New Roman"/>
          <w:sz w:val="28"/>
          <w:szCs w:val="28"/>
          <w:lang w:val="uz-Cyrl-UZ"/>
        </w:rPr>
        <w:t>конференці</w:t>
      </w:r>
      <w:r w:rsidRPr="00F90B6B">
        <w:rPr>
          <w:rFonts w:ascii="Times New Roman" w:hAnsi="Times New Roman"/>
          <w:sz w:val="28"/>
          <w:szCs w:val="28"/>
        </w:rPr>
        <w:t>ї</w:t>
      </w:r>
      <w:r w:rsidRPr="00F90B6B">
        <w:rPr>
          <w:rFonts w:ascii="Times New Roman" w:hAnsi="Times New Roman"/>
          <w:sz w:val="28"/>
          <w:szCs w:val="28"/>
          <w:lang w:val="uz-Cyrl-UZ"/>
        </w:rPr>
        <w:t xml:space="preserve"> за участю міжнародних спеціалістів “Щорічні терапевтичні читання. Профілактика неінфекційних захворювань –</w:t>
      </w:r>
      <w:r w:rsidRPr="00F90B6B">
        <w:rPr>
          <w:rFonts w:ascii="Times New Roman" w:hAnsi="Times New Roman"/>
          <w:sz w:val="28"/>
          <w:szCs w:val="28"/>
        </w:rPr>
        <w:t xml:space="preserve"> </w:t>
      </w:r>
      <w:r w:rsidRPr="00F90B6B">
        <w:rPr>
          <w:rFonts w:ascii="Times New Roman" w:hAnsi="Times New Roman"/>
          <w:sz w:val="28"/>
          <w:szCs w:val="28"/>
          <w:lang w:val="uz-Cyrl-UZ"/>
        </w:rPr>
        <w:t>пріоритет сучасної науки та практики”</w:t>
      </w:r>
      <w:r w:rsidRPr="00F90B6B">
        <w:rPr>
          <w:rFonts w:ascii="Times New Roman" w:hAnsi="Times New Roman"/>
          <w:sz w:val="28"/>
          <w:szCs w:val="28"/>
        </w:rPr>
        <w:t xml:space="preserve">.  </w:t>
      </w:r>
      <w:r w:rsidRPr="00F90B6B">
        <w:rPr>
          <w:rFonts w:ascii="Times New Roman" w:hAnsi="Times New Roman"/>
          <w:sz w:val="28"/>
          <w:szCs w:val="28"/>
          <w:lang w:val="uz-Cyrl-UZ"/>
        </w:rPr>
        <w:t>20 квітня 2018</w:t>
      </w:r>
      <w:r w:rsidRPr="00F90B6B">
        <w:rPr>
          <w:rFonts w:ascii="Times New Roman" w:hAnsi="Times New Roman"/>
          <w:sz w:val="28"/>
          <w:szCs w:val="28"/>
        </w:rPr>
        <w:t>р. Харків. С. 127.</w:t>
      </w:r>
    </w:p>
    <w:p w:rsidR="00EF4063" w:rsidRPr="00F90B6B" w:rsidRDefault="00EF4063" w:rsidP="00F0048B">
      <w:pPr>
        <w:pStyle w:val="1"/>
        <w:spacing w:after="0" w:line="360" w:lineRule="auto"/>
        <w:ind w:left="0"/>
        <w:jc w:val="both"/>
        <w:rPr>
          <w:rFonts w:ascii="Times New Roman" w:hAnsi="Times New Roman"/>
          <w:sz w:val="28"/>
          <w:szCs w:val="28"/>
        </w:rPr>
      </w:pPr>
    </w:p>
    <w:p w:rsidR="00EF4063" w:rsidRPr="00F90B6B" w:rsidRDefault="008F54E3" w:rsidP="00F0048B">
      <w:pPr>
        <w:spacing w:line="360" w:lineRule="auto"/>
        <w:jc w:val="both"/>
        <w:rPr>
          <w:rFonts w:ascii="Times New Roman" w:hAnsi="Times New Roman"/>
          <w:b/>
          <w:sz w:val="28"/>
          <w:szCs w:val="28"/>
        </w:rPr>
      </w:pPr>
      <w:r w:rsidRPr="00F90B6B">
        <w:rPr>
          <w:rFonts w:ascii="Times New Roman" w:hAnsi="Times New Roman"/>
          <w:b/>
          <w:sz w:val="28"/>
          <w:szCs w:val="28"/>
        </w:rPr>
        <w:br w:type="page"/>
      </w:r>
      <w:r w:rsidR="00EF4063" w:rsidRPr="00F90B6B">
        <w:rPr>
          <w:rFonts w:ascii="Times New Roman" w:hAnsi="Times New Roman"/>
          <w:b/>
          <w:sz w:val="28"/>
          <w:szCs w:val="28"/>
        </w:rPr>
        <w:lastRenderedPageBreak/>
        <w:t>3.3. Клінічні, лабораторні особливості, структурно-функціональні параметри залежно від рівня NTproBNP та альдостерону у хворих з хронічною серцевою недостатністю зі збереженою фракцією викиду лівого шлуночка та ожирінням.</w:t>
      </w:r>
    </w:p>
    <w:p w:rsidR="00EF4063" w:rsidRPr="00F90B6B" w:rsidRDefault="00EF4063" w:rsidP="00F0048B">
      <w:pPr>
        <w:spacing w:after="0" w:line="360" w:lineRule="auto"/>
        <w:ind w:firstLine="709"/>
        <w:jc w:val="both"/>
        <w:rPr>
          <w:rFonts w:ascii="Times New Roman" w:hAnsi="Times New Roman"/>
          <w:b/>
          <w:sz w:val="28"/>
          <w:szCs w:val="28"/>
        </w:rPr>
      </w:pP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Європейське товариство кардіологів у своєму бюлетені вказує, що серцева недостатність є пандемією ХХІ століття – на це захворювання страждає як мінімум 26 мільйонів чоловік у всьому світі, а в Європі доля цих пацієнтів складає 1,0-2,0% населення. Тобто серед найпоширеніших неінфекційних захворювань на сьогодні одну з провідних позицій займають порушення, пов'язані з нестачею насосної функції серця. Патогенетичні механізми та порочні кола при хронічному ушкодження міокарду є загальновідомими - активація нейрогуморальних систем включає симпатоадреналовий та ренин-ангиотензиновий компоненти, ланками якого – є натрійуретичний пептид та альдостерон, які мають широкий спектр метаболічної дії [53, 120, 134, 220].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Альдостерон - мінералокортикоїд, який переважно синтезується клубочковою зоною кіркової речови</w:t>
      </w:r>
      <w:r w:rsidR="00021D22">
        <w:rPr>
          <w:rFonts w:ascii="Times New Roman" w:hAnsi="Times New Roman"/>
          <w:sz w:val="28"/>
          <w:szCs w:val="28"/>
        </w:rPr>
        <w:t>ни надниркових залоз з дезокси</w:t>
      </w:r>
      <w:r w:rsidRPr="00F90B6B">
        <w:rPr>
          <w:rFonts w:ascii="Times New Roman" w:hAnsi="Times New Roman"/>
          <w:sz w:val="28"/>
          <w:szCs w:val="28"/>
        </w:rPr>
        <w:t>кортикостерона ферментом мітохондріального цитохрому р450 альдостеронсинтетазой (CYP11B2). Незважаючи на багаточисельні дослідження, за останні роки отримані багато суперечливих даних відносно секреції альдостерону та натрійуретичного пептиду у хворих з серцевою недостатністю та ожиріння. Важливим питанням є вивчення взаємозв’язку між цими біомаркерами, дослідження ролі натріємії, заснованих на принципах доказовості [44, 149].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Тому завданням наступного розділу є дослідження зв’язку між рівнями натріємії, альдостерона і мозкового натрійуретичного пептиду з клініко-лабораторними і кардіогемодинамічними показниками у хворих з хронічною серцевою недостатністю та ожирінням.</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rPr>
        <w:t xml:space="preserve">Для реалізації поставленої мети було обстежено 90 хворих з ХСН, серед яких у 40 чол. верифіковано ожиріння з ІМТ більше 30, у 38 – надлишкову масу біла (ІМТ 25-30), у 12 – </w:t>
      </w:r>
      <w:r w:rsidRPr="00F90B6B">
        <w:rPr>
          <w:rFonts w:ascii="Times New Roman" w:hAnsi="Times New Roman"/>
          <w:sz w:val="28"/>
          <w:szCs w:val="28"/>
          <w:lang w:eastAsia="ru-RU"/>
        </w:rPr>
        <w:t>нормальну вагу (ІМТ 18,5-24,9).</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lastRenderedPageBreak/>
        <w:t xml:space="preserve">На першому етапі проаналізовано залежність секреції альдостерону від віку пацієнта з ХСН. Цікавим фактом було наявність прямої лінійної залежності між зростанням віку пацієнта та рівня секреції альдостерона з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=0,26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по всій групі з ХСН (рис. 3.3.1.). В той же час, за наявності ожиріння регресійна залежність змінювалась на від’ємну та невірогідну - </w:t>
      </w:r>
      <w:r w:rsidRPr="00F90B6B">
        <w:rPr>
          <w:rFonts w:ascii="Times New Roman" w:hAnsi="Times New Roman"/>
          <w:sz w:val="28"/>
          <w:szCs w:val="28"/>
          <w:lang w:val="en-US" w:eastAsia="ru-RU"/>
        </w:rPr>
        <w:t>r</w:t>
      </w:r>
      <w:r w:rsidRPr="00F90B6B">
        <w:rPr>
          <w:rFonts w:ascii="Times New Roman" w:hAnsi="Times New Roman"/>
          <w:sz w:val="28"/>
          <w:szCs w:val="28"/>
          <w:lang w:val="ru-RU" w:eastAsia="ru-RU"/>
        </w:rPr>
        <w:t>=</w:t>
      </w:r>
      <w:r w:rsidRPr="00F90B6B">
        <w:rPr>
          <w:rFonts w:ascii="Times New Roman" w:hAnsi="Times New Roman"/>
          <w:sz w:val="28"/>
          <w:szCs w:val="28"/>
          <w:lang w:eastAsia="ru-RU"/>
        </w:rPr>
        <w:t>-</w:t>
      </w:r>
      <w:r w:rsidRPr="00F90B6B">
        <w:rPr>
          <w:rFonts w:ascii="Times New Roman" w:hAnsi="Times New Roman"/>
          <w:sz w:val="28"/>
          <w:szCs w:val="28"/>
          <w:lang w:val="ru-RU" w:eastAsia="ru-RU"/>
        </w:rPr>
        <w:t>0,</w:t>
      </w:r>
      <w:r w:rsidRPr="00F90B6B">
        <w:rPr>
          <w:rFonts w:ascii="Times New Roman" w:hAnsi="Times New Roman"/>
          <w:sz w:val="28"/>
          <w:szCs w:val="28"/>
          <w:lang w:eastAsia="ru-RU"/>
        </w:rPr>
        <w:t>1</w:t>
      </w:r>
      <w:r w:rsidRPr="00F90B6B">
        <w:rPr>
          <w:rFonts w:ascii="Times New Roman" w:hAnsi="Times New Roman"/>
          <w:sz w:val="28"/>
          <w:szCs w:val="28"/>
          <w:lang w:val="ru-RU" w:eastAsia="ru-RU"/>
        </w:rPr>
        <w:t>6 (</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&gt;0,05)</w:t>
      </w:r>
      <w:r w:rsidRPr="00F90B6B">
        <w:rPr>
          <w:rFonts w:ascii="Times New Roman" w:hAnsi="Times New Roman"/>
          <w:sz w:val="28"/>
          <w:szCs w:val="28"/>
          <w:lang w:eastAsia="ru-RU"/>
        </w:rPr>
        <w:t xml:space="preserve"> (рис. 3.3.2.). </w:t>
      </w:r>
    </w:p>
    <w:tbl>
      <w:tblPr>
        <w:tblW w:w="0" w:type="auto"/>
        <w:tblLook w:val="00A0" w:firstRow="1" w:lastRow="0" w:firstColumn="1" w:lastColumn="0" w:noHBand="0" w:noVBand="0"/>
      </w:tblPr>
      <w:tblGrid>
        <w:gridCol w:w="4927"/>
        <w:gridCol w:w="5181"/>
      </w:tblGrid>
      <w:tr w:rsidR="00EF4063" w:rsidRPr="00F90B6B" w:rsidTr="0076299F">
        <w:tc>
          <w:tcPr>
            <w:tcW w:w="4927" w:type="dxa"/>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rPr>
              <w:object w:dxaOrig="4560" w:dyaOrig="3690">
                <v:shape id="_x0000_i1057" type="#_x0000_t75" style="width:228pt;height:184.5pt" o:ole="">
                  <v:imagedata r:id="rId99" o:title=""/>
                </v:shape>
                <o:OLEObject Type="Embed" ProgID="STATISTICA.Graph" ShapeID="_x0000_i1057" DrawAspect="Content" ObjectID="_1624460780" r:id="rId100">
                  <o:FieldCodes>\s</o:FieldCodes>
                </o:OLEObject>
              </w:object>
            </w:r>
          </w:p>
        </w:tc>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rPr>
              <w:object w:dxaOrig="4965" w:dyaOrig="3735">
                <v:shape id="_x0000_i1058" type="#_x0000_t75" style="width:248.25pt;height:186.75pt" o:ole="">
                  <v:imagedata r:id="rId101" o:title=""/>
                </v:shape>
                <o:OLEObject Type="Embed" ProgID="STATISTICA.Graph" ShapeID="_x0000_i1058" DrawAspect="Content" ObjectID="_1624460781" r:id="rId102">
                  <o:FieldCodes>\s</o:FieldCodes>
                </o:OLEObject>
              </w:object>
            </w:r>
          </w:p>
        </w:tc>
      </w:tr>
      <w:tr w:rsidR="00EF4063" w:rsidRPr="00F90B6B" w:rsidTr="0076299F">
        <w:tc>
          <w:tcPr>
            <w:tcW w:w="4927"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 </w:t>
            </w:r>
            <w:r w:rsidRPr="00F90B6B">
              <w:rPr>
                <w:rFonts w:ascii="Times New Roman" w:hAnsi="Times New Roman"/>
                <w:sz w:val="28"/>
                <w:szCs w:val="28"/>
                <w:lang w:eastAsia="ru-RU"/>
              </w:rPr>
              <w:t>Кореляційний зв’язок між віком та рівнем секреції альдостерону у пацієнтів з ХСН.</w:t>
            </w:r>
          </w:p>
        </w:tc>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 </w:t>
            </w:r>
            <w:r w:rsidRPr="00F90B6B">
              <w:rPr>
                <w:rFonts w:ascii="Times New Roman" w:hAnsi="Times New Roman"/>
                <w:sz w:val="28"/>
                <w:szCs w:val="28"/>
                <w:lang w:eastAsia="ru-RU"/>
              </w:rPr>
              <w:t>Кореляційний зв’язок між віком та рівнем секреції альдостерону у пацієнтів з ХСН та ожирінням.</w:t>
            </w:r>
          </w:p>
        </w:tc>
      </w:tr>
    </w:tbl>
    <w:p w:rsidR="00224E15" w:rsidRPr="007E797D" w:rsidRDefault="00EF4063" w:rsidP="00224E15">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На нашу думку, даний факт дає змогу припустити, що власне наявність ожиріння змінює приорітетність факторів ризику, а надмірний розвиток жирової тканини впливає на реалізацію ефектів альдостерону за рахунок можливого депонування останнього в підшкірній клітковині.</w:t>
      </w:r>
      <w:r w:rsidR="00224E15" w:rsidRPr="00F90B6B">
        <w:rPr>
          <w:rFonts w:ascii="Times New Roman" w:hAnsi="Times New Roman"/>
          <w:sz w:val="28"/>
          <w:szCs w:val="28"/>
          <w:lang w:eastAsia="ru-RU"/>
        </w:rPr>
        <w:t xml:space="preserve"> </w:t>
      </w:r>
    </w:p>
    <w:p w:rsidR="00224E15" w:rsidRPr="00F90B6B" w:rsidRDefault="00224E15" w:rsidP="00224E15">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Це припущення підтверджується дослідженням рівня вільного альдостерону у взаємозв’язку з індексом маси тіла у пацієнтів з ХСН в цілому, так і за наявності ожиріння. В обох випадках встановлено лінійний від’ємний вірогідний кореляційний зв’язок з коефіціентами регресії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=-0,28 та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=-0,25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рис. 3.3.3 та 3.3.4. </w:t>
      </w:r>
    </w:p>
    <w:p w:rsidR="00EF4063" w:rsidRPr="00F90B6B" w:rsidRDefault="00EF4063" w:rsidP="00F0048B">
      <w:pPr>
        <w:spacing w:after="0" w:line="360" w:lineRule="auto"/>
        <w:ind w:firstLine="709"/>
        <w:jc w:val="both"/>
        <w:rPr>
          <w:rFonts w:ascii="Times New Roman" w:hAnsi="Times New Roman"/>
          <w:sz w:val="28"/>
          <w:szCs w:val="28"/>
          <w:lang w:eastAsia="ru-RU"/>
        </w:rPr>
      </w:pPr>
    </w:p>
    <w:tbl>
      <w:tblPr>
        <w:tblW w:w="0" w:type="auto"/>
        <w:tblLook w:val="00A0" w:firstRow="1" w:lastRow="0" w:firstColumn="1" w:lastColumn="0" w:noHBand="0" w:noVBand="0"/>
      </w:tblPr>
      <w:tblGrid>
        <w:gridCol w:w="4945"/>
        <w:gridCol w:w="4910"/>
      </w:tblGrid>
      <w:tr w:rsidR="00EF4063" w:rsidRPr="00F90B6B" w:rsidTr="0076299F">
        <w:tc>
          <w:tcPr>
            <w:tcW w:w="4945"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rPr>
              <w:object w:dxaOrig="4635" w:dyaOrig="3465">
                <v:shape id="_x0000_i1059" type="#_x0000_t75" style="width:231.75pt;height:173.25pt" o:ole="">
                  <v:imagedata r:id="rId103" o:title=""/>
                </v:shape>
                <o:OLEObject Type="Embed" ProgID="STATISTICA.Graph" ShapeID="_x0000_i1059" DrawAspect="Content" ObjectID="_1624460782" r:id="rId104">
                  <o:FieldCodes>\s</o:FieldCodes>
                </o:OLEObject>
              </w:object>
            </w:r>
          </w:p>
        </w:tc>
        <w:tc>
          <w:tcPr>
            <w:tcW w:w="4910"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rPr>
              <w:object w:dxaOrig="4590" w:dyaOrig="3450">
                <v:shape id="_x0000_i1060" type="#_x0000_t75" style="width:229.5pt;height:172.5pt" o:ole="">
                  <v:imagedata r:id="rId105" o:title=""/>
                </v:shape>
                <o:OLEObject Type="Embed" ProgID="STATISTICA.Graph" ShapeID="_x0000_i1060" DrawAspect="Content" ObjectID="_1624460783" r:id="rId106">
                  <o:FieldCodes>\s</o:FieldCodes>
                </o:OLEObject>
              </w:object>
            </w:r>
          </w:p>
        </w:tc>
      </w:tr>
      <w:tr w:rsidR="00EF4063" w:rsidRPr="00F90B6B" w:rsidTr="0076299F">
        <w:tc>
          <w:tcPr>
            <w:tcW w:w="4945"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 </w:t>
            </w:r>
            <w:r w:rsidRPr="00F90B6B">
              <w:rPr>
                <w:rFonts w:ascii="Times New Roman" w:hAnsi="Times New Roman"/>
                <w:sz w:val="28"/>
                <w:szCs w:val="28"/>
                <w:lang w:eastAsia="ru-RU"/>
              </w:rPr>
              <w:t>Кореляційний зв’язок між масою тіла та рівнем секреції альдостерону у пацієнтів з ХСН.</w:t>
            </w:r>
          </w:p>
        </w:tc>
        <w:tc>
          <w:tcPr>
            <w:tcW w:w="4910"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 </w:t>
            </w:r>
            <w:r w:rsidRPr="00F90B6B">
              <w:rPr>
                <w:rFonts w:ascii="Times New Roman" w:hAnsi="Times New Roman"/>
                <w:sz w:val="28"/>
                <w:szCs w:val="28"/>
                <w:lang w:eastAsia="ru-RU"/>
              </w:rPr>
              <w:t>Кореляційний зв’язок між масою тіла та рівнем альдостерону у пацієнтів з ХСН та ожирінням.</w:t>
            </w:r>
          </w:p>
        </w:tc>
      </w:tr>
    </w:tbl>
    <w:p w:rsidR="00224E15" w:rsidRPr="007E797D" w:rsidRDefault="00224E15" w:rsidP="00F0048B">
      <w:pPr>
        <w:spacing w:after="0" w:line="360" w:lineRule="auto"/>
        <w:ind w:firstLine="709"/>
        <w:jc w:val="both"/>
        <w:rPr>
          <w:rFonts w:ascii="Times New Roman" w:hAnsi="Times New Roman"/>
          <w:sz w:val="28"/>
          <w:szCs w:val="28"/>
          <w:lang w:eastAsia="ru-RU"/>
        </w:rPr>
      </w:pP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Застосовуючи кластерний К-аналіз було проведено розподіл пацієнтів за рівнем альдостерону на групи «низького» та «високого» рівня, рис. 3.3.5, де вміст альдостерону становив, відповідно, 51,9±11,5 та 89,6±19,3 пг/мл.</w:t>
      </w:r>
    </w:p>
    <w:p w:rsidR="00EF4063" w:rsidRPr="00F90B6B" w:rsidRDefault="00EF4063" w:rsidP="00F0048B">
      <w:pPr>
        <w:spacing w:after="0" w:line="360" w:lineRule="auto"/>
        <w:ind w:firstLine="709"/>
        <w:jc w:val="center"/>
        <w:rPr>
          <w:rFonts w:ascii="Times New Roman" w:hAnsi="Times New Roman"/>
          <w:sz w:val="28"/>
          <w:szCs w:val="28"/>
          <w:lang w:eastAsia="ru-RU"/>
        </w:rPr>
      </w:pPr>
      <w:r w:rsidRPr="00F90B6B">
        <w:rPr>
          <w:rFonts w:ascii="Times New Roman" w:hAnsi="Times New Roman"/>
        </w:rPr>
        <w:object w:dxaOrig="5985" w:dyaOrig="4500">
          <v:shape id="_x0000_i1061" type="#_x0000_t75" style="width:299.25pt;height:225pt" o:ole="">
            <v:imagedata r:id="rId107" o:title=""/>
          </v:shape>
          <o:OLEObject Type="Embed" ProgID="STATISTICA.Graph" ShapeID="_x0000_i1061" DrawAspect="Content" ObjectID="_1624460784" r:id="rId108">
            <o:FieldCodes>\s</o:FieldCodes>
          </o:OLEObject>
        </w:object>
      </w:r>
    </w:p>
    <w:p w:rsidR="00224E15" w:rsidRPr="00F90B6B" w:rsidRDefault="00EF4063" w:rsidP="00224E15">
      <w:pPr>
        <w:spacing w:after="0" w:line="360" w:lineRule="auto"/>
        <w:ind w:firstLine="709"/>
        <w:jc w:val="both"/>
        <w:rPr>
          <w:rFonts w:ascii="Times New Roman" w:hAnsi="Times New Roman"/>
          <w:sz w:val="28"/>
          <w:szCs w:val="28"/>
          <w:lang w:val="ru-RU" w:eastAsia="ru-RU"/>
        </w:rPr>
      </w:pPr>
      <w:r w:rsidRPr="00F90B6B">
        <w:rPr>
          <w:rFonts w:ascii="Times New Roman" w:hAnsi="Times New Roman"/>
          <w:b/>
          <w:sz w:val="28"/>
          <w:szCs w:val="28"/>
          <w:lang w:eastAsia="ru-RU"/>
        </w:rPr>
        <w:t xml:space="preserve">Рис. 3.3.4. </w:t>
      </w:r>
      <w:r w:rsidRPr="00F90B6B">
        <w:rPr>
          <w:rFonts w:ascii="Times New Roman" w:hAnsi="Times New Roman"/>
          <w:sz w:val="28"/>
          <w:szCs w:val="28"/>
          <w:lang w:eastAsia="ru-RU"/>
        </w:rPr>
        <w:t>Кластери «низького» та «високого» рівня альдостерону у хворих з ХСН.</w:t>
      </w:r>
      <w:r w:rsidR="00224E15" w:rsidRPr="00F90B6B">
        <w:rPr>
          <w:rFonts w:ascii="Times New Roman" w:hAnsi="Times New Roman"/>
          <w:sz w:val="28"/>
          <w:szCs w:val="28"/>
          <w:lang w:eastAsia="ru-RU"/>
        </w:rPr>
        <w:t xml:space="preserve"> </w:t>
      </w:r>
    </w:p>
    <w:p w:rsidR="00224E15" w:rsidRPr="00F90B6B" w:rsidRDefault="00224E15" w:rsidP="00224E15">
      <w:pPr>
        <w:spacing w:after="0" w:line="360" w:lineRule="auto"/>
        <w:ind w:firstLine="709"/>
        <w:jc w:val="both"/>
        <w:rPr>
          <w:rFonts w:ascii="Times New Roman" w:hAnsi="Times New Roman"/>
          <w:sz w:val="28"/>
          <w:szCs w:val="28"/>
          <w:lang w:val="ru-RU" w:eastAsia="ru-RU"/>
        </w:rPr>
      </w:pPr>
    </w:p>
    <w:p w:rsidR="00224E15" w:rsidRPr="00F90B6B" w:rsidRDefault="00224E15" w:rsidP="00224E15">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Аналізуючи ІМТ у кожному з кластерів виявлено вірогідно більш низький показник ІМТ в кластері з більш високим рівнем альдостерону – 27,8±4,78 кг/м</w:t>
      </w:r>
      <w:r w:rsidRPr="00F90B6B">
        <w:rPr>
          <w:rFonts w:ascii="Times New Roman" w:hAnsi="Times New Roman"/>
          <w:sz w:val="28"/>
          <w:szCs w:val="28"/>
          <w:vertAlign w:val="superscript"/>
          <w:lang w:eastAsia="ru-RU"/>
        </w:rPr>
        <w:t xml:space="preserve">2 </w:t>
      </w:r>
      <w:r w:rsidRPr="00F90B6B">
        <w:rPr>
          <w:rFonts w:ascii="Times New Roman" w:hAnsi="Times New Roman"/>
          <w:sz w:val="28"/>
          <w:szCs w:val="28"/>
          <w:lang w:eastAsia="ru-RU"/>
        </w:rPr>
        <w:t>проти 31,7±4,54 кг/м</w:t>
      </w:r>
      <w:r w:rsidRPr="00F90B6B">
        <w:rPr>
          <w:rFonts w:ascii="Times New Roman" w:hAnsi="Times New Roman"/>
          <w:sz w:val="28"/>
          <w:szCs w:val="28"/>
          <w:vertAlign w:val="superscript"/>
          <w:lang w:eastAsia="ru-RU"/>
        </w:rPr>
        <w:t xml:space="preserve">2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рис. 3.3.5.</w:t>
      </w:r>
    </w:p>
    <w:p w:rsidR="00EF4063" w:rsidRPr="00F90B6B" w:rsidRDefault="00EF4063" w:rsidP="00F0048B">
      <w:pPr>
        <w:spacing w:after="0" w:line="360" w:lineRule="auto"/>
        <w:ind w:firstLine="709"/>
        <w:jc w:val="both"/>
        <w:rPr>
          <w:rFonts w:ascii="Times New Roman" w:hAnsi="Times New Roman"/>
          <w:sz w:val="28"/>
          <w:szCs w:val="28"/>
          <w:lang w:eastAsia="ru-RU"/>
        </w:rPr>
      </w:pPr>
    </w:p>
    <w:p w:rsidR="00EF4063" w:rsidRPr="00F90B6B" w:rsidRDefault="006F7754" w:rsidP="00F0048B">
      <w:pPr>
        <w:spacing w:after="0" w:line="360" w:lineRule="auto"/>
        <w:ind w:firstLine="709"/>
        <w:jc w:val="both"/>
        <w:rPr>
          <w:rFonts w:ascii="Times New Roman" w:hAnsi="Times New Roman"/>
          <w:sz w:val="28"/>
          <w:szCs w:val="28"/>
          <w:lang w:eastAsia="ru-RU"/>
        </w:rPr>
      </w:pPr>
      <w:r w:rsidRPr="00BD2F09">
        <w:rPr>
          <w:rFonts w:ascii="Times New Roman" w:hAnsi="Times New Roman"/>
          <w:noProof/>
          <w:lang w:val="ru-RU" w:eastAsia="ru-RU"/>
        </w:rPr>
        <w:drawing>
          <wp:inline distT="0" distB="0" distL="0" distR="0">
            <wp:extent cx="5543550" cy="2371725"/>
            <wp:effectExtent l="0" t="0" r="0" b="0"/>
            <wp:docPr id="54" name="Диаграмма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EF4063" w:rsidRPr="00F90B6B" w:rsidRDefault="006F7754" w:rsidP="00F0048B">
      <w:pPr>
        <w:spacing w:after="0" w:line="360" w:lineRule="auto"/>
        <w:ind w:firstLine="709"/>
        <w:jc w:val="both"/>
        <w:rPr>
          <w:rFonts w:ascii="Times New Roman" w:hAnsi="Times New Roman"/>
          <w:sz w:val="28"/>
          <w:szCs w:val="28"/>
          <w:lang w:eastAsia="ru-RU"/>
        </w:rPr>
      </w:pPr>
      <w:r>
        <w:rPr>
          <w:noProof/>
          <w:lang w:val="ru-RU" w:eastAsia="ru-RU"/>
        </w:rPr>
        <mc:AlternateContent>
          <mc:Choice Requires="wps">
            <w:drawing>
              <wp:anchor distT="0" distB="0" distL="114300" distR="114300" simplePos="0" relativeHeight="251654144" behindDoc="0" locked="0" layoutInCell="1" allowOverlap="1">
                <wp:simplePos x="0" y="0"/>
                <wp:positionH relativeFrom="column">
                  <wp:posOffset>1271905</wp:posOffset>
                </wp:positionH>
                <wp:positionV relativeFrom="paragraph">
                  <wp:posOffset>598170</wp:posOffset>
                </wp:positionV>
                <wp:extent cx="220980" cy="259080"/>
                <wp:effectExtent l="0" t="0" r="26670" b="26670"/>
                <wp:wrapNone/>
                <wp:docPr id="7" name="5-конечная звезда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0980" cy="259080"/>
                        </a:xfrm>
                        <a:custGeom>
                          <a:avLst/>
                          <a:gdLst>
                            <a:gd name="T0" fmla="*/ 0 w 220980"/>
                            <a:gd name="T1" fmla="*/ 98960 h 259080"/>
                            <a:gd name="T2" fmla="*/ 84407 w 220980"/>
                            <a:gd name="T3" fmla="*/ 98960 h 259080"/>
                            <a:gd name="T4" fmla="*/ 110490 w 220980"/>
                            <a:gd name="T5" fmla="*/ 0 h 259080"/>
                            <a:gd name="T6" fmla="*/ 136573 w 220980"/>
                            <a:gd name="T7" fmla="*/ 98960 h 259080"/>
                            <a:gd name="T8" fmla="*/ 220980 w 220980"/>
                            <a:gd name="T9" fmla="*/ 98960 h 259080"/>
                            <a:gd name="T10" fmla="*/ 152693 w 220980"/>
                            <a:gd name="T11" fmla="*/ 160120 h 259080"/>
                            <a:gd name="T12" fmla="*/ 178776 w 220980"/>
                            <a:gd name="T13" fmla="*/ 259079 h 259080"/>
                            <a:gd name="T14" fmla="*/ 110490 w 220980"/>
                            <a:gd name="T15" fmla="*/ 197918 h 259080"/>
                            <a:gd name="T16" fmla="*/ 42204 w 220980"/>
                            <a:gd name="T17" fmla="*/ 259079 h 259080"/>
                            <a:gd name="T18" fmla="*/ 68287 w 220980"/>
                            <a:gd name="T19" fmla="*/ 160120 h 259080"/>
                            <a:gd name="T20" fmla="*/ 0 w 220980"/>
                            <a:gd name="T21" fmla="*/ 98960 h 25908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0980" h="259080">
                              <a:moveTo>
                                <a:pt x="0" y="98960"/>
                              </a:moveTo>
                              <a:lnTo>
                                <a:pt x="84407" y="98960"/>
                              </a:lnTo>
                              <a:lnTo>
                                <a:pt x="110490" y="0"/>
                              </a:lnTo>
                              <a:lnTo>
                                <a:pt x="136573" y="98960"/>
                              </a:lnTo>
                              <a:lnTo>
                                <a:pt x="220980" y="98960"/>
                              </a:lnTo>
                              <a:lnTo>
                                <a:pt x="152693" y="160120"/>
                              </a:lnTo>
                              <a:lnTo>
                                <a:pt x="178776" y="259079"/>
                              </a:lnTo>
                              <a:lnTo>
                                <a:pt x="110490" y="197918"/>
                              </a:lnTo>
                              <a:lnTo>
                                <a:pt x="42204" y="259079"/>
                              </a:lnTo>
                              <a:lnTo>
                                <a:pt x="68287" y="160120"/>
                              </a:lnTo>
                              <a:lnTo>
                                <a:pt x="0" y="98960"/>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153831E" id="5-конечная звезда 29" o:spid="_x0000_s1026" style="position:absolute;margin-left:100.15pt;margin-top:47.1pt;width:17.4pt;height:20.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0980,259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" path="m,98960r84407,l110490,r26083,98960l220980,98960r-68287,61160l178776,259079,110490,197918,42204,259079,68287,160120,,98960xe" fillcolor="#4f81bd" strokecolor="#243f60" strokeweight="2pt">
                <v:path arrowok="t" o:connecttype="custom" o:connectlocs="0,98960;84407,98960;110490,0;136573,98960;220980,98960;152693,160120;178776,259079;110490,197918;42204,259079;68287,160120;0,98960" o:connectangles="0,0,0,0,0,0,0,0,0,0,0"/>
              </v:shape>
            </w:pict>
          </mc:Fallback>
        </mc:AlternateContent>
      </w:r>
      <w:r w:rsidR="00EF4063" w:rsidRPr="00F90B6B">
        <w:rPr>
          <w:rFonts w:ascii="Times New Roman" w:hAnsi="Times New Roman"/>
          <w:b/>
          <w:sz w:val="28"/>
          <w:szCs w:val="28"/>
          <w:lang w:eastAsia="ru-RU"/>
        </w:rPr>
        <w:t xml:space="preserve">Рис. 3.3.5. </w:t>
      </w:r>
      <w:r w:rsidR="00EF4063" w:rsidRPr="00F90B6B">
        <w:rPr>
          <w:rFonts w:ascii="Times New Roman" w:hAnsi="Times New Roman"/>
          <w:sz w:val="28"/>
          <w:szCs w:val="28"/>
          <w:lang w:eastAsia="ru-RU"/>
        </w:rPr>
        <w:t>Індекс маси тіла при «низькому» та «високому» рівнях секреції альдостерону у хворих з ХСН.</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i/>
          <w:sz w:val="28"/>
          <w:szCs w:val="28"/>
          <w:lang w:eastAsia="ru-RU"/>
        </w:rPr>
        <w:t xml:space="preserve">Примітка:      - </w:t>
      </w:r>
      <w:r w:rsidRPr="00F90B6B">
        <w:rPr>
          <w:rFonts w:ascii="Times New Roman" w:hAnsi="Times New Roman"/>
          <w:sz w:val="28"/>
          <w:szCs w:val="28"/>
          <w:lang w:eastAsia="ru-RU"/>
        </w:rPr>
        <w:t>вірогідна різниця між групами порівняння.</w:t>
      </w:r>
    </w:p>
    <w:p w:rsidR="00224E15" w:rsidRPr="007E797D" w:rsidRDefault="00224E15" w:rsidP="00F0048B">
      <w:pPr>
        <w:spacing w:after="0" w:line="360" w:lineRule="auto"/>
        <w:ind w:firstLine="709"/>
        <w:jc w:val="both"/>
        <w:rPr>
          <w:rFonts w:ascii="Times New Roman" w:hAnsi="Times New Roman"/>
          <w:sz w:val="28"/>
          <w:szCs w:val="28"/>
          <w:lang w:eastAsia="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Проте, як встановлено на подальшому етапі нашої роботи, у пацієнтів з ХСН має значення не стільки величина ІМТ в цілому, скільки тип ожиріння з оцінкою співвідношення об’єму талії (ОТ) до об’єму стегон (ОС), що підтвержується позитивним кореляційним зв’язком ОТ/ОС та вмісту вільного альдостерону як по групі в цілому (</w:t>
      </w:r>
      <w:r w:rsidRPr="00F90B6B">
        <w:rPr>
          <w:rFonts w:ascii="Times New Roman" w:hAnsi="Times New Roman"/>
          <w:sz w:val="28"/>
          <w:szCs w:val="28"/>
          <w:lang w:val="en-US"/>
        </w:rPr>
        <w:t>r</w:t>
      </w:r>
      <w:r w:rsidRPr="00F90B6B">
        <w:rPr>
          <w:rFonts w:ascii="Times New Roman" w:hAnsi="Times New Roman"/>
          <w:sz w:val="28"/>
          <w:szCs w:val="28"/>
        </w:rPr>
        <w:t xml:space="preserve">=0,23,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так і при ожирінні (</w:t>
      </w:r>
      <w:r w:rsidRPr="00F90B6B">
        <w:rPr>
          <w:rFonts w:ascii="Times New Roman" w:hAnsi="Times New Roman"/>
          <w:sz w:val="28"/>
          <w:szCs w:val="28"/>
          <w:lang w:val="en-US"/>
        </w:rPr>
        <w:t>r</w:t>
      </w:r>
      <w:r w:rsidRPr="00F90B6B">
        <w:rPr>
          <w:rFonts w:ascii="Times New Roman" w:hAnsi="Times New Roman"/>
          <w:sz w:val="28"/>
          <w:szCs w:val="28"/>
        </w:rPr>
        <w:t xml:space="preserve">=0,14,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w:t>
      </w:r>
      <w:r w:rsidRPr="00F90B6B">
        <w:rPr>
          <w:rFonts w:ascii="Times New Roman" w:hAnsi="Times New Roman"/>
          <w:sz w:val="28"/>
          <w:szCs w:val="28"/>
        </w:rPr>
        <w:t>), рис. 3.3.6 та 3.3.7.</w:t>
      </w:r>
    </w:p>
    <w:tbl>
      <w:tblPr>
        <w:tblW w:w="0" w:type="auto"/>
        <w:tblLook w:val="00A0" w:firstRow="1" w:lastRow="0" w:firstColumn="1" w:lastColumn="0" w:noHBand="0" w:noVBand="0"/>
      </w:tblPr>
      <w:tblGrid>
        <w:gridCol w:w="5031"/>
        <w:gridCol w:w="5106"/>
      </w:tblGrid>
      <w:tr w:rsidR="00EF4063" w:rsidRPr="00F90B6B" w:rsidTr="0076299F">
        <w:tc>
          <w:tcPr>
            <w:tcW w:w="4893"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815" w:dyaOrig="3615">
                <v:shape id="_x0000_i1062" type="#_x0000_t75" style="width:240.75pt;height:180.75pt" o:ole="">
                  <v:imagedata r:id="rId110" o:title=""/>
                </v:shape>
                <o:OLEObject Type="Embed" ProgID="STATISTICA.Graph" ShapeID="_x0000_i1062" DrawAspect="Content" ObjectID="_1624460785" r:id="rId111">
                  <o:FieldCodes>\s</o:FieldCodes>
                </o:OLEObject>
              </w:object>
            </w:r>
          </w:p>
        </w:tc>
        <w:tc>
          <w:tcPr>
            <w:tcW w:w="4962"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890" w:dyaOrig="3675">
                <v:shape id="_x0000_i1063" type="#_x0000_t75" style="width:244.5pt;height:183.75pt" o:ole="">
                  <v:imagedata r:id="rId112" o:title=""/>
                </v:shape>
                <o:OLEObject Type="Embed" ProgID="STATISTICA.Graph" ShapeID="_x0000_i1063" DrawAspect="Content" ObjectID="_1624460786" r:id="rId113">
                  <o:FieldCodes>\s</o:FieldCodes>
                </o:OLEObject>
              </w:object>
            </w:r>
          </w:p>
        </w:tc>
      </w:tr>
      <w:tr w:rsidR="00EF4063" w:rsidRPr="00F90B6B" w:rsidTr="0076299F">
        <w:tc>
          <w:tcPr>
            <w:tcW w:w="4893" w:type="dxa"/>
          </w:tcPr>
          <w:p w:rsidR="00EF4063" w:rsidRPr="00F90B6B" w:rsidRDefault="00EF4063" w:rsidP="001B6B2E">
            <w:pPr>
              <w:spacing w:after="0" w:line="288"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 </w:t>
            </w:r>
            <w:r w:rsidRPr="00F90B6B">
              <w:rPr>
                <w:rFonts w:ascii="Times New Roman" w:hAnsi="Times New Roman"/>
                <w:sz w:val="28"/>
                <w:szCs w:val="28"/>
                <w:lang w:eastAsia="ru-RU"/>
              </w:rPr>
              <w:t>Кореляційний зв’язок між ОТ/ОС співвідношенням та рівнем секреції альдостерону у пацієнтів з ХСН.</w:t>
            </w:r>
          </w:p>
        </w:tc>
        <w:tc>
          <w:tcPr>
            <w:tcW w:w="4962" w:type="dxa"/>
          </w:tcPr>
          <w:p w:rsidR="00EF4063" w:rsidRPr="00F90B6B" w:rsidRDefault="00EF4063" w:rsidP="001B6B2E">
            <w:pPr>
              <w:spacing w:after="0" w:line="288"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3.3.7. </w:t>
            </w:r>
            <w:r w:rsidRPr="00F90B6B">
              <w:rPr>
                <w:rFonts w:ascii="Times New Roman" w:hAnsi="Times New Roman"/>
                <w:sz w:val="28"/>
                <w:szCs w:val="28"/>
                <w:lang w:eastAsia="ru-RU"/>
              </w:rPr>
              <w:t>Кореляційний зв’язок між ОТ/ОС співвідношенням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Таким чином, провідним несприятливим фактором є, в першу чергу, не рівень надлишкової ваги тіла, а ступінь розвитку абдомінального ожиріння.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Логічним є те, що вивчаючи співвідношення толерантності до фізичного навантаження за дистанцією 6-хвилинної ходьби та рівня секреції альдостерону за наявності ХСН було отримано від’ємний коефіцієнт лінійної регресії (</w:t>
      </w:r>
      <w:r w:rsidRPr="00F90B6B">
        <w:rPr>
          <w:rFonts w:ascii="Times New Roman" w:hAnsi="Times New Roman"/>
          <w:sz w:val="28"/>
          <w:szCs w:val="28"/>
          <w:lang w:val="en-US"/>
        </w:rPr>
        <w:t>r</w:t>
      </w:r>
      <w:r w:rsidRPr="00F90B6B">
        <w:rPr>
          <w:rFonts w:ascii="Times New Roman" w:hAnsi="Times New Roman"/>
          <w:sz w:val="28"/>
          <w:szCs w:val="28"/>
        </w:rPr>
        <w:t xml:space="preserve">=-0,28,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рис. 3.3.8, значення якого, однак, зменшувалось у хворих з ожирінням (</w:t>
      </w:r>
      <w:r w:rsidRPr="00F90B6B">
        <w:rPr>
          <w:rFonts w:ascii="Times New Roman" w:hAnsi="Times New Roman"/>
          <w:sz w:val="28"/>
          <w:szCs w:val="28"/>
          <w:lang w:val="en-US"/>
        </w:rPr>
        <w:t>r</w:t>
      </w:r>
      <w:r w:rsidRPr="00F90B6B">
        <w:rPr>
          <w:rFonts w:ascii="Times New Roman" w:hAnsi="Times New Roman"/>
          <w:sz w:val="28"/>
          <w:szCs w:val="28"/>
        </w:rPr>
        <w:t xml:space="preserve">=-0,11,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w:t>
      </w:r>
      <w:r w:rsidRPr="00F90B6B">
        <w:rPr>
          <w:rFonts w:ascii="Times New Roman" w:hAnsi="Times New Roman"/>
          <w:sz w:val="28"/>
          <w:szCs w:val="28"/>
        </w:rPr>
        <w:t>, рис. 3.3.9. Цей факт підтверджує припущення про існування дещо іншого механізму прогресування ХСН при ожирінні, проте значну роль альдостерону для зниження загальної переносимості фізичних навантажень, що наведено на рис. 3.3.10.</w:t>
      </w:r>
    </w:p>
    <w:p w:rsidR="00EF4063" w:rsidRPr="00F90B6B" w:rsidRDefault="00EF4063" w:rsidP="00F0048B">
      <w:pPr>
        <w:spacing w:after="0" w:line="360" w:lineRule="auto"/>
        <w:ind w:firstLine="709"/>
        <w:jc w:val="both"/>
        <w:rPr>
          <w:rFonts w:ascii="Times New Roman" w:hAnsi="Times New Roman"/>
          <w:sz w:val="28"/>
          <w:szCs w:val="28"/>
        </w:rPr>
      </w:pPr>
    </w:p>
    <w:tbl>
      <w:tblPr>
        <w:tblW w:w="0" w:type="auto"/>
        <w:tblLook w:val="00A0" w:firstRow="1" w:lastRow="0" w:firstColumn="1" w:lastColumn="0" w:noHBand="0" w:noVBand="0"/>
      </w:tblPr>
      <w:tblGrid>
        <w:gridCol w:w="5226"/>
        <w:gridCol w:w="4986"/>
      </w:tblGrid>
      <w:tr w:rsidR="00EF4063" w:rsidRPr="00F90B6B" w:rsidTr="0076299F">
        <w:tc>
          <w:tcPr>
            <w:tcW w:w="4893"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5010" w:dyaOrig="3750">
                <v:shape id="_x0000_i1064" type="#_x0000_t75" style="width:250.5pt;height:187.5pt" o:ole="">
                  <v:imagedata r:id="rId114" o:title=""/>
                </v:shape>
                <o:OLEObject Type="Embed" ProgID="STATISTICA.Graph" ShapeID="_x0000_i1064" DrawAspect="Content" ObjectID="_1624460787" r:id="rId115">
                  <o:FieldCodes>\s</o:FieldCodes>
                </o:OLEObject>
              </w:object>
            </w:r>
          </w:p>
        </w:tc>
        <w:tc>
          <w:tcPr>
            <w:tcW w:w="4962"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70" w:dyaOrig="3585">
                <v:shape id="_x0000_i1065" type="#_x0000_t75" style="width:238.5pt;height:179.25pt" o:ole="">
                  <v:imagedata r:id="rId116" o:title=""/>
                </v:shape>
                <o:OLEObject Type="Embed" ProgID="STATISTICA.Graph" ShapeID="_x0000_i1065" DrawAspect="Content" ObjectID="_1624460788" r:id="rId117">
                  <o:FieldCodes>\s</o:FieldCodes>
                </o:OLEObject>
              </w:object>
            </w:r>
          </w:p>
        </w:tc>
      </w:tr>
      <w:tr w:rsidR="00EF4063" w:rsidRPr="00F90B6B" w:rsidTr="0076299F">
        <w:tc>
          <w:tcPr>
            <w:tcW w:w="4893"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3.3.8. </w:t>
            </w:r>
            <w:r w:rsidRPr="00F90B6B">
              <w:rPr>
                <w:rFonts w:ascii="Times New Roman" w:hAnsi="Times New Roman"/>
                <w:sz w:val="28"/>
                <w:szCs w:val="28"/>
                <w:lang w:eastAsia="ru-RU"/>
              </w:rPr>
              <w:t>Кореляційний зв’язок між толерантністю до фізичного навантаження та рівнем секреції альдостерону у пацієнтів з ХСН.</w:t>
            </w:r>
          </w:p>
        </w:tc>
        <w:tc>
          <w:tcPr>
            <w:tcW w:w="4962"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3.3.9. </w:t>
            </w:r>
            <w:r w:rsidRPr="00F90B6B">
              <w:rPr>
                <w:rFonts w:ascii="Times New Roman" w:hAnsi="Times New Roman"/>
                <w:sz w:val="28"/>
                <w:szCs w:val="28"/>
                <w:lang w:eastAsia="ru-RU"/>
              </w:rPr>
              <w:t>Кореляційний зв’язок між толерантністю до фізичного навантаження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в кластерах «низького» та «високого» синтезу альдостерону є існує вірогідна різниця за дистанцією, пройденою хворим за 6 хвилим, причому нижча толерантність до фізичних навантажень верифікована в кластері «високого» синтезу, - 405,7±59,6 метрів проти 472,8±89,4 метрів</w:t>
      </w:r>
      <w:r w:rsidRPr="00F90B6B">
        <w:rPr>
          <w:rFonts w:ascii="Times New Roman" w:hAnsi="Times New Roman"/>
          <w:sz w:val="28"/>
          <w:szCs w:val="28"/>
          <w:lang w:val="ru-RU"/>
        </w:rPr>
        <w:t xml:space="preserve"> (</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rPr>
        <w:t>.</w:t>
      </w:r>
    </w:p>
    <w:p w:rsidR="00EF4063" w:rsidRPr="00F90B6B" w:rsidRDefault="006F7754" w:rsidP="00F0048B">
      <w:pPr>
        <w:spacing w:after="0" w:line="360" w:lineRule="auto"/>
        <w:ind w:firstLine="709"/>
        <w:jc w:val="both"/>
        <w:rPr>
          <w:rFonts w:ascii="Times New Roman" w:hAnsi="Times New Roman"/>
          <w:sz w:val="28"/>
          <w:szCs w:val="28"/>
          <w:lang w:eastAsia="ru-RU"/>
        </w:rPr>
      </w:pPr>
      <w:r w:rsidRPr="00BD2F09">
        <w:rPr>
          <w:rFonts w:ascii="Times New Roman" w:hAnsi="Times New Roman"/>
          <w:noProof/>
          <w:lang w:val="ru-RU" w:eastAsia="ru-RU"/>
        </w:rPr>
        <w:lastRenderedPageBreak/>
        <w:drawing>
          <wp:inline distT="0" distB="0" distL="0" distR="0">
            <wp:extent cx="5543550" cy="2371725"/>
            <wp:effectExtent l="0" t="0" r="0" b="0"/>
            <wp:docPr id="59" name="Диаграмма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EF4063" w:rsidRPr="00F90B6B" w:rsidRDefault="006F7754" w:rsidP="00F0048B">
      <w:pPr>
        <w:spacing w:after="0" w:line="360" w:lineRule="auto"/>
        <w:ind w:firstLine="709"/>
        <w:jc w:val="both"/>
        <w:rPr>
          <w:rFonts w:ascii="Times New Roman" w:hAnsi="Times New Roman"/>
          <w:sz w:val="28"/>
          <w:szCs w:val="28"/>
          <w:lang w:eastAsia="ru-RU"/>
        </w:rPr>
      </w:pPr>
      <w:r>
        <w:rPr>
          <w:noProof/>
          <w:lang w:val="ru-RU" w:eastAsia="ru-RU"/>
        </w:rPr>
        <mc:AlternateContent>
          <mc:Choice Requires="wps">
            <w:drawing>
              <wp:anchor distT="0" distB="0" distL="114300" distR="114300" simplePos="0" relativeHeight="251656192" behindDoc="0" locked="0" layoutInCell="1" allowOverlap="1">
                <wp:simplePos x="0" y="0"/>
                <wp:positionH relativeFrom="column">
                  <wp:posOffset>1271905</wp:posOffset>
                </wp:positionH>
                <wp:positionV relativeFrom="paragraph">
                  <wp:posOffset>598170</wp:posOffset>
                </wp:positionV>
                <wp:extent cx="220980" cy="259080"/>
                <wp:effectExtent l="0" t="0" r="26670" b="26670"/>
                <wp:wrapNone/>
                <wp:docPr id="1" name="5-конечная звезда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0980" cy="259080"/>
                        </a:xfrm>
                        <a:custGeom>
                          <a:avLst/>
                          <a:gdLst>
                            <a:gd name="T0" fmla="*/ 0 w 220980"/>
                            <a:gd name="T1" fmla="*/ 98960 h 259080"/>
                            <a:gd name="T2" fmla="*/ 84407 w 220980"/>
                            <a:gd name="T3" fmla="*/ 98960 h 259080"/>
                            <a:gd name="T4" fmla="*/ 110490 w 220980"/>
                            <a:gd name="T5" fmla="*/ 0 h 259080"/>
                            <a:gd name="T6" fmla="*/ 136573 w 220980"/>
                            <a:gd name="T7" fmla="*/ 98960 h 259080"/>
                            <a:gd name="T8" fmla="*/ 220980 w 220980"/>
                            <a:gd name="T9" fmla="*/ 98960 h 259080"/>
                            <a:gd name="T10" fmla="*/ 152693 w 220980"/>
                            <a:gd name="T11" fmla="*/ 160120 h 259080"/>
                            <a:gd name="T12" fmla="*/ 178776 w 220980"/>
                            <a:gd name="T13" fmla="*/ 259079 h 259080"/>
                            <a:gd name="T14" fmla="*/ 110490 w 220980"/>
                            <a:gd name="T15" fmla="*/ 197918 h 259080"/>
                            <a:gd name="T16" fmla="*/ 42204 w 220980"/>
                            <a:gd name="T17" fmla="*/ 259079 h 259080"/>
                            <a:gd name="T18" fmla="*/ 68287 w 220980"/>
                            <a:gd name="T19" fmla="*/ 160120 h 259080"/>
                            <a:gd name="T20" fmla="*/ 0 w 220980"/>
                            <a:gd name="T21" fmla="*/ 98960 h 25908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20980" h="259080">
                              <a:moveTo>
                                <a:pt x="0" y="98960"/>
                              </a:moveTo>
                              <a:lnTo>
                                <a:pt x="84407" y="98960"/>
                              </a:lnTo>
                              <a:lnTo>
                                <a:pt x="110490" y="0"/>
                              </a:lnTo>
                              <a:lnTo>
                                <a:pt x="136573" y="98960"/>
                              </a:lnTo>
                              <a:lnTo>
                                <a:pt x="220980" y="98960"/>
                              </a:lnTo>
                              <a:lnTo>
                                <a:pt x="152693" y="160120"/>
                              </a:lnTo>
                              <a:lnTo>
                                <a:pt x="178776" y="259079"/>
                              </a:lnTo>
                              <a:lnTo>
                                <a:pt x="110490" y="197918"/>
                              </a:lnTo>
                              <a:lnTo>
                                <a:pt x="42204" y="259079"/>
                              </a:lnTo>
                              <a:lnTo>
                                <a:pt x="68287" y="160120"/>
                              </a:lnTo>
                              <a:lnTo>
                                <a:pt x="0" y="98960"/>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C5C6344" id="5-конечная звезда 28" o:spid="_x0000_s1026" style="position:absolute;margin-left:100.15pt;margin-top:47.1pt;width:17.4pt;height:20.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20980,259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" path="m,98960r84407,l110490,r26083,98960l220980,98960r-68287,61160l178776,259079,110490,197918,42204,259079,68287,160120,,98960xe" fillcolor="#4f81bd" strokecolor="#243f60" strokeweight="2pt">
                <v:path arrowok="t" o:connecttype="custom" o:connectlocs="0,98960;84407,98960;110490,0;136573,98960;220980,98960;152693,160120;178776,259079;110490,197918;42204,259079;68287,160120;0,98960" o:connectangles="0,0,0,0,0,0,0,0,0,0,0"/>
              </v:shape>
            </w:pict>
          </mc:Fallback>
        </mc:AlternateContent>
      </w:r>
      <w:r w:rsidR="00EF4063" w:rsidRPr="00F90B6B">
        <w:rPr>
          <w:rFonts w:ascii="Times New Roman" w:hAnsi="Times New Roman"/>
          <w:b/>
          <w:sz w:val="28"/>
          <w:szCs w:val="28"/>
          <w:lang w:eastAsia="ru-RU"/>
        </w:rPr>
        <w:t xml:space="preserve">Рис. 3.3.10. </w:t>
      </w:r>
      <w:r w:rsidR="00EF4063" w:rsidRPr="00F90B6B">
        <w:rPr>
          <w:rFonts w:ascii="Times New Roman" w:hAnsi="Times New Roman"/>
          <w:sz w:val="28"/>
          <w:szCs w:val="28"/>
          <w:lang w:eastAsia="ru-RU"/>
        </w:rPr>
        <w:t>Дистанція 6-хвилинної ходьби в кластерах «низького» та «високого» рівня секреції альдостерону у хворих з ХСН.</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i/>
          <w:sz w:val="28"/>
          <w:szCs w:val="28"/>
          <w:lang w:eastAsia="ru-RU"/>
        </w:rPr>
        <w:t xml:space="preserve">Примітка:      - </w:t>
      </w:r>
      <w:r w:rsidRPr="00F90B6B">
        <w:rPr>
          <w:rFonts w:ascii="Times New Roman" w:hAnsi="Times New Roman"/>
          <w:sz w:val="28"/>
          <w:szCs w:val="28"/>
          <w:lang w:eastAsia="ru-RU"/>
        </w:rPr>
        <w:t>вірогідна різниця між групами порівняння.</w:t>
      </w:r>
    </w:p>
    <w:p w:rsidR="00EF4063" w:rsidRPr="00F90B6B" w:rsidRDefault="00EF4063" w:rsidP="00F0048B">
      <w:pPr>
        <w:spacing w:after="0" w:line="360" w:lineRule="auto"/>
        <w:ind w:firstLine="709"/>
        <w:jc w:val="both"/>
        <w:rPr>
          <w:rFonts w:ascii="Times New Roman" w:hAnsi="Times New Roman"/>
          <w:sz w:val="28"/>
          <w:szCs w:val="28"/>
          <w:lang w:eastAsia="ru-RU"/>
        </w:rPr>
      </w:pPr>
    </w:p>
    <w:p w:rsidR="00EF4063" w:rsidRPr="00F90B6B" w:rsidRDefault="00EF4063" w:rsidP="00F0048B">
      <w:pPr>
        <w:spacing w:after="0" w:line="360" w:lineRule="auto"/>
        <w:ind w:firstLine="709"/>
        <w:jc w:val="both"/>
        <w:rPr>
          <w:rFonts w:ascii="Times New Roman" w:hAnsi="Times New Roman"/>
          <w:sz w:val="28"/>
          <w:szCs w:val="28"/>
          <w:lang w:val="ru-RU" w:eastAsia="ru-RU"/>
        </w:rPr>
      </w:pPr>
      <w:r w:rsidRPr="00F90B6B">
        <w:rPr>
          <w:rFonts w:ascii="Times New Roman" w:hAnsi="Times New Roman"/>
          <w:sz w:val="28"/>
          <w:szCs w:val="28"/>
          <w:lang w:eastAsia="ru-RU"/>
        </w:rPr>
        <w:t xml:space="preserve">Погіршення якості життя за Міннесотським опитувачем прямо корелювало з вмістом альдостерону у хворих з ХСН, а також при ХСН та ожирінні, рис. 3.3.11-3.3.12. Коефіцієнт взаємодії становив </w:t>
      </w:r>
      <w:r w:rsidRPr="00F90B6B">
        <w:rPr>
          <w:rFonts w:ascii="Times New Roman" w:hAnsi="Times New Roman"/>
          <w:sz w:val="28"/>
          <w:szCs w:val="28"/>
          <w:lang w:val="en-US" w:eastAsia="ru-RU"/>
        </w:rPr>
        <w:t>r</w:t>
      </w:r>
      <w:r w:rsidRPr="00F90B6B">
        <w:rPr>
          <w:rFonts w:ascii="Times New Roman" w:hAnsi="Times New Roman"/>
          <w:sz w:val="28"/>
          <w:szCs w:val="28"/>
          <w:lang w:val="ru-RU" w:eastAsia="ru-RU"/>
        </w:rPr>
        <w:t>=0,26 (</w:t>
      </w:r>
      <w:r w:rsidRPr="00F90B6B">
        <w:rPr>
          <w:rFonts w:ascii="Times New Roman" w:hAnsi="Times New Roman"/>
          <w:sz w:val="28"/>
          <w:szCs w:val="28"/>
          <w:lang w:eastAsia="ru-RU"/>
        </w:rPr>
        <w:t>р</w:t>
      </w:r>
      <w:r w:rsidRPr="00F90B6B">
        <w:rPr>
          <w:rFonts w:ascii="Times New Roman" w:hAnsi="Times New Roman"/>
          <w:sz w:val="28"/>
          <w:szCs w:val="28"/>
          <w:lang w:val="ru-RU" w:eastAsia="ru-RU"/>
        </w:rPr>
        <w:t xml:space="preserve">&lt;0,05) </w:t>
      </w:r>
      <w:r w:rsidRPr="00F90B6B">
        <w:rPr>
          <w:rFonts w:ascii="Times New Roman" w:hAnsi="Times New Roman"/>
          <w:sz w:val="28"/>
          <w:szCs w:val="28"/>
          <w:lang w:eastAsia="ru-RU"/>
        </w:rPr>
        <w:t xml:space="preserve">та </w:t>
      </w:r>
      <w:r w:rsidRPr="00F90B6B">
        <w:rPr>
          <w:rFonts w:ascii="Times New Roman" w:hAnsi="Times New Roman"/>
          <w:sz w:val="28"/>
          <w:szCs w:val="28"/>
          <w:lang w:val="en-US" w:eastAsia="ru-RU"/>
        </w:rPr>
        <w:t>r</w:t>
      </w:r>
      <w:r w:rsidRPr="00F90B6B">
        <w:rPr>
          <w:rFonts w:ascii="Times New Roman" w:hAnsi="Times New Roman"/>
          <w:sz w:val="28"/>
          <w:szCs w:val="28"/>
          <w:lang w:val="ru-RU" w:eastAsia="ru-RU"/>
        </w:rPr>
        <w:t>=0,17</w:t>
      </w:r>
      <w:r w:rsidRPr="00F90B6B">
        <w:rPr>
          <w:rFonts w:ascii="Times New Roman" w:hAnsi="Times New Roman"/>
          <w:sz w:val="28"/>
          <w:szCs w:val="28"/>
          <w:lang w:eastAsia="ru-RU"/>
        </w:rPr>
        <w:t xml:space="preserve">, </w:t>
      </w:r>
      <w:r w:rsidRPr="00F90B6B">
        <w:rPr>
          <w:rFonts w:ascii="Times New Roman" w:hAnsi="Times New Roman"/>
          <w:sz w:val="28"/>
          <w:szCs w:val="28"/>
          <w:lang w:val="ru-RU" w:eastAsia="ru-RU"/>
        </w:rPr>
        <w:t>(</w:t>
      </w:r>
      <w:r w:rsidRPr="00F90B6B">
        <w:rPr>
          <w:rFonts w:ascii="Times New Roman" w:hAnsi="Times New Roman"/>
          <w:sz w:val="28"/>
          <w:szCs w:val="28"/>
          <w:lang w:eastAsia="ru-RU"/>
        </w:rPr>
        <w:t>р</w:t>
      </w:r>
      <w:r w:rsidRPr="00F90B6B">
        <w:rPr>
          <w:rFonts w:ascii="Times New Roman" w:hAnsi="Times New Roman"/>
          <w:sz w:val="28"/>
          <w:szCs w:val="28"/>
          <w:lang w:val="ru-RU" w:eastAsia="ru-RU"/>
        </w:rPr>
        <w:t>&lt;0,05).</w:t>
      </w:r>
    </w:p>
    <w:p w:rsidR="00EF4063" w:rsidRPr="00F90B6B" w:rsidRDefault="00EF4063" w:rsidP="00F0048B">
      <w:pPr>
        <w:spacing w:after="0" w:line="360" w:lineRule="auto"/>
        <w:ind w:firstLine="709"/>
        <w:jc w:val="both"/>
        <w:rPr>
          <w:rFonts w:ascii="Times New Roman" w:hAnsi="Times New Roman"/>
          <w:sz w:val="28"/>
          <w:szCs w:val="28"/>
          <w:lang w:eastAsia="ru-RU"/>
        </w:rPr>
      </w:pPr>
    </w:p>
    <w:tbl>
      <w:tblPr>
        <w:tblW w:w="0" w:type="auto"/>
        <w:tblLook w:val="00A0" w:firstRow="1" w:lastRow="0" w:firstColumn="1" w:lastColumn="0" w:noHBand="0" w:noVBand="0"/>
      </w:tblPr>
      <w:tblGrid>
        <w:gridCol w:w="5131"/>
        <w:gridCol w:w="4724"/>
      </w:tblGrid>
      <w:tr w:rsidR="00EF4063" w:rsidRPr="00F90B6B" w:rsidTr="0076299F">
        <w:tc>
          <w:tcPr>
            <w:tcW w:w="5131"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066" type="#_x0000_t75" style="width:228.75pt;height:171.75pt" o:ole="">
                  <v:imagedata r:id="rId119" o:title=""/>
                </v:shape>
                <o:OLEObject Type="Embed" ProgID="STATISTICA.Graph" ShapeID="_x0000_i1066" DrawAspect="Content" ObjectID="_1624460789" r:id="rId120">
                  <o:FieldCodes>\s</o:FieldCodes>
                </o:OLEObject>
              </w:object>
            </w:r>
          </w:p>
        </w:tc>
        <w:tc>
          <w:tcPr>
            <w:tcW w:w="4724"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55" w:dyaOrig="3345">
                <v:shape id="_x0000_i1067" type="#_x0000_t75" style="width:222.75pt;height:167.25pt" o:ole="">
                  <v:imagedata r:id="rId121" o:title=""/>
                </v:shape>
                <o:OLEObject Type="Embed" ProgID="STATISTICA.Graph" ShapeID="_x0000_i1067" DrawAspect="Content" ObjectID="_1624460790" r:id="rId122">
                  <o:FieldCodes>\s</o:FieldCodes>
                </o:OLEObject>
              </w:object>
            </w:r>
          </w:p>
        </w:tc>
      </w:tr>
      <w:tr w:rsidR="00EF4063" w:rsidRPr="00F90B6B" w:rsidTr="0076299F">
        <w:tc>
          <w:tcPr>
            <w:tcW w:w="5131"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3.3.11. </w:t>
            </w:r>
            <w:r w:rsidRPr="00F90B6B">
              <w:rPr>
                <w:rFonts w:ascii="Times New Roman" w:hAnsi="Times New Roman"/>
                <w:sz w:val="28"/>
                <w:szCs w:val="28"/>
                <w:lang w:eastAsia="ru-RU"/>
              </w:rPr>
              <w:t>Кореляційний зв’язок між погіршенням якості життя та рівнем секреції альдостерону у пацієнтів з ХСН.</w:t>
            </w:r>
          </w:p>
        </w:tc>
        <w:tc>
          <w:tcPr>
            <w:tcW w:w="4724"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3.3.12. </w:t>
            </w:r>
            <w:r w:rsidRPr="00F90B6B">
              <w:rPr>
                <w:rFonts w:ascii="Times New Roman" w:hAnsi="Times New Roman"/>
                <w:sz w:val="28"/>
                <w:szCs w:val="28"/>
                <w:lang w:eastAsia="ru-RU"/>
              </w:rPr>
              <w:t>Кореляційний зв’язок між погіршенням якості життя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lastRenderedPageBreak/>
        <w:t>Результати взаємодії основних лабораторних показників – рівня сечовини та глюкози з вмістом альдостерону у хворих з ХСН та ХСН з ожирінням наведені на рис. 3.3.1</w:t>
      </w:r>
      <w:r w:rsidRPr="00F90B6B">
        <w:rPr>
          <w:rFonts w:ascii="Times New Roman" w:hAnsi="Times New Roman"/>
          <w:sz w:val="28"/>
          <w:szCs w:val="28"/>
          <w:lang w:val="ru-RU" w:eastAsia="ru-RU"/>
        </w:rPr>
        <w:t>3</w:t>
      </w:r>
      <w:r w:rsidRPr="00F90B6B">
        <w:rPr>
          <w:rFonts w:ascii="Times New Roman" w:hAnsi="Times New Roman"/>
          <w:sz w:val="28"/>
          <w:szCs w:val="28"/>
          <w:lang w:eastAsia="ru-RU"/>
        </w:rPr>
        <w:t>-3.3.1</w:t>
      </w:r>
      <w:r w:rsidRPr="00F90B6B">
        <w:rPr>
          <w:rFonts w:ascii="Times New Roman" w:hAnsi="Times New Roman"/>
          <w:sz w:val="28"/>
          <w:szCs w:val="28"/>
          <w:lang w:val="ru-RU" w:eastAsia="ru-RU"/>
        </w:rPr>
        <w:t>6</w:t>
      </w:r>
      <w:r w:rsidRPr="00F90B6B">
        <w:rPr>
          <w:rFonts w:ascii="Times New Roman" w:hAnsi="Times New Roman"/>
          <w:sz w:val="28"/>
          <w:szCs w:val="28"/>
          <w:lang w:eastAsia="ru-RU"/>
        </w:rPr>
        <w:t>.</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Виявлено прямий лінійний зв’язок між вмістом сечовини та альдостерону за наявності ХСН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=0,26,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рис. 3.3.13) та його посилення при ожирінні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=0,33,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рис. 3.3.14). </w:t>
      </w:r>
    </w:p>
    <w:tbl>
      <w:tblPr>
        <w:tblW w:w="0" w:type="auto"/>
        <w:tblLook w:val="00A0" w:firstRow="1" w:lastRow="0" w:firstColumn="1" w:lastColumn="0" w:noHBand="0" w:noVBand="0"/>
      </w:tblPr>
      <w:tblGrid>
        <w:gridCol w:w="5286"/>
        <w:gridCol w:w="4866"/>
      </w:tblGrid>
      <w:tr w:rsidR="00EF4063" w:rsidRPr="00F90B6B" w:rsidTr="0076299F">
        <w:tc>
          <w:tcPr>
            <w:tcW w:w="5131"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5070" w:dyaOrig="3795">
                <v:shape id="_x0000_i1068" type="#_x0000_t75" style="width:253.5pt;height:189.75pt" o:ole="">
                  <v:imagedata r:id="rId123" o:title=""/>
                </v:shape>
                <o:OLEObject Type="Embed" ProgID="STATISTICA.Graph" ShapeID="_x0000_i1068" DrawAspect="Content" ObjectID="_1624460791" r:id="rId124">
                  <o:FieldCodes>\s</o:FieldCodes>
                </o:OLEObject>
              </w:object>
            </w:r>
          </w:p>
        </w:tc>
        <w:tc>
          <w:tcPr>
            <w:tcW w:w="4724"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50" w:dyaOrig="3495">
                <v:shape id="_x0000_i1069" type="#_x0000_t75" style="width:232.5pt;height:174.75pt" o:ole="">
                  <v:imagedata r:id="rId125" o:title=""/>
                </v:shape>
                <o:OLEObject Type="Embed" ProgID="STATISTICA.Graph" ShapeID="_x0000_i1069" DrawAspect="Content" ObjectID="_1624460792" r:id="rId126">
                  <o:FieldCodes>\s</o:FieldCodes>
                </o:OLEObject>
              </w:object>
            </w:r>
          </w:p>
        </w:tc>
      </w:tr>
      <w:tr w:rsidR="00EF4063" w:rsidRPr="00F90B6B" w:rsidTr="0076299F">
        <w:tc>
          <w:tcPr>
            <w:tcW w:w="5131"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3.3.13. </w:t>
            </w:r>
            <w:r w:rsidRPr="00F90B6B">
              <w:rPr>
                <w:rFonts w:ascii="Times New Roman" w:hAnsi="Times New Roman"/>
                <w:sz w:val="28"/>
                <w:szCs w:val="28"/>
                <w:lang w:eastAsia="ru-RU"/>
              </w:rPr>
              <w:t>Кореляційний зв’язок між вмістом сечовини та рівнем секреції альдостерону у пацієнтів з ХСН.</w:t>
            </w:r>
          </w:p>
        </w:tc>
        <w:tc>
          <w:tcPr>
            <w:tcW w:w="4724"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3.3.14. </w:t>
            </w:r>
            <w:r w:rsidRPr="00F90B6B">
              <w:rPr>
                <w:rFonts w:ascii="Times New Roman" w:hAnsi="Times New Roman"/>
                <w:sz w:val="28"/>
                <w:szCs w:val="28"/>
                <w:lang w:eastAsia="ru-RU"/>
              </w:rPr>
              <w:t>Кореляційний зв’язок між вмістом сечовини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Підвищення рівня альдостерону призводило, скоріше, до зниження рівня глікемії в загальній групі пацієнтів з ХСН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=-0,14,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рис. 3.3.15), проте не доведено подібної залежності в групі з ХСН та ожирінням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=0,009,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 рис. 3.3.16).</w:t>
      </w:r>
    </w:p>
    <w:tbl>
      <w:tblPr>
        <w:tblW w:w="0" w:type="auto"/>
        <w:tblLook w:val="00A0" w:firstRow="1" w:lastRow="0" w:firstColumn="1" w:lastColumn="0" w:noHBand="0" w:noVBand="0"/>
      </w:tblPr>
      <w:tblGrid>
        <w:gridCol w:w="5166"/>
        <w:gridCol w:w="4941"/>
      </w:tblGrid>
      <w:tr w:rsidR="00EF4063" w:rsidRPr="00F90B6B" w:rsidTr="0076299F">
        <w:tc>
          <w:tcPr>
            <w:tcW w:w="5131"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950" w:dyaOrig="3705">
                <v:shape id="_x0000_i1070" type="#_x0000_t75" style="width:247.5pt;height:185.25pt" o:ole="">
                  <v:imagedata r:id="rId127" o:title=""/>
                </v:shape>
                <o:OLEObject Type="Embed" ProgID="STATISTICA.Graph" ShapeID="_x0000_i1070" DrawAspect="Content" ObjectID="_1624460793" r:id="rId128">
                  <o:FieldCodes>\s</o:FieldCodes>
                </o:OLEObject>
              </w:object>
            </w:r>
          </w:p>
        </w:tc>
        <w:tc>
          <w:tcPr>
            <w:tcW w:w="4724"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25" w:dyaOrig="3540">
                <v:shape id="_x0000_i1071" type="#_x0000_t75" style="width:236.25pt;height:177pt" o:ole="">
                  <v:imagedata r:id="rId129" o:title=""/>
                </v:shape>
                <o:OLEObject Type="Embed" ProgID="STATISTICA.Graph" ShapeID="_x0000_i1071" DrawAspect="Content" ObjectID="_1624460794" r:id="rId130">
                  <o:FieldCodes>\s</o:FieldCodes>
                </o:OLEObject>
              </w:object>
            </w:r>
          </w:p>
        </w:tc>
      </w:tr>
      <w:tr w:rsidR="00EF4063" w:rsidRPr="00F90B6B" w:rsidTr="0076299F">
        <w:tc>
          <w:tcPr>
            <w:tcW w:w="5131"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3.3.15. </w:t>
            </w:r>
            <w:r w:rsidRPr="00F90B6B">
              <w:rPr>
                <w:rFonts w:ascii="Times New Roman" w:hAnsi="Times New Roman"/>
                <w:sz w:val="28"/>
                <w:szCs w:val="28"/>
                <w:lang w:eastAsia="ru-RU"/>
              </w:rPr>
              <w:t>Кореляційний зв’язок між рівнем глікемії сечовини та рівнем секреції альдостерону у пацієнтів з ХСН.</w:t>
            </w:r>
          </w:p>
        </w:tc>
        <w:tc>
          <w:tcPr>
            <w:tcW w:w="4724"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3.3.16. </w:t>
            </w:r>
            <w:r w:rsidRPr="00F90B6B">
              <w:rPr>
                <w:rFonts w:ascii="Times New Roman" w:hAnsi="Times New Roman"/>
                <w:sz w:val="28"/>
                <w:szCs w:val="28"/>
                <w:lang w:eastAsia="ru-RU"/>
              </w:rPr>
              <w:t>Кореляційний зв’язок між рівнем глікемії та рівнем секреції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Для вмісту холестерину, ліпопротеїдів дуже низької щільності, ліпопротеїдів високої щільності, тригліцеридів та індексу атерогенності не доведено вірогідних взаємозв’язків з рівнем альдостерону (табл. 3.3.1,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 на відміну від ЛПНЩ при супутньому ожирінні, рис. 3.3.17.</w:t>
      </w:r>
    </w:p>
    <w:p w:rsidR="00EF4063" w:rsidRPr="00F90B6B" w:rsidRDefault="00EF4063" w:rsidP="00F0048B">
      <w:pPr>
        <w:spacing w:after="0" w:line="360" w:lineRule="auto"/>
        <w:ind w:firstLine="709"/>
        <w:jc w:val="right"/>
        <w:rPr>
          <w:rFonts w:ascii="Times New Roman" w:hAnsi="Times New Roman"/>
          <w:i/>
          <w:sz w:val="28"/>
          <w:szCs w:val="28"/>
          <w:lang w:eastAsia="ru-RU"/>
        </w:rPr>
      </w:pPr>
      <w:r w:rsidRPr="00F90B6B">
        <w:rPr>
          <w:rFonts w:ascii="Times New Roman" w:hAnsi="Times New Roman"/>
          <w:i/>
          <w:sz w:val="28"/>
          <w:szCs w:val="28"/>
          <w:lang w:eastAsia="ru-RU"/>
        </w:rPr>
        <w:t>Таблиця 3.3.1</w:t>
      </w:r>
    </w:p>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Регресійний зв’язок (</w:t>
      </w:r>
      <w:r w:rsidRPr="00F90B6B">
        <w:rPr>
          <w:rFonts w:ascii="Times New Roman" w:hAnsi="Times New Roman"/>
          <w:b/>
          <w:sz w:val="28"/>
          <w:szCs w:val="28"/>
          <w:lang w:val="en-US" w:eastAsia="ru-RU"/>
        </w:rPr>
        <w:t>r</w:t>
      </w:r>
      <w:r w:rsidRPr="00F90B6B">
        <w:rPr>
          <w:rFonts w:ascii="Times New Roman" w:hAnsi="Times New Roman"/>
          <w:b/>
          <w:sz w:val="28"/>
          <w:szCs w:val="28"/>
          <w:lang w:eastAsia="ru-RU"/>
        </w:rPr>
        <w:t>) між параметрами дисліпідемії та рівнем альдостерону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76299F">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p>
        </w:tc>
        <w:tc>
          <w:tcPr>
            <w:tcW w:w="3285" w:type="dxa"/>
            <w:vAlign w:val="center"/>
          </w:tcPr>
          <w:p w:rsidR="00EF4063" w:rsidRPr="00F90B6B" w:rsidRDefault="00EF4063" w:rsidP="00976E59">
            <w:pPr>
              <w:spacing w:after="0" w:line="240" w:lineRule="auto"/>
              <w:jc w:val="center"/>
              <w:rPr>
                <w:rFonts w:ascii="Times New Roman" w:hAnsi="Times New Roman"/>
                <w:b/>
                <w:sz w:val="28"/>
                <w:szCs w:val="28"/>
                <w:lang w:val="en-US" w:eastAsia="ru-RU"/>
              </w:rPr>
            </w:pPr>
            <w:r w:rsidRPr="00F90B6B">
              <w:rPr>
                <w:rFonts w:ascii="Times New Roman" w:hAnsi="Times New Roman"/>
                <w:b/>
                <w:sz w:val="28"/>
                <w:szCs w:val="28"/>
                <w:lang w:eastAsia="ru-RU"/>
              </w:rPr>
              <w:t>ХСН</w:t>
            </w:r>
          </w:p>
          <w:p w:rsidR="00EF4063" w:rsidRPr="00F90B6B" w:rsidRDefault="00EF4063" w:rsidP="00976E59">
            <w:pPr>
              <w:spacing w:after="0" w:line="240"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n=50</w:t>
            </w:r>
          </w:p>
        </w:tc>
        <w:tc>
          <w:tcPr>
            <w:tcW w:w="3285" w:type="dxa"/>
            <w:vAlign w:val="center"/>
          </w:tcPr>
          <w:p w:rsidR="00EF4063" w:rsidRPr="00F90B6B" w:rsidRDefault="00EF4063" w:rsidP="00976E59">
            <w:pPr>
              <w:spacing w:after="0" w:line="240" w:lineRule="auto"/>
              <w:jc w:val="center"/>
              <w:rPr>
                <w:rFonts w:ascii="Times New Roman" w:hAnsi="Times New Roman"/>
                <w:b/>
                <w:sz w:val="28"/>
                <w:szCs w:val="28"/>
                <w:lang w:eastAsia="ru-RU"/>
              </w:rPr>
            </w:pPr>
            <w:r w:rsidRPr="00F90B6B">
              <w:rPr>
                <w:rFonts w:ascii="Times New Roman" w:hAnsi="Times New Roman"/>
                <w:b/>
                <w:sz w:val="28"/>
                <w:szCs w:val="28"/>
                <w:lang w:eastAsia="ru-RU"/>
              </w:rPr>
              <w:t>ХСН та ожиріння</w:t>
            </w:r>
          </w:p>
          <w:p w:rsidR="00EF4063" w:rsidRPr="00F90B6B" w:rsidRDefault="00EF4063" w:rsidP="00976E59">
            <w:pPr>
              <w:spacing w:after="0" w:line="240"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n=40</w:t>
            </w:r>
          </w:p>
        </w:tc>
      </w:tr>
      <w:tr w:rsidR="00EF4063" w:rsidRPr="00F90B6B" w:rsidTr="0076299F">
        <w:tc>
          <w:tcPr>
            <w:tcW w:w="3285" w:type="dxa"/>
            <w:vAlign w:val="center"/>
          </w:tcPr>
          <w:p w:rsidR="00EF4063" w:rsidRPr="00F90B6B" w:rsidRDefault="00EF4063" w:rsidP="00976E59">
            <w:pPr>
              <w:spacing w:after="0" w:line="24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Холестерин</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-0,04</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0,05</w:t>
            </w:r>
          </w:p>
        </w:tc>
      </w:tr>
      <w:tr w:rsidR="00EF4063" w:rsidRPr="00F90B6B" w:rsidTr="0076299F">
        <w:tc>
          <w:tcPr>
            <w:tcW w:w="3285" w:type="dxa"/>
            <w:vAlign w:val="center"/>
          </w:tcPr>
          <w:p w:rsidR="00EF4063" w:rsidRPr="00F90B6B" w:rsidRDefault="00EF4063" w:rsidP="00976E59">
            <w:pPr>
              <w:spacing w:after="0" w:line="24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ЛПНЩ</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0,01</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0,24</w:t>
            </w:r>
          </w:p>
        </w:tc>
      </w:tr>
      <w:tr w:rsidR="00EF4063" w:rsidRPr="00F90B6B" w:rsidTr="0076299F">
        <w:tc>
          <w:tcPr>
            <w:tcW w:w="3285" w:type="dxa"/>
            <w:vAlign w:val="center"/>
          </w:tcPr>
          <w:p w:rsidR="00EF4063" w:rsidRPr="00F90B6B" w:rsidRDefault="00EF4063" w:rsidP="00976E59">
            <w:pPr>
              <w:spacing w:after="0" w:line="24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ЛПДНЩ</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-0,03</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0,02</w:t>
            </w:r>
          </w:p>
        </w:tc>
      </w:tr>
      <w:tr w:rsidR="00EF4063" w:rsidRPr="00F90B6B" w:rsidTr="0076299F">
        <w:tc>
          <w:tcPr>
            <w:tcW w:w="3285" w:type="dxa"/>
            <w:vAlign w:val="center"/>
          </w:tcPr>
          <w:p w:rsidR="00EF4063" w:rsidRPr="00F90B6B" w:rsidRDefault="00EF4063" w:rsidP="00976E59">
            <w:pPr>
              <w:spacing w:after="0" w:line="24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ЛПВЩ</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0,03</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0,07</w:t>
            </w:r>
          </w:p>
        </w:tc>
      </w:tr>
      <w:tr w:rsidR="00EF4063" w:rsidRPr="00F90B6B" w:rsidTr="0076299F">
        <w:tc>
          <w:tcPr>
            <w:tcW w:w="3285" w:type="dxa"/>
            <w:vAlign w:val="center"/>
          </w:tcPr>
          <w:p w:rsidR="00EF4063" w:rsidRPr="00F90B6B" w:rsidRDefault="00EF4063" w:rsidP="00976E59">
            <w:pPr>
              <w:spacing w:after="0" w:line="24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Тригліцериди</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-0,01</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-0,04</w:t>
            </w:r>
          </w:p>
        </w:tc>
      </w:tr>
      <w:tr w:rsidR="00EF4063" w:rsidRPr="00F90B6B" w:rsidTr="0076299F">
        <w:tc>
          <w:tcPr>
            <w:tcW w:w="3285" w:type="dxa"/>
            <w:vAlign w:val="center"/>
          </w:tcPr>
          <w:p w:rsidR="00EF4063" w:rsidRPr="00F90B6B" w:rsidRDefault="00EF4063" w:rsidP="00976E59">
            <w:pPr>
              <w:spacing w:after="0" w:line="24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Індекс атерогенності</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0,05</w:t>
            </w:r>
          </w:p>
        </w:tc>
        <w:tc>
          <w:tcPr>
            <w:tcW w:w="3285" w:type="dxa"/>
            <w:vAlign w:val="center"/>
          </w:tcPr>
          <w:p w:rsidR="00EF4063" w:rsidRPr="00F90B6B" w:rsidRDefault="00EF4063" w:rsidP="00976E59">
            <w:pPr>
              <w:spacing w:after="0" w:line="240" w:lineRule="auto"/>
              <w:jc w:val="center"/>
              <w:rPr>
                <w:rFonts w:ascii="Times New Roman" w:hAnsi="Times New Roman"/>
                <w:sz w:val="28"/>
                <w:szCs w:val="28"/>
                <w:lang w:eastAsia="ru-RU"/>
              </w:rPr>
            </w:pPr>
            <w:r w:rsidRPr="00F90B6B">
              <w:rPr>
                <w:rFonts w:ascii="Times New Roman" w:hAnsi="Times New Roman"/>
                <w:sz w:val="28"/>
                <w:szCs w:val="28"/>
                <w:lang w:eastAsia="ru-RU"/>
              </w:rPr>
              <w:t>0,01</w:t>
            </w:r>
          </w:p>
        </w:tc>
      </w:tr>
    </w:tbl>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Регресійний зв’язок при дослідженні вмісту альдостерону та ЛПНЩ у пацієнтів з ХСН та ожирінням становив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=0,24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Для показників загального аналізу крові вірогідної взаємодії з рівнем альдостерону не встановлено, табл. 3.3.2. </w:t>
      </w:r>
    </w:p>
    <w:p w:rsidR="00EF4063" w:rsidRPr="00F90B6B" w:rsidRDefault="00EF4063" w:rsidP="00976E59">
      <w:pPr>
        <w:widowControl w:val="0"/>
        <w:spacing w:after="0" w:line="360" w:lineRule="auto"/>
        <w:jc w:val="center"/>
        <w:rPr>
          <w:rFonts w:ascii="Times New Roman" w:hAnsi="Times New Roman"/>
          <w:sz w:val="28"/>
          <w:szCs w:val="28"/>
          <w:lang w:eastAsia="ru-RU"/>
        </w:rPr>
      </w:pPr>
      <w:r w:rsidRPr="00F90B6B">
        <w:rPr>
          <w:rFonts w:ascii="Times New Roman" w:hAnsi="Times New Roman"/>
        </w:rPr>
        <w:object w:dxaOrig="6975" w:dyaOrig="5235">
          <v:shape id="_x0000_i1072" type="#_x0000_t75" style="width:348.75pt;height:261.75pt" o:ole="">
            <v:imagedata r:id="rId131" o:title=""/>
          </v:shape>
          <o:OLEObject Type="Embed" ProgID="STATISTICA.Graph" ShapeID="_x0000_i1072" DrawAspect="Content" ObjectID="_1624460795" r:id="rId132">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3.3.17. </w:t>
      </w:r>
      <w:r w:rsidRPr="00F90B6B">
        <w:rPr>
          <w:rFonts w:ascii="Times New Roman" w:hAnsi="Times New Roman"/>
          <w:sz w:val="28"/>
          <w:szCs w:val="28"/>
        </w:rPr>
        <w:t>Зв’язок вмісту альдостерону та рівня ліпопротеїдів низької щільності у пацієнтів з ХСН та ожирінням.</w:t>
      </w:r>
    </w:p>
    <w:p w:rsidR="00EF4063" w:rsidRPr="00F90B6B" w:rsidRDefault="00EF4063" w:rsidP="00F0048B">
      <w:pPr>
        <w:spacing w:after="0" w:line="360" w:lineRule="auto"/>
        <w:ind w:firstLine="709"/>
        <w:jc w:val="right"/>
        <w:rPr>
          <w:rFonts w:ascii="Times New Roman" w:hAnsi="Times New Roman"/>
          <w:i/>
          <w:sz w:val="28"/>
          <w:szCs w:val="28"/>
          <w:lang w:eastAsia="ru-RU"/>
        </w:rPr>
      </w:pPr>
      <w:r w:rsidRPr="00F90B6B">
        <w:rPr>
          <w:rFonts w:ascii="Times New Roman" w:hAnsi="Times New Roman"/>
          <w:i/>
          <w:sz w:val="28"/>
          <w:szCs w:val="28"/>
          <w:lang w:eastAsia="ru-RU"/>
        </w:rPr>
        <w:t>Таблиця 3.3.2</w:t>
      </w:r>
    </w:p>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 xml:space="preserve">Регресійний зв’язок </w:t>
      </w:r>
      <w:r w:rsidRPr="00F90B6B">
        <w:rPr>
          <w:rFonts w:ascii="Times New Roman" w:hAnsi="Times New Roman"/>
          <w:b/>
          <w:sz w:val="28"/>
          <w:szCs w:val="28"/>
          <w:lang w:val="ru-RU" w:eastAsia="ru-RU"/>
        </w:rPr>
        <w:t>(</w:t>
      </w:r>
      <w:r w:rsidRPr="00F90B6B">
        <w:rPr>
          <w:rFonts w:ascii="Times New Roman" w:hAnsi="Times New Roman"/>
          <w:b/>
          <w:sz w:val="28"/>
          <w:szCs w:val="28"/>
          <w:lang w:val="en-US" w:eastAsia="ru-RU"/>
        </w:rPr>
        <w:t>r</w:t>
      </w:r>
      <w:r w:rsidRPr="00F90B6B">
        <w:rPr>
          <w:rFonts w:ascii="Times New Roman" w:hAnsi="Times New Roman"/>
          <w:b/>
          <w:sz w:val="28"/>
          <w:szCs w:val="28"/>
          <w:lang w:val="ru-RU" w:eastAsia="ru-RU"/>
        </w:rPr>
        <w:t xml:space="preserve">) </w:t>
      </w:r>
      <w:r w:rsidRPr="00F90B6B">
        <w:rPr>
          <w:rFonts w:ascii="Times New Roman" w:hAnsi="Times New Roman"/>
          <w:b/>
          <w:sz w:val="28"/>
          <w:szCs w:val="28"/>
          <w:lang w:eastAsia="ru-RU"/>
        </w:rPr>
        <w:t>між показниками загального аналізу крові та рівнем альдостерону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sz w:val="28"/>
                <w:szCs w:val="28"/>
                <w:lang w:val="ru-RU" w:eastAsia="ru-RU"/>
              </w:rPr>
            </w:pPr>
          </w:p>
        </w:tc>
        <w:tc>
          <w:tcPr>
            <w:tcW w:w="3285" w:type="dxa"/>
            <w:vAlign w:val="center"/>
          </w:tcPr>
          <w:p w:rsidR="00EF4063" w:rsidRPr="00F90B6B" w:rsidRDefault="00EF4063" w:rsidP="00F0048B">
            <w:pPr>
              <w:spacing w:after="0" w:line="360" w:lineRule="auto"/>
              <w:jc w:val="center"/>
              <w:rPr>
                <w:rFonts w:ascii="Times New Roman" w:hAnsi="Times New Roman"/>
                <w:b/>
                <w:sz w:val="28"/>
                <w:szCs w:val="28"/>
                <w:lang w:val="en-US" w:eastAsia="ru-RU"/>
              </w:rPr>
            </w:pPr>
            <w:r w:rsidRPr="00F90B6B">
              <w:rPr>
                <w:rFonts w:ascii="Times New Roman" w:hAnsi="Times New Roman"/>
                <w:b/>
                <w:sz w:val="28"/>
                <w:szCs w:val="28"/>
                <w:lang w:eastAsia="ru-RU"/>
              </w:rPr>
              <w:t>ХСН</w:t>
            </w:r>
          </w:p>
          <w:p w:rsidR="00EF4063" w:rsidRPr="00F90B6B" w:rsidRDefault="00EF4063" w:rsidP="00F0048B">
            <w:pPr>
              <w:spacing w:after="0" w:line="360"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n=50</w:t>
            </w:r>
          </w:p>
        </w:tc>
        <w:tc>
          <w:tcPr>
            <w:tcW w:w="3285" w:type="dxa"/>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ХСН та ожиріння</w:t>
            </w:r>
          </w:p>
          <w:p w:rsidR="00EF4063" w:rsidRPr="00F90B6B" w:rsidRDefault="00EF4063" w:rsidP="00F0048B">
            <w:pPr>
              <w:spacing w:after="0" w:line="360"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n=40</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Еритроцити</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0,05</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0,07</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Гемоглобін</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0,04</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0,15</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Лейкоцити</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0,23</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0,13</w:t>
            </w:r>
          </w:p>
        </w:tc>
      </w:tr>
      <w:tr w:rsidR="00EF4063" w:rsidRPr="00F90B6B" w:rsidTr="0076299F">
        <w:tc>
          <w:tcPr>
            <w:tcW w:w="3285" w:type="dxa"/>
            <w:vAlign w:val="center"/>
          </w:tcPr>
          <w:p w:rsidR="00EF4063" w:rsidRPr="00F90B6B" w:rsidRDefault="00EF4063" w:rsidP="00F0048B">
            <w:pPr>
              <w:spacing w:after="0" w:line="360" w:lineRule="auto"/>
              <w:jc w:val="center"/>
              <w:rPr>
                <w:rFonts w:ascii="Times New Roman" w:hAnsi="Times New Roman"/>
                <w:b/>
                <w:i/>
                <w:sz w:val="28"/>
                <w:szCs w:val="28"/>
                <w:lang w:eastAsia="ru-RU"/>
              </w:rPr>
            </w:pPr>
            <w:r w:rsidRPr="00F90B6B">
              <w:rPr>
                <w:rFonts w:ascii="Times New Roman" w:hAnsi="Times New Roman"/>
                <w:b/>
                <w:i/>
                <w:sz w:val="28"/>
                <w:szCs w:val="28"/>
                <w:lang w:eastAsia="ru-RU"/>
              </w:rPr>
              <w:t>Тромбоцити</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-0,01</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-0,06</w:t>
            </w:r>
          </w:p>
        </w:tc>
      </w:tr>
    </w:tbl>
    <w:p w:rsidR="00EF4063" w:rsidRPr="00F90B6B" w:rsidRDefault="00EF4063"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Дані стосовно рівня печінковоспецифічних ферментів (аспарататамінотрансферази – АсАТ та аланінамінотрансферази – АлАТ), а також та їх співвідношення з вмістом альдостерону у хворих з ХСН наведені на рис. 3.3.18-3.3.21.</w:t>
      </w:r>
    </w:p>
    <w:p w:rsidR="00EF4063" w:rsidRPr="00F90B6B" w:rsidRDefault="00EF4063" w:rsidP="00F0048B">
      <w:pPr>
        <w:spacing w:after="0" w:line="360" w:lineRule="auto"/>
        <w:ind w:firstLine="709"/>
        <w:jc w:val="both"/>
        <w:rPr>
          <w:rFonts w:ascii="Times New Roman" w:hAnsi="Times New Roman"/>
          <w:sz w:val="28"/>
          <w:szCs w:val="28"/>
          <w:lang w:val="ru-RU" w:eastAsia="ru-RU"/>
        </w:rPr>
      </w:pPr>
      <w:r w:rsidRPr="00F90B6B">
        <w:rPr>
          <w:rFonts w:ascii="Times New Roman" w:hAnsi="Times New Roman"/>
          <w:sz w:val="28"/>
          <w:szCs w:val="28"/>
          <w:lang w:eastAsia="ru-RU"/>
        </w:rPr>
        <w:t xml:space="preserve">Ступінь взаємодії АсАТ та альдостерону становив у хворих з ХСН </w:t>
      </w:r>
      <w:r w:rsidRPr="00F90B6B">
        <w:rPr>
          <w:rFonts w:ascii="Times New Roman" w:hAnsi="Times New Roman"/>
          <w:sz w:val="28"/>
          <w:szCs w:val="28"/>
          <w:lang w:val="ru-RU" w:eastAsia="ru-RU"/>
        </w:rPr>
        <w:t xml:space="preserve">- </w:t>
      </w:r>
      <w:r w:rsidRPr="00F90B6B">
        <w:rPr>
          <w:rFonts w:ascii="Times New Roman" w:hAnsi="Times New Roman"/>
          <w:sz w:val="28"/>
          <w:szCs w:val="28"/>
          <w:lang w:val="en-US" w:eastAsia="ru-RU"/>
        </w:rPr>
        <w:t>r</w:t>
      </w:r>
      <w:r w:rsidRPr="00F90B6B">
        <w:rPr>
          <w:rFonts w:ascii="Times New Roman" w:hAnsi="Times New Roman"/>
          <w:sz w:val="28"/>
          <w:szCs w:val="28"/>
          <w:lang w:val="ru-RU" w:eastAsia="ru-RU"/>
        </w:rPr>
        <w:t>=0,35 (</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 xml:space="preserve">, за наявності ХСН та ожиріння – </w:t>
      </w:r>
      <w:r w:rsidRPr="00F90B6B">
        <w:rPr>
          <w:rFonts w:ascii="Times New Roman" w:hAnsi="Times New Roman"/>
          <w:sz w:val="28"/>
          <w:szCs w:val="28"/>
          <w:lang w:val="en-US" w:eastAsia="ru-RU"/>
        </w:rPr>
        <w:t>r</w:t>
      </w:r>
      <w:r w:rsidRPr="00F90B6B">
        <w:rPr>
          <w:rFonts w:ascii="Times New Roman" w:hAnsi="Times New Roman"/>
          <w:sz w:val="28"/>
          <w:szCs w:val="28"/>
          <w:lang w:val="ru-RU" w:eastAsia="ru-RU"/>
        </w:rPr>
        <w:t>=0,39 (</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p>
    <w:tbl>
      <w:tblPr>
        <w:tblW w:w="0" w:type="auto"/>
        <w:tblLook w:val="00A0" w:firstRow="1" w:lastRow="0" w:firstColumn="1" w:lastColumn="0" w:noHBand="0" w:noVBand="0"/>
      </w:tblPr>
      <w:tblGrid>
        <w:gridCol w:w="5001"/>
        <w:gridCol w:w="4896"/>
      </w:tblGrid>
      <w:tr w:rsidR="00EF4063" w:rsidRPr="00F90B6B" w:rsidTr="0076299F">
        <w:tc>
          <w:tcPr>
            <w:tcW w:w="4981"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85" w:dyaOrig="3600">
                <v:shape id="_x0000_i1073" type="#_x0000_t75" style="width:239.25pt;height:180pt" o:ole="">
                  <v:imagedata r:id="rId133" o:title=""/>
                </v:shape>
                <o:OLEObject Type="Embed" ProgID="STATISTICA.Graph" ShapeID="_x0000_i1073" DrawAspect="Content" ObjectID="_1624460796" r:id="rId134">
                  <o:FieldCodes>\s</o:FieldCodes>
                </o:OLEObject>
              </w:object>
            </w:r>
          </w:p>
        </w:tc>
        <w:tc>
          <w:tcPr>
            <w:tcW w:w="4874"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80" w:dyaOrig="3525">
                <v:shape id="_x0000_i1074" type="#_x0000_t75" style="width:234pt;height:176.25pt" o:ole="">
                  <v:imagedata r:id="rId135" o:title=""/>
                </v:shape>
                <o:OLEObject Type="Embed" ProgID="STATISTICA.Graph" ShapeID="_x0000_i1074" DrawAspect="Content" ObjectID="_1624460797" r:id="rId136">
                  <o:FieldCodes>\s</o:FieldCodes>
                </o:OLEObject>
              </w:object>
            </w:r>
          </w:p>
        </w:tc>
      </w:tr>
      <w:tr w:rsidR="00EF4063" w:rsidRPr="00F90B6B" w:rsidTr="0076299F">
        <w:tc>
          <w:tcPr>
            <w:tcW w:w="4981"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3.3.18. </w:t>
            </w:r>
            <w:r w:rsidRPr="00F90B6B">
              <w:rPr>
                <w:rFonts w:ascii="Times New Roman" w:hAnsi="Times New Roman"/>
                <w:sz w:val="28"/>
                <w:szCs w:val="28"/>
                <w:lang w:eastAsia="ru-RU"/>
              </w:rPr>
              <w:t>Кореляційний зв’язок між вмістом аспартатамінотрансферази та рівнем секреції альдостерону у пацієнтів з ХСН.</w:t>
            </w:r>
          </w:p>
        </w:tc>
        <w:tc>
          <w:tcPr>
            <w:tcW w:w="4874"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3.3.19. </w:t>
            </w:r>
            <w:r w:rsidRPr="00F90B6B">
              <w:rPr>
                <w:rFonts w:ascii="Times New Roman" w:hAnsi="Times New Roman"/>
                <w:sz w:val="28"/>
                <w:szCs w:val="28"/>
                <w:lang w:eastAsia="ru-RU"/>
              </w:rPr>
              <w:t>Кореляційний зв’язок між вмістом аспартатамінотрансферази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ru-RU"/>
        </w:rPr>
      </w:pP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Кореляційний зв’язок АлАТ та вмісту альдостерону був позитивним та вірогідним в обох групах та становив при з ХСН -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=0,23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посилюючись за наявності ХСН та ожиріння –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=0,30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p>
    <w:p w:rsidR="00EF4063" w:rsidRPr="00F90B6B" w:rsidRDefault="00EF4063" w:rsidP="00F0048B">
      <w:pPr>
        <w:spacing w:after="0" w:line="360" w:lineRule="auto"/>
        <w:ind w:firstLine="709"/>
        <w:jc w:val="both"/>
        <w:rPr>
          <w:rFonts w:ascii="Times New Roman" w:hAnsi="Times New Roman"/>
          <w:sz w:val="28"/>
          <w:szCs w:val="28"/>
          <w:lang w:eastAsia="ru-RU"/>
        </w:rPr>
      </w:pPr>
    </w:p>
    <w:tbl>
      <w:tblPr>
        <w:tblW w:w="0" w:type="auto"/>
        <w:tblLook w:val="00A0" w:firstRow="1" w:lastRow="0" w:firstColumn="1" w:lastColumn="0" w:noHBand="0" w:noVBand="0"/>
      </w:tblPr>
      <w:tblGrid>
        <w:gridCol w:w="5131"/>
        <w:gridCol w:w="4791"/>
      </w:tblGrid>
      <w:tr w:rsidR="00EF4063" w:rsidRPr="00F90B6B" w:rsidTr="0076299F">
        <w:tc>
          <w:tcPr>
            <w:tcW w:w="5131"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800" w:dyaOrig="3600">
                <v:shape id="_x0000_i1075" type="#_x0000_t75" style="width:240pt;height:180pt" o:ole="">
                  <v:imagedata r:id="rId137" o:title=""/>
                </v:shape>
                <o:OLEObject Type="Embed" ProgID="STATISTICA.Graph" ShapeID="_x0000_i1075" DrawAspect="Content" ObjectID="_1624460798" r:id="rId138">
                  <o:FieldCodes>\s</o:FieldCodes>
                </o:OLEObject>
              </w:object>
            </w:r>
          </w:p>
        </w:tc>
        <w:tc>
          <w:tcPr>
            <w:tcW w:w="4724"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076" type="#_x0000_t75" style="width:228.75pt;height:171.75pt" o:ole="">
                  <v:imagedata r:id="rId139" o:title=""/>
                </v:shape>
                <o:OLEObject Type="Embed" ProgID="STATISTICA.Graph" ShapeID="_x0000_i1076" DrawAspect="Content" ObjectID="_1624460799" r:id="rId140">
                  <o:FieldCodes>\s</o:FieldCodes>
                </o:OLEObject>
              </w:object>
            </w:r>
          </w:p>
        </w:tc>
      </w:tr>
      <w:tr w:rsidR="00EF4063" w:rsidRPr="00F90B6B" w:rsidTr="0076299F">
        <w:tc>
          <w:tcPr>
            <w:tcW w:w="5131"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3.3.20. </w:t>
            </w:r>
            <w:r w:rsidRPr="00F90B6B">
              <w:rPr>
                <w:rFonts w:ascii="Times New Roman" w:hAnsi="Times New Roman"/>
                <w:sz w:val="28"/>
                <w:szCs w:val="28"/>
                <w:lang w:eastAsia="ru-RU"/>
              </w:rPr>
              <w:t>Кореляційний зв’язок між вмістом аланінамінотрансферази та рівнем секреції альдостерону у пацієнтів з ХСН.</w:t>
            </w:r>
          </w:p>
        </w:tc>
        <w:tc>
          <w:tcPr>
            <w:tcW w:w="4724"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3.3.21. </w:t>
            </w:r>
            <w:r w:rsidRPr="00F90B6B">
              <w:rPr>
                <w:rFonts w:ascii="Times New Roman" w:hAnsi="Times New Roman"/>
                <w:sz w:val="28"/>
                <w:szCs w:val="28"/>
                <w:lang w:eastAsia="ru-RU"/>
              </w:rPr>
              <w:t>Кореляційний зв’язок між вмістом аланінамінотрансферази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1B6B2E">
      <w:pPr>
        <w:spacing w:after="0" w:line="336" w:lineRule="auto"/>
        <w:ind w:firstLine="709"/>
        <w:jc w:val="both"/>
        <w:rPr>
          <w:rFonts w:ascii="Times New Roman" w:hAnsi="Times New Roman"/>
          <w:sz w:val="28"/>
          <w:szCs w:val="28"/>
        </w:rPr>
      </w:pPr>
      <w:r w:rsidRPr="00F90B6B">
        <w:rPr>
          <w:rFonts w:ascii="Times New Roman" w:hAnsi="Times New Roman"/>
          <w:sz w:val="28"/>
          <w:szCs w:val="28"/>
        </w:rPr>
        <w:lastRenderedPageBreak/>
        <w:t>Оцінка співвідношення рівня альдостерону та вмісту креатиніну у хворих з ХСН, а також з ХСН та ожирінням наведена на рис. 3.3.20 та 3.3.21.</w:t>
      </w:r>
    </w:p>
    <w:p w:rsidR="00EF4063" w:rsidRPr="00F90B6B" w:rsidRDefault="00EF4063" w:rsidP="001B6B2E">
      <w:pPr>
        <w:spacing w:after="0" w:line="336" w:lineRule="auto"/>
        <w:ind w:firstLine="709"/>
        <w:jc w:val="both"/>
        <w:rPr>
          <w:rFonts w:ascii="Times New Roman" w:hAnsi="Times New Roman"/>
          <w:sz w:val="28"/>
          <w:szCs w:val="28"/>
        </w:rPr>
      </w:pPr>
      <w:r w:rsidRPr="00F90B6B">
        <w:rPr>
          <w:rFonts w:ascii="Times New Roman" w:hAnsi="Times New Roman"/>
          <w:sz w:val="28"/>
          <w:szCs w:val="28"/>
        </w:rPr>
        <w:t>Встановлено прямий вірогідний кореляційний зв’язок в загальній групі з ХСН, де підвищення рівня альдостерону призводить до підвищення вмісту креатиніну (</w:t>
      </w:r>
      <w:r w:rsidRPr="00F90B6B">
        <w:rPr>
          <w:rFonts w:ascii="Times New Roman" w:hAnsi="Times New Roman"/>
          <w:sz w:val="28"/>
          <w:szCs w:val="28"/>
          <w:lang w:val="en-US"/>
        </w:rPr>
        <w:t>r</w:t>
      </w:r>
      <w:r w:rsidRPr="00F90B6B">
        <w:rPr>
          <w:rFonts w:ascii="Times New Roman" w:hAnsi="Times New Roman"/>
          <w:sz w:val="28"/>
          <w:szCs w:val="28"/>
        </w:rPr>
        <w:t xml:space="preserve">=0,41,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рис. 3.3.20, з подібною невірогідною закономірністю при ХСН та ожирінні (</w:t>
      </w:r>
      <w:r w:rsidRPr="00F90B6B">
        <w:rPr>
          <w:rFonts w:ascii="Times New Roman" w:hAnsi="Times New Roman"/>
          <w:sz w:val="28"/>
          <w:szCs w:val="28"/>
          <w:lang w:val="en-US"/>
        </w:rPr>
        <w:t>r</w:t>
      </w:r>
      <w:r w:rsidRPr="00F90B6B">
        <w:rPr>
          <w:rFonts w:ascii="Times New Roman" w:hAnsi="Times New Roman"/>
          <w:sz w:val="28"/>
          <w:szCs w:val="28"/>
        </w:rPr>
        <w:t xml:space="preserve">=0,12,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w:t>
      </w:r>
      <w:r w:rsidRPr="00F90B6B">
        <w:rPr>
          <w:rFonts w:ascii="Times New Roman" w:hAnsi="Times New Roman"/>
          <w:sz w:val="28"/>
          <w:szCs w:val="28"/>
        </w:rPr>
        <w:t>, рис. 3.3.20.</w:t>
      </w:r>
    </w:p>
    <w:tbl>
      <w:tblPr>
        <w:tblW w:w="0" w:type="auto"/>
        <w:tblLook w:val="00A0" w:firstRow="1" w:lastRow="0" w:firstColumn="1" w:lastColumn="0" w:noHBand="0" w:noVBand="0"/>
      </w:tblPr>
      <w:tblGrid>
        <w:gridCol w:w="4893"/>
        <w:gridCol w:w="5003"/>
      </w:tblGrid>
      <w:tr w:rsidR="00EF4063" w:rsidRPr="00F90B6B" w:rsidTr="0076299F">
        <w:tc>
          <w:tcPr>
            <w:tcW w:w="4893" w:type="dxa"/>
          </w:tcPr>
          <w:p w:rsidR="00EF4063" w:rsidRPr="00F90B6B" w:rsidRDefault="00EF4063" w:rsidP="001B6B2E">
            <w:pPr>
              <w:spacing w:after="0" w:line="336" w:lineRule="auto"/>
              <w:jc w:val="both"/>
              <w:rPr>
                <w:rFonts w:ascii="Times New Roman" w:hAnsi="Times New Roman"/>
                <w:sz w:val="28"/>
                <w:szCs w:val="28"/>
              </w:rPr>
            </w:pPr>
            <w:r w:rsidRPr="00F90B6B">
              <w:rPr>
                <w:rFonts w:ascii="Times New Roman" w:hAnsi="Times New Roman"/>
              </w:rPr>
              <w:object w:dxaOrig="4425" w:dyaOrig="3555">
                <v:shape id="_x0000_i1077" type="#_x0000_t75" style="width:221.25pt;height:177.75pt" o:ole="">
                  <v:imagedata r:id="rId141" o:title=""/>
                </v:shape>
                <o:OLEObject Type="Embed" ProgID="STATISTICA.Graph" ShapeID="_x0000_i1077" DrawAspect="Content" ObjectID="_1624460800" r:id="rId142">
                  <o:FieldCodes>\s</o:FieldCodes>
                </o:OLEObject>
              </w:object>
            </w:r>
          </w:p>
        </w:tc>
        <w:tc>
          <w:tcPr>
            <w:tcW w:w="4962" w:type="dxa"/>
          </w:tcPr>
          <w:p w:rsidR="00EF4063" w:rsidRPr="00F90B6B" w:rsidRDefault="00EF4063" w:rsidP="001B6B2E">
            <w:pPr>
              <w:spacing w:after="0" w:line="336" w:lineRule="auto"/>
              <w:jc w:val="both"/>
              <w:rPr>
                <w:rFonts w:ascii="Times New Roman" w:hAnsi="Times New Roman"/>
                <w:sz w:val="28"/>
                <w:szCs w:val="28"/>
              </w:rPr>
            </w:pPr>
            <w:r w:rsidRPr="00F90B6B">
              <w:rPr>
                <w:rFonts w:ascii="Times New Roman" w:hAnsi="Times New Roman"/>
              </w:rPr>
              <w:object w:dxaOrig="4830" w:dyaOrig="3630">
                <v:shape id="_x0000_i1078" type="#_x0000_t75" style="width:239.25pt;height:181.5pt" o:ole="">
                  <v:imagedata r:id="rId143" o:title=""/>
                </v:shape>
                <o:OLEObject Type="Embed" ProgID="STATISTICA.Graph" ShapeID="_x0000_i1078" DrawAspect="Content" ObjectID="_1624460801" r:id="rId144">
                  <o:FieldCodes>\s</o:FieldCodes>
                </o:OLEObject>
              </w:object>
            </w:r>
          </w:p>
        </w:tc>
      </w:tr>
      <w:tr w:rsidR="00EF4063" w:rsidRPr="00F90B6B" w:rsidTr="0076299F">
        <w:tc>
          <w:tcPr>
            <w:tcW w:w="4893"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3.3.20. </w:t>
            </w:r>
            <w:r w:rsidRPr="00F90B6B">
              <w:rPr>
                <w:rFonts w:ascii="Times New Roman" w:hAnsi="Times New Roman"/>
                <w:sz w:val="28"/>
                <w:szCs w:val="28"/>
                <w:lang w:eastAsia="ru-RU"/>
              </w:rPr>
              <w:t>Кореляційний зв’язок між вмістом креатиніну та рівнем секреції альдостерону у пацієнтів з ХСН.</w:t>
            </w:r>
          </w:p>
        </w:tc>
        <w:tc>
          <w:tcPr>
            <w:tcW w:w="4962"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3.3.21. </w:t>
            </w:r>
            <w:r w:rsidRPr="00F90B6B">
              <w:rPr>
                <w:rFonts w:ascii="Times New Roman" w:hAnsi="Times New Roman"/>
                <w:sz w:val="28"/>
                <w:szCs w:val="28"/>
                <w:lang w:eastAsia="ru-RU"/>
              </w:rPr>
              <w:t>Кореляційний зв’язок між вмістом креатиніну та рівнем альдостерону у пацієнтів з ХСН та ожирінням.</w:t>
            </w:r>
          </w:p>
        </w:tc>
      </w:tr>
    </w:tbl>
    <w:p w:rsidR="00EF4063" w:rsidRPr="00F90B6B" w:rsidRDefault="00EF4063" w:rsidP="001B6B2E">
      <w:pPr>
        <w:spacing w:after="0" w:line="336" w:lineRule="auto"/>
        <w:ind w:firstLine="709"/>
        <w:jc w:val="both"/>
        <w:rPr>
          <w:rFonts w:ascii="Times New Roman" w:hAnsi="Times New Roman"/>
          <w:sz w:val="28"/>
          <w:szCs w:val="28"/>
        </w:rPr>
      </w:pPr>
      <w:r w:rsidRPr="00F90B6B">
        <w:rPr>
          <w:rFonts w:ascii="Times New Roman" w:hAnsi="Times New Roman"/>
          <w:sz w:val="28"/>
          <w:szCs w:val="28"/>
        </w:rPr>
        <w:t>Швидкість клубочкової фільтрації у хворих з ХСН вірогідно знижувалась при збільшенні рівня альдостерону (</w:t>
      </w:r>
      <w:r w:rsidRPr="00F90B6B">
        <w:rPr>
          <w:rFonts w:ascii="Times New Roman" w:hAnsi="Times New Roman"/>
          <w:sz w:val="28"/>
          <w:szCs w:val="28"/>
          <w:lang w:val="en-US"/>
        </w:rPr>
        <w:t>r</w:t>
      </w:r>
      <w:r w:rsidRPr="00F90B6B">
        <w:rPr>
          <w:rFonts w:ascii="Times New Roman" w:hAnsi="Times New Roman"/>
          <w:sz w:val="28"/>
          <w:szCs w:val="28"/>
        </w:rPr>
        <w:t xml:space="preserve">=-0,42,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Дана закономірність, з меншим коефіціентом лінійної регресії зберігалась для пацієнтів з ХСН та ожирінням (</w:t>
      </w:r>
      <w:r w:rsidRPr="00F90B6B">
        <w:rPr>
          <w:rFonts w:ascii="Times New Roman" w:hAnsi="Times New Roman"/>
          <w:sz w:val="28"/>
          <w:szCs w:val="28"/>
          <w:lang w:val="en-US"/>
        </w:rPr>
        <w:t>r</w:t>
      </w:r>
      <w:r w:rsidRPr="00F90B6B">
        <w:rPr>
          <w:rFonts w:ascii="Times New Roman" w:hAnsi="Times New Roman"/>
          <w:sz w:val="28"/>
          <w:szCs w:val="28"/>
        </w:rPr>
        <w:t xml:space="preserve">=-0,15,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w:t>
      </w:r>
      <w:r w:rsidRPr="00F90B6B">
        <w:rPr>
          <w:rFonts w:ascii="Times New Roman" w:hAnsi="Times New Roman"/>
          <w:sz w:val="28"/>
          <w:szCs w:val="28"/>
        </w:rPr>
        <w:t>, рис. 3.3.22. та 3.3.23.</w:t>
      </w:r>
    </w:p>
    <w:tbl>
      <w:tblPr>
        <w:tblW w:w="0" w:type="auto"/>
        <w:tblLook w:val="00A0" w:firstRow="1" w:lastRow="0" w:firstColumn="1" w:lastColumn="0" w:noHBand="0" w:noVBand="0"/>
      </w:tblPr>
      <w:tblGrid>
        <w:gridCol w:w="4802"/>
        <w:gridCol w:w="5053"/>
      </w:tblGrid>
      <w:tr w:rsidR="00EF4063" w:rsidRPr="00F90B6B" w:rsidTr="0076299F">
        <w:tc>
          <w:tcPr>
            <w:tcW w:w="4802" w:type="dxa"/>
          </w:tcPr>
          <w:p w:rsidR="00EF4063" w:rsidRPr="00F90B6B" w:rsidRDefault="00EF4063" w:rsidP="001B6B2E">
            <w:pPr>
              <w:spacing w:after="0" w:line="336" w:lineRule="auto"/>
              <w:jc w:val="both"/>
              <w:rPr>
                <w:rFonts w:ascii="Times New Roman" w:hAnsi="Times New Roman"/>
                <w:sz w:val="28"/>
                <w:szCs w:val="28"/>
              </w:rPr>
            </w:pPr>
            <w:r w:rsidRPr="00F90B6B">
              <w:rPr>
                <w:rFonts w:ascii="Times New Roman" w:hAnsi="Times New Roman"/>
              </w:rPr>
              <w:object w:dxaOrig="4350" w:dyaOrig="3270">
                <v:shape id="_x0000_i1079" type="#_x0000_t75" style="width:217.5pt;height:163.5pt" o:ole="">
                  <v:imagedata r:id="rId145" o:title=""/>
                </v:shape>
                <o:OLEObject Type="Embed" ProgID="STATISTICA.Graph" ShapeID="_x0000_i1079" DrawAspect="Content" ObjectID="_1624460802" r:id="rId146">
                  <o:FieldCodes>\s</o:FieldCodes>
                </o:OLEObject>
              </w:object>
            </w:r>
          </w:p>
        </w:tc>
        <w:tc>
          <w:tcPr>
            <w:tcW w:w="5053" w:type="dxa"/>
          </w:tcPr>
          <w:p w:rsidR="00EF4063" w:rsidRPr="00F90B6B" w:rsidRDefault="00EF4063" w:rsidP="001B6B2E">
            <w:pPr>
              <w:spacing w:after="0" w:line="336" w:lineRule="auto"/>
              <w:jc w:val="both"/>
              <w:rPr>
                <w:rFonts w:ascii="Times New Roman" w:hAnsi="Times New Roman"/>
                <w:sz w:val="28"/>
                <w:szCs w:val="28"/>
              </w:rPr>
            </w:pPr>
            <w:r w:rsidRPr="00F90B6B">
              <w:rPr>
                <w:rFonts w:ascii="Times New Roman" w:hAnsi="Times New Roman"/>
              </w:rPr>
              <w:object w:dxaOrig="4305" w:dyaOrig="3225">
                <v:shape id="_x0000_i1080" type="#_x0000_t75" style="width:215.25pt;height:161.25pt" o:ole="">
                  <v:imagedata r:id="rId147" o:title=""/>
                </v:shape>
                <o:OLEObject Type="Embed" ProgID="STATISTICA.Graph" ShapeID="_x0000_i1080" DrawAspect="Content" ObjectID="_1624460803" r:id="rId148">
                  <o:FieldCodes>\s</o:FieldCodes>
                </o:OLEObject>
              </w:object>
            </w:r>
          </w:p>
        </w:tc>
      </w:tr>
      <w:tr w:rsidR="00EF4063" w:rsidRPr="00F90B6B" w:rsidTr="0076299F">
        <w:tc>
          <w:tcPr>
            <w:tcW w:w="4802" w:type="dxa"/>
          </w:tcPr>
          <w:p w:rsidR="00EF4063" w:rsidRPr="00F90B6B" w:rsidRDefault="00EF4063" w:rsidP="001B6B2E">
            <w:pPr>
              <w:spacing w:after="0" w:line="288"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3.3.22. </w:t>
            </w:r>
            <w:r w:rsidRPr="00F90B6B">
              <w:rPr>
                <w:rFonts w:ascii="Times New Roman" w:hAnsi="Times New Roman"/>
                <w:sz w:val="28"/>
                <w:szCs w:val="28"/>
                <w:lang w:eastAsia="ru-RU"/>
              </w:rPr>
              <w:t>Кореляційний зв’язок між ШКФ та рівнем секреції альдостерону у пацієнтів з ХСН.</w:t>
            </w:r>
          </w:p>
        </w:tc>
        <w:tc>
          <w:tcPr>
            <w:tcW w:w="5053" w:type="dxa"/>
          </w:tcPr>
          <w:p w:rsidR="00EF4063" w:rsidRPr="00F90B6B" w:rsidRDefault="00EF4063" w:rsidP="001B6B2E">
            <w:pPr>
              <w:spacing w:after="0" w:line="288"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3.3.23. </w:t>
            </w:r>
            <w:r w:rsidRPr="00F90B6B">
              <w:rPr>
                <w:rFonts w:ascii="Times New Roman" w:hAnsi="Times New Roman"/>
                <w:sz w:val="28"/>
                <w:szCs w:val="28"/>
                <w:lang w:eastAsia="ru-RU"/>
              </w:rPr>
              <w:t>Кореляційний зв’язок між ШКФ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Враховуючи дані попереднього розділу 3.2, де встановлено вірогідну залежність між ступенем підвищення ІМТ та зниженням швидкості клубочкової фільтрації, ми провели дослідження внеску альдостеронового компоненту в розвиток ХХН у пацієнтів з ХСН та ожирінням у вигляді рівняння лінійної регресії.</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Отримані дані представлені в таблиці 3.3.3, а також у вигляді відповідної математичної залежності.</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3.3.3</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Дані лінійного регресійного аналізу щодо взаємодії між рівнем альдостерону та зниженням швидкості клубочкової фільтрації у хворих х ХСН та ожирінням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4"/>
        <w:gridCol w:w="2606"/>
        <w:gridCol w:w="2606"/>
        <w:gridCol w:w="2605"/>
      </w:tblGrid>
      <w:tr w:rsidR="00EF4063" w:rsidRPr="00F90B6B" w:rsidTr="0076299F">
        <w:tc>
          <w:tcPr>
            <w:tcW w:w="1249"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Beta</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p-level</w:t>
            </w:r>
          </w:p>
        </w:tc>
      </w:tr>
      <w:tr w:rsidR="00EF4063" w:rsidRPr="00F90B6B" w:rsidTr="0076299F">
        <w:tc>
          <w:tcPr>
            <w:tcW w:w="1249"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Intercept</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68,06704</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p>
        </w:tc>
      </w:tr>
      <w:tr w:rsidR="00EF4063" w:rsidRPr="00F90B6B" w:rsidTr="0076299F">
        <w:tc>
          <w:tcPr>
            <w:tcW w:w="1249"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ШКФ</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-0,049531</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-0,04084</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0,000001</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Маємо рівняння лінійної регресії:</w:t>
      </w:r>
    </w:p>
    <w:p w:rsidR="00EF4063" w:rsidRPr="00F90B6B" w:rsidRDefault="00EF4063" w:rsidP="00F0048B">
      <w:pPr>
        <w:spacing w:after="0" w:line="360" w:lineRule="auto"/>
        <w:ind w:firstLine="709"/>
        <w:jc w:val="center"/>
        <w:rPr>
          <w:rFonts w:ascii="Times New Roman" w:hAnsi="Times New Roman"/>
          <w:sz w:val="28"/>
          <w:szCs w:val="28"/>
        </w:rPr>
      </w:pPr>
      <w:r w:rsidRPr="00F90B6B">
        <w:rPr>
          <w:rFonts w:ascii="Times New Roman" w:hAnsi="Times New Roman"/>
          <w:sz w:val="28"/>
          <w:szCs w:val="28"/>
        </w:rPr>
        <w:t>Альдостерон=68,08-ШКФ*0,049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Очікувано, що ступінь взаємодії рівня натрійємії та калійємії з рівнем альдостерону у хворих з ХСН та ожирінням була високовірогідною та прямою – з вмістом натрію, зворотньою – з вмістом калію, рис. 3.3.24-3.3.25.</w:t>
      </w:r>
    </w:p>
    <w:tbl>
      <w:tblPr>
        <w:tblW w:w="0" w:type="auto"/>
        <w:tblLook w:val="00A0" w:firstRow="1" w:lastRow="0" w:firstColumn="1" w:lastColumn="0" w:noHBand="0" w:noVBand="0"/>
      </w:tblPr>
      <w:tblGrid>
        <w:gridCol w:w="4835"/>
        <w:gridCol w:w="5020"/>
      </w:tblGrid>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081" type="#_x0000_t75" style="width:228.75pt;height:171.75pt" o:ole="">
                  <v:imagedata r:id="rId149" o:title=""/>
                </v:shape>
                <o:OLEObject Type="Embed" ProgID="STATISTICA.Graph" ShapeID="_x0000_i1081" DrawAspect="Content" ObjectID="_1624460804" r:id="rId150">
                  <o:FieldCodes>\s</o:FieldCodes>
                </o:OLEObject>
              </w:object>
            </w:r>
          </w:p>
        </w:tc>
        <w:tc>
          <w:tcPr>
            <w:tcW w:w="5020"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35" w:dyaOrig="3480">
                <v:shape id="_x0000_i1082" type="#_x0000_t75" style="width:231.75pt;height:174pt" o:ole="">
                  <v:imagedata r:id="rId151" o:title=""/>
                </v:shape>
                <o:OLEObject Type="Embed" ProgID="STATISTICA.Graph" ShapeID="_x0000_i1082" DrawAspect="Content" ObjectID="_1624460805" r:id="rId152">
                  <o:FieldCodes>\s</o:FieldCodes>
                </o:OLEObject>
              </w:object>
            </w:r>
          </w:p>
        </w:tc>
      </w:tr>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3.3.24. </w:t>
            </w:r>
            <w:r w:rsidRPr="00F90B6B">
              <w:rPr>
                <w:rFonts w:ascii="Times New Roman" w:hAnsi="Times New Roman"/>
                <w:sz w:val="28"/>
                <w:szCs w:val="28"/>
                <w:lang w:eastAsia="ru-RU"/>
              </w:rPr>
              <w:t>Кореляційний зв’язок між вмістом натрію та рівнем секреції альдостерону у пацієнтів з ХСН.</w:t>
            </w:r>
          </w:p>
        </w:tc>
        <w:tc>
          <w:tcPr>
            <w:tcW w:w="5020"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3.3.25. </w:t>
            </w:r>
            <w:r w:rsidRPr="00F90B6B">
              <w:rPr>
                <w:rFonts w:ascii="Times New Roman" w:hAnsi="Times New Roman"/>
                <w:sz w:val="28"/>
                <w:szCs w:val="28"/>
                <w:lang w:eastAsia="ru-RU"/>
              </w:rPr>
              <w:t>Кореляційний зв’язок між вмістом калію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З розрахункових гемодинамічних показників у хворих з ХСН та ожирінням встановлено вірогідну кореляцію вмісту альдостерону з пульсовим та середнім тиском (рис. 3.3.26-3.3.27) – </w:t>
      </w:r>
      <w:r w:rsidRPr="00F90B6B">
        <w:rPr>
          <w:rFonts w:ascii="Times New Roman" w:hAnsi="Times New Roman"/>
          <w:sz w:val="28"/>
          <w:szCs w:val="28"/>
          <w:lang w:val="en-US"/>
        </w:rPr>
        <w:t>r</w:t>
      </w:r>
      <w:r w:rsidRPr="00F90B6B">
        <w:rPr>
          <w:rFonts w:ascii="Times New Roman" w:hAnsi="Times New Roman"/>
          <w:sz w:val="28"/>
          <w:szCs w:val="28"/>
        </w:rPr>
        <w:t xml:space="preserve">=0,33 (р&lt;0,05) та </w:t>
      </w:r>
      <w:r w:rsidRPr="00F90B6B">
        <w:rPr>
          <w:rFonts w:ascii="Times New Roman" w:hAnsi="Times New Roman"/>
          <w:sz w:val="28"/>
          <w:szCs w:val="28"/>
          <w:lang w:val="en-US"/>
        </w:rPr>
        <w:t>r</w:t>
      </w:r>
      <w:r w:rsidRPr="00F90B6B">
        <w:rPr>
          <w:rFonts w:ascii="Times New Roman" w:hAnsi="Times New Roman"/>
          <w:sz w:val="28"/>
          <w:szCs w:val="28"/>
        </w:rPr>
        <w:t xml:space="preserve">=0,49 (р&lt;0,05) відповідно.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Проте дана закономірність була більше пов’язана впливом систолічного тиску (</w:t>
      </w:r>
      <w:r w:rsidRPr="00F90B6B">
        <w:rPr>
          <w:rFonts w:ascii="Times New Roman" w:hAnsi="Times New Roman"/>
          <w:sz w:val="28"/>
          <w:szCs w:val="28"/>
          <w:lang w:val="en-US"/>
        </w:rPr>
        <w:t>r</w:t>
      </w:r>
      <w:r w:rsidRPr="00F90B6B">
        <w:rPr>
          <w:rFonts w:ascii="Times New Roman" w:hAnsi="Times New Roman"/>
          <w:sz w:val="28"/>
          <w:szCs w:val="28"/>
          <w:lang w:val="ru-RU"/>
        </w:rPr>
        <w:t>=</w:t>
      </w:r>
      <w:r w:rsidRPr="00F90B6B">
        <w:rPr>
          <w:rFonts w:ascii="Times New Roman" w:hAnsi="Times New Roman"/>
          <w:sz w:val="28"/>
          <w:szCs w:val="28"/>
        </w:rPr>
        <w:t>0,20, р</w:t>
      </w:r>
      <w:r w:rsidRPr="00F90B6B">
        <w:rPr>
          <w:rFonts w:ascii="Times New Roman" w:hAnsi="Times New Roman"/>
          <w:sz w:val="28"/>
          <w:szCs w:val="28"/>
          <w:lang w:val="ru-RU"/>
        </w:rPr>
        <w:t>&lt;0,05</w:t>
      </w:r>
      <w:r w:rsidRPr="00F90B6B">
        <w:rPr>
          <w:rFonts w:ascii="Times New Roman" w:hAnsi="Times New Roman"/>
          <w:sz w:val="28"/>
          <w:szCs w:val="28"/>
        </w:rPr>
        <w:t>, рис. 3.3.28), проте не діастолічного (</w:t>
      </w:r>
      <w:r w:rsidRPr="00F90B6B">
        <w:rPr>
          <w:rFonts w:ascii="Times New Roman" w:hAnsi="Times New Roman"/>
          <w:sz w:val="28"/>
          <w:szCs w:val="28"/>
          <w:lang w:val="en-US"/>
        </w:rPr>
        <w:t>r</w:t>
      </w:r>
      <w:r w:rsidRPr="00F90B6B">
        <w:rPr>
          <w:rFonts w:ascii="Times New Roman" w:hAnsi="Times New Roman"/>
          <w:sz w:val="28"/>
          <w:szCs w:val="28"/>
          <w:lang w:val="ru-RU"/>
        </w:rPr>
        <w:t>=</w:t>
      </w:r>
      <w:r w:rsidRPr="00F90B6B">
        <w:rPr>
          <w:rFonts w:ascii="Times New Roman" w:hAnsi="Times New Roman"/>
          <w:sz w:val="28"/>
          <w:szCs w:val="28"/>
        </w:rPr>
        <w:t>-0,11, р</w:t>
      </w:r>
      <w:r w:rsidRPr="00F90B6B">
        <w:rPr>
          <w:rFonts w:ascii="Times New Roman" w:hAnsi="Times New Roman"/>
          <w:sz w:val="28"/>
          <w:szCs w:val="28"/>
          <w:lang w:val="ru-RU"/>
        </w:rPr>
        <w:t>&lt;0,05</w:t>
      </w:r>
      <w:r w:rsidRPr="00F90B6B">
        <w:rPr>
          <w:rFonts w:ascii="Times New Roman" w:hAnsi="Times New Roman"/>
          <w:sz w:val="28"/>
          <w:szCs w:val="28"/>
        </w:rPr>
        <w:t xml:space="preserve">, 3.3.29). </w:t>
      </w:r>
    </w:p>
    <w:p w:rsidR="00EF4063" w:rsidRPr="00F90B6B" w:rsidRDefault="00EF4063" w:rsidP="00F0048B">
      <w:pPr>
        <w:spacing w:after="0" w:line="360" w:lineRule="auto"/>
        <w:ind w:firstLine="709"/>
        <w:jc w:val="both"/>
        <w:rPr>
          <w:rFonts w:ascii="Times New Roman" w:hAnsi="Times New Roman"/>
          <w:sz w:val="28"/>
          <w:szCs w:val="28"/>
        </w:rPr>
      </w:pPr>
    </w:p>
    <w:tbl>
      <w:tblPr>
        <w:tblW w:w="0" w:type="auto"/>
        <w:tblLook w:val="00A0" w:firstRow="1" w:lastRow="0" w:firstColumn="1" w:lastColumn="0" w:noHBand="0" w:noVBand="0"/>
      </w:tblPr>
      <w:tblGrid>
        <w:gridCol w:w="5003"/>
        <w:gridCol w:w="5020"/>
      </w:tblGrid>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830" w:dyaOrig="3630">
                <v:shape id="_x0000_i1083" type="#_x0000_t75" style="width:239.25pt;height:181.5pt" o:ole="">
                  <v:imagedata r:id="rId153" o:title=""/>
                </v:shape>
                <o:OLEObject Type="Embed" ProgID="STATISTICA.Graph" ShapeID="_x0000_i1083" DrawAspect="Content" ObjectID="_1624460806" r:id="rId154">
                  <o:FieldCodes>\s</o:FieldCodes>
                </o:OLEObject>
              </w:object>
            </w:r>
          </w:p>
        </w:tc>
        <w:tc>
          <w:tcPr>
            <w:tcW w:w="5020"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40" w:dyaOrig="3555">
                <v:shape id="_x0000_i1084" type="#_x0000_t75" style="width:237pt;height:177.75pt" o:ole="">
                  <v:imagedata r:id="rId155" o:title=""/>
                </v:shape>
                <o:OLEObject Type="Embed" ProgID="STATISTICA.Graph" ShapeID="_x0000_i1084" DrawAspect="Content" ObjectID="_1624460807" r:id="rId156">
                  <o:FieldCodes>\s</o:FieldCodes>
                </o:OLEObject>
              </w:object>
            </w:r>
          </w:p>
        </w:tc>
      </w:tr>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3.3.26. </w:t>
            </w:r>
            <w:r w:rsidRPr="00F90B6B">
              <w:rPr>
                <w:rFonts w:ascii="Times New Roman" w:hAnsi="Times New Roman"/>
                <w:sz w:val="28"/>
                <w:szCs w:val="28"/>
                <w:lang w:eastAsia="ru-RU"/>
              </w:rPr>
              <w:t>Кореляційний зв’язок між пульсовим АТ та рівнем секреції альдостерону у пацієнтів з ХСН.</w:t>
            </w:r>
          </w:p>
        </w:tc>
        <w:tc>
          <w:tcPr>
            <w:tcW w:w="5020"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3.3.27. </w:t>
            </w:r>
            <w:r w:rsidRPr="00F90B6B">
              <w:rPr>
                <w:rFonts w:ascii="Times New Roman" w:hAnsi="Times New Roman"/>
                <w:sz w:val="28"/>
                <w:szCs w:val="28"/>
                <w:lang w:eastAsia="ru-RU"/>
              </w:rPr>
              <w:t>Кореляційний зв’язок між середнім АТ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p>
    <w:tbl>
      <w:tblPr>
        <w:tblW w:w="0" w:type="auto"/>
        <w:tblLook w:val="00A0" w:firstRow="1" w:lastRow="0" w:firstColumn="1" w:lastColumn="0" w:noHBand="0" w:noVBand="0"/>
      </w:tblPr>
      <w:tblGrid>
        <w:gridCol w:w="4835"/>
        <w:gridCol w:w="5061"/>
      </w:tblGrid>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085" type="#_x0000_t75" style="width:228.75pt;height:171.75pt" o:ole="">
                  <v:imagedata r:id="rId157" o:title=""/>
                </v:shape>
                <o:OLEObject Type="Embed" ProgID="STATISTICA.Graph" ShapeID="_x0000_i1085" DrawAspect="Content" ObjectID="_1624460808" r:id="rId158">
                  <o:FieldCodes>\s</o:FieldCodes>
                </o:OLEObject>
              </w:object>
            </w:r>
          </w:p>
        </w:tc>
        <w:tc>
          <w:tcPr>
            <w:tcW w:w="5020"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845" w:dyaOrig="3630">
                <v:shape id="_x0000_i1086" type="#_x0000_t75" style="width:242.25pt;height:181.5pt" o:ole="">
                  <v:imagedata r:id="rId159" o:title=""/>
                </v:shape>
                <o:OLEObject Type="Embed" ProgID="STATISTICA.Graph" ShapeID="_x0000_i1086" DrawAspect="Content" ObjectID="_1624460809" r:id="rId160">
                  <o:FieldCodes>\s</o:FieldCodes>
                </o:OLEObject>
              </w:object>
            </w:r>
          </w:p>
        </w:tc>
      </w:tr>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3.3.28. </w:t>
            </w:r>
            <w:r w:rsidRPr="00F90B6B">
              <w:rPr>
                <w:rFonts w:ascii="Times New Roman" w:hAnsi="Times New Roman"/>
                <w:sz w:val="28"/>
                <w:szCs w:val="28"/>
                <w:lang w:eastAsia="ru-RU"/>
              </w:rPr>
              <w:t>Кореляційний зв’язок між систолічним АТ та рівнем секреції альдостерону у пацієнтів з ХСН.</w:t>
            </w:r>
          </w:p>
        </w:tc>
        <w:tc>
          <w:tcPr>
            <w:tcW w:w="5020"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3.3.29. </w:t>
            </w:r>
            <w:r w:rsidRPr="00F90B6B">
              <w:rPr>
                <w:rFonts w:ascii="Times New Roman" w:hAnsi="Times New Roman"/>
                <w:sz w:val="28"/>
                <w:szCs w:val="28"/>
                <w:lang w:eastAsia="ru-RU"/>
              </w:rPr>
              <w:t>Кореляційний зв’язок між діастолічним АТ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Із параметрів кардіогемодинаміки та їх співвідношення з рівнем альдостерону аналізувався інтегральний показник скоротливості ЛШ – ФВ, а також прояви діастолічної дисфункції ЛШ - показник трансмітрального потоку у вигляді співвідношення Е/А, а також тривалість ізоволюметричного розслаблення лівого шлуночка (IVRT, сек.).</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Встановлено зворотній кореляційний зв’язок між вмістом альдостерону та фракцією викиду ЛШ у пацієнтів з ХСН та ожирінням – </w:t>
      </w:r>
      <w:r w:rsidRPr="00F90B6B">
        <w:rPr>
          <w:rFonts w:ascii="Times New Roman" w:hAnsi="Times New Roman"/>
          <w:sz w:val="28"/>
          <w:szCs w:val="28"/>
          <w:lang w:val="en-US"/>
        </w:rPr>
        <w:t>r</w:t>
      </w:r>
      <w:r w:rsidRPr="00F90B6B">
        <w:rPr>
          <w:rFonts w:ascii="Times New Roman" w:hAnsi="Times New Roman"/>
          <w:sz w:val="28"/>
          <w:szCs w:val="28"/>
        </w:rPr>
        <w:t>=-0,18 (</w:t>
      </w:r>
      <w:r w:rsidRPr="00F90B6B">
        <w:rPr>
          <w:rFonts w:ascii="Times New Roman" w:hAnsi="Times New Roman"/>
          <w:sz w:val="28"/>
          <w:szCs w:val="28"/>
          <w:lang w:val="en-US"/>
        </w:rPr>
        <w:t>p</w:t>
      </w:r>
      <w:r w:rsidRPr="00F90B6B">
        <w:rPr>
          <w:rFonts w:ascii="Times New Roman" w:hAnsi="Times New Roman"/>
          <w:sz w:val="28"/>
          <w:szCs w:val="28"/>
        </w:rPr>
        <w:t>&lt;0,05), рис. 3.3.30.</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jc w:val="center"/>
        <w:rPr>
          <w:rFonts w:ascii="Times New Roman" w:hAnsi="Times New Roman"/>
        </w:rPr>
      </w:pPr>
      <w:r w:rsidRPr="00F90B6B">
        <w:rPr>
          <w:rFonts w:ascii="Times New Roman" w:hAnsi="Times New Roman"/>
        </w:rPr>
        <w:object w:dxaOrig="6975" w:dyaOrig="5235">
          <v:shape id="_x0000_i1087" type="#_x0000_t75" style="width:348.75pt;height:261.75pt" o:ole="">
            <v:imagedata r:id="rId161" o:title=""/>
          </v:shape>
          <o:OLEObject Type="Embed" ProgID="STATISTICA.Graph" ShapeID="_x0000_i1087" DrawAspect="Content" ObjectID="_1624460810" r:id="rId162">
            <o:FieldCodes>\s</o:FieldCodes>
          </o:OLEObject>
        </w:object>
      </w:r>
    </w:p>
    <w:p w:rsidR="00EF4063" w:rsidRPr="00F90B6B" w:rsidRDefault="00EF4063" w:rsidP="00F0048B">
      <w:pPr>
        <w:spacing w:after="0" w:line="360" w:lineRule="auto"/>
        <w:ind w:firstLine="709"/>
        <w:jc w:val="both"/>
        <w:rPr>
          <w:rFonts w:ascii="Times New Roman" w:hAnsi="Times New Roman"/>
          <w:b/>
          <w:sz w:val="28"/>
          <w:szCs w:val="28"/>
        </w:rPr>
      </w:pPr>
      <w:r w:rsidRPr="00F90B6B">
        <w:rPr>
          <w:rFonts w:ascii="Times New Roman" w:hAnsi="Times New Roman"/>
          <w:b/>
          <w:sz w:val="28"/>
          <w:szCs w:val="28"/>
        </w:rPr>
        <w:t xml:space="preserve">Рис. 3.3.30. </w:t>
      </w:r>
      <w:r w:rsidRPr="00F90B6B">
        <w:rPr>
          <w:rFonts w:ascii="Times New Roman" w:hAnsi="Times New Roman"/>
          <w:sz w:val="28"/>
          <w:szCs w:val="28"/>
          <w:lang w:eastAsia="ru-RU"/>
        </w:rPr>
        <w:t>Кореляційний зв’язок між фракцією викиду ЛШ та рівнем секреції альдостерону у пацієнтів з ХСН та ожирінням.</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Зменшення ФВЛШ та збільшення рівня альдостерону супроводжувалось прирістом кінцеводіастолічного (</w:t>
      </w:r>
      <w:r w:rsidRPr="00F90B6B">
        <w:rPr>
          <w:rFonts w:ascii="Times New Roman" w:hAnsi="Times New Roman"/>
          <w:sz w:val="28"/>
          <w:szCs w:val="28"/>
          <w:lang w:val="en-US"/>
        </w:rPr>
        <w:t>r</w:t>
      </w:r>
      <w:r w:rsidRPr="00F90B6B">
        <w:rPr>
          <w:rFonts w:ascii="Times New Roman" w:hAnsi="Times New Roman"/>
          <w:sz w:val="28"/>
          <w:szCs w:val="28"/>
        </w:rPr>
        <w:t xml:space="preserve">=0,19, </w:t>
      </w:r>
      <w:r w:rsidRPr="00F90B6B">
        <w:rPr>
          <w:rFonts w:ascii="Times New Roman" w:hAnsi="Times New Roman"/>
          <w:sz w:val="28"/>
          <w:szCs w:val="28"/>
          <w:lang w:val="en-US"/>
        </w:rPr>
        <w:t>p</w:t>
      </w:r>
      <w:r w:rsidRPr="00F90B6B">
        <w:rPr>
          <w:rFonts w:ascii="Times New Roman" w:hAnsi="Times New Roman"/>
          <w:sz w:val="28"/>
          <w:szCs w:val="28"/>
        </w:rPr>
        <w:t>&lt;0,05) та кінцевосистолічного (</w:t>
      </w:r>
      <w:r w:rsidRPr="00F90B6B">
        <w:rPr>
          <w:rFonts w:ascii="Times New Roman" w:hAnsi="Times New Roman"/>
          <w:sz w:val="28"/>
          <w:szCs w:val="28"/>
          <w:lang w:val="en-US"/>
        </w:rPr>
        <w:t>r</w:t>
      </w:r>
      <w:r w:rsidRPr="00F90B6B">
        <w:rPr>
          <w:rFonts w:ascii="Times New Roman" w:hAnsi="Times New Roman"/>
          <w:sz w:val="28"/>
          <w:szCs w:val="28"/>
        </w:rPr>
        <w:t xml:space="preserve">=0,20, </w:t>
      </w:r>
      <w:r w:rsidRPr="00F90B6B">
        <w:rPr>
          <w:rFonts w:ascii="Times New Roman" w:hAnsi="Times New Roman"/>
          <w:sz w:val="28"/>
          <w:szCs w:val="28"/>
          <w:lang w:val="en-US"/>
        </w:rPr>
        <w:t>p</w:t>
      </w:r>
      <w:r w:rsidRPr="00F90B6B">
        <w:rPr>
          <w:rFonts w:ascii="Times New Roman" w:hAnsi="Times New Roman"/>
          <w:sz w:val="28"/>
          <w:szCs w:val="28"/>
        </w:rPr>
        <w:t>&lt;0,05) об’ємів за наявності ХСН та ожиріння (рис. 3.3.31-3.3.32).</w:t>
      </w:r>
    </w:p>
    <w:tbl>
      <w:tblPr>
        <w:tblW w:w="0" w:type="auto"/>
        <w:tblLook w:val="00A0" w:firstRow="1" w:lastRow="0" w:firstColumn="1" w:lastColumn="0" w:noHBand="0" w:noVBand="0"/>
      </w:tblPr>
      <w:tblGrid>
        <w:gridCol w:w="4835"/>
        <w:gridCol w:w="5020"/>
      </w:tblGrid>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088" type="#_x0000_t75" style="width:228.75pt;height:171.75pt" o:ole="">
                  <v:imagedata r:id="rId163" o:title=""/>
                </v:shape>
                <o:OLEObject Type="Embed" ProgID="STATISTICA.Graph" ShapeID="_x0000_i1088" DrawAspect="Content" ObjectID="_1624460811" r:id="rId164">
                  <o:FieldCodes>\s</o:FieldCodes>
                </o:OLEObject>
              </w:object>
            </w:r>
          </w:p>
        </w:tc>
        <w:tc>
          <w:tcPr>
            <w:tcW w:w="5020"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40" w:dyaOrig="3330">
                <v:shape id="_x0000_i1089" type="#_x0000_t75" style="width:222pt;height:166.5pt" o:ole="">
                  <v:imagedata r:id="rId165" o:title=""/>
                </v:shape>
                <o:OLEObject Type="Embed" ProgID="STATISTICA.Graph" ShapeID="_x0000_i1089" DrawAspect="Content" ObjectID="_1624460812" r:id="rId166">
                  <o:FieldCodes>\s</o:FieldCodes>
                </o:OLEObject>
              </w:object>
            </w:r>
          </w:p>
        </w:tc>
      </w:tr>
      <w:tr w:rsidR="00EF4063" w:rsidRPr="00F90B6B" w:rsidTr="0076299F">
        <w:tc>
          <w:tcPr>
            <w:tcW w:w="4835"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3.3.31. </w:t>
            </w:r>
            <w:r w:rsidRPr="00F90B6B">
              <w:rPr>
                <w:rFonts w:ascii="Times New Roman" w:hAnsi="Times New Roman"/>
                <w:sz w:val="28"/>
                <w:szCs w:val="28"/>
                <w:lang w:eastAsia="ru-RU"/>
              </w:rPr>
              <w:t>Кореляційний зв’язок між КДО та рівнем секреції альдостерону у пацієнтів з ХСН та ожирінням.</w:t>
            </w:r>
          </w:p>
        </w:tc>
        <w:tc>
          <w:tcPr>
            <w:tcW w:w="5020"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3.3.32. </w:t>
            </w:r>
            <w:r w:rsidRPr="00F90B6B">
              <w:rPr>
                <w:rFonts w:ascii="Times New Roman" w:hAnsi="Times New Roman"/>
                <w:sz w:val="28"/>
                <w:szCs w:val="28"/>
                <w:lang w:eastAsia="ru-RU"/>
              </w:rPr>
              <w:t>Кореляційний зв’язок між КСО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Окрім того, структурні зміни міокарду у пацієнтів з ХСН та ХСН з ожирінням супроводжувались збільшенням розмірів лівого передсердя прямопропорційно ступеню збільшення рівня альдостерону </w:t>
      </w:r>
      <w:r w:rsidRPr="00F90B6B">
        <w:rPr>
          <w:rFonts w:ascii="Times New Roman" w:hAnsi="Times New Roman"/>
          <w:sz w:val="28"/>
          <w:szCs w:val="28"/>
          <w:lang w:val="en-US"/>
        </w:rPr>
        <w:t>r</w:t>
      </w:r>
      <w:r w:rsidRPr="00F90B6B">
        <w:rPr>
          <w:rFonts w:ascii="Times New Roman" w:hAnsi="Times New Roman"/>
          <w:sz w:val="28"/>
          <w:szCs w:val="28"/>
        </w:rPr>
        <w:t xml:space="preserve">=0,33 та </w:t>
      </w:r>
      <w:r w:rsidRPr="00F90B6B">
        <w:rPr>
          <w:rFonts w:ascii="Times New Roman" w:hAnsi="Times New Roman"/>
          <w:sz w:val="28"/>
          <w:szCs w:val="28"/>
          <w:lang w:val="en-US"/>
        </w:rPr>
        <w:t>r</w:t>
      </w:r>
      <w:r w:rsidRPr="00F90B6B">
        <w:rPr>
          <w:rFonts w:ascii="Times New Roman" w:hAnsi="Times New Roman"/>
          <w:sz w:val="28"/>
          <w:szCs w:val="28"/>
        </w:rPr>
        <w:t>=0,29 (рис. 3.3.33 та 3.3.34).</w:t>
      </w:r>
    </w:p>
    <w:p w:rsidR="00EF4063" w:rsidRPr="00F90B6B" w:rsidRDefault="00EF4063" w:rsidP="00F0048B">
      <w:pPr>
        <w:spacing w:after="0" w:line="360" w:lineRule="auto"/>
        <w:ind w:firstLine="709"/>
        <w:jc w:val="both"/>
        <w:rPr>
          <w:rFonts w:ascii="Times New Roman" w:hAnsi="Times New Roman"/>
          <w:sz w:val="28"/>
          <w:szCs w:val="28"/>
        </w:rPr>
      </w:pP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090" type="#_x0000_t75" style="width:228.75pt;height:171.75pt" o:ole="">
                  <v:imagedata r:id="rId167" o:title=""/>
                </v:shape>
                <o:OLEObject Type="Embed" ProgID="STATISTICA.Graph" ShapeID="_x0000_i1090" DrawAspect="Content" ObjectID="_1624460813" r:id="rId168">
                  <o:FieldCodes>\s</o:FieldCodes>
                </o:OLEObject>
              </w:object>
            </w:r>
          </w:p>
        </w:tc>
        <w:tc>
          <w:tcPr>
            <w:tcW w:w="4678" w:type="dxa"/>
          </w:tcPr>
          <w:p w:rsidR="00EF4063" w:rsidRPr="00F90B6B" w:rsidRDefault="00EF4063" w:rsidP="00F0048B">
            <w:pPr>
              <w:spacing w:after="0" w:line="360" w:lineRule="auto"/>
              <w:ind w:left="-533" w:firstLine="533"/>
              <w:jc w:val="both"/>
              <w:rPr>
                <w:rFonts w:ascii="Times New Roman" w:hAnsi="Times New Roman"/>
                <w:sz w:val="28"/>
                <w:szCs w:val="28"/>
              </w:rPr>
            </w:pPr>
            <w:r w:rsidRPr="00F90B6B">
              <w:rPr>
                <w:rFonts w:ascii="Times New Roman" w:hAnsi="Times New Roman"/>
              </w:rPr>
              <w:object w:dxaOrig="4245" w:dyaOrig="3360">
                <v:shape id="_x0000_i1091" type="#_x0000_t75" style="width:212.25pt;height:168pt" o:ole="">
                  <v:imagedata r:id="rId169" o:title=""/>
                </v:shape>
                <o:OLEObject Type="Embed" ProgID="STATISTICA.Graph" ShapeID="_x0000_i1091" DrawAspect="Content" ObjectID="_1624460814" r:id="rId170">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3.3.33. </w:t>
            </w:r>
            <w:r w:rsidRPr="00F90B6B">
              <w:rPr>
                <w:rFonts w:ascii="Times New Roman" w:hAnsi="Times New Roman"/>
                <w:sz w:val="28"/>
                <w:szCs w:val="28"/>
                <w:lang w:eastAsia="ru-RU"/>
              </w:rPr>
              <w:t>Зв’язок між розміром лівого передсердя та рівнем секреції альдостерону у пацієнтів з ХСН.</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3.3.34. </w:t>
            </w:r>
            <w:r w:rsidRPr="00F90B6B">
              <w:rPr>
                <w:rFonts w:ascii="Times New Roman" w:hAnsi="Times New Roman"/>
                <w:sz w:val="28"/>
                <w:szCs w:val="28"/>
                <w:lang w:eastAsia="ru-RU"/>
              </w:rPr>
              <w:t>Зв’язок між розміром лівого передсердя та рівнем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Прояви діастолічної дисфункції наростали у вигляді зменшення співвідношення Е/А в зв’язку з наростанням рівня альдостерону як при ХСН, так і за наявності супутнього ожиріння, рис. 3.3.35-3.3.36.</w:t>
      </w: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85" w:dyaOrig="3375">
                <v:shape id="_x0000_i1092" type="#_x0000_t75" style="width:224.25pt;height:168.75pt" o:ole="">
                  <v:imagedata r:id="rId171" o:title=""/>
                </v:shape>
                <o:OLEObject Type="Embed" ProgID="STATISTICA.Graph" ShapeID="_x0000_i1092" DrawAspect="Content" ObjectID="_1624460815" r:id="rId172">
                  <o:FieldCodes>\s</o:FieldCodes>
                </o:OLEObject>
              </w:object>
            </w:r>
          </w:p>
        </w:tc>
        <w:tc>
          <w:tcPr>
            <w:tcW w:w="4678" w:type="dxa"/>
          </w:tcPr>
          <w:p w:rsidR="00EF4063" w:rsidRPr="00F90B6B" w:rsidRDefault="00EF4063" w:rsidP="00F0048B">
            <w:pPr>
              <w:spacing w:after="0" w:line="360" w:lineRule="auto"/>
              <w:ind w:left="-533" w:firstLine="533"/>
              <w:jc w:val="both"/>
              <w:rPr>
                <w:rFonts w:ascii="Times New Roman" w:hAnsi="Times New Roman"/>
                <w:sz w:val="28"/>
                <w:szCs w:val="28"/>
              </w:rPr>
            </w:pPr>
            <w:r w:rsidRPr="00F90B6B">
              <w:rPr>
                <w:rFonts w:ascii="Times New Roman" w:hAnsi="Times New Roman"/>
              </w:rPr>
              <w:object w:dxaOrig="4410" w:dyaOrig="3315">
                <v:shape id="_x0000_i1093" type="#_x0000_t75" style="width:220.5pt;height:165.75pt" o:ole="">
                  <v:imagedata r:id="rId173" o:title=""/>
                </v:shape>
                <o:OLEObject Type="Embed" ProgID="STATISTICA.Graph" ShapeID="_x0000_i1093" DrawAspect="Content" ObjectID="_1624460816" r:id="rId174">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3.3.35. </w:t>
            </w:r>
            <w:r w:rsidRPr="00F90B6B">
              <w:rPr>
                <w:rFonts w:ascii="Times New Roman" w:hAnsi="Times New Roman"/>
                <w:sz w:val="28"/>
                <w:szCs w:val="28"/>
                <w:lang w:eastAsia="ru-RU"/>
              </w:rPr>
              <w:t>Трансмітральний поток та рівень секреції альдостерону у пацієнтів з ХСН.</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3.3.36. </w:t>
            </w:r>
            <w:r w:rsidRPr="00F90B6B">
              <w:rPr>
                <w:rFonts w:ascii="Times New Roman" w:hAnsi="Times New Roman"/>
                <w:sz w:val="28"/>
                <w:szCs w:val="28"/>
                <w:lang w:eastAsia="ru-RU"/>
              </w:rPr>
              <w:t>Трансмітральний поток та рівень альдостерону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той же час, в нашій роботі у хворих з ХСН та ожирінням не встановлено вірогідної залежності між тривалістю ізоволюметричного розслаблення лівого шлуночка IVRT (сек.) та рівнем альдостерону (</w:t>
      </w:r>
      <w:r w:rsidRPr="00F90B6B">
        <w:rPr>
          <w:rFonts w:ascii="Times New Roman" w:hAnsi="Times New Roman"/>
          <w:sz w:val="28"/>
          <w:szCs w:val="28"/>
          <w:lang w:val="en-US"/>
        </w:rPr>
        <w:t>r</w:t>
      </w:r>
      <w:r w:rsidRPr="00F90B6B">
        <w:rPr>
          <w:rFonts w:ascii="Times New Roman" w:hAnsi="Times New Roman"/>
          <w:sz w:val="28"/>
          <w:szCs w:val="28"/>
          <w:lang w:val="ru-RU"/>
        </w:rPr>
        <w:t>=0</w:t>
      </w:r>
      <w:r w:rsidRPr="00F90B6B">
        <w:rPr>
          <w:rFonts w:ascii="Times New Roman" w:hAnsi="Times New Roman"/>
          <w:sz w:val="28"/>
          <w:szCs w:val="28"/>
        </w:rPr>
        <w:t>,09).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результаті підвищеної секреції альдостерону посилюється реабсорбція натрію і води в ниркових канальцях, зменшується реабсорбція калію і магнію. Альдостерон збільшує всмоктування іонів натрію і води з просвіту кишечника в кров і зменшує виведення натрію з організму з потом і слиною. Таким чином, рівень натріємії при ХСН є додатковим чинником ризику, що може модифікувати перебіг захворювання. Тому наступним завданням роботи було дослідити зв’язок між рівнем натріємії, клініко-лабораторними та кардіогемодинамічними показниками у хворих з хронічною серцевою недостатністю та ожирінням.</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Зокрема, між вмістом натрію та ІМТ встановлено від’ємний вірогідний кореляційний зв’язок у хворих з ХСН (</w:t>
      </w:r>
      <w:r w:rsidRPr="00F90B6B">
        <w:rPr>
          <w:rFonts w:ascii="Times New Roman" w:hAnsi="Times New Roman"/>
          <w:sz w:val="28"/>
          <w:szCs w:val="28"/>
          <w:lang w:val="en-US"/>
        </w:rPr>
        <w:t>r</w:t>
      </w:r>
      <w:r w:rsidRPr="00F90B6B">
        <w:rPr>
          <w:rFonts w:ascii="Times New Roman" w:hAnsi="Times New Roman"/>
          <w:sz w:val="28"/>
          <w:szCs w:val="28"/>
        </w:rPr>
        <w:t xml:space="preserve">=-0,16 та </w:t>
      </w:r>
      <w:r w:rsidRPr="00F90B6B">
        <w:rPr>
          <w:rFonts w:ascii="Times New Roman" w:hAnsi="Times New Roman"/>
          <w:sz w:val="28"/>
          <w:szCs w:val="28"/>
          <w:lang w:val="en-US"/>
        </w:rPr>
        <w:t>r</w:t>
      </w:r>
      <w:r w:rsidRPr="00F90B6B">
        <w:rPr>
          <w:rFonts w:ascii="Times New Roman" w:hAnsi="Times New Roman"/>
          <w:sz w:val="28"/>
          <w:szCs w:val="28"/>
        </w:rPr>
        <w:t>=-0,25), в тому числі при ожирінні. Тобто приріст ваги тіла, скоріше, супроводжується зниженням, а не підвищенням рівня натріємії (рис. 3.3.37 та 3.3.38).</w:t>
      </w: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10" w:dyaOrig="3525">
                <v:shape id="_x0000_i1094" type="#_x0000_t75" style="width:235.5pt;height:176.25pt" o:ole="">
                  <v:imagedata r:id="rId175" o:title=""/>
                </v:shape>
                <o:OLEObject Type="Embed" ProgID="STATISTICA.Graph" ShapeID="_x0000_i1094" DrawAspect="Content" ObjectID="_1624460817" r:id="rId176">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05" w:dyaOrig="3450">
                <v:shape id="_x0000_i1095" type="#_x0000_t75" style="width:230.25pt;height:172.5pt" o:ole="">
                  <v:imagedata r:id="rId177" o:title=""/>
                </v:shape>
                <o:OLEObject Type="Embed" ProgID="STATISTICA.Graph" ShapeID="_x0000_i1095" DrawAspect="Content" ObjectID="_1624460818" r:id="rId178">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3.3.37. </w:t>
            </w:r>
            <w:r w:rsidRPr="00F90B6B">
              <w:rPr>
                <w:rFonts w:ascii="Times New Roman" w:hAnsi="Times New Roman"/>
                <w:sz w:val="28"/>
                <w:szCs w:val="28"/>
                <w:lang w:eastAsia="ru-RU"/>
              </w:rPr>
              <w:t>Індекс маси тіла</w:t>
            </w:r>
            <w:r w:rsidRPr="00F90B6B">
              <w:rPr>
                <w:rFonts w:ascii="Times New Roman" w:hAnsi="Times New Roman"/>
                <w:b/>
                <w:sz w:val="28"/>
                <w:szCs w:val="28"/>
                <w:lang w:eastAsia="ru-RU"/>
              </w:rPr>
              <w:t xml:space="preserve"> </w:t>
            </w:r>
            <w:r w:rsidRPr="00F90B6B">
              <w:rPr>
                <w:rFonts w:ascii="Times New Roman" w:hAnsi="Times New Roman"/>
                <w:sz w:val="28"/>
                <w:szCs w:val="28"/>
                <w:lang w:eastAsia="ru-RU"/>
              </w:rPr>
              <w:t>та рівень натрію у пацієнтів з ХСН.</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3.3.38. </w:t>
            </w:r>
            <w:r w:rsidRPr="00F90B6B">
              <w:rPr>
                <w:rFonts w:ascii="Times New Roman" w:hAnsi="Times New Roman"/>
                <w:sz w:val="28"/>
                <w:szCs w:val="28"/>
                <w:lang w:eastAsia="ru-RU"/>
              </w:rPr>
              <w:t>Індекс маси тіла та рівень натрію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Між дистанцією, визначеною в пробі з 6-хвилинною ходьбою т а рівнем натріємії вірогідного зв’язку у пацієнтів з ХСН та ожирінням не встановлено (</w:t>
      </w:r>
      <w:r w:rsidRPr="00F90B6B">
        <w:rPr>
          <w:rFonts w:ascii="Times New Roman" w:hAnsi="Times New Roman"/>
          <w:sz w:val="28"/>
          <w:szCs w:val="28"/>
          <w:lang w:val="en-US"/>
        </w:rPr>
        <w:t>r</w:t>
      </w:r>
      <w:r w:rsidRPr="00F90B6B">
        <w:rPr>
          <w:rFonts w:ascii="Times New Roman" w:hAnsi="Times New Roman"/>
          <w:sz w:val="28"/>
          <w:szCs w:val="28"/>
        </w:rPr>
        <w:t>=0,09), а якість життя за Міннесотським опитувальником погіршувалась лише в загальній групі з ХСН (рис. 3.3.39), проте не при супутньому ожирінні.</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Кореляційні зв’язки між рівнем натріємії та лабораторними показниками наведені в таблиці 3.3.4.</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3.3.4</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Кореляційний зв’язок (</w:t>
      </w:r>
      <w:r w:rsidRPr="00F90B6B">
        <w:rPr>
          <w:rFonts w:ascii="Times New Roman" w:hAnsi="Times New Roman"/>
          <w:b/>
          <w:sz w:val="28"/>
          <w:szCs w:val="28"/>
          <w:lang w:val="en-US"/>
        </w:rPr>
        <w:t>r</w:t>
      </w:r>
      <w:r w:rsidRPr="00F90B6B">
        <w:rPr>
          <w:rFonts w:ascii="Times New Roman" w:hAnsi="Times New Roman"/>
          <w:b/>
          <w:sz w:val="28"/>
          <w:szCs w:val="28"/>
          <w:lang w:val="ru-RU"/>
        </w:rPr>
        <w:t xml:space="preserve">) </w:t>
      </w:r>
      <w:r w:rsidRPr="00F90B6B">
        <w:rPr>
          <w:rFonts w:ascii="Times New Roman" w:hAnsi="Times New Roman"/>
          <w:b/>
          <w:sz w:val="28"/>
          <w:szCs w:val="28"/>
        </w:rPr>
        <w:t>між рівнем натріємії та лабораторними показниками у хворих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76299F">
        <w:tc>
          <w:tcPr>
            <w:tcW w:w="3285" w:type="dxa"/>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eastAsia="ru-RU"/>
              </w:rPr>
              <w:t>Показник</w:t>
            </w:r>
          </w:p>
        </w:tc>
        <w:tc>
          <w:tcPr>
            <w:tcW w:w="3285" w:type="dxa"/>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ХСН</w:t>
            </w:r>
          </w:p>
        </w:tc>
        <w:tc>
          <w:tcPr>
            <w:tcW w:w="3285" w:type="dxa"/>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ХСН та ожиріння</w:t>
            </w:r>
          </w:p>
        </w:tc>
      </w:tr>
      <w:tr w:rsidR="00EF4063" w:rsidRPr="00F90B6B" w:rsidTr="0076299F">
        <w:tc>
          <w:tcPr>
            <w:tcW w:w="3285" w:type="dxa"/>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Глюкоза</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-0,10</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-0,11</w:t>
            </w:r>
          </w:p>
        </w:tc>
      </w:tr>
      <w:tr w:rsidR="00EF4063" w:rsidRPr="00F90B6B" w:rsidTr="0076299F">
        <w:tc>
          <w:tcPr>
            <w:tcW w:w="3285" w:type="dxa"/>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Еритроцити</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0,05</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-0,19*</w:t>
            </w:r>
          </w:p>
        </w:tc>
      </w:tr>
      <w:tr w:rsidR="00EF4063" w:rsidRPr="00F90B6B" w:rsidTr="0076299F">
        <w:tc>
          <w:tcPr>
            <w:tcW w:w="3285" w:type="dxa"/>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Гемоглобін</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0,19</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-0,14*</w:t>
            </w:r>
          </w:p>
        </w:tc>
      </w:tr>
      <w:tr w:rsidR="00EF4063" w:rsidRPr="00F90B6B" w:rsidTr="0076299F">
        <w:tc>
          <w:tcPr>
            <w:tcW w:w="3285" w:type="dxa"/>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Лейкоцити</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0,08</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0,18*</w:t>
            </w:r>
          </w:p>
        </w:tc>
      </w:tr>
      <w:tr w:rsidR="00EF4063" w:rsidRPr="00F90B6B" w:rsidTr="0076299F">
        <w:tc>
          <w:tcPr>
            <w:tcW w:w="3285" w:type="dxa"/>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Тромбоцити</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-0,07</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-0,04</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i/>
          <w:sz w:val="28"/>
          <w:szCs w:val="28"/>
        </w:rPr>
        <w:t xml:space="preserve">Примітка: </w:t>
      </w:r>
      <w:r w:rsidRPr="00F90B6B">
        <w:rPr>
          <w:rFonts w:ascii="Times New Roman" w:hAnsi="Times New Roman"/>
          <w:sz w:val="28"/>
          <w:szCs w:val="28"/>
        </w:rPr>
        <w:t>* - вірогідний кореляційний зв’язок.</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jc w:val="center"/>
        <w:rPr>
          <w:rFonts w:ascii="Times New Roman" w:hAnsi="Times New Roman"/>
        </w:rPr>
      </w:pPr>
      <w:r w:rsidRPr="00F90B6B">
        <w:rPr>
          <w:rFonts w:ascii="Times New Roman" w:hAnsi="Times New Roman"/>
        </w:rPr>
        <w:object w:dxaOrig="6540" w:dyaOrig="4905">
          <v:shape id="_x0000_i1096" type="#_x0000_t75" style="width:327pt;height:245.25pt" o:ole="">
            <v:imagedata r:id="rId179" o:title=""/>
          </v:shape>
          <o:OLEObject Type="Embed" ProgID="STATISTICA.Graph" ShapeID="_x0000_i1096" DrawAspect="Content" ObjectID="_1624460819" r:id="rId180">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3.3.39. </w:t>
      </w:r>
      <w:r w:rsidRPr="00F90B6B">
        <w:rPr>
          <w:rFonts w:ascii="Times New Roman" w:hAnsi="Times New Roman"/>
          <w:sz w:val="28"/>
          <w:szCs w:val="28"/>
        </w:rPr>
        <w:t>Якість життя за Міннесотським опитувальником та рівень натріємії у хворих з ХСН.</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Як бачимо, вірогідний зв’язок виявлений лише в групі з ХСН та супутньому ожирінні, причому встановлений лише для вмісту еритроцитів та гемоглобіну – від’ємний зв’язок (рис. 3.3.40-3.3.41), а також для рівня лейкоцитів – позитивний зв’язок. </w:t>
      </w: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80" w:dyaOrig="3390">
                <v:shape id="_x0000_i1097" type="#_x0000_t75" style="width:234pt;height:169.5pt" o:ole="">
                  <v:imagedata r:id="rId181" o:title=""/>
                </v:shape>
                <o:OLEObject Type="Embed" ProgID="STATISTICA.Graph" ShapeID="_x0000_i1097" DrawAspect="Content" ObjectID="_1624460820" r:id="rId182">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350" w:dyaOrig="3300">
                <v:shape id="_x0000_i1098" type="#_x0000_t75" style="width:217.5pt;height:165pt" o:ole="">
                  <v:imagedata r:id="rId183" o:title=""/>
                </v:shape>
                <o:OLEObject Type="Embed" ProgID="STATISTICA.Graph" ShapeID="_x0000_i1098" DrawAspect="Content" ObjectID="_1624460821" r:id="rId184">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3.3.40. </w:t>
            </w:r>
            <w:r w:rsidRPr="00F90B6B">
              <w:rPr>
                <w:rFonts w:ascii="Times New Roman" w:hAnsi="Times New Roman"/>
                <w:sz w:val="28"/>
                <w:szCs w:val="28"/>
                <w:lang w:eastAsia="ru-RU"/>
              </w:rPr>
              <w:t>Вміст еритроцитів та рівень натрію у пацієнтів з ХСН.</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3.3.41. </w:t>
            </w:r>
            <w:r w:rsidRPr="00F90B6B">
              <w:rPr>
                <w:rFonts w:ascii="Times New Roman" w:hAnsi="Times New Roman"/>
                <w:sz w:val="28"/>
                <w:szCs w:val="28"/>
                <w:lang w:eastAsia="ru-RU"/>
              </w:rPr>
              <w:t>Вміст гемоглобіну</w:t>
            </w:r>
            <w:r w:rsidRPr="00F90B6B">
              <w:rPr>
                <w:rFonts w:ascii="Times New Roman" w:hAnsi="Times New Roman"/>
                <w:b/>
                <w:sz w:val="28"/>
                <w:szCs w:val="28"/>
                <w:lang w:eastAsia="ru-RU"/>
              </w:rPr>
              <w:t xml:space="preserve"> </w:t>
            </w:r>
            <w:r w:rsidRPr="00F90B6B">
              <w:rPr>
                <w:rFonts w:ascii="Times New Roman" w:hAnsi="Times New Roman"/>
                <w:sz w:val="28"/>
                <w:szCs w:val="28"/>
                <w:lang w:eastAsia="ru-RU"/>
              </w:rPr>
              <w:t>та рівень натрію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Серед гемодинамічних показників встановлено вірогідну залежність між рівнем натріємії та вимірювальними показниками – САТ та ДАТ в загальній групі з </w:t>
      </w:r>
      <w:r w:rsidRPr="00F90B6B">
        <w:rPr>
          <w:rFonts w:ascii="Times New Roman" w:hAnsi="Times New Roman"/>
          <w:sz w:val="28"/>
          <w:szCs w:val="28"/>
        </w:rPr>
        <w:lastRenderedPageBreak/>
        <w:t>ХСН (</w:t>
      </w:r>
      <w:r w:rsidRPr="00F90B6B">
        <w:rPr>
          <w:rFonts w:ascii="Times New Roman" w:hAnsi="Times New Roman"/>
          <w:sz w:val="28"/>
          <w:szCs w:val="28"/>
          <w:lang w:val="en-US"/>
        </w:rPr>
        <w:t>r</w:t>
      </w:r>
      <w:r w:rsidRPr="00F90B6B">
        <w:rPr>
          <w:rFonts w:ascii="Times New Roman" w:hAnsi="Times New Roman"/>
          <w:sz w:val="28"/>
          <w:szCs w:val="28"/>
        </w:rPr>
        <w:t xml:space="preserve">=0,26 та </w:t>
      </w:r>
      <w:r w:rsidRPr="00F90B6B">
        <w:rPr>
          <w:rFonts w:ascii="Times New Roman" w:hAnsi="Times New Roman"/>
          <w:sz w:val="28"/>
          <w:szCs w:val="28"/>
          <w:lang w:val="en-US"/>
        </w:rPr>
        <w:t>r</w:t>
      </w:r>
      <w:r w:rsidRPr="00F90B6B">
        <w:rPr>
          <w:rFonts w:ascii="Times New Roman" w:hAnsi="Times New Roman"/>
          <w:sz w:val="28"/>
          <w:szCs w:val="28"/>
        </w:rPr>
        <w:t>=0,18, р&lt;0,05), проте не при ускладненні ожирінням (</w:t>
      </w:r>
      <w:r w:rsidRPr="00F90B6B">
        <w:rPr>
          <w:rFonts w:ascii="Times New Roman" w:hAnsi="Times New Roman"/>
          <w:sz w:val="28"/>
          <w:szCs w:val="28"/>
          <w:lang w:val="en-US"/>
        </w:rPr>
        <w:t>r</w:t>
      </w:r>
      <w:r w:rsidRPr="00F90B6B">
        <w:rPr>
          <w:rFonts w:ascii="Times New Roman" w:hAnsi="Times New Roman"/>
          <w:sz w:val="28"/>
          <w:szCs w:val="28"/>
        </w:rPr>
        <w:t xml:space="preserve">=0,08 та </w:t>
      </w:r>
      <w:r w:rsidRPr="00F90B6B">
        <w:rPr>
          <w:rFonts w:ascii="Times New Roman" w:hAnsi="Times New Roman"/>
          <w:sz w:val="28"/>
          <w:szCs w:val="28"/>
          <w:lang w:val="en-US"/>
        </w:rPr>
        <w:t>r</w:t>
      </w:r>
      <w:r w:rsidRPr="00F90B6B">
        <w:rPr>
          <w:rFonts w:ascii="Times New Roman" w:hAnsi="Times New Roman"/>
          <w:sz w:val="28"/>
          <w:szCs w:val="28"/>
        </w:rPr>
        <w:t>=0,07), рис. 3.3.42 та 3.3.43.</w:t>
      </w:r>
    </w:p>
    <w:p w:rsidR="00EF4063" w:rsidRPr="00F90B6B" w:rsidRDefault="00EF4063" w:rsidP="00F0048B">
      <w:pPr>
        <w:spacing w:after="0" w:line="360" w:lineRule="auto"/>
        <w:ind w:firstLine="709"/>
        <w:jc w:val="both"/>
        <w:rPr>
          <w:rFonts w:ascii="Times New Roman" w:hAnsi="Times New Roman"/>
          <w:sz w:val="28"/>
          <w:szCs w:val="28"/>
        </w:rPr>
      </w:pP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85" w:dyaOrig="3360">
                <v:shape id="_x0000_i1099" type="#_x0000_t75" style="width:224.25pt;height:168pt" o:ole="">
                  <v:imagedata r:id="rId185" o:title=""/>
                </v:shape>
                <o:OLEObject Type="Embed" ProgID="STATISTICA.Graph" ShapeID="_x0000_i1099" DrawAspect="Content" ObjectID="_1624460822" r:id="rId186">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00" w:dyaOrig="3210">
                <v:shape id="_x0000_i1100" type="#_x0000_t75" style="width:225pt;height:160.5pt" o:ole="">
                  <v:imagedata r:id="rId187" o:title=""/>
                </v:shape>
                <o:OLEObject Type="Embed" ProgID="STATISTICA.Graph" ShapeID="_x0000_i1100" DrawAspect="Content" ObjectID="_1624460823" r:id="rId188">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3.3.42. </w:t>
            </w:r>
            <w:r w:rsidRPr="00F90B6B">
              <w:rPr>
                <w:rFonts w:ascii="Times New Roman" w:hAnsi="Times New Roman"/>
                <w:sz w:val="28"/>
                <w:szCs w:val="28"/>
                <w:lang w:eastAsia="ru-RU"/>
              </w:rPr>
              <w:t>Рівень систолічного АТ та вміст натрію у пацієнтів з ХСН.</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3.3.43. </w:t>
            </w:r>
            <w:r w:rsidRPr="00F90B6B">
              <w:rPr>
                <w:rFonts w:ascii="Times New Roman" w:hAnsi="Times New Roman"/>
                <w:sz w:val="28"/>
                <w:szCs w:val="28"/>
                <w:lang w:eastAsia="ru-RU"/>
              </w:rPr>
              <w:t>Рівень діастолічного АТ та вміст натрію у пацієнтів з ХСН.</w:t>
            </w:r>
          </w:p>
        </w:tc>
      </w:tr>
    </w:tbl>
    <w:p w:rsidR="008F54E3" w:rsidRPr="00F90B6B" w:rsidRDefault="008F54E3"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Натомість, серед розрахункових показників вплив рівня натрію відмічено для пульсового та середнього артеріального тиску при ХСН та ожирінні групі з коефіцієнтами лінійної залежності </w:t>
      </w:r>
      <w:r w:rsidRPr="00F90B6B">
        <w:rPr>
          <w:rFonts w:ascii="Times New Roman" w:hAnsi="Times New Roman"/>
          <w:sz w:val="28"/>
          <w:szCs w:val="28"/>
          <w:lang w:val="en-US"/>
        </w:rPr>
        <w:t>r</w:t>
      </w:r>
      <w:r w:rsidRPr="00F90B6B">
        <w:rPr>
          <w:rFonts w:ascii="Times New Roman" w:hAnsi="Times New Roman"/>
          <w:sz w:val="28"/>
          <w:szCs w:val="28"/>
        </w:rPr>
        <w:t xml:space="preserve">=0,27 та </w:t>
      </w:r>
      <w:r w:rsidRPr="00F90B6B">
        <w:rPr>
          <w:rFonts w:ascii="Times New Roman" w:hAnsi="Times New Roman"/>
          <w:sz w:val="28"/>
          <w:szCs w:val="28"/>
          <w:lang w:val="en-US"/>
        </w:rPr>
        <w:t>r</w:t>
      </w:r>
      <w:r w:rsidRPr="00F90B6B">
        <w:rPr>
          <w:rFonts w:ascii="Times New Roman" w:hAnsi="Times New Roman"/>
          <w:sz w:val="28"/>
          <w:szCs w:val="28"/>
        </w:rPr>
        <w:t>=0,22 (р&lt;0,05), рис. 3.3.44 та 3.3.45.</w:t>
      </w: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800" w:dyaOrig="3600">
                <v:shape id="_x0000_i1101" type="#_x0000_t75" style="width:240pt;height:180pt" o:ole="">
                  <v:imagedata r:id="rId189" o:title=""/>
                </v:shape>
                <o:OLEObject Type="Embed" ProgID="STATISTICA.Graph" ShapeID="_x0000_i1101" DrawAspect="Content" ObjectID="_1624460824" r:id="rId190">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365" w:dyaOrig="3270">
                <v:shape id="_x0000_i1102" type="#_x0000_t75" style="width:218.25pt;height:163.5pt" o:ole="">
                  <v:imagedata r:id="rId191" o:title=""/>
                </v:shape>
                <o:OLEObject Type="Embed" ProgID="STATISTICA.Graph" ShapeID="_x0000_i1102" DrawAspect="Content" ObjectID="_1624460825" r:id="rId192">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3.3.44. </w:t>
            </w:r>
            <w:r w:rsidRPr="00F90B6B">
              <w:rPr>
                <w:rFonts w:ascii="Times New Roman" w:hAnsi="Times New Roman"/>
                <w:sz w:val="28"/>
                <w:szCs w:val="28"/>
                <w:lang w:eastAsia="ru-RU"/>
              </w:rPr>
              <w:t>Рівень пульсового АТ та вміст натрію у пацієнтів з ХСН та ожирінням.</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3.3.45. </w:t>
            </w:r>
            <w:r w:rsidRPr="00F90B6B">
              <w:rPr>
                <w:rFonts w:ascii="Times New Roman" w:hAnsi="Times New Roman"/>
                <w:sz w:val="28"/>
                <w:szCs w:val="28"/>
                <w:lang w:eastAsia="ru-RU"/>
              </w:rPr>
              <w:t>Рівень середнього АТ та вміст натрію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Також, за наявності супутнього ожиріння при ХСН, встановлено прямий зв’язок із рівнем натрію, загальним периферичним судинним опором та питомим периферичним судинним опором (рис. 3.3.46 та 3.3.47).</w:t>
      </w:r>
    </w:p>
    <w:p w:rsidR="00EF4063" w:rsidRPr="00F90B6B" w:rsidRDefault="00EF4063" w:rsidP="00F0048B">
      <w:pPr>
        <w:spacing w:after="0" w:line="360" w:lineRule="auto"/>
        <w:ind w:firstLine="709"/>
        <w:jc w:val="both"/>
        <w:rPr>
          <w:rFonts w:ascii="Times New Roman" w:hAnsi="Times New Roman"/>
          <w:sz w:val="16"/>
          <w:szCs w:val="16"/>
        </w:rPr>
      </w:pP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103" type="#_x0000_t75" style="width:228.75pt;height:171.75pt" o:ole="">
                  <v:imagedata r:id="rId193" o:title=""/>
                </v:shape>
                <o:OLEObject Type="Embed" ProgID="STATISTICA.Graph" ShapeID="_x0000_i1103" DrawAspect="Content" ObjectID="_1624460826" r:id="rId194">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50" w:dyaOrig="3495">
                <v:shape id="_x0000_i1104" type="#_x0000_t75" style="width:232.5pt;height:174.75pt" o:ole="">
                  <v:imagedata r:id="rId195" o:title=""/>
                </v:shape>
                <o:OLEObject Type="Embed" ProgID="STATISTICA.Graph" ShapeID="_x0000_i1104" DrawAspect="Content" ObjectID="_1624460827" r:id="rId196">
                  <o:FieldCodes>\s</o:FieldCodes>
                </o:OLEObject>
              </w:object>
            </w:r>
          </w:p>
        </w:tc>
      </w:tr>
      <w:tr w:rsidR="00EF4063" w:rsidRPr="00F90B6B" w:rsidTr="0076299F">
        <w:tc>
          <w:tcPr>
            <w:tcW w:w="4786" w:type="dxa"/>
          </w:tcPr>
          <w:p w:rsidR="00EF4063" w:rsidRPr="00F90B6B" w:rsidRDefault="00EF4063" w:rsidP="00976E59">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3.3.46. </w:t>
            </w:r>
            <w:r w:rsidRPr="00F90B6B">
              <w:rPr>
                <w:rFonts w:ascii="Times New Roman" w:hAnsi="Times New Roman"/>
                <w:sz w:val="28"/>
                <w:szCs w:val="28"/>
                <w:lang w:eastAsia="ru-RU"/>
              </w:rPr>
              <w:t>Загальний периферичний опір та вміст натрію у пацієнтів з ХСН та ожирінням.</w:t>
            </w:r>
          </w:p>
        </w:tc>
        <w:tc>
          <w:tcPr>
            <w:tcW w:w="4678" w:type="dxa"/>
          </w:tcPr>
          <w:p w:rsidR="00EF4063" w:rsidRPr="00F90B6B" w:rsidRDefault="00EF4063" w:rsidP="00976E59">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3.3.47. </w:t>
            </w:r>
            <w:r w:rsidRPr="00F90B6B">
              <w:rPr>
                <w:rFonts w:ascii="Times New Roman" w:hAnsi="Times New Roman"/>
                <w:sz w:val="28"/>
                <w:szCs w:val="28"/>
                <w:lang w:eastAsia="ru-RU"/>
              </w:rPr>
              <w:t>Питомий периферичний опір та вміст натрію у пацієнтів з ХСН та ожирінням.</w:t>
            </w:r>
          </w:p>
        </w:tc>
      </w:tr>
    </w:tbl>
    <w:p w:rsidR="00EF4063" w:rsidRPr="007E797D" w:rsidRDefault="00EF4063" w:rsidP="00976E59">
      <w:pPr>
        <w:spacing w:after="0" w:line="312" w:lineRule="auto"/>
        <w:ind w:firstLine="709"/>
        <w:jc w:val="both"/>
        <w:rPr>
          <w:rFonts w:ascii="Times New Roman" w:hAnsi="Times New Roman"/>
          <w:sz w:val="28"/>
          <w:szCs w:val="28"/>
        </w:rPr>
      </w:pPr>
      <w:r w:rsidRPr="00F90B6B">
        <w:rPr>
          <w:rFonts w:ascii="Times New Roman" w:hAnsi="Times New Roman"/>
          <w:sz w:val="28"/>
          <w:szCs w:val="28"/>
        </w:rPr>
        <w:t>Враховуючи вищесказане, а також дані регресійного аналізу, які наведені в таблиці 3.3.5, можна запропонувати математичну модель взаємозв’язку гемодинаміки та рівня натріємії у хворих з ХСН та ожирінням:</w:t>
      </w:r>
    </w:p>
    <w:p w:rsidR="008F54E3" w:rsidRPr="007E797D" w:rsidRDefault="008F54E3" w:rsidP="00976E59">
      <w:pPr>
        <w:spacing w:after="0" w:line="312" w:lineRule="auto"/>
        <w:ind w:firstLine="709"/>
        <w:jc w:val="both"/>
        <w:rPr>
          <w:rFonts w:ascii="Times New Roman" w:hAnsi="Times New Roman"/>
          <w:sz w:val="28"/>
          <w:szCs w:val="28"/>
        </w:rPr>
      </w:pPr>
    </w:p>
    <w:p w:rsidR="00EF4063" w:rsidRPr="00F90B6B" w:rsidRDefault="00EF4063" w:rsidP="00976E59">
      <w:pPr>
        <w:spacing w:after="0" w:line="312" w:lineRule="auto"/>
        <w:ind w:firstLine="709"/>
        <w:jc w:val="center"/>
        <w:rPr>
          <w:rFonts w:ascii="Times New Roman" w:hAnsi="Times New Roman"/>
          <w:sz w:val="28"/>
          <w:szCs w:val="28"/>
        </w:rPr>
      </w:pPr>
      <w:r w:rsidRPr="00F90B6B">
        <w:rPr>
          <w:rFonts w:ascii="Times New Roman" w:hAnsi="Times New Roman"/>
          <w:b/>
          <w:i/>
          <w:sz w:val="28"/>
          <w:szCs w:val="28"/>
        </w:rPr>
        <w:t xml:space="preserve">Рівень </w:t>
      </w:r>
      <w:r w:rsidRPr="00F90B6B">
        <w:rPr>
          <w:rFonts w:ascii="Times New Roman" w:hAnsi="Times New Roman"/>
          <w:b/>
          <w:i/>
          <w:sz w:val="28"/>
          <w:szCs w:val="28"/>
          <w:lang w:val="en-US"/>
        </w:rPr>
        <w:t>Na</w:t>
      </w:r>
      <w:r w:rsidRPr="00F90B6B">
        <w:rPr>
          <w:rFonts w:ascii="Times New Roman" w:hAnsi="Times New Roman"/>
          <w:sz w:val="28"/>
          <w:szCs w:val="28"/>
          <w:lang w:val="ru-RU"/>
        </w:rPr>
        <w:t xml:space="preserve"> =</w:t>
      </w:r>
      <w:r w:rsidRPr="00F90B6B">
        <w:rPr>
          <w:rFonts w:ascii="Times New Roman" w:hAnsi="Times New Roman"/>
          <w:sz w:val="28"/>
          <w:szCs w:val="28"/>
        </w:rPr>
        <w:t xml:space="preserve"> 142,4 </w:t>
      </w:r>
      <w:r w:rsidRPr="00F90B6B">
        <w:rPr>
          <w:rFonts w:ascii="Times New Roman" w:hAnsi="Times New Roman"/>
          <w:sz w:val="28"/>
          <w:szCs w:val="28"/>
          <w:lang w:val="ru-RU"/>
        </w:rPr>
        <w:t>+</w:t>
      </w:r>
      <w:r w:rsidRPr="00F90B6B">
        <w:rPr>
          <w:rFonts w:ascii="Times New Roman" w:hAnsi="Times New Roman"/>
          <w:sz w:val="28"/>
          <w:szCs w:val="28"/>
        </w:rPr>
        <w:t xml:space="preserve"> ПАТ*0,236 – АТсер.*0,113 </w:t>
      </w:r>
      <w:r w:rsidRPr="00F90B6B">
        <w:rPr>
          <w:rFonts w:ascii="Times New Roman" w:hAnsi="Times New Roman"/>
          <w:sz w:val="28"/>
          <w:szCs w:val="28"/>
          <w:lang w:val="ru-RU"/>
        </w:rPr>
        <w:t>+</w:t>
      </w:r>
      <w:r w:rsidRPr="00F90B6B">
        <w:rPr>
          <w:rFonts w:ascii="Times New Roman" w:hAnsi="Times New Roman"/>
          <w:sz w:val="28"/>
          <w:szCs w:val="28"/>
        </w:rPr>
        <w:t xml:space="preserve"> ЗПСО*0,028 + ППСО*0,012, де</w:t>
      </w:r>
    </w:p>
    <w:p w:rsidR="00EF4063" w:rsidRPr="00F90B6B" w:rsidRDefault="00EF4063" w:rsidP="00976E59">
      <w:pPr>
        <w:spacing w:after="0" w:line="312" w:lineRule="auto"/>
        <w:ind w:firstLine="709"/>
        <w:jc w:val="both"/>
        <w:rPr>
          <w:rFonts w:ascii="Times New Roman" w:hAnsi="Times New Roman"/>
          <w:sz w:val="28"/>
          <w:szCs w:val="28"/>
        </w:rPr>
      </w:pPr>
      <w:r w:rsidRPr="00F90B6B">
        <w:rPr>
          <w:rFonts w:ascii="Times New Roman" w:hAnsi="Times New Roman"/>
          <w:sz w:val="28"/>
          <w:szCs w:val="28"/>
        </w:rPr>
        <w:t>ПАТ – пульсовий артеріальний тиск;</w:t>
      </w:r>
    </w:p>
    <w:p w:rsidR="00EF4063" w:rsidRPr="00F90B6B" w:rsidRDefault="00EF4063" w:rsidP="00976E59">
      <w:pPr>
        <w:spacing w:after="0" w:line="312" w:lineRule="auto"/>
        <w:ind w:firstLine="709"/>
        <w:jc w:val="both"/>
        <w:rPr>
          <w:rFonts w:ascii="Times New Roman" w:hAnsi="Times New Roman"/>
          <w:sz w:val="28"/>
          <w:szCs w:val="28"/>
        </w:rPr>
      </w:pPr>
      <w:r w:rsidRPr="00F90B6B">
        <w:rPr>
          <w:rFonts w:ascii="Times New Roman" w:hAnsi="Times New Roman"/>
          <w:sz w:val="28"/>
          <w:szCs w:val="28"/>
        </w:rPr>
        <w:t>АТ сер. – середній артеріальний тиск;</w:t>
      </w:r>
    </w:p>
    <w:p w:rsidR="00EF4063" w:rsidRPr="00F90B6B" w:rsidRDefault="00EF4063" w:rsidP="00976E59">
      <w:pPr>
        <w:spacing w:after="0" w:line="312" w:lineRule="auto"/>
        <w:ind w:firstLine="709"/>
        <w:jc w:val="both"/>
        <w:rPr>
          <w:rFonts w:ascii="Times New Roman" w:hAnsi="Times New Roman"/>
          <w:sz w:val="28"/>
          <w:szCs w:val="28"/>
        </w:rPr>
      </w:pPr>
      <w:r w:rsidRPr="00F90B6B">
        <w:rPr>
          <w:rFonts w:ascii="Times New Roman" w:hAnsi="Times New Roman"/>
          <w:sz w:val="28"/>
          <w:szCs w:val="28"/>
        </w:rPr>
        <w:t>ЗПСО – загальний периферичний судинний опір;</w:t>
      </w:r>
    </w:p>
    <w:p w:rsidR="00224E15" w:rsidRPr="00F90B6B" w:rsidRDefault="00EF4063" w:rsidP="00976E59">
      <w:pPr>
        <w:spacing w:after="0" w:line="312" w:lineRule="auto"/>
        <w:ind w:firstLine="709"/>
        <w:jc w:val="both"/>
        <w:rPr>
          <w:rFonts w:ascii="Times New Roman" w:hAnsi="Times New Roman"/>
          <w:sz w:val="28"/>
          <w:szCs w:val="28"/>
          <w:lang w:val="ru-RU"/>
        </w:rPr>
      </w:pPr>
      <w:r w:rsidRPr="00F90B6B">
        <w:rPr>
          <w:rFonts w:ascii="Times New Roman" w:hAnsi="Times New Roman"/>
          <w:sz w:val="28"/>
          <w:szCs w:val="28"/>
        </w:rPr>
        <w:t>ППСО – питомий периферичний судинний опір.</w:t>
      </w:r>
      <w:r w:rsidR="00224E15" w:rsidRPr="00F90B6B">
        <w:rPr>
          <w:rFonts w:ascii="Times New Roman" w:hAnsi="Times New Roman"/>
          <w:sz w:val="28"/>
          <w:szCs w:val="28"/>
        </w:rPr>
        <w:t xml:space="preserve"> </w:t>
      </w:r>
    </w:p>
    <w:p w:rsidR="00EF4063" w:rsidRPr="00F90B6B" w:rsidRDefault="00224E15" w:rsidP="00976E59">
      <w:pPr>
        <w:spacing w:after="0" w:line="312" w:lineRule="auto"/>
        <w:ind w:firstLine="709"/>
        <w:jc w:val="both"/>
        <w:rPr>
          <w:rFonts w:ascii="Times New Roman" w:hAnsi="Times New Roman"/>
          <w:sz w:val="28"/>
          <w:szCs w:val="28"/>
        </w:rPr>
      </w:pPr>
      <w:r w:rsidRPr="00F90B6B">
        <w:rPr>
          <w:rFonts w:ascii="Times New Roman" w:hAnsi="Times New Roman"/>
          <w:sz w:val="28"/>
          <w:szCs w:val="28"/>
        </w:rPr>
        <w:t xml:space="preserve">Натрійуретичні пептиди - родина споріднених пептидів, які є природними антагоністами симпатоадреналової та ренін-ангіотензинової систем, а також вазопресину та альдостерону; ці субстанції викликають периферичну вазодилатацію, посилюють діурез, знижують тиск в артеріях, перед та постнавантаження, зменшують синтез і вивільнення ендотеліну, послабляють зростання гладком'язевих, кардіальних, ендотеліальних клітин і фібробластів кардіоцитів. </w:t>
      </w:r>
      <w:r w:rsidRPr="00F90B6B">
        <w:rPr>
          <w:rFonts w:ascii="Times New Roman" w:hAnsi="Times New Roman"/>
          <w:sz w:val="28"/>
          <w:szCs w:val="28"/>
          <w:lang w:eastAsia="uk-UA"/>
        </w:rPr>
        <w:t xml:space="preserve">Значення рівня NTproBNP в оцінці прогнозу у хворих з ХСН, їх </w:t>
      </w:r>
      <w:r w:rsidRPr="00F90B6B">
        <w:rPr>
          <w:rFonts w:ascii="Times New Roman" w:hAnsi="Times New Roman"/>
          <w:sz w:val="28"/>
          <w:szCs w:val="28"/>
        </w:rPr>
        <w:t>кореляцію з серцево-судинною смертністю незалежно від інших чинників ризику</w:t>
      </w:r>
      <w:r w:rsidRPr="00F90B6B">
        <w:rPr>
          <w:rFonts w:ascii="Times New Roman" w:hAnsi="Times New Roman"/>
          <w:sz w:val="28"/>
          <w:szCs w:val="28"/>
          <w:lang w:eastAsia="uk-UA"/>
        </w:rPr>
        <w:t xml:space="preserve"> </w:t>
      </w:r>
      <w:r w:rsidRPr="00F90B6B">
        <w:rPr>
          <w:rFonts w:ascii="Times New Roman" w:hAnsi="Times New Roman"/>
          <w:sz w:val="28"/>
          <w:szCs w:val="28"/>
          <w:lang w:eastAsia="uk-UA"/>
        </w:rPr>
        <w:lastRenderedPageBreak/>
        <w:t xml:space="preserve">продемонстровано у популяційних дослідженнях </w:t>
      </w:r>
      <w:r w:rsidRPr="00F90B6B">
        <w:rPr>
          <w:rFonts w:ascii="Times New Roman" w:hAnsi="Times New Roman"/>
          <w:sz w:val="28"/>
          <w:szCs w:val="28"/>
        </w:rPr>
        <w:t>[166], а також затверджено в клінічних рекомендаціях [173].</w:t>
      </w:r>
    </w:p>
    <w:p w:rsidR="00EF4063" w:rsidRPr="00F90B6B" w:rsidRDefault="00EF4063" w:rsidP="00976E59">
      <w:pPr>
        <w:spacing w:after="0" w:line="312" w:lineRule="auto"/>
        <w:ind w:firstLine="709"/>
        <w:jc w:val="right"/>
        <w:rPr>
          <w:rFonts w:ascii="Times New Roman" w:hAnsi="Times New Roman"/>
          <w:i/>
          <w:sz w:val="28"/>
          <w:szCs w:val="28"/>
        </w:rPr>
      </w:pPr>
      <w:r w:rsidRPr="00F90B6B">
        <w:rPr>
          <w:rFonts w:ascii="Times New Roman" w:hAnsi="Times New Roman"/>
          <w:i/>
          <w:sz w:val="28"/>
          <w:szCs w:val="28"/>
        </w:rPr>
        <w:t>Таблиця 3.3.5</w:t>
      </w:r>
    </w:p>
    <w:p w:rsidR="00EF4063" w:rsidRPr="00F90B6B" w:rsidRDefault="00EF4063" w:rsidP="00976E59">
      <w:pPr>
        <w:spacing w:after="0" w:line="312" w:lineRule="auto"/>
        <w:ind w:firstLine="709"/>
        <w:jc w:val="center"/>
        <w:rPr>
          <w:rFonts w:ascii="Times New Roman" w:hAnsi="Times New Roman"/>
          <w:b/>
          <w:sz w:val="28"/>
          <w:szCs w:val="28"/>
        </w:rPr>
      </w:pPr>
      <w:r w:rsidRPr="00F90B6B">
        <w:rPr>
          <w:rFonts w:ascii="Times New Roman" w:hAnsi="Times New Roman"/>
          <w:b/>
          <w:sz w:val="28"/>
          <w:szCs w:val="28"/>
        </w:rPr>
        <w:t>Сумарна регресійна модель для залежних коефіціентів та рівня натріємії у хворих з ХСН та ожирінням</w:t>
      </w:r>
    </w:p>
    <w:p w:rsidR="00EF4063" w:rsidRPr="00F90B6B" w:rsidRDefault="00EF4063" w:rsidP="00976E59">
      <w:pPr>
        <w:spacing w:after="0" w:line="312" w:lineRule="auto"/>
        <w:jc w:val="center"/>
        <w:rPr>
          <w:rFonts w:ascii="Times New Roman" w:hAnsi="Times New Roman"/>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6"/>
        <w:gridCol w:w="2605"/>
        <w:gridCol w:w="2605"/>
        <w:gridCol w:w="2605"/>
      </w:tblGrid>
      <w:tr w:rsidR="00EF4063" w:rsidRPr="00F90B6B" w:rsidTr="0076299F">
        <w:tc>
          <w:tcPr>
            <w:tcW w:w="1250" w:type="pct"/>
            <w:vAlign w:val="center"/>
          </w:tcPr>
          <w:p w:rsidR="00EF4063" w:rsidRPr="00F90B6B" w:rsidRDefault="00EF4063" w:rsidP="00976E59">
            <w:pPr>
              <w:spacing w:after="0" w:line="312" w:lineRule="auto"/>
              <w:jc w:val="center"/>
              <w:rPr>
                <w:rFonts w:ascii="Times New Roman" w:hAnsi="Times New Roman"/>
                <w:b/>
                <w:bCs/>
                <w:sz w:val="28"/>
                <w:szCs w:val="28"/>
                <w:lang w:eastAsia="uk-UA"/>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976E59">
            <w:pPr>
              <w:spacing w:after="0" w:line="312"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Beta</w:t>
            </w:r>
          </w:p>
        </w:tc>
        <w:tc>
          <w:tcPr>
            <w:tcW w:w="1250" w:type="pct"/>
            <w:vAlign w:val="center"/>
          </w:tcPr>
          <w:p w:rsidR="00EF4063" w:rsidRPr="00F90B6B" w:rsidRDefault="00EF4063" w:rsidP="00976E59">
            <w:pPr>
              <w:spacing w:after="0" w:line="312"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w:t>
            </w:r>
          </w:p>
        </w:tc>
        <w:tc>
          <w:tcPr>
            <w:tcW w:w="1250" w:type="pct"/>
            <w:vAlign w:val="center"/>
          </w:tcPr>
          <w:p w:rsidR="00EF4063" w:rsidRPr="00F90B6B" w:rsidRDefault="00EF4063" w:rsidP="00976E59">
            <w:pPr>
              <w:spacing w:after="0" w:line="312"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p-level</w:t>
            </w:r>
          </w:p>
        </w:tc>
      </w:tr>
      <w:tr w:rsidR="00EF4063" w:rsidRPr="00F90B6B" w:rsidTr="0076299F">
        <w:tc>
          <w:tcPr>
            <w:tcW w:w="1250" w:type="pct"/>
            <w:vAlign w:val="center"/>
          </w:tcPr>
          <w:p w:rsidR="00EF4063" w:rsidRPr="00F90B6B" w:rsidRDefault="00EF4063" w:rsidP="00976E59">
            <w:pPr>
              <w:spacing w:after="0" w:line="312"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Intercept</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142,4417</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0,000000</w:t>
            </w:r>
          </w:p>
        </w:tc>
      </w:tr>
      <w:tr w:rsidR="00EF4063" w:rsidRPr="00F90B6B" w:rsidTr="0076299F">
        <w:tc>
          <w:tcPr>
            <w:tcW w:w="1250" w:type="pct"/>
            <w:vAlign w:val="center"/>
          </w:tcPr>
          <w:p w:rsidR="00EF4063" w:rsidRPr="00F90B6B" w:rsidRDefault="00EF4063" w:rsidP="00976E59">
            <w:pPr>
              <w:spacing w:after="0" w:line="312"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ПАТ</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0,236944</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0,1656</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0,011009</w:t>
            </w:r>
          </w:p>
        </w:tc>
      </w:tr>
      <w:tr w:rsidR="00EF4063" w:rsidRPr="00F90B6B" w:rsidTr="0076299F">
        <w:tc>
          <w:tcPr>
            <w:tcW w:w="1250" w:type="pct"/>
            <w:vAlign w:val="center"/>
          </w:tcPr>
          <w:p w:rsidR="00EF4063" w:rsidRPr="00F90B6B" w:rsidRDefault="00EF4063" w:rsidP="00976E59">
            <w:pPr>
              <w:spacing w:after="0" w:line="312"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АТ сер.</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-0,113232</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-0,0691</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0,044356</w:t>
            </w:r>
          </w:p>
        </w:tc>
      </w:tr>
      <w:tr w:rsidR="00EF4063" w:rsidRPr="00F90B6B" w:rsidTr="0076299F">
        <w:tc>
          <w:tcPr>
            <w:tcW w:w="1250" w:type="pct"/>
            <w:vAlign w:val="center"/>
          </w:tcPr>
          <w:p w:rsidR="00EF4063" w:rsidRPr="00F90B6B" w:rsidRDefault="00EF4063" w:rsidP="00976E59">
            <w:pPr>
              <w:spacing w:after="0" w:line="312"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ЗПСО</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0,028293</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0,0005</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0,091503</w:t>
            </w:r>
          </w:p>
        </w:tc>
      </w:tr>
      <w:tr w:rsidR="00EF4063" w:rsidRPr="00F90B6B" w:rsidTr="0076299F">
        <w:tc>
          <w:tcPr>
            <w:tcW w:w="1250" w:type="pct"/>
            <w:vAlign w:val="center"/>
          </w:tcPr>
          <w:p w:rsidR="00EF4063" w:rsidRPr="00F90B6B" w:rsidRDefault="00EF4063" w:rsidP="00976E59">
            <w:pPr>
              <w:spacing w:after="0" w:line="312"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ППСО</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0,012065</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0,0088</w:t>
            </w:r>
          </w:p>
        </w:tc>
        <w:tc>
          <w:tcPr>
            <w:tcW w:w="1250" w:type="pct"/>
            <w:vAlign w:val="center"/>
          </w:tcPr>
          <w:p w:rsidR="00EF4063" w:rsidRPr="00F90B6B" w:rsidRDefault="00EF4063" w:rsidP="00976E59">
            <w:pPr>
              <w:spacing w:after="0" w:line="312" w:lineRule="auto"/>
              <w:jc w:val="center"/>
              <w:rPr>
                <w:rFonts w:ascii="Times New Roman" w:hAnsi="Times New Roman"/>
                <w:sz w:val="28"/>
                <w:szCs w:val="28"/>
                <w:lang w:eastAsia="uk-UA"/>
              </w:rPr>
            </w:pPr>
            <w:r w:rsidRPr="00F90B6B">
              <w:rPr>
                <w:rFonts w:ascii="Times New Roman" w:hAnsi="Times New Roman"/>
                <w:sz w:val="28"/>
                <w:szCs w:val="28"/>
                <w:lang w:eastAsia="uk-UA"/>
              </w:rPr>
              <w:t>0,096391</w:t>
            </w:r>
          </w:p>
        </w:tc>
      </w:tr>
    </w:tbl>
    <w:p w:rsidR="00224E15" w:rsidRPr="00F90B6B" w:rsidRDefault="00224E15" w:rsidP="00976E59">
      <w:pPr>
        <w:spacing w:after="0" w:line="312" w:lineRule="auto"/>
        <w:ind w:firstLine="709"/>
        <w:jc w:val="both"/>
        <w:rPr>
          <w:rFonts w:ascii="Times New Roman" w:hAnsi="Times New Roman"/>
          <w:sz w:val="28"/>
          <w:szCs w:val="28"/>
          <w:lang w:val="ru-RU"/>
        </w:rPr>
      </w:pPr>
    </w:p>
    <w:p w:rsidR="00EF4063" w:rsidRPr="00F90B6B" w:rsidRDefault="00EF4063" w:rsidP="00976E59">
      <w:pPr>
        <w:spacing w:after="0" w:line="312" w:lineRule="auto"/>
        <w:ind w:firstLine="709"/>
        <w:jc w:val="both"/>
        <w:rPr>
          <w:rFonts w:ascii="Times New Roman" w:hAnsi="Times New Roman"/>
          <w:sz w:val="28"/>
          <w:szCs w:val="28"/>
          <w:lang w:eastAsia="uk-UA"/>
        </w:rPr>
      </w:pPr>
      <w:r w:rsidRPr="00F90B6B">
        <w:rPr>
          <w:rFonts w:ascii="Times New Roman" w:hAnsi="Times New Roman"/>
          <w:sz w:val="28"/>
          <w:szCs w:val="28"/>
        </w:rPr>
        <w:t xml:space="preserve">В той же час, не до кінця вирішеним питанням є вивчення ролі </w:t>
      </w:r>
      <w:r w:rsidRPr="00F90B6B">
        <w:rPr>
          <w:rFonts w:ascii="Times New Roman" w:hAnsi="Times New Roman"/>
          <w:sz w:val="28"/>
          <w:szCs w:val="28"/>
          <w:lang w:eastAsia="uk-UA"/>
        </w:rPr>
        <w:t xml:space="preserve">NTproBNP у хворих з ожирінням, важливим є дослідження його взаємозв’язку з клініко-лабораторними та кардіогемодинамічними показниками для даної категорії пацієнтів. </w:t>
      </w:r>
      <w:r w:rsidRPr="00F90B6B">
        <w:rPr>
          <w:rFonts w:ascii="Times New Roman" w:hAnsi="Times New Roman"/>
          <w:sz w:val="28"/>
          <w:szCs w:val="28"/>
        </w:rPr>
        <w:t xml:space="preserve">Слід сказати, що вміст між вмістом </w:t>
      </w:r>
      <w:r w:rsidRPr="00F90B6B">
        <w:rPr>
          <w:rFonts w:ascii="Times New Roman" w:hAnsi="Times New Roman"/>
          <w:sz w:val="28"/>
          <w:szCs w:val="28"/>
          <w:lang w:eastAsia="uk-UA"/>
        </w:rPr>
        <w:t>NTproBNP та ІМТ пацієнтів встановлено від’ємний невірогідний кореляційний зв’язок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=-0,10), рис. 3.3.48.</w:t>
      </w:r>
    </w:p>
    <w:p w:rsidR="00EF4063" w:rsidRPr="00F90B6B" w:rsidRDefault="00EF4063" w:rsidP="00F0048B">
      <w:pPr>
        <w:spacing w:after="0" w:line="360" w:lineRule="auto"/>
        <w:jc w:val="center"/>
        <w:rPr>
          <w:rFonts w:ascii="Times New Roman" w:hAnsi="Times New Roman"/>
        </w:rPr>
      </w:pPr>
      <w:r w:rsidRPr="00F90B6B">
        <w:rPr>
          <w:rFonts w:ascii="Times New Roman" w:hAnsi="Times New Roman"/>
        </w:rPr>
        <w:object w:dxaOrig="4800" w:dyaOrig="3630">
          <v:shape id="_x0000_i1105" type="#_x0000_t75" style="width:240pt;height:181.5pt" o:ole="">
            <v:imagedata r:id="rId197" o:title=""/>
          </v:shape>
          <o:OLEObject Type="Embed" ProgID="STATISTICA.Graph" ShapeID="_x0000_i1105" DrawAspect="Content" ObjectID="_1624460828" r:id="rId198">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3.3.48. </w:t>
      </w:r>
      <w:r w:rsidRPr="00F90B6B">
        <w:rPr>
          <w:rFonts w:ascii="Times New Roman" w:hAnsi="Times New Roman"/>
          <w:sz w:val="28"/>
          <w:szCs w:val="28"/>
        </w:rPr>
        <w:t xml:space="preserve">Кореляційний зв’язок між вмістом </w:t>
      </w:r>
      <w:r w:rsidRPr="00F90B6B">
        <w:rPr>
          <w:rFonts w:ascii="Times New Roman" w:hAnsi="Times New Roman"/>
          <w:sz w:val="28"/>
          <w:szCs w:val="28"/>
          <w:lang w:eastAsia="uk-UA"/>
        </w:rPr>
        <w:t>NTproBNP та індексом маси тіла у хворих з ожирінням.</w:t>
      </w:r>
    </w:p>
    <w:p w:rsidR="00EF4063" w:rsidRPr="00F90B6B" w:rsidRDefault="00EF4063" w:rsidP="00F0048B">
      <w:pPr>
        <w:spacing w:after="0" w:line="360" w:lineRule="auto"/>
        <w:ind w:firstLine="709"/>
        <w:jc w:val="both"/>
        <w:rPr>
          <w:rFonts w:ascii="Times New Roman" w:hAnsi="Times New Roman"/>
          <w:sz w:val="28"/>
          <w:szCs w:val="28"/>
          <w:lang w:val="ru-RU" w:eastAsia="uk-UA"/>
        </w:rPr>
      </w:pPr>
      <w:r w:rsidRPr="00F90B6B">
        <w:rPr>
          <w:rFonts w:ascii="Times New Roman" w:hAnsi="Times New Roman"/>
          <w:sz w:val="28"/>
          <w:szCs w:val="28"/>
        </w:rPr>
        <w:t xml:space="preserve">Відмічено погіршення якості життя за Міннесотою паралельно зростанню рівня </w:t>
      </w:r>
      <w:r w:rsidRPr="00F90B6B">
        <w:rPr>
          <w:rFonts w:ascii="Times New Roman" w:hAnsi="Times New Roman"/>
          <w:sz w:val="28"/>
          <w:szCs w:val="28"/>
          <w:lang w:eastAsia="uk-UA"/>
        </w:rPr>
        <w:t>NTproBNP у хворих з ХСН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=0,30 та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=0,18, р&lt;0,05), а також при ускладненні ХСН супутнім ожирінням, рис. 3.3.49 та 3.3.50. Проте, як бачимо значення цього компонента при ІМТ більше 30 кг/м</w:t>
      </w:r>
      <w:r w:rsidRPr="00F90B6B">
        <w:rPr>
          <w:rFonts w:ascii="Times New Roman" w:hAnsi="Times New Roman"/>
          <w:sz w:val="28"/>
          <w:szCs w:val="28"/>
          <w:vertAlign w:val="superscript"/>
          <w:lang w:eastAsia="uk-UA"/>
        </w:rPr>
        <w:t>2</w:t>
      </w:r>
      <w:r w:rsidRPr="00F90B6B">
        <w:rPr>
          <w:rFonts w:ascii="Times New Roman" w:hAnsi="Times New Roman"/>
          <w:sz w:val="28"/>
          <w:szCs w:val="28"/>
          <w:lang w:eastAsia="uk-UA"/>
        </w:rPr>
        <w:t xml:space="preserve"> є меншим, ніж по групі в цілому.</w:t>
      </w:r>
    </w:p>
    <w:p w:rsidR="00EF4063" w:rsidRPr="00F90B6B" w:rsidRDefault="00EF4063" w:rsidP="00F0048B">
      <w:pPr>
        <w:spacing w:after="0" w:line="360" w:lineRule="auto"/>
        <w:ind w:firstLine="709"/>
        <w:jc w:val="both"/>
        <w:rPr>
          <w:rFonts w:ascii="Times New Roman" w:hAnsi="Times New Roman"/>
          <w:sz w:val="28"/>
          <w:szCs w:val="28"/>
        </w:rPr>
      </w:pP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70" w:dyaOrig="3570">
                <v:shape id="_x0000_i1106" type="#_x0000_t75" style="width:238.5pt;height:178.5pt" o:ole="">
                  <v:imagedata r:id="rId199" o:title=""/>
                </v:shape>
                <o:OLEObject Type="Embed" ProgID="STATISTICA.Graph" ShapeID="_x0000_i1106" DrawAspect="Content" ObjectID="_1624460829" r:id="rId200">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70" w:dyaOrig="3345">
                <v:shape id="_x0000_i1107" type="#_x0000_t75" style="width:223.5pt;height:167.25pt" o:ole="">
                  <v:imagedata r:id="rId201" o:title=""/>
                </v:shape>
                <o:OLEObject Type="Embed" ProgID="STATISTICA.Graph" ShapeID="_x0000_i1107" DrawAspect="Content" ObjectID="_1624460830" r:id="rId202">
                  <o:FieldCodes>\s</o:FieldCodes>
                </o:OLEObject>
              </w:object>
            </w:r>
          </w:p>
        </w:tc>
      </w:tr>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3.3.49. </w:t>
            </w:r>
            <w:r w:rsidRPr="00F90B6B">
              <w:rPr>
                <w:rFonts w:ascii="Times New Roman" w:hAnsi="Times New Roman"/>
                <w:sz w:val="28"/>
                <w:szCs w:val="28"/>
                <w:lang w:eastAsia="ru-RU"/>
              </w:rPr>
              <w:t xml:space="preserve">Якість життя залежно від вмісту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3.3.50. </w:t>
            </w:r>
            <w:r w:rsidRPr="00F90B6B">
              <w:rPr>
                <w:rFonts w:ascii="Times New Roman" w:hAnsi="Times New Roman"/>
                <w:sz w:val="28"/>
                <w:szCs w:val="28"/>
                <w:lang w:eastAsia="ru-RU"/>
              </w:rPr>
              <w:t xml:space="preserve">Якість життя залежно від вмісту </w:t>
            </w:r>
            <w:r w:rsidRPr="00F90B6B">
              <w:rPr>
                <w:rFonts w:ascii="Times New Roman" w:hAnsi="Times New Roman"/>
                <w:sz w:val="28"/>
                <w:szCs w:val="28"/>
                <w:lang w:eastAsia="uk-UA"/>
              </w:rPr>
              <w:t>NTproBNP</w:t>
            </w:r>
            <w:r w:rsidRPr="00F90B6B">
              <w:rPr>
                <w:rFonts w:ascii="Times New Roman" w:hAnsi="Times New Roman"/>
                <w:sz w:val="28"/>
                <w:szCs w:val="28"/>
                <w:lang w:eastAsia="ru-RU"/>
              </w:rPr>
              <w:t xml:space="preserve">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Встановлено вірогідний вплив підвищеного рівня NTproBNP на зниження толерантності до фізичного навантаження при ХСН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=-0,20, р&lt;0,05), з невірогідним значенням при ХСН та ожирінні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=-0,09, р&gt;0,05).</w:t>
      </w: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10" w:dyaOrig="3390">
                <v:shape id="_x0000_i1108" type="#_x0000_t75" style="width:235.5pt;height:169.5pt" o:ole="">
                  <v:imagedata r:id="rId203" o:title=""/>
                </v:shape>
                <o:OLEObject Type="Embed" ProgID="STATISTICA.Graph" ShapeID="_x0000_i1108" DrawAspect="Content" ObjectID="_1624460831" r:id="rId204">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335" w:dyaOrig="3465">
                <v:shape id="_x0000_i1109" type="#_x0000_t75" style="width:216.75pt;height:173.25pt" o:ole="">
                  <v:imagedata r:id="rId205" o:title=""/>
                </v:shape>
                <o:OLEObject Type="Embed" ProgID="STATISTICA.Graph" ShapeID="_x0000_i1109" DrawAspect="Content" ObjectID="_1624460832" r:id="rId206">
                  <o:FieldCodes>\s</o:FieldCodes>
                </o:OLEObject>
              </w:object>
            </w:r>
          </w:p>
        </w:tc>
      </w:tr>
      <w:tr w:rsidR="00EF4063" w:rsidRPr="00F90B6B" w:rsidTr="0076299F">
        <w:tc>
          <w:tcPr>
            <w:tcW w:w="4928"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3.3.51. </w:t>
            </w:r>
            <w:r w:rsidRPr="00F90B6B">
              <w:rPr>
                <w:rFonts w:ascii="Times New Roman" w:hAnsi="Times New Roman"/>
                <w:sz w:val="28"/>
                <w:szCs w:val="28"/>
                <w:lang w:eastAsia="ru-RU"/>
              </w:rPr>
              <w:t xml:space="preserve">Зв’язок між дистанцією 6-хвилинної ходьби та вмісту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w:t>
            </w:r>
          </w:p>
        </w:tc>
        <w:tc>
          <w:tcPr>
            <w:tcW w:w="4678"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3.3.52. </w:t>
            </w:r>
            <w:r w:rsidRPr="00F90B6B">
              <w:rPr>
                <w:rFonts w:ascii="Times New Roman" w:hAnsi="Times New Roman"/>
                <w:sz w:val="28"/>
                <w:szCs w:val="28"/>
                <w:lang w:eastAsia="ru-RU"/>
              </w:rPr>
              <w:t xml:space="preserve">Зв’язок між дистанцією 6-хвилинної ходьби та вмісту </w:t>
            </w:r>
            <w:r w:rsidRPr="00F90B6B">
              <w:rPr>
                <w:rFonts w:ascii="Times New Roman" w:hAnsi="Times New Roman"/>
                <w:sz w:val="28"/>
                <w:szCs w:val="28"/>
                <w:lang w:eastAsia="uk-UA"/>
              </w:rPr>
              <w:t>NTproBNP</w:t>
            </w:r>
            <w:r w:rsidRPr="00F90B6B">
              <w:rPr>
                <w:rFonts w:ascii="Times New Roman" w:hAnsi="Times New Roman"/>
                <w:sz w:val="28"/>
                <w:szCs w:val="28"/>
                <w:lang w:eastAsia="ru-RU"/>
              </w:rPr>
              <w:t xml:space="preserve"> у пацієнтів з ХСН та ожирінням.</w:t>
            </w:r>
          </w:p>
        </w:tc>
      </w:tr>
    </w:tbl>
    <w:p w:rsidR="008F54E3" w:rsidRPr="007E797D" w:rsidRDefault="008F54E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 нашій роботі виявлено лінійний вірогідний регресійний зв’язок між рівнем </w:t>
      </w:r>
      <w:r w:rsidRPr="00F90B6B">
        <w:rPr>
          <w:rFonts w:ascii="Times New Roman" w:hAnsi="Times New Roman"/>
          <w:sz w:val="28"/>
          <w:szCs w:val="28"/>
          <w:lang w:eastAsia="uk-UA"/>
        </w:rPr>
        <w:t>NTproBNP</w:t>
      </w:r>
      <w:r w:rsidRPr="00F90B6B">
        <w:rPr>
          <w:rFonts w:ascii="Times New Roman" w:hAnsi="Times New Roman"/>
          <w:sz w:val="28"/>
          <w:szCs w:val="28"/>
        </w:rPr>
        <w:t xml:space="preserve"> та вмістом сечовини, рис. 3.3.53-3.3.54 як при ХСН в цілому (</w:t>
      </w:r>
      <w:r w:rsidRPr="00F90B6B">
        <w:rPr>
          <w:rFonts w:ascii="Times New Roman" w:hAnsi="Times New Roman"/>
          <w:sz w:val="28"/>
          <w:szCs w:val="28"/>
          <w:lang w:val="en-US"/>
        </w:rPr>
        <w:t>r</w:t>
      </w:r>
      <w:r w:rsidRPr="00F90B6B">
        <w:rPr>
          <w:rFonts w:ascii="Times New Roman" w:hAnsi="Times New Roman"/>
          <w:sz w:val="28"/>
          <w:szCs w:val="28"/>
        </w:rPr>
        <w:t xml:space="preserve">=0,20, </w:t>
      </w:r>
      <w:r w:rsidRPr="00F90B6B">
        <w:rPr>
          <w:rFonts w:ascii="Times New Roman" w:hAnsi="Times New Roman"/>
          <w:sz w:val="28"/>
          <w:szCs w:val="28"/>
          <w:lang w:eastAsia="uk-UA"/>
        </w:rPr>
        <w:t>р&lt;0,05</w:t>
      </w:r>
      <w:r w:rsidRPr="00F90B6B">
        <w:rPr>
          <w:rFonts w:ascii="Times New Roman" w:hAnsi="Times New Roman"/>
          <w:sz w:val="28"/>
          <w:szCs w:val="28"/>
        </w:rPr>
        <w:t>), так і при ускладненні ХСН супутнім ожирінням (</w:t>
      </w:r>
      <w:r w:rsidRPr="00F90B6B">
        <w:rPr>
          <w:rFonts w:ascii="Times New Roman" w:hAnsi="Times New Roman"/>
          <w:sz w:val="28"/>
          <w:szCs w:val="28"/>
          <w:lang w:val="en-US"/>
        </w:rPr>
        <w:t>r</w:t>
      </w:r>
      <w:r w:rsidRPr="00F90B6B">
        <w:rPr>
          <w:rFonts w:ascii="Times New Roman" w:hAnsi="Times New Roman"/>
          <w:sz w:val="28"/>
          <w:szCs w:val="28"/>
        </w:rPr>
        <w:t xml:space="preserve">=0,18, </w:t>
      </w:r>
      <w:r w:rsidRPr="00F90B6B">
        <w:rPr>
          <w:rFonts w:ascii="Times New Roman" w:hAnsi="Times New Roman"/>
          <w:sz w:val="28"/>
          <w:szCs w:val="28"/>
          <w:lang w:eastAsia="uk-UA"/>
        </w:rPr>
        <w:t>р&lt;0,05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750">
                <v:shape id="_x0000_i1110" type="#_x0000_t75" style="width:228.75pt;height:187.5pt" o:ole="">
                  <v:imagedata r:id="rId207" o:title=""/>
                </v:shape>
                <o:OLEObject Type="Embed" ProgID="STATISTICA.Graph" ShapeID="_x0000_i1110" DrawAspect="Content" ObjectID="_1624460833" r:id="rId208">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275" w:dyaOrig="3390">
                <v:shape id="_x0000_i1111" type="#_x0000_t75" style="width:213.75pt;height:169.5pt" o:ole="">
                  <v:imagedata r:id="rId209" o:title=""/>
                </v:shape>
                <o:OLEObject Type="Embed" ProgID="STATISTICA.Graph" ShapeID="_x0000_i1111" DrawAspect="Content" ObjectID="_1624460834" r:id="rId210">
                  <o:FieldCodes>\s</o:FieldCodes>
                </o:OLEObject>
              </w:object>
            </w:r>
          </w:p>
        </w:tc>
      </w:tr>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3.3.53. </w:t>
            </w:r>
            <w:r w:rsidRPr="00F90B6B">
              <w:rPr>
                <w:rFonts w:ascii="Times New Roman" w:hAnsi="Times New Roman"/>
                <w:sz w:val="28"/>
                <w:szCs w:val="28"/>
                <w:lang w:eastAsia="ru-RU"/>
              </w:rPr>
              <w:t xml:space="preserve">Зв’язок між рівнем сечовини та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w:t>
            </w:r>
          </w:p>
        </w:tc>
        <w:tc>
          <w:tcPr>
            <w:tcW w:w="467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3.3.54. </w:t>
            </w:r>
            <w:r w:rsidRPr="00F90B6B">
              <w:rPr>
                <w:rFonts w:ascii="Times New Roman" w:hAnsi="Times New Roman"/>
                <w:sz w:val="28"/>
                <w:szCs w:val="28"/>
                <w:lang w:eastAsia="ru-RU"/>
              </w:rPr>
              <w:t xml:space="preserve">Зв’язок між рівнем сечовини та вмістом </w:t>
            </w:r>
            <w:r w:rsidRPr="00F90B6B">
              <w:rPr>
                <w:rFonts w:ascii="Times New Roman" w:hAnsi="Times New Roman"/>
                <w:sz w:val="28"/>
                <w:szCs w:val="28"/>
                <w:lang w:eastAsia="uk-UA"/>
              </w:rPr>
              <w:t>NTproBNP</w:t>
            </w:r>
            <w:r w:rsidRPr="00F90B6B">
              <w:rPr>
                <w:rFonts w:ascii="Times New Roman" w:hAnsi="Times New Roman"/>
                <w:sz w:val="28"/>
                <w:szCs w:val="28"/>
                <w:lang w:eastAsia="ru-RU"/>
              </w:rPr>
              <w:t xml:space="preserve"> у пацієнтів з ХСН та ожирінням.</w:t>
            </w:r>
          </w:p>
        </w:tc>
      </w:tr>
    </w:tbl>
    <w:p w:rsidR="00224E15" w:rsidRPr="007E797D" w:rsidRDefault="00224E15"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rPr>
        <w:t xml:space="preserve">Серед рутинних лабораторних показників встановлено пряму лінійну залежність між </w:t>
      </w:r>
      <w:r w:rsidRPr="00F90B6B">
        <w:rPr>
          <w:rFonts w:ascii="Times New Roman" w:hAnsi="Times New Roman"/>
          <w:sz w:val="28"/>
          <w:szCs w:val="28"/>
          <w:lang w:eastAsia="ru-RU"/>
        </w:rPr>
        <w:t xml:space="preserve">вмістом </w:t>
      </w:r>
      <w:r w:rsidRPr="00F90B6B">
        <w:rPr>
          <w:rFonts w:ascii="Times New Roman" w:hAnsi="Times New Roman"/>
          <w:sz w:val="28"/>
          <w:szCs w:val="28"/>
          <w:lang w:eastAsia="uk-UA"/>
        </w:rPr>
        <w:t>NTproBNP та рівнем глікемії, рис. 3.3.55-3.3.56 при ХСН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=0,24, р&lt;0,05) та ХСН з ожирінням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=0,27, р&lt;0,05).</w:t>
      </w:r>
    </w:p>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85" w:dyaOrig="3375">
                <v:shape id="_x0000_i1112" type="#_x0000_t75" style="width:224.25pt;height:168.75pt" o:ole="">
                  <v:imagedata r:id="rId211" o:title=""/>
                </v:shape>
                <o:OLEObject Type="Embed" ProgID="STATISTICA.Graph" ShapeID="_x0000_i1112" DrawAspect="Content" ObjectID="_1624460835" r:id="rId212">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275" w:dyaOrig="3090">
                <v:shape id="_x0000_i1113" type="#_x0000_t75" style="width:213.75pt;height:154.5pt" o:ole="">
                  <v:imagedata r:id="rId213" o:title=""/>
                </v:shape>
                <o:OLEObject Type="Embed" ProgID="STATISTICA.Graph" ShapeID="_x0000_i1113" DrawAspect="Content" ObjectID="_1624460836" r:id="rId214">
                  <o:FieldCodes>\s</o:FieldCodes>
                </o:OLEObject>
              </w:object>
            </w:r>
          </w:p>
        </w:tc>
      </w:tr>
      <w:tr w:rsidR="00EF4063" w:rsidRPr="00F90B6B" w:rsidTr="0076299F">
        <w:tc>
          <w:tcPr>
            <w:tcW w:w="4928"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3.3.53. </w:t>
            </w:r>
            <w:r w:rsidRPr="00F90B6B">
              <w:rPr>
                <w:rFonts w:ascii="Times New Roman" w:hAnsi="Times New Roman"/>
                <w:sz w:val="28"/>
                <w:szCs w:val="28"/>
                <w:lang w:eastAsia="ru-RU"/>
              </w:rPr>
              <w:t xml:space="preserve">Зв’язок між дистанцією 6-хвилинної ходьби та вмісту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w:t>
            </w:r>
          </w:p>
        </w:tc>
        <w:tc>
          <w:tcPr>
            <w:tcW w:w="4678" w:type="dxa"/>
          </w:tcPr>
          <w:p w:rsidR="00EF4063" w:rsidRPr="00F90B6B" w:rsidRDefault="00EF4063" w:rsidP="00224E15">
            <w:pPr>
              <w:spacing w:after="0" w:line="24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3.3.54. </w:t>
            </w:r>
            <w:r w:rsidRPr="00F90B6B">
              <w:rPr>
                <w:rFonts w:ascii="Times New Roman" w:hAnsi="Times New Roman"/>
                <w:sz w:val="28"/>
                <w:szCs w:val="28"/>
                <w:lang w:eastAsia="ru-RU"/>
              </w:rPr>
              <w:t xml:space="preserve">Зв’язок між дистанцією 6-хвилинної ходьби та вмісту </w:t>
            </w:r>
            <w:r w:rsidRPr="00F90B6B">
              <w:rPr>
                <w:rFonts w:ascii="Times New Roman" w:hAnsi="Times New Roman"/>
                <w:sz w:val="28"/>
                <w:szCs w:val="28"/>
                <w:lang w:eastAsia="uk-UA"/>
              </w:rPr>
              <w:t>NTproBNP</w:t>
            </w:r>
            <w:r w:rsidRPr="00F90B6B">
              <w:rPr>
                <w:rFonts w:ascii="Times New Roman" w:hAnsi="Times New Roman"/>
                <w:sz w:val="28"/>
                <w:szCs w:val="28"/>
                <w:lang w:eastAsia="ru-RU"/>
              </w:rPr>
              <w:t xml:space="preserve"> у пацієнтів з ХСН та ожирінням.</w:t>
            </w:r>
          </w:p>
        </w:tc>
      </w:tr>
    </w:tbl>
    <w:p w:rsidR="008F54E3" w:rsidRPr="007E797D" w:rsidRDefault="008F54E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 наступному етапі, для досягнення поставленої мети, був застосований кластерний К-аналіз з розподілом пацієнтів на дві групи за рівнем синтезу </w:t>
      </w:r>
      <w:r w:rsidRPr="00F90B6B">
        <w:rPr>
          <w:rFonts w:ascii="Times New Roman" w:hAnsi="Times New Roman"/>
          <w:sz w:val="28"/>
          <w:szCs w:val="28"/>
          <w:lang w:eastAsia="uk-UA"/>
        </w:rPr>
        <w:lastRenderedPageBreak/>
        <w:t>NTproBNP. До кластеру 1 були включені пацієнти з рівнем NTproBNP, що не вихидив за межі референсних значень та становив 110,75±45,2 пг/мл, до кластеру 2 віднесені пацієнти з високим рівнем NTproBNP, що становив 587,2±225,6 пг/мл рис. 3.3.55.</w:t>
      </w:r>
    </w:p>
    <w:p w:rsidR="00976E59" w:rsidRPr="00F90B6B" w:rsidRDefault="00976E59" w:rsidP="00976E59">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rPr>
        <w:t xml:space="preserve">І якщо за рівнем глікемії, було встановлено вірогідну тенденцію до підвищення рівня глюкози при більш високому рівні </w:t>
      </w:r>
      <w:r w:rsidRPr="00F90B6B">
        <w:rPr>
          <w:rFonts w:ascii="Times New Roman" w:hAnsi="Times New Roman"/>
          <w:sz w:val="28"/>
          <w:szCs w:val="28"/>
          <w:lang w:eastAsia="uk-UA"/>
        </w:rPr>
        <w:t>NTproBNP, яка не виходила за межі референсних значень (5,74±0,78 ммоль/л та 5,32±0,82 ммоль/л), рис. 3.3.56., то вміст креатиніну та швидкість клубочкової вірогідно залежали від вмісту NTproBNP, що підтверджується як абсолютними значеннями (рис. 3.3.59-3.3.60), так і кореляційним зв’язком (рис. 3.3.57-3.3.58).</w:t>
      </w:r>
    </w:p>
    <w:p w:rsidR="00976E59" w:rsidRPr="00F90B6B" w:rsidRDefault="00976E59" w:rsidP="00976E59">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Як бачимо, верифіковано прямий зв’язок між рівнем креатиніну та NTproBNP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=0,21, р&lt;0,05, рис. 3.3.57), зворотній – між ШКФ та NTproBNP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=-0,18, р&lt;0,05, рис. 3.3.58).</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center"/>
        <w:rPr>
          <w:rFonts w:ascii="Times New Roman" w:hAnsi="Times New Roman"/>
          <w:sz w:val="28"/>
          <w:szCs w:val="28"/>
        </w:rPr>
      </w:pPr>
      <w:r w:rsidRPr="00F90B6B">
        <w:rPr>
          <w:rFonts w:ascii="Times New Roman" w:hAnsi="Times New Roman"/>
        </w:rPr>
        <w:object w:dxaOrig="7020" w:dyaOrig="5265">
          <v:shape id="_x0000_i1114" type="#_x0000_t75" style="width:351pt;height:263.25pt" o:ole="">
            <v:imagedata r:id="rId215" o:title=""/>
          </v:shape>
          <o:OLEObject Type="Embed" ProgID="STATISTICA.Graph" ShapeID="_x0000_i1114" DrawAspect="Content" ObjectID="_1624460837" r:id="rId216">
            <o:FieldCodes>\s</o:FieldCodes>
          </o:OLEObject>
        </w:objec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b/>
          <w:sz w:val="28"/>
          <w:szCs w:val="28"/>
        </w:rPr>
        <w:t xml:space="preserve">Рис. 3.3.55. </w:t>
      </w:r>
      <w:r w:rsidRPr="00F90B6B">
        <w:rPr>
          <w:rFonts w:ascii="Times New Roman" w:hAnsi="Times New Roman"/>
          <w:sz w:val="28"/>
          <w:szCs w:val="28"/>
        </w:rPr>
        <w:t xml:space="preserve">Результати кластерного К-аналізу при розподілі пацієнтів з ХСН за рівнем синтезу </w:t>
      </w:r>
      <w:r w:rsidRPr="00F90B6B">
        <w:rPr>
          <w:rFonts w:ascii="Times New Roman" w:hAnsi="Times New Roman"/>
          <w:sz w:val="28"/>
          <w:szCs w:val="28"/>
          <w:lang w:eastAsia="uk-UA"/>
        </w:rPr>
        <w:t>NTproBNP.</w:t>
      </w:r>
    </w:p>
    <w:p w:rsidR="00EF4063" w:rsidRPr="00F90B6B" w:rsidRDefault="00EF4063" w:rsidP="00F0048B">
      <w:pPr>
        <w:spacing w:after="0" w:line="360" w:lineRule="auto"/>
        <w:ind w:firstLine="709"/>
        <w:jc w:val="both"/>
        <w:rPr>
          <w:rFonts w:ascii="Times New Roman" w:hAnsi="Times New Roman"/>
          <w:sz w:val="28"/>
          <w:szCs w:val="28"/>
          <w:lang w:eastAsia="uk-UA"/>
        </w:rPr>
      </w:pPr>
    </w:p>
    <w:p w:rsidR="00EF4063" w:rsidRPr="00F90B6B" w:rsidRDefault="006F7754" w:rsidP="00F0048B">
      <w:pPr>
        <w:spacing w:after="0" w:line="360" w:lineRule="auto"/>
        <w:ind w:firstLine="709"/>
        <w:jc w:val="both"/>
        <w:rPr>
          <w:rFonts w:ascii="Times New Roman" w:hAnsi="Times New Roman"/>
        </w:rPr>
      </w:pPr>
      <w:r w:rsidRPr="00BD2F09">
        <w:rPr>
          <w:rFonts w:ascii="Times New Roman" w:hAnsi="Times New Roman"/>
          <w:noProof/>
          <w:lang w:val="ru-RU" w:eastAsia="ru-RU"/>
        </w:rPr>
        <w:lastRenderedPageBreak/>
        <w:drawing>
          <wp:inline distT="0" distB="0" distL="0" distR="0">
            <wp:extent cx="5543550" cy="2495550"/>
            <wp:effectExtent l="0" t="0" r="0" b="0"/>
            <wp:docPr id="109"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7"/>
              </a:graphicData>
            </a:graphic>
          </wp:inline>
        </w:drawing>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b/>
          <w:sz w:val="28"/>
          <w:szCs w:val="28"/>
        </w:rPr>
        <w:t xml:space="preserve">Рис. 3.3.56. </w:t>
      </w:r>
      <w:r w:rsidRPr="00F90B6B">
        <w:rPr>
          <w:rFonts w:ascii="Times New Roman" w:hAnsi="Times New Roman"/>
          <w:sz w:val="28"/>
          <w:szCs w:val="28"/>
        </w:rPr>
        <w:t xml:space="preserve">Рівень глікемії натще залежно від кластерів синтезу </w:t>
      </w:r>
      <w:r w:rsidRPr="00F90B6B">
        <w:rPr>
          <w:rFonts w:ascii="Times New Roman" w:hAnsi="Times New Roman"/>
          <w:sz w:val="28"/>
          <w:szCs w:val="28"/>
          <w:lang w:eastAsia="uk-UA"/>
        </w:rPr>
        <w:t>NTproBNP у хворих з ХСН та ожирінням.</w:t>
      </w:r>
    </w:p>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470" w:dyaOrig="3495">
                <v:shape id="_x0000_i1115" type="#_x0000_t75" style="width:223.5pt;height:174.75pt" o:ole="">
                  <v:imagedata r:id="rId218" o:title=""/>
                </v:shape>
                <o:OLEObject Type="Embed" ProgID="STATISTICA.Graph" ShapeID="_x0000_i1115" DrawAspect="Content" ObjectID="_1624460838" r:id="rId219">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230" w:dyaOrig="3165">
                <v:shape id="_x0000_i1116" type="#_x0000_t75" style="width:211.5pt;height:158.25pt" o:ole="">
                  <v:imagedata r:id="rId220" o:title=""/>
                </v:shape>
                <o:OLEObject Type="Embed" ProgID="STATISTICA.Graph" ShapeID="_x0000_i1116" DrawAspect="Content" ObjectID="_1624460839" r:id="rId221">
                  <o:FieldCodes>\s</o:FieldCodes>
                </o:OLEObject>
              </w:object>
            </w:r>
          </w:p>
        </w:tc>
      </w:tr>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3.3.57. </w:t>
            </w:r>
            <w:r w:rsidRPr="00F90B6B">
              <w:rPr>
                <w:rFonts w:ascii="Times New Roman" w:hAnsi="Times New Roman"/>
                <w:sz w:val="28"/>
                <w:szCs w:val="28"/>
                <w:lang w:eastAsia="ru-RU"/>
              </w:rPr>
              <w:t xml:space="preserve">Зв’язок між рівнем креатиніну та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250" w:firstLine="142"/>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3.3.58. </w:t>
            </w:r>
            <w:r w:rsidRPr="00F90B6B">
              <w:rPr>
                <w:rFonts w:ascii="Times New Roman" w:hAnsi="Times New Roman"/>
                <w:sz w:val="28"/>
                <w:szCs w:val="28"/>
                <w:lang w:eastAsia="ru-RU"/>
              </w:rPr>
              <w:t xml:space="preserve">Зв’язок між швидкістю кклубочкової фільтрації та вмістом </w:t>
            </w:r>
            <w:r w:rsidRPr="00F90B6B">
              <w:rPr>
                <w:rFonts w:ascii="Times New Roman" w:hAnsi="Times New Roman"/>
                <w:sz w:val="28"/>
                <w:szCs w:val="28"/>
                <w:lang w:eastAsia="uk-UA"/>
              </w:rPr>
              <w:t>pрroBNP</w:t>
            </w:r>
            <w:r w:rsidRPr="00F90B6B">
              <w:rPr>
                <w:rFonts w:ascii="Times New Roman" w:hAnsi="Times New Roman"/>
                <w:sz w:val="28"/>
                <w:szCs w:val="28"/>
                <w:lang w:eastAsia="ru-RU"/>
              </w:rPr>
              <w:t xml:space="preserve"> у пацієнтів з ХСН та оожирінням.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Абсолютні значення вмісту креатиніну становили 106,2±18,2 проти 80,5±11,0 мкмоль/л в кластерах синтезу NTproBNP (р&lt;0,05), а також швидкість клубочкової фільтрації – 93,0± мл/хв/м</w:t>
      </w:r>
      <w:r w:rsidRPr="00F90B6B">
        <w:rPr>
          <w:rFonts w:ascii="Times New Roman" w:hAnsi="Times New Roman"/>
          <w:sz w:val="28"/>
          <w:szCs w:val="28"/>
          <w:vertAlign w:val="superscript"/>
          <w:lang w:eastAsia="uk-UA"/>
        </w:rPr>
        <w:t>2</w:t>
      </w:r>
      <w:r w:rsidRPr="00F90B6B">
        <w:rPr>
          <w:rFonts w:ascii="Times New Roman" w:hAnsi="Times New Roman"/>
          <w:sz w:val="28"/>
          <w:szCs w:val="28"/>
          <w:lang w:eastAsia="uk-UA"/>
        </w:rPr>
        <w:t xml:space="preserve"> та 76,8± мл/хв/м</w:t>
      </w:r>
      <w:r w:rsidRPr="00F90B6B">
        <w:rPr>
          <w:rFonts w:ascii="Times New Roman" w:hAnsi="Times New Roman"/>
          <w:sz w:val="28"/>
          <w:szCs w:val="28"/>
          <w:vertAlign w:val="superscript"/>
          <w:lang w:eastAsia="uk-UA"/>
        </w:rPr>
        <w:t xml:space="preserve">2 </w:t>
      </w:r>
      <w:r w:rsidRPr="00F90B6B">
        <w:rPr>
          <w:rFonts w:ascii="Times New Roman" w:hAnsi="Times New Roman"/>
          <w:sz w:val="28"/>
          <w:szCs w:val="28"/>
          <w:lang w:eastAsia="uk-UA"/>
        </w:rPr>
        <w:t>(р&lt;0,05), рис. 3.3.59-3.3.60.</w:t>
      </w:r>
    </w:p>
    <w:p w:rsidR="00EF4063" w:rsidRPr="00F90B6B" w:rsidRDefault="00EF4063" w:rsidP="00F0048B">
      <w:pPr>
        <w:spacing w:after="0" w:line="360" w:lineRule="auto"/>
        <w:ind w:firstLine="709"/>
        <w:jc w:val="both"/>
        <w:rPr>
          <w:rFonts w:ascii="Times New Roman" w:hAnsi="Times New Roman"/>
          <w:sz w:val="28"/>
          <w:szCs w:val="28"/>
          <w:lang w:val="ru-RU" w:eastAsia="uk-UA"/>
        </w:rPr>
      </w:pPr>
      <w:r w:rsidRPr="00F90B6B">
        <w:rPr>
          <w:rFonts w:ascii="Times New Roman" w:hAnsi="Times New Roman"/>
          <w:sz w:val="28"/>
          <w:szCs w:val="28"/>
          <w:lang w:eastAsia="uk-UA"/>
        </w:rPr>
        <w:t xml:space="preserve">Зважаючи на отримані результати була запропонована математична модель лінійної регресії, що являє взаємозв'язок між вмістом рroBNP та рівнем ШКФ при </w:t>
      </w:r>
      <w:r w:rsidRPr="00F90B6B">
        <w:rPr>
          <w:rFonts w:ascii="Times New Roman" w:hAnsi="Times New Roman"/>
          <w:sz w:val="28"/>
          <w:szCs w:val="28"/>
          <w:lang w:eastAsia="uk-UA"/>
        </w:rPr>
        <w:lastRenderedPageBreak/>
        <w:t xml:space="preserve">ХСН та ожирінні. Дані, що описують складові даної моделі представлені в табл. 3.3.6. </w:t>
      </w:r>
    </w:p>
    <w:p w:rsidR="00224E15" w:rsidRPr="00F90B6B" w:rsidRDefault="00224E15" w:rsidP="00F0048B">
      <w:pPr>
        <w:spacing w:after="0" w:line="360" w:lineRule="auto"/>
        <w:ind w:firstLine="709"/>
        <w:jc w:val="both"/>
        <w:rPr>
          <w:rFonts w:ascii="Times New Roman" w:hAnsi="Times New Roman"/>
          <w:sz w:val="28"/>
          <w:szCs w:val="28"/>
          <w:lang w:val="ru-RU" w:eastAsia="uk-UA"/>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3.3.6</w:t>
      </w:r>
    </w:p>
    <w:p w:rsidR="00EF4063" w:rsidRPr="00F90B6B" w:rsidRDefault="00EF4063" w:rsidP="00F0048B">
      <w:pPr>
        <w:spacing w:after="0" w:line="360" w:lineRule="auto"/>
        <w:ind w:firstLine="709"/>
        <w:jc w:val="center"/>
        <w:rPr>
          <w:rFonts w:ascii="Times New Roman" w:hAnsi="Times New Roman"/>
          <w:b/>
          <w:sz w:val="28"/>
          <w:szCs w:val="28"/>
        </w:rPr>
      </w:pPr>
      <w:r w:rsidRPr="00F90B6B">
        <w:rPr>
          <w:rFonts w:ascii="Times New Roman" w:hAnsi="Times New Roman"/>
          <w:b/>
          <w:sz w:val="28"/>
          <w:szCs w:val="28"/>
        </w:rPr>
        <w:t xml:space="preserve">Сумарна регресійна модель для ШКФ та рівня синтезу </w:t>
      </w:r>
      <w:r w:rsidRPr="00F90B6B">
        <w:rPr>
          <w:rFonts w:ascii="Times New Roman" w:hAnsi="Times New Roman"/>
          <w:b/>
          <w:sz w:val="28"/>
          <w:szCs w:val="28"/>
          <w:lang w:eastAsia="uk-UA"/>
        </w:rPr>
        <w:t>NTproBNP</w:t>
      </w:r>
      <w:r w:rsidRPr="00F90B6B">
        <w:rPr>
          <w:rFonts w:ascii="Times New Roman" w:hAnsi="Times New Roman"/>
          <w:b/>
          <w:sz w:val="28"/>
          <w:szCs w:val="28"/>
        </w:rPr>
        <w:t xml:space="preserve"> у хворих з ХСН та ожирінням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6"/>
        <w:gridCol w:w="2605"/>
        <w:gridCol w:w="2605"/>
        <w:gridCol w:w="2605"/>
      </w:tblGrid>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Beta</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p-level</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Intercept</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399,35</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0,005885</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ШКФ</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-0,151254</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-2,5848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0,010818</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Виводимо рівняння:</w:t>
      </w:r>
    </w:p>
    <w:p w:rsidR="00EF4063" w:rsidRPr="00F90B6B" w:rsidRDefault="00EF4063" w:rsidP="00F0048B">
      <w:pPr>
        <w:spacing w:after="0" w:line="360" w:lineRule="auto"/>
        <w:ind w:firstLine="709"/>
        <w:jc w:val="center"/>
        <w:rPr>
          <w:rFonts w:ascii="Times New Roman" w:hAnsi="Times New Roman"/>
          <w:sz w:val="28"/>
          <w:szCs w:val="28"/>
          <w:lang w:eastAsia="uk-UA"/>
        </w:rPr>
      </w:pPr>
      <w:r w:rsidRPr="00F90B6B">
        <w:rPr>
          <w:rFonts w:ascii="Times New Roman" w:hAnsi="Times New Roman"/>
          <w:sz w:val="28"/>
          <w:szCs w:val="28"/>
          <w:lang w:eastAsia="uk-UA"/>
        </w:rPr>
        <w:t>NTproBNP=399,35-ШКФ*0,151</w:t>
      </w:r>
    </w:p>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ook w:val="00A0" w:firstRow="1" w:lastRow="0" w:firstColumn="1" w:lastColumn="0" w:noHBand="0" w:noVBand="0"/>
      </w:tblPr>
      <w:tblGrid>
        <w:gridCol w:w="4927"/>
        <w:gridCol w:w="5229"/>
      </w:tblGrid>
      <w:tr w:rsidR="00EF4063" w:rsidRPr="00F90B6B" w:rsidTr="0076299F">
        <w:tc>
          <w:tcPr>
            <w:tcW w:w="4927" w:type="dxa"/>
          </w:tcPr>
          <w:p w:rsidR="00EF4063" w:rsidRPr="00F90B6B" w:rsidRDefault="006F7754" w:rsidP="00F0048B">
            <w:pPr>
              <w:spacing w:after="0" w:line="360" w:lineRule="auto"/>
              <w:jc w:val="both"/>
              <w:rPr>
                <w:rFonts w:ascii="Times New Roman" w:hAnsi="Times New Roman"/>
                <w:sz w:val="28"/>
                <w:szCs w:val="28"/>
                <w:lang w:eastAsia="uk-UA"/>
              </w:rPr>
            </w:pPr>
            <w:r w:rsidRPr="00BD2F09">
              <w:rPr>
                <w:rFonts w:ascii="Times New Roman" w:hAnsi="Times New Roman"/>
                <w:noProof/>
                <w:lang w:val="ru-RU" w:eastAsia="ru-RU"/>
              </w:rPr>
              <w:drawing>
                <wp:inline distT="0" distB="0" distL="0" distR="0">
                  <wp:extent cx="2943225" cy="1714500"/>
                  <wp:effectExtent l="0" t="0" r="0" b="0"/>
                  <wp:docPr id="112" name="Диаграмма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2"/>
                    </a:graphicData>
                  </a:graphic>
                </wp:inline>
              </w:drawing>
            </w:r>
          </w:p>
        </w:tc>
        <w:tc>
          <w:tcPr>
            <w:tcW w:w="4928" w:type="dxa"/>
          </w:tcPr>
          <w:p w:rsidR="00EF4063" w:rsidRPr="00F90B6B" w:rsidRDefault="006F7754" w:rsidP="00F0048B">
            <w:pPr>
              <w:spacing w:after="0" w:line="360" w:lineRule="auto"/>
              <w:jc w:val="both"/>
              <w:rPr>
                <w:rFonts w:ascii="Times New Roman" w:hAnsi="Times New Roman"/>
                <w:sz w:val="28"/>
                <w:szCs w:val="28"/>
                <w:lang w:eastAsia="uk-UA"/>
              </w:rPr>
            </w:pPr>
            <w:r w:rsidRPr="00BD2F09">
              <w:rPr>
                <w:rFonts w:ascii="Times New Roman" w:hAnsi="Times New Roman"/>
                <w:noProof/>
                <w:lang w:val="ru-RU" w:eastAsia="ru-RU"/>
              </w:rPr>
              <w:drawing>
                <wp:inline distT="0" distB="0" distL="0" distR="0">
                  <wp:extent cx="3181350" cy="1714500"/>
                  <wp:effectExtent l="0" t="0" r="0" b="0"/>
                  <wp:docPr id="113" name="Диаграмма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3"/>
                    </a:graphicData>
                  </a:graphic>
                </wp:inline>
              </w:drawing>
            </w:r>
          </w:p>
        </w:tc>
      </w:tr>
      <w:tr w:rsidR="00EF4063" w:rsidRPr="00F90B6B" w:rsidTr="0076299F">
        <w:tc>
          <w:tcPr>
            <w:tcW w:w="4927" w:type="dxa"/>
          </w:tcPr>
          <w:p w:rsidR="00EF4063" w:rsidRPr="00F90B6B" w:rsidRDefault="00EF4063" w:rsidP="00F0048B">
            <w:pPr>
              <w:spacing w:after="0" w:line="360" w:lineRule="auto"/>
              <w:jc w:val="both"/>
              <w:rPr>
                <w:rFonts w:ascii="Times New Roman" w:hAnsi="Times New Roman"/>
                <w:sz w:val="28"/>
                <w:szCs w:val="28"/>
                <w:lang w:eastAsia="uk-UA"/>
              </w:rPr>
            </w:pPr>
            <w:r w:rsidRPr="00F90B6B">
              <w:rPr>
                <w:rFonts w:ascii="Times New Roman" w:hAnsi="Times New Roman"/>
                <w:b/>
                <w:sz w:val="28"/>
                <w:szCs w:val="28"/>
                <w:lang w:eastAsia="uk-UA"/>
              </w:rPr>
              <w:t xml:space="preserve">Рис. 3.3.59. </w:t>
            </w:r>
            <w:r w:rsidRPr="00F90B6B">
              <w:rPr>
                <w:rFonts w:ascii="Times New Roman" w:hAnsi="Times New Roman"/>
                <w:sz w:val="28"/>
                <w:szCs w:val="28"/>
                <w:lang w:eastAsia="uk-UA"/>
              </w:rPr>
              <w:t>Вміст креатиніну в кластерах синтезу NTproBNP.</w:t>
            </w:r>
          </w:p>
        </w:tc>
        <w:tc>
          <w:tcPr>
            <w:tcW w:w="4928" w:type="dxa"/>
          </w:tcPr>
          <w:p w:rsidR="00EF4063" w:rsidRPr="00F90B6B" w:rsidRDefault="00EF4063" w:rsidP="00F0048B">
            <w:pPr>
              <w:spacing w:after="0" w:line="360" w:lineRule="auto"/>
              <w:jc w:val="both"/>
              <w:rPr>
                <w:rFonts w:ascii="Times New Roman" w:hAnsi="Times New Roman"/>
                <w:sz w:val="28"/>
                <w:szCs w:val="28"/>
                <w:lang w:eastAsia="uk-UA"/>
              </w:rPr>
            </w:pPr>
            <w:r w:rsidRPr="00F90B6B">
              <w:rPr>
                <w:rFonts w:ascii="Times New Roman" w:hAnsi="Times New Roman"/>
                <w:b/>
                <w:sz w:val="28"/>
                <w:szCs w:val="28"/>
                <w:lang w:eastAsia="uk-UA"/>
              </w:rPr>
              <w:t>Рис. 3.3.60.</w:t>
            </w:r>
            <w:r w:rsidRPr="00F90B6B">
              <w:rPr>
                <w:rFonts w:ascii="Times New Roman" w:hAnsi="Times New Roman"/>
                <w:sz w:val="28"/>
                <w:szCs w:val="28"/>
                <w:lang w:eastAsia="uk-UA"/>
              </w:rPr>
              <w:t xml:space="preserve"> ШКФ в кластерах синтезу NTproBNP.</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Вірогідну, проте від’ємну кореляційну залежність у пацієнтів з ХСН та ожирінням встановлено між вмістом NTproBNP та холестерином (рис. 3.3.61, </w:t>
      </w:r>
      <w:r w:rsidR="000A2895" w:rsidRPr="000A2895">
        <w:rPr>
          <w:rFonts w:ascii="Times New Roman" w:hAnsi="Times New Roman"/>
          <w:sz w:val="28"/>
          <w:szCs w:val="28"/>
          <w:lang w:eastAsia="uk-UA"/>
        </w:rPr>
        <w:br/>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=-0,18, </w:t>
      </w:r>
      <w:r w:rsidRPr="00F90B6B">
        <w:rPr>
          <w:rFonts w:ascii="Times New Roman" w:hAnsi="Times New Roman"/>
          <w:sz w:val="28"/>
          <w:szCs w:val="28"/>
          <w:lang w:val="en-US" w:eastAsia="uk-UA"/>
        </w:rPr>
        <w:t>p</w:t>
      </w:r>
      <w:r w:rsidRPr="00F90B6B">
        <w:rPr>
          <w:rFonts w:ascii="Times New Roman" w:hAnsi="Times New Roman"/>
          <w:sz w:val="28"/>
          <w:szCs w:val="28"/>
          <w:lang w:eastAsia="uk-UA"/>
        </w:rPr>
        <w:t xml:space="preserve">&lt;0,05), рівнем NTproBNP та ЛПНЩ (рис. 3.3.62,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=-0,16,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невірогідну - між NTproBNP та тригліцеридами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=-0,12, </w:t>
      </w:r>
      <w:r w:rsidRPr="00F90B6B">
        <w:rPr>
          <w:rFonts w:ascii="Times New Roman" w:hAnsi="Times New Roman"/>
          <w:sz w:val="28"/>
          <w:szCs w:val="28"/>
          <w:lang w:val="en-US" w:eastAsia="uk-UA"/>
        </w:rPr>
        <w:t>p</w:t>
      </w:r>
      <w:r w:rsidRPr="00F90B6B">
        <w:rPr>
          <w:rFonts w:ascii="Times New Roman" w:hAnsi="Times New Roman"/>
          <w:sz w:val="28"/>
          <w:szCs w:val="28"/>
          <w:lang w:eastAsia="uk-UA"/>
        </w:rPr>
        <w:t>&gt;0,05), NTproBNP та ЛПВЩ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=0,09,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&gt;0,05).</w:t>
      </w: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785" w:dyaOrig="3390">
                <v:shape id="_x0000_i1117" type="#_x0000_t75" style="width:239.25pt;height:169.5pt" o:ole="">
                  <v:imagedata r:id="rId224" o:title=""/>
                </v:shape>
                <o:OLEObject Type="Embed" ProgID="STATISTICA.Graph" ShapeID="_x0000_i1117" DrawAspect="Content" ObjectID="_1624460840" r:id="rId225">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30" w:dyaOrig="3390">
                <v:shape id="_x0000_i1118" type="#_x0000_t75" style="width:226.5pt;height:169.5pt" o:ole="">
                  <v:imagedata r:id="rId226" o:title=""/>
                </v:shape>
                <o:OLEObject Type="Embed" ProgID="STATISTICA.Graph" ShapeID="_x0000_i1118" DrawAspect="Content" ObjectID="_1624460841" r:id="rId227">
                  <o:FieldCodes>\s</o:FieldCodes>
                </o:OLEObject>
              </w:object>
            </w:r>
          </w:p>
        </w:tc>
      </w:tr>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3.3.61. </w:t>
            </w:r>
            <w:r w:rsidRPr="00F90B6B">
              <w:rPr>
                <w:rFonts w:ascii="Times New Roman" w:hAnsi="Times New Roman"/>
                <w:sz w:val="28"/>
                <w:szCs w:val="28"/>
                <w:lang w:eastAsia="ru-RU"/>
              </w:rPr>
              <w:t xml:space="preserve">Зв’язок між рівнем холестерину та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250" w:firstLine="142"/>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3.3.62. </w:t>
            </w:r>
            <w:r w:rsidRPr="00F90B6B">
              <w:rPr>
                <w:rFonts w:ascii="Times New Roman" w:hAnsi="Times New Roman"/>
                <w:sz w:val="28"/>
                <w:szCs w:val="28"/>
                <w:lang w:eastAsia="ru-RU"/>
              </w:rPr>
              <w:t xml:space="preserve">Зв’язок між рівнем холестерину та вмістом </w:t>
            </w:r>
            <w:r w:rsidRPr="00F90B6B">
              <w:rPr>
                <w:rFonts w:ascii="Times New Roman" w:hAnsi="Times New Roman"/>
                <w:sz w:val="28"/>
                <w:szCs w:val="28"/>
                <w:lang w:eastAsia="uk-UA"/>
              </w:rPr>
              <w:t>NTproBNP</w:t>
            </w:r>
            <w:r w:rsidRPr="00F90B6B">
              <w:rPr>
                <w:rFonts w:ascii="Times New Roman" w:hAnsi="Times New Roman"/>
                <w:sz w:val="28"/>
                <w:szCs w:val="28"/>
                <w:lang w:eastAsia="ru-RU"/>
              </w:rPr>
              <w:t xml:space="preserve"> у ппацієнтів з ХСН та ожирінням.</w:t>
            </w:r>
          </w:p>
        </w:tc>
      </w:tr>
    </w:tbl>
    <w:p w:rsidR="008F54E3" w:rsidRPr="007E797D" w:rsidRDefault="008F54E3" w:rsidP="00F0048B">
      <w:pPr>
        <w:spacing w:after="0" w:line="360" w:lineRule="auto"/>
        <w:ind w:firstLine="709"/>
        <w:jc w:val="both"/>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Анемічний синдром при ХСН вважається додатковим чинником ризику та фактором несприяливого прогнозу. Цікавим є те, що дане положення у власному дослідженні доведено для пацієнтів з ХСН та ожирінням. Зокрема, встановлено від’ємний взаємозв’язок між рівнем синтезу NTproBNP, вмістом еритроцитів </w:t>
      </w:r>
      <w:r w:rsidR="000A2895" w:rsidRPr="000A2895">
        <w:rPr>
          <w:rFonts w:ascii="Times New Roman" w:hAnsi="Times New Roman"/>
          <w:sz w:val="28"/>
          <w:szCs w:val="28"/>
          <w:lang w:eastAsia="uk-UA"/>
        </w:rPr>
        <w:br/>
      </w:r>
      <w:r w:rsidRPr="00F90B6B">
        <w:rPr>
          <w:rFonts w:ascii="Times New Roman" w:hAnsi="Times New Roman"/>
          <w:sz w:val="28"/>
          <w:szCs w:val="28"/>
          <w:lang w:eastAsia="uk-UA"/>
        </w:rPr>
        <w:t>(</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=-0,42,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рис. 3.3.63) та гемоглобіну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=-0,26,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рис. 3.3.64).</w:t>
      </w: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65" w:dyaOrig="3840">
                <v:shape id="_x0000_i1119" type="#_x0000_t75" style="width:233.25pt;height:188.25pt" o:ole="">
                  <v:imagedata r:id="rId228" o:title=""/>
                </v:shape>
                <o:OLEObject Type="Embed" ProgID="STATISTICA.Graph" ShapeID="_x0000_i1119" DrawAspect="Content" ObjectID="_1624460842" r:id="rId229">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05" w:dyaOrig="3705">
                <v:shape id="_x0000_i1120" type="#_x0000_t75" style="width:230.25pt;height:185.25pt" o:ole="">
                  <v:imagedata r:id="rId230" o:title=""/>
                </v:shape>
                <o:OLEObject Type="Embed" ProgID="STATISTICA.Graph" ShapeID="_x0000_i1120" DrawAspect="Content" ObjectID="_1624460843" r:id="rId231">
                  <o:FieldCodes>\s</o:FieldCodes>
                </o:OLEObject>
              </w:object>
            </w:r>
          </w:p>
        </w:tc>
      </w:tr>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3.3.63. </w:t>
            </w:r>
            <w:r w:rsidRPr="00F90B6B">
              <w:rPr>
                <w:rFonts w:ascii="Times New Roman" w:hAnsi="Times New Roman"/>
                <w:sz w:val="28"/>
                <w:szCs w:val="28"/>
                <w:lang w:eastAsia="ru-RU"/>
              </w:rPr>
              <w:t xml:space="preserve">Зв’язок між рівнем холестерину та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250" w:firstLine="142"/>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3.3.64. </w:t>
            </w:r>
            <w:r w:rsidRPr="00F90B6B">
              <w:rPr>
                <w:rFonts w:ascii="Times New Roman" w:hAnsi="Times New Roman"/>
                <w:sz w:val="28"/>
                <w:szCs w:val="28"/>
                <w:lang w:eastAsia="ru-RU"/>
              </w:rPr>
              <w:t xml:space="preserve">Зв’язок між рівнем холестерину та вмістом </w:t>
            </w:r>
            <w:r w:rsidRPr="00F90B6B">
              <w:rPr>
                <w:rFonts w:ascii="Times New Roman" w:hAnsi="Times New Roman"/>
                <w:sz w:val="28"/>
                <w:szCs w:val="28"/>
                <w:lang w:eastAsia="uk-UA"/>
              </w:rPr>
              <w:t>pрroBNP</w:t>
            </w:r>
            <w:r w:rsidRPr="00F90B6B">
              <w:rPr>
                <w:rFonts w:ascii="Times New Roman" w:hAnsi="Times New Roman"/>
                <w:sz w:val="28"/>
                <w:szCs w:val="28"/>
                <w:lang w:eastAsia="ru-RU"/>
              </w:rPr>
              <w:t xml:space="preserve"> у ппацієнтів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lastRenderedPageBreak/>
        <w:t>Розподіл вмісту за кластерами синтезу NTproBNP наведений на рис. 3.3.65. Як бачимо, високий рівень NTproBNP (кластер 1) асоціюється з більшим ризиком розвитку анемічного синдрому при ХСН та ожирінні – 121,8±9,87 г/л проти 139,0±13,8 г/л кластеру 2.</w:t>
      </w:r>
    </w:p>
    <w:p w:rsidR="00EF4063" w:rsidRPr="00F90B6B" w:rsidRDefault="006F7754" w:rsidP="00F0048B">
      <w:pPr>
        <w:spacing w:after="0" w:line="360" w:lineRule="auto"/>
        <w:ind w:firstLine="709"/>
        <w:jc w:val="both"/>
        <w:rPr>
          <w:rFonts w:ascii="Times New Roman" w:hAnsi="Times New Roman"/>
          <w:sz w:val="28"/>
          <w:szCs w:val="28"/>
          <w:lang w:eastAsia="uk-UA"/>
        </w:rPr>
      </w:pPr>
      <w:r w:rsidRPr="00BD2F09">
        <w:rPr>
          <w:rFonts w:ascii="Times New Roman" w:hAnsi="Times New Roman"/>
          <w:noProof/>
          <w:lang w:val="ru-RU" w:eastAsia="ru-RU"/>
        </w:rPr>
        <w:drawing>
          <wp:inline distT="0" distB="0" distL="0" distR="0">
            <wp:extent cx="5543550" cy="2181225"/>
            <wp:effectExtent l="0" t="0" r="0" b="0"/>
            <wp:docPr id="118" name="Диаграмма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2"/>
              </a:graphicData>
            </a:graphic>
          </wp:inline>
        </w:drawing>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b/>
          <w:sz w:val="28"/>
          <w:szCs w:val="28"/>
          <w:lang w:eastAsia="uk-UA"/>
        </w:rPr>
        <w:t xml:space="preserve">Рис. 3.3.65. </w:t>
      </w:r>
      <w:r w:rsidRPr="00F90B6B">
        <w:rPr>
          <w:rFonts w:ascii="Times New Roman" w:hAnsi="Times New Roman"/>
          <w:sz w:val="28"/>
          <w:szCs w:val="28"/>
          <w:lang w:eastAsia="uk-UA"/>
        </w:rPr>
        <w:t>Вміст гемоглобіну (г/л) в кластерах синтезу NTproBNP у хворих з ХСН та ожирінням.</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За аналізу вимірювальних (САТ, ДАТ) та розрахункових (ПАТ, АТ сер., ЗПСО, ППСО) показників гемодинаміки та їх співвідношення з рівнем NTproBNP було виявлено результати, що представлені на рис. 3.3.66-3.3.69.</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Зокрема, співвідношення вмісту NTproBNP та рівня САТ було на рівні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=0,25 (р&lt;0,05) щодо рівня ДАТ -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=0,20 (р&lt;0,05), рис. 3.3.66-3.3.67.</w:t>
      </w:r>
    </w:p>
    <w:tbl>
      <w:tblPr>
        <w:tblW w:w="0" w:type="auto"/>
        <w:tblLayout w:type="fixed"/>
        <w:tblLook w:val="00A0" w:firstRow="1" w:lastRow="0" w:firstColumn="1" w:lastColumn="0" w:noHBand="0" w:noVBand="0"/>
      </w:tblPr>
      <w:tblGrid>
        <w:gridCol w:w="4928"/>
        <w:gridCol w:w="4678"/>
      </w:tblGrid>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345">
                <v:shape id="_x0000_i1121" type="#_x0000_t75" style="width:228.75pt;height:167.25pt" o:ole="">
                  <v:imagedata r:id="rId233" o:title=""/>
                </v:shape>
                <o:OLEObject Type="Embed" ProgID="STATISTICA.Graph" ShapeID="_x0000_i1121" DrawAspect="Content" ObjectID="_1624460844" r:id="rId234">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320" w:dyaOrig="3465">
                <v:shape id="_x0000_i1122" type="#_x0000_t75" style="width:3in;height:173.25pt" o:ole="">
                  <v:imagedata r:id="rId235" o:title=""/>
                </v:shape>
                <o:OLEObject Type="Embed" ProgID="STATISTICA.Graph" ShapeID="_x0000_i1122" DrawAspect="Content" ObjectID="_1624460845" r:id="rId236">
                  <o:FieldCodes>\s</o:FieldCodes>
                </o:OLEObject>
              </w:object>
            </w:r>
          </w:p>
        </w:tc>
      </w:tr>
      <w:tr w:rsidR="00EF4063" w:rsidRPr="00F90B6B" w:rsidTr="0076299F">
        <w:tc>
          <w:tcPr>
            <w:tcW w:w="4928"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3.3.66. </w:t>
            </w:r>
            <w:r w:rsidRPr="00F90B6B">
              <w:rPr>
                <w:rFonts w:ascii="Times New Roman" w:hAnsi="Times New Roman"/>
                <w:sz w:val="28"/>
                <w:szCs w:val="28"/>
                <w:lang w:eastAsia="ru-RU"/>
              </w:rPr>
              <w:t xml:space="preserve">Зв’язок між рівнем САТ,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250" w:firstLine="142"/>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3.3.67. </w:t>
            </w:r>
            <w:r w:rsidRPr="00F90B6B">
              <w:rPr>
                <w:rFonts w:ascii="Times New Roman" w:hAnsi="Times New Roman"/>
                <w:sz w:val="28"/>
                <w:szCs w:val="28"/>
                <w:lang w:eastAsia="ru-RU"/>
              </w:rPr>
              <w:t xml:space="preserve">Зв’язок між рівнем ДАТ, ввмістом </w:t>
            </w:r>
            <w:r w:rsidRPr="00F90B6B">
              <w:rPr>
                <w:rFonts w:ascii="Times New Roman" w:hAnsi="Times New Roman"/>
                <w:sz w:val="28"/>
                <w:szCs w:val="28"/>
                <w:lang w:eastAsia="uk-UA"/>
              </w:rPr>
              <w:t>рroBNP</w:t>
            </w:r>
            <w:r w:rsidRPr="00F90B6B">
              <w:rPr>
                <w:rFonts w:ascii="Times New Roman" w:hAnsi="Times New Roman"/>
                <w:sz w:val="28"/>
                <w:szCs w:val="28"/>
                <w:lang w:eastAsia="ru-RU"/>
              </w:rPr>
              <w:t xml:space="preserve"> у пацієнтів з ХСН та оожирінням.</w:t>
            </w:r>
          </w:p>
        </w:tc>
      </w:tr>
    </w:tbl>
    <w:p w:rsidR="008F54E3" w:rsidRPr="007E797D" w:rsidRDefault="008F54E3" w:rsidP="00F0048B">
      <w:pPr>
        <w:spacing w:after="0" w:line="360" w:lineRule="auto"/>
        <w:ind w:firstLine="709"/>
        <w:jc w:val="both"/>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lastRenderedPageBreak/>
        <w:t>Також встановлений прямий вірогідний зв’язок між рівнем пульсового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середнього АТ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=0,24,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вмістом NTproBNP при ХСН та ожирінні, рис. 3.3.68-3.3.69.</w:t>
      </w:r>
    </w:p>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35" w:dyaOrig="3480">
                <v:shape id="_x0000_i1123" type="#_x0000_t75" style="width:231.75pt;height:174pt" o:ole="">
                  <v:imagedata r:id="rId237" o:title=""/>
                </v:shape>
                <o:OLEObject Type="Embed" ProgID="STATISTICA.Graph" ShapeID="_x0000_i1123" DrawAspect="Content" ObjectID="_1624460846" r:id="rId238">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15" w:dyaOrig="3390">
                <v:shape id="_x0000_i1124" type="#_x0000_t75" style="width:225.75pt;height:169.5pt" o:ole="">
                  <v:imagedata r:id="rId239" o:title=""/>
                </v:shape>
                <o:OLEObject Type="Embed" ProgID="STATISTICA.Graph" ShapeID="_x0000_i1124" DrawAspect="Content" ObjectID="_1624460847" r:id="rId240">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3.3.68. </w:t>
            </w:r>
            <w:r w:rsidRPr="00F90B6B">
              <w:rPr>
                <w:rFonts w:ascii="Times New Roman" w:hAnsi="Times New Roman"/>
                <w:sz w:val="28"/>
                <w:szCs w:val="28"/>
                <w:lang w:eastAsia="ru-RU"/>
              </w:rPr>
              <w:t xml:space="preserve">Зв’язок між рівнем ПАТ,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108"/>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3.3.69. </w:t>
            </w:r>
            <w:r w:rsidRPr="00F90B6B">
              <w:rPr>
                <w:rFonts w:ascii="Times New Roman" w:hAnsi="Times New Roman"/>
                <w:sz w:val="28"/>
                <w:szCs w:val="28"/>
                <w:lang w:eastAsia="ru-RU"/>
              </w:rPr>
              <w:t xml:space="preserve">Зв’язок між рівнем АТсер., вмістом </w:t>
            </w:r>
            <w:r w:rsidRPr="00F90B6B">
              <w:rPr>
                <w:rFonts w:ascii="Times New Roman" w:hAnsi="Times New Roman"/>
                <w:sz w:val="28"/>
                <w:szCs w:val="28"/>
                <w:lang w:eastAsia="uk-UA"/>
              </w:rPr>
              <w:t>рroBNP</w:t>
            </w:r>
            <w:r w:rsidRPr="00F90B6B">
              <w:rPr>
                <w:rFonts w:ascii="Times New Roman" w:hAnsi="Times New Roman"/>
                <w:sz w:val="28"/>
                <w:szCs w:val="28"/>
                <w:lang w:eastAsia="ru-RU"/>
              </w:rPr>
              <w:t xml:space="preserve"> у пацієнтів з ХСН та ожирінням.</w:t>
            </w:r>
          </w:p>
        </w:tc>
      </w:tr>
    </w:tbl>
    <w:p w:rsidR="008F54E3" w:rsidRPr="007E797D" w:rsidRDefault="008F54E3" w:rsidP="00F0048B">
      <w:pPr>
        <w:spacing w:after="0" w:line="360" w:lineRule="auto"/>
        <w:ind w:firstLine="709"/>
        <w:jc w:val="both"/>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Залежність між вмістом </w:t>
      </w:r>
      <w:r w:rsidRPr="00F90B6B">
        <w:rPr>
          <w:rFonts w:ascii="Times New Roman" w:hAnsi="Times New Roman"/>
          <w:sz w:val="28"/>
          <w:szCs w:val="28"/>
          <w:lang w:val="en-US" w:eastAsia="uk-UA"/>
        </w:rPr>
        <w:t>NTproBNP</w:t>
      </w:r>
      <w:r w:rsidRPr="00F90B6B">
        <w:rPr>
          <w:rFonts w:ascii="Times New Roman" w:hAnsi="Times New Roman"/>
          <w:sz w:val="28"/>
          <w:szCs w:val="28"/>
          <w:lang w:eastAsia="uk-UA"/>
        </w:rPr>
        <w:t>,</w:t>
      </w:r>
      <w:r w:rsidRPr="00F90B6B">
        <w:rPr>
          <w:rFonts w:ascii="Times New Roman" w:hAnsi="Times New Roman"/>
          <w:sz w:val="28"/>
          <w:szCs w:val="28"/>
          <w:lang w:val="ru-RU" w:eastAsia="uk-UA"/>
        </w:rPr>
        <w:t xml:space="preserve"> </w:t>
      </w:r>
      <w:r w:rsidRPr="00F90B6B">
        <w:rPr>
          <w:rFonts w:ascii="Times New Roman" w:hAnsi="Times New Roman"/>
          <w:sz w:val="28"/>
          <w:szCs w:val="28"/>
          <w:lang w:eastAsia="uk-UA"/>
        </w:rPr>
        <w:t>загальним периферичним судинним опором та питомим периферичним судинним опором при ХСН та ожирінні була прямою, проте невірогідною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=0,05 та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=0,07, </w:t>
      </w:r>
      <w:r w:rsidRPr="00F90B6B">
        <w:rPr>
          <w:rFonts w:ascii="Times New Roman" w:hAnsi="Times New Roman"/>
          <w:sz w:val="28"/>
          <w:szCs w:val="28"/>
          <w:lang w:val="en-US" w:eastAsia="uk-UA"/>
        </w:rPr>
        <w:t>p</w:t>
      </w:r>
      <w:r w:rsidRPr="00F90B6B">
        <w:rPr>
          <w:rFonts w:ascii="Times New Roman" w:hAnsi="Times New Roman"/>
          <w:sz w:val="28"/>
          <w:szCs w:val="28"/>
          <w:lang w:eastAsia="uk-UA"/>
        </w:rPr>
        <w:t>&gt;0,05).</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Проте, вивчаючи сумарну взаємодію гемодинамічних факторів та рівня секреції </w:t>
      </w:r>
      <w:r w:rsidRPr="00F90B6B">
        <w:rPr>
          <w:rFonts w:ascii="Times New Roman" w:hAnsi="Times New Roman"/>
          <w:sz w:val="28"/>
          <w:szCs w:val="28"/>
          <w:lang w:val="en-US" w:eastAsia="uk-UA"/>
        </w:rPr>
        <w:t>NTproBNP</w:t>
      </w:r>
      <w:r w:rsidRPr="00F90B6B">
        <w:rPr>
          <w:rFonts w:ascii="Times New Roman" w:hAnsi="Times New Roman"/>
          <w:sz w:val="28"/>
          <w:szCs w:val="28"/>
          <w:lang w:eastAsia="uk-UA"/>
        </w:rPr>
        <w:t xml:space="preserve"> у пацієнтів з ХСН та ожирінням, вірогідну регресійну залежність було встановлено лише відносно </w:t>
      </w:r>
      <w:r w:rsidRPr="00F90B6B">
        <w:rPr>
          <w:rFonts w:ascii="Times New Roman" w:hAnsi="Times New Roman"/>
          <w:sz w:val="28"/>
          <w:szCs w:val="28"/>
          <w:lang w:val="en-US" w:eastAsia="uk-UA"/>
        </w:rPr>
        <w:t>NTproBNP</w:t>
      </w:r>
      <w:r w:rsidRPr="00F90B6B">
        <w:rPr>
          <w:rFonts w:ascii="Times New Roman" w:hAnsi="Times New Roman"/>
          <w:sz w:val="28"/>
          <w:szCs w:val="28"/>
          <w:lang w:eastAsia="uk-UA"/>
        </w:rPr>
        <w:t xml:space="preserve"> та пульсового тиску, який в даному випадку можна виділити як окремий клінічно значущий фактор. Результати регресіного аналізу наведені в табл. 3.3.7.</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3.3.7</w:t>
      </w:r>
    </w:p>
    <w:p w:rsidR="00EF4063" w:rsidRPr="00F90B6B" w:rsidRDefault="00EF4063" w:rsidP="00F0048B">
      <w:pPr>
        <w:spacing w:after="0" w:line="360" w:lineRule="auto"/>
        <w:ind w:firstLine="709"/>
        <w:jc w:val="center"/>
        <w:rPr>
          <w:rFonts w:ascii="Times New Roman" w:hAnsi="Times New Roman"/>
          <w:b/>
          <w:sz w:val="28"/>
          <w:szCs w:val="28"/>
        </w:rPr>
      </w:pPr>
      <w:r w:rsidRPr="00F90B6B">
        <w:rPr>
          <w:rFonts w:ascii="Times New Roman" w:hAnsi="Times New Roman"/>
          <w:b/>
          <w:sz w:val="28"/>
          <w:szCs w:val="28"/>
        </w:rPr>
        <w:t xml:space="preserve">Сумарна регресійна модель для пульсового артеріального тиску та рівня синтезу </w:t>
      </w:r>
      <w:r w:rsidRPr="00F90B6B">
        <w:rPr>
          <w:rFonts w:ascii="Times New Roman" w:hAnsi="Times New Roman"/>
          <w:b/>
          <w:sz w:val="28"/>
          <w:szCs w:val="28"/>
          <w:lang w:eastAsia="uk-UA"/>
        </w:rPr>
        <w:t>NTproBNP</w:t>
      </w:r>
      <w:r w:rsidRPr="00F90B6B">
        <w:rPr>
          <w:rFonts w:ascii="Times New Roman" w:hAnsi="Times New Roman"/>
          <w:b/>
          <w:sz w:val="28"/>
          <w:szCs w:val="28"/>
        </w:rPr>
        <w:t xml:space="preserve"> у хворих з ХСН та ожирінням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6"/>
        <w:gridCol w:w="2605"/>
        <w:gridCol w:w="2605"/>
        <w:gridCol w:w="2605"/>
      </w:tblGrid>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Beta</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p-level</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Intercept</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599,07</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0,009000</w:t>
            </w:r>
          </w:p>
        </w:tc>
      </w:tr>
      <w:tr w:rsidR="00EF4063" w:rsidRPr="00F90B6B" w:rsidTr="0076299F">
        <w:tc>
          <w:tcPr>
            <w:tcW w:w="1250"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lastRenderedPageBreak/>
              <w:t>ПАТ</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0,308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15,184</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0,000618</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Таким чином, виявлену залежність для пацієнтів з ХСН та ожирінням можна описати наступним рівнянням лінійної регресії:</w:t>
      </w:r>
    </w:p>
    <w:p w:rsidR="00EF4063" w:rsidRPr="00F90B6B" w:rsidRDefault="00EF4063" w:rsidP="00F0048B">
      <w:pPr>
        <w:spacing w:after="0" w:line="360" w:lineRule="auto"/>
        <w:ind w:firstLine="709"/>
        <w:jc w:val="center"/>
        <w:rPr>
          <w:rFonts w:ascii="Times New Roman" w:hAnsi="Times New Roman"/>
          <w:sz w:val="28"/>
          <w:szCs w:val="28"/>
          <w:lang w:eastAsia="uk-UA"/>
        </w:rPr>
      </w:pPr>
      <w:r w:rsidRPr="00F90B6B">
        <w:rPr>
          <w:rFonts w:ascii="Times New Roman" w:hAnsi="Times New Roman"/>
          <w:sz w:val="28"/>
          <w:szCs w:val="28"/>
          <w:lang w:eastAsia="uk-UA"/>
        </w:rPr>
        <w:t>NTproBNP=599,07-ПАТ*0,308.</w:t>
      </w:r>
    </w:p>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50" w:dyaOrig="3495">
                <v:shape id="_x0000_i1125" type="#_x0000_t75" style="width:232.5pt;height:174.75pt" o:ole="">
                  <v:imagedata r:id="rId241" o:title=""/>
                </v:shape>
                <o:OLEObject Type="Embed" ProgID="STATISTICA.Graph" ShapeID="_x0000_i1125" DrawAspect="Content" ObjectID="_1624460848" r:id="rId242">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80" w:dyaOrig="3315">
                <v:shape id="_x0000_i1126" type="#_x0000_t75" style="width:234pt;height:165.75pt" o:ole="">
                  <v:imagedata r:id="rId243" o:title=""/>
                </v:shape>
                <o:OLEObject Type="Embed" ProgID="STATISTICA.Graph" ShapeID="_x0000_i1126" DrawAspect="Content" ObjectID="_1624460849" r:id="rId244">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3.3.70. </w:t>
            </w:r>
            <w:r w:rsidRPr="00F90B6B">
              <w:rPr>
                <w:rFonts w:ascii="Times New Roman" w:hAnsi="Times New Roman"/>
                <w:sz w:val="28"/>
                <w:szCs w:val="28"/>
                <w:lang w:eastAsia="ru-RU"/>
              </w:rPr>
              <w:t xml:space="preserve">Зв’язок між ФВЛШ та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108"/>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3.3.71. </w:t>
            </w:r>
            <w:r w:rsidRPr="00F90B6B">
              <w:rPr>
                <w:rFonts w:ascii="Times New Roman" w:hAnsi="Times New Roman"/>
                <w:sz w:val="28"/>
                <w:szCs w:val="28"/>
                <w:lang w:eastAsia="ru-RU"/>
              </w:rPr>
              <w:t xml:space="preserve">Зв’язок між КСО ЛШ та вмістом </w:t>
            </w:r>
            <w:r w:rsidRPr="00F90B6B">
              <w:rPr>
                <w:rFonts w:ascii="Times New Roman" w:hAnsi="Times New Roman"/>
                <w:sz w:val="28"/>
                <w:szCs w:val="28"/>
                <w:lang w:eastAsia="uk-UA"/>
              </w:rPr>
              <w:t>рroBNP</w:t>
            </w:r>
            <w:r w:rsidRPr="00F90B6B">
              <w:rPr>
                <w:rFonts w:ascii="Times New Roman" w:hAnsi="Times New Roman"/>
                <w:sz w:val="28"/>
                <w:szCs w:val="28"/>
                <w:lang w:eastAsia="ru-RU"/>
              </w:rPr>
              <w:t xml:space="preserve"> у пацієнтів з ХСН та ожирінням.</w:t>
            </w:r>
          </w:p>
        </w:tc>
      </w:tr>
    </w:tbl>
    <w:p w:rsidR="00224E15" w:rsidRPr="007E797D" w:rsidRDefault="00224E15" w:rsidP="00F0048B">
      <w:pPr>
        <w:spacing w:after="0" w:line="360" w:lineRule="auto"/>
        <w:ind w:firstLine="709"/>
        <w:jc w:val="both"/>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Досліджуюючи показники кардіогемодинаміки за даними стандартної ехокардіографії було встановлено вірогідне зменшення ФВЛШ при наростанні вмісту NTproBNP у хворих з ХСН та ожирінням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рис. 3.3.70), причому зниження ФВЛШ було пов’язано, в першу чергу зі збільшенням КСО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рис. 3.3.71) проте залежність рівня NTproBNP та КДО була невірогідною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=0,09,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&gt;0,05).</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NTproBNP-залежними структурними змінами при ХСН та ожирінні за даними ЕхоКГ були ліве передсердя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=0,22,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праве передсердя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правий шлуночок, розміри яких були вірогідно більшими при більш високому рівні біомаркера (рис. 3.3.72-3.3.74).</w:t>
      </w:r>
    </w:p>
    <w:p w:rsidR="00224E15" w:rsidRPr="00F90B6B" w:rsidRDefault="00224E15" w:rsidP="00224E15">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Серед параметрів, що характеризують прояви діастолічної дисфункції ЛШ вірогідну лінійну залежність встановлено для Е/А співвідношення – наростання </w:t>
      </w:r>
      <w:r w:rsidRPr="00F90B6B">
        <w:rPr>
          <w:rFonts w:ascii="Times New Roman" w:hAnsi="Times New Roman"/>
          <w:sz w:val="28"/>
          <w:szCs w:val="28"/>
          <w:lang w:eastAsia="uk-UA"/>
        </w:rPr>
        <w:lastRenderedPageBreak/>
        <w:t>вмісту NTproBNP супроводжується зменшенням діастолічного розслаблення ЛШ при ХСН та ожирінні.</w:t>
      </w:r>
    </w:p>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75" w:dyaOrig="3435">
                <v:shape id="_x0000_i1127" type="#_x0000_t75" style="width:228.75pt;height:171.75pt" o:ole="">
                  <v:imagedata r:id="rId245" o:title=""/>
                </v:shape>
                <o:OLEObject Type="Embed" ProgID="STATISTICA.Graph" ShapeID="_x0000_i1127" DrawAspect="Content" ObjectID="_1624460850" r:id="rId246">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30" w:dyaOrig="3390">
                <v:shape id="_x0000_i1128" type="#_x0000_t75" style="width:226.5pt;height:169.5pt" o:ole="">
                  <v:imagedata r:id="rId247" o:title=""/>
                </v:shape>
                <o:OLEObject Type="Embed" ProgID="STATISTICA.Graph" ShapeID="_x0000_i1128" DrawAspect="Content" ObjectID="_1624460851" r:id="rId248">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3.3.72. </w:t>
            </w:r>
            <w:r w:rsidRPr="00F90B6B">
              <w:rPr>
                <w:rFonts w:ascii="Times New Roman" w:hAnsi="Times New Roman"/>
                <w:sz w:val="28"/>
                <w:szCs w:val="28"/>
                <w:lang w:eastAsia="ru-RU"/>
              </w:rPr>
              <w:t xml:space="preserve">Зв’язок між розміром ЛП та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108"/>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3.3.73. </w:t>
            </w:r>
            <w:r w:rsidRPr="00F90B6B">
              <w:rPr>
                <w:rFonts w:ascii="Times New Roman" w:hAnsi="Times New Roman"/>
                <w:sz w:val="28"/>
                <w:szCs w:val="28"/>
                <w:lang w:eastAsia="ru-RU"/>
              </w:rPr>
              <w:t xml:space="preserve">Зв’язок між розміром ПП та вмістом </w:t>
            </w:r>
            <w:r w:rsidRPr="00F90B6B">
              <w:rPr>
                <w:rFonts w:ascii="Times New Roman" w:hAnsi="Times New Roman"/>
                <w:sz w:val="28"/>
                <w:szCs w:val="28"/>
                <w:lang w:eastAsia="uk-UA"/>
              </w:rPr>
              <w:t>рroBNP</w:t>
            </w:r>
            <w:r w:rsidRPr="00F90B6B">
              <w:rPr>
                <w:rFonts w:ascii="Times New Roman" w:hAnsi="Times New Roman"/>
                <w:sz w:val="28"/>
                <w:szCs w:val="28"/>
                <w:lang w:eastAsia="ru-RU"/>
              </w:rPr>
              <w:t xml:space="preserve"> у пацієнтів з ХСН та ожирінням.</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p>
    <w:tbl>
      <w:tblPr>
        <w:tblW w:w="0" w:type="auto"/>
        <w:tblLayout w:type="fixed"/>
        <w:tblLook w:val="00A0" w:firstRow="1" w:lastRow="0" w:firstColumn="1" w:lastColumn="0" w:noHBand="0" w:noVBand="0"/>
      </w:tblPr>
      <w:tblGrid>
        <w:gridCol w:w="4786"/>
        <w:gridCol w:w="4678"/>
      </w:tblGrid>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650" w:dyaOrig="3480">
                <v:shape id="_x0000_i1129" type="#_x0000_t75" style="width:232.5pt;height:174pt" o:ole="">
                  <v:imagedata r:id="rId249" o:title=""/>
                </v:shape>
                <o:OLEObject Type="Embed" ProgID="STATISTICA.Graph" ShapeID="_x0000_i1129" DrawAspect="Content" ObjectID="_1624460852" r:id="rId250">
                  <o:FieldCodes>\s</o:FieldCodes>
                </o:OLEObject>
              </w:object>
            </w:r>
          </w:p>
        </w:tc>
        <w:tc>
          <w:tcPr>
            <w:tcW w:w="4678" w:type="dxa"/>
          </w:tcPr>
          <w:p w:rsidR="00EF4063" w:rsidRPr="00F90B6B" w:rsidRDefault="00EF4063" w:rsidP="00F0048B">
            <w:pPr>
              <w:spacing w:after="0" w:line="360" w:lineRule="auto"/>
              <w:jc w:val="both"/>
              <w:rPr>
                <w:rFonts w:ascii="Times New Roman" w:hAnsi="Times New Roman"/>
                <w:sz w:val="28"/>
                <w:szCs w:val="28"/>
              </w:rPr>
            </w:pPr>
            <w:r w:rsidRPr="00F90B6B">
              <w:rPr>
                <w:rFonts w:ascii="Times New Roman" w:hAnsi="Times New Roman"/>
              </w:rPr>
              <w:object w:dxaOrig="4590" w:dyaOrig="3450">
                <v:shape id="_x0000_i1130" type="#_x0000_t75" style="width:229.5pt;height:172.5pt" o:ole="">
                  <v:imagedata r:id="rId251" o:title=""/>
                </v:shape>
                <o:OLEObject Type="Embed" ProgID="STATISTICA.Graph" ShapeID="_x0000_i1130" DrawAspect="Content" ObjectID="_1624460853" r:id="rId252">
                  <o:FieldCodes>\s</o:FieldCodes>
                </o:OLEObject>
              </w:object>
            </w:r>
          </w:p>
        </w:tc>
      </w:tr>
      <w:tr w:rsidR="00EF4063" w:rsidRPr="00F90B6B" w:rsidTr="0076299F">
        <w:tc>
          <w:tcPr>
            <w:tcW w:w="4786" w:type="dxa"/>
          </w:tcPr>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3.3.72. </w:t>
            </w:r>
            <w:r w:rsidRPr="00F90B6B">
              <w:rPr>
                <w:rFonts w:ascii="Times New Roman" w:hAnsi="Times New Roman"/>
                <w:sz w:val="28"/>
                <w:szCs w:val="28"/>
                <w:lang w:eastAsia="ru-RU"/>
              </w:rPr>
              <w:t xml:space="preserve">Зв’язок між розміром ЛП та вмістом </w:t>
            </w:r>
            <w:r w:rsidRPr="00F90B6B">
              <w:rPr>
                <w:rFonts w:ascii="Times New Roman" w:hAnsi="Times New Roman"/>
                <w:sz w:val="28"/>
                <w:szCs w:val="28"/>
                <w:lang w:eastAsia="uk-UA"/>
              </w:rPr>
              <w:t xml:space="preserve">NTproBNP </w:t>
            </w:r>
            <w:r w:rsidRPr="00F90B6B">
              <w:rPr>
                <w:rFonts w:ascii="Times New Roman" w:hAnsi="Times New Roman"/>
                <w:sz w:val="28"/>
                <w:szCs w:val="28"/>
                <w:lang w:eastAsia="ru-RU"/>
              </w:rPr>
              <w:t>у пацієнтів з ХСН та ожирінням.</w:t>
            </w:r>
          </w:p>
        </w:tc>
        <w:tc>
          <w:tcPr>
            <w:tcW w:w="4678" w:type="dxa"/>
          </w:tcPr>
          <w:p w:rsidR="00EF4063" w:rsidRPr="00F90B6B" w:rsidRDefault="00EF4063" w:rsidP="00F0048B">
            <w:pPr>
              <w:spacing w:after="0" w:line="360" w:lineRule="auto"/>
              <w:ind w:left="-108"/>
              <w:jc w:val="both"/>
              <w:rPr>
                <w:rFonts w:ascii="Times New Roman" w:hAnsi="Times New Roman"/>
                <w:sz w:val="28"/>
                <w:szCs w:val="28"/>
                <w:lang w:eastAsia="ru-RU"/>
              </w:rPr>
            </w:pPr>
            <w:r w:rsidRPr="00F90B6B">
              <w:rPr>
                <w:rFonts w:ascii="Times New Roman" w:hAnsi="Times New Roman"/>
                <w:b/>
                <w:sz w:val="28"/>
                <w:szCs w:val="28"/>
                <w:lang w:eastAsia="ru-RU"/>
              </w:rPr>
              <w:t xml:space="preserve">Рис. 3.3.73. </w:t>
            </w:r>
            <w:r w:rsidRPr="00F90B6B">
              <w:rPr>
                <w:rFonts w:ascii="Times New Roman" w:hAnsi="Times New Roman"/>
                <w:sz w:val="28"/>
                <w:szCs w:val="28"/>
                <w:lang w:eastAsia="ru-RU"/>
              </w:rPr>
              <w:t xml:space="preserve">Зв’язок між розміром ПП та вмістом </w:t>
            </w:r>
            <w:r w:rsidRPr="00F90B6B">
              <w:rPr>
                <w:rFonts w:ascii="Times New Roman" w:hAnsi="Times New Roman"/>
                <w:sz w:val="28"/>
                <w:szCs w:val="28"/>
                <w:lang w:eastAsia="uk-UA"/>
              </w:rPr>
              <w:t>рroBNP</w:t>
            </w:r>
            <w:r w:rsidRPr="00F90B6B">
              <w:rPr>
                <w:rFonts w:ascii="Times New Roman" w:hAnsi="Times New Roman"/>
                <w:sz w:val="28"/>
                <w:szCs w:val="28"/>
                <w:lang w:eastAsia="ru-RU"/>
              </w:rPr>
              <w:t xml:space="preserve"> у пацієнтів з ХСН та ожирінням.</w:t>
            </w:r>
          </w:p>
        </w:tc>
      </w:tr>
    </w:tbl>
    <w:p w:rsidR="00224E15" w:rsidRPr="007E797D" w:rsidRDefault="00224E15" w:rsidP="00F0048B">
      <w:pPr>
        <w:spacing w:after="0" w:line="360" w:lineRule="auto"/>
        <w:ind w:firstLine="709"/>
        <w:jc w:val="both"/>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Наостанок, зважаючи на першочергове завдання дисертаційного дослідження, цікавим було вивчення множинної кореляції між рівнем натріємії, альдостероном та </w:t>
      </w:r>
      <w:r w:rsidRPr="00F90B6B">
        <w:rPr>
          <w:rFonts w:ascii="Times New Roman" w:hAnsi="Times New Roman"/>
          <w:sz w:val="28"/>
          <w:szCs w:val="28"/>
          <w:lang w:eastAsia="uk-UA"/>
        </w:rPr>
        <w:lastRenderedPageBreak/>
        <w:t>NTproBNP. Тривимірна регресійна модель наведена на рис. 3.3.74, результати – в табл. 3.3.8.</w:t>
      </w:r>
    </w:p>
    <w:p w:rsidR="00976E59" w:rsidRPr="00F90B6B" w:rsidRDefault="00976E59" w:rsidP="00976E59">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Таким чином, виявлену залежність для пацієнтів з ХСН та ожирінням можна описати наступним рівнянням лінійної регресії:</w:t>
      </w:r>
    </w:p>
    <w:p w:rsidR="00976E59" w:rsidRPr="00F90B6B" w:rsidRDefault="00976E59" w:rsidP="00976E59">
      <w:pPr>
        <w:spacing w:after="0" w:line="360" w:lineRule="auto"/>
        <w:ind w:firstLine="709"/>
        <w:jc w:val="center"/>
        <w:rPr>
          <w:rFonts w:ascii="Times New Roman" w:hAnsi="Times New Roman"/>
          <w:sz w:val="28"/>
          <w:szCs w:val="28"/>
          <w:lang w:eastAsia="uk-UA"/>
        </w:rPr>
      </w:pPr>
      <w:r w:rsidRPr="00F90B6B">
        <w:rPr>
          <w:rFonts w:ascii="Times New Roman" w:hAnsi="Times New Roman"/>
          <w:sz w:val="28"/>
          <w:szCs w:val="28"/>
          <w:lang w:val="en-US" w:eastAsia="uk-UA"/>
        </w:rPr>
        <w:t>Na</w:t>
      </w:r>
      <w:r w:rsidRPr="00F90B6B">
        <w:rPr>
          <w:rFonts w:ascii="Times New Roman" w:hAnsi="Times New Roman"/>
          <w:sz w:val="28"/>
          <w:szCs w:val="28"/>
          <w:lang w:eastAsia="uk-UA"/>
        </w:rPr>
        <w:t>=129,75- NTproBNP*0,029267+альдостерон*0,770815</w:t>
      </w:r>
    </w:p>
    <w:p w:rsidR="00976E59" w:rsidRPr="00F90B6B" w:rsidRDefault="00976E59" w:rsidP="00976E59">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Таким чином, в розділі 3.3. наведено зв`язок між рівнями натріємії, альдостерона і NTproBNP з клініко-лабораторними і структурно-функціональними  показниками у хворих з ХСН зі збереженою фракцією викиду лівого шлуночка і супутнім ожирінням.</w:t>
      </w:r>
    </w:p>
    <w:p w:rsidR="00976E59" w:rsidRPr="00F90B6B" w:rsidRDefault="00976E59" w:rsidP="00976E59">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лінійному регресійному аналізі встановлено слабкий негативний зв’язок між індексом маси тіла та рівнем натрію у хворих з ХСН (</w:t>
      </w:r>
      <w:r w:rsidRPr="00F90B6B">
        <w:rPr>
          <w:rFonts w:ascii="Times New Roman" w:hAnsi="Times New Roman"/>
          <w:sz w:val="28"/>
          <w:szCs w:val="28"/>
          <w:lang w:val="en-US"/>
        </w:rPr>
        <w:t>r</w:t>
      </w:r>
      <w:r w:rsidRPr="00F90B6B">
        <w:rPr>
          <w:rFonts w:ascii="Times New Roman" w:hAnsi="Times New Roman"/>
          <w:sz w:val="28"/>
          <w:szCs w:val="28"/>
          <w:lang w:val="ru-RU"/>
        </w:rPr>
        <w:t>=-0,16</w:t>
      </w:r>
      <w:r w:rsidRPr="00F90B6B">
        <w:rPr>
          <w:rFonts w:ascii="Times New Roman" w:hAnsi="Times New Roman"/>
          <w:sz w:val="28"/>
          <w:szCs w:val="28"/>
        </w:rPr>
        <w:t>). За наявності ожиріння відмічено вірогідно більшу ЧСС в порівнянні з групами, що мали нормальну та надлишкову масу тіла (р</w:t>
      </w:r>
      <w:r w:rsidRPr="00F90B6B">
        <w:rPr>
          <w:rFonts w:ascii="Times New Roman" w:hAnsi="Times New Roman"/>
          <w:sz w:val="28"/>
          <w:szCs w:val="28"/>
          <w:lang w:val="ru-RU"/>
        </w:rPr>
        <w:t>&lt;0,05</w:t>
      </w:r>
      <w:r w:rsidRPr="00F90B6B">
        <w:rPr>
          <w:rFonts w:ascii="Times New Roman" w:hAnsi="Times New Roman"/>
          <w:sz w:val="28"/>
          <w:szCs w:val="28"/>
        </w:rPr>
        <w:t>). Відповідні зміни встановлено також для рівня середнього систолічного та діастолічного артеріального тиску (р</w:t>
      </w:r>
      <w:r w:rsidRPr="00F90B6B">
        <w:rPr>
          <w:rFonts w:ascii="Times New Roman" w:hAnsi="Times New Roman"/>
          <w:sz w:val="28"/>
          <w:szCs w:val="28"/>
          <w:lang w:val="ru-RU"/>
        </w:rPr>
        <w:t>&lt;0,05</w:t>
      </w:r>
      <w:r w:rsidRPr="00F90B6B">
        <w:rPr>
          <w:rFonts w:ascii="Times New Roman" w:hAnsi="Times New Roman"/>
          <w:sz w:val="28"/>
          <w:szCs w:val="28"/>
        </w:rPr>
        <w:t xml:space="preserve">). При оцінці параметрів кардіогемодинаміки у пацієнтів з надмірною вагою та ожирінням скоротлива здатність міокарду за аналізу інтегрального показника скоротловості – фракції викиду була вірогідно нижчою </w:t>
      </w:r>
      <w:r w:rsidRPr="00F90B6B">
        <w:rPr>
          <w:rFonts w:ascii="Times New Roman" w:hAnsi="Times New Roman"/>
          <w:sz w:val="28"/>
          <w:szCs w:val="28"/>
          <w:lang w:val="ru-RU"/>
        </w:rPr>
        <w:t>(р&lt;0,05)</w:t>
      </w:r>
      <w:r w:rsidRPr="00F90B6B">
        <w:rPr>
          <w:rFonts w:ascii="Times New Roman" w:hAnsi="Times New Roman"/>
          <w:sz w:val="28"/>
          <w:szCs w:val="28"/>
        </w:rPr>
        <w:t>, проте відмічалось зростання ударного об’єму, ударного індексу, хвилинного об’єму крові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rPr>
        <w:object w:dxaOrig="9360" w:dyaOrig="7020">
          <v:shape id="_x0000_i1131" type="#_x0000_t75" style="width:468pt;height:351pt" o:ole="">
            <v:imagedata r:id="rId253" o:title=""/>
          </v:shape>
          <o:OLEObject Type="Embed" ProgID="STATISTICA.Graph" ShapeID="_x0000_i1131" DrawAspect="Content" ObjectID="_1624460854" r:id="rId254">
            <o:FieldCodes>\s</o:FieldCodes>
          </o:OLEObject>
        </w:object>
      </w:r>
    </w:p>
    <w:p w:rsidR="00EF4063" w:rsidRPr="007E797D"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b/>
          <w:sz w:val="28"/>
          <w:szCs w:val="28"/>
        </w:rPr>
        <w:t xml:space="preserve">Рис. 3.3.74. </w:t>
      </w:r>
      <w:r w:rsidRPr="00F90B6B">
        <w:rPr>
          <w:rFonts w:ascii="Times New Roman" w:hAnsi="Times New Roman"/>
          <w:sz w:val="28"/>
          <w:szCs w:val="28"/>
        </w:rPr>
        <w:t xml:space="preserve">Тривимірна регресійна модель взаємозв’язку рівня натріємії, рівня альдостерону та </w:t>
      </w:r>
      <w:r w:rsidRPr="00F90B6B">
        <w:rPr>
          <w:rFonts w:ascii="Times New Roman" w:hAnsi="Times New Roman"/>
          <w:sz w:val="28"/>
          <w:szCs w:val="28"/>
          <w:lang w:eastAsia="uk-UA"/>
        </w:rPr>
        <w:t>NTproBNP.</w:t>
      </w:r>
    </w:p>
    <w:p w:rsidR="00976E59" w:rsidRPr="007E797D" w:rsidRDefault="00976E59" w:rsidP="00F0048B">
      <w:pPr>
        <w:spacing w:after="0" w:line="360" w:lineRule="auto"/>
        <w:ind w:firstLine="709"/>
        <w:jc w:val="both"/>
        <w:rPr>
          <w:rFonts w:ascii="Times New Roman" w:hAnsi="Times New Roman"/>
          <w:sz w:val="28"/>
          <w:szCs w:val="28"/>
          <w:lang w:eastAsia="uk-UA"/>
        </w:rPr>
      </w:pPr>
    </w:p>
    <w:p w:rsidR="00976E59" w:rsidRPr="00F90B6B" w:rsidRDefault="00976E59" w:rsidP="00976E59">
      <w:pPr>
        <w:spacing w:after="0" w:line="360" w:lineRule="auto"/>
        <w:ind w:firstLine="709"/>
        <w:jc w:val="both"/>
        <w:rPr>
          <w:rFonts w:ascii="Times New Roman" w:hAnsi="Times New Roman"/>
          <w:sz w:val="28"/>
          <w:szCs w:val="28"/>
        </w:rPr>
      </w:pPr>
      <w:r w:rsidRPr="00F90B6B">
        <w:rPr>
          <w:rFonts w:ascii="Times New Roman" w:hAnsi="Times New Roman"/>
          <w:sz w:val="28"/>
        </w:rPr>
        <w:t xml:space="preserve">Відмічено </w:t>
      </w:r>
      <w:r w:rsidRPr="00F90B6B">
        <w:rPr>
          <w:rFonts w:ascii="Times New Roman" w:hAnsi="Times New Roman"/>
          <w:sz w:val="28"/>
          <w:szCs w:val="28"/>
          <w:lang w:eastAsia="ru-RU"/>
        </w:rPr>
        <w:t xml:space="preserve">наявність прямої лінійної залежності між зростанням віку пацієнта та рівня секреції альдостерона з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=0,26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Аналізуючи ІМТ у кожному з кластерів виявлено вірогідно більш низький показник ІМТ в кластері з більш високим рівнем альдостерону – 27,8±4,78 кг/м</w:t>
      </w:r>
      <w:r w:rsidRPr="00F90B6B">
        <w:rPr>
          <w:rFonts w:ascii="Times New Roman" w:hAnsi="Times New Roman"/>
          <w:sz w:val="28"/>
          <w:szCs w:val="28"/>
          <w:vertAlign w:val="superscript"/>
          <w:lang w:eastAsia="ru-RU"/>
        </w:rPr>
        <w:t xml:space="preserve">2 </w:t>
      </w:r>
      <w:r w:rsidRPr="00F90B6B">
        <w:rPr>
          <w:rFonts w:ascii="Times New Roman" w:hAnsi="Times New Roman"/>
          <w:sz w:val="28"/>
          <w:szCs w:val="28"/>
          <w:lang w:eastAsia="ru-RU"/>
        </w:rPr>
        <w:t>проти 31,7±4,54 кг/м</w:t>
      </w:r>
      <w:r w:rsidRPr="00F90B6B">
        <w:rPr>
          <w:rFonts w:ascii="Times New Roman" w:hAnsi="Times New Roman"/>
          <w:sz w:val="28"/>
          <w:szCs w:val="28"/>
          <w:vertAlign w:val="superscript"/>
          <w:lang w:eastAsia="ru-RU"/>
        </w:rPr>
        <w:t xml:space="preserve">2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w:t>
      </w:r>
      <w:r w:rsidRPr="00F90B6B">
        <w:rPr>
          <w:rFonts w:ascii="Times New Roman" w:hAnsi="Times New Roman"/>
          <w:sz w:val="28"/>
          <w:szCs w:val="28"/>
        </w:rPr>
        <w:t>Проте, як встановлено на подальшому етапі нашої роботи, у пацієнтів з ХСН має значення не стільки величина ІМТ в цілому, скільки тип ожиріння з оцінкою співвідношення об’єму талії (ОТ) до об’єму стегон (ОС), що підтвержується позитивним кореляційним зв’язком ОТ/ОС та вмісту вільного альдостерону як по групі в цілому (</w:t>
      </w:r>
      <w:r w:rsidRPr="00F90B6B">
        <w:rPr>
          <w:rFonts w:ascii="Times New Roman" w:hAnsi="Times New Roman"/>
          <w:sz w:val="28"/>
          <w:szCs w:val="28"/>
          <w:lang w:val="en-US"/>
        </w:rPr>
        <w:t>r</w:t>
      </w:r>
      <w:r w:rsidRPr="00F90B6B">
        <w:rPr>
          <w:rFonts w:ascii="Times New Roman" w:hAnsi="Times New Roman"/>
          <w:sz w:val="28"/>
          <w:szCs w:val="28"/>
        </w:rPr>
        <w:t xml:space="preserve">=0,23,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так і при ожирінні (</w:t>
      </w:r>
      <w:r w:rsidRPr="00F90B6B">
        <w:rPr>
          <w:rFonts w:ascii="Times New Roman" w:hAnsi="Times New Roman"/>
          <w:sz w:val="28"/>
          <w:szCs w:val="28"/>
          <w:lang w:val="en-US"/>
        </w:rPr>
        <w:t>r</w:t>
      </w:r>
      <w:r w:rsidRPr="00F90B6B">
        <w:rPr>
          <w:rFonts w:ascii="Times New Roman" w:hAnsi="Times New Roman"/>
          <w:sz w:val="28"/>
          <w:szCs w:val="28"/>
        </w:rPr>
        <w:t xml:space="preserve">=0,14,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w:t>
      </w:r>
      <w:r w:rsidRPr="00F90B6B">
        <w:rPr>
          <w:rFonts w:ascii="Times New Roman" w:hAnsi="Times New Roman"/>
          <w:sz w:val="28"/>
          <w:szCs w:val="28"/>
        </w:rPr>
        <w:t>).</w:t>
      </w:r>
    </w:p>
    <w:p w:rsidR="00976E59" w:rsidRPr="00F90B6B" w:rsidRDefault="00976E59" w:rsidP="00976E59">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Верифіковано суттєве клінічне значення </w:t>
      </w:r>
      <w:r w:rsidRPr="00F90B6B">
        <w:rPr>
          <w:rFonts w:ascii="Times New Roman" w:hAnsi="Times New Roman"/>
          <w:sz w:val="28"/>
          <w:szCs w:val="28"/>
          <w:lang w:eastAsia="uk-UA"/>
        </w:rPr>
        <w:t xml:space="preserve">NTproBNP в </w:t>
      </w:r>
      <w:r w:rsidRPr="00F90B6B">
        <w:rPr>
          <w:rFonts w:ascii="Times New Roman" w:hAnsi="Times New Roman"/>
          <w:sz w:val="28"/>
          <w:szCs w:val="28"/>
        </w:rPr>
        <w:t>клінічному перебізі серцевої недостатності при збереженій фракції викиду лівого шлуночка та супутньому ожирінні.</w:t>
      </w:r>
    </w:p>
    <w:p w:rsidR="00976E59" w:rsidRPr="00F90B6B" w:rsidRDefault="00976E59"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3.3.8</w:t>
      </w:r>
    </w:p>
    <w:p w:rsidR="00EF4063" w:rsidRPr="00F90B6B" w:rsidRDefault="00EF4063" w:rsidP="00F0048B">
      <w:pPr>
        <w:spacing w:after="0" w:line="360" w:lineRule="auto"/>
        <w:ind w:firstLine="709"/>
        <w:jc w:val="center"/>
        <w:rPr>
          <w:rFonts w:ascii="Times New Roman" w:hAnsi="Times New Roman"/>
          <w:b/>
          <w:sz w:val="28"/>
          <w:szCs w:val="28"/>
        </w:rPr>
      </w:pPr>
      <w:r w:rsidRPr="00F90B6B">
        <w:rPr>
          <w:rFonts w:ascii="Times New Roman" w:hAnsi="Times New Roman"/>
          <w:b/>
          <w:sz w:val="28"/>
          <w:szCs w:val="28"/>
        </w:rPr>
        <w:t>Сумарна регресійна модель для рівня натріємії залежно від вмісту альдостерону та NTproBNP у хворих з ХСН та ожирінням</w:t>
      </w:r>
    </w:p>
    <w:tbl>
      <w:tblPr>
        <w:tblW w:w="48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7"/>
        <w:gridCol w:w="2605"/>
        <w:gridCol w:w="2604"/>
        <w:gridCol w:w="2372"/>
      </w:tblGrid>
      <w:tr w:rsidR="00EF4063" w:rsidRPr="00F90B6B" w:rsidTr="00224E15">
        <w:tc>
          <w:tcPr>
            <w:tcW w:w="1279"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sz w:val="28"/>
                <w:szCs w:val="28"/>
                <w:lang w:eastAsia="ru-RU"/>
              </w:rPr>
              <w:t>Показник</w:t>
            </w:r>
          </w:p>
        </w:tc>
        <w:tc>
          <w:tcPr>
            <w:tcW w:w="1278"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Beta</w:t>
            </w:r>
          </w:p>
        </w:tc>
        <w:tc>
          <w:tcPr>
            <w:tcW w:w="1278"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B</w:t>
            </w:r>
          </w:p>
        </w:tc>
        <w:tc>
          <w:tcPr>
            <w:tcW w:w="1164" w:type="pct"/>
            <w:vAlign w:val="center"/>
          </w:tcPr>
          <w:p w:rsidR="00EF4063" w:rsidRPr="00F90B6B" w:rsidRDefault="00EF4063" w:rsidP="00F0048B">
            <w:pPr>
              <w:spacing w:after="0" w:line="360" w:lineRule="auto"/>
              <w:jc w:val="center"/>
              <w:rPr>
                <w:rFonts w:ascii="Times New Roman" w:hAnsi="Times New Roman"/>
                <w:b/>
                <w:bCs/>
                <w:sz w:val="28"/>
                <w:szCs w:val="28"/>
                <w:lang w:eastAsia="uk-UA"/>
              </w:rPr>
            </w:pPr>
            <w:r w:rsidRPr="00F90B6B">
              <w:rPr>
                <w:rFonts w:ascii="Times New Roman" w:hAnsi="Times New Roman"/>
                <w:b/>
                <w:bCs/>
                <w:sz w:val="28"/>
                <w:szCs w:val="28"/>
                <w:lang w:eastAsia="uk-UA"/>
              </w:rPr>
              <w:t>p-level</w:t>
            </w:r>
          </w:p>
        </w:tc>
      </w:tr>
      <w:tr w:rsidR="00EF4063" w:rsidRPr="00F90B6B" w:rsidTr="00224E15">
        <w:tc>
          <w:tcPr>
            <w:tcW w:w="1279"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Intercept</w:t>
            </w:r>
          </w:p>
        </w:tc>
        <w:tc>
          <w:tcPr>
            <w:tcW w:w="1278" w:type="pct"/>
            <w:vAlign w:val="center"/>
          </w:tcPr>
          <w:p w:rsidR="00EF4063" w:rsidRPr="00F90B6B" w:rsidRDefault="00EF4063" w:rsidP="00F0048B">
            <w:pPr>
              <w:spacing w:after="0" w:line="360" w:lineRule="auto"/>
              <w:jc w:val="center"/>
              <w:rPr>
                <w:rFonts w:ascii="Times New Roman" w:hAnsi="Times New Roman"/>
                <w:sz w:val="28"/>
                <w:szCs w:val="28"/>
                <w:lang w:eastAsia="uk-UA"/>
              </w:rPr>
            </w:pPr>
          </w:p>
        </w:tc>
        <w:tc>
          <w:tcPr>
            <w:tcW w:w="1278"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129,7596</w:t>
            </w:r>
          </w:p>
        </w:tc>
        <w:tc>
          <w:tcPr>
            <w:tcW w:w="1164"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0,000000</w:t>
            </w:r>
          </w:p>
        </w:tc>
      </w:tr>
      <w:tr w:rsidR="00EF4063" w:rsidRPr="00F90B6B" w:rsidTr="00224E15">
        <w:tc>
          <w:tcPr>
            <w:tcW w:w="1279"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i/>
                <w:sz w:val="28"/>
                <w:szCs w:val="28"/>
                <w:lang w:eastAsia="uk-UA"/>
              </w:rPr>
              <w:t>NTproBNP</w:t>
            </w:r>
          </w:p>
        </w:tc>
        <w:tc>
          <w:tcPr>
            <w:tcW w:w="1278"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-0,029267</w:t>
            </w:r>
          </w:p>
        </w:tc>
        <w:tc>
          <w:tcPr>
            <w:tcW w:w="1278"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-0,0010</w:t>
            </w:r>
          </w:p>
        </w:tc>
        <w:tc>
          <w:tcPr>
            <w:tcW w:w="1164"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0,677880</w:t>
            </w:r>
          </w:p>
        </w:tc>
      </w:tr>
      <w:tr w:rsidR="00EF4063" w:rsidRPr="00F90B6B" w:rsidTr="00224E15">
        <w:tc>
          <w:tcPr>
            <w:tcW w:w="1279" w:type="pct"/>
            <w:vAlign w:val="center"/>
          </w:tcPr>
          <w:p w:rsidR="00EF4063" w:rsidRPr="00F90B6B" w:rsidRDefault="00EF4063" w:rsidP="00F0048B">
            <w:pPr>
              <w:spacing w:after="0" w:line="360" w:lineRule="auto"/>
              <w:jc w:val="center"/>
              <w:rPr>
                <w:rFonts w:ascii="Times New Roman" w:hAnsi="Times New Roman"/>
                <w:bCs/>
                <w:i/>
                <w:sz w:val="28"/>
                <w:szCs w:val="28"/>
                <w:lang w:eastAsia="uk-UA"/>
              </w:rPr>
            </w:pPr>
            <w:r w:rsidRPr="00F90B6B">
              <w:rPr>
                <w:rFonts w:ascii="Times New Roman" w:hAnsi="Times New Roman"/>
                <w:bCs/>
                <w:i/>
                <w:sz w:val="28"/>
                <w:szCs w:val="28"/>
                <w:lang w:eastAsia="uk-UA"/>
              </w:rPr>
              <w:t>Альдостерон</w:t>
            </w:r>
          </w:p>
        </w:tc>
        <w:tc>
          <w:tcPr>
            <w:tcW w:w="1278"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0,770815</w:t>
            </w:r>
          </w:p>
        </w:tc>
        <w:tc>
          <w:tcPr>
            <w:tcW w:w="1278"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0,2211</w:t>
            </w:r>
          </w:p>
        </w:tc>
        <w:tc>
          <w:tcPr>
            <w:tcW w:w="1164"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0,000000</w:t>
            </w:r>
          </w:p>
        </w:tc>
      </w:tr>
    </w:tbl>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rPr>
        <w:t xml:space="preserve">Зокрема, відмічено погіршення якості життя за Міннесотським опитувальником при зростанні рівня </w:t>
      </w:r>
      <w:r w:rsidRPr="00F90B6B">
        <w:rPr>
          <w:rFonts w:ascii="Times New Roman" w:hAnsi="Times New Roman"/>
          <w:sz w:val="28"/>
          <w:szCs w:val="28"/>
          <w:lang w:eastAsia="uk-UA"/>
        </w:rPr>
        <w:t>NTproBNP у хворих з ХСН при ожирінні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=0,30 та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=0,18, р&lt;0,05). Встановлено вірогідний вплив підвищеного рівня NTproBNP на зниження толерантності до фізичного навантаження при ХСН та ожирінні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=-0,20, р&lt;0,05),.</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При застосуванні </w:t>
      </w:r>
      <w:r w:rsidRPr="00F90B6B">
        <w:rPr>
          <w:rFonts w:ascii="Times New Roman" w:hAnsi="Times New Roman"/>
          <w:sz w:val="28"/>
          <w:szCs w:val="28"/>
        </w:rPr>
        <w:t xml:space="preserve">кластерного К-аналізу з розподілом пацієнтів на дві групи за рівнем синтезу </w:t>
      </w:r>
      <w:r w:rsidRPr="00F90B6B">
        <w:rPr>
          <w:rFonts w:ascii="Times New Roman" w:hAnsi="Times New Roman"/>
          <w:sz w:val="28"/>
          <w:szCs w:val="28"/>
          <w:lang w:eastAsia="uk-UA"/>
        </w:rPr>
        <w:t xml:space="preserve">NTproBNP (кластери «високого» та «нормального» рівня NTproBNP) </w:t>
      </w:r>
      <w:r w:rsidRPr="00F90B6B">
        <w:rPr>
          <w:rFonts w:ascii="Times New Roman" w:hAnsi="Times New Roman"/>
          <w:sz w:val="28"/>
          <w:szCs w:val="28"/>
        </w:rPr>
        <w:t xml:space="preserve">встановлено вірогідне зниження швидкості клубочкової фільтрації в кластері «високого» синтезу </w:t>
      </w:r>
      <w:r w:rsidRPr="00F90B6B">
        <w:rPr>
          <w:rFonts w:ascii="Times New Roman" w:hAnsi="Times New Roman"/>
          <w:sz w:val="28"/>
          <w:szCs w:val="28"/>
          <w:lang w:eastAsia="uk-UA"/>
        </w:rPr>
        <w:t>NTproBNP, що підтверджується як абсолютними значеннями (р&lt;0,05), так і регресійним аналізом (р&lt;0,05).</w:t>
      </w:r>
    </w:p>
    <w:p w:rsidR="00EF4063" w:rsidRPr="00F90B6B" w:rsidRDefault="00EF4063" w:rsidP="00F0048B">
      <w:pPr>
        <w:spacing w:after="0" w:line="360" w:lineRule="auto"/>
        <w:ind w:firstLine="709"/>
        <w:jc w:val="both"/>
        <w:rPr>
          <w:rFonts w:ascii="Times New Roman" w:hAnsi="Times New Roman"/>
          <w:i/>
          <w:sz w:val="28"/>
          <w:szCs w:val="28"/>
          <w:lang w:eastAsia="uk-UA"/>
        </w:rPr>
      </w:pPr>
      <w:r w:rsidRPr="00F90B6B">
        <w:rPr>
          <w:rFonts w:ascii="Times New Roman" w:hAnsi="Times New Roman"/>
          <w:sz w:val="28"/>
          <w:szCs w:val="28"/>
          <w:lang w:eastAsia="uk-UA"/>
        </w:rPr>
        <w:t xml:space="preserve">Було запропоновано математичну модель взаємозв'язку між вмістом NTproBNP та рівнем ШКФ при ХСН та ожирінні: </w:t>
      </w:r>
      <w:r w:rsidRPr="00F90B6B">
        <w:rPr>
          <w:rFonts w:ascii="Times New Roman" w:hAnsi="Times New Roman"/>
          <w:i/>
          <w:sz w:val="28"/>
          <w:szCs w:val="28"/>
          <w:lang w:eastAsia="uk-UA"/>
        </w:rPr>
        <w:t>NTproBNP=399,35-ШКФ*0,151.</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В кластері «високого» синтезу NTproBNP верифіковано вірогідну роль анемічного синдрому при ХСН та ожирінні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а також встановлено від’ємний взаємозв’язок між рівнем синтезу NTproBNP, вмістом еритроцитів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=-0,42,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гемоглобіну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=-0,26, </w:t>
      </w:r>
      <w:r w:rsidRPr="00F90B6B">
        <w:rPr>
          <w:rFonts w:ascii="Times New Roman" w:hAnsi="Times New Roman"/>
          <w:sz w:val="28"/>
          <w:szCs w:val="28"/>
          <w:lang w:val="en-US" w:eastAsia="uk-UA"/>
        </w:rPr>
        <w:t>p</w:t>
      </w:r>
      <w:r w:rsidRPr="00F90B6B">
        <w:rPr>
          <w:rFonts w:ascii="Times New Roman" w:hAnsi="Times New Roman"/>
          <w:sz w:val="28"/>
          <w:szCs w:val="28"/>
          <w:lang w:eastAsia="uk-UA"/>
        </w:rPr>
        <w:t xml:space="preserve">&lt;0,05). </w:t>
      </w:r>
    </w:p>
    <w:p w:rsidR="00EF4063" w:rsidRPr="00F90B6B" w:rsidRDefault="00EF4063" w:rsidP="00F0048B">
      <w:pPr>
        <w:spacing w:after="0" w:line="360" w:lineRule="auto"/>
        <w:ind w:firstLine="709"/>
        <w:jc w:val="both"/>
        <w:rPr>
          <w:rFonts w:ascii="Times New Roman" w:hAnsi="Times New Roman"/>
          <w:i/>
          <w:sz w:val="28"/>
          <w:szCs w:val="28"/>
          <w:lang w:eastAsia="uk-UA"/>
        </w:rPr>
      </w:pPr>
      <w:r w:rsidRPr="00F90B6B">
        <w:rPr>
          <w:rFonts w:ascii="Times New Roman" w:hAnsi="Times New Roman"/>
          <w:sz w:val="28"/>
          <w:szCs w:val="28"/>
          <w:lang w:eastAsia="uk-UA"/>
        </w:rPr>
        <w:t>За аналізу показників гемодинаміки та їх співвідношення з рівнем NTproBNP було виявлено прямий зв’язок при регресійному аналізі відносно рівня САТ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=0,25, р&lt;0,05) та ДАТ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=0,20, р&lt;0,05), рівня пульсового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середнього АТ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=0,24, </w:t>
      </w:r>
      <w:r w:rsidRPr="00F90B6B">
        <w:rPr>
          <w:rFonts w:ascii="Times New Roman" w:hAnsi="Times New Roman"/>
          <w:sz w:val="28"/>
          <w:szCs w:val="28"/>
          <w:lang w:val="en-US" w:eastAsia="uk-UA"/>
        </w:rPr>
        <w:t>p</w:t>
      </w:r>
      <w:r w:rsidRPr="00F90B6B">
        <w:rPr>
          <w:rFonts w:ascii="Times New Roman" w:hAnsi="Times New Roman"/>
          <w:sz w:val="28"/>
          <w:szCs w:val="28"/>
          <w:lang w:eastAsia="uk-UA"/>
        </w:rPr>
        <w:t xml:space="preserve">&lt;0,05). Встановлену залежність між NTproBNP та показниками гемодинаміки для пацієнтів з ХСН при супутньому ожирінні представлено у вигляді рівняння лінійної регресії: </w:t>
      </w:r>
      <w:r w:rsidRPr="00F90B6B">
        <w:rPr>
          <w:rFonts w:ascii="Times New Roman" w:hAnsi="Times New Roman"/>
          <w:i/>
          <w:sz w:val="28"/>
          <w:szCs w:val="28"/>
          <w:lang w:eastAsia="uk-UA"/>
        </w:rPr>
        <w:t>NTproBNP=599,07-ПАТ*0,308.</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lastRenderedPageBreak/>
        <w:t>За даними ехокардіографії було встановлено вірогідне зменшення ФВЛШ при наростанні вмісту NTproBNP у хворих з ХСН та ожирінням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причому зниження ФВЛШ було пов’язано, в першу чергу зі збільшенням КСО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NTproBNP-залежними структурними змінами при ХСН та ожирінні за даними ЕхоКГ були ліве передсердя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=0,22,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праве передсердя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правий шлуночок, розміри яких були вірогідно більшими при більш високому рівні біомаркера. Серед параметрів, що характеризують прояви діастолічної дисфункції ЛШ вірогідну лінійну залежність встановлено для Е/А співвідношення – наростання вмісту NTproBNP супроводжується зменшенням діастолічного розслаблення ЛШ при ХСН та ожирінні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w:t>
      </w:r>
    </w:p>
    <w:p w:rsidR="00EF4063" w:rsidRPr="00F90B6B" w:rsidRDefault="00EF4063" w:rsidP="00F0048B">
      <w:pPr>
        <w:spacing w:after="0" w:line="360" w:lineRule="auto"/>
        <w:ind w:firstLine="709"/>
        <w:jc w:val="both"/>
        <w:rPr>
          <w:rFonts w:ascii="Times New Roman" w:hAnsi="Times New Roman"/>
          <w:i/>
          <w:sz w:val="28"/>
          <w:szCs w:val="28"/>
          <w:lang w:eastAsia="uk-UA"/>
        </w:rPr>
      </w:pPr>
      <w:r w:rsidRPr="00F90B6B">
        <w:rPr>
          <w:rFonts w:ascii="Times New Roman" w:hAnsi="Times New Roman"/>
          <w:sz w:val="28"/>
          <w:szCs w:val="28"/>
          <w:lang w:eastAsia="uk-UA"/>
        </w:rPr>
        <w:t xml:space="preserve">При вивченні тривимірної залежності між рівнем натріємії, альдостероном та NTproBNP було представлено тривимірну регресійну модель: </w:t>
      </w:r>
      <w:r w:rsidRPr="00F90B6B">
        <w:rPr>
          <w:rFonts w:ascii="Times New Roman" w:hAnsi="Times New Roman"/>
          <w:i/>
          <w:sz w:val="28"/>
          <w:szCs w:val="28"/>
          <w:lang w:val="en-US" w:eastAsia="uk-UA"/>
        </w:rPr>
        <w:t>Na</w:t>
      </w:r>
      <w:r w:rsidRPr="00F90B6B">
        <w:rPr>
          <w:rFonts w:ascii="Times New Roman" w:hAnsi="Times New Roman"/>
          <w:i/>
          <w:sz w:val="28"/>
          <w:szCs w:val="28"/>
          <w:lang w:eastAsia="uk-UA"/>
        </w:rPr>
        <w:t>=129,75- NTproBNP*0,029267+альдостерон*0,770815.</w:t>
      </w:r>
    </w:p>
    <w:p w:rsidR="00EF4063" w:rsidRPr="00F90B6B" w:rsidRDefault="00EF4063" w:rsidP="00F0048B">
      <w:pPr>
        <w:spacing w:after="0" w:line="360" w:lineRule="auto"/>
        <w:ind w:firstLine="709"/>
        <w:jc w:val="center"/>
        <w:rPr>
          <w:rFonts w:ascii="Times New Roman" w:hAnsi="Times New Roman"/>
          <w:sz w:val="28"/>
          <w:szCs w:val="28"/>
          <w:lang w:eastAsia="uk-UA"/>
        </w:rPr>
      </w:pPr>
    </w:p>
    <w:p w:rsidR="00EF4063" w:rsidRPr="00F90B6B" w:rsidRDefault="008F54E3" w:rsidP="00F0048B">
      <w:pPr>
        <w:spacing w:after="0" w:line="360" w:lineRule="auto"/>
        <w:ind w:firstLine="709"/>
        <w:jc w:val="both"/>
        <w:rPr>
          <w:rFonts w:ascii="Times New Roman" w:hAnsi="Times New Roman"/>
          <w:i/>
          <w:sz w:val="28"/>
          <w:szCs w:val="28"/>
        </w:rPr>
      </w:pPr>
      <w:r w:rsidRPr="00F90B6B">
        <w:rPr>
          <w:rFonts w:ascii="Times New Roman" w:hAnsi="Times New Roman"/>
          <w:i/>
          <w:sz w:val="28"/>
          <w:szCs w:val="28"/>
        </w:rPr>
        <w:br w:type="page"/>
      </w:r>
      <w:r w:rsidR="00EF4063" w:rsidRPr="00F90B6B">
        <w:rPr>
          <w:rFonts w:ascii="Times New Roman" w:hAnsi="Times New Roman"/>
          <w:i/>
          <w:sz w:val="28"/>
          <w:szCs w:val="28"/>
        </w:rPr>
        <w:lastRenderedPageBreak/>
        <w:t>Матеріали, що представлені в розділі 3.3., включені в наступні публікації дисертанта:</w:t>
      </w:r>
    </w:p>
    <w:p w:rsidR="00EF4063" w:rsidRPr="00F90B6B" w:rsidRDefault="00EF4063" w:rsidP="00F0048B">
      <w:pPr>
        <w:pStyle w:val="1"/>
        <w:widowControl w:val="0"/>
        <w:numPr>
          <w:ilvl w:val="0"/>
          <w:numId w:val="25"/>
        </w:numPr>
        <w:spacing w:after="0" w:line="360" w:lineRule="auto"/>
        <w:ind w:left="0" w:firstLine="0"/>
        <w:jc w:val="both"/>
        <w:rPr>
          <w:rFonts w:ascii="Times New Roman" w:hAnsi="Times New Roman"/>
          <w:bCs/>
          <w:i/>
          <w:sz w:val="28"/>
          <w:szCs w:val="28"/>
          <w:shd w:val="clear" w:color="auto" w:fill="FFFFFF"/>
        </w:rPr>
      </w:pPr>
      <w:r w:rsidRPr="00F90B6B">
        <w:rPr>
          <w:rFonts w:ascii="Times New Roman" w:hAnsi="Times New Roman"/>
          <w:bCs/>
          <w:sz w:val="28"/>
          <w:szCs w:val="28"/>
          <w:shd w:val="clear" w:color="auto" w:fill="FFFFFF"/>
        </w:rPr>
        <w:t xml:space="preserve">Лазиди Е.Л., Рудык Ю.С. Связь уровня альдостерона с показателями ионного гомеостаза, мозкового натрийуретического пептида и параметрами кардиогемодинамики у пациентов с ХСН и сохраненной фракцией выброса лівого желудочка / Е.Л Лазиди, Ю.С. Рудык // Вісник Української медичної стоматологічної академії «Актуальні проблеми сучасної медицини» - 2017. -  Полтава - том17 - №3(59). – С. 127-131. </w:t>
      </w:r>
      <w:r w:rsidRPr="00F90B6B">
        <w:rPr>
          <w:rFonts w:ascii="Times New Roman" w:hAnsi="Times New Roman"/>
          <w:bCs/>
          <w:i/>
          <w:sz w:val="28"/>
          <w:szCs w:val="28"/>
          <w:shd w:val="clear" w:color="auto" w:fill="FFFFFF"/>
        </w:rPr>
        <w:t>(Здобувач сформувала групи хворих, здійснила аналіз отриманих результатів, підготувала статтю до друку).</w:t>
      </w:r>
    </w:p>
    <w:p w:rsidR="00EF4063" w:rsidRPr="00F90B6B" w:rsidRDefault="00EF4063" w:rsidP="00F0048B">
      <w:pPr>
        <w:pStyle w:val="1"/>
        <w:widowControl w:val="0"/>
        <w:numPr>
          <w:ilvl w:val="0"/>
          <w:numId w:val="25"/>
        </w:numPr>
        <w:spacing w:after="0" w:line="360" w:lineRule="auto"/>
        <w:ind w:left="0" w:firstLine="0"/>
        <w:jc w:val="both"/>
        <w:rPr>
          <w:rFonts w:ascii="Times New Roman" w:hAnsi="Times New Roman"/>
          <w:i/>
          <w:sz w:val="28"/>
          <w:szCs w:val="28"/>
          <w:lang w:eastAsia="uk-UA"/>
        </w:rPr>
      </w:pPr>
      <w:r w:rsidRPr="00F90B6B">
        <w:rPr>
          <w:rFonts w:ascii="Times New Roman" w:hAnsi="Times New Roman"/>
          <w:bCs/>
          <w:sz w:val="28"/>
          <w:szCs w:val="28"/>
          <w:shd w:val="clear" w:color="auto" w:fill="FFFFFF"/>
        </w:rPr>
        <w:t xml:space="preserve">Лазиди Е.Л.,. Рудык Ю.С, Петенева Л.Л. Связь диснатриемии  показателями альдостерона, мозкового натрийуретического пептида и параметрами кардиогемодинамики у пациентов с хронической сердечной недостаточностью и сохраненной фракцией выброса левого желудочка / Е.Л Лазиди., Ю.С. Рудык, Л.Л. Петенева  // Український терапевтичний журнал. – 2017. – №3. - С.38-44 </w:t>
      </w:r>
      <w:r w:rsidRPr="00F90B6B">
        <w:rPr>
          <w:rFonts w:ascii="Times New Roman" w:hAnsi="Times New Roman"/>
          <w:i/>
          <w:sz w:val="28"/>
          <w:szCs w:val="28"/>
          <w:lang w:eastAsia="uk-UA"/>
        </w:rPr>
        <w:t>(Здобувачем проведено анкетування, формування груп хворих, статистична обробка та інтерпретація отриманих результатів, написання статті та підготовку статті до друку).</w:t>
      </w:r>
    </w:p>
    <w:p w:rsidR="00EF4063" w:rsidRPr="00F90B6B" w:rsidRDefault="00EF4063" w:rsidP="00F0048B">
      <w:pPr>
        <w:pStyle w:val="1"/>
        <w:numPr>
          <w:ilvl w:val="0"/>
          <w:numId w:val="25"/>
        </w:numPr>
        <w:spacing w:after="0" w:line="360" w:lineRule="auto"/>
        <w:ind w:left="0" w:firstLine="0"/>
        <w:jc w:val="both"/>
        <w:rPr>
          <w:rFonts w:ascii="Times New Roman" w:hAnsi="Times New Roman"/>
          <w:sz w:val="28"/>
          <w:szCs w:val="28"/>
          <w:lang w:eastAsia="uk-UA"/>
        </w:rPr>
      </w:pPr>
      <w:r w:rsidRPr="00F90B6B">
        <w:rPr>
          <w:rFonts w:ascii="Times New Roman" w:hAnsi="Times New Roman"/>
          <w:sz w:val="28"/>
          <w:szCs w:val="28"/>
        </w:rPr>
        <w:t>Лазіді К.Л., Рудик Ю.С Чи впливає рівень альдостерону на зміну рівнів іонів калію та натрію у пацієнтів із хронічною серцевою недостатністю зі збереженою фракцією викиду лівого шлуночка із супутнім ожирінням?</w:t>
      </w:r>
      <w:r w:rsidRPr="00F90B6B">
        <w:rPr>
          <w:rFonts w:ascii="Times New Roman" w:hAnsi="Times New Roman"/>
          <w:sz w:val="28"/>
          <w:szCs w:val="28"/>
          <w:shd w:val="clear" w:color="auto" w:fill="FFFFFF"/>
        </w:rPr>
        <w:t>/</w:t>
      </w:r>
      <w:r w:rsidRPr="00F90B6B">
        <w:rPr>
          <w:rFonts w:ascii="Times New Roman" w:hAnsi="Times New Roman"/>
          <w:sz w:val="28"/>
          <w:szCs w:val="28"/>
        </w:rPr>
        <w:t xml:space="preserve"> К.Л. Лазіді, Ю.С.Рудик //</w:t>
      </w:r>
      <w:r w:rsidRPr="00F90B6B">
        <w:rPr>
          <w:rFonts w:ascii="Times New Roman" w:hAnsi="Times New Roman"/>
          <w:color w:val="339966"/>
          <w:sz w:val="28"/>
          <w:szCs w:val="28"/>
        </w:rPr>
        <w:t xml:space="preserve"> </w:t>
      </w:r>
      <w:r w:rsidRPr="00F90B6B">
        <w:rPr>
          <w:rFonts w:ascii="Times New Roman" w:hAnsi="Times New Roman"/>
          <w:sz w:val="28"/>
          <w:szCs w:val="28"/>
        </w:rPr>
        <w:t>Матеріали</w:t>
      </w:r>
      <w:r w:rsidRPr="00F90B6B">
        <w:rPr>
          <w:rFonts w:ascii="Times New Roman" w:hAnsi="Times New Roman"/>
          <w:sz w:val="28"/>
          <w:szCs w:val="28"/>
          <w:lang w:val="uz-Cyrl-UZ"/>
        </w:rPr>
        <w:t xml:space="preserve"> науково-практичн</w:t>
      </w:r>
      <w:r w:rsidRPr="00F90B6B">
        <w:rPr>
          <w:rFonts w:ascii="Times New Roman" w:hAnsi="Times New Roman"/>
          <w:sz w:val="28"/>
          <w:szCs w:val="28"/>
        </w:rPr>
        <w:t>ої</w:t>
      </w:r>
      <w:r w:rsidRPr="00F90B6B">
        <w:rPr>
          <w:rFonts w:ascii="Times New Roman" w:hAnsi="Times New Roman"/>
          <w:sz w:val="28"/>
          <w:szCs w:val="28"/>
          <w:lang w:val="uz-Cyrl-UZ"/>
        </w:rPr>
        <w:t xml:space="preserve"> конференці</w:t>
      </w:r>
      <w:r w:rsidRPr="00F90B6B">
        <w:rPr>
          <w:rFonts w:ascii="Times New Roman" w:hAnsi="Times New Roman"/>
          <w:sz w:val="28"/>
          <w:szCs w:val="28"/>
        </w:rPr>
        <w:t>ї</w:t>
      </w:r>
      <w:r w:rsidRPr="00F90B6B">
        <w:rPr>
          <w:rFonts w:ascii="Times New Roman" w:hAnsi="Times New Roman"/>
          <w:sz w:val="28"/>
          <w:szCs w:val="28"/>
          <w:lang w:val="uz-Cyrl-UZ"/>
        </w:rPr>
        <w:t xml:space="preserve"> з міжнародною участю «Щорічні терапевтичні читання: медикаментозна та немедикаментозна пофілактика неінфекційних захворювань: погляд в майбутнє»</w:t>
      </w:r>
      <w:r w:rsidRPr="00F90B6B">
        <w:rPr>
          <w:rFonts w:ascii="Times New Roman" w:hAnsi="Times New Roman"/>
          <w:sz w:val="28"/>
          <w:szCs w:val="28"/>
        </w:rPr>
        <w:t>.</w:t>
      </w:r>
      <w:r w:rsidRPr="00F90B6B">
        <w:rPr>
          <w:rFonts w:ascii="Times New Roman" w:hAnsi="Times New Roman"/>
          <w:sz w:val="28"/>
          <w:szCs w:val="28"/>
          <w:lang w:val="uz-Cyrl-UZ"/>
        </w:rPr>
        <w:t xml:space="preserve"> 20 квітня 2017 р</w:t>
      </w:r>
      <w:r w:rsidRPr="00F90B6B">
        <w:rPr>
          <w:rFonts w:ascii="Times New Roman" w:hAnsi="Times New Roman"/>
          <w:sz w:val="28"/>
          <w:szCs w:val="28"/>
        </w:rPr>
        <w:t xml:space="preserve">. </w:t>
      </w:r>
      <w:r w:rsidRPr="00F90B6B">
        <w:rPr>
          <w:rFonts w:ascii="Times New Roman" w:hAnsi="Times New Roman"/>
          <w:sz w:val="28"/>
          <w:szCs w:val="28"/>
          <w:lang w:val="uz-Cyrl-UZ"/>
        </w:rPr>
        <w:t>Харків</w:t>
      </w:r>
      <w:r w:rsidRPr="00F90B6B">
        <w:rPr>
          <w:rFonts w:ascii="Times New Roman" w:hAnsi="Times New Roman"/>
          <w:sz w:val="28"/>
          <w:szCs w:val="28"/>
        </w:rPr>
        <w:t>. С. 164.</w:t>
      </w:r>
    </w:p>
    <w:p w:rsidR="00EF4063" w:rsidRPr="00F90B6B" w:rsidRDefault="00EF4063" w:rsidP="00F0048B">
      <w:pPr>
        <w:spacing w:after="0" w:line="360" w:lineRule="auto"/>
        <w:ind w:firstLine="709"/>
        <w:jc w:val="both"/>
        <w:rPr>
          <w:rFonts w:ascii="Times New Roman" w:hAnsi="Times New Roman"/>
          <w:b/>
          <w:bCs/>
          <w:sz w:val="28"/>
          <w:szCs w:val="28"/>
          <w:lang w:val="uz-Cyrl-UZ"/>
        </w:rPr>
      </w:pPr>
    </w:p>
    <w:p w:rsidR="00EF4063" w:rsidRPr="00B4210B" w:rsidRDefault="00EF4063" w:rsidP="00F0048B">
      <w:pPr>
        <w:spacing w:after="0" w:line="360" w:lineRule="auto"/>
        <w:ind w:firstLine="709"/>
        <w:jc w:val="both"/>
        <w:rPr>
          <w:rFonts w:ascii="Times New Roman" w:hAnsi="Times New Roman"/>
          <w:b/>
          <w:bCs/>
          <w:sz w:val="28"/>
          <w:szCs w:val="28"/>
          <w:lang w:val="uz-Cyrl-UZ"/>
        </w:rPr>
      </w:pPr>
    </w:p>
    <w:p w:rsidR="00EF4063" w:rsidRPr="00B4210B" w:rsidRDefault="00EF4063" w:rsidP="00F0048B">
      <w:pPr>
        <w:spacing w:after="0" w:line="360" w:lineRule="auto"/>
        <w:ind w:firstLine="709"/>
        <w:jc w:val="both"/>
        <w:rPr>
          <w:rFonts w:ascii="Times New Roman" w:hAnsi="Times New Roman"/>
          <w:b/>
          <w:bCs/>
          <w:sz w:val="28"/>
          <w:szCs w:val="28"/>
          <w:lang w:val="uz-Cyrl-UZ"/>
        </w:rPr>
      </w:pPr>
    </w:p>
    <w:p w:rsidR="00EF4063" w:rsidRPr="00B4210B" w:rsidRDefault="00EF4063" w:rsidP="00F0048B">
      <w:pPr>
        <w:spacing w:after="0" w:line="360" w:lineRule="auto"/>
        <w:ind w:firstLine="709"/>
        <w:jc w:val="both"/>
        <w:rPr>
          <w:rFonts w:ascii="Times New Roman" w:hAnsi="Times New Roman"/>
          <w:b/>
          <w:bCs/>
          <w:sz w:val="28"/>
          <w:szCs w:val="28"/>
          <w:lang w:val="uz-Cyrl-UZ"/>
        </w:rPr>
      </w:pPr>
    </w:p>
    <w:p w:rsidR="00EF4063" w:rsidRPr="00B4210B" w:rsidRDefault="00EF4063" w:rsidP="00F0048B">
      <w:pPr>
        <w:spacing w:after="0" w:line="360" w:lineRule="auto"/>
        <w:ind w:firstLine="709"/>
        <w:jc w:val="both"/>
        <w:rPr>
          <w:rFonts w:ascii="Times New Roman" w:hAnsi="Times New Roman"/>
          <w:b/>
          <w:bCs/>
          <w:sz w:val="28"/>
          <w:szCs w:val="28"/>
          <w:lang w:val="uz-Cyrl-UZ"/>
        </w:rPr>
      </w:pPr>
    </w:p>
    <w:p w:rsidR="00EF4063" w:rsidRPr="00B4210B" w:rsidRDefault="00EF4063" w:rsidP="00F0048B">
      <w:pPr>
        <w:spacing w:after="0" w:line="360" w:lineRule="auto"/>
        <w:ind w:firstLine="709"/>
        <w:jc w:val="both"/>
        <w:rPr>
          <w:rFonts w:ascii="Times New Roman" w:hAnsi="Times New Roman"/>
          <w:b/>
          <w:bCs/>
          <w:sz w:val="28"/>
          <w:szCs w:val="28"/>
          <w:lang w:val="uz-Cyrl-UZ"/>
        </w:rPr>
      </w:pPr>
    </w:p>
    <w:p w:rsidR="00EF4063" w:rsidRPr="00B4210B" w:rsidRDefault="00EF4063" w:rsidP="00F0048B">
      <w:pPr>
        <w:spacing w:after="0" w:line="360" w:lineRule="auto"/>
        <w:ind w:firstLine="709"/>
        <w:jc w:val="both"/>
        <w:rPr>
          <w:rFonts w:ascii="Times New Roman" w:hAnsi="Times New Roman"/>
          <w:b/>
          <w:bCs/>
          <w:sz w:val="28"/>
          <w:szCs w:val="28"/>
          <w:lang w:val="uz-Cyrl-UZ"/>
        </w:rPr>
      </w:pPr>
    </w:p>
    <w:p w:rsidR="00EF4063" w:rsidRPr="00F90B6B" w:rsidRDefault="00EF4063" w:rsidP="00F0048B">
      <w:pPr>
        <w:spacing w:after="0" w:line="360" w:lineRule="auto"/>
        <w:ind w:firstLine="709"/>
        <w:jc w:val="both"/>
        <w:rPr>
          <w:rFonts w:ascii="Times New Roman" w:hAnsi="Times New Roman"/>
          <w:b/>
          <w:bCs/>
          <w:sz w:val="28"/>
          <w:szCs w:val="28"/>
        </w:rPr>
      </w:pPr>
      <w:r w:rsidRPr="00F90B6B">
        <w:rPr>
          <w:rFonts w:ascii="Times New Roman" w:hAnsi="Times New Roman"/>
          <w:b/>
          <w:bCs/>
          <w:sz w:val="28"/>
          <w:szCs w:val="28"/>
        </w:rPr>
        <w:lastRenderedPageBreak/>
        <w:t>3.4. Основні предиктори розвитку важкої гіпонатріємії для стратифікації розвитку ускладнень у пацієнтів з ХСН зі збереженою фракцією викиду лівого шлуночка і супутнім ожирінням: роль клініко-лабораторних, структурно-функціональних показників та рівня NTproBNP.</w:t>
      </w:r>
    </w:p>
    <w:p w:rsidR="00EF4063" w:rsidRPr="00F90B6B" w:rsidRDefault="00EF4063" w:rsidP="00F0048B">
      <w:pPr>
        <w:tabs>
          <w:tab w:val="left" w:pos="2736"/>
        </w:tabs>
        <w:spacing w:after="0" w:line="360" w:lineRule="auto"/>
        <w:ind w:firstLine="709"/>
        <w:jc w:val="both"/>
        <w:rPr>
          <w:rFonts w:ascii="Times New Roman" w:hAnsi="Times New Roman"/>
          <w:sz w:val="28"/>
          <w:szCs w:val="28"/>
        </w:rPr>
      </w:pPr>
    </w:p>
    <w:p w:rsidR="00EF4063" w:rsidRPr="00F90B6B" w:rsidRDefault="00EF4063" w:rsidP="00F0048B">
      <w:pPr>
        <w:tabs>
          <w:tab w:val="left" w:pos="2736"/>
        </w:tabs>
        <w:spacing w:after="0" w:line="360" w:lineRule="auto"/>
        <w:ind w:firstLine="709"/>
        <w:jc w:val="both"/>
        <w:rPr>
          <w:rFonts w:ascii="Times New Roman" w:hAnsi="Times New Roman"/>
          <w:sz w:val="28"/>
          <w:szCs w:val="28"/>
        </w:rPr>
      </w:pPr>
      <w:r w:rsidRPr="00F90B6B">
        <w:rPr>
          <w:rFonts w:ascii="Times New Roman" w:hAnsi="Times New Roman"/>
          <w:sz w:val="28"/>
          <w:szCs w:val="28"/>
        </w:rPr>
        <w:t>Гіпонатріємія - стан, що характеризується зниженням концентрації натрію в крові &lt;135 ммоль/л та є найбільш поширеним в клінічній практиці порушенням водно-електролітного балансу. Гіпонатріємія спостерігається у 15-20% хворих, госпіталізованих за невідкладними показниками, і у 20% хворих в критичному стані, в тому числі у пацієнтів з ХСН</w:t>
      </w:r>
      <w:r w:rsidRPr="00F90B6B">
        <w:rPr>
          <w:rFonts w:ascii="Times New Roman" w:hAnsi="Times New Roman"/>
          <w:sz w:val="28"/>
          <w:szCs w:val="28"/>
          <w:lang w:val="ru-RU"/>
        </w:rPr>
        <w:t xml:space="preserve"> [148, 206]</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 нашій роботі за критерій гіпонатріємії прийнятий рівень </w:t>
      </w:r>
      <w:r w:rsidRPr="00F90B6B">
        <w:rPr>
          <w:rFonts w:ascii="Times New Roman" w:hAnsi="Times New Roman"/>
          <w:sz w:val="28"/>
          <w:szCs w:val="28"/>
          <w:lang w:val="en-US"/>
        </w:rPr>
        <w:t>Na</w:t>
      </w:r>
      <w:r w:rsidRPr="00F90B6B">
        <w:rPr>
          <w:rFonts w:ascii="Times New Roman" w:hAnsi="Times New Roman"/>
          <w:sz w:val="28"/>
          <w:szCs w:val="28"/>
        </w:rPr>
        <w:t>+ 135 ммоль/л, нормонатріємії – 135-155 ммоль/л, гіпернатріємії – більше 155 ммоль/л. Розподіл пацієнтів з ХСН за рівнем натрію, включених у власне дослідження, наведено в таблиці 3.4.1.</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3.4.1</w:t>
      </w:r>
    </w:p>
    <w:p w:rsidR="00EF4063" w:rsidRPr="00F90B6B" w:rsidRDefault="00EF4063" w:rsidP="00F0048B">
      <w:pPr>
        <w:spacing w:after="0" w:line="360" w:lineRule="auto"/>
        <w:ind w:firstLine="709"/>
        <w:jc w:val="center"/>
        <w:rPr>
          <w:rFonts w:ascii="Times New Roman" w:hAnsi="Times New Roman"/>
          <w:b/>
          <w:iCs/>
          <w:sz w:val="28"/>
          <w:szCs w:val="28"/>
        </w:rPr>
      </w:pPr>
      <w:r w:rsidRPr="00F90B6B">
        <w:rPr>
          <w:rFonts w:ascii="Times New Roman" w:hAnsi="Times New Roman"/>
          <w:b/>
          <w:iCs/>
          <w:sz w:val="28"/>
          <w:szCs w:val="28"/>
        </w:rPr>
        <w:t>Розподіл хворих з ХСН за наявністю іонних порушень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Показник</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3285" w:type="dxa"/>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Гіпонатріємія</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49</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27,8</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Нормонатріємія</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75</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59,7</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Гіпернатріємія</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22</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12,5</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i/>
                <w:iCs/>
                <w:sz w:val="28"/>
                <w:szCs w:val="28"/>
              </w:rPr>
            </w:pPr>
            <w:r w:rsidRPr="00F90B6B">
              <w:rPr>
                <w:rFonts w:ascii="Times New Roman" w:hAnsi="Times New Roman"/>
                <w:b/>
                <w:bCs/>
                <w:i/>
                <w:iCs/>
                <w:sz w:val="28"/>
                <w:szCs w:val="28"/>
              </w:rPr>
              <w:t>Всього</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146</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100</w:t>
            </w:r>
          </w:p>
        </w:tc>
      </w:tr>
    </w:tbl>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Тобто при декомпенсації ХСН, у хворих, госпіталізованих в інститут терапії, частота гіпонатріємії досягала 27,8%.</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Згідно рекомендацій трьох товариств, що займаються проблемою гіпонатріємії – Європейського товарства інтенсивної терапії (ESICM - European Society of Intensive Care Medicine), Європейського товариства ендокринології  (ESE - European Society of Endocrinology), Європейської асоціації  нефрології, діалізу та трансплантації (ERA-EDTA - European Renal Association - European Dialysis and Transplant Association), а також робочою групою European Renal Best Practice, ми </w:t>
      </w:r>
      <w:r w:rsidRPr="00F90B6B">
        <w:rPr>
          <w:rFonts w:ascii="Times New Roman" w:hAnsi="Times New Roman"/>
          <w:sz w:val="28"/>
          <w:szCs w:val="28"/>
        </w:rPr>
        <w:lastRenderedPageBreak/>
        <w:t>визначали гіпонатріємію як «легку», якщо при проведенні біохімічного аналізу за допомогою іоноселективного електроду концентрація натрію в сироватці крові становила 130-135 ммоль/л, «середньоважку» гіпонатріємію, якщо при проведенні біохімічного аналізу за допомогою іоноселективного електроду концентрація натрію в сироватці крові становила 125-129 ммоль/л, «важку» гіпонатріємію, якщо при проведенні біохімічного аналізу концентрація натрію в сироватці крові складала менше 125 ммоль/л [84, 103, 117, 131].</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Розподіл хворих за ступенем гіпонатріємії наведено в таблиці 3.4.2</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Розподіл хворих за ступенем гіпонатріємії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Показник</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3285" w:type="dxa"/>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Легка</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39</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79,6</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Середньої важкості</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4,1</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Важка</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8</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16,3</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i/>
                <w:iCs/>
                <w:sz w:val="28"/>
                <w:szCs w:val="28"/>
              </w:rPr>
            </w:pPr>
            <w:r w:rsidRPr="00F90B6B">
              <w:rPr>
                <w:rFonts w:ascii="Times New Roman" w:hAnsi="Times New Roman"/>
                <w:b/>
                <w:bCs/>
                <w:i/>
                <w:iCs/>
                <w:sz w:val="28"/>
                <w:szCs w:val="28"/>
              </w:rPr>
              <w:t>Всього</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49</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100</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переважна більшість пацієнтів в нашому дослідженні були госпіталізовані з легкою гіпонатріємією (79,6%). Проте, число хворих з важкою гіпонатріємією встановлено на рівні 16,3%, що на 12,2% більше, ніж хворих з гіпонатріємією середньої важкості (4,1%), табл. 3.4.2.</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Клінічні фактори, що асоційовані з гіпонатріємією, наведені в таблиці 3.4.3.</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3.4.3</w:t>
      </w:r>
    </w:p>
    <w:p w:rsidR="00EF4063" w:rsidRPr="00F90B6B" w:rsidRDefault="00EF4063" w:rsidP="00F0048B">
      <w:pPr>
        <w:spacing w:after="0" w:line="360" w:lineRule="auto"/>
        <w:jc w:val="center"/>
        <w:rPr>
          <w:rFonts w:ascii="Times New Roman" w:hAnsi="Times New Roman"/>
          <w:b/>
          <w:bCs/>
          <w:sz w:val="28"/>
          <w:szCs w:val="28"/>
          <w:lang w:val="ru-RU"/>
        </w:rPr>
      </w:pPr>
      <w:r w:rsidRPr="00F90B6B">
        <w:rPr>
          <w:rFonts w:ascii="Times New Roman" w:hAnsi="Times New Roman"/>
          <w:b/>
          <w:bCs/>
          <w:sz w:val="28"/>
          <w:szCs w:val="28"/>
        </w:rPr>
        <w:t>Фактори, що асоціюються з гіпонатріємією у хворих, госпіталізованих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vAlign w:val="center"/>
          </w:tcPr>
          <w:p w:rsidR="00EF4063" w:rsidRPr="00F90B6B" w:rsidRDefault="00EF4063" w:rsidP="00224E15">
            <w:pPr>
              <w:spacing w:after="0" w:line="288" w:lineRule="auto"/>
              <w:jc w:val="center"/>
              <w:rPr>
                <w:rFonts w:ascii="Times New Roman" w:hAnsi="Times New Roman"/>
                <w:b/>
                <w:bCs/>
                <w:sz w:val="28"/>
                <w:szCs w:val="28"/>
              </w:rPr>
            </w:pPr>
            <w:r w:rsidRPr="00F90B6B">
              <w:rPr>
                <w:rFonts w:ascii="Times New Roman" w:hAnsi="Times New Roman"/>
                <w:b/>
                <w:bCs/>
                <w:sz w:val="28"/>
                <w:szCs w:val="28"/>
              </w:rPr>
              <w:t>Показник</w:t>
            </w:r>
          </w:p>
        </w:tc>
        <w:tc>
          <w:tcPr>
            <w:tcW w:w="3285" w:type="dxa"/>
            <w:vAlign w:val="center"/>
          </w:tcPr>
          <w:p w:rsidR="00EF4063" w:rsidRPr="00F90B6B" w:rsidRDefault="00EF4063" w:rsidP="00224E15">
            <w:pPr>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lang w:val="en-US"/>
              </w:rPr>
              <w:t>RR</w:t>
            </w:r>
          </w:p>
        </w:tc>
        <w:tc>
          <w:tcPr>
            <w:tcW w:w="3285" w:type="dxa"/>
            <w:vAlign w:val="center"/>
          </w:tcPr>
          <w:p w:rsidR="00EF4063" w:rsidRPr="00F90B6B" w:rsidRDefault="00EF4063" w:rsidP="00224E15">
            <w:pPr>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lang w:val="en-US"/>
              </w:rPr>
              <w:t>OR</w:t>
            </w:r>
          </w:p>
        </w:tc>
      </w:tr>
      <w:tr w:rsidR="00EF4063" w:rsidRPr="00F90B6B" w:rsidTr="002119ED">
        <w:tc>
          <w:tcPr>
            <w:tcW w:w="3285" w:type="dxa"/>
            <w:vAlign w:val="center"/>
          </w:tcPr>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rPr>
            </w:pPr>
            <w:r w:rsidRPr="00F90B6B">
              <w:rPr>
                <w:rFonts w:ascii="Times New Roman" w:hAnsi="Times New Roman"/>
                <w:bCs/>
                <w:i/>
                <w:sz w:val="28"/>
                <w:szCs w:val="28"/>
              </w:rPr>
              <w:t xml:space="preserve">Вік </w:t>
            </w:r>
            <w:r w:rsidRPr="00F90B6B">
              <w:rPr>
                <w:rFonts w:ascii="Times New Roman" w:hAnsi="Times New Roman"/>
                <w:bCs/>
                <w:i/>
                <w:sz w:val="28"/>
                <w:szCs w:val="28"/>
                <w:lang w:val="en-US"/>
              </w:rPr>
              <w:t xml:space="preserve">&gt;65 </w:t>
            </w:r>
            <w:r w:rsidRPr="00F90B6B">
              <w:rPr>
                <w:rFonts w:ascii="Times New Roman" w:hAnsi="Times New Roman"/>
                <w:bCs/>
                <w:i/>
                <w:sz w:val="28"/>
                <w:szCs w:val="28"/>
              </w:rPr>
              <w:t>років</w:t>
            </w:r>
          </w:p>
        </w:tc>
        <w:tc>
          <w:tcPr>
            <w:tcW w:w="3285" w:type="dxa"/>
            <w:vAlign w:val="center"/>
          </w:tcPr>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rPr>
              <w:t>1,43</w:t>
            </w:r>
          </w:p>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[0,99-2,05]</w:t>
            </w:r>
          </w:p>
        </w:tc>
        <w:tc>
          <w:tcPr>
            <w:tcW w:w="328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1,91</w:t>
            </w:r>
          </w:p>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[0,96-3,80]</w:t>
            </w:r>
          </w:p>
        </w:tc>
      </w:tr>
      <w:tr w:rsidR="00EF4063" w:rsidRPr="00F90B6B" w:rsidTr="002119ED">
        <w:tc>
          <w:tcPr>
            <w:tcW w:w="3285" w:type="dxa"/>
            <w:vAlign w:val="center"/>
          </w:tcPr>
          <w:p w:rsidR="00EF4063" w:rsidRPr="00F90B6B" w:rsidRDefault="00EF4063" w:rsidP="00224E15">
            <w:pPr>
              <w:spacing w:after="0" w:line="288" w:lineRule="auto"/>
              <w:jc w:val="center"/>
              <w:rPr>
                <w:rFonts w:ascii="Times New Roman" w:hAnsi="Times New Roman"/>
                <w:i/>
                <w:iCs/>
                <w:sz w:val="28"/>
                <w:szCs w:val="28"/>
              </w:rPr>
            </w:pPr>
            <w:r w:rsidRPr="00F90B6B">
              <w:rPr>
                <w:rFonts w:ascii="Times New Roman" w:hAnsi="Times New Roman"/>
                <w:bCs/>
                <w:i/>
                <w:sz w:val="28"/>
                <w:szCs w:val="28"/>
              </w:rPr>
              <w:t xml:space="preserve">ІМТ </w:t>
            </w:r>
            <w:r w:rsidRPr="00F90B6B">
              <w:rPr>
                <w:rFonts w:ascii="Times New Roman" w:hAnsi="Times New Roman"/>
                <w:bCs/>
                <w:i/>
                <w:sz w:val="28"/>
                <w:szCs w:val="28"/>
                <w:lang w:val="en-US"/>
              </w:rPr>
              <w:t>≥</w:t>
            </w:r>
            <w:r w:rsidRPr="00F90B6B">
              <w:rPr>
                <w:rFonts w:ascii="Times New Roman" w:hAnsi="Times New Roman"/>
                <w:bCs/>
                <w:i/>
                <w:sz w:val="28"/>
                <w:szCs w:val="28"/>
              </w:rPr>
              <w:t xml:space="preserve">30 </w:t>
            </w:r>
            <w:r w:rsidRPr="00F90B6B">
              <w:rPr>
                <w:rFonts w:ascii="Times New Roman" w:hAnsi="Times New Roman"/>
                <w:i/>
                <w:sz w:val="28"/>
                <w:szCs w:val="28"/>
              </w:rPr>
              <w:t>кг/м</w:t>
            </w:r>
            <w:r w:rsidRPr="00F90B6B">
              <w:rPr>
                <w:rFonts w:ascii="Times New Roman" w:hAnsi="Times New Roman"/>
                <w:i/>
                <w:sz w:val="28"/>
                <w:szCs w:val="28"/>
                <w:vertAlign w:val="superscript"/>
              </w:rPr>
              <w:t>2</w:t>
            </w:r>
          </w:p>
        </w:tc>
        <w:tc>
          <w:tcPr>
            <w:tcW w:w="3285" w:type="dxa"/>
            <w:vAlign w:val="center"/>
          </w:tcPr>
          <w:p w:rsidR="00EF4063" w:rsidRPr="00F90B6B" w:rsidRDefault="00EF4063" w:rsidP="00224E15">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rPr>
              <w:t>1,43</w:t>
            </w:r>
          </w:p>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[0,99-2,07]</w:t>
            </w:r>
          </w:p>
        </w:tc>
        <w:tc>
          <w:tcPr>
            <w:tcW w:w="328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1,88</w:t>
            </w:r>
          </w:p>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[0,95-3,71]</w:t>
            </w:r>
          </w:p>
        </w:tc>
      </w:tr>
      <w:tr w:rsidR="00EF4063" w:rsidRPr="00F90B6B" w:rsidTr="002119ED">
        <w:tc>
          <w:tcPr>
            <w:tcW w:w="3285" w:type="dxa"/>
            <w:vAlign w:val="center"/>
          </w:tcPr>
          <w:p w:rsidR="00EF4063" w:rsidRPr="00F90B6B" w:rsidRDefault="00EF4063" w:rsidP="00224E15">
            <w:pPr>
              <w:spacing w:after="0" w:line="288" w:lineRule="auto"/>
              <w:jc w:val="center"/>
              <w:rPr>
                <w:rFonts w:ascii="Times New Roman" w:hAnsi="Times New Roman"/>
                <w:bCs/>
                <w:i/>
                <w:sz w:val="28"/>
                <w:szCs w:val="28"/>
              </w:rPr>
            </w:pPr>
            <w:r w:rsidRPr="00F90B6B">
              <w:rPr>
                <w:rFonts w:ascii="Times New Roman" w:hAnsi="Times New Roman"/>
                <w:bCs/>
                <w:i/>
                <w:sz w:val="28"/>
                <w:szCs w:val="28"/>
              </w:rPr>
              <w:t>Гіпертонічна хвороба</w:t>
            </w:r>
          </w:p>
        </w:tc>
        <w:tc>
          <w:tcPr>
            <w:tcW w:w="3285" w:type="dxa"/>
            <w:vAlign w:val="center"/>
          </w:tcPr>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rPr>
              <w:t>1,17</w:t>
            </w:r>
          </w:p>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[0,93-1,48]</w:t>
            </w:r>
          </w:p>
        </w:tc>
        <w:tc>
          <w:tcPr>
            <w:tcW w:w="328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rPr>
              <w:t>1,60</w:t>
            </w:r>
          </w:p>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[0,77-3,34]</w:t>
            </w:r>
          </w:p>
        </w:tc>
      </w:tr>
      <w:tr w:rsidR="00EF4063" w:rsidRPr="00F90B6B" w:rsidTr="002119ED">
        <w:tc>
          <w:tcPr>
            <w:tcW w:w="3285" w:type="dxa"/>
            <w:vAlign w:val="center"/>
          </w:tcPr>
          <w:p w:rsidR="00EF4063" w:rsidRPr="00F90B6B" w:rsidRDefault="00EF4063" w:rsidP="00224E15">
            <w:pPr>
              <w:spacing w:after="0" w:line="288" w:lineRule="auto"/>
              <w:jc w:val="center"/>
              <w:rPr>
                <w:rFonts w:ascii="Times New Roman" w:hAnsi="Times New Roman"/>
                <w:bCs/>
                <w:i/>
                <w:sz w:val="28"/>
                <w:szCs w:val="28"/>
              </w:rPr>
            </w:pPr>
            <w:r w:rsidRPr="00F90B6B">
              <w:rPr>
                <w:rFonts w:ascii="Times New Roman" w:hAnsi="Times New Roman"/>
                <w:bCs/>
                <w:i/>
                <w:sz w:val="28"/>
                <w:szCs w:val="28"/>
              </w:rPr>
              <w:t>Фібриляція передсердь</w:t>
            </w:r>
          </w:p>
        </w:tc>
        <w:tc>
          <w:tcPr>
            <w:tcW w:w="3285" w:type="dxa"/>
            <w:vAlign w:val="center"/>
          </w:tcPr>
          <w:p w:rsidR="00EF4063" w:rsidRPr="00F90B6B" w:rsidRDefault="00EF4063" w:rsidP="00224E15">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2,76</w:t>
            </w:r>
          </w:p>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[1,08-6,98]</w:t>
            </w:r>
          </w:p>
        </w:tc>
        <w:tc>
          <w:tcPr>
            <w:tcW w:w="328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3,15</w:t>
            </w:r>
          </w:p>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[1,09-9,05]</w:t>
            </w:r>
          </w:p>
        </w:tc>
      </w:tr>
    </w:tbl>
    <w:p w:rsidR="00224E15" w:rsidRPr="00F90B6B" w:rsidRDefault="00224E15" w:rsidP="00224E15">
      <w:pPr>
        <w:jc w:val="right"/>
        <w:rPr>
          <w:rFonts w:ascii="Times New Roman" w:hAnsi="Times New Roman"/>
          <w:i/>
          <w:sz w:val="28"/>
          <w:szCs w:val="28"/>
          <w:lang w:val="ru-RU"/>
        </w:rPr>
      </w:pPr>
      <w:r w:rsidRPr="00F90B6B">
        <w:rPr>
          <w:rFonts w:ascii="Times New Roman" w:hAnsi="Times New Roman"/>
        </w:rPr>
        <w:br w:type="page"/>
      </w:r>
      <w:r w:rsidRPr="00F90B6B">
        <w:rPr>
          <w:rFonts w:ascii="Times New Roman" w:hAnsi="Times New Roman"/>
          <w:i/>
          <w:sz w:val="28"/>
          <w:szCs w:val="28"/>
          <w:lang w:val="ru-RU"/>
        </w:rPr>
        <w:lastRenderedPageBreak/>
        <w:t>Продовження табл. 3.4.3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vAlign w:val="center"/>
          </w:tcPr>
          <w:p w:rsidR="00EF4063" w:rsidRPr="00F90B6B" w:rsidRDefault="00EF4063" w:rsidP="00224E15">
            <w:pPr>
              <w:spacing w:after="0" w:line="288" w:lineRule="auto"/>
              <w:jc w:val="center"/>
              <w:rPr>
                <w:rFonts w:ascii="Times New Roman" w:hAnsi="Times New Roman"/>
                <w:bCs/>
                <w:i/>
                <w:sz w:val="28"/>
                <w:szCs w:val="28"/>
              </w:rPr>
            </w:pPr>
            <w:r w:rsidRPr="00F90B6B">
              <w:rPr>
                <w:rFonts w:ascii="Times New Roman" w:hAnsi="Times New Roman"/>
                <w:bCs/>
                <w:i/>
                <w:sz w:val="28"/>
                <w:szCs w:val="28"/>
              </w:rPr>
              <w:t>Виразкова хвороба та хронічний гастрит</w:t>
            </w:r>
          </w:p>
        </w:tc>
        <w:tc>
          <w:tcPr>
            <w:tcW w:w="3285" w:type="dxa"/>
            <w:vAlign w:val="center"/>
          </w:tcPr>
          <w:p w:rsidR="00EF4063" w:rsidRPr="00F90B6B" w:rsidRDefault="00EF4063" w:rsidP="00224E15">
            <w:pPr>
              <w:tabs>
                <w:tab w:val="left" w:pos="2856"/>
              </w:tabs>
              <w:spacing w:after="0" w:line="288" w:lineRule="auto"/>
              <w:jc w:val="center"/>
              <w:rPr>
                <w:rFonts w:ascii="Times New Roman" w:hAnsi="Times New Roman"/>
                <w:sz w:val="28"/>
                <w:szCs w:val="28"/>
                <w:lang w:val="ru-RU"/>
              </w:rPr>
            </w:pPr>
            <w:r w:rsidRPr="00F90B6B">
              <w:rPr>
                <w:rFonts w:ascii="Times New Roman" w:hAnsi="Times New Roman"/>
                <w:sz w:val="28"/>
                <w:szCs w:val="28"/>
              </w:rPr>
              <w:t>1,70</w:t>
            </w:r>
          </w:p>
          <w:p w:rsidR="00EF4063" w:rsidRPr="00F90B6B" w:rsidRDefault="00EF4063" w:rsidP="00224E15">
            <w:pPr>
              <w:tabs>
                <w:tab w:val="left" w:pos="2856"/>
              </w:tabs>
              <w:spacing w:after="0" w:line="288" w:lineRule="auto"/>
              <w:jc w:val="center"/>
              <w:rPr>
                <w:rFonts w:ascii="Times New Roman" w:hAnsi="Times New Roman"/>
                <w:sz w:val="28"/>
                <w:szCs w:val="28"/>
                <w:lang w:val="ru-RU"/>
              </w:rPr>
            </w:pPr>
            <w:r w:rsidRPr="00F90B6B">
              <w:rPr>
                <w:rFonts w:ascii="Times New Roman" w:hAnsi="Times New Roman"/>
                <w:sz w:val="28"/>
                <w:szCs w:val="28"/>
                <w:lang w:val="ru-RU"/>
              </w:rPr>
              <w:t>[1,16-2,47]</w:t>
            </w:r>
          </w:p>
        </w:tc>
        <w:tc>
          <w:tcPr>
            <w:tcW w:w="328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2,48</w:t>
            </w:r>
          </w:p>
          <w:p w:rsidR="00EF4063" w:rsidRPr="00F90B6B" w:rsidRDefault="00EF4063" w:rsidP="00224E15">
            <w:pPr>
              <w:tabs>
                <w:tab w:val="left" w:pos="3864"/>
              </w:tabs>
              <w:spacing w:after="0" w:line="288" w:lineRule="auto"/>
              <w:jc w:val="center"/>
              <w:rPr>
                <w:rFonts w:ascii="Times New Roman" w:hAnsi="Times New Roman"/>
                <w:sz w:val="28"/>
                <w:szCs w:val="28"/>
                <w:lang w:val="ru-RU"/>
              </w:rPr>
            </w:pPr>
            <w:r w:rsidRPr="00F90B6B">
              <w:rPr>
                <w:rFonts w:ascii="Times New Roman" w:hAnsi="Times New Roman"/>
                <w:sz w:val="28"/>
                <w:szCs w:val="28"/>
                <w:lang w:val="ru-RU"/>
              </w:rPr>
              <w:t>[1,25-4,93]</w:t>
            </w:r>
          </w:p>
        </w:tc>
      </w:tr>
      <w:tr w:rsidR="00EF4063" w:rsidRPr="00F90B6B" w:rsidTr="002119ED">
        <w:tc>
          <w:tcPr>
            <w:tcW w:w="3285" w:type="dxa"/>
            <w:vAlign w:val="center"/>
          </w:tcPr>
          <w:p w:rsidR="00EF4063" w:rsidRPr="00F90B6B" w:rsidRDefault="00EF4063" w:rsidP="00224E15">
            <w:pPr>
              <w:spacing w:after="0" w:line="288" w:lineRule="auto"/>
              <w:jc w:val="center"/>
              <w:rPr>
                <w:rFonts w:ascii="Times New Roman" w:hAnsi="Times New Roman"/>
                <w:bCs/>
                <w:i/>
                <w:sz w:val="28"/>
                <w:szCs w:val="28"/>
              </w:rPr>
            </w:pPr>
            <w:r w:rsidRPr="00F90B6B">
              <w:rPr>
                <w:rFonts w:ascii="Times New Roman" w:hAnsi="Times New Roman"/>
                <w:bCs/>
                <w:i/>
                <w:sz w:val="28"/>
                <w:szCs w:val="28"/>
              </w:rPr>
              <w:t>Наявність діастолічної дисфункції (Е/А</w:t>
            </w:r>
            <w:r w:rsidRPr="00F90B6B">
              <w:rPr>
                <w:rFonts w:ascii="Times New Roman" w:hAnsi="Times New Roman"/>
                <w:bCs/>
                <w:i/>
                <w:sz w:val="28"/>
                <w:szCs w:val="28"/>
                <w:lang w:val="ru-RU"/>
              </w:rPr>
              <w:t>&lt;1,0</w:t>
            </w:r>
            <w:r w:rsidRPr="00F90B6B">
              <w:rPr>
                <w:rFonts w:ascii="Times New Roman" w:hAnsi="Times New Roman"/>
                <w:bCs/>
                <w:i/>
                <w:sz w:val="28"/>
                <w:szCs w:val="28"/>
              </w:rPr>
              <w:t>)</w:t>
            </w:r>
          </w:p>
        </w:tc>
        <w:tc>
          <w:tcPr>
            <w:tcW w:w="3285" w:type="dxa"/>
            <w:vAlign w:val="center"/>
          </w:tcPr>
          <w:p w:rsidR="00EF4063" w:rsidRPr="00F90B6B" w:rsidRDefault="00EF4063" w:rsidP="00224E15">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1,21</w:t>
            </w:r>
          </w:p>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[1,0-1,46]</w:t>
            </w:r>
          </w:p>
        </w:tc>
        <w:tc>
          <w:tcPr>
            <w:tcW w:w="328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lang w:val="en-US"/>
              </w:rPr>
              <w:t>2,13</w:t>
            </w:r>
          </w:p>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[0,93-4,89]</w:t>
            </w:r>
          </w:p>
        </w:tc>
      </w:tr>
      <w:tr w:rsidR="00EF4063" w:rsidRPr="00F90B6B" w:rsidTr="002119ED">
        <w:tc>
          <w:tcPr>
            <w:tcW w:w="3285" w:type="dxa"/>
            <w:vAlign w:val="center"/>
          </w:tcPr>
          <w:p w:rsidR="00EF4063" w:rsidRPr="00F90B6B" w:rsidRDefault="00EF4063" w:rsidP="00224E15">
            <w:pPr>
              <w:spacing w:after="0" w:line="288" w:lineRule="auto"/>
              <w:jc w:val="center"/>
              <w:rPr>
                <w:rFonts w:ascii="Times New Roman" w:hAnsi="Times New Roman"/>
                <w:bCs/>
                <w:i/>
                <w:sz w:val="28"/>
                <w:szCs w:val="28"/>
              </w:rPr>
            </w:pPr>
            <w:r w:rsidRPr="00F90B6B">
              <w:rPr>
                <w:rFonts w:ascii="Times New Roman" w:hAnsi="Times New Roman"/>
                <w:bCs/>
                <w:i/>
                <w:sz w:val="28"/>
                <w:szCs w:val="28"/>
              </w:rPr>
              <w:t>Наявність кардіоренального синдрому</w:t>
            </w:r>
          </w:p>
        </w:tc>
        <w:tc>
          <w:tcPr>
            <w:tcW w:w="3285" w:type="dxa"/>
            <w:vAlign w:val="center"/>
          </w:tcPr>
          <w:p w:rsidR="00EF4063" w:rsidRPr="00F90B6B" w:rsidRDefault="00EF4063" w:rsidP="00224E15">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2,14</w:t>
            </w:r>
          </w:p>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w:t>
            </w:r>
            <w:r w:rsidRPr="00F90B6B">
              <w:rPr>
                <w:rFonts w:ascii="Times New Roman" w:hAnsi="Times New Roman"/>
                <w:sz w:val="28"/>
                <w:szCs w:val="28"/>
              </w:rPr>
              <w:t>,23-3,75</w:t>
            </w:r>
            <w:r w:rsidRPr="00F90B6B">
              <w:rPr>
                <w:rFonts w:ascii="Times New Roman" w:hAnsi="Times New Roman"/>
                <w:sz w:val="28"/>
                <w:szCs w:val="28"/>
                <w:lang w:val="en-US"/>
              </w:rPr>
              <w:t>]</w:t>
            </w:r>
          </w:p>
        </w:tc>
        <w:tc>
          <w:tcPr>
            <w:tcW w:w="328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2,81</w:t>
            </w:r>
          </w:p>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w:t>
            </w:r>
            <w:r w:rsidRPr="00F90B6B">
              <w:rPr>
                <w:rFonts w:ascii="Times New Roman" w:hAnsi="Times New Roman"/>
                <w:sz w:val="28"/>
                <w:szCs w:val="28"/>
              </w:rPr>
              <w:t>,29-6,08</w:t>
            </w:r>
            <w:r w:rsidRPr="00F90B6B">
              <w:rPr>
                <w:rFonts w:ascii="Times New Roman" w:hAnsi="Times New Roman"/>
                <w:sz w:val="28"/>
                <w:szCs w:val="28"/>
                <w:lang w:val="en-US"/>
              </w:rPr>
              <w:t>]</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серед факторів, що асоціюються з гіпонатріємією у хворих, госпіталізованих з приводу ХСН можна відмітити вік хворих старше 65 років, індекс маси тіла більше 30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наявність в анамнезі гіпертонічної хвороби, фібриляції передсердь, виразкової хвороби та хронічного гастриту, верифіковані діастолічна дисфункція (Е/А&lt;1,0) та кардіоренальний синдром.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Як було встановлено за аналізу гендерних особливостей, в цілому, жіноча стать є фактором ризику гіпонатріємії (табл. 3.4.4), проте частота розвитку саме важкої натріємії була невірогідною за показниками </w:t>
      </w:r>
      <w:r w:rsidRPr="00F90B6B">
        <w:rPr>
          <w:rFonts w:ascii="Times New Roman" w:hAnsi="Times New Roman"/>
          <w:sz w:val="28"/>
          <w:szCs w:val="28"/>
          <w:lang w:val="en-US"/>
        </w:rPr>
        <w:t>RR</w:t>
      </w:r>
      <w:r w:rsidRPr="00F90B6B">
        <w:rPr>
          <w:rFonts w:ascii="Times New Roman" w:hAnsi="Times New Roman"/>
          <w:sz w:val="28"/>
          <w:szCs w:val="28"/>
          <w:lang w:val="ru-RU"/>
        </w:rPr>
        <w:t xml:space="preserve"> </w:t>
      </w:r>
      <w:r w:rsidRPr="00F90B6B">
        <w:rPr>
          <w:rFonts w:ascii="Times New Roman" w:hAnsi="Times New Roman"/>
          <w:sz w:val="28"/>
          <w:szCs w:val="28"/>
        </w:rPr>
        <w:t xml:space="preserve">та </w:t>
      </w:r>
      <w:r w:rsidRPr="00F90B6B">
        <w:rPr>
          <w:rFonts w:ascii="Times New Roman" w:hAnsi="Times New Roman"/>
          <w:sz w:val="28"/>
          <w:szCs w:val="28"/>
          <w:lang w:val="en-US"/>
        </w:rPr>
        <w:t>OR</w:t>
      </w:r>
      <w:r w:rsidRPr="00F90B6B">
        <w:rPr>
          <w:rFonts w:ascii="Times New Roman" w:hAnsi="Times New Roman"/>
          <w:sz w:val="28"/>
          <w:szCs w:val="28"/>
        </w:rPr>
        <w:t>, табл. 3.4.5.</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3.4.4</w:t>
      </w:r>
    </w:p>
    <w:p w:rsidR="00EF4063" w:rsidRPr="00F90B6B" w:rsidRDefault="00EF4063" w:rsidP="00F0048B">
      <w:pPr>
        <w:tabs>
          <w:tab w:val="left" w:pos="2856"/>
        </w:tabs>
        <w:spacing w:after="0" w:line="360" w:lineRule="auto"/>
        <w:jc w:val="center"/>
        <w:rPr>
          <w:rFonts w:ascii="Times New Roman" w:hAnsi="Times New Roman"/>
          <w:b/>
          <w:bCs/>
          <w:sz w:val="28"/>
          <w:szCs w:val="28"/>
        </w:rPr>
      </w:pPr>
      <w:r w:rsidRPr="00F90B6B">
        <w:rPr>
          <w:rFonts w:ascii="Times New Roman" w:hAnsi="Times New Roman"/>
          <w:b/>
          <w:bCs/>
          <w:sz w:val="28"/>
          <w:szCs w:val="28"/>
        </w:rPr>
        <w:t>Гендерні особливості вираженості гіпонатріємії у осіб, госпіталізованих з приводу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58"/>
        <w:gridCol w:w="1925"/>
        <w:gridCol w:w="1924"/>
        <w:gridCol w:w="1924"/>
        <w:gridCol w:w="1924"/>
      </w:tblGrid>
      <w:tr w:rsidR="00EF4063" w:rsidRPr="00F90B6B" w:rsidTr="002119ED">
        <w:tc>
          <w:tcPr>
            <w:tcW w:w="2158" w:type="dxa"/>
            <w:vMerge w:val="restart"/>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sz w:val="28"/>
                <w:szCs w:val="28"/>
                <w:lang w:eastAsia="ru-RU"/>
              </w:rPr>
              <w:t>Показник</w:t>
            </w:r>
          </w:p>
        </w:tc>
        <w:tc>
          <w:tcPr>
            <w:tcW w:w="3849" w:type="dxa"/>
            <w:gridSpan w:val="2"/>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bCs/>
                <w:sz w:val="28"/>
                <w:szCs w:val="28"/>
              </w:rPr>
              <w:t>Чоловіки</w:t>
            </w:r>
          </w:p>
        </w:tc>
        <w:tc>
          <w:tcPr>
            <w:tcW w:w="3848" w:type="dxa"/>
            <w:gridSpan w:val="2"/>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bCs/>
                <w:sz w:val="28"/>
                <w:szCs w:val="28"/>
              </w:rPr>
              <w:t>Жінки</w:t>
            </w:r>
          </w:p>
        </w:tc>
      </w:tr>
      <w:tr w:rsidR="00EF4063" w:rsidRPr="00F90B6B" w:rsidTr="002119ED">
        <w:tc>
          <w:tcPr>
            <w:tcW w:w="2158" w:type="dxa"/>
            <w:vMerge/>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w:t>
            </w:r>
          </w:p>
        </w:tc>
      </w:tr>
      <w:tr w:rsidR="00EF4063" w:rsidRPr="00F90B6B" w:rsidTr="002119ED">
        <w:tc>
          <w:tcPr>
            <w:tcW w:w="2158" w:type="dxa"/>
            <w:vAlign w:val="center"/>
          </w:tcPr>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12</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30,8</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27</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69,2</w:t>
            </w:r>
          </w:p>
        </w:tc>
      </w:tr>
      <w:tr w:rsidR="00EF4063" w:rsidRPr="00F90B6B" w:rsidTr="002119ED">
        <w:tc>
          <w:tcPr>
            <w:tcW w:w="2158" w:type="dxa"/>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50,0</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50,0</w:t>
            </w:r>
          </w:p>
        </w:tc>
      </w:tr>
      <w:tr w:rsidR="00EF4063" w:rsidRPr="00F90B6B" w:rsidTr="002119ED">
        <w:tc>
          <w:tcPr>
            <w:tcW w:w="2158" w:type="dxa"/>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25,0</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6</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75,0</w:t>
            </w:r>
          </w:p>
        </w:tc>
      </w:tr>
      <w:tr w:rsidR="00EF4063" w:rsidRPr="00F90B6B" w:rsidTr="002119ED">
        <w:tc>
          <w:tcPr>
            <w:tcW w:w="2158" w:type="dxa"/>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rPr>
              <w:t>Всього</w:t>
            </w:r>
          </w:p>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i/>
                <w:iCs/>
                <w:sz w:val="28"/>
                <w:szCs w:val="28"/>
                <w:lang w:val="en-US"/>
              </w:rPr>
              <w:t>n=49</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15</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lang w:val="en-US"/>
              </w:rPr>
              <w:t>30</w:t>
            </w:r>
            <w:r w:rsidRPr="00F90B6B">
              <w:rPr>
                <w:rFonts w:ascii="Times New Roman" w:hAnsi="Times New Roman"/>
                <w:sz w:val="28"/>
                <w:szCs w:val="28"/>
              </w:rPr>
              <w:t>,6</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34</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69,4</w:t>
            </w:r>
          </w:p>
        </w:tc>
      </w:tr>
    </w:tbl>
    <w:p w:rsidR="00224E15" w:rsidRPr="00F90B6B" w:rsidRDefault="00224E15" w:rsidP="00F0048B">
      <w:pPr>
        <w:tabs>
          <w:tab w:val="left" w:pos="3552"/>
        </w:tabs>
        <w:spacing w:after="0" w:line="360" w:lineRule="auto"/>
        <w:ind w:firstLine="709"/>
        <w:jc w:val="both"/>
        <w:rPr>
          <w:rFonts w:ascii="Times New Roman" w:hAnsi="Times New Roman"/>
          <w:sz w:val="28"/>
          <w:szCs w:val="28"/>
          <w:lang w:val="ru-RU"/>
        </w:rPr>
      </w:pPr>
    </w:p>
    <w:p w:rsidR="00EF4063" w:rsidRPr="00F90B6B" w:rsidRDefault="00EF4063" w:rsidP="00F0048B">
      <w:pPr>
        <w:tabs>
          <w:tab w:val="left" w:pos="3552"/>
        </w:tabs>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В той же час, в загальній вибірці, доля важкої гіпонатріємії у жінок була на 8,0% більшою, ніж у чоловіків, табл. 3.4.5.</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3.4.5</w:t>
      </w:r>
    </w:p>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Абсолютний та відносний ризик, шанси розвитку важкої гіпонатріємії у пацієнтів жіночої статі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Жінки</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21,0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1,54</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[0,36-6,59]</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1,69</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[0,31-9,28]</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Чоловіки</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13,0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Серед вікових особливостей розвитку важкої гіпонатріємії був приріст абсолютного ризику на 17,0% у осіб старше 65 років, проте RR та OR були невірогідними, табл. 3.4.6.</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3.4.6</w:t>
      </w:r>
    </w:p>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Абсолютний та відносний ризик, шанси розвитку важкої гіпонатріємії у пацієнтів з ХСН старше 65 років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lang w:val="en-US"/>
              </w:rPr>
              <w:t xml:space="preserve">≥65 </w:t>
            </w:r>
            <w:r w:rsidRPr="00F90B6B">
              <w:rPr>
                <w:rFonts w:ascii="Times New Roman" w:hAnsi="Times New Roman"/>
                <w:bCs/>
                <w:i/>
                <w:sz w:val="28"/>
                <w:szCs w:val="28"/>
              </w:rPr>
              <w:t>років</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67</w:t>
            </w:r>
            <w:r w:rsidRPr="00F90B6B">
              <w:rPr>
                <w:rFonts w:ascii="Times New Roman" w:hAnsi="Times New Roman"/>
                <w:sz w:val="28"/>
                <w:szCs w:val="28"/>
              </w:rPr>
              <w:t>,0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w:t>
            </w:r>
            <w:r w:rsidRPr="00F90B6B">
              <w:rPr>
                <w:rFonts w:ascii="Times New Roman" w:hAnsi="Times New Roman"/>
                <w:sz w:val="28"/>
                <w:szCs w:val="28"/>
              </w:rPr>
              <w:t>33</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[0,76</w:t>
            </w:r>
            <w:r w:rsidRPr="00F90B6B">
              <w:rPr>
                <w:rFonts w:ascii="Times New Roman" w:hAnsi="Times New Roman"/>
                <w:sz w:val="28"/>
                <w:szCs w:val="28"/>
              </w:rPr>
              <w:t>-</w:t>
            </w:r>
            <w:r w:rsidRPr="00F90B6B">
              <w:rPr>
                <w:rFonts w:ascii="Times New Roman" w:hAnsi="Times New Roman"/>
                <w:sz w:val="28"/>
                <w:szCs w:val="28"/>
                <w:lang w:val="en-US"/>
              </w:rPr>
              <w:t>2,3</w:t>
            </w:r>
            <w:r w:rsidRPr="00F90B6B">
              <w:rPr>
                <w:rFonts w:ascii="Times New Roman" w:hAnsi="Times New Roman"/>
                <w:sz w:val="28"/>
                <w:szCs w:val="28"/>
              </w:rPr>
              <w:t>3</w:t>
            </w:r>
            <w:r w:rsidRPr="00F90B6B">
              <w:rPr>
                <w:rFonts w:ascii="Times New Roman" w:hAnsi="Times New Roman"/>
                <w:sz w:val="28"/>
                <w:szCs w:val="28"/>
                <w:lang w:val="en-US"/>
              </w:rPr>
              <w:t>]</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rPr>
              <w:t>2,0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[0,4</w:t>
            </w:r>
            <w:r w:rsidRPr="00F90B6B">
              <w:rPr>
                <w:rFonts w:ascii="Times New Roman" w:hAnsi="Times New Roman"/>
                <w:sz w:val="28"/>
                <w:szCs w:val="28"/>
              </w:rPr>
              <w:t>4-</w:t>
            </w:r>
            <w:r w:rsidRPr="00F90B6B">
              <w:rPr>
                <w:rFonts w:ascii="Times New Roman" w:hAnsi="Times New Roman"/>
                <w:sz w:val="28"/>
                <w:szCs w:val="28"/>
                <w:lang w:val="en-US"/>
              </w:rPr>
              <w:t>9,14]</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lang w:val="en-US"/>
              </w:rPr>
              <w:t xml:space="preserve">&lt;65 </w:t>
            </w:r>
            <w:r w:rsidRPr="00F90B6B">
              <w:rPr>
                <w:rFonts w:ascii="Times New Roman" w:hAnsi="Times New Roman"/>
                <w:bCs/>
                <w:i/>
                <w:sz w:val="28"/>
                <w:szCs w:val="28"/>
              </w:rPr>
              <w:t>років</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50,0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Вірогідний додатковий ризик важкої гіпонатріємії при хронічній серцевій недостатності (зі зниженням рівня натрію менше 125 ммоль/л) встановлено у осіб з ожирінням (ІМТ≥30 кг/м</w:t>
      </w:r>
      <w:r w:rsidRPr="00F90B6B">
        <w:rPr>
          <w:rFonts w:ascii="Times New Roman" w:hAnsi="Times New Roman"/>
          <w:sz w:val="28"/>
          <w:szCs w:val="28"/>
          <w:vertAlign w:val="superscript"/>
        </w:rPr>
        <w:t>2</w:t>
      </w:r>
      <w:r w:rsidRPr="00F90B6B">
        <w:rPr>
          <w:rFonts w:ascii="Times New Roman" w:hAnsi="Times New Roman"/>
          <w:sz w:val="28"/>
          <w:szCs w:val="28"/>
        </w:rPr>
        <w:t>) – підвищення ризику на 33,0%, вірогідні показники відносного ризику - 1,73 [1,09-2,75], табл. 3.4.7.</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3.4.7</w:t>
      </w:r>
    </w:p>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Абсолютний та відносний ризик, відношення шансів залежності розвитку важкої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80</w:t>
            </w:r>
            <w:r w:rsidRPr="00F90B6B">
              <w:rPr>
                <w:rFonts w:ascii="Times New Roman" w:hAnsi="Times New Roman"/>
                <w:sz w:val="28"/>
                <w:szCs w:val="28"/>
              </w:rPr>
              <w:t>,0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1,73</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[1,09-2,75]</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4,67</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[0,88-24,9]</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46,0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right"/>
        <w:rPr>
          <w:rFonts w:ascii="Times New Roman" w:hAnsi="Times New Roman"/>
          <w:i/>
          <w:iCs/>
          <w:sz w:val="28"/>
          <w:szCs w:val="28"/>
          <w:lang w:val="en-US"/>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Частота розвитку важкої гіпонатріємії у хворих на гіпертонічну хворобу була вищою та наведена в таблиці 3.4.8.</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3.4.8</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Співвідношення важкої гіпонатріємії та верифікованої гіпертонічної хвороби у осіб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58"/>
        <w:gridCol w:w="1925"/>
        <w:gridCol w:w="1924"/>
        <w:gridCol w:w="1924"/>
        <w:gridCol w:w="1924"/>
      </w:tblGrid>
      <w:tr w:rsidR="00EF4063" w:rsidRPr="00F90B6B" w:rsidTr="002119ED">
        <w:tc>
          <w:tcPr>
            <w:tcW w:w="2158" w:type="dxa"/>
            <w:vMerge w:val="restart"/>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sz w:val="28"/>
                <w:szCs w:val="28"/>
                <w:lang w:eastAsia="ru-RU"/>
              </w:rPr>
              <w:t>Показник</w:t>
            </w:r>
          </w:p>
        </w:tc>
        <w:tc>
          <w:tcPr>
            <w:tcW w:w="3849" w:type="dxa"/>
            <w:gridSpan w:val="2"/>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bCs/>
                <w:sz w:val="28"/>
                <w:szCs w:val="28"/>
              </w:rPr>
              <w:t>Гіпертонічна хвороба верифікована</w:t>
            </w:r>
          </w:p>
        </w:tc>
        <w:tc>
          <w:tcPr>
            <w:tcW w:w="3848" w:type="dxa"/>
            <w:gridSpan w:val="2"/>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bCs/>
                <w:sz w:val="28"/>
                <w:szCs w:val="28"/>
              </w:rPr>
              <w:t>Гіпертонічна хвороба не верифікована</w:t>
            </w:r>
          </w:p>
        </w:tc>
      </w:tr>
      <w:tr w:rsidR="00EF4063" w:rsidRPr="00F90B6B" w:rsidTr="002119ED">
        <w:tc>
          <w:tcPr>
            <w:tcW w:w="2158" w:type="dxa"/>
            <w:vMerge/>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w:t>
            </w:r>
          </w:p>
        </w:tc>
      </w:tr>
      <w:tr w:rsidR="00EF4063" w:rsidRPr="00F90B6B" w:rsidTr="002119ED">
        <w:tc>
          <w:tcPr>
            <w:tcW w:w="2158" w:type="dxa"/>
            <w:vAlign w:val="center"/>
          </w:tcPr>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26</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66,7</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13</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33,0</w:t>
            </w:r>
          </w:p>
        </w:tc>
      </w:tr>
      <w:tr w:rsidR="00EF4063" w:rsidRPr="00F90B6B" w:rsidTr="002119ED">
        <w:tc>
          <w:tcPr>
            <w:tcW w:w="2158" w:type="dxa"/>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100,0</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0</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0,0</w:t>
            </w:r>
          </w:p>
        </w:tc>
      </w:tr>
      <w:tr w:rsidR="00EF4063" w:rsidRPr="00F90B6B" w:rsidTr="002119ED">
        <w:tc>
          <w:tcPr>
            <w:tcW w:w="2158" w:type="dxa"/>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7</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87,5</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12,5</w:t>
            </w:r>
          </w:p>
        </w:tc>
      </w:tr>
      <w:tr w:rsidR="00EF4063" w:rsidRPr="00F90B6B" w:rsidTr="002119ED">
        <w:tc>
          <w:tcPr>
            <w:tcW w:w="2158" w:type="dxa"/>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rPr>
              <w:t>Всього</w:t>
            </w:r>
          </w:p>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i/>
                <w:iCs/>
                <w:sz w:val="28"/>
                <w:szCs w:val="28"/>
                <w:lang w:val="en-US"/>
              </w:rPr>
              <w:t>n=49</w:t>
            </w:r>
          </w:p>
        </w:tc>
        <w:tc>
          <w:tcPr>
            <w:tcW w:w="1925"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35</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lang w:val="en-US"/>
              </w:rPr>
              <w:t>71</w:t>
            </w:r>
            <w:r w:rsidRPr="00F90B6B">
              <w:rPr>
                <w:rFonts w:ascii="Times New Roman" w:hAnsi="Times New Roman"/>
                <w:sz w:val="28"/>
                <w:szCs w:val="28"/>
              </w:rPr>
              <w:t>,4</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13</w:t>
            </w:r>
          </w:p>
        </w:tc>
        <w:tc>
          <w:tcPr>
            <w:tcW w:w="192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28,6</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Приріст абсолютного ризику важкої гіпонатріємії у хворих з ХСН при супутній гіпертонічній хворобі складав 23,0%, RR - 1,35 [1,0-1,83], табл. 3.4.9.</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3.4.9</w:t>
      </w:r>
    </w:p>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Абсолютний та відносний ризик, відношення шансів асоціації гіпертонічної хвороби та важкої гіпонатріємії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90,0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1,35</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[1,0-1,83]</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4,50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[0,51-39,5]</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67,0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Для цукрового діабету типу 2 такої закономірності частота важкої гіпонатріємії була більшою за наявності ЦД типу 2 (табл. 3.4.10) та супроводжувалась збільшенням абсолютного ризику на 32,0% (табл. 3.4.11).</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lastRenderedPageBreak/>
        <w:t>Таблиця 3.4.10</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Співвідношення важкої гіпонатріємії та цукрового діабету типу 2 у осіб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58"/>
        <w:gridCol w:w="1925"/>
        <w:gridCol w:w="1695"/>
        <w:gridCol w:w="2153"/>
        <w:gridCol w:w="1924"/>
      </w:tblGrid>
      <w:tr w:rsidR="00EF4063" w:rsidRPr="00F90B6B" w:rsidTr="002119ED">
        <w:tc>
          <w:tcPr>
            <w:tcW w:w="2158"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sz w:val="28"/>
                <w:szCs w:val="28"/>
                <w:lang w:eastAsia="ru-RU"/>
              </w:rPr>
              <w:t>Показник</w:t>
            </w:r>
          </w:p>
        </w:tc>
        <w:tc>
          <w:tcPr>
            <w:tcW w:w="3620" w:type="dxa"/>
            <w:gridSpan w:val="2"/>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ЦД типу 2 верифікований</w:t>
            </w:r>
          </w:p>
        </w:tc>
        <w:tc>
          <w:tcPr>
            <w:tcW w:w="4077" w:type="dxa"/>
            <w:gridSpan w:val="2"/>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ЦД типу 2 не верифікований</w:t>
            </w:r>
          </w:p>
        </w:tc>
      </w:tr>
      <w:tr w:rsidR="00EF4063" w:rsidRPr="00F90B6B" w:rsidTr="002119ED">
        <w:tc>
          <w:tcPr>
            <w:tcW w:w="2158" w:type="dxa"/>
            <w:vMerge/>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p>
        </w:tc>
        <w:tc>
          <w:tcPr>
            <w:tcW w:w="1925" w:type="dxa"/>
            <w:vAlign w:val="center"/>
          </w:tcPr>
          <w:p w:rsidR="00EF4063" w:rsidRPr="00F90B6B" w:rsidRDefault="00EF4063" w:rsidP="00F0048B">
            <w:pPr>
              <w:tabs>
                <w:tab w:val="left" w:pos="3864"/>
              </w:tabs>
              <w:spacing w:after="0" w:line="360"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1695" w:type="dxa"/>
            <w:vAlign w:val="center"/>
          </w:tcPr>
          <w:p w:rsidR="00EF4063" w:rsidRPr="00F90B6B" w:rsidRDefault="00EF4063" w:rsidP="00F0048B">
            <w:pPr>
              <w:tabs>
                <w:tab w:val="left" w:pos="3864"/>
              </w:tabs>
              <w:spacing w:after="0" w:line="360" w:lineRule="auto"/>
              <w:jc w:val="center"/>
              <w:rPr>
                <w:rFonts w:ascii="Times New Roman" w:hAnsi="Times New Roman"/>
                <w:i/>
                <w:iCs/>
                <w:sz w:val="28"/>
                <w:szCs w:val="28"/>
              </w:rPr>
            </w:pPr>
            <w:r w:rsidRPr="00F90B6B">
              <w:rPr>
                <w:rFonts w:ascii="Times New Roman" w:hAnsi="Times New Roman"/>
                <w:i/>
                <w:iCs/>
                <w:sz w:val="28"/>
                <w:szCs w:val="28"/>
              </w:rPr>
              <w:t>%</w:t>
            </w:r>
          </w:p>
        </w:tc>
        <w:tc>
          <w:tcPr>
            <w:tcW w:w="2153" w:type="dxa"/>
            <w:vAlign w:val="center"/>
          </w:tcPr>
          <w:p w:rsidR="00EF4063" w:rsidRPr="00F90B6B" w:rsidRDefault="00EF4063" w:rsidP="00F0048B">
            <w:pPr>
              <w:tabs>
                <w:tab w:val="left" w:pos="3864"/>
              </w:tabs>
              <w:spacing w:after="0" w:line="360"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1924" w:type="dxa"/>
            <w:vAlign w:val="center"/>
          </w:tcPr>
          <w:p w:rsidR="00EF4063" w:rsidRPr="00F90B6B" w:rsidRDefault="00EF4063" w:rsidP="00F0048B">
            <w:pPr>
              <w:tabs>
                <w:tab w:val="left" w:pos="3864"/>
              </w:tabs>
              <w:spacing w:after="0" w:line="360" w:lineRule="auto"/>
              <w:jc w:val="center"/>
              <w:rPr>
                <w:rFonts w:ascii="Times New Roman" w:hAnsi="Times New Roman"/>
                <w:i/>
                <w:iCs/>
                <w:sz w:val="28"/>
                <w:szCs w:val="28"/>
              </w:rPr>
            </w:pPr>
            <w:r w:rsidRPr="00F90B6B">
              <w:rPr>
                <w:rFonts w:ascii="Times New Roman" w:hAnsi="Times New Roman"/>
                <w:i/>
                <w:iCs/>
                <w:sz w:val="28"/>
                <w:szCs w:val="28"/>
              </w:rPr>
              <w:t>%</w:t>
            </w:r>
          </w:p>
        </w:tc>
      </w:tr>
      <w:tr w:rsidR="00EF4063" w:rsidRPr="00F90B6B" w:rsidTr="002119ED">
        <w:tc>
          <w:tcPr>
            <w:tcW w:w="2158" w:type="dxa"/>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192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9</w:t>
            </w:r>
          </w:p>
        </w:tc>
        <w:tc>
          <w:tcPr>
            <w:tcW w:w="169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23,0</w:t>
            </w:r>
          </w:p>
        </w:tc>
        <w:tc>
          <w:tcPr>
            <w:tcW w:w="215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30</w:t>
            </w:r>
          </w:p>
        </w:tc>
        <w:tc>
          <w:tcPr>
            <w:tcW w:w="19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77,0</w:t>
            </w:r>
          </w:p>
        </w:tc>
      </w:tr>
      <w:tr w:rsidR="00EF4063" w:rsidRPr="00F90B6B" w:rsidTr="002119ED">
        <w:tc>
          <w:tcPr>
            <w:tcW w:w="2158" w:type="dxa"/>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192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169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50,0</w:t>
            </w:r>
          </w:p>
        </w:tc>
        <w:tc>
          <w:tcPr>
            <w:tcW w:w="215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19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50,0</w:t>
            </w:r>
          </w:p>
        </w:tc>
      </w:tr>
      <w:tr w:rsidR="00EF4063" w:rsidRPr="00F90B6B" w:rsidTr="002119ED">
        <w:tc>
          <w:tcPr>
            <w:tcW w:w="2158" w:type="dxa"/>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192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w:t>
            </w:r>
          </w:p>
        </w:tc>
        <w:tc>
          <w:tcPr>
            <w:tcW w:w="169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75,0</w:t>
            </w:r>
          </w:p>
        </w:tc>
        <w:tc>
          <w:tcPr>
            <w:tcW w:w="215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19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25,0</w:t>
            </w:r>
          </w:p>
        </w:tc>
      </w:tr>
      <w:tr w:rsidR="00EF4063" w:rsidRPr="00F90B6B" w:rsidTr="002119ED">
        <w:tc>
          <w:tcPr>
            <w:tcW w:w="2158"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rPr>
              <w:t>Всього</w:t>
            </w:r>
          </w:p>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iCs/>
                <w:sz w:val="28"/>
                <w:szCs w:val="28"/>
                <w:lang w:val="en-US"/>
              </w:rPr>
              <w:t>n=49</w:t>
            </w:r>
          </w:p>
        </w:tc>
        <w:tc>
          <w:tcPr>
            <w:tcW w:w="192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16</w:t>
            </w:r>
          </w:p>
        </w:tc>
        <w:tc>
          <w:tcPr>
            <w:tcW w:w="1695"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32,7</w:t>
            </w:r>
          </w:p>
        </w:tc>
        <w:tc>
          <w:tcPr>
            <w:tcW w:w="215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33</w:t>
            </w:r>
          </w:p>
        </w:tc>
        <w:tc>
          <w:tcPr>
            <w:tcW w:w="19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67,3</w:t>
            </w:r>
          </w:p>
        </w:tc>
      </w:tr>
    </w:tbl>
    <w:p w:rsidR="00EF4063" w:rsidRPr="00F90B6B" w:rsidRDefault="00EF4063" w:rsidP="00F0048B">
      <w:pPr>
        <w:tabs>
          <w:tab w:val="left" w:pos="4560"/>
        </w:tabs>
        <w:spacing w:after="0" w:line="360" w:lineRule="auto"/>
        <w:ind w:firstLine="709"/>
        <w:jc w:val="both"/>
        <w:rPr>
          <w:rFonts w:ascii="Times New Roman" w:hAnsi="Times New Roman"/>
          <w:sz w:val="28"/>
          <w:szCs w:val="28"/>
        </w:rPr>
      </w:pPr>
      <w:r w:rsidRPr="00F90B6B">
        <w:rPr>
          <w:rFonts w:ascii="Times New Roman" w:hAnsi="Times New Roman"/>
          <w:sz w:val="28"/>
          <w:szCs w:val="28"/>
        </w:rPr>
        <w:t>Окрім того, у пацієнтів з цукровим діабетом типу 2 встановлено вірогідні показники відносного ризику (6,19 [1,40-27,4]) та відношення шансів (9,30 [1,61-53,8]) асоціації з важкою гіпонатріємією, табл. 3.4.11.</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3.4.11</w:t>
      </w:r>
    </w:p>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Абсолютний та відносний ризик, відношення шансів асоціації важкої гіпонатріємії та цукрового діабету типу 2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38,0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6,19</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[1,40</w:t>
            </w:r>
            <w:r w:rsidRPr="00F90B6B">
              <w:rPr>
                <w:rFonts w:ascii="Times New Roman" w:hAnsi="Times New Roman"/>
                <w:sz w:val="28"/>
                <w:szCs w:val="28"/>
              </w:rPr>
              <w:t>-</w:t>
            </w:r>
            <w:r w:rsidRPr="00F90B6B">
              <w:rPr>
                <w:rFonts w:ascii="Times New Roman" w:hAnsi="Times New Roman"/>
                <w:sz w:val="28"/>
                <w:szCs w:val="28"/>
                <w:lang w:val="en-US"/>
              </w:rPr>
              <w:t>27,</w:t>
            </w:r>
            <w:r w:rsidRPr="00F90B6B">
              <w:rPr>
                <w:rFonts w:ascii="Times New Roman" w:hAnsi="Times New Roman"/>
                <w:sz w:val="28"/>
                <w:szCs w:val="28"/>
              </w:rPr>
              <w:t>4</w:t>
            </w:r>
            <w:r w:rsidRPr="00F90B6B">
              <w:rPr>
                <w:rFonts w:ascii="Times New Roman" w:hAnsi="Times New Roman"/>
                <w:sz w:val="28"/>
                <w:szCs w:val="28"/>
                <w:lang w:val="en-US"/>
              </w:rPr>
              <w:t>]</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9,30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[1,61</w:t>
            </w:r>
            <w:r w:rsidRPr="00F90B6B">
              <w:rPr>
                <w:rFonts w:ascii="Times New Roman" w:hAnsi="Times New Roman"/>
                <w:sz w:val="28"/>
                <w:szCs w:val="28"/>
              </w:rPr>
              <w:t>-</w:t>
            </w:r>
            <w:r w:rsidRPr="00F90B6B">
              <w:rPr>
                <w:rFonts w:ascii="Times New Roman" w:hAnsi="Times New Roman"/>
                <w:sz w:val="28"/>
                <w:szCs w:val="28"/>
                <w:lang w:val="en-US"/>
              </w:rPr>
              <w:t>53,</w:t>
            </w:r>
            <w:r w:rsidRPr="00F90B6B">
              <w:rPr>
                <w:rFonts w:ascii="Times New Roman" w:hAnsi="Times New Roman"/>
                <w:sz w:val="28"/>
                <w:szCs w:val="28"/>
              </w:rPr>
              <w:t>8</w:t>
            </w:r>
            <w:r w:rsidRPr="00F90B6B">
              <w:rPr>
                <w:rFonts w:ascii="Times New Roman" w:hAnsi="Times New Roman"/>
                <w:sz w:val="28"/>
                <w:szCs w:val="28"/>
                <w:lang w:val="en-US"/>
              </w:rPr>
              <w:t>]</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Гіпонатріємія, в цілому, була частою асоціацією за наявності виразкової хвороби шлунку та ДПК, що було доведено в попередніх розділах, проте у цих хворих переважно спостерігалася легка та помірна, проте не важка гіпонатріємія, табл. 3.4.12.</w:t>
      </w:r>
    </w:p>
    <w:p w:rsidR="00EF4063" w:rsidRPr="00F90B6B" w:rsidRDefault="00224E15"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br w:type="page"/>
      </w:r>
      <w:r w:rsidR="00EF4063" w:rsidRPr="00F90B6B">
        <w:rPr>
          <w:rFonts w:ascii="Times New Roman" w:hAnsi="Times New Roman"/>
          <w:i/>
          <w:iCs/>
          <w:sz w:val="28"/>
          <w:szCs w:val="28"/>
        </w:rPr>
        <w:lastRenderedPageBreak/>
        <w:t>Таблиця 3.4.12</w:t>
      </w:r>
    </w:p>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Абсолютний та відносний ризик, відношення шансів асоціації важкої гіпонатріємії та виразкової хвороби у пацієнтів з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38,0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0,67</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[0,26-1,70]</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0,47</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[0,09-2,23]</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56,0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1656"/>
        </w:tabs>
        <w:spacing w:after="0" w:line="360" w:lineRule="auto"/>
        <w:ind w:firstLine="709"/>
        <w:jc w:val="both"/>
        <w:rPr>
          <w:rFonts w:ascii="Times New Roman" w:hAnsi="Times New Roman"/>
          <w:sz w:val="28"/>
          <w:szCs w:val="28"/>
        </w:rPr>
      </w:pPr>
      <w:r w:rsidRPr="00F90B6B">
        <w:rPr>
          <w:rFonts w:ascii="Times New Roman" w:hAnsi="Times New Roman"/>
          <w:sz w:val="28"/>
          <w:szCs w:val="28"/>
        </w:rPr>
        <w:t>Серед загальноклінічних показників за наявності більш важкої гіпонатріємії верифіковано більш високий рівень глікемії (р</w:t>
      </w:r>
      <w:r w:rsidRPr="00F90B6B">
        <w:rPr>
          <w:rFonts w:ascii="Times New Roman" w:hAnsi="Times New Roman"/>
          <w:sz w:val="28"/>
          <w:szCs w:val="28"/>
          <w:lang w:eastAsia="uk-UA"/>
        </w:rPr>
        <w:t>&lt;0,05</w:t>
      </w:r>
      <w:r w:rsidRPr="00F90B6B">
        <w:rPr>
          <w:rFonts w:ascii="Times New Roman" w:hAnsi="Times New Roman"/>
          <w:sz w:val="28"/>
          <w:szCs w:val="28"/>
        </w:rPr>
        <w:t>), а також інсулінорезистентності за індексом НОМА (р</w:t>
      </w:r>
      <w:r w:rsidRPr="00F90B6B">
        <w:rPr>
          <w:rFonts w:ascii="Times New Roman" w:hAnsi="Times New Roman"/>
          <w:sz w:val="28"/>
          <w:szCs w:val="28"/>
          <w:lang w:eastAsia="uk-UA"/>
        </w:rPr>
        <w:t>&lt;0,05</w:t>
      </w:r>
      <w:r w:rsidRPr="00F90B6B">
        <w:rPr>
          <w:rFonts w:ascii="Times New Roman" w:hAnsi="Times New Roman"/>
          <w:sz w:val="28"/>
          <w:szCs w:val="28"/>
        </w:rPr>
        <w:t>), табл. 3.4.13.</w:t>
      </w:r>
    </w:p>
    <w:p w:rsidR="00EF4063" w:rsidRPr="00F90B6B" w:rsidRDefault="00EF4063" w:rsidP="00F0048B">
      <w:pPr>
        <w:shd w:val="clear" w:color="auto" w:fill="FFFFFF"/>
        <w:spacing w:after="0" w:line="360" w:lineRule="auto"/>
        <w:ind w:firstLine="709"/>
        <w:jc w:val="right"/>
        <w:rPr>
          <w:rFonts w:ascii="Times New Roman" w:hAnsi="Times New Roman"/>
          <w:i/>
          <w:iCs/>
          <w:sz w:val="28"/>
          <w:szCs w:val="28"/>
          <w:lang w:eastAsia="ru-RU"/>
        </w:rPr>
      </w:pPr>
      <w:r w:rsidRPr="00F90B6B">
        <w:rPr>
          <w:rFonts w:ascii="Times New Roman" w:hAnsi="Times New Roman"/>
          <w:i/>
          <w:iCs/>
          <w:sz w:val="28"/>
          <w:szCs w:val="28"/>
          <w:lang w:eastAsia="ru-RU"/>
        </w:rPr>
        <w:t>Таблиця 3.4.13</w:t>
      </w:r>
    </w:p>
    <w:p w:rsidR="00EF4063" w:rsidRPr="00F90B6B" w:rsidRDefault="00EF4063" w:rsidP="00F0048B">
      <w:pPr>
        <w:shd w:val="clear" w:color="auto" w:fill="FFFFFF"/>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Загальноклінічні лабораторні показники у пацієнтів з хронічною серцевою недостатністю залежно від важкості гіпонатріємії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6"/>
        <w:gridCol w:w="2605"/>
        <w:gridCol w:w="2605"/>
        <w:gridCol w:w="2605"/>
      </w:tblGrid>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rPr>
              <w:t>Легка гіпонатріємія</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rPr>
              <w:t>Важка гіпонатріємія</w:t>
            </w:r>
          </w:p>
        </w:tc>
        <w:tc>
          <w:tcPr>
            <w:tcW w:w="1250" w:type="pct"/>
            <w:vAlign w:val="center"/>
          </w:tcPr>
          <w:p w:rsidR="00EF4063" w:rsidRPr="00F90B6B" w:rsidRDefault="00EF4063" w:rsidP="00F0048B">
            <w:pPr>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rPr>
              <w:t>р</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 xml:space="preserve">Калій, </w:t>
            </w:r>
            <w:r w:rsidRPr="00F90B6B">
              <w:rPr>
                <w:rFonts w:ascii="Times New Roman" w:hAnsi="Times New Roman"/>
                <w:i/>
                <w:iCs/>
                <w:sz w:val="28"/>
                <w:szCs w:val="28"/>
                <w:lang w:val="ru-RU"/>
              </w:rPr>
              <w:t>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uk-UA"/>
              </w:rPr>
              <w:t>4,94±0,36</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4,63±0,49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 xml:space="preserve">Натрій, </w:t>
            </w:r>
            <w:r w:rsidRPr="00F90B6B">
              <w:rPr>
                <w:rFonts w:ascii="Times New Roman" w:hAnsi="Times New Roman"/>
                <w:i/>
                <w:iCs/>
                <w:sz w:val="28"/>
                <w:szCs w:val="28"/>
                <w:lang w:val="ru-RU"/>
              </w:rPr>
              <w:t>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135,9±1,99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118,1±6,48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&lt;0,05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lang w:val="ru-RU"/>
              </w:rPr>
            </w:pPr>
            <w:r w:rsidRPr="00F90B6B">
              <w:rPr>
                <w:rFonts w:ascii="Times New Roman" w:hAnsi="Times New Roman"/>
                <w:i/>
                <w:iCs/>
                <w:sz w:val="28"/>
                <w:szCs w:val="28"/>
                <w:lang w:val="ru-RU"/>
              </w:rPr>
              <w:t>Глюкоза, ммоль/л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5,13±0,92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6,18±0,31</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&lt;0,05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lang w:val="ru-RU"/>
              </w:rPr>
            </w:pPr>
            <w:r w:rsidRPr="00F90B6B">
              <w:rPr>
                <w:rFonts w:ascii="Times New Roman" w:hAnsi="Times New Roman"/>
                <w:i/>
                <w:iCs/>
                <w:sz w:val="28"/>
                <w:szCs w:val="28"/>
                <w:lang w:val="ru-RU"/>
              </w:rPr>
              <w:t>Інсулін Од/мл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11,3±5,49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17,0±2,12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&lt;0,05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lang w:val="ru-RU"/>
              </w:rPr>
            </w:pPr>
            <w:r w:rsidRPr="00F90B6B">
              <w:rPr>
                <w:rFonts w:ascii="Times New Roman" w:hAnsi="Times New Roman"/>
                <w:i/>
                <w:iCs/>
                <w:sz w:val="28"/>
                <w:szCs w:val="28"/>
                <w:lang w:val="ru-RU"/>
              </w:rPr>
              <w:t>НОМА, у.о.</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2,64±1,53</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4,98±2,26</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&lt;0,05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lang w:val="ru-RU"/>
              </w:rPr>
            </w:pPr>
            <w:r w:rsidRPr="00F90B6B">
              <w:rPr>
                <w:rFonts w:ascii="Times New Roman" w:hAnsi="Times New Roman"/>
                <w:i/>
                <w:iCs/>
                <w:sz w:val="28"/>
                <w:szCs w:val="28"/>
                <w:lang w:val="ru-RU"/>
              </w:rPr>
              <w:t>АсТ</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30,9±13,0</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32,3±8,23</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lang w:val="ru-RU"/>
              </w:rPr>
            </w:pPr>
            <w:r w:rsidRPr="00F90B6B">
              <w:rPr>
                <w:rFonts w:ascii="Times New Roman" w:hAnsi="Times New Roman"/>
                <w:i/>
                <w:iCs/>
                <w:sz w:val="28"/>
                <w:szCs w:val="28"/>
                <w:lang w:val="ru-RU"/>
              </w:rPr>
              <w:t>АлТ</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34,9±17,5</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34,5±12,9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Еритроцити, Г/л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4,47±0,38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4,41±0,21</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Гемоглобін, г/л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135,5±13,6</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132,5±8,60</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Лейкоцити, Т/л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6,31±1,32</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7,42±1,99</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Тромбоцити, Т/л</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218,8±20,1</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239,5±19,8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ШОЕ, мм/год</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5,80±2,44</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9,38±4,08</w:t>
            </w:r>
          </w:p>
        </w:tc>
        <w:tc>
          <w:tcPr>
            <w:tcW w:w="1250" w:type="pc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&lt;0,05</w:t>
            </w:r>
          </w:p>
        </w:tc>
      </w:tr>
    </w:tbl>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р</w:t>
      </w:r>
      <w:r w:rsidRPr="00F90B6B">
        <w:rPr>
          <w:rFonts w:ascii="Times New Roman" w:hAnsi="Times New Roman"/>
          <w:sz w:val="28"/>
          <w:szCs w:val="28"/>
          <w:lang w:val="ru-RU"/>
        </w:rPr>
        <w:t xml:space="preserve"> – </w:t>
      </w:r>
      <w:r w:rsidRPr="00F90B6B">
        <w:rPr>
          <w:rFonts w:ascii="Times New Roman" w:hAnsi="Times New Roman"/>
          <w:sz w:val="28"/>
          <w:szCs w:val="28"/>
        </w:rPr>
        <w:t>вірогідність різниці показників між групами порівняння за критерієм Ст’юдента одностороннім.</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lastRenderedPageBreak/>
        <w:t>Вірогідно вищим був рівень альдостерону у хворих, госпіталізованих з приводу ХСН, при більш важкій гіпонатріємії (р</w:t>
      </w:r>
      <w:r w:rsidRPr="00F90B6B">
        <w:rPr>
          <w:rFonts w:ascii="Times New Roman" w:hAnsi="Times New Roman"/>
          <w:sz w:val="28"/>
          <w:szCs w:val="28"/>
          <w:lang w:eastAsia="uk-UA"/>
        </w:rPr>
        <w:t>&lt;0,05</w:t>
      </w:r>
      <w:r w:rsidRPr="00F90B6B">
        <w:rPr>
          <w:rFonts w:ascii="Times New Roman" w:hAnsi="Times New Roman"/>
          <w:sz w:val="28"/>
          <w:szCs w:val="28"/>
          <w:lang w:eastAsia="ru-RU"/>
        </w:rPr>
        <w:t>), рис.3.4.1.</w:t>
      </w:r>
    </w:p>
    <w:p w:rsidR="00EF4063" w:rsidRPr="00F90B6B" w:rsidRDefault="006F7754" w:rsidP="00F0048B">
      <w:pPr>
        <w:shd w:val="clear" w:color="auto" w:fill="FFFFFF"/>
        <w:spacing w:after="0" w:line="360" w:lineRule="auto"/>
        <w:ind w:firstLine="709"/>
        <w:jc w:val="both"/>
        <w:rPr>
          <w:rFonts w:ascii="Times New Roman" w:hAnsi="Times New Roman"/>
          <w:sz w:val="28"/>
          <w:szCs w:val="28"/>
          <w:lang w:eastAsia="ru-RU"/>
        </w:rPr>
      </w:pPr>
      <w:r>
        <w:rPr>
          <w:noProof/>
          <w:lang w:val="ru-RU" w:eastAsia="ru-RU"/>
        </w:rPr>
        <mc:AlternateContent>
          <mc:Choice Requires="wps">
            <w:drawing>
              <wp:anchor distT="0" distB="0" distL="114300" distR="114300" simplePos="0" relativeHeight="251655168" behindDoc="0" locked="0" layoutInCell="1" allowOverlap="1">
                <wp:simplePos x="0" y="0"/>
                <wp:positionH relativeFrom="column">
                  <wp:posOffset>4137025</wp:posOffset>
                </wp:positionH>
                <wp:positionV relativeFrom="paragraph">
                  <wp:posOffset>62230</wp:posOffset>
                </wp:positionV>
                <wp:extent cx="312420" cy="304800"/>
                <wp:effectExtent l="0" t="0" r="11430" b="19050"/>
                <wp:wrapNone/>
                <wp:docPr id="74" name="Полилиния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2420" cy="304800"/>
                        </a:xfrm>
                        <a:custGeom>
                          <a:avLst/>
                          <a:gdLst>
                            <a:gd name="T0" fmla="*/ 0 w 312420"/>
                            <a:gd name="T1" fmla="*/ 116423 h 304800"/>
                            <a:gd name="T2" fmla="*/ 119334 w 312420"/>
                            <a:gd name="T3" fmla="*/ 116424 h 304800"/>
                            <a:gd name="T4" fmla="*/ 156210 w 312420"/>
                            <a:gd name="T5" fmla="*/ 0 h 304800"/>
                            <a:gd name="T6" fmla="*/ 193086 w 312420"/>
                            <a:gd name="T7" fmla="*/ 116424 h 304800"/>
                            <a:gd name="T8" fmla="*/ 312420 w 312420"/>
                            <a:gd name="T9" fmla="*/ 116423 h 304800"/>
                            <a:gd name="T10" fmla="*/ 215876 w 312420"/>
                            <a:gd name="T11" fmla="*/ 188376 h 304800"/>
                            <a:gd name="T12" fmla="*/ 252753 w 312420"/>
                            <a:gd name="T13" fmla="*/ 304799 h 304800"/>
                            <a:gd name="T14" fmla="*/ 156210 w 312420"/>
                            <a:gd name="T15" fmla="*/ 232845 h 304800"/>
                            <a:gd name="T16" fmla="*/ 59667 w 312420"/>
                            <a:gd name="T17" fmla="*/ 304799 h 304800"/>
                            <a:gd name="T18" fmla="*/ 96544 w 312420"/>
                            <a:gd name="T19" fmla="*/ 188376 h 304800"/>
                            <a:gd name="T20" fmla="*/ 0 w 312420"/>
                            <a:gd name="T21" fmla="*/ 116423 h 3048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12420" h="304800">
                              <a:moveTo>
                                <a:pt x="0" y="116423"/>
                              </a:moveTo>
                              <a:lnTo>
                                <a:pt x="119334" y="116424"/>
                              </a:lnTo>
                              <a:lnTo>
                                <a:pt x="156210" y="0"/>
                              </a:lnTo>
                              <a:lnTo>
                                <a:pt x="193086" y="116424"/>
                              </a:lnTo>
                              <a:lnTo>
                                <a:pt x="312420" y="116423"/>
                              </a:lnTo>
                              <a:lnTo>
                                <a:pt x="215876" y="188376"/>
                              </a:lnTo>
                              <a:lnTo>
                                <a:pt x="252753" y="304799"/>
                              </a:lnTo>
                              <a:lnTo>
                                <a:pt x="156210" y="232845"/>
                              </a:lnTo>
                              <a:lnTo>
                                <a:pt x="59667" y="304799"/>
                              </a:lnTo>
                              <a:lnTo>
                                <a:pt x="96544" y="188376"/>
                              </a:lnTo>
                              <a:lnTo>
                                <a:pt x="0" y="116423"/>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D1C24F1" id="Полилиния 74" o:spid="_x0000_s1026" style="position:absolute;margin-left:325.75pt;margin-top:4.9pt;width:24.6pt;height:2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12420,304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" path="m,116423r119334,1l156210,r36876,116424l312420,116423r-96544,71953l252753,304799,156210,232845,59667,304799,96544,188376,,116423xe" fillcolor="#4f81bd" strokecolor="#243f60" strokeweight="2pt">
                <v:path arrowok="t" o:connecttype="custom" o:connectlocs="0,116423;119334,116424;156210,0;193086,116424;312420,116423;215876,188376;252753,304799;156210,232845;59667,304799;96544,188376;0,116423" o:connectangles="0,0,0,0,0,0,0,0,0,0,0"/>
              </v:shape>
            </w:pict>
          </mc:Fallback>
        </mc:AlternateContent>
      </w:r>
      <w:r w:rsidRPr="00BD2F09">
        <w:rPr>
          <w:rFonts w:ascii="Times New Roman" w:hAnsi="Times New Roman"/>
          <w:noProof/>
          <w:sz w:val="28"/>
          <w:szCs w:val="28"/>
          <w:lang w:val="ru-RU" w:eastAsia="ru-RU"/>
        </w:rPr>
        <w:drawing>
          <wp:inline distT="0" distB="0" distL="0" distR="0">
            <wp:extent cx="5543550" cy="2714625"/>
            <wp:effectExtent l="0" t="0" r="0" b="0"/>
            <wp:docPr id="130" name="Диаграмма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5"/>
              </a:graphicData>
            </a:graphic>
          </wp:inline>
        </w:drawing>
      </w:r>
    </w:p>
    <w:p w:rsidR="00EF4063" w:rsidRPr="00F90B6B" w:rsidRDefault="006F7754" w:rsidP="00F0048B">
      <w:pPr>
        <w:shd w:val="clear" w:color="auto" w:fill="FFFFFF"/>
        <w:spacing w:after="0" w:line="360" w:lineRule="auto"/>
        <w:ind w:firstLine="709"/>
        <w:jc w:val="both"/>
        <w:rPr>
          <w:rFonts w:ascii="Times New Roman" w:hAnsi="Times New Roman"/>
          <w:sz w:val="28"/>
          <w:szCs w:val="28"/>
          <w:lang w:eastAsia="ru-RU"/>
        </w:rPr>
      </w:pPr>
      <w:r>
        <w:rPr>
          <w:noProof/>
          <w:lang w:val="ru-RU" w:eastAsia="ru-RU"/>
        </w:rPr>
        <mc:AlternateContent>
          <mc:Choice Requires="wps">
            <w:drawing>
              <wp:anchor distT="0" distB="0" distL="114300" distR="114300" simplePos="0" relativeHeight="251657216" behindDoc="0" locked="0" layoutInCell="1" allowOverlap="1">
                <wp:simplePos x="0" y="0"/>
                <wp:positionH relativeFrom="column">
                  <wp:posOffset>502285</wp:posOffset>
                </wp:positionH>
                <wp:positionV relativeFrom="paragraph">
                  <wp:posOffset>558165</wp:posOffset>
                </wp:positionV>
                <wp:extent cx="274320" cy="281940"/>
                <wp:effectExtent l="0" t="0" r="11430" b="22860"/>
                <wp:wrapNone/>
                <wp:docPr id="73" name="Полилиния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4320" cy="281940"/>
                        </a:xfrm>
                        <a:custGeom>
                          <a:avLst/>
                          <a:gdLst>
                            <a:gd name="T0" fmla="*/ 0 w 274320"/>
                            <a:gd name="T1" fmla="*/ 107691 h 281940"/>
                            <a:gd name="T2" fmla="*/ 104781 w 274320"/>
                            <a:gd name="T3" fmla="*/ 107692 h 281940"/>
                            <a:gd name="T4" fmla="*/ 137160 w 274320"/>
                            <a:gd name="T5" fmla="*/ 0 h 281940"/>
                            <a:gd name="T6" fmla="*/ 169539 w 274320"/>
                            <a:gd name="T7" fmla="*/ 107692 h 281940"/>
                            <a:gd name="T8" fmla="*/ 274320 w 274320"/>
                            <a:gd name="T9" fmla="*/ 107691 h 281940"/>
                            <a:gd name="T10" fmla="*/ 189550 w 274320"/>
                            <a:gd name="T11" fmla="*/ 174248 h 281940"/>
                            <a:gd name="T12" fmla="*/ 221929 w 274320"/>
                            <a:gd name="T13" fmla="*/ 281939 h 281940"/>
                            <a:gd name="T14" fmla="*/ 137160 w 274320"/>
                            <a:gd name="T15" fmla="*/ 215382 h 281940"/>
                            <a:gd name="T16" fmla="*/ 52391 w 274320"/>
                            <a:gd name="T17" fmla="*/ 281939 h 281940"/>
                            <a:gd name="T18" fmla="*/ 84770 w 274320"/>
                            <a:gd name="T19" fmla="*/ 174248 h 281940"/>
                            <a:gd name="T20" fmla="*/ 0 w 274320"/>
                            <a:gd name="T21" fmla="*/ 107691 h 28194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74320" h="281940">
                              <a:moveTo>
                                <a:pt x="0" y="107691"/>
                              </a:moveTo>
                              <a:lnTo>
                                <a:pt x="104781" y="107692"/>
                              </a:lnTo>
                              <a:lnTo>
                                <a:pt x="137160" y="0"/>
                              </a:lnTo>
                              <a:lnTo>
                                <a:pt x="169539" y="107692"/>
                              </a:lnTo>
                              <a:lnTo>
                                <a:pt x="274320" y="107691"/>
                              </a:lnTo>
                              <a:lnTo>
                                <a:pt x="189550" y="174248"/>
                              </a:lnTo>
                              <a:lnTo>
                                <a:pt x="221929" y="281939"/>
                              </a:lnTo>
                              <a:lnTo>
                                <a:pt x="137160" y="215382"/>
                              </a:lnTo>
                              <a:lnTo>
                                <a:pt x="52391" y="281939"/>
                              </a:lnTo>
                              <a:lnTo>
                                <a:pt x="84770" y="174248"/>
                              </a:lnTo>
                              <a:lnTo>
                                <a:pt x="0" y="107691"/>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D1E4134" id="Полилиния 73" o:spid="_x0000_s1026" style="position:absolute;margin-left:39.55pt;margin-top:43.95pt;width:21.6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74320,281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" path="m,107691r104781,1l137160,r32379,107692l274320,107691r-84770,66557l221929,281939,137160,215382,52391,281939,84770,174248,,107691xe" fillcolor="#4f81bd" strokecolor="#243f60" strokeweight="2pt">
                <v:path arrowok="t" o:connecttype="custom" o:connectlocs="0,107691;104781,107692;137160,0;169539,107692;274320,107691;189550,174248;221929,281939;137160,215382;52391,281939;84770,174248;0,107691" o:connectangles="0,0,0,0,0,0,0,0,0,0,0"/>
              </v:shape>
            </w:pict>
          </mc:Fallback>
        </mc:AlternateContent>
      </w:r>
      <w:r w:rsidR="00EF4063" w:rsidRPr="00F90B6B">
        <w:rPr>
          <w:rFonts w:ascii="Times New Roman" w:hAnsi="Times New Roman"/>
          <w:b/>
          <w:bCs/>
          <w:sz w:val="28"/>
          <w:szCs w:val="28"/>
          <w:lang w:eastAsia="ru-RU"/>
        </w:rPr>
        <w:t xml:space="preserve">Рис. 3.4.1. </w:t>
      </w:r>
      <w:r w:rsidR="00EF4063" w:rsidRPr="00F90B6B">
        <w:rPr>
          <w:rFonts w:ascii="Times New Roman" w:hAnsi="Times New Roman"/>
          <w:sz w:val="28"/>
          <w:szCs w:val="28"/>
          <w:lang w:eastAsia="ru-RU"/>
        </w:rPr>
        <w:t>Рівень альдостерону у пацієнтів з ХСН залежно від важкості гіпонатріємії.</w:t>
      </w:r>
    </w:p>
    <w:p w:rsidR="00EF4063" w:rsidRPr="00F90B6B" w:rsidRDefault="00EF4063" w:rsidP="00F0048B">
      <w:pPr>
        <w:pStyle w:val="1"/>
        <w:numPr>
          <w:ilvl w:val="0"/>
          <w:numId w:val="12"/>
        </w:numPr>
        <w:shd w:val="clear" w:color="auto" w:fill="FFFFFF"/>
        <w:spacing w:after="0" w:line="360" w:lineRule="auto"/>
        <w:contextualSpacing w:val="0"/>
        <w:jc w:val="both"/>
        <w:rPr>
          <w:rFonts w:ascii="Times New Roman" w:hAnsi="Times New Roman"/>
          <w:sz w:val="28"/>
          <w:szCs w:val="28"/>
        </w:rPr>
      </w:pPr>
      <w:r w:rsidRPr="00F90B6B">
        <w:rPr>
          <w:rFonts w:ascii="Times New Roman" w:hAnsi="Times New Roman"/>
          <w:sz w:val="28"/>
          <w:szCs w:val="28"/>
          <w:lang w:eastAsia="ru-RU"/>
        </w:rPr>
        <w:t xml:space="preserve">вірогідна різниця між групами порівняння </w:t>
      </w:r>
      <w:r w:rsidRPr="00F90B6B">
        <w:rPr>
          <w:rFonts w:ascii="Times New Roman" w:hAnsi="Times New Roman"/>
          <w:sz w:val="28"/>
          <w:szCs w:val="28"/>
        </w:rPr>
        <w:t>за критерієм Ст’юдента одностороннім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Компенсаторною реакцією було збільшення вмісту </w:t>
      </w:r>
      <w:r w:rsidRPr="00F90B6B">
        <w:rPr>
          <w:rFonts w:ascii="Times New Roman" w:hAnsi="Times New Roman"/>
          <w:sz w:val="28"/>
          <w:szCs w:val="28"/>
          <w:lang w:val="en-US"/>
        </w:rPr>
        <w:t>NTproBNP</w:t>
      </w:r>
      <w:r w:rsidRPr="00F90B6B">
        <w:rPr>
          <w:rFonts w:ascii="Times New Roman" w:hAnsi="Times New Roman"/>
          <w:sz w:val="28"/>
          <w:szCs w:val="28"/>
        </w:rPr>
        <w:t xml:space="preserve"> в більш вираженої гіпонатріємії.</w:t>
      </w:r>
    </w:p>
    <w:p w:rsidR="00EF4063" w:rsidRPr="00F90B6B" w:rsidRDefault="006F7754" w:rsidP="00F0048B">
      <w:pPr>
        <w:pStyle w:val="1"/>
        <w:shd w:val="clear" w:color="auto" w:fill="FFFFFF"/>
        <w:spacing w:after="0" w:line="360" w:lineRule="auto"/>
        <w:ind w:left="1669"/>
        <w:jc w:val="both"/>
        <w:rPr>
          <w:rFonts w:ascii="Times New Roman" w:hAnsi="Times New Roman"/>
          <w:sz w:val="28"/>
          <w:szCs w:val="28"/>
          <w:lang w:eastAsia="ru-RU"/>
        </w:rPr>
      </w:pPr>
      <w:r>
        <w:rPr>
          <w:noProof/>
          <w:lang w:val="ru-RU" w:eastAsia="ru-RU"/>
        </w:rPr>
        <mc:AlternateContent>
          <mc:Choice Requires="wps">
            <w:drawing>
              <wp:anchor distT="0" distB="0" distL="114300" distR="114300" simplePos="0" relativeHeight="251658240" behindDoc="0" locked="0" layoutInCell="1" allowOverlap="1">
                <wp:simplePos x="0" y="0"/>
                <wp:positionH relativeFrom="column">
                  <wp:posOffset>4373245</wp:posOffset>
                </wp:positionH>
                <wp:positionV relativeFrom="paragraph">
                  <wp:posOffset>62230</wp:posOffset>
                </wp:positionV>
                <wp:extent cx="312420" cy="253365"/>
                <wp:effectExtent l="0" t="0" r="11430" b="13335"/>
                <wp:wrapNone/>
                <wp:docPr id="72" name="Полилиния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12420" cy="253365"/>
                        </a:xfrm>
                        <a:custGeom>
                          <a:avLst/>
                          <a:gdLst>
                            <a:gd name="T0" fmla="*/ 0 w 312420"/>
                            <a:gd name="T1" fmla="*/ 116423 h 304800"/>
                            <a:gd name="T2" fmla="*/ 119334 w 312420"/>
                            <a:gd name="T3" fmla="*/ 116424 h 304800"/>
                            <a:gd name="T4" fmla="*/ 156210 w 312420"/>
                            <a:gd name="T5" fmla="*/ 0 h 304800"/>
                            <a:gd name="T6" fmla="*/ 193086 w 312420"/>
                            <a:gd name="T7" fmla="*/ 116424 h 304800"/>
                            <a:gd name="T8" fmla="*/ 312420 w 312420"/>
                            <a:gd name="T9" fmla="*/ 116423 h 304800"/>
                            <a:gd name="T10" fmla="*/ 215876 w 312420"/>
                            <a:gd name="T11" fmla="*/ 188376 h 304800"/>
                            <a:gd name="T12" fmla="*/ 252753 w 312420"/>
                            <a:gd name="T13" fmla="*/ 304799 h 304800"/>
                            <a:gd name="T14" fmla="*/ 156210 w 312420"/>
                            <a:gd name="T15" fmla="*/ 232845 h 304800"/>
                            <a:gd name="T16" fmla="*/ 59667 w 312420"/>
                            <a:gd name="T17" fmla="*/ 304799 h 304800"/>
                            <a:gd name="T18" fmla="*/ 96544 w 312420"/>
                            <a:gd name="T19" fmla="*/ 188376 h 304800"/>
                            <a:gd name="T20" fmla="*/ 0 w 312420"/>
                            <a:gd name="T21" fmla="*/ 116423 h 3048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12420" h="304800">
                              <a:moveTo>
                                <a:pt x="0" y="116423"/>
                              </a:moveTo>
                              <a:lnTo>
                                <a:pt x="119334" y="116424"/>
                              </a:lnTo>
                              <a:lnTo>
                                <a:pt x="156210" y="0"/>
                              </a:lnTo>
                              <a:lnTo>
                                <a:pt x="193086" y="116424"/>
                              </a:lnTo>
                              <a:lnTo>
                                <a:pt x="312420" y="116423"/>
                              </a:lnTo>
                              <a:lnTo>
                                <a:pt x="215876" y="188376"/>
                              </a:lnTo>
                              <a:lnTo>
                                <a:pt x="252753" y="304799"/>
                              </a:lnTo>
                              <a:lnTo>
                                <a:pt x="156210" y="232845"/>
                              </a:lnTo>
                              <a:lnTo>
                                <a:pt x="59667" y="304799"/>
                              </a:lnTo>
                              <a:lnTo>
                                <a:pt x="96544" y="188376"/>
                              </a:lnTo>
                              <a:lnTo>
                                <a:pt x="0" y="116423"/>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A020372" id="Полилиния 72" o:spid="_x0000_s1026" style="position:absolute;margin-left:344.35pt;margin-top:4.9pt;width:24.6pt;height:19.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12420,304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" path="m,116423r119334,1l156210,r36876,116424l312420,116423r-96544,71953l252753,304799,156210,232845,59667,304799,96544,188376,,116423xe" fillcolor="#4f81bd" strokecolor="#243f60" strokeweight="2pt">
                <v:path arrowok="t" o:connecttype="custom" o:connectlocs="0,96777;119334,96777;156210,0;193086,96777;312420,96777;215876,156588;252753,253364;156210,193552;59667,253364;96544,156588;0,96777" o:connectangles="0,0,0,0,0,0,0,0,0,0,0"/>
              </v:shape>
            </w:pict>
          </mc:Fallback>
        </mc:AlternateContent>
      </w:r>
      <w:r w:rsidRPr="00BD2F09">
        <w:rPr>
          <w:rFonts w:ascii="Times New Roman" w:hAnsi="Times New Roman"/>
          <w:noProof/>
          <w:lang w:val="ru-RU" w:eastAsia="ru-RU"/>
        </w:rPr>
        <w:drawing>
          <wp:inline distT="0" distB="0" distL="0" distR="0">
            <wp:extent cx="4933950" cy="2257425"/>
            <wp:effectExtent l="0" t="0" r="0" b="0"/>
            <wp:docPr id="131" name="Диаграмма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6"/>
              </a:graphicData>
            </a:graphic>
          </wp:inline>
        </w:drawing>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b/>
          <w:bCs/>
          <w:sz w:val="28"/>
          <w:szCs w:val="28"/>
          <w:lang w:eastAsia="ru-RU"/>
        </w:rPr>
        <w:t xml:space="preserve">Рис. 3.4.2. </w:t>
      </w:r>
      <w:r w:rsidRPr="00F90B6B">
        <w:rPr>
          <w:rFonts w:ascii="Times New Roman" w:hAnsi="Times New Roman"/>
          <w:sz w:val="28"/>
          <w:szCs w:val="28"/>
          <w:lang w:eastAsia="ru-RU"/>
        </w:rPr>
        <w:t xml:space="preserve">Рівень </w:t>
      </w:r>
      <w:r w:rsidRPr="00F90B6B">
        <w:rPr>
          <w:rFonts w:ascii="Times New Roman" w:hAnsi="Times New Roman"/>
          <w:sz w:val="28"/>
          <w:szCs w:val="28"/>
          <w:lang w:val="en-US"/>
        </w:rPr>
        <w:t>NTproBNP</w:t>
      </w:r>
      <w:r w:rsidRPr="00F90B6B">
        <w:rPr>
          <w:rFonts w:ascii="Times New Roman" w:hAnsi="Times New Roman"/>
          <w:sz w:val="28"/>
          <w:szCs w:val="28"/>
          <w:lang w:eastAsia="ru-RU"/>
        </w:rPr>
        <w:t xml:space="preserve"> у пацієнтів з ХСН залежно від важкості гіпонатріємії.</w:t>
      </w:r>
    </w:p>
    <w:p w:rsidR="00EF4063" w:rsidRPr="00F90B6B" w:rsidRDefault="006F7754" w:rsidP="00F0048B">
      <w:pPr>
        <w:pStyle w:val="1"/>
        <w:numPr>
          <w:ilvl w:val="0"/>
          <w:numId w:val="12"/>
        </w:numPr>
        <w:shd w:val="clear" w:color="auto" w:fill="FFFFFF"/>
        <w:spacing w:after="0" w:line="360" w:lineRule="auto"/>
        <w:contextualSpacing w:val="0"/>
        <w:jc w:val="both"/>
        <w:rPr>
          <w:rFonts w:ascii="Times New Roman" w:hAnsi="Times New Roman"/>
          <w:sz w:val="28"/>
          <w:szCs w:val="28"/>
        </w:rPr>
      </w:pPr>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502285</wp:posOffset>
                </wp:positionH>
                <wp:positionV relativeFrom="paragraph">
                  <wp:posOffset>-76835</wp:posOffset>
                </wp:positionV>
                <wp:extent cx="259080" cy="304800"/>
                <wp:effectExtent l="0" t="0" r="26670" b="19050"/>
                <wp:wrapNone/>
                <wp:docPr id="71" name="Полилиния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9080" cy="304800"/>
                        </a:xfrm>
                        <a:custGeom>
                          <a:avLst/>
                          <a:gdLst>
                            <a:gd name="T0" fmla="*/ 0 w 259080"/>
                            <a:gd name="T1" fmla="*/ 116423 h 304800"/>
                            <a:gd name="T2" fmla="*/ 98960 w 259080"/>
                            <a:gd name="T3" fmla="*/ 116424 h 304800"/>
                            <a:gd name="T4" fmla="*/ 129540 w 259080"/>
                            <a:gd name="T5" fmla="*/ 0 h 304800"/>
                            <a:gd name="T6" fmla="*/ 160120 w 259080"/>
                            <a:gd name="T7" fmla="*/ 116424 h 304800"/>
                            <a:gd name="T8" fmla="*/ 259080 w 259080"/>
                            <a:gd name="T9" fmla="*/ 116423 h 304800"/>
                            <a:gd name="T10" fmla="*/ 179019 w 259080"/>
                            <a:gd name="T11" fmla="*/ 188376 h 304800"/>
                            <a:gd name="T12" fmla="*/ 209600 w 259080"/>
                            <a:gd name="T13" fmla="*/ 304799 h 304800"/>
                            <a:gd name="T14" fmla="*/ 129540 w 259080"/>
                            <a:gd name="T15" fmla="*/ 232845 h 304800"/>
                            <a:gd name="T16" fmla="*/ 49480 w 259080"/>
                            <a:gd name="T17" fmla="*/ 304799 h 304800"/>
                            <a:gd name="T18" fmla="*/ 80061 w 259080"/>
                            <a:gd name="T19" fmla="*/ 188376 h 304800"/>
                            <a:gd name="T20" fmla="*/ 0 w 259080"/>
                            <a:gd name="T21" fmla="*/ 116423 h 3048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59080" h="304800">
                              <a:moveTo>
                                <a:pt x="0" y="116423"/>
                              </a:moveTo>
                              <a:lnTo>
                                <a:pt x="98960" y="116424"/>
                              </a:lnTo>
                              <a:lnTo>
                                <a:pt x="129540" y="0"/>
                              </a:lnTo>
                              <a:lnTo>
                                <a:pt x="160120" y="116424"/>
                              </a:lnTo>
                              <a:lnTo>
                                <a:pt x="259080" y="116423"/>
                              </a:lnTo>
                              <a:lnTo>
                                <a:pt x="179019" y="188376"/>
                              </a:lnTo>
                              <a:lnTo>
                                <a:pt x="209600" y="304799"/>
                              </a:lnTo>
                              <a:lnTo>
                                <a:pt x="129540" y="232845"/>
                              </a:lnTo>
                              <a:lnTo>
                                <a:pt x="49480" y="304799"/>
                              </a:lnTo>
                              <a:lnTo>
                                <a:pt x="80061" y="188376"/>
                              </a:lnTo>
                              <a:lnTo>
                                <a:pt x="0" y="116423"/>
                              </a:lnTo>
                              <a:close/>
                            </a:path>
                          </a:pathLst>
                        </a:custGeom>
                        <a:solidFill>
                          <a:srgbClr val="4F81BD"/>
                        </a:solidFill>
                        <a:ln w="25400">
                          <a:solidFill>
                            <a:srgbClr val="243F60"/>
                          </a:solidFill>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462177B" id="Полилиния 71" o:spid="_x0000_s1026" style="position:absolute;margin-left:39.55pt;margin-top:-6.05pt;width:20.4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59080,304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" path="m,116423r98960,1l129540,r30580,116424l259080,116423r-80061,71953l209600,304799,129540,232845,49480,304799,80061,188376,,116423xe" fillcolor="#4f81bd" strokecolor="#243f60" strokeweight="2pt">
                <v:path arrowok="t" o:connecttype="custom" o:connectlocs="0,116423;98960,116424;129540,0;160120,116424;259080,116423;179019,188376;209600,304799;129540,232845;49480,304799;80061,188376;0,116423" o:connectangles="0,0,0,0,0,0,0,0,0,0,0"/>
              </v:shape>
            </w:pict>
          </mc:Fallback>
        </mc:AlternateContent>
      </w:r>
      <w:r w:rsidR="00EF4063" w:rsidRPr="00F90B6B">
        <w:rPr>
          <w:rFonts w:ascii="Times New Roman" w:hAnsi="Times New Roman"/>
          <w:sz w:val="28"/>
          <w:szCs w:val="28"/>
          <w:lang w:eastAsia="ru-RU"/>
        </w:rPr>
        <w:t xml:space="preserve">вірогідна різниця між групами порівняння </w:t>
      </w:r>
      <w:r w:rsidR="00EF4063" w:rsidRPr="00F90B6B">
        <w:rPr>
          <w:rFonts w:ascii="Times New Roman" w:hAnsi="Times New Roman"/>
          <w:sz w:val="28"/>
          <w:szCs w:val="28"/>
        </w:rPr>
        <w:t>за критерієм Ст’юдента одностороннім (р</w:t>
      </w:r>
      <w:r w:rsidR="00EF4063" w:rsidRPr="00F90B6B">
        <w:rPr>
          <w:rFonts w:ascii="Times New Roman" w:hAnsi="Times New Roman"/>
          <w:sz w:val="28"/>
          <w:szCs w:val="28"/>
          <w:lang w:val="ru-RU"/>
        </w:rPr>
        <w:t>&lt;0,05)</w:t>
      </w:r>
      <w:r w:rsidR="00EF4063" w:rsidRPr="00F90B6B">
        <w:rPr>
          <w:rFonts w:ascii="Times New Roman" w:hAnsi="Times New Roman"/>
          <w:sz w:val="28"/>
          <w:szCs w:val="28"/>
        </w:rPr>
        <w:t>.</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Проте, в обох групах рівень </w:t>
      </w:r>
      <w:r w:rsidRPr="00F90B6B">
        <w:rPr>
          <w:rFonts w:ascii="Times New Roman" w:hAnsi="Times New Roman"/>
          <w:sz w:val="28"/>
          <w:szCs w:val="28"/>
          <w:lang w:val="en-US"/>
        </w:rPr>
        <w:t>NTproBNP</w:t>
      </w:r>
      <w:r w:rsidRPr="00F90B6B">
        <w:rPr>
          <w:rFonts w:ascii="Times New Roman" w:hAnsi="Times New Roman"/>
          <w:sz w:val="28"/>
          <w:szCs w:val="28"/>
        </w:rPr>
        <w:t xml:space="preserve"> був в межах референсних значень, рис. 3.4.2.</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ru-RU"/>
        </w:rPr>
        <w:t>Стосовно ліпідного профілю не було встановлено вірогідної різниці в групах легкої та важкої гіпонатріємії, окрім вмісту ЛПДНЩ (</w:t>
      </w:r>
      <w:r w:rsidRPr="00F90B6B">
        <w:rPr>
          <w:rFonts w:ascii="Times New Roman" w:hAnsi="Times New Roman"/>
          <w:sz w:val="28"/>
          <w:szCs w:val="28"/>
        </w:rPr>
        <w:t>р&lt;0,05, табл. 3.4.14).</w:t>
      </w:r>
    </w:p>
    <w:p w:rsidR="00EF4063" w:rsidRPr="00F90B6B" w:rsidRDefault="00EF4063" w:rsidP="00F0048B">
      <w:pPr>
        <w:shd w:val="clear" w:color="auto" w:fill="FFFFFF"/>
        <w:spacing w:after="0" w:line="360" w:lineRule="auto"/>
        <w:ind w:firstLine="709"/>
        <w:jc w:val="right"/>
        <w:rPr>
          <w:rFonts w:ascii="Times New Roman" w:hAnsi="Times New Roman"/>
          <w:i/>
          <w:iCs/>
          <w:sz w:val="28"/>
          <w:szCs w:val="28"/>
          <w:lang w:eastAsia="ru-RU"/>
        </w:rPr>
      </w:pPr>
      <w:r w:rsidRPr="00F90B6B">
        <w:rPr>
          <w:rFonts w:ascii="Times New Roman" w:hAnsi="Times New Roman"/>
          <w:i/>
          <w:iCs/>
          <w:sz w:val="28"/>
          <w:szCs w:val="28"/>
          <w:lang w:eastAsia="ru-RU"/>
        </w:rPr>
        <w:t>Таблиця 3.4.14</w:t>
      </w:r>
    </w:p>
    <w:p w:rsidR="00EF4063" w:rsidRPr="00F90B6B" w:rsidRDefault="00EF4063" w:rsidP="00F0048B">
      <w:pPr>
        <w:shd w:val="clear" w:color="auto" w:fill="FFFFFF"/>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Ліпідний профіль у пацієнтів з хронічною серцевою недостатністю залежно важкості гіпонатріємії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06"/>
        <w:gridCol w:w="2605"/>
        <w:gridCol w:w="2605"/>
        <w:gridCol w:w="2605"/>
      </w:tblGrid>
      <w:tr w:rsidR="00EF4063" w:rsidRPr="00F90B6B" w:rsidTr="002119ED">
        <w:tc>
          <w:tcPr>
            <w:tcW w:w="1250" w:type="pct"/>
            <w:vAlign w:val="center"/>
          </w:tcPr>
          <w:p w:rsidR="00EF4063" w:rsidRPr="00F90B6B" w:rsidRDefault="00EF4063" w:rsidP="00224E15">
            <w:pPr>
              <w:spacing w:after="0" w:line="288" w:lineRule="auto"/>
              <w:jc w:val="center"/>
              <w:rPr>
                <w:rFonts w:ascii="Times New Roman" w:hAnsi="Times New Roman"/>
                <w:b/>
                <w:bCs/>
                <w:sz w:val="28"/>
                <w:szCs w:val="28"/>
              </w:rPr>
            </w:pPr>
            <w:r w:rsidRPr="00F90B6B">
              <w:rPr>
                <w:rFonts w:ascii="Times New Roman" w:hAnsi="Times New Roman"/>
                <w:b/>
                <w:sz w:val="28"/>
                <w:szCs w:val="28"/>
                <w:lang w:eastAsia="ru-RU"/>
              </w:rPr>
              <w:t>Показник</w:t>
            </w:r>
          </w:p>
        </w:tc>
        <w:tc>
          <w:tcPr>
            <w:tcW w:w="1250" w:type="pct"/>
            <w:vAlign w:val="center"/>
          </w:tcPr>
          <w:p w:rsidR="00EF4063" w:rsidRPr="00F90B6B" w:rsidRDefault="00EF4063" w:rsidP="00224E15">
            <w:pPr>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rPr>
              <w:t>Легка гіпонатріємія</w:t>
            </w:r>
          </w:p>
        </w:tc>
        <w:tc>
          <w:tcPr>
            <w:tcW w:w="1250" w:type="pct"/>
            <w:vAlign w:val="center"/>
          </w:tcPr>
          <w:p w:rsidR="00EF4063" w:rsidRPr="00F90B6B" w:rsidRDefault="00EF4063" w:rsidP="00224E15">
            <w:pPr>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rPr>
              <w:t>Важка гіпонатріємія</w:t>
            </w:r>
          </w:p>
        </w:tc>
        <w:tc>
          <w:tcPr>
            <w:tcW w:w="1250" w:type="pct"/>
            <w:vAlign w:val="center"/>
          </w:tcPr>
          <w:p w:rsidR="00EF4063" w:rsidRPr="00F90B6B" w:rsidRDefault="00EF4063" w:rsidP="00224E15">
            <w:pPr>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rPr>
              <w:t>р</w:t>
            </w:r>
          </w:p>
        </w:tc>
      </w:tr>
      <w:tr w:rsidR="00EF4063" w:rsidRPr="00F90B6B" w:rsidTr="002119ED">
        <w:tc>
          <w:tcPr>
            <w:tcW w:w="1250" w:type="pct"/>
            <w:vAlign w:val="center"/>
          </w:tcPr>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rPr>
              <w:t>Холестерин, ммоль/л</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5,</w:t>
            </w:r>
            <w:r w:rsidRPr="00F90B6B">
              <w:rPr>
                <w:rFonts w:ascii="Times New Roman" w:hAnsi="Times New Roman"/>
                <w:sz w:val="28"/>
                <w:szCs w:val="28"/>
                <w:lang w:val="en-US" w:eastAsia="uk-UA"/>
              </w:rPr>
              <w:t>60</w:t>
            </w:r>
            <w:r w:rsidRPr="00F90B6B">
              <w:rPr>
                <w:rFonts w:ascii="Times New Roman" w:hAnsi="Times New Roman"/>
                <w:sz w:val="28"/>
                <w:szCs w:val="28"/>
                <w:lang w:eastAsia="uk-UA"/>
              </w:rPr>
              <w:t>±</w:t>
            </w:r>
            <w:r w:rsidRPr="00F90B6B">
              <w:rPr>
                <w:rFonts w:ascii="Times New Roman" w:hAnsi="Times New Roman"/>
                <w:sz w:val="28"/>
                <w:szCs w:val="28"/>
                <w:lang w:val="en-US" w:eastAsia="uk-UA"/>
              </w:rPr>
              <w:t>1</w:t>
            </w:r>
            <w:r w:rsidRPr="00F90B6B">
              <w:rPr>
                <w:rFonts w:ascii="Times New Roman" w:hAnsi="Times New Roman"/>
                <w:sz w:val="28"/>
                <w:szCs w:val="28"/>
                <w:lang w:eastAsia="uk-UA"/>
              </w:rPr>
              <w:t>,20</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5,6</w:t>
            </w:r>
            <w:r w:rsidRPr="00F90B6B">
              <w:rPr>
                <w:rFonts w:ascii="Times New Roman" w:hAnsi="Times New Roman"/>
                <w:sz w:val="28"/>
                <w:szCs w:val="28"/>
                <w:lang w:val="en-US" w:eastAsia="uk-UA"/>
              </w:rPr>
              <w:t>8</w:t>
            </w:r>
            <w:r w:rsidRPr="00F90B6B">
              <w:rPr>
                <w:rFonts w:ascii="Times New Roman" w:hAnsi="Times New Roman"/>
                <w:sz w:val="28"/>
                <w:szCs w:val="28"/>
                <w:lang w:eastAsia="uk-UA"/>
              </w:rPr>
              <w:t>±0,64</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lang w:val="ru-RU"/>
              </w:rPr>
              <w:t>ЛПНЩ,</w:t>
            </w:r>
          </w:p>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rPr>
              <w:t>ммоль/л</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3,</w:t>
            </w:r>
            <w:r w:rsidRPr="00F90B6B">
              <w:rPr>
                <w:rFonts w:ascii="Times New Roman" w:hAnsi="Times New Roman"/>
                <w:sz w:val="28"/>
                <w:szCs w:val="28"/>
                <w:lang w:val="en-US" w:eastAsia="uk-UA"/>
              </w:rPr>
              <w:t>32</w:t>
            </w:r>
            <w:r w:rsidRPr="00F90B6B">
              <w:rPr>
                <w:rFonts w:ascii="Times New Roman" w:hAnsi="Times New Roman"/>
                <w:sz w:val="28"/>
                <w:szCs w:val="28"/>
                <w:lang w:eastAsia="uk-UA"/>
              </w:rPr>
              <w:t>±1,07</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val="en-US" w:eastAsia="uk-UA"/>
              </w:rPr>
            </w:pPr>
            <w:r w:rsidRPr="00F90B6B">
              <w:rPr>
                <w:rFonts w:ascii="Times New Roman" w:hAnsi="Times New Roman"/>
                <w:sz w:val="28"/>
                <w:szCs w:val="28"/>
                <w:lang w:eastAsia="uk-UA"/>
              </w:rPr>
              <w:t>3,</w:t>
            </w:r>
            <w:r w:rsidRPr="00F90B6B">
              <w:rPr>
                <w:rFonts w:ascii="Times New Roman" w:hAnsi="Times New Roman"/>
                <w:sz w:val="28"/>
                <w:szCs w:val="28"/>
                <w:lang w:val="en-US" w:eastAsia="uk-UA"/>
              </w:rPr>
              <w:t>1</w:t>
            </w:r>
            <w:r w:rsidRPr="00F90B6B">
              <w:rPr>
                <w:rFonts w:ascii="Times New Roman" w:hAnsi="Times New Roman"/>
                <w:sz w:val="28"/>
                <w:szCs w:val="28"/>
                <w:lang w:eastAsia="uk-UA"/>
              </w:rPr>
              <w:t>3±0,76</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224E15">
            <w:pPr>
              <w:spacing w:after="0" w:line="288" w:lineRule="auto"/>
              <w:jc w:val="center"/>
              <w:rPr>
                <w:rFonts w:ascii="Times New Roman" w:hAnsi="Times New Roman"/>
                <w:i/>
                <w:iCs/>
                <w:sz w:val="28"/>
                <w:szCs w:val="28"/>
              </w:rPr>
            </w:pPr>
            <w:r w:rsidRPr="00F90B6B">
              <w:rPr>
                <w:rFonts w:ascii="Times New Roman" w:hAnsi="Times New Roman"/>
                <w:i/>
                <w:iCs/>
                <w:sz w:val="28"/>
                <w:szCs w:val="28"/>
                <w:lang w:val="ru-RU"/>
              </w:rPr>
              <w:t>ЛПДНЩ,</w:t>
            </w:r>
          </w:p>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rPr>
              <w:t>ммоль/л</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0,7</w:t>
            </w:r>
            <w:r w:rsidRPr="00F90B6B">
              <w:rPr>
                <w:rFonts w:ascii="Times New Roman" w:hAnsi="Times New Roman"/>
                <w:sz w:val="28"/>
                <w:szCs w:val="28"/>
                <w:lang w:val="en-US" w:eastAsia="uk-UA"/>
              </w:rPr>
              <w:t>1</w:t>
            </w:r>
            <w:r w:rsidRPr="00F90B6B">
              <w:rPr>
                <w:rFonts w:ascii="Times New Roman" w:hAnsi="Times New Roman"/>
                <w:sz w:val="28"/>
                <w:szCs w:val="28"/>
                <w:lang w:eastAsia="uk-UA"/>
              </w:rPr>
              <w:t>±0,13</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val="en-US" w:eastAsia="uk-UA"/>
              </w:rPr>
            </w:pPr>
            <w:r w:rsidRPr="00F90B6B">
              <w:rPr>
                <w:rFonts w:ascii="Times New Roman" w:hAnsi="Times New Roman"/>
                <w:sz w:val="28"/>
                <w:szCs w:val="28"/>
                <w:lang w:eastAsia="uk-UA"/>
              </w:rPr>
              <w:t>0,</w:t>
            </w:r>
            <w:r w:rsidRPr="00F90B6B">
              <w:rPr>
                <w:rFonts w:ascii="Times New Roman" w:hAnsi="Times New Roman"/>
                <w:sz w:val="28"/>
                <w:szCs w:val="28"/>
                <w:lang w:val="en-US" w:eastAsia="uk-UA"/>
              </w:rPr>
              <w:t>88</w:t>
            </w:r>
            <w:r w:rsidRPr="00F90B6B">
              <w:rPr>
                <w:rFonts w:ascii="Times New Roman" w:hAnsi="Times New Roman"/>
                <w:sz w:val="28"/>
                <w:szCs w:val="28"/>
                <w:lang w:eastAsia="uk-UA"/>
              </w:rPr>
              <w:t>±0,14</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lang w:val="en-US"/>
              </w:rPr>
              <w:t>&lt;0,05</w:t>
            </w:r>
          </w:p>
        </w:tc>
      </w:tr>
      <w:tr w:rsidR="00EF4063" w:rsidRPr="00F90B6B" w:rsidTr="002119ED">
        <w:tc>
          <w:tcPr>
            <w:tcW w:w="1250" w:type="pct"/>
            <w:vAlign w:val="center"/>
          </w:tcPr>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lang w:val="ru-RU"/>
              </w:rPr>
              <w:t>ЛПВЩ,</w:t>
            </w:r>
          </w:p>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rPr>
              <w:t>ммоль/л</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val="en-US" w:eastAsia="uk-UA"/>
              </w:rPr>
            </w:pPr>
            <w:r w:rsidRPr="00F90B6B">
              <w:rPr>
                <w:rFonts w:ascii="Times New Roman" w:hAnsi="Times New Roman"/>
                <w:sz w:val="28"/>
                <w:szCs w:val="28"/>
                <w:lang w:eastAsia="uk-UA"/>
              </w:rPr>
              <w:t>1,</w:t>
            </w:r>
            <w:r w:rsidRPr="00F90B6B">
              <w:rPr>
                <w:rFonts w:ascii="Times New Roman" w:hAnsi="Times New Roman"/>
                <w:sz w:val="28"/>
                <w:szCs w:val="28"/>
                <w:lang w:val="en-US" w:eastAsia="uk-UA"/>
              </w:rPr>
              <w:t>17</w:t>
            </w:r>
            <w:r w:rsidRPr="00F90B6B">
              <w:rPr>
                <w:rFonts w:ascii="Times New Roman" w:hAnsi="Times New Roman"/>
                <w:sz w:val="28"/>
                <w:szCs w:val="28"/>
                <w:lang w:eastAsia="uk-UA"/>
              </w:rPr>
              <w:t>±0,28</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val="en-US" w:eastAsia="uk-UA"/>
              </w:rPr>
            </w:pPr>
            <w:r w:rsidRPr="00F90B6B">
              <w:rPr>
                <w:rFonts w:ascii="Times New Roman" w:hAnsi="Times New Roman"/>
                <w:sz w:val="28"/>
                <w:szCs w:val="28"/>
                <w:lang w:eastAsia="uk-UA"/>
              </w:rPr>
              <w:t>1,1</w:t>
            </w:r>
            <w:r w:rsidRPr="00F90B6B">
              <w:rPr>
                <w:rFonts w:ascii="Times New Roman" w:hAnsi="Times New Roman"/>
                <w:sz w:val="28"/>
                <w:szCs w:val="28"/>
                <w:lang w:val="en-US" w:eastAsia="uk-UA"/>
              </w:rPr>
              <w:t>2</w:t>
            </w:r>
            <w:r w:rsidRPr="00F90B6B">
              <w:rPr>
                <w:rFonts w:ascii="Times New Roman" w:hAnsi="Times New Roman"/>
                <w:sz w:val="28"/>
                <w:szCs w:val="28"/>
                <w:lang w:eastAsia="uk-UA"/>
              </w:rPr>
              <w:t>±0,17</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eastAsia="uk-UA"/>
              </w:rPr>
              <w:t>&gt;0,05</w:t>
            </w:r>
          </w:p>
        </w:tc>
      </w:tr>
      <w:tr w:rsidR="00EF4063" w:rsidRPr="00F90B6B" w:rsidTr="002119ED">
        <w:tc>
          <w:tcPr>
            <w:tcW w:w="1250" w:type="pct"/>
            <w:vAlign w:val="center"/>
          </w:tcPr>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lang w:val="ru-RU"/>
              </w:rPr>
              <w:t>Тригліцериди,</w:t>
            </w:r>
          </w:p>
          <w:p w:rsidR="00EF4063" w:rsidRPr="00F90B6B" w:rsidRDefault="00EF4063" w:rsidP="00224E15">
            <w:pPr>
              <w:spacing w:after="0" w:line="288" w:lineRule="auto"/>
              <w:jc w:val="center"/>
              <w:rPr>
                <w:rFonts w:ascii="Times New Roman" w:hAnsi="Times New Roman"/>
                <w:i/>
                <w:iCs/>
                <w:sz w:val="28"/>
                <w:szCs w:val="28"/>
                <w:lang w:val="ru-RU"/>
              </w:rPr>
            </w:pPr>
            <w:r w:rsidRPr="00F90B6B">
              <w:rPr>
                <w:rFonts w:ascii="Times New Roman" w:hAnsi="Times New Roman"/>
                <w:i/>
                <w:iCs/>
                <w:sz w:val="28"/>
                <w:szCs w:val="28"/>
              </w:rPr>
              <w:t>ммоль/л</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1,</w:t>
            </w:r>
            <w:r w:rsidRPr="00F90B6B">
              <w:rPr>
                <w:rFonts w:ascii="Times New Roman" w:hAnsi="Times New Roman"/>
                <w:sz w:val="28"/>
                <w:szCs w:val="28"/>
                <w:lang w:val="en-US" w:eastAsia="uk-UA"/>
              </w:rPr>
              <w:t>73</w:t>
            </w:r>
            <w:r w:rsidRPr="00F90B6B">
              <w:rPr>
                <w:rFonts w:ascii="Times New Roman" w:hAnsi="Times New Roman"/>
                <w:sz w:val="28"/>
                <w:szCs w:val="28"/>
                <w:lang w:eastAsia="uk-UA"/>
              </w:rPr>
              <w:t>±0,84</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1,</w:t>
            </w:r>
            <w:r w:rsidRPr="00F90B6B">
              <w:rPr>
                <w:rFonts w:ascii="Times New Roman" w:hAnsi="Times New Roman"/>
                <w:sz w:val="28"/>
                <w:szCs w:val="28"/>
                <w:lang w:val="en-US" w:eastAsia="uk-UA"/>
              </w:rPr>
              <w:t>78</w:t>
            </w:r>
            <w:r w:rsidRPr="00F90B6B">
              <w:rPr>
                <w:rFonts w:ascii="Times New Roman" w:hAnsi="Times New Roman"/>
                <w:sz w:val="28"/>
                <w:szCs w:val="28"/>
                <w:lang w:eastAsia="uk-UA"/>
              </w:rPr>
              <w:t>±0,62</w:t>
            </w:r>
          </w:p>
        </w:tc>
        <w:tc>
          <w:tcPr>
            <w:tcW w:w="1250" w:type="pct"/>
            <w:vAlign w:val="center"/>
          </w:tcPr>
          <w:p w:rsidR="00EF4063" w:rsidRPr="00F90B6B" w:rsidRDefault="00EF4063" w:rsidP="00224E15">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eastAsia="uk-UA"/>
              </w:rPr>
              <w:t>&gt;0,05</w:t>
            </w:r>
          </w:p>
        </w:tc>
      </w:tr>
    </w:tbl>
    <w:p w:rsidR="00EF4063" w:rsidRPr="00F90B6B" w:rsidRDefault="00EF4063" w:rsidP="00F0048B">
      <w:pPr>
        <w:shd w:val="clear" w:color="auto" w:fill="FFFFFF"/>
        <w:tabs>
          <w:tab w:val="left" w:pos="2544"/>
        </w:tabs>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Ехокардіографічні розміри, об’єми та індекси у пацієнтів з ХСН залежно від вираженості гіпонатріємії представлені в таблиці 3.4.15. Встановлено вірогідне збільшення КСО (р</w:t>
      </w:r>
      <w:r w:rsidRPr="00F90B6B">
        <w:rPr>
          <w:rFonts w:ascii="Times New Roman" w:hAnsi="Times New Roman"/>
          <w:sz w:val="28"/>
          <w:szCs w:val="28"/>
        </w:rPr>
        <w:t>&lt;0,05)</w:t>
      </w:r>
      <w:r w:rsidRPr="00F90B6B">
        <w:rPr>
          <w:rFonts w:ascii="Times New Roman" w:hAnsi="Times New Roman"/>
          <w:sz w:val="28"/>
          <w:szCs w:val="28"/>
          <w:lang w:eastAsia="ru-RU"/>
        </w:rPr>
        <w:t>, розмірів лівого передсердя (р</w:t>
      </w:r>
      <w:r w:rsidRPr="00F90B6B">
        <w:rPr>
          <w:rFonts w:ascii="Times New Roman" w:hAnsi="Times New Roman"/>
          <w:sz w:val="28"/>
          <w:szCs w:val="28"/>
        </w:rPr>
        <w:t xml:space="preserve">&lt;0,05) </w:t>
      </w:r>
      <w:r w:rsidRPr="00F90B6B">
        <w:rPr>
          <w:rFonts w:ascii="Times New Roman" w:hAnsi="Times New Roman"/>
          <w:sz w:val="28"/>
          <w:szCs w:val="28"/>
          <w:lang w:eastAsia="ru-RU"/>
        </w:rPr>
        <w:t>та зниження фракції викиду лівого шлуночка (р</w:t>
      </w:r>
      <w:r w:rsidRPr="00F90B6B">
        <w:rPr>
          <w:rFonts w:ascii="Times New Roman" w:hAnsi="Times New Roman"/>
          <w:sz w:val="28"/>
          <w:szCs w:val="28"/>
        </w:rPr>
        <w:t>&lt;0,05)</w:t>
      </w:r>
      <w:r w:rsidRPr="00F90B6B">
        <w:rPr>
          <w:rFonts w:ascii="Times New Roman" w:hAnsi="Times New Roman"/>
          <w:sz w:val="28"/>
          <w:szCs w:val="28"/>
          <w:lang w:eastAsia="ru-RU"/>
        </w:rPr>
        <w:t>.</w:t>
      </w:r>
    </w:p>
    <w:p w:rsidR="00EF4063" w:rsidRPr="00F90B6B" w:rsidRDefault="00EF4063" w:rsidP="00F0048B">
      <w:pPr>
        <w:shd w:val="clear" w:color="auto" w:fill="FFFFFF"/>
        <w:spacing w:after="0" w:line="360" w:lineRule="auto"/>
        <w:ind w:firstLine="709"/>
        <w:jc w:val="right"/>
        <w:rPr>
          <w:rFonts w:ascii="Times New Roman" w:hAnsi="Times New Roman"/>
          <w:i/>
          <w:iCs/>
          <w:sz w:val="28"/>
          <w:szCs w:val="28"/>
          <w:lang w:eastAsia="ru-RU"/>
        </w:rPr>
      </w:pPr>
      <w:r w:rsidRPr="00F90B6B">
        <w:rPr>
          <w:rFonts w:ascii="Times New Roman" w:hAnsi="Times New Roman"/>
          <w:i/>
          <w:iCs/>
          <w:sz w:val="28"/>
          <w:szCs w:val="28"/>
          <w:lang w:eastAsia="ru-RU"/>
        </w:rPr>
        <w:t>Таблиця 3.4.15</w:t>
      </w:r>
    </w:p>
    <w:p w:rsidR="00EF4063" w:rsidRPr="00F90B6B" w:rsidRDefault="00EF4063" w:rsidP="00F0048B">
      <w:pPr>
        <w:shd w:val="clear" w:color="auto" w:fill="FFFFFF"/>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 xml:space="preserve">Ехокардіографічні </w:t>
      </w:r>
      <w:r w:rsidRPr="00F90B6B">
        <w:rPr>
          <w:rFonts w:ascii="Times New Roman" w:hAnsi="Times New Roman"/>
          <w:b/>
          <w:bCs/>
          <w:sz w:val="28"/>
          <w:szCs w:val="28"/>
        </w:rPr>
        <w:t xml:space="preserve">розміри, об’єми та індекси </w:t>
      </w:r>
      <w:r w:rsidRPr="00F90B6B">
        <w:rPr>
          <w:rFonts w:ascii="Times New Roman" w:hAnsi="Times New Roman"/>
          <w:b/>
          <w:bCs/>
          <w:sz w:val="28"/>
          <w:szCs w:val="28"/>
          <w:lang w:eastAsia="ru-RU"/>
        </w:rPr>
        <w:t>у пацієнтів з ХСН залежно від вираженості гіпонатріємії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rPr>
              <w:t>Легка гіпонатріємія</w:t>
            </w:r>
          </w:p>
        </w:tc>
        <w:tc>
          <w:tcPr>
            <w:tcW w:w="2464" w:type="dxa"/>
            <w:vAlign w:val="center"/>
          </w:tcPr>
          <w:p w:rsidR="00EF4063" w:rsidRPr="00F90B6B" w:rsidRDefault="00EF4063" w:rsidP="00F0048B">
            <w:pPr>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rPr>
              <w:t>Важка гіпонатріємія</w:t>
            </w:r>
          </w:p>
        </w:tc>
        <w:tc>
          <w:tcPr>
            <w:tcW w:w="2464" w:type="dxa"/>
            <w:vAlign w:val="center"/>
          </w:tcPr>
          <w:p w:rsidR="00EF4063" w:rsidRPr="00F90B6B" w:rsidRDefault="00EF4063" w:rsidP="00F0048B">
            <w:pPr>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rPr>
              <w:t>р</w:t>
            </w:r>
          </w:p>
        </w:tc>
      </w:tr>
      <w:tr w:rsidR="00EF4063" w:rsidRPr="00F90B6B" w:rsidTr="002119ED">
        <w:tc>
          <w:tcPr>
            <w:tcW w:w="2463"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КДО, мл</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119,2±17,0</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119,5±18,5</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&gt;0,05</w:t>
            </w:r>
          </w:p>
        </w:tc>
      </w:tr>
      <w:tr w:rsidR="00EF4063" w:rsidRPr="00F90B6B" w:rsidTr="002119ED">
        <w:tc>
          <w:tcPr>
            <w:tcW w:w="2463"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КСО, мл</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46,6±5,91</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51,5±4,45</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rPr>
              <w:t>&lt;0,05</w:t>
            </w:r>
          </w:p>
        </w:tc>
      </w:tr>
      <w:tr w:rsidR="00EF4063" w:rsidRPr="00F90B6B" w:rsidTr="002119ED">
        <w:tc>
          <w:tcPr>
            <w:tcW w:w="2463"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ЛП, см</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3,50±0,65</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3,85±0,42</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rPr>
              <w:t>&lt;0,05</w:t>
            </w:r>
          </w:p>
        </w:tc>
      </w:tr>
      <w:tr w:rsidR="00EF4063" w:rsidRPr="00F90B6B" w:rsidTr="002119ED">
        <w:tc>
          <w:tcPr>
            <w:tcW w:w="2463"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ФВ ЛШ, %</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uk-UA"/>
              </w:rPr>
              <w:t>59,8±3,72</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56,5±3,95</w:t>
            </w:r>
          </w:p>
        </w:tc>
        <w:tc>
          <w:tcPr>
            <w:tcW w:w="2464"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rPr>
              <w:t>&lt;0,05</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Частота виявлення діастолічної дисфункції була більшою у пацієнтів з ХСН та рівнем натрію менше 125 ммоль/л, табл. 3.4.16.</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3.4.16</w:t>
      </w:r>
    </w:p>
    <w:p w:rsidR="00EF4063" w:rsidRPr="00F90B6B" w:rsidRDefault="00EF4063" w:rsidP="00F0048B">
      <w:pPr>
        <w:tabs>
          <w:tab w:val="left" w:pos="2856"/>
        </w:tabs>
        <w:spacing w:after="0" w:line="360" w:lineRule="auto"/>
        <w:jc w:val="center"/>
        <w:rPr>
          <w:rFonts w:ascii="Times New Roman" w:hAnsi="Times New Roman"/>
          <w:b/>
          <w:bCs/>
          <w:sz w:val="28"/>
          <w:szCs w:val="28"/>
        </w:rPr>
      </w:pPr>
      <w:r w:rsidRPr="00F90B6B">
        <w:rPr>
          <w:rFonts w:ascii="Times New Roman" w:hAnsi="Times New Roman"/>
          <w:b/>
          <w:bCs/>
          <w:sz w:val="28"/>
          <w:szCs w:val="28"/>
        </w:rPr>
        <w:t>Частота виявлення діастолічної дисфункції та важкої гіпонатріємії у пацієнтів, госпіталізованих з ХСН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8"/>
        <w:gridCol w:w="1974"/>
        <w:gridCol w:w="1974"/>
        <w:gridCol w:w="1974"/>
        <w:gridCol w:w="1661"/>
      </w:tblGrid>
      <w:tr w:rsidR="00EF4063" w:rsidRPr="00F90B6B" w:rsidTr="002119ED">
        <w:tc>
          <w:tcPr>
            <w:tcW w:w="1362" w:type="pct"/>
            <w:vMerge w:val="restart"/>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sz w:val="28"/>
                <w:szCs w:val="28"/>
                <w:lang w:eastAsia="ru-RU"/>
              </w:rPr>
              <w:t>Показник</w:t>
            </w:r>
          </w:p>
        </w:tc>
        <w:tc>
          <w:tcPr>
            <w:tcW w:w="1894" w:type="pct"/>
            <w:gridSpan w:val="2"/>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bCs/>
                <w:sz w:val="28"/>
                <w:szCs w:val="28"/>
              </w:rPr>
              <w:t>Е/А 1,0-2,0</w:t>
            </w:r>
          </w:p>
        </w:tc>
        <w:tc>
          <w:tcPr>
            <w:tcW w:w="1744" w:type="pct"/>
            <w:gridSpan w:val="2"/>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bCs/>
                <w:sz w:val="28"/>
                <w:szCs w:val="28"/>
              </w:rPr>
              <w:t>Е/А до 1,0</w:t>
            </w:r>
          </w:p>
        </w:tc>
      </w:tr>
      <w:tr w:rsidR="00EF4063" w:rsidRPr="00F90B6B" w:rsidTr="002119ED">
        <w:trPr>
          <w:trHeight w:val="338"/>
        </w:trPr>
        <w:tc>
          <w:tcPr>
            <w:tcW w:w="1362" w:type="pct"/>
            <w:vMerge/>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Абс.</w:t>
            </w:r>
          </w:p>
        </w:tc>
        <w:tc>
          <w:tcPr>
            <w:tcW w:w="797" w:type="pct"/>
            <w:vAlign w:val="center"/>
          </w:tcPr>
          <w:p w:rsidR="00EF4063" w:rsidRPr="00F90B6B" w:rsidRDefault="00EF4063" w:rsidP="00224E15">
            <w:pPr>
              <w:tabs>
                <w:tab w:val="left" w:pos="3864"/>
              </w:tabs>
              <w:spacing w:after="0" w:line="288" w:lineRule="auto"/>
              <w:jc w:val="center"/>
              <w:rPr>
                <w:rFonts w:ascii="Times New Roman" w:hAnsi="Times New Roman"/>
                <w:i/>
                <w:iCs/>
                <w:sz w:val="28"/>
                <w:szCs w:val="28"/>
              </w:rPr>
            </w:pPr>
            <w:r w:rsidRPr="00F90B6B">
              <w:rPr>
                <w:rFonts w:ascii="Times New Roman" w:hAnsi="Times New Roman"/>
                <w:i/>
                <w:iCs/>
                <w:sz w:val="28"/>
                <w:szCs w:val="28"/>
              </w:rPr>
              <w:t>%</w:t>
            </w:r>
          </w:p>
        </w:tc>
      </w:tr>
      <w:tr w:rsidR="00EF4063" w:rsidRPr="00F90B6B" w:rsidTr="002119ED">
        <w:tc>
          <w:tcPr>
            <w:tcW w:w="1362" w:type="pct"/>
            <w:vAlign w:val="center"/>
          </w:tcPr>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8</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20,5</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31</w:t>
            </w:r>
          </w:p>
        </w:tc>
        <w:tc>
          <w:tcPr>
            <w:tcW w:w="79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79,5</w:t>
            </w:r>
          </w:p>
        </w:tc>
      </w:tr>
      <w:tr w:rsidR="00EF4063" w:rsidRPr="00F90B6B" w:rsidTr="002119ED">
        <w:tc>
          <w:tcPr>
            <w:tcW w:w="1362" w:type="pct"/>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50,0</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w:t>
            </w:r>
          </w:p>
        </w:tc>
        <w:tc>
          <w:tcPr>
            <w:tcW w:w="79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50,0</w:t>
            </w:r>
          </w:p>
        </w:tc>
      </w:tr>
      <w:tr w:rsidR="00EF4063" w:rsidRPr="00F90B6B" w:rsidTr="002119ED">
        <w:tc>
          <w:tcPr>
            <w:tcW w:w="1362" w:type="pct"/>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0</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0</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8</w:t>
            </w:r>
          </w:p>
        </w:tc>
        <w:tc>
          <w:tcPr>
            <w:tcW w:w="79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100,0</w:t>
            </w:r>
          </w:p>
        </w:tc>
      </w:tr>
      <w:tr w:rsidR="00EF4063" w:rsidRPr="00F90B6B" w:rsidTr="002119ED">
        <w:tc>
          <w:tcPr>
            <w:tcW w:w="1362" w:type="pct"/>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rPr>
              <w:t>Всього</w:t>
            </w:r>
          </w:p>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iCs/>
                <w:sz w:val="28"/>
                <w:szCs w:val="28"/>
                <w:lang w:val="en-US"/>
              </w:rPr>
              <w:t>n=49</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9</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18,4</w:t>
            </w:r>
          </w:p>
        </w:tc>
        <w:tc>
          <w:tcPr>
            <w:tcW w:w="94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40</w:t>
            </w:r>
          </w:p>
        </w:tc>
        <w:tc>
          <w:tcPr>
            <w:tcW w:w="797" w:type="pct"/>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81,6</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Приріст абсолютного ризику становив 23,0%, встановлено вірогідні показники відносного ризику (1,35 [1,0-1,83]) розвитку діастолічної дисфункції та Е/А&lt;1,0 у пацієнтів з ХСН та важкою гіпонатріємією, табл. 3.4.17.</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3.4.17</w:t>
      </w:r>
    </w:p>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Абсолютний та відносний ризик, відношення шансів розвитку діастолічної дисфункції та Е/А&lt;1,0 у пацієнтів з ХСН та важкою гіпонатріємією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224E15">
            <w:pPr>
              <w:tabs>
                <w:tab w:val="left" w:pos="3864"/>
              </w:tabs>
              <w:spacing w:after="0" w:line="288"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224E15">
            <w:pPr>
              <w:tabs>
                <w:tab w:val="left" w:pos="3864"/>
              </w:tabs>
              <w:spacing w:after="0" w:line="288"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246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90,0</w:t>
            </w:r>
          </w:p>
        </w:tc>
        <w:tc>
          <w:tcPr>
            <w:tcW w:w="2464" w:type="dxa"/>
            <w:vMerge w:val="restart"/>
            <w:vAlign w:val="center"/>
          </w:tcPr>
          <w:p w:rsidR="00EF4063" w:rsidRPr="00F90B6B" w:rsidRDefault="00EF4063" w:rsidP="00224E15">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1,35</w:t>
            </w:r>
          </w:p>
          <w:p w:rsidR="00EF4063" w:rsidRPr="00F90B6B" w:rsidRDefault="00EF4063" w:rsidP="00224E15">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[1,0-1,83]</w:t>
            </w:r>
          </w:p>
        </w:tc>
        <w:tc>
          <w:tcPr>
            <w:tcW w:w="2464" w:type="dxa"/>
            <w:vMerge w:val="restart"/>
            <w:vAlign w:val="center"/>
          </w:tcPr>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4,50</w:t>
            </w:r>
          </w:p>
          <w:p w:rsidR="00EF4063" w:rsidRPr="00F90B6B" w:rsidRDefault="00EF4063" w:rsidP="00224E15">
            <w:pPr>
              <w:tabs>
                <w:tab w:val="left" w:pos="3864"/>
              </w:tabs>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[0,51-39,5]</w:t>
            </w:r>
          </w:p>
        </w:tc>
      </w:tr>
      <w:tr w:rsidR="00EF4063" w:rsidRPr="00F90B6B" w:rsidTr="002119ED">
        <w:tc>
          <w:tcPr>
            <w:tcW w:w="2463" w:type="dxa"/>
            <w:vAlign w:val="center"/>
          </w:tcPr>
          <w:p w:rsidR="00EF4063" w:rsidRPr="00F90B6B" w:rsidRDefault="00EF4063" w:rsidP="00224E15">
            <w:pPr>
              <w:tabs>
                <w:tab w:val="left" w:pos="3864"/>
              </w:tabs>
              <w:spacing w:after="0" w:line="288"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2464" w:type="dxa"/>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67,0</w:t>
            </w:r>
          </w:p>
        </w:tc>
        <w:tc>
          <w:tcPr>
            <w:tcW w:w="2464" w:type="dxa"/>
            <w:vMerge/>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p>
        </w:tc>
        <w:tc>
          <w:tcPr>
            <w:tcW w:w="2464" w:type="dxa"/>
            <w:vMerge/>
            <w:vAlign w:val="center"/>
          </w:tcPr>
          <w:p w:rsidR="00EF4063" w:rsidRPr="00F90B6B" w:rsidRDefault="00EF4063" w:rsidP="00224E15">
            <w:pPr>
              <w:tabs>
                <w:tab w:val="left" w:pos="3864"/>
              </w:tabs>
              <w:spacing w:after="0" w:line="288" w:lineRule="auto"/>
              <w:jc w:val="center"/>
              <w:rPr>
                <w:rFonts w:ascii="Times New Roman" w:hAnsi="Times New Roman"/>
                <w:sz w:val="28"/>
                <w:szCs w:val="28"/>
              </w:rPr>
            </w:pP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Патогенетично обгрунтоване фармакологічне лікування є провідним підходом до ведення хворих з ХСН та направлене на покращення клінічного стану, функціональної активності, якості життя, попередження госпіталізацій і зменшення смертності. Інгібітори ангіотензинперетворюючого ферменту, антагоністи мінералокортикоїдних рецепторів та β-адреноблокатори (клас I, рівень А) залишаються препаратами першого вибору. Антагоністи рецепторів ангіотензину II </w:t>
      </w:r>
      <w:r w:rsidRPr="00F90B6B">
        <w:rPr>
          <w:rFonts w:ascii="Times New Roman" w:hAnsi="Times New Roman"/>
          <w:sz w:val="28"/>
          <w:szCs w:val="28"/>
        </w:rPr>
        <w:lastRenderedPageBreak/>
        <w:t>(АРА ІІ) рекомендовано розглядати як альтернативу інгібіторам ангіотензинперетворюючого ферменту (ІАПФ) при непереносимості останніх в разі, якщо пацієнт приймає β-адреноблокатори та антагоністи мінералокортикоїдних рецепторів, з метою зниження ризику госпіталізацій і серцево-судинної смерті у зв'язку з ХСН (клас I, рівень В).</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нашій роботі співвідношення ІАПФ та АРА ІІ серед усієї вибірки становило 58,5% (103 чол.) до 41,5% (73 чол.), рис. 3.4.1.</w:t>
      </w:r>
    </w:p>
    <w:p w:rsidR="00EF4063" w:rsidRPr="00F90B6B" w:rsidRDefault="006F7754" w:rsidP="00F0048B">
      <w:pPr>
        <w:spacing w:after="0" w:line="360" w:lineRule="auto"/>
        <w:ind w:firstLine="709"/>
        <w:jc w:val="center"/>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000625" cy="2857500"/>
            <wp:effectExtent l="0" t="0" r="0" b="0"/>
            <wp:docPr id="132" name="Диаграмма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7"/>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bCs/>
          <w:sz w:val="28"/>
          <w:szCs w:val="28"/>
        </w:rPr>
        <w:t xml:space="preserve">Рис. 3.4.1. </w:t>
      </w:r>
      <w:r w:rsidRPr="00F90B6B">
        <w:rPr>
          <w:rFonts w:ascii="Times New Roman" w:hAnsi="Times New Roman"/>
          <w:sz w:val="28"/>
          <w:szCs w:val="28"/>
        </w:rPr>
        <w:t>Співвідношення інгібіторів ангіотензинперетворюючого ферменту та антагоністів рецепторів ангіотензину II у хворих, госпіталізованих з ХСН.</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Спектр ІАПФ, що призначені у хворих, госпіталізованих з приводу декомпенсації ХСН, наведено в таблиці 3.4.18.</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3.4.18</w:t>
      </w:r>
    </w:p>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Спектр інгібіторів ангіотензинперетворюючого ферменту, що призначені у хворих, госпіталізованих з приводу декомпенсації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Показник</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3285" w:type="dxa"/>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Еналаприл</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14</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13,6</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Лізиноприл</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19</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18,4</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Раміприл</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53</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51,4</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Квінаприл</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17</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16,5</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i/>
                <w:iCs/>
                <w:sz w:val="28"/>
                <w:szCs w:val="28"/>
              </w:rPr>
            </w:pPr>
            <w:r w:rsidRPr="00F90B6B">
              <w:rPr>
                <w:rFonts w:ascii="Times New Roman" w:hAnsi="Times New Roman"/>
                <w:b/>
                <w:bCs/>
                <w:i/>
                <w:iCs/>
                <w:sz w:val="28"/>
                <w:szCs w:val="28"/>
              </w:rPr>
              <w:t>Всього</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103</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100,0</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Спектр АРАІІ, що застосовувались у пацієнтів, включених в проспективне спостереження та госпіталізованих з приводу декомпенсації ХСН, наведено в таблиці 3.4.19.</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3.4.19</w:t>
      </w:r>
    </w:p>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Спектр антагоністів рецептору ангіотензину II, що призначені у хворих, госпіталізованих з приводу декомпенсації ХСН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Показник</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85"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3285" w:type="dxa"/>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Лозартан</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23</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31,5</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Вальсартан</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50</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68,5</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b/>
                <w:bCs/>
                <w:i/>
                <w:iCs/>
                <w:sz w:val="28"/>
                <w:szCs w:val="28"/>
              </w:rPr>
            </w:pPr>
            <w:r w:rsidRPr="00F90B6B">
              <w:rPr>
                <w:rFonts w:ascii="Times New Roman" w:hAnsi="Times New Roman"/>
                <w:b/>
                <w:bCs/>
                <w:i/>
                <w:iCs/>
                <w:sz w:val="28"/>
                <w:szCs w:val="28"/>
              </w:rPr>
              <w:t>Всього</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73</w:t>
            </w:r>
          </w:p>
        </w:tc>
        <w:tc>
          <w:tcPr>
            <w:tcW w:w="3285" w:type="dxa"/>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100,0</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Антагоністи рецепторів ангіотензину II призначають всім пацієнтам з ХСН при непереносимості ІАПФ з метою зменшення вираженості клінічних симптомів, ризику госпіталізацій з приводу СН та поліпшення виживаності.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Розподіл ІАПФ та АРАІІ за наявності гіпонатріємії наведено в таблиці 3.4.6. Як бачимо, вірогідної асоціації виявлення гіпонатріємії з призначенням ІАПФ або АРАІІ виявлено не було.</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3.4.20</w:t>
      </w:r>
    </w:p>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Розподіл інгібіторів ангіотензинперетворюючого ферменту та антагоністів рецептору ангіотензину II залежно від наявності гіпонатріємії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8"/>
        <w:gridCol w:w="1542"/>
        <w:gridCol w:w="1536"/>
        <w:gridCol w:w="1542"/>
        <w:gridCol w:w="1536"/>
        <w:gridCol w:w="1391"/>
      </w:tblGrid>
      <w:tr w:rsidR="00EF4063" w:rsidRPr="00F90B6B" w:rsidTr="002119ED">
        <w:tc>
          <w:tcPr>
            <w:tcW w:w="2308" w:type="dxa"/>
            <w:vMerge w:val="restart"/>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078" w:type="dxa"/>
            <w:gridSpan w:val="2"/>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ІАПФ</w:t>
            </w:r>
          </w:p>
        </w:tc>
        <w:tc>
          <w:tcPr>
            <w:tcW w:w="3078" w:type="dxa"/>
            <w:gridSpan w:val="2"/>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АРАІІ</w:t>
            </w:r>
          </w:p>
        </w:tc>
        <w:tc>
          <w:tcPr>
            <w:tcW w:w="1391" w:type="dxa"/>
            <w:vMerge w:val="restart"/>
            <w:vAlign w:val="center"/>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р</w:t>
            </w:r>
          </w:p>
        </w:tc>
      </w:tr>
      <w:tr w:rsidR="00EF4063" w:rsidRPr="00F90B6B" w:rsidTr="002119ED">
        <w:tc>
          <w:tcPr>
            <w:tcW w:w="2308" w:type="dxa"/>
            <w:vMerge/>
          </w:tcPr>
          <w:p w:rsidR="00EF4063" w:rsidRPr="00F90B6B" w:rsidRDefault="00EF4063" w:rsidP="00F0048B">
            <w:pPr>
              <w:tabs>
                <w:tab w:val="left" w:pos="4632"/>
              </w:tabs>
              <w:spacing w:after="0" w:line="360" w:lineRule="auto"/>
              <w:jc w:val="center"/>
              <w:rPr>
                <w:rFonts w:ascii="Times New Roman" w:hAnsi="Times New Roman"/>
                <w:b/>
                <w:bCs/>
                <w:i/>
                <w:iCs/>
                <w:sz w:val="28"/>
                <w:szCs w:val="28"/>
              </w:rPr>
            </w:pPr>
          </w:p>
        </w:tc>
        <w:tc>
          <w:tcPr>
            <w:tcW w:w="1542"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1536"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c>
          <w:tcPr>
            <w:tcW w:w="1542"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1536" w:type="dxa"/>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c>
          <w:tcPr>
            <w:tcW w:w="1391" w:type="dxa"/>
            <w:vMerge/>
          </w:tcPr>
          <w:p w:rsidR="00EF4063" w:rsidRPr="00F90B6B" w:rsidRDefault="00EF4063" w:rsidP="00F0048B">
            <w:pPr>
              <w:spacing w:after="0" w:line="360" w:lineRule="auto"/>
              <w:jc w:val="center"/>
              <w:rPr>
                <w:rFonts w:ascii="Times New Roman" w:hAnsi="Times New Roman"/>
                <w:b/>
                <w:bCs/>
                <w:sz w:val="28"/>
                <w:szCs w:val="28"/>
                <w:lang w:val="en-US"/>
              </w:rPr>
            </w:pPr>
          </w:p>
        </w:tc>
      </w:tr>
      <w:tr w:rsidR="00EF4063" w:rsidRPr="00F90B6B" w:rsidTr="002119ED">
        <w:tc>
          <w:tcPr>
            <w:tcW w:w="2308" w:type="dxa"/>
          </w:tcPr>
          <w:p w:rsidR="00EF4063" w:rsidRPr="00F90B6B" w:rsidRDefault="00EF4063" w:rsidP="00F0048B">
            <w:pPr>
              <w:tabs>
                <w:tab w:val="left" w:pos="4632"/>
              </w:tabs>
              <w:spacing w:after="0" w:line="360" w:lineRule="auto"/>
              <w:jc w:val="center"/>
              <w:rPr>
                <w:rFonts w:ascii="Times New Roman" w:hAnsi="Times New Roman"/>
                <w:bCs/>
                <w:i/>
                <w:iCs/>
                <w:sz w:val="28"/>
                <w:szCs w:val="28"/>
              </w:rPr>
            </w:pPr>
            <w:r w:rsidRPr="00F90B6B">
              <w:rPr>
                <w:rFonts w:ascii="Times New Roman" w:hAnsi="Times New Roman"/>
                <w:bCs/>
                <w:i/>
                <w:iCs/>
                <w:sz w:val="28"/>
                <w:szCs w:val="28"/>
              </w:rPr>
              <w:t>Нормонатріємія</w:t>
            </w:r>
          </w:p>
        </w:tc>
        <w:tc>
          <w:tcPr>
            <w:tcW w:w="1542"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71</w:t>
            </w:r>
          </w:p>
        </w:tc>
        <w:tc>
          <w:tcPr>
            <w:tcW w:w="1536"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67,6</w:t>
            </w:r>
          </w:p>
        </w:tc>
        <w:tc>
          <w:tcPr>
            <w:tcW w:w="1542"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34</w:t>
            </w:r>
          </w:p>
        </w:tc>
        <w:tc>
          <w:tcPr>
            <w:tcW w:w="1536"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32,4</w:t>
            </w:r>
          </w:p>
        </w:tc>
        <w:tc>
          <w:tcPr>
            <w:tcW w:w="1391"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&gt;0,05</w:t>
            </w:r>
          </w:p>
        </w:tc>
      </w:tr>
      <w:tr w:rsidR="00EF4063" w:rsidRPr="00F90B6B" w:rsidTr="002119ED">
        <w:tc>
          <w:tcPr>
            <w:tcW w:w="2308" w:type="dxa"/>
          </w:tcPr>
          <w:p w:rsidR="00EF4063" w:rsidRPr="00F90B6B" w:rsidRDefault="00EF4063" w:rsidP="00F0048B">
            <w:pPr>
              <w:tabs>
                <w:tab w:val="left" w:pos="426"/>
                <w:tab w:val="left" w:pos="4632"/>
              </w:tabs>
              <w:spacing w:after="0" w:line="360" w:lineRule="auto"/>
              <w:jc w:val="center"/>
              <w:rPr>
                <w:rFonts w:ascii="Times New Roman" w:hAnsi="Times New Roman"/>
                <w:bCs/>
                <w:i/>
                <w:iCs/>
                <w:sz w:val="28"/>
                <w:szCs w:val="28"/>
              </w:rPr>
            </w:pPr>
            <w:r w:rsidRPr="00F90B6B">
              <w:rPr>
                <w:rFonts w:ascii="Times New Roman" w:hAnsi="Times New Roman"/>
                <w:bCs/>
                <w:i/>
                <w:iCs/>
                <w:sz w:val="28"/>
                <w:szCs w:val="28"/>
              </w:rPr>
              <w:t>Гіпонатріємія</w:t>
            </w:r>
          </w:p>
        </w:tc>
        <w:tc>
          <w:tcPr>
            <w:tcW w:w="1542"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32</w:t>
            </w:r>
          </w:p>
        </w:tc>
        <w:tc>
          <w:tcPr>
            <w:tcW w:w="1536"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65,3</w:t>
            </w:r>
          </w:p>
        </w:tc>
        <w:tc>
          <w:tcPr>
            <w:tcW w:w="1542"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17</w:t>
            </w:r>
          </w:p>
        </w:tc>
        <w:tc>
          <w:tcPr>
            <w:tcW w:w="1536"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34,7</w:t>
            </w:r>
          </w:p>
        </w:tc>
        <w:tc>
          <w:tcPr>
            <w:tcW w:w="1391" w:type="dxa"/>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&gt;0,05</w:t>
            </w:r>
          </w:p>
        </w:tc>
      </w:tr>
    </w:tbl>
    <w:p w:rsidR="00EF4063" w:rsidRPr="00F90B6B" w:rsidRDefault="00EF4063" w:rsidP="00F0048B">
      <w:pPr>
        <w:tabs>
          <w:tab w:val="left" w:pos="4632"/>
        </w:tabs>
        <w:spacing w:after="0" w:line="360" w:lineRule="auto"/>
        <w:ind w:firstLine="709"/>
        <w:jc w:val="both"/>
        <w:rPr>
          <w:rFonts w:ascii="Times New Roman" w:hAnsi="Times New Roman"/>
          <w:sz w:val="28"/>
          <w:szCs w:val="28"/>
        </w:rPr>
      </w:pPr>
      <w:r w:rsidRPr="00F90B6B">
        <w:rPr>
          <w:rFonts w:ascii="Times New Roman" w:hAnsi="Times New Roman"/>
          <w:sz w:val="28"/>
          <w:szCs w:val="28"/>
        </w:rPr>
        <w:t>Частота призначення β-адреноблокаторів у пацієнтів з ХСН та ожирінням на фоні збереженої фракції викиду лівого шлуночка наведена на рис. 3.4.2.</w:t>
      </w:r>
    </w:p>
    <w:p w:rsidR="00EF4063" w:rsidRPr="00F90B6B" w:rsidRDefault="00EF4063" w:rsidP="00F0048B">
      <w:pPr>
        <w:tabs>
          <w:tab w:val="left" w:pos="4632"/>
        </w:tabs>
        <w:spacing w:after="0" w:line="360" w:lineRule="auto"/>
        <w:ind w:firstLine="709"/>
        <w:jc w:val="both"/>
        <w:rPr>
          <w:rFonts w:ascii="Times New Roman" w:hAnsi="Times New Roman"/>
          <w:sz w:val="28"/>
          <w:szCs w:val="28"/>
        </w:rPr>
      </w:pPr>
      <w:r w:rsidRPr="00F90B6B">
        <w:rPr>
          <w:rFonts w:ascii="Times New Roman" w:hAnsi="Times New Roman"/>
          <w:sz w:val="28"/>
          <w:szCs w:val="28"/>
        </w:rPr>
        <w:t>Таким чином, β-адреноблокатори були призначені 103 хворим (70,5%).</w:t>
      </w:r>
    </w:p>
    <w:p w:rsidR="00EF4063" w:rsidRPr="00F90B6B" w:rsidRDefault="006F7754" w:rsidP="00F0048B">
      <w:pPr>
        <w:spacing w:after="0" w:line="360" w:lineRule="auto"/>
        <w:ind w:firstLine="709"/>
        <w:jc w:val="both"/>
        <w:rPr>
          <w:rFonts w:ascii="Times New Roman" w:hAnsi="Times New Roman"/>
          <w:sz w:val="28"/>
          <w:szCs w:val="28"/>
        </w:rPr>
      </w:pPr>
      <w:r w:rsidRPr="00BD2F09">
        <w:rPr>
          <w:rFonts w:ascii="Times New Roman" w:hAnsi="Times New Roman"/>
          <w:noProof/>
          <w:sz w:val="28"/>
          <w:szCs w:val="28"/>
          <w:lang w:val="ru-RU" w:eastAsia="ru-RU"/>
        </w:rPr>
        <w:lastRenderedPageBreak/>
        <w:drawing>
          <wp:inline distT="0" distB="0" distL="0" distR="0">
            <wp:extent cx="5257800" cy="2838450"/>
            <wp:effectExtent l="0" t="0" r="0" b="0"/>
            <wp:docPr id="133" name="Диаграмма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8"/>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bCs/>
          <w:sz w:val="28"/>
          <w:szCs w:val="28"/>
        </w:rPr>
        <w:t xml:space="preserve">Рис. 3.4.2. </w:t>
      </w:r>
      <w:r w:rsidRPr="00F90B6B">
        <w:rPr>
          <w:rFonts w:ascii="Times New Roman" w:hAnsi="Times New Roman"/>
          <w:sz w:val="28"/>
          <w:szCs w:val="28"/>
        </w:rPr>
        <w:t>Частота призначення β-адреноблокаторів у хворих з ХСН та збереженою фракцією викиду лівого шлуночка.</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Спектр призначених β-адреноблокаторів наведено на рис. 3.4.3. Базуючись на сучасних рекомендаціях по лікуванню ХСН, були обрані три β-адреноблокатори – бісопролол, небіволол, карведілол. </w:t>
      </w:r>
    </w:p>
    <w:p w:rsidR="00EF4063" w:rsidRPr="00F90B6B" w:rsidRDefault="006F7754" w:rsidP="00F0048B">
      <w:pPr>
        <w:spacing w:after="0" w:line="360" w:lineRule="auto"/>
        <w:ind w:firstLine="709"/>
        <w:jc w:val="center"/>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086350" cy="2562225"/>
            <wp:effectExtent l="0" t="0" r="0" b="0"/>
            <wp:docPr id="134" name="Диаграмма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9"/>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bCs/>
          <w:sz w:val="28"/>
          <w:szCs w:val="28"/>
        </w:rPr>
        <w:t xml:space="preserve">Рис. 3.4.3. </w:t>
      </w:r>
      <w:r w:rsidRPr="00F90B6B">
        <w:rPr>
          <w:rFonts w:ascii="Times New Roman" w:hAnsi="Times New Roman"/>
          <w:sz w:val="28"/>
          <w:szCs w:val="28"/>
        </w:rPr>
        <w:t>Спектр β-адреноблокаторів у хворих з ХСН та ожирінням, включених в дослідження.</w:t>
      </w:r>
    </w:p>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 них, бісопролол складав найбільшу частку – 65,0% (67 чол.), надалі, розподіл між карведілолом та небівололом становив 21,4% (22 чол.) та 13,6% (14 чол.).</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Антагоніст альдостерону спіронолактон в анамнезі, до включення в дослідження призначався у 123 пацієнтів з ХСН (84,2%), рис. 3.4.4. </w:t>
      </w:r>
    </w:p>
    <w:p w:rsidR="00EF4063" w:rsidRPr="00F90B6B" w:rsidRDefault="006F7754" w:rsidP="00F0048B">
      <w:pPr>
        <w:spacing w:after="0" w:line="360" w:lineRule="auto"/>
        <w:ind w:firstLine="709"/>
        <w:jc w:val="center"/>
        <w:rPr>
          <w:rFonts w:ascii="Times New Roman" w:hAnsi="Times New Roman"/>
          <w:sz w:val="28"/>
          <w:szCs w:val="28"/>
        </w:rPr>
      </w:pPr>
      <w:r w:rsidRPr="00BD2F09">
        <w:rPr>
          <w:rFonts w:ascii="Times New Roman" w:hAnsi="Times New Roman"/>
          <w:noProof/>
          <w:sz w:val="28"/>
          <w:szCs w:val="28"/>
          <w:lang w:val="ru-RU" w:eastAsia="ru-RU"/>
        </w:rPr>
        <w:lastRenderedPageBreak/>
        <w:drawing>
          <wp:inline distT="0" distB="0" distL="0" distR="0">
            <wp:extent cx="4705350" cy="2419350"/>
            <wp:effectExtent l="0" t="0" r="0" b="0"/>
            <wp:docPr id="135" name="Диаграмма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0"/>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bCs/>
          <w:sz w:val="28"/>
          <w:szCs w:val="28"/>
        </w:rPr>
        <w:t>Рис. 3.4.4.</w:t>
      </w:r>
      <w:r w:rsidRPr="00F90B6B">
        <w:rPr>
          <w:rFonts w:ascii="Times New Roman" w:hAnsi="Times New Roman"/>
          <w:sz w:val="28"/>
          <w:szCs w:val="28"/>
        </w:rPr>
        <w:t xml:space="preserve"> Частота призначення спіронолактону у хворих з ХСН та ожирінням перед включенням в дослідження.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 них – 35 пацієнтів з верифікованою при проспективному спостереженні гіпонатріємією (71,4%), рис. 3.4.5. </w:t>
      </w:r>
    </w:p>
    <w:p w:rsidR="00EF4063" w:rsidRPr="00F90B6B" w:rsidRDefault="006F7754" w:rsidP="00F0048B">
      <w:pPr>
        <w:spacing w:after="0" w:line="360" w:lineRule="auto"/>
        <w:ind w:firstLine="709"/>
        <w:jc w:val="center"/>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5038725" cy="2724150"/>
            <wp:effectExtent l="0" t="0" r="0" b="0"/>
            <wp:docPr id="136"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1"/>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bCs/>
          <w:sz w:val="28"/>
          <w:szCs w:val="28"/>
        </w:rPr>
        <w:t>Рис. 3.4.5.</w:t>
      </w:r>
      <w:r w:rsidRPr="00F90B6B">
        <w:rPr>
          <w:rFonts w:ascii="Times New Roman" w:hAnsi="Times New Roman"/>
          <w:sz w:val="28"/>
          <w:szCs w:val="28"/>
        </w:rPr>
        <w:t xml:space="preserve"> Частота призначення спіронолактону у хворих з ХСН та ожирінням з верифікованою гіпонатріємією перед включенням в дослідження.</w:t>
      </w:r>
    </w:p>
    <w:p w:rsidR="00224E15" w:rsidRPr="00F90B6B" w:rsidRDefault="00EF4063" w:rsidP="00224E15">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Не було встановлено вірогідної асоціації гіпонатріємії із призначенням спіронолактону, табл. 3.4.21.</w:t>
      </w:r>
      <w:r w:rsidR="00224E15" w:rsidRPr="00F90B6B">
        <w:rPr>
          <w:rFonts w:ascii="Times New Roman" w:hAnsi="Times New Roman"/>
          <w:sz w:val="28"/>
          <w:szCs w:val="28"/>
        </w:rPr>
        <w:t xml:space="preserve"> </w:t>
      </w:r>
    </w:p>
    <w:p w:rsidR="00224E15" w:rsidRPr="00F90B6B" w:rsidRDefault="00224E15" w:rsidP="00224E15">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Не зважаючи на це, при включенні хворих у дослідження, за наявності гіпонатріємії, зважаючи на механізм дії, прийом антагоністів альдостерону припинявся.</w:t>
      </w:r>
    </w:p>
    <w:p w:rsidR="00EF4063" w:rsidRPr="00F90B6B" w:rsidRDefault="00EF4063" w:rsidP="00F0048B">
      <w:pPr>
        <w:spacing w:after="0" w:line="360" w:lineRule="auto"/>
        <w:ind w:firstLine="709"/>
        <w:jc w:val="both"/>
        <w:rPr>
          <w:rFonts w:ascii="Times New Roman" w:hAnsi="Times New Roman"/>
          <w:sz w:val="28"/>
          <w:szCs w:val="28"/>
        </w:rPr>
      </w:pPr>
    </w:p>
    <w:p w:rsidR="00224E15" w:rsidRPr="00F90B6B" w:rsidRDefault="00224E15" w:rsidP="00F0048B">
      <w:pPr>
        <w:spacing w:after="0" w:line="360" w:lineRule="auto"/>
        <w:ind w:firstLine="709"/>
        <w:jc w:val="right"/>
        <w:rPr>
          <w:rFonts w:ascii="Times New Roman" w:hAnsi="Times New Roman"/>
          <w:i/>
          <w:iCs/>
          <w:sz w:val="28"/>
          <w:szCs w:val="28"/>
          <w:lang w:val="ru-RU"/>
        </w:rPr>
      </w:pP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lastRenderedPageBreak/>
        <w:t>Таблиця 3.4.21</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 xml:space="preserve">Вірогідність асоціації гіпонатріємії із призначенням антагоністів альдостерону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 xml:space="preserve">Гіпонатріємія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71,0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1,03</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[0,83-1,27]</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1,11</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[0,54-2,29]</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69,0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Відомо, що метою діуретичної терапії у хворих з ХСН є досягнення та підтримка еуволемічного стану з використанням найменшої дози діуретика, яка підбирається поступово відповідно до індивідуальних особливостей пацієнта.  У деяких пацієнтів без клінічних симптомів діуретична терапія тимчасово може бути припинена.  Пацієнти можуть самостійно коригувати дози діуретиків за допомогою контролю симптомів та щоденного зважування</w:t>
      </w:r>
      <w:r w:rsidRPr="00F90B6B">
        <w:rPr>
          <w:rFonts w:ascii="Times New Roman" w:hAnsi="Times New Roman"/>
          <w:sz w:val="28"/>
          <w:szCs w:val="28"/>
          <w:lang w:val="ru-RU"/>
        </w:rPr>
        <w:t xml:space="preserve"> [48, 81, 111, 156]</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нашому дослідженні гідрохлортіазид призначався 73 (49,4%) пацієнтам, з них – 37 пацієнтів мали гіпонатр</w:t>
      </w:r>
      <w:r w:rsidR="00021D22">
        <w:rPr>
          <w:rFonts w:ascii="Times New Roman" w:hAnsi="Times New Roman"/>
          <w:sz w:val="28"/>
          <w:szCs w:val="28"/>
        </w:rPr>
        <w:t>іємію (21,0%), табл. 3.4.22. Се</w:t>
      </w:r>
      <w:r w:rsidRPr="00F90B6B">
        <w:rPr>
          <w:rFonts w:ascii="Times New Roman" w:hAnsi="Times New Roman"/>
          <w:sz w:val="28"/>
          <w:szCs w:val="28"/>
        </w:rPr>
        <w:t>редньодобова доза становила 34,9±9,86 мг/добу.</w: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Доведено, що частота призначення гідрохлортіазиду у хворих з гіпонатріємією була суттєво більшою.</w:t>
      </w:r>
    </w:p>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3.4.22</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Частота призначення гідрохлортіазиду у хворих з ХСН та ожирінням залежно від наявності гіпонатріємії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285" w:type="dxa"/>
            <w:vAlign w:val="center"/>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85" w:type="dxa"/>
            <w:vAlign w:val="center"/>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3285"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Нормонатріємія</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w:t>
            </w:r>
            <w:r w:rsidRPr="00F90B6B">
              <w:rPr>
                <w:rFonts w:ascii="Times New Roman" w:hAnsi="Times New Roman"/>
                <w:i/>
                <w:iCs/>
                <w:sz w:val="28"/>
                <w:szCs w:val="28"/>
              </w:rPr>
              <w:t>75</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36</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4</w:t>
            </w:r>
            <w:r w:rsidRPr="00F90B6B">
              <w:rPr>
                <w:rFonts w:ascii="Times New Roman" w:hAnsi="Times New Roman"/>
                <w:sz w:val="28"/>
                <w:szCs w:val="28"/>
              </w:rPr>
              <w:t>8,0</w:t>
            </w:r>
          </w:p>
        </w:tc>
      </w:tr>
      <w:tr w:rsidR="00EF4063" w:rsidRPr="00F90B6B" w:rsidTr="002119ED">
        <w:tc>
          <w:tcPr>
            <w:tcW w:w="3285" w:type="dxa"/>
            <w:vAlign w:val="center"/>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Гіпонатріємія</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N=49</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37</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75,5</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Приріст абсолютного ризику за призначення гідрохлортіазиду становив 28,0% з вірогідними показниками RR 1,59 [1,23-2,05] та OR 1,59 [1,23-2,05]. </w:t>
      </w:r>
    </w:p>
    <w:p w:rsidR="00224E15" w:rsidRPr="00F90B6B" w:rsidRDefault="00224E15" w:rsidP="00F0048B">
      <w:pPr>
        <w:spacing w:after="0" w:line="360" w:lineRule="auto"/>
        <w:ind w:firstLine="709"/>
        <w:jc w:val="right"/>
        <w:rPr>
          <w:rFonts w:ascii="Times New Roman" w:hAnsi="Times New Roman"/>
          <w:i/>
          <w:iCs/>
          <w:sz w:val="28"/>
          <w:szCs w:val="28"/>
          <w:lang w:val="ru-RU"/>
        </w:rPr>
      </w:pPr>
    </w:p>
    <w:p w:rsidR="00224E15" w:rsidRPr="00F90B6B" w:rsidRDefault="00224E15" w:rsidP="00F0048B">
      <w:pPr>
        <w:spacing w:after="0" w:line="360" w:lineRule="auto"/>
        <w:ind w:firstLine="709"/>
        <w:jc w:val="right"/>
        <w:rPr>
          <w:rFonts w:ascii="Times New Roman" w:hAnsi="Times New Roman"/>
          <w:i/>
          <w:iCs/>
          <w:sz w:val="28"/>
          <w:szCs w:val="28"/>
          <w:lang w:val="ru-RU"/>
        </w:rPr>
      </w:pP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lastRenderedPageBreak/>
        <w:t>Таблиця 3.4.23</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Вірогідність асоціації гіпонатріємії із призначенням гідрохлортіазиду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 xml:space="preserve">Гіпонатріємія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76,0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1,59</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[1,2</w:t>
            </w:r>
            <w:r w:rsidRPr="00F90B6B">
              <w:rPr>
                <w:rFonts w:ascii="Times New Roman" w:hAnsi="Times New Roman"/>
                <w:sz w:val="28"/>
                <w:szCs w:val="28"/>
              </w:rPr>
              <w:t>3-</w:t>
            </w:r>
            <w:r w:rsidRPr="00F90B6B">
              <w:rPr>
                <w:rFonts w:ascii="Times New Roman" w:hAnsi="Times New Roman"/>
                <w:sz w:val="28"/>
                <w:szCs w:val="28"/>
                <w:lang w:val="en-US"/>
              </w:rPr>
              <w:t>2,0</w:t>
            </w:r>
            <w:r w:rsidRPr="00F90B6B">
              <w:rPr>
                <w:rFonts w:ascii="Times New Roman" w:hAnsi="Times New Roman"/>
                <w:sz w:val="28"/>
                <w:szCs w:val="28"/>
              </w:rPr>
              <w:t>5</w:t>
            </w:r>
            <w:r w:rsidRPr="00F90B6B">
              <w:rPr>
                <w:rFonts w:ascii="Times New Roman" w:hAnsi="Times New Roman"/>
                <w:sz w:val="28"/>
                <w:szCs w:val="28"/>
                <w:lang w:val="en-US"/>
              </w:rPr>
              <w:t>]</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rPr>
              <w:t>3,39</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[1,59</w:t>
            </w:r>
            <w:r w:rsidRPr="00F90B6B">
              <w:rPr>
                <w:rFonts w:ascii="Times New Roman" w:hAnsi="Times New Roman"/>
                <w:sz w:val="28"/>
                <w:szCs w:val="28"/>
              </w:rPr>
              <w:t>-</w:t>
            </w:r>
            <w:r w:rsidRPr="00F90B6B">
              <w:rPr>
                <w:rFonts w:ascii="Times New Roman" w:hAnsi="Times New Roman"/>
                <w:sz w:val="28"/>
                <w:szCs w:val="28"/>
                <w:lang w:val="en-US"/>
              </w:rPr>
              <w:t>7,2</w:t>
            </w:r>
            <w:r w:rsidRPr="00F90B6B">
              <w:rPr>
                <w:rFonts w:ascii="Times New Roman" w:hAnsi="Times New Roman"/>
                <w:sz w:val="28"/>
                <w:szCs w:val="28"/>
              </w:rPr>
              <w:t>3</w:t>
            </w:r>
            <w:r w:rsidRPr="00F90B6B">
              <w:rPr>
                <w:rFonts w:ascii="Times New Roman" w:hAnsi="Times New Roman"/>
                <w:sz w:val="28"/>
                <w:szCs w:val="28"/>
                <w:lang w:val="en-US"/>
              </w:rPr>
              <w:t>]</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48,0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 аналізу розвитку важкої гіпонатріємії за призначення гідрохлортіазиду у хворих з ХСН вірогідної різниці не встановлено, табл. 3.4.24-3.4.25.</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3.4.24</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Частота призначення гідрохлортіазиду у хворих з ХСН та ожирінням залежно від важкості гіпонатріємії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285" w:type="dxa"/>
            <w:vAlign w:val="center"/>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85" w:type="dxa"/>
            <w:vAlign w:val="center"/>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3285" w:type="dxa"/>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30</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76,9</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50,0</w:t>
            </w:r>
          </w:p>
        </w:tc>
      </w:tr>
      <w:tr w:rsidR="00EF4063" w:rsidRPr="00F90B6B" w:rsidTr="002119ED">
        <w:tc>
          <w:tcPr>
            <w:tcW w:w="3285" w:type="dxa"/>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6</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75,0</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Натомість, встановлено зниження додаткового ризику на 7,0%, з невірогідними RR та OR.</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3.4.25</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Вірогідність асоціації важкої гіпонатріємії із призначенням гідрохлортіазиду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AR</w:t>
            </w:r>
            <w:r w:rsidRPr="00F90B6B">
              <w:rPr>
                <w:rFonts w:ascii="Times New Roman" w:hAnsi="Times New Roman"/>
                <w:b/>
                <w:bCs/>
                <w:sz w:val="28"/>
                <w:szCs w:val="28"/>
              </w:rPr>
              <w:t>,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RR</w:t>
            </w:r>
            <w:r w:rsidRPr="00F90B6B">
              <w:rPr>
                <w:rFonts w:ascii="Times New Roman" w:hAnsi="Times New Roman"/>
                <w:b/>
                <w:bCs/>
                <w:sz w:val="28"/>
                <w:szCs w:val="28"/>
              </w:rPr>
              <w:t xml:space="preserve"> [</w:t>
            </w:r>
            <w:r w:rsidRPr="00F90B6B">
              <w:rPr>
                <w:rFonts w:ascii="Times New Roman" w:hAnsi="Times New Roman"/>
                <w:b/>
                <w:bCs/>
                <w:sz w:val="28"/>
                <w:szCs w:val="28"/>
                <w:lang w:val="en-US"/>
              </w:rPr>
              <w:t>CI</w:t>
            </w:r>
            <w:r w:rsidRPr="00F90B6B">
              <w:rPr>
                <w:rFonts w:ascii="Times New Roman" w:hAnsi="Times New Roman"/>
                <w:b/>
                <w:bCs/>
                <w:sz w:val="28"/>
                <w:szCs w:val="28"/>
              </w:rPr>
              <w:t>,%]</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w:t>
            </w:r>
            <w:r w:rsidRPr="00F90B6B">
              <w:rPr>
                <w:rFonts w:ascii="Times New Roman" w:hAnsi="Times New Roman"/>
                <w:b/>
                <w:bCs/>
                <w:sz w:val="28"/>
                <w:szCs w:val="28"/>
              </w:rPr>
              <w:t xml:space="preserve"> [</w:t>
            </w:r>
            <w:r w:rsidRPr="00F90B6B">
              <w:rPr>
                <w:rFonts w:ascii="Times New Roman" w:hAnsi="Times New Roman"/>
                <w:b/>
                <w:bCs/>
                <w:sz w:val="28"/>
                <w:szCs w:val="28"/>
                <w:lang w:val="en-US"/>
              </w:rPr>
              <w:t>CI</w:t>
            </w:r>
            <w:r w:rsidRPr="00F90B6B">
              <w:rPr>
                <w:rFonts w:ascii="Times New Roman" w:hAnsi="Times New Roman"/>
                <w:b/>
                <w:bCs/>
                <w:sz w:val="28"/>
                <w:szCs w:val="28"/>
              </w:rPr>
              <w:t>,%]</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 xml:space="preserve">Гіпонатріємія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70,0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0,91</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w:t>
            </w:r>
            <w:r w:rsidRPr="00F90B6B">
              <w:rPr>
                <w:rFonts w:ascii="Times New Roman" w:hAnsi="Times New Roman"/>
                <w:sz w:val="28"/>
                <w:szCs w:val="28"/>
              </w:rPr>
              <w:t>0,58</w:t>
            </w:r>
            <w:r w:rsidRPr="00F90B6B">
              <w:rPr>
                <w:rFonts w:ascii="Times New Roman" w:hAnsi="Times New Roman"/>
                <w:sz w:val="28"/>
                <w:szCs w:val="28"/>
                <w:lang w:val="en-US"/>
              </w:rPr>
              <w:t>-</w:t>
            </w:r>
            <w:r w:rsidRPr="00F90B6B">
              <w:rPr>
                <w:rFonts w:ascii="Times New Roman" w:hAnsi="Times New Roman"/>
                <w:sz w:val="28"/>
                <w:szCs w:val="28"/>
              </w:rPr>
              <w:t>1,41</w:t>
            </w:r>
            <w:r w:rsidRPr="00F90B6B">
              <w:rPr>
                <w:rFonts w:ascii="Times New Roman" w:hAnsi="Times New Roman"/>
                <w:sz w:val="28"/>
                <w:szCs w:val="28"/>
                <w:lang w:val="en-US"/>
              </w:rPr>
              <w:t>]</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0,70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[0,15-3,28]</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77,0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Петльові діуретики призначались за потребою у 75 хворих (42,6%), рис. 3.4.5. Серед петльових діуретиків були обрані фуросемід в середній дозі 27,8±10,4 мг/добу та торасемід 2,9±0,79 мн/добу.</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Співвідношення частоти призначення фуросеміду та торасеміду наведено в таблиці 3.4.26.</w:t>
      </w:r>
    </w:p>
    <w:p w:rsidR="00224E15" w:rsidRPr="00F90B6B" w:rsidRDefault="00224E15" w:rsidP="00F0048B">
      <w:pPr>
        <w:spacing w:after="0" w:line="360" w:lineRule="auto"/>
        <w:ind w:firstLine="709"/>
        <w:jc w:val="right"/>
        <w:rPr>
          <w:rFonts w:ascii="Times New Roman" w:hAnsi="Times New Roman"/>
          <w:i/>
          <w:iCs/>
          <w:sz w:val="28"/>
          <w:szCs w:val="28"/>
          <w:lang w:val="ru-RU"/>
        </w:rPr>
      </w:pP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lastRenderedPageBreak/>
        <w:t>Таблиця 3.4.26</w:t>
      </w:r>
    </w:p>
    <w:p w:rsidR="00EF4063" w:rsidRPr="00F90B6B" w:rsidRDefault="00EF4063" w:rsidP="00F0048B">
      <w:pPr>
        <w:spacing w:after="0" w:line="360" w:lineRule="auto"/>
        <w:ind w:firstLine="709"/>
        <w:jc w:val="center"/>
        <w:rPr>
          <w:rFonts w:ascii="Times New Roman" w:hAnsi="Times New Roman"/>
          <w:b/>
          <w:bCs/>
          <w:sz w:val="28"/>
          <w:szCs w:val="28"/>
        </w:rPr>
      </w:pPr>
      <w:r w:rsidRPr="00F90B6B">
        <w:rPr>
          <w:rFonts w:ascii="Times New Roman" w:hAnsi="Times New Roman"/>
          <w:b/>
          <w:bCs/>
          <w:sz w:val="28"/>
          <w:szCs w:val="28"/>
        </w:rPr>
        <w:t>Спектр призначення петльових діуретиків у хворих з ХСН та ожирінням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285"/>
        <w:gridCol w:w="3285"/>
      </w:tblGrid>
      <w:tr w:rsidR="00EF4063" w:rsidRPr="00F90B6B" w:rsidTr="002119ED">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285" w:type="dxa"/>
            <w:vAlign w:val="center"/>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85" w:type="dxa"/>
            <w:vAlign w:val="center"/>
          </w:tcPr>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3285"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Фуросемід</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42</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56,0</w:t>
            </w:r>
          </w:p>
        </w:tc>
      </w:tr>
      <w:tr w:rsidR="00EF4063" w:rsidRPr="00F90B6B" w:rsidTr="002119ED">
        <w:tc>
          <w:tcPr>
            <w:tcW w:w="3285"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Торасемід</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33</w:t>
            </w:r>
          </w:p>
        </w:tc>
        <w:tc>
          <w:tcPr>
            <w:tcW w:w="3285" w:type="dxa"/>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44,0</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усіх пацієнтів на фоні застосування петльових діуретиків проводилась замісна терапія іонів калію та магнію (препарат «Панангін» по 1 т. 3 р.д.), проте контроль іонного складу до включення в дослідження не проводився.</w:t>
      </w:r>
    </w:p>
    <w:p w:rsidR="00EF4063" w:rsidRPr="00F90B6B" w:rsidRDefault="006F7754" w:rsidP="00F0048B">
      <w:pPr>
        <w:spacing w:after="0" w:line="360" w:lineRule="auto"/>
        <w:ind w:firstLine="709"/>
        <w:jc w:val="center"/>
        <w:rPr>
          <w:rFonts w:ascii="Times New Roman" w:hAnsi="Times New Roman"/>
          <w:sz w:val="28"/>
          <w:szCs w:val="28"/>
        </w:rPr>
      </w:pPr>
      <w:r w:rsidRPr="00BD2F09">
        <w:rPr>
          <w:rFonts w:ascii="Times New Roman" w:hAnsi="Times New Roman"/>
          <w:noProof/>
          <w:sz w:val="28"/>
          <w:szCs w:val="28"/>
          <w:lang w:val="ru-RU" w:eastAsia="ru-RU"/>
        </w:rPr>
        <w:drawing>
          <wp:inline distT="0" distB="0" distL="0" distR="0">
            <wp:extent cx="4543425" cy="2362200"/>
            <wp:effectExtent l="0" t="0" r="0" b="0"/>
            <wp:docPr id="13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2"/>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bCs/>
          <w:sz w:val="28"/>
          <w:szCs w:val="28"/>
        </w:rPr>
        <w:t xml:space="preserve">Рис. 3.4.5. </w:t>
      </w:r>
      <w:r w:rsidRPr="00F90B6B">
        <w:rPr>
          <w:rFonts w:ascii="Times New Roman" w:hAnsi="Times New Roman"/>
          <w:sz w:val="28"/>
          <w:szCs w:val="28"/>
        </w:rPr>
        <w:t>Частота призначення петльових діуретиків у пацієнтів з ХСН та ожирінням.</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Аналізуюючи співвідношення та вірогідність розвитку гіпонатріємії на фоні застосування петльових діуретиків, а також залежно від спектру препаратів, були отримані дані, що наведені в таблицях 3.4.27-3.4.28.</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3.4.27</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Частота призначення петльових діуретиків в анамнезі у хворих з ХСН та ожирінням у хворих з нормо- та гіпонатріємією</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54"/>
        <w:gridCol w:w="3239"/>
        <w:gridCol w:w="3228"/>
      </w:tblGrid>
      <w:tr w:rsidR="00EF4063" w:rsidRPr="00F90B6B" w:rsidTr="002119ED">
        <w:tc>
          <w:tcPr>
            <w:tcW w:w="1897" w:type="pct"/>
            <w:vAlign w:val="center"/>
          </w:tcPr>
          <w:p w:rsidR="00EF4063" w:rsidRPr="00F90B6B" w:rsidRDefault="00EF4063" w:rsidP="00F0048B">
            <w:pPr>
              <w:spacing w:after="0" w:line="360" w:lineRule="auto"/>
              <w:jc w:val="center"/>
              <w:rPr>
                <w:rFonts w:ascii="Times New Roman" w:hAnsi="Times New Roman"/>
                <w:i/>
                <w:iCs/>
                <w:sz w:val="28"/>
                <w:szCs w:val="28"/>
                <w:lang w:val="ru-RU"/>
              </w:rPr>
            </w:pPr>
            <w:r w:rsidRPr="00F90B6B">
              <w:rPr>
                <w:rFonts w:ascii="Times New Roman" w:hAnsi="Times New Roman"/>
                <w:b/>
                <w:sz w:val="28"/>
                <w:szCs w:val="28"/>
                <w:lang w:eastAsia="ru-RU"/>
              </w:rPr>
              <w:t>Показник</w:t>
            </w:r>
          </w:p>
        </w:tc>
        <w:tc>
          <w:tcPr>
            <w:tcW w:w="1554" w:type="pct"/>
            <w:vAlign w:val="center"/>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1549" w:type="pct"/>
            <w:vAlign w:val="center"/>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2119ED">
        <w:tc>
          <w:tcPr>
            <w:tcW w:w="1897" w:type="pct"/>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Нормонатріємія</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w:t>
            </w:r>
            <w:r w:rsidRPr="00F90B6B">
              <w:rPr>
                <w:rFonts w:ascii="Times New Roman" w:hAnsi="Times New Roman"/>
                <w:i/>
                <w:iCs/>
                <w:sz w:val="28"/>
                <w:szCs w:val="28"/>
              </w:rPr>
              <w:t>75</w:t>
            </w:r>
          </w:p>
        </w:tc>
        <w:tc>
          <w:tcPr>
            <w:tcW w:w="1554" w:type="pct"/>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34</w:t>
            </w:r>
          </w:p>
        </w:tc>
        <w:tc>
          <w:tcPr>
            <w:tcW w:w="1549" w:type="pct"/>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45,3</w:t>
            </w:r>
          </w:p>
        </w:tc>
      </w:tr>
      <w:tr w:rsidR="00EF4063" w:rsidRPr="00F90B6B" w:rsidTr="002119ED">
        <w:tc>
          <w:tcPr>
            <w:tcW w:w="1897" w:type="pct"/>
            <w:vAlign w:val="center"/>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Гіпонатріємія</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N=49</w:t>
            </w:r>
          </w:p>
        </w:tc>
        <w:tc>
          <w:tcPr>
            <w:tcW w:w="1554" w:type="pct"/>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41</w:t>
            </w:r>
          </w:p>
        </w:tc>
        <w:tc>
          <w:tcPr>
            <w:tcW w:w="1549" w:type="pct"/>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83,7</w:t>
            </w: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За аналізу абсолютного ризику асоціації гіпонатріємії із призначенням петльових діуретиків, були визначено приріст </w:t>
      </w:r>
      <w:r w:rsidRPr="00F90B6B">
        <w:rPr>
          <w:rFonts w:ascii="Times New Roman" w:hAnsi="Times New Roman"/>
          <w:sz w:val="28"/>
          <w:szCs w:val="28"/>
          <w:lang w:val="en-US"/>
        </w:rPr>
        <w:t>ARR</w:t>
      </w:r>
      <w:r w:rsidRPr="00F90B6B">
        <w:rPr>
          <w:rFonts w:ascii="Times New Roman" w:hAnsi="Times New Roman"/>
          <w:sz w:val="28"/>
          <w:szCs w:val="28"/>
        </w:rPr>
        <w:t>,% на 52,0%, а також вірогідні показники відносного ризику (2,58 [1,91-3,50]) та відношення шансів (10,7 [4,53-25,4]), табл. 3.4.28.</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3.4.28</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Вірогідність асоціації гіпонатріємії із призначенням петльових діуретиків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 xml:space="preserve">Гіпонатріємія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84,0</w:t>
            </w:r>
          </w:p>
        </w:tc>
        <w:tc>
          <w:tcPr>
            <w:tcW w:w="2464" w:type="dxa"/>
            <w:vMerge w:val="restar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2,58</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[1,91-3,50]</w:t>
            </w:r>
          </w:p>
        </w:tc>
        <w:tc>
          <w:tcPr>
            <w:tcW w:w="2464" w:type="dxa"/>
            <w:vMerge w:val="restar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10,70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[4,53-25,4]</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32,0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оцінці спектру петльових діуретиків, встановлено, що частота призначення фуросеміду при розвитку гіпонатріємії була більшою, табл. 3.4.29.</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3.4.29</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Спектр призначення петльових діуретиків в анамнезі у хворих з ХСН та ожирінням у хворих з нормо- та гіпонатріємією</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7"/>
        <w:gridCol w:w="1890"/>
        <w:gridCol w:w="1885"/>
        <w:gridCol w:w="1888"/>
        <w:gridCol w:w="1885"/>
      </w:tblGrid>
      <w:tr w:rsidR="00EF4063" w:rsidRPr="00F90B6B" w:rsidTr="002119ED">
        <w:tc>
          <w:tcPr>
            <w:tcW w:w="2307"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775" w:type="dxa"/>
            <w:gridSpan w:val="2"/>
            <w:vAlign w:val="center"/>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Фуросемід</w:t>
            </w:r>
          </w:p>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i/>
                <w:iCs/>
                <w:sz w:val="28"/>
                <w:szCs w:val="28"/>
                <w:lang w:val="en-US"/>
              </w:rPr>
              <w:t>N=</w:t>
            </w:r>
            <w:r w:rsidRPr="00F90B6B">
              <w:rPr>
                <w:rFonts w:ascii="Times New Roman" w:hAnsi="Times New Roman"/>
                <w:i/>
                <w:iCs/>
                <w:sz w:val="28"/>
                <w:szCs w:val="28"/>
              </w:rPr>
              <w:t>42</w:t>
            </w:r>
          </w:p>
        </w:tc>
        <w:tc>
          <w:tcPr>
            <w:tcW w:w="3773" w:type="dxa"/>
            <w:gridSpan w:val="2"/>
            <w:vAlign w:val="center"/>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Торасемід</w:t>
            </w:r>
          </w:p>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i/>
                <w:iCs/>
                <w:sz w:val="28"/>
                <w:szCs w:val="28"/>
                <w:lang w:val="en-US"/>
              </w:rPr>
              <w:t>N=</w:t>
            </w:r>
            <w:r w:rsidRPr="00F90B6B">
              <w:rPr>
                <w:rFonts w:ascii="Times New Roman" w:hAnsi="Times New Roman"/>
                <w:i/>
                <w:iCs/>
                <w:sz w:val="28"/>
                <w:szCs w:val="28"/>
              </w:rPr>
              <w:t>33</w:t>
            </w:r>
          </w:p>
        </w:tc>
      </w:tr>
      <w:tr w:rsidR="00EF4063" w:rsidRPr="00F90B6B" w:rsidTr="002119ED">
        <w:tc>
          <w:tcPr>
            <w:tcW w:w="2307"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Нормонатріємія</w:t>
            </w:r>
          </w:p>
        </w:tc>
        <w:tc>
          <w:tcPr>
            <w:tcW w:w="1890"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14</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13,3</w:t>
            </w:r>
          </w:p>
        </w:tc>
        <w:tc>
          <w:tcPr>
            <w:tcW w:w="1888"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20</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19,0</w:t>
            </w:r>
          </w:p>
        </w:tc>
      </w:tr>
      <w:tr w:rsidR="00EF4063" w:rsidRPr="00F90B6B" w:rsidTr="002119ED">
        <w:tc>
          <w:tcPr>
            <w:tcW w:w="2307" w:type="dxa"/>
            <w:vAlign w:val="center"/>
          </w:tcPr>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i/>
                <w:iCs/>
                <w:sz w:val="28"/>
                <w:szCs w:val="28"/>
              </w:rPr>
              <w:t>Гіпонатріємія</w:t>
            </w:r>
          </w:p>
        </w:tc>
        <w:tc>
          <w:tcPr>
            <w:tcW w:w="1890"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28</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57,1</w:t>
            </w:r>
          </w:p>
        </w:tc>
        <w:tc>
          <w:tcPr>
            <w:tcW w:w="1888"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13</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26,5</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 оцінки ризику та шансів розвитку гіпонатріємії на тлі призначення фуросеміду, порівняно з торасемідом, отримані дані, що наведені в таблиці 3.4.30. Встановлено підвищення AR на 27,0%, вірогідні показники RR (1,66 [1,05-2,61]) та OR (3,08 [1,19-7,95]).</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3.4.30</w:t>
      </w:r>
    </w:p>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b/>
          <w:bCs/>
          <w:sz w:val="28"/>
          <w:szCs w:val="28"/>
        </w:rPr>
        <w:t>Вірогідність асоціації гіпонатріємії із призначенням фуросеміду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Фуросемід</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68,0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1,66</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[1,05-2,61]</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3,08</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[1,19-7,95]</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Торасемід</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41,0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При категоріальному аналізі, залежно від важкості гіпонатріємії та асоціації даного стану з призначенням петльових діуретиків, були отримані дані, що наведені в табл. 3.4.31-3.4.32. Таким чином, бачимо, що частота призначення петльових діуретиків варіювала від 79,5% при легкій гіпонатріємії до 100,0% при важкій гіпонатріємії та гіпонатріємії середньої важкості.</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3.4.31</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Частота асоціації призначення петльових діуретиків та важкості гіпонатріємії у хворих з ХСН та ожирінням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56"/>
        <w:gridCol w:w="3245"/>
        <w:gridCol w:w="3246"/>
      </w:tblGrid>
      <w:tr w:rsidR="00EF4063" w:rsidRPr="00F90B6B" w:rsidTr="00E43810">
        <w:tc>
          <w:tcPr>
            <w:tcW w:w="3256" w:type="dxa"/>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245" w:type="dxa"/>
            <w:vAlign w:val="center"/>
          </w:tcPr>
          <w:p w:rsidR="00EF4063" w:rsidRPr="00F90B6B" w:rsidRDefault="00EF4063" w:rsidP="00224E15">
            <w:pPr>
              <w:spacing w:after="0" w:line="288" w:lineRule="auto"/>
              <w:jc w:val="center"/>
              <w:rPr>
                <w:rFonts w:ascii="Times New Roman" w:hAnsi="Times New Roman"/>
                <w:b/>
                <w:bCs/>
                <w:sz w:val="28"/>
                <w:szCs w:val="28"/>
              </w:rPr>
            </w:pPr>
            <w:r w:rsidRPr="00F90B6B">
              <w:rPr>
                <w:rFonts w:ascii="Times New Roman" w:hAnsi="Times New Roman"/>
                <w:b/>
                <w:bCs/>
                <w:sz w:val="28"/>
                <w:szCs w:val="28"/>
              </w:rPr>
              <w:t>Абс.</w:t>
            </w:r>
          </w:p>
        </w:tc>
        <w:tc>
          <w:tcPr>
            <w:tcW w:w="3246" w:type="dxa"/>
            <w:vAlign w:val="center"/>
          </w:tcPr>
          <w:p w:rsidR="00EF4063" w:rsidRPr="00F90B6B" w:rsidRDefault="00EF4063" w:rsidP="00224E15">
            <w:pPr>
              <w:spacing w:after="0" w:line="288" w:lineRule="auto"/>
              <w:jc w:val="center"/>
              <w:rPr>
                <w:rFonts w:ascii="Times New Roman" w:hAnsi="Times New Roman"/>
                <w:b/>
                <w:bCs/>
                <w:sz w:val="28"/>
                <w:szCs w:val="28"/>
              </w:rPr>
            </w:pPr>
            <w:r w:rsidRPr="00F90B6B">
              <w:rPr>
                <w:rFonts w:ascii="Times New Roman" w:hAnsi="Times New Roman"/>
                <w:b/>
                <w:bCs/>
                <w:sz w:val="28"/>
                <w:szCs w:val="28"/>
              </w:rPr>
              <w:t>%</w:t>
            </w:r>
          </w:p>
        </w:tc>
      </w:tr>
      <w:tr w:rsidR="00EF4063" w:rsidRPr="00F90B6B" w:rsidTr="00E43810">
        <w:tc>
          <w:tcPr>
            <w:tcW w:w="3256" w:type="dxa"/>
            <w:vAlign w:val="center"/>
          </w:tcPr>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224E15">
            <w:pPr>
              <w:tabs>
                <w:tab w:val="center" w:pos="1534"/>
                <w:tab w:val="right" w:pos="3069"/>
              </w:tabs>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3245" w:type="dxa"/>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31</w:t>
            </w:r>
          </w:p>
        </w:tc>
        <w:tc>
          <w:tcPr>
            <w:tcW w:w="3246" w:type="dxa"/>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79,5</w:t>
            </w:r>
          </w:p>
        </w:tc>
      </w:tr>
      <w:tr w:rsidR="00EF4063" w:rsidRPr="00F90B6B" w:rsidTr="00E43810">
        <w:tc>
          <w:tcPr>
            <w:tcW w:w="3256" w:type="dxa"/>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3245" w:type="dxa"/>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2</w:t>
            </w:r>
          </w:p>
        </w:tc>
        <w:tc>
          <w:tcPr>
            <w:tcW w:w="3246" w:type="dxa"/>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100,0</w:t>
            </w:r>
          </w:p>
        </w:tc>
      </w:tr>
      <w:tr w:rsidR="00EF4063" w:rsidRPr="00F90B6B" w:rsidTr="00E43810">
        <w:tc>
          <w:tcPr>
            <w:tcW w:w="3256" w:type="dxa"/>
          </w:tcPr>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224E15">
            <w:pPr>
              <w:spacing w:after="0" w:line="288"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3245" w:type="dxa"/>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8</w:t>
            </w:r>
          </w:p>
        </w:tc>
        <w:tc>
          <w:tcPr>
            <w:tcW w:w="3246" w:type="dxa"/>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100,0</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Приріст ризику важкої гіпонатріємії встановлено на рівні 21,0%, при вірогідному значенні відносного ризику (1,26 [1,07-1,48]), табл. 3.4.32.</w: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Спектр призначення петльових діуретиків при гіпонатріємії різного ступеню наведено в таблиці 3.4.19.</w:t>
      </w:r>
    </w:p>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3.4.32</w:t>
      </w:r>
    </w:p>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b/>
          <w:bCs/>
          <w:sz w:val="28"/>
          <w:szCs w:val="28"/>
        </w:rPr>
        <w:t>Вірогідність асоціації важкої гіпонатріємії із призначенням петльових діуретиків</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73"/>
        <w:gridCol w:w="3474"/>
        <w:gridCol w:w="3474"/>
      </w:tblGrid>
      <w:tr w:rsidR="00EF4063" w:rsidRPr="00F90B6B" w:rsidTr="002119ED">
        <w:tc>
          <w:tcPr>
            <w:tcW w:w="1666"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1667" w:type="pct"/>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1667" w:type="pct"/>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r>
      <w:tr w:rsidR="00EF4063" w:rsidRPr="00F90B6B" w:rsidTr="002119ED">
        <w:tc>
          <w:tcPr>
            <w:tcW w:w="1666" w:type="pct"/>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1667"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100,0</w:t>
            </w:r>
          </w:p>
        </w:tc>
        <w:tc>
          <w:tcPr>
            <w:tcW w:w="1667" w:type="pct"/>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w:t>
            </w:r>
            <w:r w:rsidRPr="00F90B6B">
              <w:rPr>
                <w:rFonts w:ascii="Times New Roman" w:hAnsi="Times New Roman"/>
                <w:sz w:val="28"/>
                <w:szCs w:val="28"/>
              </w:rPr>
              <w:t>26</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[1,07</w:t>
            </w:r>
            <w:r w:rsidRPr="00F90B6B">
              <w:rPr>
                <w:rFonts w:ascii="Times New Roman" w:hAnsi="Times New Roman"/>
                <w:sz w:val="28"/>
                <w:szCs w:val="28"/>
              </w:rPr>
              <w:t>-</w:t>
            </w:r>
            <w:r w:rsidRPr="00F90B6B">
              <w:rPr>
                <w:rFonts w:ascii="Times New Roman" w:hAnsi="Times New Roman"/>
                <w:sz w:val="28"/>
                <w:szCs w:val="28"/>
                <w:lang w:val="en-US"/>
              </w:rPr>
              <w:t>1,4</w:t>
            </w:r>
            <w:r w:rsidRPr="00F90B6B">
              <w:rPr>
                <w:rFonts w:ascii="Times New Roman" w:hAnsi="Times New Roman"/>
                <w:sz w:val="28"/>
                <w:szCs w:val="28"/>
              </w:rPr>
              <w:t>8</w:t>
            </w:r>
            <w:r w:rsidRPr="00F90B6B">
              <w:rPr>
                <w:rFonts w:ascii="Times New Roman" w:hAnsi="Times New Roman"/>
                <w:sz w:val="28"/>
                <w:szCs w:val="28"/>
                <w:lang w:val="en-US"/>
              </w:rPr>
              <w:t>]</w:t>
            </w:r>
          </w:p>
        </w:tc>
      </w:tr>
      <w:tr w:rsidR="00EF4063" w:rsidRPr="00F90B6B" w:rsidTr="002119ED">
        <w:tc>
          <w:tcPr>
            <w:tcW w:w="1666" w:type="pct"/>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1667"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79,0</w:t>
            </w:r>
          </w:p>
        </w:tc>
        <w:tc>
          <w:tcPr>
            <w:tcW w:w="1667" w:type="pct"/>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призначення фуросеміду асоціювалося з важкою гіпонатріємією та гіпонатріємією середньої важкості, табл. 3.4.33.</w:t>
      </w:r>
    </w:p>
    <w:p w:rsidR="00224E15" w:rsidRPr="007E797D" w:rsidRDefault="00224E15" w:rsidP="00F0048B">
      <w:pPr>
        <w:spacing w:after="0" w:line="360" w:lineRule="auto"/>
        <w:ind w:firstLine="709"/>
        <w:jc w:val="right"/>
        <w:rPr>
          <w:rFonts w:ascii="Times New Roman" w:hAnsi="Times New Roman"/>
          <w:i/>
          <w:iCs/>
          <w:sz w:val="28"/>
          <w:szCs w:val="28"/>
        </w:rPr>
      </w:pP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lastRenderedPageBreak/>
        <w:t>Таблиця 3.4.33</w:t>
      </w:r>
    </w:p>
    <w:p w:rsidR="00EF4063" w:rsidRPr="00F90B6B" w:rsidRDefault="00EF4063" w:rsidP="00F0048B">
      <w:pPr>
        <w:spacing w:after="0" w:line="360" w:lineRule="auto"/>
        <w:jc w:val="center"/>
        <w:rPr>
          <w:rFonts w:ascii="Times New Roman" w:hAnsi="Times New Roman"/>
          <w:b/>
          <w:bCs/>
          <w:sz w:val="28"/>
          <w:szCs w:val="28"/>
        </w:rPr>
      </w:pPr>
      <w:r w:rsidRPr="00F90B6B">
        <w:rPr>
          <w:rFonts w:ascii="Times New Roman" w:hAnsi="Times New Roman"/>
          <w:b/>
          <w:bCs/>
          <w:sz w:val="28"/>
          <w:szCs w:val="28"/>
        </w:rPr>
        <w:t>Спектр призначення петльових діуретиків в анамнезі у хворих з ХСН та ожирінням залежно від важкості гіпонатріємії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7"/>
        <w:gridCol w:w="1890"/>
        <w:gridCol w:w="1885"/>
        <w:gridCol w:w="1888"/>
        <w:gridCol w:w="1885"/>
      </w:tblGrid>
      <w:tr w:rsidR="00EF4063" w:rsidRPr="00F90B6B" w:rsidTr="002119ED">
        <w:tc>
          <w:tcPr>
            <w:tcW w:w="2307"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775" w:type="dxa"/>
            <w:gridSpan w:val="2"/>
            <w:vAlign w:val="center"/>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Фуросемід</w:t>
            </w:r>
          </w:p>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i/>
                <w:iCs/>
                <w:sz w:val="28"/>
                <w:szCs w:val="28"/>
                <w:lang w:val="en-US"/>
              </w:rPr>
              <w:t>N=</w:t>
            </w:r>
            <w:r w:rsidRPr="00F90B6B">
              <w:rPr>
                <w:rFonts w:ascii="Times New Roman" w:hAnsi="Times New Roman"/>
                <w:i/>
                <w:iCs/>
                <w:sz w:val="28"/>
                <w:szCs w:val="28"/>
              </w:rPr>
              <w:t>28</w:t>
            </w:r>
          </w:p>
        </w:tc>
        <w:tc>
          <w:tcPr>
            <w:tcW w:w="3773" w:type="dxa"/>
            <w:gridSpan w:val="2"/>
            <w:vAlign w:val="center"/>
          </w:tcPr>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b/>
                <w:bCs/>
                <w:sz w:val="28"/>
                <w:szCs w:val="28"/>
              </w:rPr>
              <w:t>Торасемід</w:t>
            </w:r>
          </w:p>
          <w:p w:rsidR="00EF4063" w:rsidRPr="00F90B6B" w:rsidRDefault="00EF4063" w:rsidP="00F0048B">
            <w:pPr>
              <w:tabs>
                <w:tab w:val="left" w:pos="4632"/>
              </w:tabs>
              <w:spacing w:after="0" w:line="360" w:lineRule="auto"/>
              <w:jc w:val="center"/>
              <w:rPr>
                <w:rFonts w:ascii="Times New Roman" w:hAnsi="Times New Roman"/>
                <w:b/>
                <w:bCs/>
                <w:sz w:val="28"/>
                <w:szCs w:val="28"/>
              </w:rPr>
            </w:pPr>
            <w:r w:rsidRPr="00F90B6B">
              <w:rPr>
                <w:rFonts w:ascii="Times New Roman" w:hAnsi="Times New Roman"/>
                <w:i/>
                <w:iCs/>
                <w:sz w:val="28"/>
                <w:szCs w:val="28"/>
                <w:lang w:val="en-US"/>
              </w:rPr>
              <w:t>N=</w:t>
            </w:r>
            <w:r w:rsidRPr="00F90B6B">
              <w:rPr>
                <w:rFonts w:ascii="Times New Roman" w:hAnsi="Times New Roman"/>
                <w:i/>
                <w:iCs/>
                <w:sz w:val="28"/>
                <w:szCs w:val="28"/>
              </w:rPr>
              <w:t>13</w:t>
            </w:r>
          </w:p>
        </w:tc>
      </w:tr>
      <w:tr w:rsidR="00EF4063" w:rsidRPr="00F90B6B" w:rsidTr="002119ED">
        <w:tc>
          <w:tcPr>
            <w:tcW w:w="2307" w:type="dxa"/>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1890"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19</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lang w:val="ru-RU"/>
              </w:rPr>
            </w:pPr>
            <w:r w:rsidRPr="00F90B6B">
              <w:rPr>
                <w:rFonts w:ascii="Times New Roman" w:hAnsi="Times New Roman"/>
                <w:sz w:val="28"/>
                <w:szCs w:val="28"/>
              </w:rPr>
              <w:t>48,</w:t>
            </w:r>
            <w:r w:rsidRPr="00F90B6B">
              <w:rPr>
                <w:rFonts w:ascii="Times New Roman" w:hAnsi="Times New Roman"/>
                <w:sz w:val="28"/>
                <w:szCs w:val="28"/>
                <w:lang w:val="ru-RU"/>
              </w:rPr>
              <w:t>7</w:t>
            </w:r>
          </w:p>
        </w:tc>
        <w:tc>
          <w:tcPr>
            <w:tcW w:w="1888"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12</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lang w:val="ru-RU"/>
              </w:rPr>
            </w:pPr>
            <w:r w:rsidRPr="00F90B6B">
              <w:rPr>
                <w:rFonts w:ascii="Times New Roman" w:hAnsi="Times New Roman"/>
                <w:sz w:val="28"/>
                <w:szCs w:val="28"/>
                <w:lang w:val="ru-RU"/>
              </w:rPr>
              <w:t>30,8</w:t>
            </w:r>
          </w:p>
        </w:tc>
      </w:tr>
      <w:tr w:rsidR="00EF4063" w:rsidRPr="00F90B6B" w:rsidTr="002119ED">
        <w:tc>
          <w:tcPr>
            <w:tcW w:w="2307" w:type="dxa"/>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1890"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lang w:val="ru-RU"/>
              </w:rPr>
            </w:pPr>
            <w:r w:rsidRPr="00F90B6B">
              <w:rPr>
                <w:rFonts w:ascii="Times New Roman" w:hAnsi="Times New Roman"/>
                <w:sz w:val="28"/>
                <w:szCs w:val="28"/>
                <w:lang w:val="ru-RU"/>
              </w:rPr>
              <w:t>100,0</w:t>
            </w:r>
          </w:p>
        </w:tc>
        <w:tc>
          <w:tcPr>
            <w:tcW w:w="1888"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w:t>
            </w:r>
          </w:p>
        </w:tc>
      </w:tr>
      <w:tr w:rsidR="00EF4063" w:rsidRPr="00F90B6B" w:rsidTr="002119ED">
        <w:tc>
          <w:tcPr>
            <w:tcW w:w="2307" w:type="dxa"/>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1890"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7</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lang w:val="ru-RU"/>
              </w:rPr>
            </w:pPr>
            <w:r w:rsidRPr="00F90B6B">
              <w:rPr>
                <w:rFonts w:ascii="Times New Roman" w:hAnsi="Times New Roman"/>
                <w:sz w:val="28"/>
                <w:szCs w:val="28"/>
                <w:lang w:val="ru-RU"/>
              </w:rPr>
              <w:t>87,5</w:t>
            </w:r>
          </w:p>
        </w:tc>
        <w:tc>
          <w:tcPr>
            <w:tcW w:w="1888"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1885" w:type="dxa"/>
            <w:vAlign w:val="center"/>
          </w:tcPr>
          <w:p w:rsidR="00EF4063" w:rsidRPr="00F90B6B" w:rsidRDefault="00EF4063" w:rsidP="00F0048B">
            <w:pPr>
              <w:tabs>
                <w:tab w:val="left" w:pos="4632"/>
              </w:tabs>
              <w:spacing w:after="0" w:line="360" w:lineRule="auto"/>
              <w:jc w:val="center"/>
              <w:rPr>
                <w:rFonts w:ascii="Times New Roman" w:hAnsi="Times New Roman"/>
                <w:sz w:val="28"/>
                <w:szCs w:val="28"/>
                <w:lang w:val="ru-RU"/>
              </w:rPr>
            </w:pPr>
            <w:r w:rsidRPr="00F90B6B">
              <w:rPr>
                <w:rFonts w:ascii="Times New Roman" w:hAnsi="Times New Roman"/>
                <w:sz w:val="28"/>
                <w:szCs w:val="28"/>
                <w:lang w:val="ru-RU"/>
              </w:rPr>
              <w:t>12,5</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Приріст абсолютного ризику важкої гіпонатріємії за призначення фуросеміду у хворих з ХСН та ожиріння становило 47,0%, з вірогідними показниками відносного ризику (2,10 [1,23-3,59]) та шансів (12,0 [1,28-113,0]), табл. 3.4.34.</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3.4.34</w:t>
      </w:r>
    </w:p>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b/>
          <w:bCs/>
          <w:sz w:val="28"/>
          <w:szCs w:val="28"/>
        </w:rPr>
        <w:t>Вірогідність асоціації важкої гіпонатріємії із призначенням фуросеміду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119ED">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Фуросемід</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90,0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2,10</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[1,2</w:t>
            </w:r>
            <w:r w:rsidRPr="00F90B6B">
              <w:rPr>
                <w:rFonts w:ascii="Times New Roman" w:hAnsi="Times New Roman"/>
                <w:sz w:val="28"/>
                <w:szCs w:val="28"/>
              </w:rPr>
              <w:t>3-</w:t>
            </w:r>
            <w:r w:rsidRPr="00F90B6B">
              <w:rPr>
                <w:rFonts w:ascii="Times New Roman" w:hAnsi="Times New Roman"/>
                <w:sz w:val="28"/>
                <w:szCs w:val="28"/>
                <w:lang w:val="en-US"/>
              </w:rPr>
              <w:t>3,5</w:t>
            </w:r>
            <w:r w:rsidRPr="00F90B6B">
              <w:rPr>
                <w:rFonts w:ascii="Times New Roman" w:hAnsi="Times New Roman"/>
                <w:sz w:val="28"/>
                <w:szCs w:val="28"/>
              </w:rPr>
              <w:t>9</w:t>
            </w:r>
            <w:r w:rsidRPr="00F90B6B">
              <w:rPr>
                <w:rFonts w:ascii="Times New Roman" w:hAnsi="Times New Roman"/>
                <w:sz w:val="28"/>
                <w:szCs w:val="28"/>
                <w:lang w:val="en-US"/>
              </w:rPr>
              <w:t>]</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12,0</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[1,2</w:t>
            </w:r>
            <w:r w:rsidRPr="00F90B6B">
              <w:rPr>
                <w:rFonts w:ascii="Times New Roman" w:hAnsi="Times New Roman"/>
                <w:sz w:val="28"/>
                <w:szCs w:val="28"/>
              </w:rPr>
              <w:t>8-</w:t>
            </w:r>
            <w:r w:rsidRPr="00F90B6B">
              <w:rPr>
                <w:rFonts w:ascii="Times New Roman" w:hAnsi="Times New Roman"/>
                <w:sz w:val="28"/>
                <w:szCs w:val="28"/>
                <w:lang w:val="en-US"/>
              </w:rPr>
              <w:t>113,0]</w:t>
            </w:r>
          </w:p>
        </w:tc>
      </w:tr>
      <w:tr w:rsidR="00EF4063" w:rsidRPr="00F90B6B" w:rsidTr="00224E15">
        <w:trPr>
          <w:trHeight w:val="503"/>
        </w:trPr>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Торасемід</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43,0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Аналізуючи прогностичну залежність важкої гіпонатріємії, наступним завданням даного етапу роботи було вивчити частоту розвитку ниркової дисфункції </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Частота зниження швидкості клубочкової фільтрації у хворих з ХСН та ожирінням при різному ступені вираженості гіпонатріємії наведена в табл. 3.4.35.</w:t>
      </w:r>
    </w:p>
    <w:p w:rsidR="00224E15" w:rsidRPr="007E797D" w:rsidRDefault="00224E15" w:rsidP="00F0048B">
      <w:pPr>
        <w:tabs>
          <w:tab w:val="left" w:pos="3864"/>
        </w:tabs>
        <w:spacing w:after="0" w:line="360" w:lineRule="auto"/>
        <w:ind w:firstLine="709"/>
        <w:jc w:val="right"/>
        <w:rPr>
          <w:rFonts w:ascii="Times New Roman" w:hAnsi="Times New Roman"/>
          <w:i/>
          <w:iCs/>
          <w:sz w:val="28"/>
          <w:szCs w:val="28"/>
        </w:rPr>
      </w:pPr>
    </w:p>
    <w:p w:rsidR="00224E15" w:rsidRPr="007E797D" w:rsidRDefault="00224E15" w:rsidP="00F0048B">
      <w:pPr>
        <w:tabs>
          <w:tab w:val="left" w:pos="3864"/>
        </w:tabs>
        <w:spacing w:after="0" w:line="360" w:lineRule="auto"/>
        <w:ind w:firstLine="709"/>
        <w:jc w:val="right"/>
        <w:rPr>
          <w:rFonts w:ascii="Times New Roman" w:hAnsi="Times New Roman"/>
          <w:i/>
          <w:iCs/>
          <w:sz w:val="28"/>
          <w:szCs w:val="28"/>
        </w:rPr>
      </w:pPr>
    </w:p>
    <w:p w:rsidR="00224E15" w:rsidRPr="007E797D" w:rsidRDefault="00224E15" w:rsidP="00F0048B">
      <w:pPr>
        <w:tabs>
          <w:tab w:val="left" w:pos="3864"/>
        </w:tabs>
        <w:spacing w:after="0" w:line="360" w:lineRule="auto"/>
        <w:ind w:firstLine="709"/>
        <w:jc w:val="right"/>
        <w:rPr>
          <w:rFonts w:ascii="Times New Roman" w:hAnsi="Times New Roman"/>
          <w:i/>
          <w:iCs/>
          <w:sz w:val="28"/>
          <w:szCs w:val="28"/>
        </w:rPr>
      </w:pPr>
    </w:p>
    <w:p w:rsidR="00224E15" w:rsidRPr="007E797D" w:rsidRDefault="00224E15" w:rsidP="00F0048B">
      <w:pPr>
        <w:tabs>
          <w:tab w:val="left" w:pos="3864"/>
        </w:tabs>
        <w:spacing w:after="0" w:line="360" w:lineRule="auto"/>
        <w:ind w:firstLine="709"/>
        <w:jc w:val="right"/>
        <w:rPr>
          <w:rFonts w:ascii="Times New Roman" w:hAnsi="Times New Roman"/>
          <w:i/>
          <w:iCs/>
          <w:sz w:val="28"/>
          <w:szCs w:val="28"/>
        </w:rPr>
      </w:pPr>
    </w:p>
    <w:p w:rsidR="00EF4063" w:rsidRPr="00F90B6B" w:rsidRDefault="00EF4063" w:rsidP="00F0048B">
      <w:pPr>
        <w:tabs>
          <w:tab w:val="left" w:pos="3864"/>
        </w:tabs>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lastRenderedPageBreak/>
        <w:t>Таблиця 3.4.35</w:t>
      </w:r>
    </w:p>
    <w:p w:rsidR="00EF4063" w:rsidRPr="00F90B6B" w:rsidRDefault="00EF4063" w:rsidP="00F0048B">
      <w:pPr>
        <w:tabs>
          <w:tab w:val="left" w:pos="2856"/>
        </w:tabs>
        <w:spacing w:after="0" w:line="360" w:lineRule="auto"/>
        <w:jc w:val="center"/>
        <w:rPr>
          <w:rFonts w:ascii="Times New Roman" w:hAnsi="Times New Roman"/>
          <w:b/>
          <w:bCs/>
          <w:sz w:val="28"/>
          <w:szCs w:val="28"/>
        </w:rPr>
      </w:pPr>
      <w:r w:rsidRPr="00F90B6B">
        <w:rPr>
          <w:rFonts w:ascii="Times New Roman" w:hAnsi="Times New Roman"/>
          <w:b/>
          <w:bCs/>
          <w:sz w:val="28"/>
          <w:szCs w:val="28"/>
        </w:rPr>
        <w:t>Співвідношення важкості гіпонатріємії та знииженої швидкості клубочкової фільтрації у пацієнтів, госпіталізованих з приводу ХСН</w:t>
      </w:r>
    </w:p>
    <w:tbl>
      <w:tblPr>
        <w:tblW w:w="483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44"/>
        <w:gridCol w:w="3338"/>
        <w:gridCol w:w="2997"/>
      </w:tblGrid>
      <w:tr w:rsidR="00EF4063" w:rsidRPr="00F90B6B" w:rsidTr="00224E15">
        <w:tc>
          <w:tcPr>
            <w:tcW w:w="1857" w:type="pct"/>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sz w:val="28"/>
                <w:szCs w:val="28"/>
                <w:lang w:eastAsia="ru-RU"/>
              </w:rPr>
              <w:t>Показник</w:t>
            </w:r>
          </w:p>
        </w:tc>
        <w:tc>
          <w:tcPr>
            <w:tcW w:w="1656" w:type="pct"/>
            <w:vAlign w:val="center"/>
          </w:tcPr>
          <w:p w:rsidR="00EF4063" w:rsidRPr="00F90B6B" w:rsidRDefault="00EF4063" w:rsidP="00F0048B">
            <w:pPr>
              <w:tabs>
                <w:tab w:val="left" w:pos="3864"/>
              </w:tabs>
              <w:spacing w:after="0" w:line="360" w:lineRule="auto"/>
              <w:jc w:val="center"/>
              <w:rPr>
                <w:rFonts w:ascii="Times New Roman" w:hAnsi="Times New Roman"/>
                <w:b/>
                <w:bCs/>
                <w:i/>
                <w:iCs/>
                <w:sz w:val="28"/>
                <w:szCs w:val="28"/>
              </w:rPr>
            </w:pPr>
            <w:r w:rsidRPr="00F90B6B">
              <w:rPr>
                <w:rFonts w:ascii="Times New Roman" w:hAnsi="Times New Roman"/>
                <w:b/>
                <w:bCs/>
                <w:i/>
                <w:iCs/>
                <w:sz w:val="28"/>
                <w:szCs w:val="28"/>
              </w:rPr>
              <w:t>Абс.</w:t>
            </w:r>
          </w:p>
        </w:tc>
        <w:tc>
          <w:tcPr>
            <w:tcW w:w="1487" w:type="pct"/>
            <w:vAlign w:val="center"/>
          </w:tcPr>
          <w:p w:rsidR="00EF4063" w:rsidRPr="00F90B6B" w:rsidRDefault="00EF4063" w:rsidP="00F0048B">
            <w:pPr>
              <w:tabs>
                <w:tab w:val="left" w:pos="3864"/>
              </w:tabs>
              <w:spacing w:after="0" w:line="360" w:lineRule="auto"/>
              <w:jc w:val="center"/>
              <w:rPr>
                <w:rFonts w:ascii="Times New Roman" w:hAnsi="Times New Roman"/>
                <w:b/>
                <w:bCs/>
                <w:i/>
                <w:iCs/>
                <w:sz w:val="28"/>
                <w:szCs w:val="28"/>
              </w:rPr>
            </w:pPr>
            <w:r w:rsidRPr="00F90B6B">
              <w:rPr>
                <w:rFonts w:ascii="Times New Roman" w:hAnsi="Times New Roman"/>
                <w:b/>
                <w:bCs/>
                <w:i/>
                <w:iCs/>
                <w:sz w:val="28"/>
                <w:szCs w:val="28"/>
              </w:rPr>
              <w:t>%</w:t>
            </w:r>
          </w:p>
        </w:tc>
      </w:tr>
      <w:tr w:rsidR="00EF4063" w:rsidRPr="00F90B6B" w:rsidTr="00224E15">
        <w:tc>
          <w:tcPr>
            <w:tcW w:w="1857" w:type="pct"/>
            <w:vAlign w:val="center"/>
          </w:tcPr>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rPr>
            </w:pPr>
            <w:r w:rsidRPr="00F90B6B">
              <w:rPr>
                <w:rFonts w:ascii="Times New Roman" w:hAnsi="Times New Roman"/>
                <w:i/>
                <w:iCs/>
                <w:sz w:val="28"/>
                <w:szCs w:val="28"/>
              </w:rPr>
              <w:t>Легка</w:t>
            </w:r>
          </w:p>
          <w:p w:rsidR="00EF4063" w:rsidRPr="00F90B6B" w:rsidRDefault="00EF4063" w:rsidP="00F0048B">
            <w:pPr>
              <w:tabs>
                <w:tab w:val="center" w:pos="1534"/>
                <w:tab w:val="right" w:pos="3069"/>
              </w:tabs>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n=39</w:t>
            </w:r>
          </w:p>
        </w:tc>
        <w:tc>
          <w:tcPr>
            <w:tcW w:w="1656"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11</w:t>
            </w:r>
          </w:p>
        </w:tc>
        <w:tc>
          <w:tcPr>
            <w:tcW w:w="1487"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28,0</w:t>
            </w:r>
          </w:p>
        </w:tc>
      </w:tr>
      <w:tr w:rsidR="00EF4063" w:rsidRPr="00F90B6B" w:rsidTr="00224E15">
        <w:tc>
          <w:tcPr>
            <w:tcW w:w="1857" w:type="pct"/>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Середньої важкості</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n=2</w:t>
            </w:r>
          </w:p>
        </w:tc>
        <w:tc>
          <w:tcPr>
            <w:tcW w:w="1656"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1487"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50,0</w:t>
            </w:r>
          </w:p>
        </w:tc>
      </w:tr>
      <w:tr w:rsidR="00EF4063" w:rsidRPr="00F90B6B" w:rsidTr="00224E15">
        <w:tc>
          <w:tcPr>
            <w:tcW w:w="1857" w:type="pct"/>
          </w:tcPr>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rPr>
              <w:t>Важка</w:t>
            </w:r>
          </w:p>
          <w:p w:rsidR="00EF4063" w:rsidRPr="00F90B6B" w:rsidRDefault="00EF4063" w:rsidP="00F0048B">
            <w:pPr>
              <w:spacing w:after="0" w:line="360" w:lineRule="auto"/>
              <w:jc w:val="center"/>
              <w:rPr>
                <w:rFonts w:ascii="Times New Roman" w:hAnsi="Times New Roman"/>
                <w:i/>
                <w:iCs/>
                <w:sz w:val="28"/>
                <w:szCs w:val="28"/>
                <w:lang w:val="en-US"/>
              </w:rPr>
            </w:pPr>
            <w:r w:rsidRPr="00F90B6B">
              <w:rPr>
                <w:rFonts w:ascii="Times New Roman" w:hAnsi="Times New Roman"/>
                <w:i/>
                <w:iCs/>
                <w:sz w:val="28"/>
                <w:szCs w:val="28"/>
                <w:lang w:val="en-US"/>
              </w:rPr>
              <w:t>n=8</w:t>
            </w:r>
          </w:p>
        </w:tc>
        <w:tc>
          <w:tcPr>
            <w:tcW w:w="1656"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6</w:t>
            </w:r>
          </w:p>
        </w:tc>
        <w:tc>
          <w:tcPr>
            <w:tcW w:w="1487" w:type="pct"/>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75,0</w:t>
            </w: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Асоціація розвитку кардіоренального синдрому з важкою гіпонатріємією наведена в табл. 3.4.36.</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3.4.36</w:t>
      </w:r>
    </w:p>
    <w:p w:rsidR="00EF4063" w:rsidRPr="00F90B6B" w:rsidRDefault="00EF4063" w:rsidP="00F0048B">
      <w:pPr>
        <w:spacing w:after="0" w:line="360" w:lineRule="auto"/>
        <w:jc w:val="center"/>
        <w:rPr>
          <w:rFonts w:ascii="Times New Roman" w:hAnsi="Times New Roman"/>
          <w:i/>
          <w:iCs/>
          <w:sz w:val="28"/>
          <w:szCs w:val="28"/>
        </w:rPr>
      </w:pPr>
      <w:r w:rsidRPr="00F90B6B">
        <w:rPr>
          <w:rFonts w:ascii="Times New Roman" w:hAnsi="Times New Roman"/>
          <w:b/>
          <w:bCs/>
          <w:sz w:val="28"/>
          <w:szCs w:val="28"/>
        </w:rPr>
        <w:t>Вірогідність асоціації важкої гіпонатріємії та розвитку кардіоренального синдрому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52"/>
        <w:gridCol w:w="2427"/>
        <w:gridCol w:w="2434"/>
        <w:gridCol w:w="2434"/>
      </w:tblGrid>
      <w:tr w:rsidR="00EF4063" w:rsidRPr="00F90B6B" w:rsidTr="002E1AB5">
        <w:tc>
          <w:tcPr>
            <w:tcW w:w="2452"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27"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3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3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E1AB5">
        <w:tc>
          <w:tcPr>
            <w:tcW w:w="2452"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2427"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75,0</w:t>
            </w:r>
          </w:p>
        </w:tc>
        <w:tc>
          <w:tcPr>
            <w:tcW w:w="243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rPr>
              <w:t>2,66</w:t>
            </w:r>
          </w:p>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[1,40</w:t>
            </w:r>
            <w:r w:rsidRPr="00F90B6B">
              <w:rPr>
                <w:rFonts w:ascii="Times New Roman" w:hAnsi="Times New Roman"/>
                <w:sz w:val="28"/>
                <w:szCs w:val="28"/>
              </w:rPr>
              <w:t>-</w:t>
            </w:r>
            <w:r w:rsidRPr="00F90B6B">
              <w:rPr>
                <w:rFonts w:ascii="Times New Roman" w:hAnsi="Times New Roman"/>
                <w:sz w:val="28"/>
                <w:szCs w:val="28"/>
                <w:lang w:val="en-US"/>
              </w:rPr>
              <w:t>5,05]</w:t>
            </w:r>
          </w:p>
        </w:tc>
        <w:tc>
          <w:tcPr>
            <w:tcW w:w="243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7,64</w:t>
            </w:r>
          </w:p>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[1,33</w:t>
            </w:r>
            <w:r w:rsidRPr="00F90B6B">
              <w:rPr>
                <w:rFonts w:ascii="Times New Roman" w:hAnsi="Times New Roman"/>
                <w:sz w:val="28"/>
                <w:szCs w:val="28"/>
              </w:rPr>
              <w:t>-</w:t>
            </w:r>
            <w:r w:rsidRPr="00F90B6B">
              <w:rPr>
                <w:rFonts w:ascii="Times New Roman" w:hAnsi="Times New Roman"/>
                <w:sz w:val="28"/>
                <w:szCs w:val="28"/>
                <w:lang w:val="en-US"/>
              </w:rPr>
              <w:t>43,8]</w:t>
            </w:r>
          </w:p>
        </w:tc>
      </w:tr>
      <w:tr w:rsidR="00EF4063" w:rsidRPr="00F90B6B" w:rsidTr="002E1AB5">
        <w:tc>
          <w:tcPr>
            <w:tcW w:w="2452"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2427"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28,0</w:t>
            </w:r>
          </w:p>
        </w:tc>
        <w:tc>
          <w:tcPr>
            <w:tcW w:w="243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3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зниження рівня натрію менше 125 ммоль/л підвищує ризик кардіоренального синдрому на 47,0%, з вірогідним відносним ризиком (2,66 [1,40-5,05]) та відношенням шансів (7,64 [1,33-43,8]), табл. 3.4.36.</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Таким чином, за результатами даного розділу було встановлено, що серед факторів, які асоціюються з гіпонатріємією у хворих, госпіталізованих з приводу ХСН можна відмітити вік хворих старше 65 років, індекс маси тіла більше 30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наявність в анамнезі гіпертонічної хвороби, виразкової хвороби та хронічного </w:t>
      </w:r>
      <w:r w:rsidRPr="00F90B6B">
        <w:rPr>
          <w:rFonts w:ascii="Times New Roman" w:hAnsi="Times New Roman"/>
          <w:sz w:val="28"/>
          <w:szCs w:val="28"/>
        </w:rPr>
        <w:lastRenderedPageBreak/>
        <w:t xml:space="preserve">гастриту, верифіковані діастолічна дисфункція (Е/А&lt;1,0) та кардіоренальний синдром.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Серед вікових особливостей розвитку важкої гіпонатріємії був приріст абсолютного ризику на 17,0% у осіб старше 65 років. Вірогідний додатковий ризик важкої гіпонатріємії встановлено у осіб з ожирінням (ІМТ≥30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 підвищення ризику на 33,0%, вірогідні показники відносного ризику - 1,73 [1,09-2,75], при супутній гіпертонічній хворобі (приріст ризику 23,0%, RR - 1,35 [1,0-1,83]), цукровому діабеті типу 2 (RR - 6,19 [1,40-27,4], </w:t>
      </w:r>
      <w:r w:rsidRPr="00F90B6B">
        <w:rPr>
          <w:rFonts w:ascii="Times New Roman" w:hAnsi="Times New Roman"/>
          <w:sz w:val="28"/>
          <w:szCs w:val="28"/>
          <w:lang w:val="en-US"/>
        </w:rPr>
        <w:t>OR</w:t>
      </w:r>
      <w:r w:rsidRPr="00F90B6B">
        <w:rPr>
          <w:rFonts w:ascii="Times New Roman" w:hAnsi="Times New Roman"/>
          <w:sz w:val="28"/>
          <w:szCs w:val="28"/>
        </w:rPr>
        <w:t xml:space="preserve"> - 9,30 [1,61-53,8]).</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rPr>
        <w:t>Серед загальноклінічних показників за наявності більш важкої гіпонатріємії верифіковано більш високий рівень глікемії (р</w:t>
      </w:r>
      <w:r w:rsidRPr="00F90B6B">
        <w:rPr>
          <w:rFonts w:ascii="Times New Roman" w:hAnsi="Times New Roman"/>
          <w:sz w:val="28"/>
          <w:szCs w:val="28"/>
          <w:lang w:eastAsia="uk-UA"/>
        </w:rPr>
        <w:t>&lt;0,05</w:t>
      </w:r>
      <w:r w:rsidRPr="00F90B6B">
        <w:rPr>
          <w:rFonts w:ascii="Times New Roman" w:hAnsi="Times New Roman"/>
          <w:sz w:val="28"/>
          <w:szCs w:val="28"/>
        </w:rPr>
        <w:t>), а також інсулінорезистентності за індексом НОМА (р</w:t>
      </w:r>
      <w:r w:rsidRPr="00F90B6B">
        <w:rPr>
          <w:rFonts w:ascii="Times New Roman" w:hAnsi="Times New Roman"/>
          <w:sz w:val="28"/>
          <w:szCs w:val="28"/>
          <w:lang w:eastAsia="uk-UA"/>
        </w:rPr>
        <w:t>&lt;0,05).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uk-UA"/>
        </w:rPr>
        <w:t xml:space="preserve">За аналізу </w:t>
      </w:r>
      <w:r w:rsidRPr="00F90B6B">
        <w:rPr>
          <w:rFonts w:ascii="Times New Roman" w:hAnsi="Times New Roman"/>
          <w:sz w:val="28"/>
          <w:szCs w:val="28"/>
        </w:rPr>
        <w:t>розвитку діастолічної дисфункції та Е/А&lt;1,0 у пацієнтів з ХСН та важкою гіпонатріємією приріст абсолютного ризику становив 23,0%, встановлено вірогідні показники відносного ризику (1,35 [1,0-1,83]).</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Доведено, що частота призначення гідрохлортіазиду у хворих з гіпонатріємією була суттєво більшою - приріст абсолютного ризику становив 28,0% з вірогідними показниками RR 1,59 [1,23-2,05] та OR 1,59 [1,23-2,05].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Приріст абсолютного ризику за призначення гідрохлортіазиду становив 28,0% з вірогідними показниками RR 1,59 [1,23-2,05] та OR 1,59 [1,23-2,05].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оцінці спектру петльових діуретиків, встановлено, що частота призначення фуросеміду при розвитку гіпонатріємії була більшою, на тлі призначення фуросеміду, порівняно з торасемідом, встановлено підвищення AR на 27,0%, вірогідні показники RR (1,66 [1,05-2,61]) та OR (3,08 [1,19-7,95]).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Частота призначення петльових діуретиків варіює від 79,5% при легкій гіпонатріємії до 100,0% при важкій гіпонатріємії та гіпонатріємії середньої важкості. Приріст ризику важкої гіпонатріємії встановлено на рівні 21,0%, при вірогідному значенні відносного ризику (1,26 [1,07-1,48]). Призначення фуросеміду асоціювалося з важкою гіпонатріємією та гіпонатріємією середньої важкості.</w:t>
      </w:r>
    </w:p>
    <w:p w:rsidR="00EF4063" w:rsidRPr="00F90B6B" w:rsidRDefault="008F54E3" w:rsidP="008F54E3">
      <w:pPr>
        <w:spacing w:after="0" w:line="348" w:lineRule="auto"/>
        <w:ind w:firstLine="709"/>
        <w:jc w:val="both"/>
        <w:rPr>
          <w:rFonts w:ascii="Times New Roman" w:hAnsi="Times New Roman"/>
          <w:i/>
          <w:sz w:val="28"/>
          <w:szCs w:val="28"/>
        </w:rPr>
      </w:pPr>
      <w:r w:rsidRPr="00F90B6B">
        <w:rPr>
          <w:rFonts w:ascii="Times New Roman" w:hAnsi="Times New Roman"/>
          <w:i/>
          <w:sz w:val="28"/>
          <w:szCs w:val="28"/>
        </w:rPr>
        <w:br w:type="page"/>
      </w:r>
      <w:r w:rsidR="00EF4063" w:rsidRPr="00F90B6B">
        <w:rPr>
          <w:rFonts w:ascii="Times New Roman" w:hAnsi="Times New Roman"/>
          <w:i/>
          <w:sz w:val="28"/>
          <w:szCs w:val="28"/>
        </w:rPr>
        <w:lastRenderedPageBreak/>
        <w:t>Матеріали, що представлені в розділі 3.4., включені в наступні публікації дисертанта:</w:t>
      </w:r>
    </w:p>
    <w:p w:rsidR="00EF4063" w:rsidRPr="00F90B6B" w:rsidRDefault="00EF4063" w:rsidP="008F54E3">
      <w:pPr>
        <w:pStyle w:val="1"/>
        <w:widowControl w:val="0"/>
        <w:numPr>
          <w:ilvl w:val="0"/>
          <w:numId w:val="29"/>
        </w:numPr>
        <w:spacing w:after="0" w:line="348" w:lineRule="auto"/>
        <w:ind w:left="0" w:firstLine="0"/>
        <w:jc w:val="both"/>
        <w:rPr>
          <w:rFonts w:ascii="Times New Roman" w:hAnsi="Times New Roman"/>
          <w:bCs/>
          <w:i/>
          <w:color w:val="339966"/>
          <w:sz w:val="28"/>
          <w:szCs w:val="28"/>
          <w:shd w:val="clear" w:color="auto" w:fill="FFFFFF"/>
        </w:rPr>
      </w:pPr>
      <w:r w:rsidRPr="00F90B6B">
        <w:rPr>
          <w:rFonts w:ascii="Times New Roman" w:hAnsi="Times New Roman"/>
          <w:bCs/>
          <w:sz w:val="28"/>
          <w:szCs w:val="28"/>
          <w:shd w:val="clear" w:color="auto" w:fill="FFFFFF"/>
        </w:rPr>
        <w:t xml:space="preserve">Лазиди Е.Л., Рудык Ю.С. Роль уровня ионов натрия в сыворотке крови в прогнозе риска смерти у пациентов с хронической сердечной недостаточностью и сохраненной фракцией выброса левого желудочка. / Е.Л Лазиди., Ю.С. Рудык // Експериментальна і клінічна медицина. – 2017. - №4(77). – С. 32-37. </w:t>
      </w:r>
      <w:r w:rsidRPr="00F90B6B">
        <w:rPr>
          <w:rFonts w:ascii="Times New Roman" w:hAnsi="Times New Roman"/>
          <w:bCs/>
          <w:i/>
          <w:sz w:val="28"/>
          <w:szCs w:val="28"/>
          <w:shd w:val="clear" w:color="auto" w:fill="FFFFFF"/>
        </w:rPr>
        <w:t>(Здобувач сформувала групи хворих, здійснила статистичний аналіз результатів, підготувала статтю до друку.)</w:t>
      </w:r>
    </w:p>
    <w:p w:rsidR="00EF4063" w:rsidRPr="00F90B6B" w:rsidRDefault="00EF4063" w:rsidP="008F54E3">
      <w:pPr>
        <w:pStyle w:val="1"/>
        <w:numPr>
          <w:ilvl w:val="0"/>
          <w:numId w:val="29"/>
        </w:numPr>
        <w:spacing w:after="0" w:line="348" w:lineRule="auto"/>
        <w:ind w:left="0" w:firstLine="0"/>
        <w:jc w:val="both"/>
        <w:rPr>
          <w:rFonts w:ascii="Times New Roman" w:hAnsi="Times New Roman"/>
          <w:bCs/>
          <w:i/>
          <w:sz w:val="28"/>
          <w:szCs w:val="28"/>
          <w:shd w:val="clear" w:color="auto" w:fill="FFFFFF"/>
        </w:rPr>
      </w:pPr>
      <w:r w:rsidRPr="00F90B6B">
        <w:rPr>
          <w:rFonts w:ascii="Times New Roman" w:hAnsi="Times New Roman"/>
          <w:sz w:val="28"/>
          <w:szCs w:val="28"/>
          <w:lang w:val="uz-Cyrl-UZ"/>
        </w:rPr>
        <w:t xml:space="preserve">Лазиди Е.Л., Рудык Ю.С., Высоцкая Е.В., Печерская А.И., Болотских А.В. Гипонатриемия у пациентов с хронической сердечной недостаточностью и сохраненной фракцией выброса левого желудочка / Е.Л Лазиди, Ю.С. Рудык, Е.В. Высоцкая, А.И Печерская, А.В. Болотских // </w:t>
      </w:r>
      <w:r w:rsidRPr="00F90B6B">
        <w:rPr>
          <w:rFonts w:ascii="Times New Roman" w:hAnsi="Times New Roman"/>
          <w:bCs/>
          <w:sz w:val="28"/>
          <w:szCs w:val="28"/>
          <w:shd w:val="clear" w:color="auto" w:fill="FFFFFF"/>
        </w:rPr>
        <w:t>«</w:t>
      </w:r>
      <w:r w:rsidRPr="00F90B6B">
        <w:rPr>
          <w:rFonts w:ascii="Times New Roman" w:hAnsi="Times New Roman"/>
          <w:bCs/>
          <w:sz w:val="28"/>
          <w:szCs w:val="28"/>
          <w:shd w:val="clear" w:color="auto" w:fill="FFFFFF"/>
          <w:lang w:val="uz-Cyrl-UZ"/>
        </w:rPr>
        <w:t xml:space="preserve">ScienceRise: Medical Science». – </w:t>
      </w:r>
      <w:r w:rsidRPr="00F90B6B">
        <w:rPr>
          <w:rFonts w:ascii="Times New Roman" w:hAnsi="Times New Roman"/>
          <w:bCs/>
          <w:sz w:val="28"/>
          <w:szCs w:val="28"/>
          <w:shd w:val="clear" w:color="auto" w:fill="FFFFFF"/>
        </w:rPr>
        <w:t xml:space="preserve">2018. – </w:t>
      </w:r>
      <w:r w:rsidRPr="00F90B6B">
        <w:rPr>
          <w:rFonts w:ascii="Times New Roman" w:hAnsi="Times New Roman"/>
          <w:bCs/>
          <w:sz w:val="28"/>
          <w:szCs w:val="28"/>
          <w:shd w:val="clear" w:color="auto" w:fill="FFFFFF"/>
          <w:lang w:val="uz-Cyrl-UZ"/>
        </w:rPr>
        <w:t>Vol.</w:t>
      </w:r>
      <w:r w:rsidRPr="00F90B6B">
        <w:rPr>
          <w:rFonts w:ascii="Times New Roman" w:hAnsi="Times New Roman"/>
          <w:bCs/>
          <w:sz w:val="28"/>
          <w:szCs w:val="28"/>
          <w:shd w:val="clear" w:color="auto" w:fill="FFFFFF"/>
        </w:rPr>
        <w:t xml:space="preserve"> 2(22). – Р.4-9. </w:t>
      </w:r>
      <w:r w:rsidRPr="00F90B6B">
        <w:rPr>
          <w:rFonts w:ascii="Times New Roman" w:hAnsi="Times New Roman"/>
          <w:bCs/>
          <w:i/>
          <w:sz w:val="28"/>
          <w:szCs w:val="28"/>
          <w:shd w:val="clear" w:color="auto" w:fill="FFFFFF"/>
        </w:rPr>
        <w:t>(Здобувачем проведено обстеження хворих, вивчення літератури, статистичний аналіз результатів, написання та підготовка статті до друку).</w:t>
      </w:r>
    </w:p>
    <w:p w:rsidR="00EF4063" w:rsidRPr="00F90B6B" w:rsidRDefault="00EF4063" w:rsidP="008F54E3">
      <w:pPr>
        <w:pStyle w:val="1"/>
        <w:numPr>
          <w:ilvl w:val="0"/>
          <w:numId w:val="29"/>
        </w:numPr>
        <w:spacing w:after="0" w:line="348" w:lineRule="auto"/>
        <w:ind w:left="0" w:firstLine="0"/>
        <w:jc w:val="both"/>
        <w:rPr>
          <w:rFonts w:ascii="Times New Roman" w:hAnsi="Times New Roman"/>
          <w:i/>
          <w:sz w:val="28"/>
          <w:szCs w:val="28"/>
        </w:rPr>
      </w:pPr>
      <w:r w:rsidRPr="00F90B6B">
        <w:rPr>
          <w:rFonts w:ascii="Times New Roman" w:hAnsi="Times New Roman"/>
          <w:bCs/>
          <w:sz w:val="28"/>
          <w:szCs w:val="28"/>
        </w:rPr>
        <w:t xml:space="preserve">Лазиди Е.Л., Рудык Ю.С. Прогностичекое значение ожирения и гипонатриемии в прогрессировании хронической сердечной недостаточности: сердечно-сосудистая смертность и кардиоренальный синдром / </w:t>
      </w:r>
      <w:r w:rsidRPr="00F90B6B">
        <w:rPr>
          <w:rFonts w:ascii="Times New Roman" w:hAnsi="Times New Roman"/>
          <w:sz w:val="28"/>
          <w:szCs w:val="28"/>
        </w:rPr>
        <w:t>Е.Л. Лазиди, Ю.С.Рудык //</w:t>
      </w:r>
      <w:r w:rsidRPr="00F90B6B">
        <w:rPr>
          <w:rFonts w:ascii="Times New Roman" w:hAnsi="Times New Roman"/>
          <w:bCs/>
          <w:sz w:val="28"/>
          <w:szCs w:val="28"/>
        </w:rPr>
        <w:t xml:space="preserve"> </w:t>
      </w:r>
      <w:r w:rsidRPr="00F90B6B">
        <w:rPr>
          <w:rFonts w:ascii="Times New Roman" w:hAnsi="Times New Roman"/>
          <w:bCs/>
          <w:sz w:val="28"/>
          <w:szCs w:val="28"/>
          <w:shd w:val="clear" w:color="auto" w:fill="FFFFFF"/>
          <w:lang w:val="en-US"/>
        </w:rPr>
        <w:t>Georgian</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medical</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news</w:t>
      </w:r>
      <w:r w:rsidRPr="00F90B6B">
        <w:rPr>
          <w:rFonts w:ascii="Times New Roman" w:hAnsi="Times New Roman"/>
          <w:bCs/>
          <w:sz w:val="28"/>
          <w:szCs w:val="28"/>
          <w:shd w:val="clear" w:color="auto" w:fill="FFFFFF"/>
        </w:rPr>
        <w:t xml:space="preserve">. – 2018. – Грузия, Тбилиси. - №9(282) . – Р.65-73 </w:t>
      </w:r>
      <w:r w:rsidRPr="00F90B6B">
        <w:rPr>
          <w:rFonts w:ascii="Times New Roman" w:hAnsi="Times New Roman"/>
          <w:i/>
          <w:sz w:val="28"/>
          <w:szCs w:val="28"/>
        </w:rPr>
        <w:t>(Здобувачем проведено обстеження хворих, оцінку анкетування та інтерпретацію отриманих результатів, написання  та підготовку статті до друку)</w:t>
      </w:r>
      <w:r w:rsidRPr="00F90B6B">
        <w:rPr>
          <w:rFonts w:ascii="Times New Roman" w:hAnsi="Times New Roman"/>
          <w:sz w:val="28"/>
          <w:szCs w:val="28"/>
        </w:rPr>
        <w:t xml:space="preserve"> (</w:t>
      </w:r>
      <w:r w:rsidRPr="00F90B6B">
        <w:rPr>
          <w:rFonts w:ascii="Times New Roman" w:hAnsi="Times New Roman"/>
          <w:sz w:val="28"/>
          <w:szCs w:val="28"/>
          <w:lang w:val="en-US"/>
        </w:rPr>
        <w:t>SCOPUS</w:t>
      </w:r>
      <w:r w:rsidRPr="00F90B6B">
        <w:rPr>
          <w:rFonts w:ascii="Times New Roman" w:hAnsi="Times New Roman"/>
          <w:sz w:val="28"/>
          <w:szCs w:val="28"/>
        </w:rPr>
        <w:t>).</w:t>
      </w:r>
    </w:p>
    <w:p w:rsidR="00EF4063" w:rsidRPr="00F90B6B" w:rsidRDefault="00EF4063" w:rsidP="008F54E3">
      <w:pPr>
        <w:pStyle w:val="1"/>
        <w:numPr>
          <w:ilvl w:val="0"/>
          <w:numId w:val="29"/>
        </w:numPr>
        <w:spacing w:after="0" w:line="348" w:lineRule="auto"/>
        <w:ind w:left="0" w:firstLine="0"/>
        <w:jc w:val="both"/>
        <w:rPr>
          <w:rFonts w:ascii="Times New Roman" w:hAnsi="Times New Roman"/>
          <w:sz w:val="28"/>
          <w:szCs w:val="28"/>
        </w:rPr>
      </w:pPr>
      <w:r w:rsidRPr="00F90B6B">
        <w:rPr>
          <w:rFonts w:ascii="Times New Roman" w:hAnsi="Times New Roman"/>
          <w:sz w:val="28"/>
          <w:szCs w:val="28"/>
        </w:rPr>
        <w:t>Лазіді К.Л., Рудик Ю.С. Гіпонаріємія і прогноз хворих із ХСН: чи існує зв'язок? / К.Л. Лазіді,</w:t>
      </w:r>
      <w:r w:rsidRPr="00F90B6B">
        <w:rPr>
          <w:rFonts w:ascii="Times New Roman" w:hAnsi="Times New Roman"/>
          <w:color w:val="339966"/>
          <w:sz w:val="28"/>
          <w:szCs w:val="28"/>
        </w:rPr>
        <w:t xml:space="preserve"> </w:t>
      </w:r>
      <w:r w:rsidRPr="00F90B6B">
        <w:rPr>
          <w:rFonts w:ascii="Times New Roman" w:hAnsi="Times New Roman"/>
          <w:sz w:val="28"/>
          <w:szCs w:val="28"/>
        </w:rPr>
        <w:t>Ю.С.Рудик // Матеріали науково-практичної конференції за участю міжнародних спеціалістів</w:t>
      </w:r>
      <w:r w:rsidRPr="00F90B6B">
        <w:rPr>
          <w:rFonts w:ascii="Times New Roman" w:hAnsi="Times New Roman"/>
          <w:caps/>
          <w:sz w:val="28"/>
          <w:szCs w:val="28"/>
        </w:rPr>
        <w:t xml:space="preserve"> </w:t>
      </w:r>
      <w:r w:rsidRPr="00F90B6B">
        <w:rPr>
          <w:rFonts w:ascii="Times New Roman" w:hAnsi="Times New Roman"/>
          <w:sz w:val="28"/>
          <w:szCs w:val="28"/>
        </w:rPr>
        <w:t>«Щорічні терапевтичні читання: Профілактика неінфекційних захворювань на перехресті терапевтичних наук</w:t>
      </w:r>
      <w:r w:rsidRPr="00F90B6B">
        <w:rPr>
          <w:rFonts w:ascii="Times New Roman" w:hAnsi="Times New Roman"/>
          <w:bCs/>
          <w:iCs/>
          <w:caps/>
          <w:sz w:val="28"/>
          <w:szCs w:val="28"/>
        </w:rPr>
        <w:t>». 21</w:t>
      </w:r>
      <w:r w:rsidRPr="00F90B6B">
        <w:rPr>
          <w:rFonts w:ascii="Times New Roman" w:hAnsi="Times New Roman"/>
          <w:sz w:val="28"/>
          <w:szCs w:val="28"/>
        </w:rPr>
        <w:t xml:space="preserve"> квітня</w:t>
      </w:r>
      <w:r w:rsidRPr="00F90B6B">
        <w:rPr>
          <w:rFonts w:ascii="Times New Roman" w:hAnsi="Times New Roman"/>
          <w:bCs/>
          <w:iCs/>
          <w:caps/>
          <w:sz w:val="28"/>
          <w:szCs w:val="28"/>
        </w:rPr>
        <w:t xml:space="preserve"> </w:t>
      </w:r>
      <w:r w:rsidRPr="00F90B6B">
        <w:rPr>
          <w:rFonts w:ascii="Times New Roman" w:hAnsi="Times New Roman"/>
          <w:sz w:val="28"/>
          <w:szCs w:val="28"/>
        </w:rPr>
        <w:t>2016 р. Харків. С. 281.</w:t>
      </w:r>
    </w:p>
    <w:p w:rsidR="00EF4063" w:rsidRPr="00F90B6B" w:rsidRDefault="00EF4063" w:rsidP="008F54E3">
      <w:pPr>
        <w:pStyle w:val="1"/>
        <w:numPr>
          <w:ilvl w:val="0"/>
          <w:numId w:val="29"/>
        </w:numPr>
        <w:spacing w:after="0" w:line="348" w:lineRule="auto"/>
        <w:ind w:left="0" w:firstLine="0"/>
        <w:jc w:val="both"/>
        <w:rPr>
          <w:rFonts w:ascii="Times New Roman" w:hAnsi="Times New Roman"/>
          <w:sz w:val="28"/>
          <w:szCs w:val="28"/>
        </w:rPr>
      </w:pPr>
      <w:r w:rsidRPr="00F90B6B">
        <w:rPr>
          <w:rFonts w:ascii="Times New Roman" w:hAnsi="Times New Roman"/>
          <w:sz w:val="28"/>
          <w:szCs w:val="28"/>
        </w:rPr>
        <w:t xml:space="preserve">Лазіді К.Л., Рудик Ю.С. </w:t>
      </w:r>
      <w:r w:rsidRPr="00F90B6B">
        <w:rPr>
          <w:rStyle w:val="shorttext"/>
          <w:rFonts w:ascii="Times New Roman" w:hAnsi="Times New Roman"/>
          <w:szCs w:val="28"/>
        </w:rPr>
        <w:t xml:space="preserve">Електролітні </w:t>
      </w:r>
      <w:r w:rsidRPr="00F90B6B">
        <w:rPr>
          <w:rFonts w:ascii="Times New Roman" w:hAnsi="Times New Roman"/>
          <w:sz w:val="28"/>
          <w:szCs w:val="28"/>
        </w:rPr>
        <w:t>порушення у хворих із хронічною серцевою недостатністю / К.Л. Лазіді, Ю.С.Рудик</w:t>
      </w:r>
      <w:r w:rsidRPr="00F90B6B">
        <w:rPr>
          <w:rFonts w:ascii="Times New Roman" w:hAnsi="Times New Roman"/>
          <w:color w:val="339966"/>
          <w:sz w:val="28"/>
          <w:szCs w:val="28"/>
        </w:rPr>
        <w:t xml:space="preserve"> </w:t>
      </w:r>
      <w:r w:rsidRPr="00F90B6B">
        <w:rPr>
          <w:rFonts w:ascii="Times New Roman" w:hAnsi="Times New Roman"/>
          <w:sz w:val="28"/>
          <w:szCs w:val="28"/>
        </w:rPr>
        <w:t>// Матеріали</w:t>
      </w:r>
      <w:r w:rsidRPr="00F90B6B">
        <w:rPr>
          <w:rFonts w:ascii="Times New Roman" w:hAnsi="Times New Roman"/>
          <w:color w:val="339966"/>
          <w:sz w:val="28"/>
          <w:szCs w:val="28"/>
        </w:rPr>
        <w:t xml:space="preserve"> </w:t>
      </w:r>
      <w:r w:rsidRPr="00F90B6B">
        <w:rPr>
          <w:rFonts w:ascii="Times New Roman" w:hAnsi="Times New Roman"/>
          <w:sz w:val="28"/>
          <w:szCs w:val="28"/>
        </w:rPr>
        <w:t>н</w:t>
      </w:r>
      <w:r w:rsidRPr="00F90B6B">
        <w:rPr>
          <w:rFonts w:ascii="Times New Roman" w:hAnsi="Times New Roman"/>
          <w:bCs/>
          <w:iCs/>
          <w:sz w:val="28"/>
          <w:szCs w:val="28"/>
        </w:rPr>
        <w:t>ауково-практичної конференції молодих учених за участю міжнародних спеціалістів,</w:t>
      </w:r>
      <w:r w:rsidRPr="00F90B6B">
        <w:rPr>
          <w:rFonts w:ascii="Times New Roman" w:hAnsi="Times New Roman"/>
          <w:iCs/>
          <w:spacing w:val="8"/>
          <w:sz w:val="28"/>
          <w:szCs w:val="28"/>
        </w:rPr>
        <w:t xml:space="preserve"> присвячена Дню науки </w:t>
      </w:r>
      <w:r w:rsidRPr="00F90B6B">
        <w:rPr>
          <w:rFonts w:ascii="Times New Roman" w:hAnsi="Times New Roman"/>
          <w:bCs/>
          <w:sz w:val="28"/>
          <w:szCs w:val="28"/>
        </w:rPr>
        <w:t xml:space="preserve">«Медична наука та клінічна практика - 2016». </w:t>
      </w:r>
      <w:r w:rsidRPr="00F90B6B">
        <w:rPr>
          <w:rFonts w:ascii="Times New Roman" w:hAnsi="Times New Roman"/>
          <w:sz w:val="28"/>
          <w:szCs w:val="28"/>
        </w:rPr>
        <w:t>20 травня 2016 р.</w:t>
      </w:r>
      <w:r w:rsidRPr="00F90B6B">
        <w:rPr>
          <w:rFonts w:ascii="Times New Roman" w:hAnsi="Times New Roman"/>
          <w:bCs/>
          <w:sz w:val="28"/>
          <w:szCs w:val="28"/>
        </w:rPr>
        <w:t xml:space="preserve"> Харків. С. 56-57.</w:t>
      </w:r>
    </w:p>
    <w:p w:rsidR="00EF4063" w:rsidRPr="00F90B6B" w:rsidRDefault="00EF4063" w:rsidP="008F54E3">
      <w:pPr>
        <w:pStyle w:val="1"/>
        <w:numPr>
          <w:ilvl w:val="0"/>
          <w:numId w:val="29"/>
        </w:numPr>
        <w:spacing w:after="0" w:line="348" w:lineRule="auto"/>
        <w:ind w:left="0" w:firstLine="0"/>
        <w:jc w:val="both"/>
        <w:rPr>
          <w:rFonts w:ascii="Times New Roman" w:hAnsi="Times New Roman"/>
          <w:sz w:val="28"/>
          <w:szCs w:val="28"/>
          <w:shd w:val="clear" w:color="auto" w:fill="FFFFFF"/>
        </w:rPr>
      </w:pPr>
      <w:r w:rsidRPr="00F90B6B">
        <w:rPr>
          <w:rFonts w:ascii="Times New Roman" w:hAnsi="Times New Roman"/>
          <w:sz w:val="28"/>
          <w:szCs w:val="28"/>
        </w:rPr>
        <w:lastRenderedPageBreak/>
        <w:t>Лазіді К.Л., Рудик Ю.С</w:t>
      </w:r>
      <w:r w:rsidRPr="00F90B6B">
        <w:rPr>
          <w:rFonts w:ascii="Times New Roman" w:hAnsi="Times New Roman"/>
          <w:sz w:val="28"/>
          <w:szCs w:val="28"/>
          <w:shd w:val="clear" w:color="auto" w:fill="FFFFFF"/>
        </w:rPr>
        <w:t xml:space="preserve"> Які фактори впливають на клінічний перебіг у пацієнтів з хронічною серцевою недостатністю зі збереженою фракцією викиду лівого шлуночка? / </w:t>
      </w:r>
      <w:r w:rsidRPr="00F90B6B">
        <w:rPr>
          <w:rFonts w:ascii="Times New Roman" w:hAnsi="Times New Roman"/>
          <w:sz w:val="28"/>
          <w:szCs w:val="28"/>
        </w:rPr>
        <w:t xml:space="preserve">К.Л. Лазіді, Ю.С.Рудик // Матеріали </w:t>
      </w:r>
      <w:r w:rsidRPr="00F90B6B">
        <w:rPr>
          <w:rFonts w:ascii="Times New Roman" w:hAnsi="Times New Roman"/>
          <w:sz w:val="28"/>
          <w:szCs w:val="28"/>
          <w:shd w:val="clear" w:color="auto" w:fill="FFFFFF"/>
        </w:rPr>
        <w:t>щорічної підсумкова науково-практичної конференції молодих вчених Харківської медичної академії післядипломної освіти «Медицина 21 століття». 24 листопада 2016 р. Харків . С. 61.</w:t>
      </w:r>
    </w:p>
    <w:p w:rsidR="00EF4063" w:rsidRPr="00F90B6B" w:rsidRDefault="00EF4063" w:rsidP="008F54E3">
      <w:pPr>
        <w:pStyle w:val="1"/>
        <w:numPr>
          <w:ilvl w:val="0"/>
          <w:numId w:val="29"/>
        </w:numPr>
        <w:spacing w:after="0" w:line="348" w:lineRule="auto"/>
        <w:ind w:left="0" w:firstLine="0"/>
        <w:jc w:val="both"/>
        <w:rPr>
          <w:rFonts w:ascii="Times New Roman" w:hAnsi="Times New Roman"/>
          <w:sz w:val="28"/>
          <w:szCs w:val="28"/>
        </w:rPr>
      </w:pPr>
      <w:r w:rsidRPr="00F90B6B">
        <w:rPr>
          <w:rFonts w:ascii="Times New Roman" w:hAnsi="Times New Roman"/>
          <w:sz w:val="28"/>
          <w:szCs w:val="28"/>
        </w:rPr>
        <w:t>Лазіді К.Л., Рудик Ю.С</w:t>
      </w:r>
      <w:r w:rsidRPr="00F90B6B">
        <w:rPr>
          <w:rFonts w:ascii="Times New Roman" w:hAnsi="Times New Roman"/>
          <w:sz w:val="28"/>
          <w:szCs w:val="28"/>
          <w:shd w:val="clear" w:color="auto" w:fill="FFFFFF"/>
        </w:rPr>
        <w:t xml:space="preserve"> </w:t>
      </w:r>
      <w:r w:rsidRPr="00F90B6B">
        <w:rPr>
          <w:rFonts w:ascii="Times New Roman" w:hAnsi="Times New Roman"/>
          <w:sz w:val="28"/>
          <w:szCs w:val="28"/>
        </w:rPr>
        <w:t>Чи  впливає дисбаланс електролітів на розвиток ускладнень у пацієнтів з хронічною серцевою недостатністю? / К.Л. Лазіді, Ю.С.Рудик // Матеріали Всеукраїнської науково-практичної конференції молодих учених «Медична наука в практику охорони здоров я». 9 грудня  2016 р. Полтава. С. 39.</w:t>
      </w:r>
    </w:p>
    <w:p w:rsidR="00EF4063" w:rsidRPr="00F90B6B" w:rsidRDefault="00EF4063" w:rsidP="008F54E3">
      <w:pPr>
        <w:pStyle w:val="1"/>
        <w:widowControl w:val="0"/>
        <w:numPr>
          <w:ilvl w:val="0"/>
          <w:numId w:val="29"/>
        </w:numPr>
        <w:spacing w:after="0" w:line="348" w:lineRule="auto"/>
        <w:ind w:left="0" w:firstLine="0"/>
        <w:jc w:val="both"/>
        <w:rPr>
          <w:rFonts w:ascii="Times New Roman" w:hAnsi="Times New Roman"/>
          <w:sz w:val="28"/>
          <w:szCs w:val="28"/>
        </w:rPr>
      </w:pPr>
      <w:r w:rsidRPr="00F90B6B">
        <w:rPr>
          <w:rFonts w:ascii="Times New Roman" w:hAnsi="Times New Roman"/>
          <w:sz w:val="28"/>
          <w:szCs w:val="28"/>
        </w:rPr>
        <w:t>Лазіді К.Л., Рудик Ю.С</w:t>
      </w:r>
      <w:r w:rsidRPr="00F90B6B">
        <w:rPr>
          <w:rFonts w:ascii="Times New Roman" w:hAnsi="Times New Roman"/>
          <w:sz w:val="28"/>
          <w:szCs w:val="28"/>
          <w:shd w:val="clear" w:color="auto" w:fill="FFFFFF"/>
        </w:rPr>
        <w:t xml:space="preserve"> </w:t>
      </w:r>
      <w:r w:rsidRPr="00F90B6B">
        <w:rPr>
          <w:rFonts w:ascii="Times New Roman" w:hAnsi="Times New Roman"/>
          <w:bCs/>
          <w:sz w:val="28"/>
          <w:szCs w:val="28"/>
          <w:shd w:val="clear" w:color="auto" w:fill="FFFFFF"/>
        </w:rPr>
        <w:t xml:space="preserve">Електролітні порушення  у пацієнтів з хронічною серцевою недостатністю зі збереженою фракцією викиду лівого шлуночка і супутнім ожирінням: чи  існує зв’язок? / </w:t>
      </w:r>
      <w:r w:rsidRPr="00F90B6B">
        <w:rPr>
          <w:rFonts w:ascii="Times New Roman" w:hAnsi="Times New Roman"/>
          <w:sz w:val="28"/>
          <w:szCs w:val="28"/>
        </w:rPr>
        <w:t>К.Л. Лазіді, Ю.С.Рудик // Матеріали міжнародної науково-практичної конференції «Світова медицина: сучасні тенденції та фактори розвитку». 27-28 січня 2017 р. Львів. С. 22-23.</w:t>
      </w:r>
    </w:p>
    <w:p w:rsidR="00EF4063" w:rsidRPr="00F90B6B" w:rsidRDefault="00EF4063" w:rsidP="008F54E3">
      <w:pPr>
        <w:pStyle w:val="1"/>
        <w:numPr>
          <w:ilvl w:val="0"/>
          <w:numId w:val="29"/>
        </w:numPr>
        <w:spacing w:after="0" w:line="348" w:lineRule="auto"/>
        <w:ind w:left="0" w:firstLine="0"/>
        <w:jc w:val="both"/>
        <w:rPr>
          <w:rFonts w:ascii="Times New Roman" w:hAnsi="Times New Roman"/>
          <w:sz w:val="28"/>
          <w:szCs w:val="28"/>
        </w:rPr>
      </w:pPr>
      <w:r w:rsidRPr="00F90B6B">
        <w:rPr>
          <w:rFonts w:ascii="Times New Roman" w:hAnsi="Times New Roman"/>
          <w:sz w:val="28"/>
          <w:szCs w:val="28"/>
        </w:rPr>
        <w:t>Лазіді К.Л.</w:t>
      </w:r>
      <w:r w:rsidRPr="00F90B6B">
        <w:rPr>
          <w:rFonts w:ascii="Times New Roman" w:hAnsi="Times New Roman"/>
          <w:sz w:val="28"/>
          <w:szCs w:val="28"/>
          <w:shd w:val="clear" w:color="auto" w:fill="FFFFFF"/>
        </w:rPr>
        <w:t xml:space="preserve"> Гіпонатріємія у пацієнтів з хронічною серцевою недостатністю і супутнім ожирінням: чи змінюється прогноз? / </w:t>
      </w:r>
      <w:r w:rsidRPr="00F90B6B">
        <w:rPr>
          <w:rFonts w:ascii="Times New Roman" w:hAnsi="Times New Roman"/>
          <w:sz w:val="28"/>
          <w:szCs w:val="28"/>
        </w:rPr>
        <w:t>К.Л. Лазіді //</w:t>
      </w:r>
      <w:r w:rsidRPr="00F90B6B">
        <w:rPr>
          <w:rFonts w:ascii="Times New Roman" w:hAnsi="Times New Roman"/>
          <w:color w:val="339966"/>
          <w:sz w:val="28"/>
          <w:szCs w:val="28"/>
        </w:rPr>
        <w:t xml:space="preserve"> </w:t>
      </w:r>
      <w:r w:rsidRPr="00F90B6B">
        <w:rPr>
          <w:rFonts w:ascii="Times New Roman" w:hAnsi="Times New Roman"/>
          <w:bCs/>
          <w:sz w:val="28"/>
          <w:szCs w:val="28"/>
        </w:rPr>
        <w:t>Матеріали</w:t>
      </w:r>
      <w:r w:rsidRPr="00F90B6B">
        <w:rPr>
          <w:rFonts w:ascii="Times New Roman" w:hAnsi="Times New Roman"/>
          <w:sz w:val="28"/>
          <w:szCs w:val="28"/>
          <w:lang w:val="uz-Cyrl-UZ"/>
        </w:rPr>
        <w:t xml:space="preserve"> міжнародн</w:t>
      </w:r>
      <w:r w:rsidRPr="00F90B6B">
        <w:rPr>
          <w:rFonts w:ascii="Times New Roman" w:hAnsi="Times New Roman"/>
          <w:sz w:val="28"/>
          <w:szCs w:val="28"/>
        </w:rPr>
        <w:t>ої</w:t>
      </w:r>
      <w:r w:rsidRPr="00F90B6B">
        <w:rPr>
          <w:rFonts w:ascii="Times New Roman" w:hAnsi="Times New Roman"/>
          <w:sz w:val="28"/>
          <w:szCs w:val="28"/>
          <w:lang w:val="uz-Cyrl-UZ"/>
        </w:rPr>
        <w:t xml:space="preserve"> науково-практичн</w:t>
      </w:r>
      <w:r w:rsidRPr="00F90B6B">
        <w:rPr>
          <w:rFonts w:ascii="Times New Roman" w:hAnsi="Times New Roman"/>
          <w:sz w:val="28"/>
          <w:szCs w:val="28"/>
        </w:rPr>
        <w:t>ої</w:t>
      </w:r>
      <w:r w:rsidRPr="00F90B6B">
        <w:rPr>
          <w:rFonts w:ascii="Times New Roman" w:hAnsi="Times New Roman"/>
          <w:sz w:val="28"/>
          <w:szCs w:val="28"/>
          <w:lang w:val="uz-Cyrl-UZ"/>
        </w:rPr>
        <w:t xml:space="preserve"> конференці</w:t>
      </w:r>
      <w:r w:rsidRPr="00F90B6B">
        <w:rPr>
          <w:rFonts w:ascii="Times New Roman" w:hAnsi="Times New Roman"/>
          <w:sz w:val="28"/>
          <w:szCs w:val="28"/>
        </w:rPr>
        <w:t xml:space="preserve">ї </w:t>
      </w:r>
      <w:r w:rsidRPr="00F90B6B">
        <w:rPr>
          <w:rFonts w:ascii="Times New Roman" w:hAnsi="Times New Roman"/>
          <w:sz w:val="28"/>
          <w:szCs w:val="28"/>
          <w:lang w:val="uz-Cyrl-UZ"/>
        </w:rPr>
        <w:t>«Сучасні тенденції розвитку медичної науки та медичної практики»</w:t>
      </w:r>
      <w:r w:rsidRPr="00F90B6B">
        <w:rPr>
          <w:rFonts w:ascii="Times New Roman" w:hAnsi="Times New Roman"/>
          <w:sz w:val="28"/>
          <w:szCs w:val="28"/>
        </w:rPr>
        <w:t xml:space="preserve">. </w:t>
      </w:r>
      <w:r w:rsidRPr="00F90B6B">
        <w:rPr>
          <w:rFonts w:ascii="Times New Roman" w:hAnsi="Times New Roman"/>
          <w:sz w:val="28"/>
          <w:szCs w:val="28"/>
          <w:lang w:val="uz-Cyrl-UZ"/>
        </w:rPr>
        <w:t>22-23 грудня 2017 р</w:t>
      </w:r>
      <w:r w:rsidRPr="00F90B6B">
        <w:rPr>
          <w:rFonts w:ascii="Times New Roman" w:hAnsi="Times New Roman"/>
          <w:sz w:val="28"/>
          <w:szCs w:val="28"/>
        </w:rPr>
        <w:t>.</w:t>
      </w:r>
      <w:r w:rsidRPr="00F90B6B">
        <w:rPr>
          <w:rFonts w:ascii="Times New Roman" w:hAnsi="Times New Roman"/>
          <w:sz w:val="28"/>
          <w:szCs w:val="28"/>
          <w:lang w:val="uz-Cyrl-UZ"/>
        </w:rPr>
        <w:t xml:space="preserve"> Львів</w:t>
      </w:r>
      <w:r w:rsidRPr="00F90B6B">
        <w:rPr>
          <w:rFonts w:ascii="Times New Roman" w:hAnsi="Times New Roman"/>
          <w:sz w:val="28"/>
          <w:szCs w:val="28"/>
        </w:rPr>
        <w:t>. С. 23.</w:t>
      </w:r>
    </w:p>
    <w:p w:rsidR="00EF4063" w:rsidRPr="00F90B6B" w:rsidRDefault="00EF4063" w:rsidP="008F54E3">
      <w:pPr>
        <w:pStyle w:val="1"/>
        <w:widowControl w:val="0"/>
        <w:numPr>
          <w:ilvl w:val="0"/>
          <w:numId w:val="29"/>
        </w:numPr>
        <w:spacing w:after="0" w:line="348" w:lineRule="auto"/>
        <w:ind w:left="0" w:firstLine="0"/>
        <w:jc w:val="both"/>
        <w:rPr>
          <w:rFonts w:ascii="Times New Roman" w:hAnsi="Times New Roman"/>
          <w:bCs/>
          <w:iCs/>
          <w:sz w:val="28"/>
          <w:szCs w:val="28"/>
        </w:rPr>
      </w:pPr>
      <w:r w:rsidRPr="00F90B6B">
        <w:rPr>
          <w:rFonts w:ascii="Times New Roman" w:hAnsi="Times New Roman"/>
          <w:sz w:val="28"/>
          <w:szCs w:val="28"/>
        </w:rPr>
        <w:t>Лазиди Е.Л., Рудык Ю.С</w:t>
      </w:r>
      <w:r w:rsidRPr="00F90B6B">
        <w:rPr>
          <w:rFonts w:ascii="Times New Roman" w:hAnsi="Times New Roman"/>
          <w:sz w:val="28"/>
          <w:szCs w:val="28"/>
          <w:shd w:val="clear" w:color="auto" w:fill="FFFFFF"/>
        </w:rPr>
        <w:t xml:space="preserve">  Гипонатриемия у пациентов с хронической сердечной недостаточностью и сохраненной фракцией выброса левого желудочка </w:t>
      </w:r>
      <w:r w:rsidRPr="00F90B6B">
        <w:rPr>
          <w:rFonts w:ascii="Times New Roman" w:hAnsi="Times New Roman"/>
          <w:b/>
        </w:rPr>
        <w:t xml:space="preserve">/ </w:t>
      </w:r>
      <w:r w:rsidRPr="00F90B6B">
        <w:rPr>
          <w:rFonts w:ascii="Times New Roman" w:hAnsi="Times New Roman"/>
          <w:sz w:val="28"/>
          <w:szCs w:val="28"/>
        </w:rPr>
        <w:t>Е.Л. Лазиди, Ю.С.Рудык</w:t>
      </w:r>
      <w:r w:rsidRPr="00F90B6B">
        <w:rPr>
          <w:rFonts w:ascii="Times New Roman" w:hAnsi="Times New Roman"/>
          <w:color w:val="339966"/>
          <w:sz w:val="28"/>
          <w:szCs w:val="28"/>
        </w:rPr>
        <w:t xml:space="preserve"> // </w:t>
      </w:r>
      <w:r w:rsidRPr="00F90B6B">
        <w:rPr>
          <w:rFonts w:ascii="Times New Roman" w:hAnsi="Times New Roman"/>
          <w:bCs/>
          <w:sz w:val="28"/>
          <w:szCs w:val="28"/>
        </w:rPr>
        <w:t>Матеріали</w:t>
      </w:r>
      <w:r w:rsidRPr="00F90B6B">
        <w:rPr>
          <w:rFonts w:ascii="Times New Roman" w:hAnsi="Times New Roman"/>
          <w:b/>
        </w:rPr>
        <w:t xml:space="preserve"> </w:t>
      </w:r>
      <w:r w:rsidRPr="00F90B6B">
        <w:rPr>
          <w:rFonts w:ascii="Times New Roman" w:hAnsi="Times New Roman"/>
          <w:sz w:val="28"/>
          <w:szCs w:val="28"/>
        </w:rPr>
        <w:t xml:space="preserve">науково-практичноъ конференції молодих вчених з міжнародною участю присвяченої 25-річному ювілею НАМН України та  Дню науки «Профілактична медицина сьогодні:внесок молодих спеціалістів». </w:t>
      </w:r>
      <w:r w:rsidRPr="00F90B6B">
        <w:rPr>
          <w:rFonts w:ascii="Times New Roman" w:hAnsi="Times New Roman"/>
          <w:bCs/>
          <w:iCs/>
          <w:sz w:val="28"/>
          <w:szCs w:val="28"/>
        </w:rPr>
        <w:t>24 травня 2018 р. Харків. С. 33.</w:t>
      </w:r>
    </w:p>
    <w:p w:rsidR="00EF4063" w:rsidRPr="00F90B6B" w:rsidRDefault="00EF4063" w:rsidP="008F54E3">
      <w:pPr>
        <w:pStyle w:val="1"/>
        <w:numPr>
          <w:ilvl w:val="0"/>
          <w:numId w:val="29"/>
        </w:numPr>
        <w:spacing w:after="0" w:line="348" w:lineRule="auto"/>
        <w:ind w:left="0" w:firstLine="0"/>
        <w:jc w:val="both"/>
        <w:rPr>
          <w:rFonts w:ascii="Times New Roman" w:hAnsi="Times New Roman"/>
          <w:bCs/>
          <w:color w:val="000080"/>
        </w:rPr>
      </w:pPr>
      <w:r w:rsidRPr="00F90B6B">
        <w:rPr>
          <w:rFonts w:ascii="Times New Roman" w:hAnsi="Times New Roman"/>
          <w:sz w:val="28"/>
          <w:szCs w:val="28"/>
        </w:rPr>
        <w:t>Лазиди Е.Л., Рудык Ю.С. Встречаемость гипонатриемии у пациентов с хронической сердечной недостаточностью и сохраненной фракцией выброса левого желудочка / Е.Л. Лазиди, Ю.С.Рудык //</w:t>
      </w:r>
      <w:r w:rsidRPr="00F90B6B">
        <w:rPr>
          <w:rFonts w:ascii="Times New Roman" w:hAnsi="Times New Roman"/>
          <w:color w:val="339966"/>
          <w:sz w:val="28"/>
          <w:szCs w:val="28"/>
        </w:rPr>
        <w:t xml:space="preserve"> </w:t>
      </w:r>
      <w:r w:rsidRPr="00F90B6B">
        <w:rPr>
          <w:rFonts w:ascii="Times New Roman" w:hAnsi="Times New Roman"/>
          <w:sz w:val="28"/>
          <w:szCs w:val="28"/>
        </w:rPr>
        <w:t>Матеріали</w:t>
      </w:r>
      <w:r w:rsidRPr="00F90B6B">
        <w:rPr>
          <w:rFonts w:ascii="Times New Roman" w:hAnsi="Times New Roman"/>
          <w:bCs/>
          <w:color w:val="000080"/>
        </w:rPr>
        <w:t xml:space="preserve"> </w:t>
      </w:r>
      <w:r w:rsidRPr="00F90B6B">
        <w:rPr>
          <w:rFonts w:ascii="Times New Roman" w:hAnsi="Times New Roman"/>
          <w:bCs/>
          <w:iCs/>
          <w:sz w:val="28"/>
          <w:szCs w:val="28"/>
        </w:rPr>
        <w:t>Х</w:t>
      </w:r>
      <w:r w:rsidRPr="00F90B6B">
        <w:rPr>
          <w:rFonts w:ascii="Times New Roman" w:hAnsi="Times New Roman"/>
          <w:bCs/>
          <w:iCs/>
          <w:sz w:val="28"/>
          <w:szCs w:val="28"/>
          <w:lang w:val="en-US"/>
        </w:rPr>
        <w:t>I</w:t>
      </w:r>
      <w:r w:rsidRPr="00F90B6B">
        <w:rPr>
          <w:rFonts w:ascii="Times New Roman" w:hAnsi="Times New Roman"/>
          <w:bCs/>
          <w:iCs/>
          <w:sz w:val="28"/>
          <w:szCs w:val="28"/>
        </w:rPr>
        <w:t>Х національного конгресу кардіологів України. 26-28 вересня 2018 р. Київ. С. 166.</w:t>
      </w:r>
    </w:p>
    <w:p w:rsidR="00EF4063" w:rsidRPr="00F90B6B" w:rsidRDefault="00EF4063" w:rsidP="008F54E3">
      <w:pPr>
        <w:spacing w:after="0" w:line="348" w:lineRule="auto"/>
        <w:rPr>
          <w:rFonts w:ascii="Times New Roman" w:hAnsi="Times New Roman"/>
          <w:sz w:val="28"/>
          <w:szCs w:val="28"/>
          <w:lang w:eastAsia="uk-UA"/>
        </w:rPr>
      </w:pPr>
    </w:p>
    <w:p w:rsidR="00EF4063" w:rsidRPr="00F90B6B" w:rsidRDefault="00EF4063" w:rsidP="00F0048B">
      <w:pPr>
        <w:spacing w:after="0" w:line="360" w:lineRule="auto"/>
        <w:ind w:firstLine="709"/>
        <w:jc w:val="both"/>
        <w:rPr>
          <w:rFonts w:ascii="Times New Roman" w:hAnsi="Times New Roman"/>
          <w:b/>
          <w:sz w:val="28"/>
          <w:szCs w:val="28"/>
        </w:rPr>
      </w:pPr>
      <w:r w:rsidRPr="00F90B6B">
        <w:rPr>
          <w:rFonts w:ascii="Times New Roman" w:hAnsi="Times New Roman"/>
          <w:b/>
          <w:sz w:val="28"/>
          <w:szCs w:val="28"/>
        </w:rPr>
        <w:lastRenderedPageBreak/>
        <w:t>3.5. Аналіз прогностичної ролі гіпонатріємії у хворих з хронічною серцевою недостатністю та ожирінням.</w:t>
      </w:r>
    </w:p>
    <w:p w:rsidR="00EF4063" w:rsidRPr="00F90B6B" w:rsidRDefault="00EF4063" w:rsidP="00F0048B">
      <w:pPr>
        <w:spacing w:after="0" w:line="360" w:lineRule="auto"/>
        <w:ind w:firstLine="708"/>
        <w:jc w:val="both"/>
        <w:rPr>
          <w:rFonts w:ascii="Times New Roman" w:hAnsi="Times New Roman"/>
          <w:sz w:val="28"/>
          <w:szCs w:val="28"/>
        </w:rPr>
      </w:pP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На даний час відомо безліч факторів, що впливають на прогноз хворих з хронічною серцевою недостатністю (ХСН). Практично всі дослідники визнають залежність між функціональним класом ХСН, серцево-судинною та загальною смертністю. Зокрема, в дослідженні EVEREST вказується, що 40% летальних випадків після госпіталізації обумовлено декомпенсацією кровообігу, 30% випадків - раптовою смертю [</w:t>
      </w:r>
      <w:r w:rsidRPr="00F90B6B">
        <w:rPr>
          <w:rFonts w:ascii="Times New Roman" w:hAnsi="Times New Roman"/>
          <w:sz w:val="28"/>
          <w:szCs w:val="28"/>
          <w:lang w:val="ru-RU"/>
        </w:rPr>
        <w:t>26, 67, 219</w:t>
      </w:r>
      <w:r w:rsidRPr="00F90B6B">
        <w:rPr>
          <w:rFonts w:ascii="Times New Roman" w:hAnsi="Times New Roman"/>
          <w:sz w:val="28"/>
          <w:szCs w:val="28"/>
        </w:rPr>
        <w:t xml:space="preserve">]. </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Також, останнім часом, дослідники все частіше вживають термін кардіоренальний синдром як одночасне наявність у хворого дисфункції серця і нирок. У вузькому сенсі кардіоренальний синдром визначають як погіршення функції нирок у хворих ХСН за час госпіталізації, що сприяє прогресуванню патологічних змін в цих органах аж до розвитку їх недостатності [80, 100]. Розвиток кардіоренального синдрому асоціюється з коливанням вмісту </w:t>
      </w:r>
      <w:r w:rsidRPr="00F90B6B">
        <w:rPr>
          <w:rFonts w:ascii="Times New Roman" w:hAnsi="Times New Roman"/>
          <w:sz w:val="28"/>
          <w:szCs w:val="28"/>
          <w:lang w:val="en-US"/>
        </w:rPr>
        <w:t>Na</w:t>
      </w:r>
      <w:r w:rsidRPr="00F90B6B">
        <w:rPr>
          <w:rFonts w:ascii="Times New Roman" w:hAnsi="Times New Roman"/>
          <w:sz w:val="28"/>
          <w:szCs w:val="28"/>
          <w:lang w:val="ru-RU"/>
        </w:rPr>
        <w:t xml:space="preserve"> </w:t>
      </w:r>
      <w:r w:rsidRPr="00F90B6B">
        <w:rPr>
          <w:rFonts w:ascii="Times New Roman" w:hAnsi="Times New Roman"/>
          <w:sz w:val="28"/>
          <w:szCs w:val="28"/>
        </w:rPr>
        <w:t>в плазмі крові. Зокрема, наявність гіпонатріємії становить від 8 до 28% в залежності від аналізованої вибірки. Гіпонатріємія, виявлена при госпіталізації у зв'язку з декомпенсацією ХСН та вважається предиктором короткострокової та довгострокової смертності, хоча дане питання потребує додаткового перегляду.</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Враховуючи загальний патогенез порушення обміну натрію і розвитку гострого кардіоренального синдрому, можна припустити наявність зв'язку між цими ускладненнями при декомпенсації ХСН </w:t>
      </w:r>
      <w:r w:rsidRPr="00F90B6B">
        <w:rPr>
          <w:rFonts w:ascii="Times New Roman" w:hAnsi="Times New Roman"/>
          <w:sz w:val="28"/>
          <w:szCs w:val="28"/>
          <w:lang w:val="ru-RU"/>
        </w:rPr>
        <w:t>[127]</w:t>
      </w:r>
      <w:r w:rsidRPr="00F90B6B">
        <w:rPr>
          <w:rFonts w:ascii="Times New Roman" w:hAnsi="Times New Roman"/>
          <w:sz w:val="28"/>
          <w:szCs w:val="28"/>
        </w:rPr>
        <w:t>.</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Таким чином, аналіз традиційних та нетрадиційних факторів ризику у пацієнтів з ХСН може стати передумовою для зменшення ризику серцево-судинних ускладнень.</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uk-UA"/>
        </w:rPr>
        <w:t xml:space="preserve">Отже, </w:t>
      </w:r>
      <w:r w:rsidRPr="00F90B6B">
        <w:rPr>
          <w:rFonts w:ascii="Times New Roman" w:hAnsi="Times New Roman"/>
          <w:sz w:val="28"/>
          <w:szCs w:val="28"/>
        </w:rPr>
        <w:t>метою даного розділу було встановлення вірогідних предикторів виникнення серцево-судинних ускладнень у хворих з хронічною серцевою недостатністю за наявності загальноприйнятних та нетрадиційних факторів ризику, а також аналіз прогностичної ролі гіпонатріємії на основі ретроспективного дослідження.</w:t>
      </w:r>
    </w:p>
    <w:p w:rsidR="00EF4063" w:rsidRPr="00F90B6B" w:rsidRDefault="00EF4063" w:rsidP="00F0048B">
      <w:pPr>
        <w:spacing w:after="0" w:line="360" w:lineRule="auto"/>
        <w:ind w:firstLine="709"/>
        <w:jc w:val="both"/>
        <w:rPr>
          <w:rStyle w:val="FontStyle86"/>
          <w:color w:val="auto"/>
          <w:sz w:val="28"/>
          <w:szCs w:val="28"/>
        </w:rPr>
      </w:pPr>
      <w:r w:rsidRPr="00F90B6B">
        <w:rPr>
          <w:rFonts w:ascii="Times New Roman" w:hAnsi="Times New Roman"/>
          <w:sz w:val="28"/>
          <w:szCs w:val="28"/>
        </w:rPr>
        <w:lastRenderedPageBreak/>
        <w:t>Для досягнення даної мети в роботу</w:t>
      </w:r>
      <w:r w:rsidRPr="00F90B6B">
        <w:rPr>
          <w:rStyle w:val="FontStyle86"/>
          <w:color w:val="auto"/>
          <w:sz w:val="28"/>
          <w:szCs w:val="28"/>
        </w:rPr>
        <w:t xml:space="preserve"> (2010-2015 рр.) було включено 217 хворих з хронічною серцевою недостатністю, що проживали на території Харківської області. Всі пацієнти знаходились на стаціонарному лікуванні в «Національному інституті терапії ім. Л. Т. Малої НАМН України» (м. Харків). Серед обстежених хворих 81 був переведений у відділення реанімації та інтенсивної терапії.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Впродовж періоду спостереження було зареєстровано 409 ускладнень хронічної серцевої недостатності, з них – 115 гострих ускладнень, 294 – хронічних. </w: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Серед гострих серцево-судинних ускладнень враховувались епізоди пароксизму фібриляції передсердь – у 11,9% (26 чол.), декомпенсація серцевої недостатності, що потребувала переведення у відділення реанімації та інтенсивної терапії – у 81 чол. (37,3%), гостре порушення мозкового кровообігу – у 8 пацієнтів (3,7%), серед хронічних ускладнень - зниження швидкості клубочкової фільтрації (84 пацієнти, 38,7%), випадки повторної госпіталізації у терапевтичне відділення в зв’язку з погіршенням перебігу ХСН (152 пацієнти, 70,0%), табл. 3.5.1.</w:t>
      </w:r>
    </w:p>
    <w:p w:rsidR="00224E15" w:rsidRPr="00F90B6B" w:rsidRDefault="00224E15"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3.5.1</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Серцево-судинні події, зареєстровані при ретроспективному 5-річному спостереженні у хворих з ХСН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58"/>
        <w:gridCol w:w="2989"/>
        <w:gridCol w:w="3474"/>
      </w:tblGrid>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b/>
                <w:sz w:val="28"/>
                <w:szCs w:val="28"/>
              </w:rPr>
            </w:pPr>
            <w:r w:rsidRPr="00F90B6B">
              <w:rPr>
                <w:rFonts w:ascii="Times New Roman" w:hAnsi="Times New Roman"/>
                <w:b/>
                <w:sz w:val="28"/>
                <w:szCs w:val="28"/>
              </w:rPr>
              <w:t>Ускладнення</w:t>
            </w:r>
          </w:p>
        </w:tc>
        <w:tc>
          <w:tcPr>
            <w:tcW w:w="1434" w:type="pct"/>
            <w:vAlign w:val="center"/>
          </w:tcPr>
          <w:p w:rsidR="00EF4063" w:rsidRPr="00F90B6B" w:rsidRDefault="00EF4063" w:rsidP="00224E15">
            <w:pPr>
              <w:spacing w:after="0" w:line="288" w:lineRule="auto"/>
              <w:jc w:val="center"/>
              <w:rPr>
                <w:rFonts w:ascii="Times New Roman" w:hAnsi="Times New Roman"/>
                <w:b/>
                <w:sz w:val="28"/>
                <w:szCs w:val="28"/>
              </w:rPr>
            </w:pPr>
            <w:r w:rsidRPr="00F90B6B">
              <w:rPr>
                <w:rFonts w:ascii="Times New Roman" w:hAnsi="Times New Roman"/>
                <w:b/>
                <w:sz w:val="28"/>
                <w:szCs w:val="28"/>
              </w:rPr>
              <w:t>Абс.</w:t>
            </w:r>
          </w:p>
        </w:tc>
        <w:tc>
          <w:tcPr>
            <w:tcW w:w="1667" w:type="pct"/>
            <w:vAlign w:val="center"/>
          </w:tcPr>
          <w:p w:rsidR="00EF4063" w:rsidRPr="00F90B6B" w:rsidRDefault="00EF4063" w:rsidP="00224E15">
            <w:pPr>
              <w:spacing w:after="0" w:line="288" w:lineRule="auto"/>
              <w:jc w:val="center"/>
              <w:rPr>
                <w:rFonts w:ascii="Times New Roman" w:hAnsi="Times New Roman"/>
                <w:b/>
                <w:sz w:val="28"/>
                <w:szCs w:val="28"/>
              </w:rPr>
            </w:pPr>
            <w:r w:rsidRPr="00F90B6B">
              <w:rPr>
                <w:rFonts w:ascii="Times New Roman" w:hAnsi="Times New Roman"/>
                <w:b/>
                <w:sz w:val="28"/>
                <w:szCs w:val="28"/>
              </w:rPr>
              <w:t>%</w:t>
            </w:r>
          </w:p>
        </w:tc>
      </w:tr>
      <w:tr w:rsidR="00EF4063" w:rsidRPr="00F90B6B" w:rsidTr="0076299F">
        <w:tc>
          <w:tcPr>
            <w:tcW w:w="5000" w:type="pct"/>
            <w:gridSpan w:val="3"/>
            <w:vAlign w:val="center"/>
          </w:tcPr>
          <w:p w:rsidR="00EF4063" w:rsidRPr="00F90B6B" w:rsidRDefault="00EF4063" w:rsidP="00224E15">
            <w:pPr>
              <w:spacing w:after="0" w:line="288" w:lineRule="auto"/>
              <w:jc w:val="center"/>
              <w:rPr>
                <w:rFonts w:ascii="Times New Roman" w:hAnsi="Times New Roman"/>
                <w:b/>
                <w:i/>
                <w:sz w:val="28"/>
                <w:szCs w:val="28"/>
              </w:rPr>
            </w:pPr>
            <w:r w:rsidRPr="00F90B6B">
              <w:rPr>
                <w:rFonts w:ascii="Times New Roman" w:hAnsi="Times New Roman"/>
                <w:b/>
                <w:i/>
                <w:sz w:val="28"/>
                <w:szCs w:val="28"/>
              </w:rPr>
              <w:t>Гострі ускладнення</w:t>
            </w:r>
          </w:p>
        </w:tc>
      </w:tr>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i/>
                <w:sz w:val="28"/>
                <w:szCs w:val="28"/>
              </w:rPr>
            </w:pPr>
            <w:r w:rsidRPr="00F90B6B">
              <w:rPr>
                <w:rFonts w:ascii="Times New Roman" w:hAnsi="Times New Roman"/>
                <w:i/>
                <w:sz w:val="28"/>
                <w:szCs w:val="28"/>
              </w:rPr>
              <w:t>Декомпенсація серцевої недостатності</w:t>
            </w:r>
          </w:p>
        </w:tc>
        <w:tc>
          <w:tcPr>
            <w:tcW w:w="1434"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81</w:t>
            </w:r>
          </w:p>
        </w:tc>
        <w:tc>
          <w:tcPr>
            <w:tcW w:w="1667"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37,3</w:t>
            </w:r>
          </w:p>
        </w:tc>
      </w:tr>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i/>
                <w:sz w:val="28"/>
                <w:szCs w:val="28"/>
              </w:rPr>
            </w:pPr>
            <w:r w:rsidRPr="00F90B6B">
              <w:rPr>
                <w:rFonts w:ascii="Times New Roman" w:hAnsi="Times New Roman"/>
                <w:i/>
                <w:sz w:val="28"/>
                <w:szCs w:val="28"/>
              </w:rPr>
              <w:t>Пароксизм фібриляції передсердь</w:t>
            </w:r>
          </w:p>
        </w:tc>
        <w:tc>
          <w:tcPr>
            <w:tcW w:w="1434"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26</w:t>
            </w:r>
          </w:p>
        </w:tc>
        <w:tc>
          <w:tcPr>
            <w:tcW w:w="1667"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11,9</w:t>
            </w:r>
          </w:p>
        </w:tc>
      </w:tr>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i/>
                <w:sz w:val="28"/>
                <w:szCs w:val="28"/>
              </w:rPr>
            </w:pPr>
            <w:r w:rsidRPr="00F90B6B">
              <w:rPr>
                <w:rFonts w:ascii="Times New Roman" w:hAnsi="Times New Roman"/>
                <w:i/>
                <w:sz w:val="28"/>
                <w:szCs w:val="28"/>
              </w:rPr>
              <w:t>Гостре порушення мозкового кровообігу</w:t>
            </w:r>
          </w:p>
        </w:tc>
        <w:tc>
          <w:tcPr>
            <w:tcW w:w="1434"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8</w:t>
            </w:r>
          </w:p>
        </w:tc>
        <w:tc>
          <w:tcPr>
            <w:tcW w:w="1667"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3,7</w:t>
            </w:r>
          </w:p>
        </w:tc>
      </w:tr>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b/>
                <w:sz w:val="28"/>
                <w:szCs w:val="28"/>
              </w:rPr>
            </w:pPr>
            <w:r w:rsidRPr="00F90B6B">
              <w:rPr>
                <w:rFonts w:ascii="Times New Roman" w:hAnsi="Times New Roman"/>
                <w:b/>
                <w:sz w:val="28"/>
                <w:szCs w:val="28"/>
              </w:rPr>
              <w:t>Всього</w:t>
            </w:r>
          </w:p>
        </w:tc>
        <w:tc>
          <w:tcPr>
            <w:tcW w:w="1434"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115</w:t>
            </w:r>
          </w:p>
        </w:tc>
        <w:tc>
          <w:tcPr>
            <w:tcW w:w="1667" w:type="pct"/>
            <w:vAlign w:val="center"/>
          </w:tcPr>
          <w:p w:rsidR="00EF4063" w:rsidRPr="00F90B6B" w:rsidRDefault="00EF4063" w:rsidP="00224E15">
            <w:pPr>
              <w:spacing w:after="0" w:line="288" w:lineRule="auto"/>
              <w:jc w:val="center"/>
              <w:rPr>
                <w:rFonts w:ascii="Times New Roman" w:hAnsi="Times New Roman"/>
                <w:sz w:val="28"/>
                <w:szCs w:val="28"/>
              </w:rPr>
            </w:pPr>
          </w:p>
        </w:tc>
      </w:tr>
      <w:tr w:rsidR="00EF4063" w:rsidRPr="00F90B6B" w:rsidTr="0076299F">
        <w:tc>
          <w:tcPr>
            <w:tcW w:w="5000" w:type="pct"/>
            <w:gridSpan w:val="3"/>
            <w:vAlign w:val="center"/>
          </w:tcPr>
          <w:p w:rsidR="00EF4063" w:rsidRPr="00F90B6B" w:rsidRDefault="00EF4063" w:rsidP="00224E15">
            <w:pPr>
              <w:spacing w:after="0" w:line="288" w:lineRule="auto"/>
              <w:jc w:val="center"/>
              <w:rPr>
                <w:rFonts w:ascii="Times New Roman" w:hAnsi="Times New Roman"/>
                <w:b/>
                <w:i/>
                <w:sz w:val="28"/>
                <w:szCs w:val="28"/>
              </w:rPr>
            </w:pPr>
            <w:r w:rsidRPr="00F90B6B">
              <w:rPr>
                <w:rFonts w:ascii="Times New Roman" w:hAnsi="Times New Roman"/>
                <w:b/>
                <w:i/>
                <w:sz w:val="28"/>
                <w:szCs w:val="28"/>
              </w:rPr>
              <w:t>Хронічні ускладнення</w:t>
            </w:r>
          </w:p>
        </w:tc>
      </w:tr>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i/>
                <w:sz w:val="28"/>
                <w:szCs w:val="28"/>
              </w:rPr>
            </w:pPr>
            <w:r w:rsidRPr="00F90B6B">
              <w:rPr>
                <w:rFonts w:ascii="Times New Roman" w:hAnsi="Times New Roman"/>
                <w:i/>
                <w:sz w:val="28"/>
                <w:szCs w:val="28"/>
              </w:rPr>
              <w:t>Зниження швидкості клубочкової фільтрації</w:t>
            </w:r>
          </w:p>
        </w:tc>
        <w:tc>
          <w:tcPr>
            <w:tcW w:w="1434"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84</w:t>
            </w:r>
          </w:p>
        </w:tc>
        <w:tc>
          <w:tcPr>
            <w:tcW w:w="1667"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38,7</w:t>
            </w:r>
          </w:p>
        </w:tc>
      </w:tr>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i/>
                <w:sz w:val="28"/>
                <w:szCs w:val="28"/>
              </w:rPr>
            </w:pPr>
            <w:r w:rsidRPr="00F90B6B">
              <w:rPr>
                <w:rFonts w:ascii="Times New Roman" w:hAnsi="Times New Roman"/>
                <w:i/>
                <w:sz w:val="28"/>
                <w:szCs w:val="28"/>
              </w:rPr>
              <w:t>Повторна госпіталізація</w:t>
            </w:r>
          </w:p>
        </w:tc>
        <w:tc>
          <w:tcPr>
            <w:tcW w:w="1434"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152</w:t>
            </w:r>
          </w:p>
        </w:tc>
        <w:tc>
          <w:tcPr>
            <w:tcW w:w="1667"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70,0</w:t>
            </w:r>
          </w:p>
        </w:tc>
      </w:tr>
      <w:tr w:rsidR="00EF4063" w:rsidRPr="00F90B6B" w:rsidTr="0076299F">
        <w:tc>
          <w:tcPr>
            <w:tcW w:w="1899" w:type="pct"/>
            <w:vAlign w:val="center"/>
          </w:tcPr>
          <w:p w:rsidR="00EF4063" w:rsidRPr="00F90B6B" w:rsidRDefault="00EF4063" w:rsidP="00224E15">
            <w:pPr>
              <w:spacing w:after="0" w:line="288" w:lineRule="auto"/>
              <w:jc w:val="center"/>
              <w:rPr>
                <w:rFonts w:ascii="Times New Roman" w:hAnsi="Times New Roman"/>
                <w:b/>
                <w:sz w:val="28"/>
                <w:szCs w:val="28"/>
              </w:rPr>
            </w:pPr>
            <w:r w:rsidRPr="00F90B6B">
              <w:rPr>
                <w:rFonts w:ascii="Times New Roman" w:hAnsi="Times New Roman"/>
                <w:b/>
                <w:sz w:val="28"/>
                <w:szCs w:val="28"/>
              </w:rPr>
              <w:t>Всього</w:t>
            </w:r>
          </w:p>
        </w:tc>
        <w:tc>
          <w:tcPr>
            <w:tcW w:w="1434" w:type="pct"/>
            <w:vAlign w:val="center"/>
          </w:tcPr>
          <w:p w:rsidR="00EF4063" w:rsidRPr="00F90B6B" w:rsidRDefault="00EF4063" w:rsidP="00224E15">
            <w:pPr>
              <w:spacing w:after="0" w:line="288" w:lineRule="auto"/>
              <w:jc w:val="center"/>
              <w:rPr>
                <w:rFonts w:ascii="Times New Roman" w:hAnsi="Times New Roman"/>
                <w:sz w:val="28"/>
                <w:szCs w:val="28"/>
              </w:rPr>
            </w:pPr>
            <w:r w:rsidRPr="00F90B6B">
              <w:rPr>
                <w:rFonts w:ascii="Times New Roman" w:hAnsi="Times New Roman"/>
                <w:sz w:val="28"/>
                <w:szCs w:val="28"/>
              </w:rPr>
              <w:t>236</w:t>
            </w:r>
          </w:p>
        </w:tc>
        <w:tc>
          <w:tcPr>
            <w:tcW w:w="1667" w:type="pct"/>
            <w:vAlign w:val="center"/>
          </w:tcPr>
          <w:p w:rsidR="00EF4063" w:rsidRPr="00F90B6B" w:rsidRDefault="00EF4063" w:rsidP="00224E15">
            <w:pPr>
              <w:spacing w:after="0" w:line="288" w:lineRule="auto"/>
              <w:jc w:val="center"/>
              <w:rPr>
                <w:rFonts w:ascii="Times New Roman" w:hAnsi="Times New Roman"/>
                <w:sz w:val="28"/>
                <w:szCs w:val="28"/>
              </w:rPr>
            </w:pPr>
          </w:p>
        </w:tc>
      </w:tr>
    </w:tbl>
    <w:p w:rsidR="00224E15" w:rsidRPr="00F90B6B" w:rsidRDefault="00224E15" w:rsidP="00F0048B">
      <w:pPr>
        <w:pStyle w:val="Style78"/>
        <w:spacing w:line="360" w:lineRule="auto"/>
        <w:ind w:firstLine="709"/>
        <w:jc w:val="both"/>
        <w:rPr>
          <w:sz w:val="28"/>
          <w:szCs w:val="28"/>
          <w:lang w:val="uk-UA"/>
        </w:rPr>
      </w:pP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lastRenderedPageBreak/>
        <w:t xml:space="preserve">Першим завданням розділу було оцінити прогностичну роль гіпонатріємії у хворих з ХСН зі збереженою фракцією викиду лівого шлуночка та супутнім ожирінням на основі 2-річного проспективного спостереження. </w:t>
      </w:r>
    </w:p>
    <w:p w:rsidR="00EF4063" w:rsidRPr="007E797D"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За оцінки пароксизмів фібриляції передсердь, а також первинно виявлених хворих з постійною формою ФП при 2-річному спостереженні, виявлено більшу частоту асоціації ФП з гіпонатріємією. Зокрема, за аналізу абсолютного (приріст на 11,0%) та відносного ризиків (2,76 [1,08-6,98], </w:t>
      </w:r>
      <w:r w:rsidRPr="00F90B6B">
        <w:rPr>
          <w:rFonts w:ascii="Times New Roman" w:hAnsi="Times New Roman"/>
          <w:sz w:val="28"/>
          <w:szCs w:val="28"/>
          <w:lang w:val="en-US"/>
        </w:rPr>
        <w:t>p</w:t>
      </w:r>
      <w:r w:rsidRPr="00F90B6B">
        <w:rPr>
          <w:rFonts w:ascii="Times New Roman" w:hAnsi="Times New Roman"/>
          <w:sz w:val="28"/>
          <w:szCs w:val="28"/>
        </w:rPr>
        <w:t xml:space="preserve">&lt;0,05), а також відношення шансів (3,15 [1,09-9,05], </w:t>
      </w:r>
      <w:r w:rsidRPr="00F90B6B">
        <w:rPr>
          <w:rFonts w:ascii="Times New Roman" w:hAnsi="Times New Roman"/>
          <w:sz w:val="28"/>
          <w:szCs w:val="28"/>
          <w:lang w:val="en-US"/>
        </w:rPr>
        <w:t>p</w:t>
      </w:r>
      <w:r w:rsidRPr="00F90B6B">
        <w:rPr>
          <w:rFonts w:ascii="Times New Roman" w:hAnsi="Times New Roman"/>
          <w:sz w:val="28"/>
          <w:szCs w:val="28"/>
        </w:rPr>
        <w:t>&lt;0,05), доведено, що дана асоціація є вірогідною в нашому дослідженні, табл. 3.5.2.</w:t>
      </w:r>
    </w:p>
    <w:p w:rsidR="00FB4A39" w:rsidRPr="007E797D" w:rsidRDefault="00FB4A39" w:rsidP="00F0048B">
      <w:pPr>
        <w:tabs>
          <w:tab w:val="left" w:pos="3864"/>
        </w:tabs>
        <w:spacing w:after="0" w:line="360" w:lineRule="auto"/>
        <w:ind w:firstLine="709"/>
        <w:jc w:val="both"/>
        <w:rPr>
          <w:rFonts w:ascii="Times New Roman" w:hAnsi="Times New Roman"/>
          <w:sz w:val="28"/>
          <w:szCs w:val="28"/>
        </w:rPr>
      </w:pP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3.5.2</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фібриляції передсердь та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18,0</w:t>
            </w:r>
          </w:p>
        </w:tc>
        <w:tc>
          <w:tcPr>
            <w:tcW w:w="2464"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2,76</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[1,08-6,98]</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p&lt;0,05</w:t>
            </w:r>
          </w:p>
        </w:tc>
        <w:tc>
          <w:tcPr>
            <w:tcW w:w="2464"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3,15</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[1,09-9,05]</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p&lt;0,05</w:t>
            </w:r>
          </w:p>
        </w:tc>
      </w:tr>
      <w:tr w:rsidR="00EF4063" w:rsidRPr="00F90B6B" w:rsidTr="0076299F">
        <w:tc>
          <w:tcPr>
            <w:tcW w:w="2463" w:type="dxa"/>
            <w:vAlign w:val="center"/>
          </w:tcPr>
          <w:p w:rsidR="00EF4063" w:rsidRPr="00F90B6B" w:rsidRDefault="00EF4063" w:rsidP="00F0048B">
            <w:pPr>
              <w:tabs>
                <w:tab w:val="left" w:pos="3864"/>
              </w:tabs>
              <w:spacing w:after="0" w:line="360"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7,0</w:t>
            </w: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64"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color w:val="FF0000"/>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p w:rsidR="00FB4A39" w:rsidRPr="00F90B6B" w:rsidRDefault="00EF4063" w:rsidP="00FB4A39">
      <w:pPr>
        <w:tabs>
          <w:tab w:val="left" w:pos="3864"/>
        </w:tabs>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 xml:space="preserve">На наступному етапі дослідження аналізували зв'язок несприятливих кардіоваскулярних подій та гіпонатріємії. При зіставленні частоти гострого коронарного синдрому в анамнезі з порушеннями обміну натрію у хворих виявлені більші значення, ніж у пацієнтів з нормальною іонограмою – 18,4% при гіпонатріємії проти 9,5% при нормонатріємії, табл. 3.5.3. </w:t>
      </w:r>
    </w:p>
    <w:p w:rsidR="00FB4A39" w:rsidRPr="00F90B6B" w:rsidRDefault="00FB4A39" w:rsidP="00FB4A39">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Верифіковано підвищення абсолютного ризику на 8,0%, зростання відносного ризику в 1,93 разів та шансів в 2,14 разів, табл. 3.5.3.</w:t>
      </w:r>
    </w:p>
    <w:p w:rsidR="00FB4A39" w:rsidRPr="00F90B6B" w:rsidRDefault="00FB4A39" w:rsidP="00FB4A39">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Проте, для гострого порушення мозкового кровообігу такої тенденції для пацієнтів з ХСН зі ЗФВЛШ при ожирінні на фоні гіпонатріємії не визначено, табл. 3.5.4. </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lastRenderedPageBreak/>
        <w:t>Таблиця 3.5.3</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гострого коронарного синдрому та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B4A39">
            <w:pPr>
              <w:tabs>
                <w:tab w:val="left" w:pos="3864"/>
              </w:tabs>
              <w:spacing w:after="0" w:line="288"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18,0</w:t>
            </w:r>
          </w:p>
        </w:tc>
        <w:tc>
          <w:tcPr>
            <w:tcW w:w="2464" w:type="dxa"/>
            <w:vMerge w:val="restart"/>
            <w:vAlign w:val="center"/>
          </w:tcPr>
          <w:p w:rsidR="00EF4063" w:rsidRPr="00F90B6B" w:rsidRDefault="00EF4063" w:rsidP="00FB4A39">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rPr>
              <w:t>1,93</w:t>
            </w:r>
          </w:p>
          <w:p w:rsidR="00EF4063" w:rsidRPr="00F90B6B" w:rsidRDefault="00EF4063" w:rsidP="00FB4A39">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[0,84-4,45]</w:t>
            </w:r>
          </w:p>
          <w:p w:rsidR="00EF4063" w:rsidRPr="00F90B6B" w:rsidRDefault="00EF4063" w:rsidP="00FB4A39">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p&gt;0,05</w:t>
            </w:r>
          </w:p>
        </w:tc>
        <w:tc>
          <w:tcPr>
            <w:tcW w:w="2464" w:type="dxa"/>
            <w:vMerge w:val="restart"/>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2,14</w:t>
            </w:r>
          </w:p>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lang w:val="en-US"/>
              </w:rPr>
              <w:t>[0,81-5,66]</w:t>
            </w:r>
          </w:p>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p&gt;0,05</w:t>
            </w:r>
          </w:p>
        </w:tc>
      </w:tr>
      <w:tr w:rsidR="00EF4063" w:rsidRPr="00F90B6B" w:rsidTr="0076299F">
        <w:tc>
          <w:tcPr>
            <w:tcW w:w="2463" w:type="dxa"/>
            <w:vAlign w:val="center"/>
          </w:tcPr>
          <w:p w:rsidR="00EF4063" w:rsidRPr="00F90B6B" w:rsidRDefault="00EF4063" w:rsidP="00FB4A39">
            <w:pPr>
              <w:tabs>
                <w:tab w:val="left" w:pos="3864"/>
              </w:tabs>
              <w:spacing w:after="0" w:line="288"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10,0</w:t>
            </w:r>
          </w:p>
        </w:tc>
        <w:tc>
          <w:tcPr>
            <w:tcW w:w="2464" w:type="dxa"/>
            <w:vMerge/>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p>
        </w:tc>
        <w:tc>
          <w:tcPr>
            <w:tcW w:w="2464" w:type="dxa"/>
            <w:vMerge/>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p>
        </w:tc>
      </w:tr>
    </w:tbl>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tabs>
          <w:tab w:val="left" w:pos="3864"/>
        </w:tabs>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3.5.4</w:t>
      </w:r>
    </w:p>
    <w:p w:rsidR="00EF4063" w:rsidRPr="00F90B6B" w:rsidRDefault="00EF4063" w:rsidP="00F0048B">
      <w:pPr>
        <w:tabs>
          <w:tab w:val="left" w:pos="3864"/>
        </w:tabs>
        <w:spacing w:after="0" w:line="360" w:lineRule="auto"/>
        <w:ind w:firstLine="709"/>
        <w:jc w:val="center"/>
        <w:rPr>
          <w:rFonts w:ascii="Times New Roman" w:hAnsi="Times New Roman"/>
          <w:b/>
          <w:sz w:val="28"/>
          <w:szCs w:val="28"/>
        </w:rPr>
      </w:pPr>
      <w:r w:rsidRPr="00F90B6B">
        <w:rPr>
          <w:rFonts w:ascii="Times New Roman" w:hAnsi="Times New Roman"/>
          <w:b/>
          <w:sz w:val="28"/>
          <w:szCs w:val="28"/>
        </w:rPr>
        <w:t>Абсолютний та відносний ризик, відношення шансів асоціації гострого порушення мозкового кровообігу та гіпонатріємії у пацієнтів з ХСН та ожирінням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3"/>
        <w:gridCol w:w="2464"/>
        <w:gridCol w:w="2464"/>
        <w:gridCol w:w="2464"/>
      </w:tblGrid>
      <w:tr w:rsidR="00EF4063" w:rsidRPr="00F90B6B" w:rsidTr="0076299F">
        <w:tc>
          <w:tcPr>
            <w:tcW w:w="2463" w:type="dxa"/>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AR, %</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RR [CI,%]</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b/>
                <w:sz w:val="28"/>
                <w:szCs w:val="28"/>
              </w:rPr>
            </w:pPr>
            <w:r w:rsidRPr="00F90B6B">
              <w:rPr>
                <w:rFonts w:ascii="Times New Roman" w:hAnsi="Times New Roman"/>
                <w:b/>
                <w:sz w:val="28"/>
                <w:szCs w:val="28"/>
                <w:lang w:val="en-US"/>
              </w:rPr>
              <w:t>OR [CI,%]</w:t>
            </w:r>
          </w:p>
        </w:tc>
      </w:tr>
      <w:tr w:rsidR="00EF4063" w:rsidRPr="00F90B6B" w:rsidTr="0076299F">
        <w:tc>
          <w:tcPr>
            <w:tcW w:w="2463" w:type="dxa"/>
            <w:vAlign w:val="center"/>
          </w:tcPr>
          <w:p w:rsidR="00EF4063" w:rsidRPr="00F90B6B" w:rsidRDefault="00EF4063" w:rsidP="00FB4A39">
            <w:pPr>
              <w:tabs>
                <w:tab w:val="left" w:pos="3864"/>
              </w:tabs>
              <w:spacing w:after="0" w:line="288" w:lineRule="auto"/>
              <w:jc w:val="center"/>
              <w:rPr>
                <w:rFonts w:ascii="Times New Roman" w:hAnsi="Times New Roman"/>
                <w:i/>
                <w:sz w:val="28"/>
                <w:szCs w:val="28"/>
              </w:rPr>
            </w:pPr>
            <w:r w:rsidRPr="00F90B6B">
              <w:rPr>
                <w:rFonts w:ascii="Times New Roman" w:hAnsi="Times New Roman"/>
                <w:i/>
                <w:sz w:val="28"/>
                <w:szCs w:val="28"/>
              </w:rPr>
              <w:t>Гіпонатріємія</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2,0</w:t>
            </w:r>
          </w:p>
        </w:tc>
        <w:tc>
          <w:tcPr>
            <w:tcW w:w="2464" w:type="dxa"/>
            <w:vMerge w:val="restart"/>
            <w:vAlign w:val="center"/>
          </w:tcPr>
          <w:p w:rsidR="00EF4063" w:rsidRPr="00F90B6B" w:rsidRDefault="00EF4063" w:rsidP="00FB4A39">
            <w:pPr>
              <w:tabs>
                <w:tab w:val="left" w:pos="2856"/>
              </w:tabs>
              <w:spacing w:after="0" w:line="288" w:lineRule="auto"/>
              <w:jc w:val="center"/>
              <w:rPr>
                <w:rFonts w:ascii="Times New Roman" w:hAnsi="Times New Roman"/>
                <w:sz w:val="28"/>
                <w:szCs w:val="28"/>
                <w:lang w:val="en-US"/>
              </w:rPr>
            </w:pPr>
            <w:r w:rsidRPr="00F90B6B">
              <w:rPr>
                <w:rFonts w:ascii="Times New Roman" w:hAnsi="Times New Roman"/>
                <w:sz w:val="28"/>
                <w:szCs w:val="28"/>
              </w:rPr>
              <w:t>0,71</w:t>
            </w:r>
          </w:p>
          <w:p w:rsidR="00EF4063" w:rsidRPr="00F90B6B" w:rsidRDefault="00EF4063" w:rsidP="00FB4A39">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[0,08-6,70]</w:t>
            </w:r>
          </w:p>
          <w:p w:rsidR="00EF4063" w:rsidRPr="00F90B6B" w:rsidRDefault="00EF4063" w:rsidP="00FB4A39">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p&gt;0,05</w:t>
            </w:r>
          </w:p>
        </w:tc>
        <w:tc>
          <w:tcPr>
            <w:tcW w:w="2464" w:type="dxa"/>
            <w:vMerge w:val="restart"/>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0,71</w:t>
            </w:r>
          </w:p>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lang w:val="en-US"/>
              </w:rPr>
              <w:t>[0,07-6,99]</w:t>
            </w:r>
          </w:p>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p&gt;0,05</w:t>
            </w:r>
          </w:p>
        </w:tc>
      </w:tr>
      <w:tr w:rsidR="00EF4063" w:rsidRPr="00F90B6B" w:rsidTr="0076299F">
        <w:tc>
          <w:tcPr>
            <w:tcW w:w="2463" w:type="dxa"/>
            <w:vAlign w:val="center"/>
          </w:tcPr>
          <w:p w:rsidR="00EF4063" w:rsidRPr="00F90B6B" w:rsidRDefault="00EF4063" w:rsidP="00FB4A39">
            <w:pPr>
              <w:tabs>
                <w:tab w:val="left" w:pos="3864"/>
              </w:tabs>
              <w:spacing w:after="0" w:line="288" w:lineRule="auto"/>
              <w:jc w:val="center"/>
              <w:rPr>
                <w:rFonts w:ascii="Times New Roman" w:hAnsi="Times New Roman"/>
                <w:i/>
                <w:sz w:val="28"/>
                <w:szCs w:val="28"/>
              </w:rPr>
            </w:pPr>
            <w:r w:rsidRPr="00F90B6B">
              <w:rPr>
                <w:rFonts w:ascii="Times New Roman" w:hAnsi="Times New Roman"/>
                <w:i/>
                <w:sz w:val="28"/>
                <w:szCs w:val="28"/>
              </w:rPr>
              <w:t>Нормонатріємія</w:t>
            </w:r>
          </w:p>
        </w:tc>
        <w:tc>
          <w:tcPr>
            <w:tcW w:w="2464" w:type="dxa"/>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3,0</w:t>
            </w:r>
          </w:p>
        </w:tc>
        <w:tc>
          <w:tcPr>
            <w:tcW w:w="2464" w:type="dxa"/>
            <w:vMerge/>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p>
        </w:tc>
        <w:tc>
          <w:tcPr>
            <w:tcW w:w="2464" w:type="dxa"/>
            <w:vMerge/>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Окрім того, важливим прогностичним критерієм ми вважали переведення частини пацієнтів у відділення інтенсивної терапії в зв’язку з декомпенсацією ХСН. Залежність декомпенсації ХСН від наявності гіпонатріємії наведена в табл. 3.5.5.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Доведено несприятливу асоціацію гострої декомпенсації ХСН та гіпонатріємії з підвищенням AR на 38,0%, вірогідними RR 2,78 [1,85-4,19] та OR 5,37 [2,64-10,9].</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3.5.5</w:t>
      </w:r>
    </w:p>
    <w:p w:rsidR="00EF4063" w:rsidRPr="00F90B6B" w:rsidRDefault="00EF4063" w:rsidP="00F0048B">
      <w:pPr>
        <w:tabs>
          <w:tab w:val="left" w:pos="3864"/>
        </w:tabs>
        <w:spacing w:after="0" w:line="360" w:lineRule="auto"/>
        <w:ind w:firstLine="709"/>
        <w:jc w:val="center"/>
        <w:rPr>
          <w:rFonts w:ascii="Times New Roman" w:hAnsi="Times New Roman"/>
          <w:b/>
          <w:sz w:val="28"/>
          <w:szCs w:val="28"/>
        </w:rPr>
      </w:pPr>
      <w:r w:rsidRPr="00F90B6B">
        <w:rPr>
          <w:rFonts w:ascii="Times New Roman" w:hAnsi="Times New Roman"/>
          <w:b/>
          <w:bCs/>
          <w:sz w:val="28"/>
          <w:szCs w:val="28"/>
        </w:rPr>
        <w:t xml:space="preserve">Вірогідність асоціації гіпонатріємії та декомпенсації ХСН з потребою лікування у відділенні інтенсивної терапії </w:t>
      </w:r>
      <w:r w:rsidRPr="00F90B6B">
        <w:rPr>
          <w:rFonts w:ascii="Times New Roman" w:hAnsi="Times New Roman"/>
          <w:b/>
          <w:sz w:val="28"/>
          <w:szCs w:val="28"/>
        </w:rPr>
        <w:t>у пацієнтів з ХСН та ожирінням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59"/>
        <w:gridCol w:w="2424"/>
        <w:gridCol w:w="2432"/>
        <w:gridCol w:w="2432"/>
      </w:tblGrid>
      <w:tr w:rsidR="00EF4063" w:rsidRPr="00F90B6B" w:rsidTr="002A26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32"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32"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A26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Гіпонатріємія</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59,0</w:t>
            </w:r>
          </w:p>
        </w:tc>
        <w:tc>
          <w:tcPr>
            <w:tcW w:w="2432"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rPr>
              <w:t>2,78</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[1,85</w:t>
            </w:r>
            <w:r w:rsidRPr="00F90B6B">
              <w:rPr>
                <w:rFonts w:ascii="Times New Roman" w:hAnsi="Times New Roman"/>
                <w:sz w:val="28"/>
                <w:szCs w:val="28"/>
              </w:rPr>
              <w:t>-</w:t>
            </w:r>
            <w:r w:rsidRPr="00F90B6B">
              <w:rPr>
                <w:rFonts w:ascii="Times New Roman" w:hAnsi="Times New Roman"/>
                <w:sz w:val="28"/>
                <w:szCs w:val="28"/>
                <w:lang w:val="en-US"/>
              </w:rPr>
              <w:t>4,1</w:t>
            </w:r>
            <w:r w:rsidRPr="00F90B6B">
              <w:rPr>
                <w:rFonts w:ascii="Times New Roman" w:hAnsi="Times New Roman"/>
                <w:sz w:val="28"/>
                <w:szCs w:val="28"/>
              </w:rPr>
              <w:t>9</w:t>
            </w:r>
            <w:r w:rsidRPr="00F90B6B">
              <w:rPr>
                <w:rFonts w:ascii="Times New Roman" w:hAnsi="Times New Roman"/>
                <w:sz w:val="28"/>
                <w:szCs w:val="28"/>
                <w:lang w:val="en-US"/>
              </w:rPr>
              <w:t>]</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p&lt;0,05</w:t>
            </w:r>
          </w:p>
        </w:tc>
        <w:tc>
          <w:tcPr>
            <w:tcW w:w="2432"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rPr>
              <w:t>5,37</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[2,6</w:t>
            </w:r>
            <w:r w:rsidRPr="00F90B6B">
              <w:rPr>
                <w:rFonts w:ascii="Times New Roman" w:hAnsi="Times New Roman"/>
                <w:sz w:val="28"/>
                <w:szCs w:val="28"/>
              </w:rPr>
              <w:t>4-</w:t>
            </w:r>
            <w:r w:rsidRPr="00F90B6B">
              <w:rPr>
                <w:rFonts w:ascii="Times New Roman" w:hAnsi="Times New Roman"/>
                <w:sz w:val="28"/>
                <w:szCs w:val="28"/>
                <w:lang w:val="en-US"/>
              </w:rPr>
              <w:t>10,9]</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p&lt;0,05</w:t>
            </w:r>
          </w:p>
        </w:tc>
      </w:tr>
      <w:tr w:rsidR="00EF4063" w:rsidRPr="00F90B6B" w:rsidTr="002A26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Нормонатріємія</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21,0</w:t>
            </w:r>
          </w:p>
        </w:tc>
        <w:tc>
          <w:tcPr>
            <w:tcW w:w="2432"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32"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При важкій гіпонатріємії вірогідність декомпенсації ХСН сягала 100,0%, табл. 3.5.6. Ризик зростав на 49,0% порівняно з легкою гіпонатріємією, RR - 1,95 [1,45-2,63].</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3.5.6</w:t>
      </w:r>
    </w:p>
    <w:p w:rsidR="00EF4063" w:rsidRPr="00F90B6B" w:rsidRDefault="00EF4063" w:rsidP="00F0048B">
      <w:pPr>
        <w:tabs>
          <w:tab w:val="left" w:pos="3864"/>
        </w:tabs>
        <w:spacing w:after="0" w:line="360" w:lineRule="auto"/>
        <w:ind w:firstLine="709"/>
        <w:jc w:val="center"/>
        <w:rPr>
          <w:rFonts w:ascii="Times New Roman" w:hAnsi="Times New Roman"/>
          <w:b/>
          <w:sz w:val="28"/>
          <w:szCs w:val="28"/>
        </w:rPr>
      </w:pPr>
      <w:r w:rsidRPr="00F90B6B">
        <w:rPr>
          <w:rFonts w:ascii="Times New Roman" w:hAnsi="Times New Roman"/>
          <w:b/>
          <w:bCs/>
          <w:sz w:val="28"/>
          <w:szCs w:val="28"/>
        </w:rPr>
        <w:t xml:space="preserve">Вірогідність асоціації важкої гіпонатріємії та декомпенсації ХСН з потребою лікування у відділенні інтенсивної терапії </w:t>
      </w:r>
      <w:r w:rsidRPr="00F90B6B">
        <w:rPr>
          <w:rFonts w:ascii="Times New Roman" w:hAnsi="Times New Roman"/>
          <w:b/>
          <w:sz w:val="28"/>
          <w:szCs w:val="28"/>
        </w:rPr>
        <w:t>у пацієнтів з ХСН та ожирінням</w:t>
      </w:r>
    </w:p>
    <w:tbl>
      <w:tblPr>
        <w:tblW w:w="492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73"/>
        <w:gridCol w:w="3474"/>
        <w:gridCol w:w="3314"/>
      </w:tblGrid>
      <w:tr w:rsidR="00EF4063" w:rsidRPr="00F90B6B" w:rsidTr="005023A3">
        <w:tc>
          <w:tcPr>
            <w:tcW w:w="1692" w:type="pct"/>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1693" w:type="pct"/>
            <w:vAlign w:val="center"/>
          </w:tcPr>
          <w:p w:rsidR="00EF4063" w:rsidRPr="00F90B6B" w:rsidRDefault="00EF4063" w:rsidP="00FB4A39">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1615" w:type="pct"/>
            <w:vAlign w:val="center"/>
          </w:tcPr>
          <w:p w:rsidR="00EF4063" w:rsidRPr="00F90B6B" w:rsidRDefault="00EF4063" w:rsidP="00FB4A39">
            <w:pPr>
              <w:tabs>
                <w:tab w:val="left" w:pos="3864"/>
              </w:tabs>
              <w:spacing w:after="0" w:line="288"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r>
      <w:tr w:rsidR="00EF4063" w:rsidRPr="00F90B6B" w:rsidTr="005023A3">
        <w:tc>
          <w:tcPr>
            <w:tcW w:w="1692" w:type="pct"/>
            <w:vAlign w:val="center"/>
          </w:tcPr>
          <w:p w:rsidR="00EF4063" w:rsidRPr="00F90B6B" w:rsidRDefault="00EF4063" w:rsidP="00FB4A39">
            <w:pPr>
              <w:tabs>
                <w:tab w:val="left" w:pos="3864"/>
              </w:tabs>
              <w:spacing w:after="0" w:line="288" w:lineRule="auto"/>
              <w:jc w:val="center"/>
              <w:rPr>
                <w:rFonts w:ascii="Times New Roman" w:hAnsi="Times New Roman"/>
                <w:bCs/>
                <w:i/>
                <w:sz w:val="28"/>
                <w:szCs w:val="28"/>
              </w:rPr>
            </w:pPr>
            <w:r w:rsidRPr="00F90B6B">
              <w:rPr>
                <w:rFonts w:ascii="Times New Roman" w:hAnsi="Times New Roman"/>
                <w:bCs/>
                <w:i/>
                <w:sz w:val="28"/>
                <w:szCs w:val="28"/>
              </w:rPr>
              <w:t>Важка гіпонатріємія</w:t>
            </w:r>
          </w:p>
        </w:tc>
        <w:tc>
          <w:tcPr>
            <w:tcW w:w="1693" w:type="pct"/>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100,0</w:t>
            </w:r>
          </w:p>
        </w:tc>
        <w:tc>
          <w:tcPr>
            <w:tcW w:w="1615" w:type="pct"/>
            <w:vMerge w:val="restart"/>
            <w:vAlign w:val="center"/>
          </w:tcPr>
          <w:p w:rsidR="00EF4063" w:rsidRPr="00F90B6B" w:rsidRDefault="00EF4063" w:rsidP="00FB4A39">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1,95</w:t>
            </w:r>
          </w:p>
          <w:p w:rsidR="00EF4063" w:rsidRPr="00F90B6B" w:rsidRDefault="00EF4063" w:rsidP="00FB4A39">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val="en-US"/>
              </w:rPr>
              <w:t>[1,4</w:t>
            </w:r>
            <w:r w:rsidRPr="00F90B6B">
              <w:rPr>
                <w:rFonts w:ascii="Times New Roman" w:hAnsi="Times New Roman"/>
                <w:sz w:val="28"/>
                <w:szCs w:val="28"/>
              </w:rPr>
              <w:t>5-</w:t>
            </w:r>
            <w:r w:rsidRPr="00F90B6B">
              <w:rPr>
                <w:rFonts w:ascii="Times New Roman" w:hAnsi="Times New Roman"/>
                <w:sz w:val="28"/>
                <w:szCs w:val="28"/>
                <w:lang w:val="en-US"/>
              </w:rPr>
              <w:t>2,63]</w:t>
            </w:r>
          </w:p>
          <w:p w:rsidR="00EF4063" w:rsidRPr="00F90B6B" w:rsidRDefault="00EF4063" w:rsidP="00FB4A39">
            <w:pPr>
              <w:tabs>
                <w:tab w:val="left" w:pos="2856"/>
              </w:tabs>
              <w:spacing w:after="0" w:line="288" w:lineRule="auto"/>
              <w:jc w:val="center"/>
              <w:rPr>
                <w:rFonts w:ascii="Times New Roman" w:hAnsi="Times New Roman"/>
                <w:sz w:val="28"/>
                <w:szCs w:val="28"/>
              </w:rPr>
            </w:pPr>
            <w:r w:rsidRPr="00F90B6B">
              <w:rPr>
                <w:rFonts w:ascii="Times New Roman" w:hAnsi="Times New Roman"/>
                <w:sz w:val="28"/>
                <w:szCs w:val="28"/>
                <w:lang w:eastAsia="ru-RU"/>
              </w:rPr>
              <w:t>p&lt;0,05</w:t>
            </w:r>
          </w:p>
        </w:tc>
      </w:tr>
      <w:tr w:rsidR="00EF4063" w:rsidRPr="00F90B6B" w:rsidTr="005023A3">
        <w:tc>
          <w:tcPr>
            <w:tcW w:w="1692" w:type="pct"/>
            <w:vAlign w:val="center"/>
          </w:tcPr>
          <w:p w:rsidR="00EF4063" w:rsidRPr="00F90B6B" w:rsidRDefault="00EF4063" w:rsidP="00FB4A39">
            <w:pPr>
              <w:tabs>
                <w:tab w:val="left" w:pos="3864"/>
              </w:tabs>
              <w:spacing w:after="0" w:line="288" w:lineRule="auto"/>
              <w:jc w:val="center"/>
              <w:rPr>
                <w:rFonts w:ascii="Times New Roman" w:hAnsi="Times New Roman"/>
                <w:bCs/>
                <w:i/>
                <w:sz w:val="28"/>
                <w:szCs w:val="28"/>
              </w:rPr>
            </w:pPr>
            <w:r w:rsidRPr="00F90B6B">
              <w:rPr>
                <w:rFonts w:ascii="Times New Roman" w:hAnsi="Times New Roman"/>
                <w:bCs/>
                <w:i/>
                <w:sz w:val="28"/>
                <w:szCs w:val="28"/>
              </w:rPr>
              <w:t>Легка гіпонатріємія</w:t>
            </w:r>
          </w:p>
        </w:tc>
        <w:tc>
          <w:tcPr>
            <w:tcW w:w="1693" w:type="pct"/>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r w:rsidRPr="00F90B6B">
              <w:rPr>
                <w:rFonts w:ascii="Times New Roman" w:hAnsi="Times New Roman"/>
                <w:sz w:val="28"/>
                <w:szCs w:val="28"/>
              </w:rPr>
              <w:t>51,0</w:t>
            </w:r>
          </w:p>
        </w:tc>
        <w:tc>
          <w:tcPr>
            <w:tcW w:w="1615" w:type="pct"/>
            <w:vMerge/>
            <w:vAlign w:val="center"/>
          </w:tcPr>
          <w:p w:rsidR="00EF4063" w:rsidRPr="00F90B6B" w:rsidRDefault="00EF4063" w:rsidP="00FB4A39">
            <w:pPr>
              <w:tabs>
                <w:tab w:val="left" w:pos="3864"/>
              </w:tabs>
              <w:spacing w:after="0" w:line="288" w:lineRule="auto"/>
              <w:jc w:val="center"/>
              <w:rPr>
                <w:rFonts w:ascii="Times New Roman" w:hAnsi="Times New Roman"/>
                <w:sz w:val="28"/>
                <w:szCs w:val="28"/>
              </w:rPr>
            </w:pPr>
          </w:p>
        </w:tc>
      </w:tr>
    </w:tbl>
    <w:p w:rsidR="00EF4063" w:rsidRPr="00F90B6B" w:rsidRDefault="00EF4063" w:rsidP="00F0048B">
      <w:pPr>
        <w:pStyle w:val="Style60"/>
        <w:spacing w:line="360" w:lineRule="auto"/>
        <w:ind w:firstLine="709"/>
        <w:rPr>
          <w:sz w:val="28"/>
          <w:szCs w:val="28"/>
          <w:lang w:val="uk-UA"/>
        </w:rPr>
      </w:pPr>
      <w:r w:rsidRPr="00F90B6B">
        <w:rPr>
          <w:sz w:val="28"/>
          <w:szCs w:val="28"/>
        </w:rPr>
        <w:t>р – вірогідність за критерієм χ</w:t>
      </w:r>
      <w:r w:rsidRPr="00F90B6B">
        <w:rPr>
          <w:sz w:val="28"/>
          <w:szCs w:val="28"/>
          <w:vertAlign w:val="superscript"/>
        </w:rPr>
        <w:t xml:space="preserve">2 </w:t>
      </w:r>
      <w:r w:rsidRPr="00F90B6B">
        <w:rPr>
          <w:sz w:val="28"/>
          <w:szCs w:val="28"/>
        </w:rPr>
        <w:t>с поправкою Мантеля-Хенцеля.</w:t>
      </w:r>
    </w:p>
    <w:p w:rsidR="00EF4063" w:rsidRPr="00F90B6B" w:rsidRDefault="00EF4063" w:rsidP="00F0048B">
      <w:pPr>
        <w:pStyle w:val="Style60"/>
        <w:spacing w:line="360" w:lineRule="auto"/>
        <w:ind w:firstLine="709"/>
        <w:rPr>
          <w:sz w:val="28"/>
          <w:szCs w:val="28"/>
          <w:lang w:val="uk-UA"/>
        </w:rPr>
      </w:pPr>
    </w:p>
    <w:p w:rsidR="00EF4063" w:rsidRPr="00F90B6B" w:rsidRDefault="00EF4063" w:rsidP="00F0048B">
      <w:pPr>
        <w:pStyle w:val="Style60"/>
        <w:spacing w:line="360" w:lineRule="auto"/>
        <w:ind w:firstLine="709"/>
        <w:rPr>
          <w:sz w:val="28"/>
          <w:szCs w:val="28"/>
          <w:lang w:val="uk-UA"/>
        </w:rPr>
      </w:pPr>
      <w:r w:rsidRPr="00F90B6B">
        <w:rPr>
          <w:sz w:val="28"/>
          <w:szCs w:val="28"/>
          <w:lang w:val="uk-UA"/>
        </w:rPr>
        <w:t>Наступним завданням 2-річного проспективного спостереження було оцінити рівень госпіталізації у хворих з ХСН зі ЗФВЛШ при ожирінні, залежно від наявності іонних порушень.</w:t>
      </w:r>
    </w:p>
    <w:p w:rsidR="00EF4063" w:rsidRPr="00F90B6B" w:rsidRDefault="00EF4063" w:rsidP="00F0048B">
      <w:pPr>
        <w:pStyle w:val="Style60"/>
        <w:spacing w:line="360" w:lineRule="auto"/>
        <w:ind w:firstLine="709"/>
        <w:rPr>
          <w:sz w:val="28"/>
          <w:szCs w:val="28"/>
          <w:lang w:val="uk-UA"/>
        </w:rPr>
      </w:pPr>
      <w:r w:rsidRPr="00F90B6B">
        <w:rPr>
          <w:sz w:val="28"/>
          <w:szCs w:val="28"/>
          <w:lang w:val="uk-UA"/>
        </w:rPr>
        <w:t>Слід додати, що частота госпіталізації відображає не тільки клінічно важливу подію, але також якість життя хворих з ХСН. В нашій роботі було встановлено вірогідний ризик підвищення частоти госпіталізації за наявності гіпонатріємії у хворих з ХСН зі ЗФВЛШ та супутнім ожирінням. Так частота повторної госпіталізації при гіпонатріємії впродовж проспективного спостереження склала 76,0%, в той же час у хворих з нормальним рівнем натрію – 44,0%, табл. 3.5.7.</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3.5.7</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bCs/>
          <w:sz w:val="28"/>
          <w:szCs w:val="28"/>
        </w:rPr>
        <w:t xml:space="preserve">Вірогідність асоціації гіпонатріємії з частотою повторної госпіталізації </w:t>
      </w:r>
      <w:r w:rsidRPr="00F90B6B">
        <w:rPr>
          <w:rFonts w:ascii="Times New Roman" w:hAnsi="Times New Roman"/>
          <w:b/>
          <w:sz w:val="28"/>
          <w:szCs w:val="28"/>
        </w:rPr>
        <w:t>у пацієнтів з ХСН та ожирінням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59"/>
        <w:gridCol w:w="2424"/>
        <w:gridCol w:w="2432"/>
        <w:gridCol w:w="2432"/>
      </w:tblGrid>
      <w:tr w:rsidR="00EF4063" w:rsidRPr="00F90B6B" w:rsidTr="002E1A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32"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32"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E1A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Гіпонатріємія</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76,0</w:t>
            </w:r>
          </w:p>
        </w:tc>
        <w:tc>
          <w:tcPr>
            <w:tcW w:w="2432"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rPr>
              <w:t>1,71</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[1,15-2,54]</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p&lt;0,05</w:t>
            </w:r>
          </w:p>
        </w:tc>
        <w:tc>
          <w:tcPr>
            <w:tcW w:w="2432"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rPr>
              <w:t>3,96</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[1,33-11,8]</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p&lt;0,05</w:t>
            </w:r>
          </w:p>
        </w:tc>
      </w:tr>
      <w:tr w:rsidR="00EF4063" w:rsidRPr="00F90B6B" w:rsidTr="002E1A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Нормонатріємія</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44,0</w:t>
            </w:r>
          </w:p>
        </w:tc>
        <w:tc>
          <w:tcPr>
            <w:tcW w:w="2432"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32"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pStyle w:val="Style60"/>
        <w:spacing w:line="360" w:lineRule="auto"/>
        <w:ind w:firstLine="709"/>
        <w:rPr>
          <w:sz w:val="28"/>
          <w:szCs w:val="28"/>
          <w:lang w:val="uk-UA"/>
        </w:rPr>
      </w:pPr>
      <w:r w:rsidRPr="00F90B6B">
        <w:rPr>
          <w:sz w:val="28"/>
          <w:szCs w:val="28"/>
        </w:rPr>
        <w:t>р – вірогідність за критерієм χ</w:t>
      </w:r>
      <w:r w:rsidRPr="00F90B6B">
        <w:rPr>
          <w:sz w:val="28"/>
          <w:szCs w:val="28"/>
          <w:vertAlign w:val="superscript"/>
        </w:rPr>
        <w:t xml:space="preserve">2 </w:t>
      </w:r>
      <w:r w:rsidRPr="00F90B6B">
        <w:rPr>
          <w:sz w:val="28"/>
          <w:szCs w:val="28"/>
        </w:rPr>
        <w:t>с поправкою Мантеля-Хенцеля.</w:t>
      </w:r>
    </w:p>
    <w:p w:rsidR="00EF4063" w:rsidRPr="00F90B6B" w:rsidRDefault="00EF4063" w:rsidP="00F0048B">
      <w:pPr>
        <w:pStyle w:val="Style60"/>
        <w:spacing w:line="360" w:lineRule="auto"/>
        <w:ind w:firstLine="709"/>
        <w:rPr>
          <w:sz w:val="28"/>
          <w:szCs w:val="28"/>
          <w:lang w:val="uk-UA"/>
        </w:rPr>
      </w:pPr>
    </w:p>
    <w:p w:rsidR="00EF4063" w:rsidRPr="00F90B6B" w:rsidRDefault="00EF4063" w:rsidP="00F0048B">
      <w:pPr>
        <w:pStyle w:val="Style60"/>
        <w:spacing w:line="360" w:lineRule="auto"/>
        <w:ind w:firstLine="709"/>
        <w:rPr>
          <w:sz w:val="28"/>
          <w:szCs w:val="28"/>
          <w:lang w:val="uk-UA"/>
        </w:rPr>
      </w:pPr>
      <w:r w:rsidRPr="00F90B6B">
        <w:rPr>
          <w:sz w:val="28"/>
          <w:szCs w:val="28"/>
          <w:lang w:val="uk-UA"/>
        </w:rPr>
        <w:lastRenderedPageBreak/>
        <w:t>Таким чином, так званий «додатній ризик» за наявності гіпонатріємії у хворих з ХСН та ожирінням – 32,0% (табл. 3.5.7). Показники Relative Risk і Odds Ratio склали, відповідно, 1,71 [1,15-2,54] та 3,96 [1,33-11,8], що свідчить про достовірне підвищення частоти госпіталізації при низькому рівні натрію.</w:t>
      </w:r>
    </w:p>
    <w:p w:rsidR="00EF4063" w:rsidRPr="00F90B6B" w:rsidRDefault="00EF4063" w:rsidP="00F0048B">
      <w:pPr>
        <w:pStyle w:val="Style60"/>
        <w:spacing w:line="360" w:lineRule="auto"/>
        <w:ind w:firstLine="709"/>
        <w:rPr>
          <w:sz w:val="28"/>
          <w:szCs w:val="28"/>
          <w:lang w:val="uk-UA"/>
        </w:rPr>
      </w:pPr>
      <w:r w:rsidRPr="00F90B6B">
        <w:rPr>
          <w:sz w:val="28"/>
          <w:szCs w:val="28"/>
          <w:lang w:val="uk-UA"/>
        </w:rPr>
        <w:t>Наступною метою нашого дослідження було проаналізувати вірогідність</w:t>
      </w:r>
      <w:r w:rsidRPr="00F90B6B">
        <w:rPr>
          <w:color w:val="FF0000"/>
          <w:sz w:val="28"/>
          <w:szCs w:val="28"/>
          <w:lang w:val="uk-UA"/>
        </w:rPr>
        <w:t xml:space="preserve"> </w:t>
      </w:r>
      <w:r w:rsidRPr="00F90B6B">
        <w:rPr>
          <w:sz w:val="28"/>
          <w:szCs w:val="28"/>
          <w:lang w:val="uk-UA"/>
        </w:rPr>
        <w:t>серцево-судинної летальності залежно від наявності гіпонатріємії у хворих з ХСН та ожирінням. Так, впродовж 2-річного проспективного спостереження у хворих з ХСН зі ЗВФЛШ при ожирінні та супутній гіпонатріємії було зареєстровано 1 випадок смертності – 4,0% проти 0,0% групи з нормонатріємією. Відносна ймовірність та шанси серцево-судинної летальності на фоні гіпонатріємії достовірно не підвищувались, табл. 3.5.8.</w:t>
      </w:r>
    </w:p>
    <w:p w:rsidR="00EF4063" w:rsidRPr="00F90B6B" w:rsidRDefault="00EF4063" w:rsidP="00F0048B">
      <w:pPr>
        <w:spacing w:after="0" w:line="360" w:lineRule="auto"/>
        <w:ind w:firstLine="709"/>
        <w:jc w:val="right"/>
        <w:rPr>
          <w:rFonts w:ascii="Times New Roman" w:hAnsi="Times New Roman"/>
          <w:i/>
          <w:iCs/>
          <w:sz w:val="28"/>
          <w:szCs w:val="28"/>
        </w:rPr>
      </w:pPr>
      <w:r w:rsidRPr="00F90B6B">
        <w:rPr>
          <w:rFonts w:ascii="Times New Roman" w:hAnsi="Times New Roman"/>
          <w:i/>
          <w:iCs/>
          <w:sz w:val="28"/>
          <w:szCs w:val="28"/>
        </w:rPr>
        <w:t>Таблиця 3.5.8</w:t>
      </w:r>
    </w:p>
    <w:p w:rsidR="00EF4063" w:rsidRPr="00F90B6B" w:rsidRDefault="00EF4063" w:rsidP="00F0048B">
      <w:pPr>
        <w:tabs>
          <w:tab w:val="left" w:pos="3864"/>
        </w:tabs>
        <w:spacing w:after="0" w:line="360" w:lineRule="auto"/>
        <w:jc w:val="center"/>
        <w:rPr>
          <w:rFonts w:ascii="Times New Roman" w:hAnsi="Times New Roman"/>
          <w:b/>
          <w:sz w:val="28"/>
          <w:szCs w:val="28"/>
        </w:rPr>
      </w:pPr>
      <w:r w:rsidRPr="00F90B6B">
        <w:rPr>
          <w:rFonts w:ascii="Times New Roman" w:hAnsi="Times New Roman"/>
          <w:b/>
          <w:bCs/>
          <w:sz w:val="28"/>
          <w:szCs w:val="28"/>
        </w:rPr>
        <w:t xml:space="preserve">Вірогідність асоціації гіпонатріємії з вірогідністю серцево-судинної смертності </w:t>
      </w:r>
      <w:r w:rsidRPr="00F90B6B">
        <w:rPr>
          <w:rFonts w:ascii="Times New Roman" w:hAnsi="Times New Roman"/>
          <w:b/>
          <w:sz w:val="28"/>
          <w:szCs w:val="28"/>
        </w:rPr>
        <w:t>у пацієнтів з ХСН та ожирінням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59"/>
        <w:gridCol w:w="2424"/>
        <w:gridCol w:w="2432"/>
        <w:gridCol w:w="2432"/>
      </w:tblGrid>
      <w:tr w:rsidR="00EF4063" w:rsidRPr="00F90B6B" w:rsidTr="002E1A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AR, %</w:t>
            </w:r>
          </w:p>
        </w:tc>
        <w:tc>
          <w:tcPr>
            <w:tcW w:w="2432"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lang w:val="en-US"/>
              </w:rPr>
            </w:pPr>
            <w:r w:rsidRPr="00F90B6B">
              <w:rPr>
                <w:rFonts w:ascii="Times New Roman" w:hAnsi="Times New Roman"/>
                <w:b/>
                <w:bCs/>
                <w:sz w:val="28"/>
                <w:szCs w:val="28"/>
                <w:lang w:val="en-US"/>
              </w:rPr>
              <w:t>RR [CI,%]</w:t>
            </w:r>
          </w:p>
        </w:tc>
        <w:tc>
          <w:tcPr>
            <w:tcW w:w="2432" w:type="dxa"/>
            <w:vAlign w:val="center"/>
          </w:tcPr>
          <w:p w:rsidR="00EF4063" w:rsidRPr="00F90B6B" w:rsidRDefault="00EF4063" w:rsidP="00F0048B">
            <w:pPr>
              <w:tabs>
                <w:tab w:val="left" w:pos="3864"/>
              </w:tabs>
              <w:spacing w:after="0" w:line="360" w:lineRule="auto"/>
              <w:jc w:val="center"/>
              <w:rPr>
                <w:rFonts w:ascii="Times New Roman" w:hAnsi="Times New Roman"/>
                <w:b/>
                <w:bCs/>
                <w:sz w:val="28"/>
                <w:szCs w:val="28"/>
              </w:rPr>
            </w:pPr>
            <w:r w:rsidRPr="00F90B6B">
              <w:rPr>
                <w:rFonts w:ascii="Times New Roman" w:hAnsi="Times New Roman"/>
                <w:b/>
                <w:bCs/>
                <w:sz w:val="28"/>
                <w:szCs w:val="28"/>
                <w:lang w:val="en-US"/>
              </w:rPr>
              <w:t>OR [CI,%]</w:t>
            </w:r>
          </w:p>
        </w:tc>
      </w:tr>
      <w:tr w:rsidR="00EF4063" w:rsidRPr="00F90B6B" w:rsidTr="002E1A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Гіпонатріємія</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4,0</w:t>
            </w:r>
          </w:p>
        </w:tc>
        <w:tc>
          <w:tcPr>
            <w:tcW w:w="2432" w:type="dxa"/>
            <w:vMerge w:val="restart"/>
            <w:vAlign w:val="center"/>
          </w:tcPr>
          <w:p w:rsidR="00EF4063" w:rsidRPr="00F90B6B" w:rsidRDefault="00EF4063" w:rsidP="00F0048B">
            <w:pPr>
              <w:tabs>
                <w:tab w:val="left" w:pos="2856"/>
              </w:tabs>
              <w:spacing w:after="0" w:line="360" w:lineRule="auto"/>
              <w:jc w:val="center"/>
              <w:rPr>
                <w:rFonts w:ascii="Times New Roman" w:hAnsi="Times New Roman"/>
                <w:sz w:val="28"/>
                <w:szCs w:val="28"/>
                <w:lang w:val="en-US"/>
              </w:rPr>
            </w:pPr>
            <w:r w:rsidRPr="00F90B6B">
              <w:rPr>
                <w:rFonts w:ascii="Times New Roman" w:hAnsi="Times New Roman"/>
                <w:sz w:val="28"/>
                <w:szCs w:val="28"/>
              </w:rPr>
              <w:t>18,4</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val="en-US"/>
              </w:rPr>
              <w:t>[</w:t>
            </w:r>
            <w:r w:rsidRPr="00F90B6B">
              <w:rPr>
                <w:rFonts w:ascii="Times New Roman" w:hAnsi="Times New Roman"/>
                <w:sz w:val="28"/>
                <w:szCs w:val="28"/>
              </w:rPr>
              <w:t>0,027</w:t>
            </w:r>
            <w:r w:rsidRPr="00F90B6B">
              <w:rPr>
                <w:rFonts w:ascii="Times New Roman" w:hAnsi="Times New Roman"/>
                <w:sz w:val="28"/>
                <w:szCs w:val="28"/>
                <w:lang w:val="en-US"/>
              </w:rPr>
              <w:t>-</w:t>
            </w:r>
            <w:r w:rsidRPr="00F90B6B">
              <w:rPr>
                <w:rFonts w:ascii="Times New Roman" w:hAnsi="Times New Roman"/>
                <w:sz w:val="28"/>
                <w:szCs w:val="28"/>
              </w:rPr>
              <w:t>118,5</w:t>
            </w:r>
            <w:r w:rsidRPr="00F90B6B">
              <w:rPr>
                <w:rFonts w:ascii="Times New Roman" w:hAnsi="Times New Roman"/>
                <w:sz w:val="28"/>
                <w:szCs w:val="28"/>
                <w:lang w:val="en-US"/>
              </w:rPr>
              <w:t>]</w:t>
            </w:r>
          </w:p>
          <w:p w:rsidR="00EF4063" w:rsidRPr="00F90B6B" w:rsidRDefault="00EF4063" w:rsidP="00F0048B">
            <w:pPr>
              <w:tabs>
                <w:tab w:val="left" w:pos="2856"/>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w:t>
            </w:r>
            <w:r w:rsidRPr="00F90B6B">
              <w:rPr>
                <w:rFonts w:ascii="Times New Roman" w:hAnsi="Times New Roman"/>
                <w:sz w:val="28"/>
                <w:szCs w:val="28"/>
                <w:lang w:val="en-US" w:eastAsia="ru-RU"/>
              </w:rPr>
              <w:t>&gt;</w:t>
            </w:r>
            <w:r w:rsidRPr="00F90B6B">
              <w:rPr>
                <w:rFonts w:ascii="Times New Roman" w:hAnsi="Times New Roman"/>
                <w:sz w:val="28"/>
                <w:szCs w:val="28"/>
                <w:lang w:eastAsia="ru-RU"/>
              </w:rPr>
              <w:t>0,05</w:t>
            </w:r>
          </w:p>
        </w:tc>
        <w:tc>
          <w:tcPr>
            <w:tcW w:w="2432" w:type="dxa"/>
            <w:vMerge w:val="restart"/>
            <w:vAlign w:val="center"/>
          </w:tcPr>
          <w:p w:rsidR="00EF4063" w:rsidRPr="00F90B6B" w:rsidRDefault="00EF4063" w:rsidP="00F0048B">
            <w:pPr>
              <w:tabs>
                <w:tab w:val="left" w:pos="3864"/>
              </w:tabs>
              <w:spacing w:after="0" w:line="360" w:lineRule="auto"/>
              <w:jc w:val="center"/>
              <w:rPr>
                <w:rFonts w:ascii="Times New Roman" w:hAnsi="Times New Roman"/>
                <w:sz w:val="28"/>
                <w:szCs w:val="28"/>
                <w:lang w:val="en-US"/>
              </w:rPr>
            </w:pPr>
            <w:r w:rsidRPr="00F90B6B">
              <w:rPr>
                <w:rFonts w:ascii="Times New Roman" w:hAnsi="Times New Roman"/>
                <w:sz w:val="28"/>
                <w:szCs w:val="28"/>
              </w:rPr>
              <w:t>18,09</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val="en-US"/>
              </w:rPr>
              <w:t>[1,33-1</w:t>
            </w:r>
            <w:r w:rsidRPr="00F90B6B">
              <w:rPr>
                <w:rFonts w:ascii="Times New Roman" w:hAnsi="Times New Roman"/>
                <w:sz w:val="28"/>
                <w:szCs w:val="28"/>
              </w:rPr>
              <w:t>27,9</w:t>
            </w:r>
            <w:r w:rsidRPr="00F90B6B">
              <w:rPr>
                <w:rFonts w:ascii="Times New Roman" w:hAnsi="Times New Roman"/>
                <w:sz w:val="28"/>
                <w:szCs w:val="28"/>
                <w:lang w:val="en-US"/>
              </w:rPr>
              <w:t>]</w:t>
            </w:r>
          </w:p>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lang w:eastAsia="ru-RU"/>
              </w:rPr>
              <w:t>p</w:t>
            </w:r>
            <w:r w:rsidRPr="00F90B6B">
              <w:rPr>
                <w:rFonts w:ascii="Times New Roman" w:hAnsi="Times New Roman"/>
                <w:sz w:val="28"/>
                <w:szCs w:val="28"/>
                <w:lang w:val="en-US" w:eastAsia="ru-RU"/>
              </w:rPr>
              <w:t>&gt;</w:t>
            </w:r>
            <w:r w:rsidRPr="00F90B6B">
              <w:rPr>
                <w:rFonts w:ascii="Times New Roman" w:hAnsi="Times New Roman"/>
                <w:sz w:val="28"/>
                <w:szCs w:val="28"/>
                <w:lang w:eastAsia="ru-RU"/>
              </w:rPr>
              <w:t>0,05</w:t>
            </w:r>
          </w:p>
        </w:tc>
      </w:tr>
      <w:tr w:rsidR="00EF4063" w:rsidRPr="00F90B6B" w:rsidTr="002E1AB5">
        <w:tc>
          <w:tcPr>
            <w:tcW w:w="2459" w:type="dxa"/>
            <w:vAlign w:val="center"/>
          </w:tcPr>
          <w:p w:rsidR="00EF4063" w:rsidRPr="00F90B6B" w:rsidRDefault="00EF4063" w:rsidP="00F0048B">
            <w:pPr>
              <w:tabs>
                <w:tab w:val="left" w:pos="3864"/>
              </w:tabs>
              <w:spacing w:after="0" w:line="360" w:lineRule="auto"/>
              <w:jc w:val="center"/>
              <w:rPr>
                <w:rFonts w:ascii="Times New Roman" w:hAnsi="Times New Roman"/>
                <w:bCs/>
                <w:i/>
                <w:sz w:val="28"/>
                <w:szCs w:val="28"/>
              </w:rPr>
            </w:pPr>
            <w:r w:rsidRPr="00F90B6B">
              <w:rPr>
                <w:rFonts w:ascii="Times New Roman" w:hAnsi="Times New Roman"/>
                <w:bCs/>
                <w:i/>
                <w:sz w:val="28"/>
                <w:szCs w:val="28"/>
              </w:rPr>
              <w:t>Нормонатріємія</w:t>
            </w:r>
          </w:p>
        </w:tc>
        <w:tc>
          <w:tcPr>
            <w:tcW w:w="2424" w:type="dxa"/>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r w:rsidRPr="00F90B6B">
              <w:rPr>
                <w:rFonts w:ascii="Times New Roman" w:hAnsi="Times New Roman"/>
                <w:sz w:val="28"/>
                <w:szCs w:val="28"/>
              </w:rPr>
              <w:t>0,0</w:t>
            </w:r>
          </w:p>
        </w:tc>
        <w:tc>
          <w:tcPr>
            <w:tcW w:w="2432"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c>
          <w:tcPr>
            <w:tcW w:w="2432" w:type="dxa"/>
            <w:vMerge/>
            <w:vAlign w:val="center"/>
          </w:tcPr>
          <w:p w:rsidR="00EF4063" w:rsidRPr="00F90B6B" w:rsidRDefault="00EF4063" w:rsidP="00F0048B">
            <w:pPr>
              <w:tabs>
                <w:tab w:val="left" w:pos="3864"/>
              </w:tabs>
              <w:spacing w:after="0" w:line="360" w:lineRule="auto"/>
              <w:jc w:val="center"/>
              <w:rPr>
                <w:rFonts w:ascii="Times New Roman" w:hAnsi="Times New Roman"/>
                <w:sz w:val="28"/>
                <w:szCs w:val="28"/>
              </w:rPr>
            </w:pPr>
          </w:p>
        </w:tc>
      </w:tr>
    </w:tbl>
    <w:p w:rsidR="00EF4063" w:rsidRPr="00F90B6B" w:rsidRDefault="00EF4063" w:rsidP="00F0048B">
      <w:pPr>
        <w:pStyle w:val="Style60"/>
        <w:spacing w:line="360" w:lineRule="auto"/>
        <w:ind w:firstLine="709"/>
        <w:rPr>
          <w:sz w:val="28"/>
          <w:szCs w:val="28"/>
          <w:lang w:val="uk-UA"/>
        </w:rPr>
      </w:pPr>
      <w:r w:rsidRPr="00F90B6B">
        <w:rPr>
          <w:sz w:val="28"/>
          <w:szCs w:val="28"/>
        </w:rPr>
        <w:t>р – вірогідність за критерієм χ</w:t>
      </w:r>
      <w:r w:rsidRPr="00F90B6B">
        <w:rPr>
          <w:sz w:val="28"/>
          <w:szCs w:val="28"/>
          <w:vertAlign w:val="superscript"/>
        </w:rPr>
        <w:t xml:space="preserve">2 </w:t>
      </w:r>
      <w:r w:rsidRPr="00F90B6B">
        <w:rPr>
          <w:sz w:val="28"/>
          <w:szCs w:val="28"/>
        </w:rPr>
        <w:t>с поправкою Мантеля-Хенцеля.</w:t>
      </w:r>
    </w:p>
    <w:p w:rsidR="00FB4A39" w:rsidRPr="00F90B6B" w:rsidRDefault="00FB4A39" w:rsidP="00F0048B">
      <w:pPr>
        <w:pStyle w:val="Style78"/>
        <w:spacing w:line="360" w:lineRule="auto"/>
        <w:ind w:firstLine="709"/>
        <w:jc w:val="both"/>
        <w:rPr>
          <w:sz w:val="28"/>
          <w:szCs w:val="28"/>
          <w:lang w:val="uk-UA"/>
        </w:rPr>
      </w:pP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Наступною задачею розділу було проаналізувати традиційні та нетрадиційні фактори ризику серцево-судинної летальності та гострої декомпенсації серцевої недостатності у пацієнтів з ХСН при ретроспективному дослідженні. Часовий проміжок, впродовж якого проводився ретроспективний аналіз становив 5 років.</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Гендерне співвідношення характеризувалось наявністю більшої кількості осіб чоловічої статі – 115 (53,0%) проти 102 жінок (47,0%). Середній вік хворих, включених в ретроспективне дослідження, становив 67,0±11,57 років (від 46,0 до 87,0 років). Цукровий діабет верифікований у 68 пацієнтів (31,3%). Індекс маси тіла варіював від 18,4 до 73,4 кг/м</w:t>
      </w:r>
      <w:r w:rsidRPr="00F90B6B">
        <w:rPr>
          <w:sz w:val="28"/>
          <w:szCs w:val="28"/>
          <w:vertAlign w:val="superscript"/>
          <w:lang w:val="uk-UA"/>
        </w:rPr>
        <w:t>2</w:t>
      </w:r>
      <w:r w:rsidRPr="00F90B6B">
        <w:rPr>
          <w:sz w:val="28"/>
          <w:szCs w:val="28"/>
          <w:lang w:val="uk-UA"/>
        </w:rPr>
        <w:t>, в середньому – 30,9±7,53 кг/м</w:t>
      </w:r>
      <w:r w:rsidRPr="00F90B6B">
        <w:rPr>
          <w:sz w:val="28"/>
          <w:szCs w:val="28"/>
          <w:vertAlign w:val="superscript"/>
          <w:lang w:val="uk-UA"/>
        </w:rPr>
        <w:t>2</w:t>
      </w:r>
      <w:r w:rsidRPr="00F90B6B">
        <w:rPr>
          <w:sz w:val="28"/>
          <w:szCs w:val="28"/>
          <w:lang w:val="uk-UA"/>
        </w:rPr>
        <w:t xml:space="preserve">. Абдомінальний тип ожиріння з об'ємом талії у жінок більше 80 см, у чоловіків - більше 94 см за </w:t>
      </w:r>
      <w:r w:rsidRPr="00F90B6B">
        <w:rPr>
          <w:sz w:val="28"/>
          <w:szCs w:val="28"/>
          <w:lang w:val="uk-UA"/>
        </w:rPr>
        <w:lastRenderedPageBreak/>
        <w:t>критерієм визначено у 173 хворих (79,7%), табл. 3.5.2.</w:t>
      </w:r>
    </w:p>
    <w:p w:rsidR="00EF4063" w:rsidRPr="00F90B6B" w:rsidRDefault="00EF4063" w:rsidP="00F0048B">
      <w:pPr>
        <w:pStyle w:val="Style78"/>
        <w:spacing w:line="360" w:lineRule="auto"/>
        <w:ind w:firstLine="709"/>
        <w:jc w:val="right"/>
        <w:rPr>
          <w:i/>
          <w:sz w:val="28"/>
          <w:szCs w:val="28"/>
          <w:lang w:val="uk-UA"/>
        </w:rPr>
      </w:pPr>
      <w:r w:rsidRPr="00F90B6B">
        <w:rPr>
          <w:i/>
          <w:sz w:val="28"/>
          <w:szCs w:val="28"/>
          <w:lang w:val="uk-UA"/>
        </w:rPr>
        <w:t>Таблиця 3.5.2</w:t>
      </w:r>
    </w:p>
    <w:p w:rsidR="00EF4063" w:rsidRPr="00F90B6B" w:rsidRDefault="00EF4063" w:rsidP="00F0048B">
      <w:pPr>
        <w:pStyle w:val="Style78"/>
        <w:spacing w:line="360" w:lineRule="auto"/>
        <w:ind w:firstLine="0"/>
        <w:jc w:val="center"/>
        <w:rPr>
          <w:b/>
          <w:sz w:val="28"/>
          <w:szCs w:val="28"/>
          <w:lang w:val="uk-UA"/>
        </w:rPr>
      </w:pPr>
      <w:r w:rsidRPr="00F90B6B">
        <w:rPr>
          <w:b/>
          <w:sz w:val="28"/>
          <w:szCs w:val="28"/>
          <w:lang w:val="uk-UA"/>
        </w:rPr>
        <w:t>Розподіл традиційних клінічних факторів ризику у хворих з ХСН ретроспективної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03"/>
        <w:gridCol w:w="2067"/>
        <w:gridCol w:w="3285"/>
      </w:tblGrid>
      <w:tr w:rsidR="00EF4063" w:rsidRPr="00F90B6B" w:rsidTr="0076299F">
        <w:tc>
          <w:tcPr>
            <w:tcW w:w="4503" w:type="dxa"/>
          </w:tcPr>
          <w:p w:rsidR="00EF4063" w:rsidRPr="00F90B6B" w:rsidRDefault="00EF4063" w:rsidP="00F0048B">
            <w:pPr>
              <w:pStyle w:val="Style78"/>
              <w:spacing w:line="360" w:lineRule="auto"/>
              <w:ind w:firstLine="0"/>
              <w:jc w:val="center"/>
              <w:rPr>
                <w:sz w:val="28"/>
                <w:szCs w:val="28"/>
                <w:lang w:val="uk-UA"/>
              </w:rPr>
            </w:pPr>
            <w:r w:rsidRPr="00F90B6B">
              <w:rPr>
                <w:b/>
                <w:sz w:val="28"/>
                <w:szCs w:val="28"/>
              </w:rPr>
              <w:t>Показник</w:t>
            </w:r>
          </w:p>
        </w:tc>
        <w:tc>
          <w:tcPr>
            <w:tcW w:w="2067" w:type="dxa"/>
          </w:tcPr>
          <w:p w:rsidR="00EF4063" w:rsidRPr="00F90B6B" w:rsidRDefault="00EF4063" w:rsidP="00F0048B">
            <w:pPr>
              <w:pStyle w:val="Style78"/>
              <w:spacing w:line="360" w:lineRule="auto"/>
              <w:ind w:firstLine="0"/>
              <w:jc w:val="center"/>
              <w:rPr>
                <w:b/>
                <w:i/>
                <w:sz w:val="28"/>
                <w:szCs w:val="28"/>
                <w:lang w:val="uk-UA"/>
              </w:rPr>
            </w:pPr>
            <w:r w:rsidRPr="00F90B6B">
              <w:rPr>
                <w:b/>
                <w:i/>
                <w:sz w:val="28"/>
                <w:szCs w:val="28"/>
                <w:lang w:val="uk-UA"/>
              </w:rPr>
              <w:t>Абс.</w:t>
            </w:r>
          </w:p>
        </w:tc>
        <w:tc>
          <w:tcPr>
            <w:tcW w:w="3285" w:type="dxa"/>
          </w:tcPr>
          <w:p w:rsidR="00EF4063" w:rsidRPr="00F90B6B" w:rsidRDefault="00EF4063" w:rsidP="00F0048B">
            <w:pPr>
              <w:pStyle w:val="Style78"/>
              <w:spacing w:line="360" w:lineRule="auto"/>
              <w:ind w:firstLine="0"/>
              <w:jc w:val="center"/>
              <w:rPr>
                <w:b/>
                <w:i/>
                <w:sz w:val="28"/>
                <w:szCs w:val="28"/>
                <w:lang w:val="uk-UA"/>
              </w:rPr>
            </w:pPr>
            <w:r w:rsidRPr="00F90B6B">
              <w:rPr>
                <w:b/>
                <w:i/>
                <w:sz w:val="28"/>
                <w:szCs w:val="28"/>
                <w:lang w:val="uk-UA"/>
              </w:rPr>
              <w:t>%</w:t>
            </w:r>
          </w:p>
        </w:tc>
      </w:tr>
      <w:tr w:rsidR="00EF4063" w:rsidRPr="00F90B6B" w:rsidTr="0076299F">
        <w:tc>
          <w:tcPr>
            <w:tcW w:w="4503" w:type="dxa"/>
          </w:tcPr>
          <w:p w:rsidR="00EF4063" w:rsidRPr="00F90B6B" w:rsidRDefault="00EF4063" w:rsidP="00F0048B">
            <w:pPr>
              <w:pStyle w:val="Style78"/>
              <w:spacing w:line="360" w:lineRule="auto"/>
              <w:ind w:firstLine="0"/>
              <w:jc w:val="center"/>
              <w:rPr>
                <w:i/>
                <w:sz w:val="28"/>
                <w:szCs w:val="28"/>
                <w:lang w:val="uk-UA"/>
              </w:rPr>
            </w:pPr>
            <w:r w:rsidRPr="00F90B6B">
              <w:rPr>
                <w:i/>
                <w:sz w:val="28"/>
                <w:szCs w:val="28"/>
                <w:lang w:val="uk-UA"/>
              </w:rPr>
              <w:t>Чоловіча стать</w:t>
            </w:r>
          </w:p>
        </w:tc>
        <w:tc>
          <w:tcPr>
            <w:tcW w:w="2067"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115</w:t>
            </w:r>
          </w:p>
        </w:tc>
        <w:tc>
          <w:tcPr>
            <w:tcW w:w="3285" w:type="dxa"/>
          </w:tcPr>
          <w:p w:rsidR="00EF4063" w:rsidRPr="00F90B6B" w:rsidRDefault="00EF4063" w:rsidP="00F0048B">
            <w:pPr>
              <w:pStyle w:val="Style78"/>
              <w:spacing w:line="360" w:lineRule="auto"/>
              <w:ind w:firstLine="0"/>
              <w:jc w:val="center"/>
              <w:rPr>
                <w:sz w:val="28"/>
                <w:szCs w:val="28"/>
                <w:lang w:val="en-US"/>
              </w:rPr>
            </w:pPr>
            <w:r w:rsidRPr="00F90B6B">
              <w:rPr>
                <w:sz w:val="28"/>
                <w:szCs w:val="28"/>
                <w:lang w:val="uk-UA"/>
              </w:rPr>
              <w:t>53,0</w:t>
            </w:r>
          </w:p>
        </w:tc>
      </w:tr>
      <w:tr w:rsidR="00EF4063" w:rsidRPr="00F90B6B" w:rsidTr="0076299F">
        <w:tc>
          <w:tcPr>
            <w:tcW w:w="4503" w:type="dxa"/>
          </w:tcPr>
          <w:p w:rsidR="00EF4063" w:rsidRPr="00F90B6B" w:rsidRDefault="00EF4063" w:rsidP="00F0048B">
            <w:pPr>
              <w:pStyle w:val="Style78"/>
              <w:spacing w:line="360" w:lineRule="auto"/>
              <w:ind w:firstLine="0"/>
              <w:jc w:val="center"/>
              <w:rPr>
                <w:i/>
                <w:sz w:val="28"/>
                <w:szCs w:val="28"/>
                <w:lang w:val="uk-UA"/>
              </w:rPr>
            </w:pPr>
            <w:r w:rsidRPr="00F90B6B">
              <w:rPr>
                <w:i/>
                <w:sz w:val="28"/>
                <w:szCs w:val="28"/>
                <w:lang w:val="uk-UA"/>
              </w:rPr>
              <w:t>Вік більше 65 років</w:t>
            </w:r>
          </w:p>
        </w:tc>
        <w:tc>
          <w:tcPr>
            <w:tcW w:w="2067"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87</w:t>
            </w:r>
          </w:p>
        </w:tc>
        <w:tc>
          <w:tcPr>
            <w:tcW w:w="3285"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40,0</w:t>
            </w:r>
          </w:p>
        </w:tc>
      </w:tr>
      <w:tr w:rsidR="00EF4063" w:rsidRPr="00F90B6B" w:rsidTr="0076299F">
        <w:tc>
          <w:tcPr>
            <w:tcW w:w="4503" w:type="dxa"/>
          </w:tcPr>
          <w:p w:rsidR="00EF4063" w:rsidRPr="00F90B6B" w:rsidRDefault="00EF4063" w:rsidP="00F0048B">
            <w:pPr>
              <w:pStyle w:val="Style78"/>
              <w:spacing w:line="360" w:lineRule="auto"/>
              <w:ind w:firstLine="0"/>
              <w:jc w:val="center"/>
              <w:rPr>
                <w:i/>
                <w:sz w:val="28"/>
                <w:szCs w:val="28"/>
                <w:lang w:val="uk-UA"/>
              </w:rPr>
            </w:pPr>
            <w:r w:rsidRPr="00F90B6B">
              <w:rPr>
                <w:i/>
                <w:sz w:val="28"/>
                <w:szCs w:val="28"/>
                <w:lang w:val="uk-UA"/>
              </w:rPr>
              <w:t>Цукровий діабет</w:t>
            </w:r>
          </w:p>
        </w:tc>
        <w:tc>
          <w:tcPr>
            <w:tcW w:w="2067"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68</w:t>
            </w:r>
          </w:p>
        </w:tc>
        <w:tc>
          <w:tcPr>
            <w:tcW w:w="3285"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31,3</w:t>
            </w:r>
          </w:p>
        </w:tc>
      </w:tr>
      <w:tr w:rsidR="00EF4063" w:rsidRPr="00F90B6B" w:rsidTr="0076299F">
        <w:tc>
          <w:tcPr>
            <w:tcW w:w="4503" w:type="dxa"/>
          </w:tcPr>
          <w:p w:rsidR="00EF4063" w:rsidRPr="00F90B6B" w:rsidRDefault="00EF4063" w:rsidP="00F0048B">
            <w:pPr>
              <w:pStyle w:val="Style78"/>
              <w:spacing w:line="360" w:lineRule="auto"/>
              <w:ind w:firstLine="0"/>
              <w:jc w:val="center"/>
              <w:rPr>
                <w:i/>
                <w:sz w:val="28"/>
                <w:szCs w:val="28"/>
                <w:lang w:val="uk-UA"/>
              </w:rPr>
            </w:pPr>
            <w:r w:rsidRPr="00F90B6B">
              <w:rPr>
                <w:i/>
                <w:sz w:val="28"/>
                <w:szCs w:val="28"/>
                <w:lang w:val="uk-UA"/>
              </w:rPr>
              <w:t>Індекс маси тіла більше 25 кг/м</w:t>
            </w:r>
            <w:r w:rsidRPr="00F90B6B">
              <w:rPr>
                <w:i/>
                <w:sz w:val="28"/>
                <w:szCs w:val="28"/>
                <w:vertAlign w:val="superscript"/>
                <w:lang w:val="uk-UA"/>
              </w:rPr>
              <w:t>2</w:t>
            </w:r>
          </w:p>
        </w:tc>
        <w:tc>
          <w:tcPr>
            <w:tcW w:w="2067"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182</w:t>
            </w:r>
          </w:p>
        </w:tc>
        <w:tc>
          <w:tcPr>
            <w:tcW w:w="3285"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83,9</w:t>
            </w:r>
          </w:p>
        </w:tc>
      </w:tr>
      <w:tr w:rsidR="00EF4063" w:rsidRPr="00F90B6B" w:rsidTr="0076299F">
        <w:tc>
          <w:tcPr>
            <w:tcW w:w="4503" w:type="dxa"/>
          </w:tcPr>
          <w:p w:rsidR="00EF4063" w:rsidRPr="00F90B6B" w:rsidRDefault="00EF4063" w:rsidP="00F0048B">
            <w:pPr>
              <w:pStyle w:val="Style78"/>
              <w:spacing w:line="360" w:lineRule="auto"/>
              <w:ind w:firstLine="0"/>
              <w:jc w:val="center"/>
              <w:rPr>
                <w:i/>
                <w:sz w:val="28"/>
                <w:szCs w:val="28"/>
                <w:lang w:val="uk-UA"/>
              </w:rPr>
            </w:pPr>
            <w:r w:rsidRPr="00F90B6B">
              <w:rPr>
                <w:i/>
                <w:sz w:val="28"/>
                <w:szCs w:val="28"/>
                <w:lang w:val="uk-UA"/>
              </w:rPr>
              <w:t>Абдомінальний тип ожиріння</w:t>
            </w:r>
          </w:p>
        </w:tc>
        <w:tc>
          <w:tcPr>
            <w:tcW w:w="2067"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173</w:t>
            </w:r>
          </w:p>
        </w:tc>
        <w:tc>
          <w:tcPr>
            <w:tcW w:w="3285"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79,7</w:t>
            </w:r>
          </w:p>
        </w:tc>
      </w:tr>
      <w:tr w:rsidR="00EF4063" w:rsidRPr="00F90B6B" w:rsidTr="0076299F">
        <w:tc>
          <w:tcPr>
            <w:tcW w:w="4503" w:type="dxa"/>
          </w:tcPr>
          <w:p w:rsidR="00EF4063" w:rsidRPr="00F90B6B" w:rsidRDefault="00EF4063" w:rsidP="00F0048B">
            <w:pPr>
              <w:pStyle w:val="Style78"/>
              <w:tabs>
                <w:tab w:val="left" w:pos="2256"/>
              </w:tabs>
              <w:spacing w:line="360" w:lineRule="auto"/>
              <w:ind w:firstLine="0"/>
              <w:jc w:val="center"/>
              <w:rPr>
                <w:i/>
                <w:sz w:val="28"/>
                <w:szCs w:val="28"/>
                <w:lang w:val="uk-UA"/>
              </w:rPr>
            </w:pPr>
            <w:r w:rsidRPr="00F90B6B">
              <w:rPr>
                <w:i/>
                <w:sz w:val="28"/>
                <w:szCs w:val="28"/>
              </w:rPr>
              <w:t>Гіпертонічна хвороба</w:t>
            </w:r>
          </w:p>
        </w:tc>
        <w:tc>
          <w:tcPr>
            <w:tcW w:w="2067"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130</w:t>
            </w:r>
          </w:p>
        </w:tc>
        <w:tc>
          <w:tcPr>
            <w:tcW w:w="3285"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60,0</w:t>
            </w:r>
          </w:p>
        </w:tc>
      </w:tr>
      <w:tr w:rsidR="00EF4063" w:rsidRPr="00F90B6B" w:rsidTr="0076299F">
        <w:tc>
          <w:tcPr>
            <w:tcW w:w="4503" w:type="dxa"/>
          </w:tcPr>
          <w:p w:rsidR="00EF4063" w:rsidRPr="00F90B6B" w:rsidRDefault="00EF4063" w:rsidP="00F0048B">
            <w:pPr>
              <w:pStyle w:val="Style78"/>
              <w:tabs>
                <w:tab w:val="left" w:pos="2256"/>
              </w:tabs>
              <w:spacing w:line="360" w:lineRule="auto"/>
              <w:ind w:firstLine="0"/>
              <w:jc w:val="center"/>
              <w:rPr>
                <w:b/>
                <w:i/>
                <w:sz w:val="28"/>
                <w:szCs w:val="28"/>
                <w:lang w:val="uk-UA"/>
              </w:rPr>
            </w:pPr>
            <w:r w:rsidRPr="00F90B6B">
              <w:rPr>
                <w:b/>
                <w:i/>
                <w:sz w:val="28"/>
                <w:szCs w:val="28"/>
                <w:lang w:val="uk-UA"/>
              </w:rPr>
              <w:t>Функціональний клас ХСН:</w:t>
            </w:r>
          </w:p>
          <w:p w:rsidR="00EF4063" w:rsidRPr="00F90B6B" w:rsidRDefault="00EF4063" w:rsidP="00F0048B">
            <w:pPr>
              <w:pStyle w:val="Style78"/>
              <w:numPr>
                <w:ilvl w:val="0"/>
                <w:numId w:val="11"/>
              </w:numPr>
              <w:tabs>
                <w:tab w:val="left" w:pos="2256"/>
              </w:tabs>
              <w:spacing w:line="360" w:lineRule="auto"/>
              <w:jc w:val="center"/>
              <w:rPr>
                <w:i/>
                <w:sz w:val="28"/>
                <w:szCs w:val="28"/>
                <w:lang w:val="uk-UA"/>
              </w:rPr>
            </w:pPr>
            <w:r w:rsidRPr="00F90B6B">
              <w:rPr>
                <w:i/>
                <w:sz w:val="28"/>
                <w:szCs w:val="28"/>
                <w:lang w:val="uk-UA"/>
              </w:rPr>
              <w:t>Клас І</w:t>
            </w:r>
          </w:p>
          <w:p w:rsidR="00EF4063" w:rsidRPr="00F90B6B" w:rsidRDefault="00EF4063" w:rsidP="00F0048B">
            <w:pPr>
              <w:pStyle w:val="Style78"/>
              <w:numPr>
                <w:ilvl w:val="0"/>
                <w:numId w:val="11"/>
              </w:numPr>
              <w:tabs>
                <w:tab w:val="left" w:pos="2256"/>
              </w:tabs>
              <w:spacing w:line="360" w:lineRule="auto"/>
              <w:jc w:val="center"/>
              <w:rPr>
                <w:i/>
                <w:sz w:val="28"/>
                <w:szCs w:val="28"/>
                <w:lang w:val="uk-UA"/>
              </w:rPr>
            </w:pPr>
            <w:r w:rsidRPr="00F90B6B">
              <w:rPr>
                <w:i/>
                <w:sz w:val="28"/>
                <w:szCs w:val="28"/>
                <w:lang w:val="uk-UA"/>
              </w:rPr>
              <w:t>Клас ІІ</w:t>
            </w:r>
          </w:p>
          <w:p w:rsidR="00EF4063" w:rsidRPr="00F90B6B" w:rsidRDefault="00EF4063" w:rsidP="00F0048B">
            <w:pPr>
              <w:pStyle w:val="Style78"/>
              <w:numPr>
                <w:ilvl w:val="0"/>
                <w:numId w:val="11"/>
              </w:numPr>
              <w:tabs>
                <w:tab w:val="left" w:pos="2256"/>
              </w:tabs>
              <w:spacing w:line="360" w:lineRule="auto"/>
              <w:jc w:val="center"/>
              <w:rPr>
                <w:i/>
                <w:sz w:val="28"/>
                <w:szCs w:val="28"/>
                <w:lang w:val="uk-UA"/>
              </w:rPr>
            </w:pPr>
            <w:r w:rsidRPr="00F90B6B">
              <w:rPr>
                <w:i/>
                <w:sz w:val="28"/>
                <w:szCs w:val="28"/>
                <w:lang w:val="uk-UA"/>
              </w:rPr>
              <w:t>Клас ІІІ</w:t>
            </w:r>
          </w:p>
          <w:p w:rsidR="00EF4063" w:rsidRPr="00F90B6B" w:rsidRDefault="00EF4063" w:rsidP="00F0048B">
            <w:pPr>
              <w:pStyle w:val="Style78"/>
              <w:numPr>
                <w:ilvl w:val="0"/>
                <w:numId w:val="11"/>
              </w:numPr>
              <w:tabs>
                <w:tab w:val="left" w:pos="2256"/>
              </w:tabs>
              <w:spacing w:line="360" w:lineRule="auto"/>
              <w:jc w:val="center"/>
              <w:rPr>
                <w:b/>
                <w:sz w:val="28"/>
                <w:szCs w:val="28"/>
                <w:lang w:val="en-US"/>
              </w:rPr>
            </w:pPr>
            <w:r w:rsidRPr="00F90B6B">
              <w:rPr>
                <w:i/>
                <w:sz w:val="28"/>
                <w:szCs w:val="28"/>
                <w:lang w:val="uk-UA"/>
              </w:rPr>
              <w:t xml:space="preserve">Клас </w:t>
            </w:r>
            <w:r w:rsidRPr="00F90B6B">
              <w:rPr>
                <w:i/>
                <w:sz w:val="28"/>
                <w:szCs w:val="28"/>
                <w:lang w:val="en-US"/>
              </w:rPr>
              <w:t>IV</w:t>
            </w:r>
          </w:p>
        </w:tc>
        <w:tc>
          <w:tcPr>
            <w:tcW w:w="2067" w:type="dxa"/>
          </w:tcPr>
          <w:p w:rsidR="00EF4063" w:rsidRPr="00F90B6B" w:rsidRDefault="00EF4063" w:rsidP="00FB4A39">
            <w:pPr>
              <w:pStyle w:val="Style78"/>
              <w:spacing w:line="360" w:lineRule="auto"/>
              <w:ind w:firstLine="0"/>
              <w:rPr>
                <w:sz w:val="28"/>
                <w:szCs w:val="28"/>
                <w:lang w:val="uk-UA"/>
              </w:rPr>
            </w:pPr>
          </w:p>
          <w:p w:rsidR="00EF4063" w:rsidRPr="00F90B6B" w:rsidRDefault="00EF4063" w:rsidP="00F0048B">
            <w:pPr>
              <w:pStyle w:val="Style78"/>
              <w:spacing w:line="360" w:lineRule="auto"/>
              <w:ind w:firstLine="0"/>
              <w:jc w:val="center"/>
              <w:rPr>
                <w:sz w:val="28"/>
                <w:szCs w:val="28"/>
                <w:lang w:val="en-US"/>
              </w:rPr>
            </w:pPr>
            <w:r w:rsidRPr="00F90B6B">
              <w:rPr>
                <w:sz w:val="28"/>
                <w:szCs w:val="28"/>
                <w:lang w:val="uk-UA"/>
              </w:rPr>
              <w:t>10</w:t>
            </w:r>
          </w:p>
          <w:p w:rsidR="00EF4063" w:rsidRPr="00F90B6B" w:rsidRDefault="00EF4063" w:rsidP="00F0048B">
            <w:pPr>
              <w:pStyle w:val="Style78"/>
              <w:spacing w:line="360" w:lineRule="auto"/>
              <w:ind w:firstLine="0"/>
              <w:jc w:val="center"/>
              <w:rPr>
                <w:sz w:val="28"/>
                <w:szCs w:val="28"/>
                <w:lang w:val="en-US"/>
              </w:rPr>
            </w:pPr>
            <w:r w:rsidRPr="00F90B6B">
              <w:rPr>
                <w:sz w:val="28"/>
                <w:szCs w:val="28"/>
                <w:lang w:val="uk-UA"/>
              </w:rPr>
              <w:t>56</w:t>
            </w:r>
          </w:p>
          <w:p w:rsidR="00EF4063" w:rsidRPr="00F90B6B" w:rsidRDefault="00EF4063" w:rsidP="00F0048B">
            <w:pPr>
              <w:pStyle w:val="Style78"/>
              <w:spacing w:line="360" w:lineRule="auto"/>
              <w:ind w:firstLine="0"/>
              <w:jc w:val="center"/>
              <w:rPr>
                <w:sz w:val="28"/>
                <w:szCs w:val="28"/>
                <w:lang w:val="en-US"/>
              </w:rPr>
            </w:pPr>
            <w:r w:rsidRPr="00F90B6B">
              <w:rPr>
                <w:sz w:val="28"/>
                <w:szCs w:val="28"/>
                <w:lang w:val="uk-UA"/>
              </w:rPr>
              <w:t>112</w:t>
            </w:r>
          </w:p>
          <w:p w:rsidR="00EF4063" w:rsidRPr="00F90B6B" w:rsidRDefault="00EF4063" w:rsidP="00F0048B">
            <w:pPr>
              <w:pStyle w:val="Style78"/>
              <w:spacing w:line="360" w:lineRule="auto"/>
              <w:ind w:firstLine="0"/>
              <w:jc w:val="center"/>
              <w:rPr>
                <w:sz w:val="28"/>
                <w:szCs w:val="28"/>
                <w:lang w:val="en-US"/>
              </w:rPr>
            </w:pPr>
            <w:r w:rsidRPr="00F90B6B">
              <w:rPr>
                <w:sz w:val="28"/>
                <w:szCs w:val="28"/>
                <w:lang w:val="uk-UA"/>
              </w:rPr>
              <w:t>39</w:t>
            </w:r>
          </w:p>
        </w:tc>
        <w:tc>
          <w:tcPr>
            <w:tcW w:w="3285" w:type="dxa"/>
          </w:tcPr>
          <w:p w:rsidR="00EF4063" w:rsidRPr="00F90B6B" w:rsidRDefault="00EF4063" w:rsidP="00FB4A39">
            <w:pPr>
              <w:pStyle w:val="Style78"/>
              <w:spacing w:line="360" w:lineRule="auto"/>
              <w:ind w:firstLine="0"/>
              <w:rPr>
                <w:sz w:val="28"/>
                <w:szCs w:val="28"/>
                <w:lang w:val="uk-UA"/>
              </w:rPr>
            </w:pPr>
          </w:p>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4,6</w:t>
            </w:r>
          </w:p>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25,8</w:t>
            </w:r>
          </w:p>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51,6</w:t>
            </w:r>
          </w:p>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18,0</w:t>
            </w:r>
          </w:p>
        </w:tc>
      </w:tr>
      <w:tr w:rsidR="00EF4063" w:rsidRPr="00F90B6B" w:rsidTr="0076299F">
        <w:tc>
          <w:tcPr>
            <w:tcW w:w="4503" w:type="dxa"/>
          </w:tcPr>
          <w:p w:rsidR="00EF4063" w:rsidRPr="00F90B6B" w:rsidRDefault="00EF4063" w:rsidP="00F0048B">
            <w:pPr>
              <w:pStyle w:val="Style78"/>
              <w:tabs>
                <w:tab w:val="left" w:pos="2256"/>
              </w:tabs>
              <w:spacing w:line="360" w:lineRule="auto"/>
              <w:ind w:firstLine="0"/>
              <w:jc w:val="center"/>
              <w:rPr>
                <w:i/>
                <w:sz w:val="28"/>
                <w:szCs w:val="28"/>
                <w:lang w:val="uk-UA"/>
              </w:rPr>
            </w:pPr>
            <w:r w:rsidRPr="00F90B6B">
              <w:rPr>
                <w:i/>
                <w:sz w:val="28"/>
                <w:szCs w:val="28"/>
                <w:lang w:val="uk-UA"/>
              </w:rPr>
              <w:t>Паління</w:t>
            </w:r>
          </w:p>
        </w:tc>
        <w:tc>
          <w:tcPr>
            <w:tcW w:w="2067" w:type="dxa"/>
          </w:tcPr>
          <w:p w:rsidR="00EF4063" w:rsidRPr="00F90B6B" w:rsidRDefault="00EF4063" w:rsidP="00F0048B">
            <w:pPr>
              <w:pStyle w:val="Style78"/>
              <w:spacing w:line="360" w:lineRule="auto"/>
              <w:ind w:firstLine="0"/>
              <w:jc w:val="center"/>
              <w:rPr>
                <w:sz w:val="28"/>
                <w:szCs w:val="28"/>
                <w:lang w:val="en-US"/>
              </w:rPr>
            </w:pPr>
            <w:r w:rsidRPr="00F90B6B">
              <w:rPr>
                <w:sz w:val="28"/>
                <w:szCs w:val="28"/>
                <w:lang w:val="uk-UA"/>
              </w:rPr>
              <w:t>78</w:t>
            </w:r>
          </w:p>
        </w:tc>
        <w:tc>
          <w:tcPr>
            <w:tcW w:w="3285" w:type="dxa"/>
          </w:tcPr>
          <w:p w:rsidR="00EF4063" w:rsidRPr="00F90B6B" w:rsidRDefault="00EF4063" w:rsidP="00F0048B">
            <w:pPr>
              <w:pStyle w:val="Style78"/>
              <w:spacing w:line="360" w:lineRule="auto"/>
              <w:ind w:firstLine="0"/>
              <w:jc w:val="center"/>
              <w:rPr>
                <w:sz w:val="28"/>
                <w:szCs w:val="28"/>
                <w:lang w:val="en-US"/>
              </w:rPr>
            </w:pPr>
            <w:r w:rsidRPr="00F90B6B">
              <w:rPr>
                <w:sz w:val="28"/>
                <w:szCs w:val="28"/>
                <w:lang w:val="uk-UA"/>
              </w:rPr>
              <w:t>35,9</w:t>
            </w:r>
          </w:p>
        </w:tc>
      </w:tr>
      <w:tr w:rsidR="00EF4063" w:rsidRPr="00F90B6B" w:rsidTr="0076299F">
        <w:tc>
          <w:tcPr>
            <w:tcW w:w="4503" w:type="dxa"/>
          </w:tcPr>
          <w:p w:rsidR="00EF4063" w:rsidRPr="00F90B6B" w:rsidRDefault="00EF4063" w:rsidP="00F0048B">
            <w:pPr>
              <w:pStyle w:val="Style78"/>
              <w:tabs>
                <w:tab w:val="left" w:pos="2256"/>
              </w:tabs>
              <w:spacing w:line="360" w:lineRule="auto"/>
              <w:ind w:firstLine="0"/>
              <w:jc w:val="center"/>
              <w:rPr>
                <w:i/>
                <w:sz w:val="28"/>
                <w:szCs w:val="28"/>
                <w:lang w:val="uk-UA"/>
              </w:rPr>
            </w:pPr>
            <w:r w:rsidRPr="00F90B6B">
              <w:rPr>
                <w:i/>
                <w:sz w:val="28"/>
                <w:szCs w:val="28"/>
                <w:lang w:val="uk-UA"/>
              </w:rPr>
              <w:t>Гіподинамія</w:t>
            </w:r>
          </w:p>
        </w:tc>
        <w:tc>
          <w:tcPr>
            <w:tcW w:w="2067"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139</w:t>
            </w:r>
          </w:p>
        </w:tc>
        <w:tc>
          <w:tcPr>
            <w:tcW w:w="3285" w:type="dxa"/>
          </w:tcPr>
          <w:p w:rsidR="00EF4063" w:rsidRPr="00F90B6B" w:rsidRDefault="00EF4063" w:rsidP="00F0048B">
            <w:pPr>
              <w:pStyle w:val="Style78"/>
              <w:spacing w:line="360" w:lineRule="auto"/>
              <w:ind w:firstLine="0"/>
              <w:jc w:val="center"/>
              <w:rPr>
                <w:sz w:val="28"/>
                <w:szCs w:val="28"/>
                <w:lang w:val="uk-UA"/>
              </w:rPr>
            </w:pPr>
            <w:r w:rsidRPr="00F90B6B">
              <w:rPr>
                <w:sz w:val="28"/>
                <w:szCs w:val="28"/>
                <w:lang w:val="uk-UA"/>
              </w:rPr>
              <w:t>64,0</w:t>
            </w:r>
          </w:p>
        </w:tc>
      </w:tr>
    </w:tbl>
    <w:p w:rsidR="00FB4A39" w:rsidRPr="00F90B6B" w:rsidRDefault="00FB4A39" w:rsidP="00F0048B">
      <w:pPr>
        <w:pStyle w:val="Style78"/>
        <w:spacing w:line="360" w:lineRule="auto"/>
        <w:ind w:firstLine="709"/>
        <w:jc w:val="both"/>
        <w:rPr>
          <w:sz w:val="28"/>
          <w:szCs w:val="28"/>
        </w:rPr>
      </w:pPr>
    </w:p>
    <w:p w:rsidR="00EF4063" w:rsidRPr="00F90B6B" w:rsidRDefault="00EF4063" w:rsidP="00F0048B">
      <w:pPr>
        <w:pStyle w:val="Style78"/>
        <w:spacing w:line="360" w:lineRule="auto"/>
        <w:ind w:firstLine="709"/>
        <w:jc w:val="both"/>
        <w:rPr>
          <w:sz w:val="28"/>
          <w:szCs w:val="28"/>
          <w:lang w:val="uk-UA"/>
        </w:rPr>
      </w:pPr>
      <w:r w:rsidRPr="00F90B6B">
        <w:rPr>
          <w:sz w:val="28"/>
          <w:szCs w:val="28"/>
        </w:rPr>
        <w:t xml:space="preserve">Гіпертонічна хвороба </w:t>
      </w:r>
      <w:r w:rsidRPr="00F90B6B">
        <w:rPr>
          <w:sz w:val="28"/>
          <w:szCs w:val="28"/>
          <w:lang w:val="uk-UA"/>
        </w:rPr>
        <w:t xml:space="preserve">діагностована </w:t>
      </w:r>
      <w:r w:rsidRPr="00F90B6B">
        <w:rPr>
          <w:sz w:val="28"/>
          <w:szCs w:val="28"/>
        </w:rPr>
        <w:t xml:space="preserve">у </w:t>
      </w:r>
      <w:r w:rsidRPr="00F90B6B">
        <w:rPr>
          <w:sz w:val="28"/>
          <w:szCs w:val="28"/>
          <w:lang w:val="uk-UA"/>
        </w:rPr>
        <w:t xml:space="preserve">130 (60,0%). </w:t>
      </w:r>
      <w:r w:rsidRPr="00F90B6B">
        <w:rPr>
          <w:sz w:val="28"/>
          <w:szCs w:val="28"/>
        </w:rPr>
        <w:t>Сер</w:t>
      </w:r>
      <w:r w:rsidRPr="00F90B6B">
        <w:rPr>
          <w:sz w:val="28"/>
          <w:szCs w:val="28"/>
          <w:lang w:val="uk-UA"/>
        </w:rPr>
        <w:t xml:space="preserve">цева недостатність І функціонального класу (ФК) </w:t>
      </w:r>
      <w:r w:rsidRPr="00F90B6B">
        <w:rPr>
          <w:sz w:val="28"/>
          <w:szCs w:val="28"/>
        </w:rPr>
        <w:t xml:space="preserve">діагностована у </w:t>
      </w:r>
      <w:r w:rsidRPr="00F90B6B">
        <w:rPr>
          <w:sz w:val="28"/>
          <w:szCs w:val="28"/>
          <w:lang w:val="uk-UA"/>
        </w:rPr>
        <w:t xml:space="preserve">10 хворих (4,6%), </w:t>
      </w:r>
      <w:r w:rsidRPr="00F90B6B">
        <w:rPr>
          <w:sz w:val="28"/>
          <w:szCs w:val="28"/>
        </w:rPr>
        <w:t xml:space="preserve">ІІ </w:t>
      </w:r>
      <w:r w:rsidRPr="00F90B6B">
        <w:rPr>
          <w:sz w:val="28"/>
          <w:szCs w:val="28"/>
          <w:lang w:val="uk-UA"/>
        </w:rPr>
        <w:t>ФК</w:t>
      </w:r>
      <w:r w:rsidRPr="00F90B6B">
        <w:rPr>
          <w:sz w:val="28"/>
          <w:szCs w:val="28"/>
        </w:rPr>
        <w:t xml:space="preserve"> </w:t>
      </w:r>
      <w:r w:rsidRPr="00F90B6B">
        <w:rPr>
          <w:sz w:val="28"/>
          <w:szCs w:val="28"/>
          <w:lang w:val="uk-UA"/>
        </w:rPr>
        <w:t>– у 56</w:t>
      </w:r>
      <w:r w:rsidRPr="00F90B6B">
        <w:rPr>
          <w:sz w:val="28"/>
          <w:szCs w:val="28"/>
        </w:rPr>
        <w:t xml:space="preserve"> (</w:t>
      </w:r>
      <w:r w:rsidRPr="00F90B6B">
        <w:rPr>
          <w:sz w:val="28"/>
          <w:szCs w:val="28"/>
          <w:lang w:val="uk-UA"/>
        </w:rPr>
        <w:t>25,8%) хворого</w:t>
      </w:r>
      <w:r w:rsidRPr="00F90B6B">
        <w:rPr>
          <w:sz w:val="28"/>
          <w:szCs w:val="28"/>
        </w:rPr>
        <w:t xml:space="preserve">, ІІІ - у </w:t>
      </w:r>
      <w:r w:rsidRPr="00F90B6B">
        <w:rPr>
          <w:sz w:val="28"/>
          <w:szCs w:val="28"/>
          <w:lang w:val="uk-UA"/>
        </w:rPr>
        <w:t>112</w:t>
      </w:r>
      <w:r w:rsidRPr="00F90B6B">
        <w:rPr>
          <w:sz w:val="28"/>
          <w:szCs w:val="28"/>
        </w:rPr>
        <w:t xml:space="preserve"> (</w:t>
      </w:r>
      <w:r w:rsidRPr="00F90B6B">
        <w:rPr>
          <w:sz w:val="28"/>
          <w:szCs w:val="28"/>
          <w:lang w:val="uk-UA"/>
        </w:rPr>
        <w:t xml:space="preserve">51,6%) пацієнтів, </w:t>
      </w:r>
      <w:r w:rsidRPr="00F90B6B">
        <w:rPr>
          <w:sz w:val="28"/>
          <w:szCs w:val="28"/>
          <w:lang w:val="en-US"/>
        </w:rPr>
        <w:t>IV</w:t>
      </w:r>
      <w:r w:rsidRPr="00F90B6B">
        <w:rPr>
          <w:sz w:val="28"/>
          <w:szCs w:val="28"/>
          <w:lang w:val="uk-UA"/>
        </w:rPr>
        <w:t>– у 39 (18,0%)</w:t>
      </w:r>
      <w:r w:rsidRPr="00F90B6B">
        <w:rPr>
          <w:sz w:val="28"/>
          <w:szCs w:val="28"/>
        </w:rPr>
        <w:t>. На паління вказали</w:t>
      </w:r>
      <w:r w:rsidRPr="00F90B6B">
        <w:rPr>
          <w:sz w:val="28"/>
          <w:szCs w:val="28"/>
          <w:lang w:val="uk-UA"/>
        </w:rPr>
        <w:t xml:space="preserve"> 78</w:t>
      </w:r>
      <w:r w:rsidRPr="00F90B6B">
        <w:rPr>
          <w:sz w:val="28"/>
          <w:szCs w:val="28"/>
        </w:rPr>
        <w:t xml:space="preserve"> (</w:t>
      </w:r>
      <w:r w:rsidRPr="00F90B6B">
        <w:rPr>
          <w:sz w:val="28"/>
          <w:szCs w:val="28"/>
          <w:lang w:val="uk-UA"/>
        </w:rPr>
        <w:t xml:space="preserve">35,6%) </w:t>
      </w:r>
      <w:r w:rsidRPr="00F90B6B">
        <w:rPr>
          <w:sz w:val="28"/>
          <w:szCs w:val="28"/>
        </w:rPr>
        <w:t>пац</w:t>
      </w:r>
      <w:r w:rsidRPr="00F90B6B">
        <w:rPr>
          <w:sz w:val="28"/>
          <w:szCs w:val="28"/>
          <w:lang w:val="uk-UA"/>
        </w:rPr>
        <w:t>ієнтів, на гіподинамію – 139 (64,0%) табл. 3.5.2.</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За аналізу причин декомпенсації серцевої недостатності в досліджуваній когорті хворих було встановлено, що за наявності ожиріння (ІМТ більше 30 кг/м</w:t>
      </w:r>
      <w:r w:rsidRPr="00F90B6B">
        <w:rPr>
          <w:sz w:val="28"/>
          <w:szCs w:val="28"/>
          <w:vertAlign w:val="superscript"/>
          <w:lang w:val="uk-UA"/>
        </w:rPr>
        <w:t>2</w:t>
      </w:r>
      <w:r w:rsidRPr="00F90B6B">
        <w:rPr>
          <w:sz w:val="28"/>
          <w:szCs w:val="28"/>
          <w:lang w:val="uk-UA"/>
        </w:rPr>
        <w:t>) частота декомпенсації ХСН була на 11,0% вищою (</w:t>
      </w:r>
      <w:r w:rsidRPr="00F90B6B">
        <w:rPr>
          <w:sz w:val="28"/>
          <w:szCs w:val="28"/>
          <w:lang w:val="en-US"/>
        </w:rPr>
        <w:t>AR</w:t>
      </w:r>
      <w:r w:rsidRPr="00F90B6B">
        <w:rPr>
          <w:sz w:val="28"/>
          <w:szCs w:val="28"/>
          <w:lang w:val="uk-UA"/>
        </w:rPr>
        <w:t xml:space="preserve"> - 28,0% проти 17,0%, </w:t>
      </w:r>
      <w:r w:rsidRPr="00F90B6B">
        <w:rPr>
          <w:sz w:val="28"/>
          <w:szCs w:val="28"/>
          <w:lang w:val="en-US"/>
        </w:rPr>
        <w:t>RR</w:t>
      </w:r>
      <w:r w:rsidRPr="00F90B6B">
        <w:rPr>
          <w:sz w:val="28"/>
          <w:szCs w:val="28"/>
          <w:lang w:val="uk-UA"/>
        </w:rPr>
        <w:t xml:space="preserve"> - 1,67[0,82-3,37], </w:t>
      </w:r>
      <w:r w:rsidRPr="00F90B6B">
        <w:rPr>
          <w:sz w:val="28"/>
          <w:szCs w:val="28"/>
          <w:lang w:val="en-US"/>
        </w:rPr>
        <w:t>OR</w:t>
      </w:r>
      <w:r w:rsidRPr="00F90B6B">
        <w:rPr>
          <w:sz w:val="28"/>
          <w:szCs w:val="28"/>
          <w:lang w:val="uk-UA"/>
        </w:rPr>
        <w:t xml:space="preserve"> - 1,93[0,81-4,53]), проте вірогідний показник смертності при ХСН був виявлений саме за наявності абдомінального ожиріння (AR - 30,0% проти 11,0%, </w:t>
      </w:r>
      <w:r w:rsidRPr="00F90B6B">
        <w:rPr>
          <w:sz w:val="28"/>
          <w:szCs w:val="28"/>
          <w:lang w:val="en-US"/>
        </w:rPr>
        <w:t>RR</w:t>
      </w:r>
      <w:r w:rsidRPr="00F90B6B">
        <w:rPr>
          <w:sz w:val="28"/>
          <w:szCs w:val="28"/>
          <w:lang w:val="uk-UA"/>
        </w:rPr>
        <w:t xml:space="preserve"> - 2,72[1,25-5,93], </w:t>
      </w:r>
      <w:r w:rsidRPr="00F90B6B">
        <w:rPr>
          <w:sz w:val="28"/>
          <w:szCs w:val="28"/>
          <w:lang w:val="en-US"/>
        </w:rPr>
        <w:t>OR</w:t>
      </w:r>
      <w:r w:rsidRPr="00F90B6B">
        <w:rPr>
          <w:sz w:val="28"/>
          <w:szCs w:val="28"/>
          <w:lang w:val="uk-UA"/>
        </w:rPr>
        <w:t xml:space="preserve"> - 3,44[1,41-8,39], </w:t>
      </w:r>
      <w:r w:rsidRPr="00F90B6B">
        <w:rPr>
          <w:sz w:val="28"/>
          <w:szCs w:val="28"/>
          <w:lang w:val="en-US"/>
        </w:rPr>
        <w:t>p</w:t>
      </w:r>
      <w:r w:rsidRPr="00F90B6B">
        <w:rPr>
          <w:sz w:val="28"/>
          <w:szCs w:val="28"/>
          <w:lang w:val="uk-UA"/>
        </w:rPr>
        <w:t>&lt;0,05), табл. 3.5.3.</w:t>
      </w:r>
    </w:p>
    <w:p w:rsidR="00FB4A39" w:rsidRPr="00F90B6B" w:rsidRDefault="00FB4A39" w:rsidP="00F0048B">
      <w:pPr>
        <w:spacing w:after="0" w:line="360" w:lineRule="auto"/>
        <w:jc w:val="right"/>
        <w:rPr>
          <w:rFonts w:ascii="Times New Roman" w:hAnsi="Times New Roman"/>
          <w:i/>
          <w:sz w:val="28"/>
          <w:szCs w:val="28"/>
          <w:lang w:val="ru-RU" w:eastAsia="ru-RU"/>
        </w:rPr>
      </w:pPr>
    </w:p>
    <w:p w:rsidR="00EF4063" w:rsidRPr="00F90B6B" w:rsidRDefault="00EF4063" w:rsidP="00F0048B">
      <w:pPr>
        <w:spacing w:after="0" w:line="360" w:lineRule="auto"/>
        <w:jc w:val="right"/>
        <w:rPr>
          <w:rFonts w:ascii="Times New Roman" w:hAnsi="Times New Roman"/>
          <w:i/>
          <w:sz w:val="28"/>
          <w:szCs w:val="28"/>
          <w:lang w:eastAsia="ru-RU"/>
        </w:rPr>
      </w:pPr>
      <w:r w:rsidRPr="00F90B6B">
        <w:rPr>
          <w:rFonts w:ascii="Times New Roman" w:hAnsi="Times New Roman"/>
          <w:i/>
          <w:sz w:val="28"/>
          <w:szCs w:val="28"/>
          <w:lang w:eastAsia="ru-RU"/>
        </w:rPr>
        <w:lastRenderedPageBreak/>
        <w:t>Таблиця 3.5.3</w:t>
      </w:r>
    </w:p>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Частота серцево-судинної летальності внаслідок декомпенсації ХСН при 5-річному ретроспективному спостереженні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9"/>
        <w:gridCol w:w="1421"/>
        <w:gridCol w:w="2545"/>
        <w:gridCol w:w="2536"/>
      </w:tblGrid>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682" w:type="pct"/>
            <w:vAlign w:val="center"/>
          </w:tcPr>
          <w:p w:rsidR="00EF4063" w:rsidRPr="00F90B6B" w:rsidRDefault="00EF4063" w:rsidP="00FB4A39">
            <w:pPr>
              <w:spacing w:after="0" w:line="288"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1221" w:type="pct"/>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1217" w:type="pct"/>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Чоловіки</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34,0%</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1,94</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[1,28-2,94]</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2,42</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[1,41-4,15]</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Жінки</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17,0%</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 xml:space="preserve">Вік </w:t>
            </w:r>
            <w:r w:rsidRPr="00F90B6B">
              <w:rPr>
                <w:rFonts w:ascii="Times New Roman" w:hAnsi="Times New Roman"/>
                <w:i/>
                <w:sz w:val="28"/>
                <w:szCs w:val="28"/>
                <w:lang w:val="en-US"/>
              </w:rPr>
              <w:t>&gt;</w:t>
            </w:r>
            <w:r w:rsidRPr="00F90B6B">
              <w:rPr>
                <w:rFonts w:ascii="Times New Roman" w:hAnsi="Times New Roman"/>
                <w:i/>
                <w:sz w:val="28"/>
                <w:szCs w:val="28"/>
              </w:rPr>
              <w:t xml:space="preserve"> 65 років</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49,0%</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4,01</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[2,61-6,13]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6,86</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[3,90-12,1]</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 xml:space="preserve">Вік </w:t>
            </w:r>
            <w:r w:rsidRPr="00F90B6B">
              <w:rPr>
                <w:rFonts w:ascii="Times New Roman" w:hAnsi="Times New Roman"/>
                <w:i/>
                <w:sz w:val="28"/>
                <w:szCs w:val="28"/>
                <w:lang w:val="en-US"/>
              </w:rPr>
              <w:t>&lt;</w:t>
            </w:r>
            <w:r w:rsidRPr="00F90B6B">
              <w:rPr>
                <w:rFonts w:ascii="Times New Roman" w:hAnsi="Times New Roman"/>
                <w:i/>
                <w:sz w:val="28"/>
                <w:szCs w:val="28"/>
              </w:rPr>
              <w:t xml:space="preserve"> 65 років</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12,0%</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lang w:val="en-US"/>
              </w:rPr>
            </w:pPr>
            <w:r w:rsidRPr="00F90B6B">
              <w:rPr>
                <w:rFonts w:ascii="Times New Roman" w:hAnsi="Times New Roman"/>
                <w:i/>
                <w:sz w:val="28"/>
                <w:szCs w:val="28"/>
              </w:rPr>
              <w:t>Цукровий діабет</w:t>
            </w:r>
          </w:p>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Виявлено</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56,0%</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3,12</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[2,21-4,40]</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5,80</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[3,25-10,3]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Цукровий діабет не виявлено</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18,0%</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ІМТ≥30 кг/м</w:t>
            </w:r>
            <w:r w:rsidRPr="00F90B6B">
              <w:rPr>
                <w:rFonts w:ascii="Times New Roman" w:hAnsi="Times New Roman"/>
                <w:i/>
                <w:sz w:val="28"/>
                <w:szCs w:val="28"/>
                <w:vertAlign w:val="superscript"/>
              </w:rPr>
              <w:t>2</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28</w:t>
            </w:r>
            <w:r w:rsidRPr="00F90B6B">
              <w:rPr>
                <w:rFonts w:ascii="Times New Roman" w:hAnsi="Times New Roman"/>
                <w:sz w:val="28"/>
                <w:szCs w:val="28"/>
                <w:lang w:val="en-US"/>
              </w:rPr>
              <w:t>,0%</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1,67</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[0,82-3,37]</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p&gt;0,05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1,93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[0,81-4,53]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p&gt;0,05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ІМТ≤25 кг/м</w:t>
            </w:r>
            <w:r w:rsidRPr="00F90B6B">
              <w:rPr>
                <w:rFonts w:ascii="Times New Roman" w:hAnsi="Times New Roman"/>
                <w:i/>
                <w:sz w:val="28"/>
                <w:szCs w:val="28"/>
                <w:vertAlign w:val="superscript"/>
              </w:rPr>
              <w:t>2</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17,0%</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Абдомінальне ожиріння</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30,0%</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2,72</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[1,25-5,93]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3,44</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[1,41-8,39]</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Пропорційне збільшення ваги</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11,0%</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Гіпертонічна хвороба</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11,0%</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0,33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[0,21-0,53]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0,24</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[0,13-0,43]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Нормальний АТ</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35,0%</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Курці</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32,0</w:t>
            </w:r>
            <w:r w:rsidRPr="00F90B6B">
              <w:rPr>
                <w:rFonts w:ascii="Times New Roman" w:hAnsi="Times New Roman"/>
                <w:sz w:val="28"/>
                <w:szCs w:val="28"/>
              </w:rPr>
              <w:t>%</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1,40</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[0,97-2,03]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p&gt;0,05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1,59</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[0,94-2,67]</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p&gt;0,05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Не курці</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23,0</w:t>
            </w:r>
            <w:r w:rsidRPr="00F90B6B">
              <w:rPr>
                <w:rFonts w:ascii="Times New Roman" w:hAnsi="Times New Roman"/>
                <w:sz w:val="28"/>
                <w:szCs w:val="28"/>
              </w:rPr>
              <w:t>%</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Знижена фізична активність</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29</w:t>
            </w:r>
            <w:r w:rsidRPr="00F90B6B">
              <w:rPr>
                <w:rFonts w:ascii="Times New Roman" w:hAnsi="Times New Roman"/>
                <w:sz w:val="28"/>
                <w:szCs w:val="28"/>
                <w:lang w:val="en-US"/>
              </w:rPr>
              <w:t>,0%</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1,40</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[0,92-2,14]</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p&gt;0,05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1,57</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[0,90-2,72]</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p&gt;0,05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Адекватна фізична активність</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21,0%</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ХСН високих функціональних класів</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31,0</w:t>
            </w:r>
            <w:r w:rsidRPr="00F90B6B">
              <w:rPr>
                <w:rFonts w:ascii="Times New Roman" w:hAnsi="Times New Roman"/>
                <w:sz w:val="28"/>
                <w:szCs w:val="28"/>
              </w:rPr>
              <w:t>%</w:t>
            </w:r>
          </w:p>
        </w:tc>
        <w:tc>
          <w:tcPr>
            <w:tcW w:w="1221"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1,90</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[1,16-3,10]</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1217"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2,30</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[1,25-4,23]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FB4A39">
        <w:tc>
          <w:tcPr>
            <w:tcW w:w="1880"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ХСН високих функціональних низьких класів</w:t>
            </w:r>
          </w:p>
        </w:tc>
        <w:tc>
          <w:tcPr>
            <w:tcW w:w="6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16,0</w:t>
            </w:r>
            <w:r w:rsidRPr="00F90B6B">
              <w:rPr>
                <w:rFonts w:ascii="Times New Roman" w:hAnsi="Times New Roman"/>
                <w:sz w:val="28"/>
                <w:szCs w:val="28"/>
              </w:rPr>
              <w:t>%</w:t>
            </w:r>
          </w:p>
        </w:tc>
        <w:tc>
          <w:tcPr>
            <w:tcW w:w="1221" w:type="pct"/>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1217" w:type="pct"/>
            <w:vMerge/>
            <w:vAlign w:val="center"/>
          </w:tcPr>
          <w:p w:rsidR="00EF4063" w:rsidRPr="00F90B6B" w:rsidRDefault="00EF4063" w:rsidP="00FB4A39">
            <w:pPr>
              <w:spacing w:after="0" w:line="288" w:lineRule="auto"/>
              <w:rPr>
                <w:rFonts w:ascii="Times New Roman" w:hAnsi="Times New Roman"/>
                <w:sz w:val="28"/>
                <w:szCs w:val="28"/>
                <w:lang w:val="en-US"/>
              </w:rPr>
            </w:pPr>
          </w:p>
        </w:tc>
      </w:tr>
    </w:tbl>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en-US" w:eastAsia="uk-UA"/>
        </w:rPr>
        <w:t>p</w:t>
      </w:r>
      <w:r w:rsidRPr="00F90B6B">
        <w:rPr>
          <w:sz w:val="28"/>
          <w:szCs w:val="28"/>
          <w:lang w:eastAsia="uk-UA"/>
        </w:rPr>
        <w:t xml:space="preserve"> – </w:t>
      </w:r>
      <w:r w:rsidRPr="00F90B6B">
        <w:rPr>
          <w:sz w:val="28"/>
          <w:szCs w:val="28"/>
          <w:lang w:val="uk-UA" w:eastAsia="uk-UA"/>
        </w:rPr>
        <w:t>вірогідність різниці показників</w:t>
      </w:r>
      <w:r w:rsidRPr="00F90B6B">
        <w:rPr>
          <w:sz w:val="28"/>
          <w:szCs w:val="28"/>
          <w:lang w:eastAsia="uk-UA"/>
        </w:rPr>
        <w:t>.</w:t>
      </w:r>
    </w:p>
    <w:p w:rsidR="00FB4A39" w:rsidRPr="00F90B6B" w:rsidRDefault="00FB4A39" w:rsidP="00F0048B">
      <w:pPr>
        <w:pStyle w:val="Style78"/>
        <w:spacing w:line="360" w:lineRule="auto"/>
        <w:ind w:firstLine="709"/>
        <w:jc w:val="both"/>
        <w:rPr>
          <w:sz w:val="28"/>
          <w:szCs w:val="28"/>
        </w:rPr>
      </w:pPr>
    </w:p>
    <w:p w:rsidR="00FB4A39" w:rsidRPr="00F90B6B" w:rsidRDefault="00FB4A39" w:rsidP="00F0048B">
      <w:pPr>
        <w:pStyle w:val="Style78"/>
        <w:spacing w:line="360" w:lineRule="auto"/>
        <w:ind w:firstLine="709"/>
        <w:jc w:val="both"/>
        <w:rPr>
          <w:sz w:val="28"/>
          <w:szCs w:val="28"/>
        </w:rPr>
      </w:pPr>
    </w:p>
    <w:p w:rsidR="00EF4063" w:rsidRPr="00F90B6B" w:rsidRDefault="00EF4063" w:rsidP="00F0048B">
      <w:pPr>
        <w:pStyle w:val="Style78"/>
        <w:spacing w:line="360" w:lineRule="auto"/>
        <w:ind w:firstLine="709"/>
        <w:jc w:val="both"/>
        <w:rPr>
          <w:sz w:val="28"/>
          <w:szCs w:val="28"/>
          <w:lang w:val="uk-UA"/>
        </w:rPr>
      </w:pPr>
      <w:r w:rsidRPr="00F90B6B">
        <w:rPr>
          <w:sz w:val="28"/>
          <w:szCs w:val="28"/>
        </w:rPr>
        <w:lastRenderedPageBreak/>
        <w:t xml:space="preserve">Логарифмічна крива </w:t>
      </w:r>
      <w:r w:rsidRPr="00F90B6B">
        <w:rPr>
          <w:sz w:val="28"/>
          <w:szCs w:val="28"/>
          <w:lang w:val="uk-UA"/>
        </w:rPr>
        <w:t>ризику</w:t>
      </w:r>
      <w:r w:rsidRPr="00F90B6B">
        <w:rPr>
          <w:sz w:val="28"/>
          <w:szCs w:val="28"/>
        </w:rPr>
        <w:t xml:space="preserve"> </w:t>
      </w:r>
      <w:r w:rsidRPr="00F90B6B">
        <w:rPr>
          <w:sz w:val="28"/>
          <w:szCs w:val="28"/>
          <w:lang w:val="uk-UA"/>
        </w:rPr>
        <w:t>декомпенсації ХСН</w:t>
      </w:r>
      <w:r w:rsidRPr="00F90B6B">
        <w:rPr>
          <w:sz w:val="28"/>
          <w:szCs w:val="28"/>
        </w:rPr>
        <w:t xml:space="preserve"> </w:t>
      </w:r>
      <w:r w:rsidRPr="00F90B6B">
        <w:rPr>
          <w:sz w:val="28"/>
          <w:szCs w:val="28"/>
          <w:lang w:val="uk-UA"/>
        </w:rPr>
        <w:t xml:space="preserve">за наявності абдомінального ожиріння </w:t>
      </w:r>
      <w:r w:rsidRPr="00F90B6B">
        <w:rPr>
          <w:sz w:val="28"/>
          <w:szCs w:val="28"/>
        </w:rPr>
        <w:t xml:space="preserve">представлена на </w:t>
      </w:r>
      <w:r w:rsidRPr="00F90B6B">
        <w:rPr>
          <w:sz w:val="28"/>
          <w:szCs w:val="28"/>
          <w:lang w:val="uk-UA"/>
        </w:rPr>
        <w:t>рисунку 3.5.1</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Вірогідність прогресування та декомпенсації ХСН на фоні цукрового діабету склала 56,0% супроти 18,0%, відносний ризик - 3,12 [2,21-4,40], відношення шансів - 5,80 [3,25-10,3], р&lt;0,05. Гендерною особливістю був більший ризик серцево-судинної смертності з декомпенсацією ХСН у осіб чоловічої статі зі збільшенням абсолютного ризику на 17,0% (RR - 1,94 [1,28-2,94], OR - 2,42 [1,41-4,15], p&lt;0,05).</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 xml:space="preserve">У осіб віком більше 65 років </w:t>
      </w:r>
      <w:r w:rsidRPr="00F90B6B">
        <w:rPr>
          <w:sz w:val="28"/>
          <w:szCs w:val="28"/>
        </w:rPr>
        <w:t>absolute</w:t>
      </w:r>
      <w:r w:rsidRPr="00F90B6B">
        <w:rPr>
          <w:sz w:val="28"/>
          <w:szCs w:val="28"/>
          <w:lang w:val="uk-UA"/>
        </w:rPr>
        <w:t xml:space="preserve"> </w:t>
      </w:r>
      <w:r w:rsidRPr="00F90B6B">
        <w:rPr>
          <w:sz w:val="28"/>
          <w:szCs w:val="28"/>
        </w:rPr>
        <w:t>risk</w:t>
      </w:r>
      <w:r w:rsidRPr="00F90B6B">
        <w:rPr>
          <w:sz w:val="28"/>
          <w:szCs w:val="28"/>
          <w:lang w:val="uk-UA"/>
        </w:rPr>
        <w:t xml:space="preserve"> (</w:t>
      </w:r>
      <w:r w:rsidRPr="00F90B6B">
        <w:rPr>
          <w:sz w:val="28"/>
          <w:szCs w:val="28"/>
          <w:lang w:val="en-US"/>
        </w:rPr>
        <w:t>AR</w:t>
      </w:r>
      <w:r w:rsidRPr="00F90B6B">
        <w:rPr>
          <w:sz w:val="28"/>
          <w:szCs w:val="28"/>
          <w:lang w:val="uk-UA"/>
        </w:rPr>
        <w:t xml:space="preserve">) гострої декомпенсації ХСН складав 49,0% проти 19,0%, </w:t>
      </w:r>
      <w:r w:rsidRPr="00F90B6B">
        <w:rPr>
          <w:sz w:val="28"/>
          <w:szCs w:val="28"/>
        </w:rPr>
        <w:t>RR</w:t>
      </w:r>
      <w:r w:rsidRPr="00F90B6B">
        <w:rPr>
          <w:sz w:val="28"/>
          <w:szCs w:val="28"/>
          <w:lang w:val="uk-UA"/>
        </w:rPr>
        <w:t xml:space="preserve"> - 4,01 [2,61-6,13], </w:t>
      </w:r>
      <w:r w:rsidRPr="00F90B6B">
        <w:rPr>
          <w:sz w:val="28"/>
          <w:szCs w:val="28"/>
        </w:rPr>
        <w:t>OR</w:t>
      </w:r>
      <w:r w:rsidRPr="00F90B6B">
        <w:rPr>
          <w:sz w:val="28"/>
          <w:szCs w:val="28"/>
          <w:lang w:val="uk-UA"/>
        </w:rPr>
        <w:t xml:space="preserve"> - 6,86 [3,90-12,1], р&lt;0,05. З традиційних чинників ризику відмічено тенденцію щодо декомпенсації ХСН при індексі курця більше 10 пачок/років та при низькій фізичній активності (менше як 2 рази на тиждень по 30 хвилин), проте отримані дані буди невірогідними.</w:t>
      </w:r>
    </w:p>
    <w:p w:rsidR="00EF4063" w:rsidRPr="00F90B6B" w:rsidRDefault="00EF4063" w:rsidP="00F0048B">
      <w:pPr>
        <w:pStyle w:val="Style78"/>
        <w:spacing w:line="360" w:lineRule="auto"/>
        <w:ind w:firstLine="709"/>
        <w:jc w:val="center"/>
        <w:rPr>
          <w:sz w:val="28"/>
          <w:szCs w:val="28"/>
        </w:rPr>
      </w:pPr>
      <w:r w:rsidRPr="00F90B6B">
        <w:rPr>
          <w:sz w:val="28"/>
          <w:szCs w:val="28"/>
        </w:rPr>
        <w:object w:dxaOrig="7605" w:dyaOrig="5730">
          <v:shape id="_x0000_i1132" type="#_x0000_t75" style="width:380.25pt;height:286.5pt" o:ole="">
            <v:imagedata r:id="rId263" o:title=""/>
          </v:shape>
          <o:OLEObject Type="Embed" ProgID="STATISTICA.Graph" ShapeID="_x0000_i1132" DrawAspect="Content" ObjectID="_1624460855" r:id="rId264">
            <o:FieldCodes>\s</o:FieldCodes>
          </o:OLEObject>
        </w:object>
      </w:r>
    </w:p>
    <w:p w:rsidR="00EF4063" w:rsidRPr="00F90B6B" w:rsidRDefault="00EF4063" w:rsidP="00F0048B">
      <w:pPr>
        <w:pStyle w:val="Style78"/>
        <w:spacing w:line="360" w:lineRule="auto"/>
        <w:ind w:firstLine="709"/>
        <w:jc w:val="both"/>
        <w:rPr>
          <w:sz w:val="28"/>
          <w:szCs w:val="28"/>
          <w:lang w:val="uk-UA"/>
        </w:rPr>
      </w:pPr>
      <w:r w:rsidRPr="00F90B6B">
        <w:rPr>
          <w:b/>
          <w:sz w:val="28"/>
          <w:szCs w:val="28"/>
        </w:rPr>
        <w:t xml:space="preserve">Рис. </w:t>
      </w:r>
      <w:r w:rsidRPr="00F90B6B">
        <w:rPr>
          <w:b/>
          <w:sz w:val="28"/>
          <w:szCs w:val="28"/>
          <w:lang w:val="uk-UA"/>
        </w:rPr>
        <w:t>3.5.</w:t>
      </w:r>
      <w:r w:rsidRPr="00F90B6B">
        <w:rPr>
          <w:b/>
          <w:sz w:val="28"/>
          <w:szCs w:val="28"/>
        </w:rPr>
        <w:t xml:space="preserve">1. </w:t>
      </w:r>
      <w:r w:rsidRPr="00F90B6B">
        <w:rPr>
          <w:sz w:val="28"/>
          <w:szCs w:val="28"/>
        </w:rPr>
        <w:t>Крива</w:t>
      </w:r>
      <w:r w:rsidRPr="00F90B6B">
        <w:rPr>
          <w:sz w:val="28"/>
          <w:szCs w:val="28"/>
          <w:lang w:val="uk-UA"/>
        </w:rPr>
        <w:t xml:space="preserve"> </w:t>
      </w:r>
      <w:r w:rsidRPr="00F90B6B">
        <w:rPr>
          <w:sz w:val="28"/>
          <w:szCs w:val="28"/>
        </w:rPr>
        <w:t>Каплана-Мейера для оц</w:t>
      </w:r>
      <w:r w:rsidRPr="00F90B6B">
        <w:rPr>
          <w:sz w:val="28"/>
          <w:szCs w:val="28"/>
          <w:lang w:val="uk-UA"/>
        </w:rPr>
        <w:t>і</w:t>
      </w:r>
      <w:r w:rsidRPr="00F90B6B">
        <w:rPr>
          <w:sz w:val="28"/>
          <w:szCs w:val="28"/>
        </w:rPr>
        <w:t xml:space="preserve">нки </w:t>
      </w:r>
      <w:r w:rsidRPr="00F90B6B">
        <w:rPr>
          <w:sz w:val="28"/>
          <w:szCs w:val="28"/>
          <w:lang w:val="uk-UA"/>
        </w:rPr>
        <w:t>вірогідності декомпенсації ХСН при ожирінні (ІМТ≥30 кг/м</w:t>
      </w:r>
      <w:r w:rsidRPr="00F90B6B">
        <w:rPr>
          <w:sz w:val="28"/>
          <w:szCs w:val="28"/>
          <w:vertAlign w:val="superscript"/>
          <w:lang w:val="uk-UA"/>
        </w:rPr>
        <w:t>2</w:t>
      </w:r>
      <w:r w:rsidRPr="00F90B6B">
        <w:rPr>
          <w:sz w:val="28"/>
          <w:szCs w:val="28"/>
          <w:lang w:val="uk-UA"/>
        </w:rPr>
        <w:t>) з абдомінальним типом розподілу</w:t>
      </w:r>
      <w:r w:rsidRPr="00F90B6B">
        <w:rPr>
          <w:sz w:val="28"/>
          <w:szCs w:val="28"/>
        </w:rPr>
        <w:t>.</w:t>
      </w:r>
    </w:p>
    <w:p w:rsidR="008F54E3" w:rsidRPr="00F90B6B" w:rsidRDefault="008F54E3" w:rsidP="00F0048B">
      <w:pPr>
        <w:pStyle w:val="Style78"/>
        <w:spacing w:line="360" w:lineRule="auto"/>
        <w:ind w:firstLine="709"/>
        <w:jc w:val="both"/>
        <w:rPr>
          <w:sz w:val="28"/>
          <w:szCs w:val="28"/>
          <w:lang w:val="uk-UA"/>
        </w:rPr>
      </w:pPr>
    </w:p>
    <w:p w:rsidR="00EF4063" w:rsidRPr="00F90B6B" w:rsidRDefault="00EF4063" w:rsidP="00F0048B">
      <w:pPr>
        <w:pStyle w:val="Style78"/>
        <w:spacing w:line="360" w:lineRule="auto"/>
        <w:ind w:firstLine="709"/>
        <w:jc w:val="both"/>
        <w:rPr>
          <w:sz w:val="28"/>
          <w:szCs w:val="28"/>
          <w:lang w:val="uk-UA"/>
        </w:rPr>
      </w:pPr>
      <w:r w:rsidRPr="00021D22">
        <w:rPr>
          <w:spacing w:val="-2"/>
          <w:sz w:val="28"/>
          <w:szCs w:val="28"/>
          <w:lang w:val="uk-UA"/>
        </w:rPr>
        <w:t>В той же час, наявність гіпертонічної хвороби не було фактором декомпенсації ХСН, проте наявність зниженого АТ більш часто асоціювалась з серцево-судинною смертністю від ХСН (AR - 11,0% проти 35,0%, RR - 0,33 [0,21-0,53],</w:t>
      </w:r>
      <w:r w:rsidRPr="00F90B6B">
        <w:rPr>
          <w:sz w:val="28"/>
          <w:szCs w:val="28"/>
          <w:lang w:val="uk-UA"/>
        </w:rPr>
        <w:t xml:space="preserve"> OR 0,24 </w:t>
      </w:r>
      <w:r w:rsidR="00021D22">
        <w:rPr>
          <w:sz w:val="28"/>
          <w:szCs w:val="28"/>
          <w:lang w:val="uk-UA"/>
        </w:rPr>
        <w:br/>
      </w:r>
      <w:r w:rsidRPr="00F90B6B">
        <w:rPr>
          <w:sz w:val="28"/>
          <w:szCs w:val="28"/>
          <w:lang w:val="uk-UA"/>
        </w:rPr>
        <w:lastRenderedPageBreak/>
        <w:t>[0,13-0,43], p&lt;0,05). Дані лінійної залежності для систолічного тиску наведені в таблиці 3.5.4. для діастолічного – в таблиці 3.5.5.</w:t>
      </w:r>
    </w:p>
    <w:p w:rsidR="00FB4A39" w:rsidRPr="00F90B6B" w:rsidRDefault="00FB4A39" w:rsidP="00F0048B">
      <w:pPr>
        <w:pStyle w:val="Style78"/>
        <w:spacing w:line="360" w:lineRule="auto"/>
        <w:ind w:firstLine="709"/>
        <w:jc w:val="both"/>
        <w:rPr>
          <w:sz w:val="28"/>
          <w:szCs w:val="28"/>
          <w:lang w:val="uk-UA"/>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3.5.4</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Співставлення серцево-судинної смертності з рівнем систолічного артеріального тиску при хронічній серцевій недостатності на тлі ожиріння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87"/>
        <w:gridCol w:w="2043"/>
        <w:gridCol w:w="1682"/>
        <w:gridCol w:w="2709"/>
      </w:tblGrid>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980"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АР,%</w:t>
            </w:r>
          </w:p>
        </w:tc>
        <w:tc>
          <w:tcPr>
            <w:tcW w:w="807"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tc>
        <w:tc>
          <w:tcPr>
            <w:tcW w:w="1300"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Cumulative odds ratio</w:t>
            </w: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b/>
                <w:i/>
                <w:sz w:val="28"/>
                <w:szCs w:val="28"/>
              </w:rPr>
            </w:pPr>
            <w:r w:rsidRPr="00F90B6B">
              <w:rPr>
                <w:rFonts w:ascii="Times New Roman" w:hAnsi="Times New Roman"/>
                <w:b/>
                <w:i/>
                <w:sz w:val="28"/>
                <w:szCs w:val="28"/>
              </w:rPr>
              <w:t>Знижений</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82,7</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w:t>
            </w:r>
          </w:p>
        </w:tc>
        <w:tc>
          <w:tcPr>
            <w:tcW w:w="1300" w:type="pct"/>
            <w:vMerge w:val="restar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5,813</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[2,768-12,208]</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p&lt;0,05</w:t>
            </w: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b/>
                <w:i/>
                <w:sz w:val="28"/>
                <w:szCs w:val="28"/>
              </w:rPr>
            </w:pPr>
            <w:r w:rsidRPr="00F90B6B">
              <w:rPr>
                <w:rFonts w:ascii="Times New Roman" w:hAnsi="Times New Roman"/>
                <w:b/>
                <w:i/>
                <w:sz w:val="28"/>
                <w:szCs w:val="28"/>
              </w:rPr>
              <w:t>Нормальний</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27,3</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0,078</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Ступінь 1</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5,1</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0,011</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Ступінь 2</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5,0</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0,011</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Ступінь 3</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28,0</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0,081</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5000" w:type="pct"/>
            <w:gridSpan w:val="4"/>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χ</w:t>
            </w:r>
            <w:r w:rsidRPr="00F90B6B">
              <w:rPr>
                <w:rFonts w:ascii="Times New Roman" w:hAnsi="Times New Roman"/>
                <w:sz w:val="28"/>
                <w:szCs w:val="28"/>
                <w:vertAlign w:val="superscript"/>
                <w:lang w:val="en-US"/>
              </w:rPr>
              <w:t>2</w:t>
            </w:r>
            <w:r w:rsidRPr="00F90B6B">
              <w:rPr>
                <w:rFonts w:ascii="Times New Roman" w:hAnsi="Times New Roman"/>
                <w:sz w:val="28"/>
                <w:szCs w:val="28"/>
                <w:lang w:val="en-US"/>
              </w:rPr>
              <w:t xml:space="preserve"> </w:t>
            </w:r>
            <w:r w:rsidRPr="00F90B6B">
              <w:rPr>
                <w:rFonts w:ascii="Times New Roman" w:hAnsi="Times New Roman"/>
                <w:sz w:val="28"/>
                <w:szCs w:val="28"/>
              </w:rPr>
              <w:t>Мантеля-Хенцеля – 71,037 (р</w:t>
            </w:r>
            <w:r w:rsidRPr="00F90B6B">
              <w:rPr>
                <w:rFonts w:ascii="Times New Roman" w:hAnsi="Times New Roman"/>
                <w:sz w:val="28"/>
                <w:szCs w:val="28"/>
                <w:lang w:val="en-US"/>
              </w:rPr>
              <w:t>&lt;0,001</w:t>
            </w:r>
            <w:r w:rsidRPr="00F90B6B">
              <w:rPr>
                <w:rFonts w:ascii="Times New Roman" w:hAnsi="Times New Roman"/>
                <w:sz w:val="28"/>
                <w:szCs w:val="28"/>
              </w:rPr>
              <w:t>)</w:t>
            </w:r>
          </w:p>
        </w:tc>
      </w:tr>
    </w:tbl>
    <w:p w:rsidR="00FB4A39" w:rsidRPr="00F90B6B" w:rsidRDefault="00FB4A39" w:rsidP="00F0048B">
      <w:pPr>
        <w:pStyle w:val="Style78"/>
        <w:spacing w:line="360" w:lineRule="auto"/>
        <w:ind w:firstLine="709"/>
        <w:jc w:val="both"/>
        <w:rPr>
          <w:sz w:val="28"/>
          <w:szCs w:val="28"/>
          <w:lang w:val="uk-UA"/>
        </w:rPr>
      </w:pP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 xml:space="preserve">Встановлено, що найбільш часто при погіршенні перебігу ХСН у пацієнтів верифікувався знижений САТ (менше 90 мм рт. ст.) з абсолютним ризиком 82,7%. Надалі, ризик був високим при ступені 3 підвищення САТ. Тобто було отримано лінійну експоненціальну залежність з Cumulative odds ratio 5,813[2,768-12,208] (p&lt;0,05), вірогідним показником </w:t>
      </w:r>
      <w:r w:rsidRPr="00F90B6B">
        <w:rPr>
          <w:sz w:val="28"/>
          <w:szCs w:val="28"/>
        </w:rPr>
        <w:t>χ</w:t>
      </w:r>
      <w:r w:rsidRPr="00F90B6B">
        <w:rPr>
          <w:sz w:val="28"/>
          <w:szCs w:val="28"/>
          <w:vertAlign w:val="superscript"/>
          <w:lang w:val="uk-UA"/>
        </w:rPr>
        <w:t>2</w:t>
      </w:r>
      <w:r w:rsidRPr="00F90B6B">
        <w:rPr>
          <w:sz w:val="28"/>
          <w:szCs w:val="28"/>
          <w:lang w:val="uk-UA"/>
        </w:rPr>
        <w:t xml:space="preserve"> за Мантелем-Хенцелем.</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 xml:space="preserve">Подібну залежність отримано також відносно показників діастолічного АТ, табл. 3.5.5 з найбільшим ризиком декомпенсації ХСН при зниженому ДАТ (менше 60 мм рт. ст.), вірогідними Cumulative odds ratio (1,860 [1,031-3,357], p&lt;0,05) та </w:t>
      </w:r>
      <w:r w:rsidRPr="00F90B6B">
        <w:rPr>
          <w:sz w:val="28"/>
          <w:szCs w:val="28"/>
        </w:rPr>
        <w:t>χ</w:t>
      </w:r>
      <w:r w:rsidRPr="00F90B6B">
        <w:rPr>
          <w:sz w:val="28"/>
          <w:szCs w:val="28"/>
          <w:vertAlign w:val="superscript"/>
          <w:lang w:val="uk-UA"/>
        </w:rPr>
        <w:t>2</w:t>
      </w:r>
      <w:r w:rsidRPr="00F90B6B">
        <w:rPr>
          <w:sz w:val="28"/>
          <w:szCs w:val="28"/>
          <w:lang w:val="uk-UA"/>
        </w:rPr>
        <w:t xml:space="preserve"> (7,459, р=0,006). Наявність ХСН високих функціональних класів (ІІІ та </w:t>
      </w:r>
      <w:r w:rsidRPr="00F90B6B">
        <w:rPr>
          <w:sz w:val="28"/>
          <w:szCs w:val="28"/>
          <w:lang w:val="en-US"/>
        </w:rPr>
        <w:t>IV</w:t>
      </w:r>
      <w:r w:rsidRPr="00F90B6B">
        <w:rPr>
          <w:sz w:val="28"/>
          <w:szCs w:val="28"/>
          <w:lang w:val="uk-UA"/>
        </w:rPr>
        <w:t>) вірогідно корелювало з загальною та серцево-судинною смертністю (збільшення абсолютного ризику на 15,0%, вірогідний відносний ризик - 1,90 [1,16-3,10] та шанси - 2,30 [1,25-4,23]), табл. 3.5.6.</w:t>
      </w:r>
    </w:p>
    <w:p w:rsidR="00FB4A39" w:rsidRPr="00F90B6B" w:rsidRDefault="00FB4A39" w:rsidP="00F0048B">
      <w:pPr>
        <w:spacing w:after="0" w:line="360" w:lineRule="auto"/>
        <w:ind w:firstLine="709"/>
        <w:jc w:val="right"/>
        <w:rPr>
          <w:rFonts w:ascii="Times New Roman" w:hAnsi="Times New Roman"/>
          <w:i/>
          <w:sz w:val="28"/>
          <w:szCs w:val="28"/>
          <w:lang w:val="ru-RU"/>
        </w:rPr>
      </w:pPr>
    </w:p>
    <w:p w:rsidR="00FB4A39" w:rsidRPr="00F90B6B" w:rsidRDefault="00FB4A39" w:rsidP="00F0048B">
      <w:pPr>
        <w:spacing w:after="0" w:line="360" w:lineRule="auto"/>
        <w:ind w:firstLine="709"/>
        <w:jc w:val="right"/>
        <w:rPr>
          <w:rFonts w:ascii="Times New Roman" w:hAnsi="Times New Roman"/>
          <w:i/>
          <w:sz w:val="28"/>
          <w:szCs w:val="28"/>
          <w:lang w:val="ru-RU"/>
        </w:rPr>
      </w:pPr>
    </w:p>
    <w:p w:rsidR="00FB4A39" w:rsidRPr="00F90B6B" w:rsidRDefault="00FB4A39" w:rsidP="00F0048B">
      <w:pPr>
        <w:spacing w:after="0" w:line="360" w:lineRule="auto"/>
        <w:ind w:firstLine="709"/>
        <w:jc w:val="right"/>
        <w:rPr>
          <w:rFonts w:ascii="Times New Roman" w:hAnsi="Times New Roman"/>
          <w:i/>
          <w:sz w:val="28"/>
          <w:szCs w:val="28"/>
          <w:lang w:val="ru-RU"/>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lastRenderedPageBreak/>
        <w:t>Таблиця 3.5.5</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Співставлення серцево-судинної смертності з рівнем діастолічного артеріального тиску при хронічній серцевій недостатності на тлі ожиріння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87"/>
        <w:gridCol w:w="2043"/>
        <w:gridCol w:w="1682"/>
        <w:gridCol w:w="2709"/>
      </w:tblGrid>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980"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АР,%</w:t>
            </w:r>
          </w:p>
        </w:tc>
        <w:tc>
          <w:tcPr>
            <w:tcW w:w="807"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tc>
        <w:tc>
          <w:tcPr>
            <w:tcW w:w="1300"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Cumulative odds ratio</w:t>
            </w: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b/>
                <w:i/>
                <w:sz w:val="28"/>
                <w:szCs w:val="28"/>
              </w:rPr>
            </w:pPr>
            <w:r w:rsidRPr="00F90B6B">
              <w:rPr>
                <w:rFonts w:ascii="Times New Roman" w:hAnsi="Times New Roman"/>
                <w:b/>
                <w:i/>
                <w:sz w:val="28"/>
                <w:szCs w:val="28"/>
              </w:rPr>
              <w:t>Знижений</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76,2</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w:t>
            </w:r>
          </w:p>
        </w:tc>
        <w:tc>
          <w:tcPr>
            <w:tcW w:w="1300" w:type="pct"/>
            <w:vMerge w:val="restar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1,860</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[1</w:t>
            </w:r>
            <w:r w:rsidRPr="00F90B6B">
              <w:rPr>
                <w:rFonts w:ascii="Times New Roman" w:hAnsi="Times New Roman"/>
                <w:sz w:val="28"/>
                <w:szCs w:val="28"/>
              </w:rPr>
              <w:t>,0</w:t>
            </w:r>
            <w:r w:rsidRPr="00F90B6B">
              <w:rPr>
                <w:rFonts w:ascii="Times New Roman" w:hAnsi="Times New Roman"/>
                <w:sz w:val="28"/>
                <w:szCs w:val="28"/>
                <w:lang w:val="en-US"/>
              </w:rPr>
              <w:t>31</w:t>
            </w:r>
            <w:r w:rsidRPr="00F90B6B">
              <w:rPr>
                <w:rFonts w:ascii="Times New Roman" w:hAnsi="Times New Roman"/>
                <w:sz w:val="28"/>
                <w:szCs w:val="28"/>
              </w:rPr>
              <w:t>-</w:t>
            </w:r>
            <w:r w:rsidRPr="00F90B6B">
              <w:rPr>
                <w:rFonts w:ascii="Times New Roman" w:hAnsi="Times New Roman"/>
                <w:sz w:val="28"/>
                <w:szCs w:val="28"/>
                <w:lang w:val="en-US"/>
              </w:rPr>
              <w:t>3</w:t>
            </w:r>
            <w:r w:rsidRPr="00F90B6B">
              <w:rPr>
                <w:rFonts w:ascii="Times New Roman" w:hAnsi="Times New Roman"/>
                <w:sz w:val="28"/>
                <w:szCs w:val="28"/>
              </w:rPr>
              <w:t>,</w:t>
            </w:r>
            <w:r w:rsidRPr="00F90B6B">
              <w:rPr>
                <w:rFonts w:ascii="Times New Roman" w:hAnsi="Times New Roman"/>
                <w:sz w:val="28"/>
                <w:szCs w:val="28"/>
                <w:lang w:val="en-US"/>
              </w:rPr>
              <w:t>357]</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p&lt;0,05</w:t>
            </w: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b/>
                <w:i/>
                <w:sz w:val="28"/>
                <w:szCs w:val="28"/>
              </w:rPr>
            </w:pPr>
            <w:r w:rsidRPr="00F90B6B">
              <w:rPr>
                <w:rFonts w:ascii="Times New Roman" w:hAnsi="Times New Roman"/>
                <w:b/>
                <w:i/>
                <w:sz w:val="28"/>
                <w:szCs w:val="28"/>
              </w:rPr>
              <w:t>Нормальний</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28,8</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0,152</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Ступінь 1</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17,9</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0,082</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Ступінь 2</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38,9</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0,239</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Ступінь 3</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50,0</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0,375</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5000" w:type="pct"/>
            <w:gridSpan w:val="4"/>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χ</w:t>
            </w:r>
            <w:r w:rsidRPr="00F90B6B">
              <w:rPr>
                <w:rFonts w:ascii="Times New Roman" w:hAnsi="Times New Roman"/>
                <w:sz w:val="28"/>
                <w:szCs w:val="28"/>
                <w:vertAlign w:val="superscript"/>
                <w:lang w:val="en-US"/>
              </w:rPr>
              <w:t>2</w:t>
            </w:r>
            <w:r w:rsidRPr="00F90B6B">
              <w:rPr>
                <w:rFonts w:ascii="Times New Roman" w:hAnsi="Times New Roman"/>
                <w:sz w:val="28"/>
                <w:szCs w:val="28"/>
                <w:lang w:val="en-US"/>
              </w:rPr>
              <w:t xml:space="preserve"> </w:t>
            </w:r>
            <w:r w:rsidRPr="00F90B6B">
              <w:rPr>
                <w:rFonts w:ascii="Times New Roman" w:hAnsi="Times New Roman"/>
                <w:sz w:val="28"/>
                <w:szCs w:val="28"/>
              </w:rPr>
              <w:t>Мантеля-Хенцеля – 7,459 (р=0,006)</w:t>
            </w:r>
          </w:p>
        </w:tc>
      </w:tr>
    </w:tbl>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 xml:space="preserve">Лінійну залежність в тесті Кокрана-Армітаджа представлено в табл. 3.5.6. </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3.5.6</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Співставлення серцево-судинної смертності та функціонального класу хронічної серцевої недостатності на тлі ожиріння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87"/>
        <w:gridCol w:w="2043"/>
        <w:gridCol w:w="1682"/>
        <w:gridCol w:w="2709"/>
      </w:tblGrid>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980"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АР,%</w:t>
            </w:r>
          </w:p>
        </w:tc>
        <w:tc>
          <w:tcPr>
            <w:tcW w:w="807"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tc>
        <w:tc>
          <w:tcPr>
            <w:tcW w:w="1300"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Cumulative odds ratio</w:t>
            </w: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ФК І</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5,9</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1,0</w:t>
            </w:r>
          </w:p>
        </w:tc>
        <w:tc>
          <w:tcPr>
            <w:tcW w:w="1300" w:type="pct"/>
            <w:vMerge w:val="restar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8,96</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[4</w:t>
            </w:r>
            <w:r w:rsidRPr="00F90B6B">
              <w:rPr>
                <w:rFonts w:ascii="Times New Roman" w:hAnsi="Times New Roman"/>
                <w:sz w:val="28"/>
                <w:szCs w:val="28"/>
              </w:rPr>
              <w:t>,</w:t>
            </w:r>
            <w:r w:rsidRPr="00F90B6B">
              <w:rPr>
                <w:rFonts w:ascii="Times New Roman" w:hAnsi="Times New Roman"/>
                <w:sz w:val="28"/>
                <w:szCs w:val="28"/>
                <w:lang w:val="en-US"/>
              </w:rPr>
              <w:t>676</w:t>
            </w:r>
            <w:r w:rsidRPr="00F90B6B">
              <w:rPr>
                <w:rFonts w:ascii="Times New Roman" w:hAnsi="Times New Roman"/>
                <w:sz w:val="28"/>
                <w:szCs w:val="28"/>
              </w:rPr>
              <w:t>-</w:t>
            </w:r>
            <w:r w:rsidRPr="00F90B6B">
              <w:rPr>
                <w:rFonts w:ascii="Times New Roman" w:hAnsi="Times New Roman"/>
                <w:sz w:val="28"/>
                <w:szCs w:val="28"/>
                <w:lang w:val="en-US"/>
              </w:rPr>
              <w:t>17</w:t>
            </w:r>
            <w:r w:rsidRPr="00F90B6B">
              <w:rPr>
                <w:rFonts w:ascii="Times New Roman" w:hAnsi="Times New Roman"/>
                <w:sz w:val="28"/>
                <w:szCs w:val="28"/>
              </w:rPr>
              <w:t>,</w:t>
            </w:r>
            <w:r w:rsidRPr="00F90B6B">
              <w:rPr>
                <w:rFonts w:ascii="Times New Roman" w:hAnsi="Times New Roman"/>
                <w:sz w:val="28"/>
                <w:szCs w:val="28"/>
                <w:lang w:val="en-US"/>
              </w:rPr>
              <w:t>166]</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p&lt;0,05</w:t>
            </w: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ФК ІІ</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7,4</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1,28</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ФК ІІІ</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27,8</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4,44</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1913"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 xml:space="preserve">ФК </w:t>
            </w:r>
            <w:r w:rsidRPr="00F90B6B">
              <w:rPr>
                <w:rFonts w:ascii="Times New Roman" w:hAnsi="Times New Roman"/>
                <w:i/>
                <w:sz w:val="28"/>
                <w:szCs w:val="28"/>
                <w:lang w:val="en-US"/>
              </w:rPr>
              <w:t>IV</w:t>
            </w:r>
          </w:p>
        </w:tc>
        <w:tc>
          <w:tcPr>
            <w:tcW w:w="98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81,6</w:t>
            </w:r>
          </w:p>
        </w:tc>
        <w:tc>
          <w:tcPr>
            <w:tcW w:w="80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71,1</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r w:rsidR="00EF4063" w:rsidRPr="00F90B6B" w:rsidTr="0076299F">
        <w:tc>
          <w:tcPr>
            <w:tcW w:w="5000" w:type="pct"/>
            <w:gridSpan w:val="4"/>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χ</w:t>
            </w:r>
            <w:r w:rsidRPr="00F90B6B">
              <w:rPr>
                <w:rFonts w:ascii="Times New Roman" w:hAnsi="Times New Roman"/>
                <w:sz w:val="28"/>
                <w:szCs w:val="28"/>
                <w:vertAlign w:val="superscript"/>
                <w:lang w:val="en-US"/>
              </w:rPr>
              <w:t>2</w:t>
            </w:r>
            <w:r w:rsidRPr="00F90B6B">
              <w:rPr>
                <w:rFonts w:ascii="Times New Roman" w:hAnsi="Times New Roman"/>
                <w:sz w:val="28"/>
                <w:szCs w:val="28"/>
                <w:lang w:val="en-US"/>
              </w:rPr>
              <w:t xml:space="preserve"> </w:t>
            </w:r>
            <w:r w:rsidRPr="00F90B6B">
              <w:rPr>
                <w:rFonts w:ascii="Times New Roman" w:hAnsi="Times New Roman"/>
                <w:sz w:val="28"/>
                <w:szCs w:val="28"/>
              </w:rPr>
              <w:t>Мантеля-Хенцеля – 68,194 (р</w:t>
            </w:r>
            <w:r w:rsidRPr="00F90B6B">
              <w:rPr>
                <w:rFonts w:ascii="Times New Roman" w:hAnsi="Times New Roman"/>
                <w:sz w:val="28"/>
                <w:szCs w:val="28"/>
                <w:lang w:val="en-US"/>
              </w:rPr>
              <w:t>&lt;0,001</w:t>
            </w:r>
            <w:r w:rsidRPr="00F90B6B">
              <w:rPr>
                <w:rFonts w:ascii="Times New Roman" w:hAnsi="Times New Roman"/>
                <w:sz w:val="28"/>
                <w:szCs w:val="28"/>
              </w:rPr>
              <w:t>)</w:t>
            </w:r>
          </w:p>
        </w:tc>
      </w:tr>
    </w:tbl>
    <w:p w:rsidR="00FB4A39" w:rsidRPr="00F90B6B" w:rsidRDefault="00FB4A39" w:rsidP="00F0048B">
      <w:pPr>
        <w:pStyle w:val="Style78"/>
        <w:spacing w:line="360" w:lineRule="auto"/>
        <w:ind w:firstLine="709"/>
        <w:jc w:val="both"/>
        <w:rPr>
          <w:sz w:val="28"/>
          <w:szCs w:val="28"/>
          <w:lang w:val="uk-UA"/>
        </w:rPr>
      </w:pP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 xml:space="preserve">Абсолютний ризик серцево-судинної смертності, при переході від ФК І до ФК IV ХСН зростав від 5,9% до 81,6%, відносний ризик збільшувався в 71,1 рази при ФК IV порівняно з ФК І, Cumulative odds ratio - 8,96 [4,676-17,166] (p&lt;0,05), </w:t>
      </w:r>
      <w:r w:rsidRPr="00F90B6B">
        <w:rPr>
          <w:sz w:val="28"/>
          <w:szCs w:val="28"/>
        </w:rPr>
        <w:t>χ</w:t>
      </w:r>
      <w:r w:rsidRPr="00F90B6B">
        <w:rPr>
          <w:sz w:val="28"/>
          <w:szCs w:val="28"/>
          <w:vertAlign w:val="superscript"/>
          <w:lang w:val="uk-UA"/>
        </w:rPr>
        <w:t>2</w:t>
      </w:r>
      <w:r w:rsidRPr="00F90B6B">
        <w:rPr>
          <w:sz w:val="28"/>
          <w:szCs w:val="28"/>
          <w:lang w:val="uk-UA"/>
        </w:rPr>
        <w:t xml:space="preserve"> Мантеля-Хенцеля – 68,194 (р&lt;0,001).</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Надалі, ми визначали можливість декомпенсації ХСН з епізодом серцево-судинної смертності залежно від вмісту натрію в плазмі крові. З цією метою, хворі були розподілені на два кластери – зі зниженим рівнем натрію (менше 135 ммоль/л) </w:t>
      </w:r>
      <w:r w:rsidRPr="00F90B6B">
        <w:rPr>
          <w:rFonts w:ascii="Times New Roman" w:hAnsi="Times New Roman"/>
          <w:sz w:val="28"/>
          <w:szCs w:val="28"/>
        </w:rPr>
        <w:lastRenderedPageBreak/>
        <w:t>та нормальним рівнем натрію (135-155 ммоль/л). Пацієнти, що мали рівень натрію більше 155 ммоль/л виключалися з дослідження.</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Співвідношення ризику серцево-судинної смертності з вмістом натрію в плазмі крові наведено в таблиці 3.5.7.</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Ризик серцево-судинної смертності при ХСН (absolute risk) хворих з рівнем натрію менше 135 ммоль/л становив 45,0% проти 19,0% у пацієнтів з рівнем натрію в плазмі крові 135-155 ммоль/л, відносний ризик (relative risk) склав 2,39 [1,65-3,46] (p&lt;0,05), відношення шансів (odds ratio) - 3,53 [2,01-6,17] (p&lt;0,05).</w:t>
      </w:r>
    </w:p>
    <w:p w:rsidR="00EF4063" w:rsidRPr="00F90B6B" w:rsidRDefault="00EF4063" w:rsidP="00F0048B">
      <w:pPr>
        <w:spacing w:after="0" w:line="360" w:lineRule="auto"/>
        <w:ind w:firstLine="708"/>
        <w:jc w:val="right"/>
        <w:rPr>
          <w:rFonts w:ascii="Times New Roman" w:hAnsi="Times New Roman"/>
          <w:i/>
          <w:sz w:val="28"/>
          <w:szCs w:val="28"/>
        </w:rPr>
      </w:pPr>
      <w:r w:rsidRPr="00F90B6B">
        <w:rPr>
          <w:rFonts w:ascii="Times New Roman" w:hAnsi="Times New Roman"/>
          <w:i/>
          <w:sz w:val="28"/>
          <w:szCs w:val="28"/>
        </w:rPr>
        <w:t>Таблиця 3.5.7</w:t>
      </w:r>
    </w:p>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Асоціації серц</w:t>
      </w:r>
      <w:r w:rsidR="00B4210B">
        <w:rPr>
          <w:rFonts w:ascii="Times New Roman" w:hAnsi="Times New Roman"/>
          <w:b/>
          <w:sz w:val="28"/>
          <w:szCs w:val="28"/>
          <w:lang w:eastAsia="ru-RU"/>
        </w:rPr>
        <w:t>ево-судинної смертності з натріємією у хворих з хронічною серцевою недостатністю</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6"/>
        <w:gridCol w:w="2555"/>
        <w:gridCol w:w="2555"/>
        <w:gridCol w:w="2555"/>
      </w:tblGrid>
      <w:tr w:rsidR="00EF4063" w:rsidRPr="00F90B6B" w:rsidTr="007F4B9D">
        <w:tc>
          <w:tcPr>
            <w:tcW w:w="132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1226" w:type="pct"/>
            <w:vAlign w:val="center"/>
          </w:tcPr>
          <w:p w:rsidR="00EF4063" w:rsidRPr="00F90B6B" w:rsidRDefault="00EF4063" w:rsidP="00FB4A39">
            <w:pPr>
              <w:spacing w:after="0" w:line="288"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1226" w:type="pct"/>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1227" w:type="pct"/>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7F4B9D">
        <w:tc>
          <w:tcPr>
            <w:tcW w:w="1322"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lang w:val="en-US"/>
              </w:rPr>
              <w:t>Na&lt;135</w:t>
            </w:r>
          </w:p>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ммоль/л</w:t>
            </w:r>
          </w:p>
        </w:tc>
        <w:tc>
          <w:tcPr>
            <w:tcW w:w="1226"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45,0</w:t>
            </w:r>
            <w:r w:rsidRPr="00F90B6B">
              <w:rPr>
                <w:rFonts w:ascii="Times New Roman" w:hAnsi="Times New Roman"/>
                <w:sz w:val="28"/>
                <w:szCs w:val="28"/>
                <w:lang w:val="en-US"/>
              </w:rPr>
              <w:t>%</w:t>
            </w:r>
          </w:p>
        </w:tc>
        <w:tc>
          <w:tcPr>
            <w:tcW w:w="1226"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2,39</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[1,65-3,46]</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c>
          <w:tcPr>
            <w:tcW w:w="1227" w:type="pct"/>
            <w:vMerge w:val="restar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3,53</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[2,01-6,17]</w:t>
            </w:r>
          </w:p>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p&lt;0,05</w:t>
            </w:r>
          </w:p>
        </w:tc>
      </w:tr>
      <w:tr w:rsidR="00EF4063" w:rsidRPr="00F90B6B" w:rsidTr="007F4B9D">
        <w:tc>
          <w:tcPr>
            <w:tcW w:w="1322"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lang w:val="en-US"/>
              </w:rPr>
              <w:t>Na</w:t>
            </w:r>
          </w:p>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lang w:val="en-US"/>
              </w:rPr>
              <w:t xml:space="preserve">135-155 </w:t>
            </w:r>
            <w:r w:rsidRPr="00F90B6B">
              <w:rPr>
                <w:rFonts w:ascii="Times New Roman" w:hAnsi="Times New Roman"/>
                <w:i/>
                <w:sz w:val="28"/>
                <w:szCs w:val="28"/>
              </w:rPr>
              <w:t>ммоль/л</w:t>
            </w:r>
          </w:p>
        </w:tc>
        <w:tc>
          <w:tcPr>
            <w:tcW w:w="1226"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19,0</w:t>
            </w:r>
            <w:r w:rsidRPr="00F90B6B">
              <w:rPr>
                <w:rFonts w:ascii="Times New Roman" w:hAnsi="Times New Roman"/>
                <w:sz w:val="28"/>
                <w:szCs w:val="28"/>
                <w:lang w:val="en-US"/>
              </w:rPr>
              <w:t>%</w:t>
            </w:r>
          </w:p>
        </w:tc>
        <w:tc>
          <w:tcPr>
            <w:tcW w:w="0" w:type="auto"/>
            <w:vMerge/>
            <w:vAlign w:val="center"/>
          </w:tcPr>
          <w:p w:rsidR="00EF4063" w:rsidRPr="00F90B6B" w:rsidRDefault="00EF4063" w:rsidP="00FB4A39">
            <w:pPr>
              <w:spacing w:after="0" w:line="288" w:lineRule="auto"/>
              <w:rPr>
                <w:rFonts w:ascii="Times New Roman" w:hAnsi="Times New Roman"/>
                <w:sz w:val="28"/>
                <w:szCs w:val="28"/>
                <w:lang w:val="en-US"/>
              </w:rPr>
            </w:pPr>
          </w:p>
        </w:tc>
        <w:tc>
          <w:tcPr>
            <w:tcW w:w="0" w:type="auto"/>
            <w:vMerge/>
            <w:vAlign w:val="center"/>
          </w:tcPr>
          <w:p w:rsidR="00EF4063" w:rsidRPr="00F90B6B" w:rsidRDefault="00EF4063" w:rsidP="00FB4A39">
            <w:pPr>
              <w:spacing w:after="0" w:line="288" w:lineRule="auto"/>
              <w:rPr>
                <w:rFonts w:ascii="Times New Roman" w:hAnsi="Times New Roman"/>
                <w:sz w:val="28"/>
                <w:szCs w:val="28"/>
                <w:lang w:val="en-US"/>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З метою оцінки порогової концентрації рівня натрію для прогнозу серцево-судинної смертності внаслідок декомпенсації ХСН ми використовували процедуру побудови ROC-кривих – графіку залежності чутливості від значення (1-специфічність). Прогностичну силу тесту визначали за показником AUC (Area Under the Curve), враховуючи його статистичну відмінність від величини 0,5 (50%) (значення, яке підкреслює відсутність прогностичної сили). Для порівняння використовували у «виживших» хворих з ХСН та ожирінням за даними ретроспективного 5-річного спостереження. На першому етапі аналізу ми визначали рівень плазмового натрію у хворих, які померли внаслідок декомпенсації ХСН у відділенні реанімації та інтенсивної терапії. При підрахунку АUC нами отримано результат 70,3%±6,87% (61,2% - 84,7%) (р&lt;0,05 при порівняння з показником 50%), рис. 3.5.2.</w:t>
      </w:r>
    </w:p>
    <w:p w:rsidR="00EF4063" w:rsidRPr="00F90B6B" w:rsidRDefault="006F7754" w:rsidP="00F0048B">
      <w:pPr>
        <w:widowControl w:val="0"/>
        <w:spacing w:line="360" w:lineRule="auto"/>
        <w:jc w:val="center"/>
        <w:rPr>
          <w:rFonts w:ascii="Times New Roman" w:hAnsi="Times New Roman"/>
          <w:sz w:val="28"/>
          <w:szCs w:val="28"/>
        </w:rPr>
      </w:pPr>
      <w:r w:rsidRPr="00BD2F09">
        <w:rPr>
          <w:rFonts w:ascii="Times New Roman" w:hAnsi="Times New Roman"/>
          <w:noProof/>
          <w:sz w:val="28"/>
          <w:szCs w:val="28"/>
          <w:lang w:val="ru-RU" w:eastAsia="ru-RU"/>
        </w:rPr>
        <w:lastRenderedPageBreak/>
        <w:drawing>
          <wp:inline distT="0" distB="0" distL="0" distR="0">
            <wp:extent cx="4781550" cy="1828800"/>
            <wp:effectExtent l="0" t="0" r="0" b="0"/>
            <wp:docPr id="13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4781550" cy="1828800"/>
                    </a:xfrm>
                    <a:prstGeom prst="rect">
                      <a:avLst/>
                    </a:prstGeom>
                    <a:noFill/>
                    <a:ln>
                      <a:noFill/>
                    </a:ln>
                  </pic:spPr>
                </pic:pic>
              </a:graphicData>
            </a:graphic>
          </wp:inline>
        </w:drawing>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b/>
          <w:sz w:val="28"/>
          <w:szCs w:val="28"/>
        </w:rPr>
        <w:t>Рис. 3.5.2.</w:t>
      </w:r>
      <w:r w:rsidRPr="00F90B6B">
        <w:rPr>
          <w:rFonts w:ascii="Times New Roman" w:hAnsi="Times New Roman"/>
          <w:sz w:val="28"/>
          <w:szCs w:val="28"/>
        </w:rPr>
        <w:t xml:space="preserve"> ROC-крива для оцінки можливості використання рівня </w:t>
      </w:r>
      <w:r w:rsidRPr="00F90B6B">
        <w:rPr>
          <w:rFonts w:ascii="Times New Roman" w:hAnsi="Times New Roman"/>
          <w:sz w:val="28"/>
          <w:szCs w:val="28"/>
          <w:lang w:val="en-US"/>
        </w:rPr>
        <w:t>Na</w:t>
      </w:r>
      <w:r w:rsidRPr="00F90B6B">
        <w:rPr>
          <w:rFonts w:ascii="Times New Roman" w:hAnsi="Times New Roman"/>
          <w:sz w:val="28"/>
          <w:szCs w:val="28"/>
          <w:lang w:val="ru-RU"/>
        </w:rPr>
        <w:t xml:space="preserve">+ </w:t>
      </w:r>
      <w:r w:rsidRPr="00F90B6B">
        <w:rPr>
          <w:rFonts w:ascii="Times New Roman" w:hAnsi="Times New Roman"/>
          <w:sz w:val="28"/>
          <w:szCs w:val="28"/>
        </w:rPr>
        <w:t>для прогнозування серцево-судинної смертності внаслідок декомпенсації ХСН.</w:t>
      </w:r>
    </w:p>
    <w:p w:rsidR="008F54E3" w:rsidRPr="00F90B6B" w:rsidRDefault="008F54E3" w:rsidP="00F0048B">
      <w:pPr>
        <w:widowControl w:val="0"/>
        <w:spacing w:after="0" w:line="360" w:lineRule="auto"/>
        <w:ind w:firstLine="709"/>
        <w:jc w:val="both"/>
        <w:rPr>
          <w:rFonts w:ascii="Times New Roman" w:hAnsi="Times New Roman"/>
          <w:sz w:val="28"/>
          <w:szCs w:val="28"/>
          <w:lang w:val="ru-RU"/>
        </w:rPr>
      </w:pPr>
    </w:p>
    <w:p w:rsidR="00EF4063" w:rsidRPr="00F90B6B" w:rsidRDefault="00EF4063" w:rsidP="00F0048B">
      <w:pPr>
        <w:widowControl w:val="0"/>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Враховуючи отриману величину AUC ми можемо констатувати вірогідну діагностичну значимість вимірювання рівня </w:t>
      </w:r>
      <w:r w:rsidRPr="00F90B6B">
        <w:rPr>
          <w:rFonts w:ascii="Times New Roman" w:hAnsi="Times New Roman"/>
          <w:sz w:val="28"/>
          <w:szCs w:val="28"/>
          <w:lang w:val="en-US"/>
        </w:rPr>
        <w:t>Na</w:t>
      </w:r>
      <w:r w:rsidRPr="00F90B6B">
        <w:rPr>
          <w:rFonts w:ascii="Times New Roman" w:hAnsi="Times New Roman"/>
          <w:sz w:val="28"/>
          <w:szCs w:val="28"/>
          <w:lang w:val="ru-RU"/>
        </w:rPr>
        <w:t xml:space="preserve">+ </w:t>
      </w:r>
      <w:r w:rsidRPr="00F90B6B">
        <w:rPr>
          <w:rFonts w:ascii="Times New Roman" w:hAnsi="Times New Roman"/>
          <w:sz w:val="28"/>
          <w:szCs w:val="28"/>
        </w:rPr>
        <w:t xml:space="preserve">прогнозування серцево-судинної смертності внаслідок декомпенсації ХСН. За допомогою побудови ROC-графіку та після розрахунку точок розподілу чутливості та специфічності, на різних рівнях результатів вимірювання рівня </w:t>
      </w:r>
      <w:r w:rsidRPr="00F90B6B">
        <w:rPr>
          <w:rFonts w:ascii="Times New Roman" w:hAnsi="Times New Roman"/>
          <w:sz w:val="28"/>
          <w:szCs w:val="28"/>
          <w:lang w:val="en-US"/>
        </w:rPr>
        <w:t>Na</w:t>
      </w:r>
      <w:r w:rsidRPr="00F90B6B">
        <w:rPr>
          <w:rFonts w:ascii="Times New Roman" w:hAnsi="Times New Roman"/>
          <w:sz w:val="28"/>
          <w:szCs w:val="28"/>
        </w:rPr>
        <w:t xml:space="preserve">+ ми визначили граничні межі концентрації для прогнозування серцево-судинної смертності внаслідок декомпенсації ХСН. Розподіл на так звані «позитивні» та «негативні» результати вмісту рівня </w:t>
      </w:r>
      <w:r w:rsidRPr="00F90B6B">
        <w:rPr>
          <w:rFonts w:ascii="Times New Roman" w:hAnsi="Times New Roman"/>
          <w:sz w:val="28"/>
          <w:szCs w:val="28"/>
          <w:lang w:val="en-US"/>
        </w:rPr>
        <w:t>Na</w:t>
      </w:r>
      <w:r w:rsidRPr="00F90B6B">
        <w:rPr>
          <w:rFonts w:ascii="Times New Roman" w:hAnsi="Times New Roman"/>
          <w:sz w:val="28"/>
          <w:szCs w:val="28"/>
          <w:lang w:val="ru-RU"/>
        </w:rPr>
        <w:t xml:space="preserve">+ </w:t>
      </w:r>
      <w:r w:rsidRPr="00F90B6B">
        <w:rPr>
          <w:rFonts w:ascii="Times New Roman" w:hAnsi="Times New Roman"/>
          <w:sz w:val="28"/>
          <w:szCs w:val="28"/>
        </w:rPr>
        <w:t>з використанням різних «точок відсікання» представлено у табл. 3.5.8.</w:t>
      </w:r>
    </w:p>
    <w:p w:rsidR="00FB4A39" w:rsidRPr="007E797D" w:rsidRDefault="00EF4063" w:rsidP="00FB4A39">
      <w:pPr>
        <w:widowControl w:val="0"/>
        <w:spacing w:after="0" w:line="360" w:lineRule="auto"/>
        <w:ind w:firstLine="709"/>
        <w:jc w:val="both"/>
        <w:rPr>
          <w:rFonts w:ascii="Times New Roman" w:hAnsi="Times New Roman"/>
          <w:sz w:val="28"/>
          <w:szCs w:val="28"/>
        </w:rPr>
      </w:pPr>
      <w:r w:rsidRPr="00F90B6B">
        <w:rPr>
          <w:rFonts w:ascii="Times New Roman" w:hAnsi="Times New Roman"/>
          <w:sz w:val="28"/>
          <w:szCs w:val="28"/>
        </w:rPr>
        <w:t>Використовуючи графічний режим (точка відсікання знаходиться у найближчому місці кривої відповідно до лівого верхнього кута графіку) визначено точку відсікання, яка дорівнює величині вмісту рівня Na+ на рівні 115,0 ммоль/л.</w:t>
      </w:r>
      <w:r w:rsidR="00FB4A39" w:rsidRPr="00F90B6B">
        <w:rPr>
          <w:rFonts w:ascii="Times New Roman" w:hAnsi="Times New Roman"/>
          <w:sz w:val="28"/>
          <w:szCs w:val="28"/>
        </w:rPr>
        <w:t xml:space="preserve"> </w:t>
      </w:r>
    </w:p>
    <w:p w:rsidR="00EF4063" w:rsidRPr="00F90B6B" w:rsidRDefault="00FB4A39" w:rsidP="00FB4A39">
      <w:pPr>
        <w:widowControl w:val="0"/>
        <w:spacing w:after="0" w:line="360" w:lineRule="auto"/>
        <w:ind w:firstLine="709"/>
        <w:jc w:val="both"/>
        <w:rPr>
          <w:rFonts w:ascii="Times New Roman" w:hAnsi="Times New Roman"/>
          <w:b/>
          <w:sz w:val="28"/>
          <w:szCs w:val="28"/>
        </w:rPr>
      </w:pPr>
      <w:r w:rsidRPr="00F90B6B">
        <w:rPr>
          <w:rFonts w:ascii="Times New Roman" w:hAnsi="Times New Roman"/>
          <w:sz w:val="28"/>
          <w:szCs w:val="28"/>
        </w:rPr>
        <w:t xml:space="preserve">Цій же величині відповідає й навищий індекс Йодена (42,9, табл. 3.5.8), проте значення вищенаведеного індексу для величин вмісту рівня Na+ у 120,0 та 125,0 ммоль/л дуже мало відрізняються від попереднього (відповідно 40,9 та 40,9), до того ж у результаті в 125,0 ммоль/л спостерігаються приблизно однакові величини чутливості та специфічності (табл. 3.5.8). Крім того, ми додатково враховували коефіцієнти співвідношення 2:1 псевдонегативних результатів до псевдопозитивних і навпаки – псевдопозитивних результатів до псевдонегативних, величини яких склали відповідно 115,0 та 125,0 ммоль/л. Отже, фактично, найбільш оптимальною величиною в якості «точки відсікання» для прогнозування серцево-судинної </w:t>
      </w:r>
      <w:r w:rsidRPr="00F90B6B">
        <w:rPr>
          <w:rFonts w:ascii="Times New Roman" w:hAnsi="Times New Roman"/>
          <w:sz w:val="28"/>
          <w:szCs w:val="28"/>
        </w:rPr>
        <w:lastRenderedPageBreak/>
        <w:t xml:space="preserve">смертності внаслідок декомпенсації ХСН може бути вміст рівня Na+ у межах 115,0-125,0 ммоль/л. </w:t>
      </w:r>
    </w:p>
    <w:p w:rsidR="00EF4063" w:rsidRPr="00F90B6B" w:rsidRDefault="00EF4063" w:rsidP="00F0048B">
      <w:pPr>
        <w:widowControl w:val="0"/>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3.5.8</w:t>
      </w:r>
    </w:p>
    <w:p w:rsidR="00EF4063" w:rsidRPr="00F90B6B" w:rsidRDefault="00EF4063" w:rsidP="00F0048B">
      <w:pPr>
        <w:widowControl w:val="0"/>
        <w:spacing w:after="0" w:line="360" w:lineRule="auto"/>
        <w:jc w:val="center"/>
        <w:rPr>
          <w:rFonts w:ascii="Times New Roman" w:hAnsi="Times New Roman"/>
          <w:b/>
          <w:sz w:val="28"/>
          <w:szCs w:val="28"/>
        </w:rPr>
      </w:pPr>
      <w:r w:rsidRPr="00F90B6B">
        <w:rPr>
          <w:rFonts w:ascii="Times New Roman" w:hAnsi="Times New Roman"/>
          <w:b/>
          <w:sz w:val="28"/>
          <w:szCs w:val="28"/>
        </w:rPr>
        <w:t>Дихотомічний розподіл оцінки вмісту рівня Na+ з використанням точок відсікання з урахуванням претестової вірогідності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73"/>
        <w:gridCol w:w="1694"/>
        <w:gridCol w:w="2105"/>
        <w:gridCol w:w="2457"/>
        <w:gridCol w:w="1826"/>
      </w:tblGrid>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b/>
                <w:sz w:val="28"/>
                <w:szCs w:val="28"/>
              </w:rPr>
            </w:pPr>
            <w:r w:rsidRPr="00F90B6B">
              <w:rPr>
                <w:rFonts w:ascii="Times New Roman" w:hAnsi="Times New Roman"/>
                <w:b/>
                <w:sz w:val="28"/>
                <w:szCs w:val="28"/>
              </w:rPr>
              <w:t>Точка відсікання вмісту</w:t>
            </w:r>
            <w:r w:rsidRPr="00F90B6B">
              <w:rPr>
                <w:rFonts w:ascii="Times New Roman" w:hAnsi="Times New Roman"/>
                <w:b/>
                <w:sz w:val="28"/>
                <w:szCs w:val="28"/>
              </w:rPr>
              <w:br/>
              <w:t xml:space="preserve"> NTproBNP</w:t>
            </w:r>
          </w:p>
        </w:tc>
        <w:tc>
          <w:tcPr>
            <w:tcW w:w="1694" w:type="dxa"/>
            <w:vAlign w:val="center"/>
          </w:tcPr>
          <w:p w:rsidR="00EF4063" w:rsidRPr="00F90B6B" w:rsidRDefault="00EF4063" w:rsidP="00FB4A39">
            <w:pPr>
              <w:widowControl w:val="0"/>
              <w:spacing w:after="0" w:line="288" w:lineRule="auto"/>
              <w:jc w:val="center"/>
              <w:rPr>
                <w:rFonts w:ascii="Times New Roman" w:hAnsi="Times New Roman"/>
                <w:b/>
                <w:sz w:val="28"/>
                <w:szCs w:val="28"/>
              </w:rPr>
            </w:pPr>
            <w:r w:rsidRPr="00F90B6B">
              <w:rPr>
                <w:rFonts w:ascii="Times New Roman" w:hAnsi="Times New Roman"/>
                <w:b/>
                <w:sz w:val="28"/>
                <w:szCs w:val="28"/>
              </w:rPr>
              <w:t>Чутливість (%)</w:t>
            </w:r>
          </w:p>
        </w:tc>
        <w:tc>
          <w:tcPr>
            <w:tcW w:w="2105" w:type="dxa"/>
            <w:vAlign w:val="center"/>
          </w:tcPr>
          <w:p w:rsidR="00EF4063" w:rsidRPr="00F90B6B" w:rsidRDefault="00EF4063" w:rsidP="00FB4A39">
            <w:pPr>
              <w:widowControl w:val="0"/>
              <w:spacing w:after="0" w:line="288" w:lineRule="auto"/>
              <w:jc w:val="center"/>
              <w:rPr>
                <w:rFonts w:ascii="Times New Roman" w:hAnsi="Times New Roman"/>
                <w:b/>
                <w:sz w:val="28"/>
                <w:szCs w:val="28"/>
              </w:rPr>
            </w:pPr>
            <w:r w:rsidRPr="00F90B6B">
              <w:rPr>
                <w:rFonts w:ascii="Times New Roman" w:hAnsi="Times New Roman"/>
                <w:b/>
                <w:sz w:val="28"/>
                <w:szCs w:val="28"/>
              </w:rPr>
              <w:t>Специфічність (%)</w:t>
            </w:r>
          </w:p>
        </w:tc>
        <w:tc>
          <w:tcPr>
            <w:tcW w:w="2457" w:type="dxa"/>
            <w:vAlign w:val="center"/>
          </w:tcPr>
          <w:p w:rsidR="00EF4063" w:rsidRPr="00F90B6B" w:rsidRDefault="00EF4063" w:rsidP="00FB4A39">
            <w:pPr>
              <w:widowControl w:val="0"/>
              <w:spacing w:after="0" w:line="288" w:lineRule="auto"/>
              <w:jc w:val="center"/>
              <w:rPr>
                <w:rFonts w:ascii="Times New Roman" w:hAnsi="Times New Roman"/>
                <w:b/>
                <w:sz w:val="28"/>
                <w:szCs w:val="28"/>
              </w:rPr>
            </w:pPr>
            <w:r w:rsidRPr="00F90B6B">
              <w:rPr>
                <w:rFonts w:ascii="Times New Roman" w:hAnsi="Times New Roman"/>
                <w:b/>
                <w:sz w:val="28"/>
                <w:szCs w:val="28"/>
              </w:rPr>
              <w:t xml:space="preserve">Діагностичне відношення шансів </w:t>
            </w:r>
            <w:r w:rsidRPr="00F90B6B">
              <w:rPr>
                <w:rFonts w:ascii="Times New Roman" w:hAnsi="Times New Roman"/>
                <w:b/>
                <w:sz w:val="28"/>
                <w:szCs w:val="28"/>
              </w:rPr>
              <w:br/>
              <w:t>(Diagnostic OR, DOR)</w:t>
            </w:r>
          </w:p>
        </w:tc>
        <w:tc>
          <w:tcPr>
            <w:tcW w:w="1826" w:type="dxa"/>
            <w:vAlign w:val="center"/>
          </w:tcPr>
          <w:p w:rsidR="00EF4063" w:rsidRPr="00F90B6B" w:rsidRDefault="00EF4063" w:rsidP="00FB4A39">
            <w:pPr>
              <w:widowControl w:val="0"/>
              <w:spacing w:after="0" w:line="288" w:lineRule="auto"/>
              <w:jc w:val="center"/>
              <w:rPr>
                <w:rFonts w:ascii="Times New Roman" w:hAnsi="Times New Roman"/>
                <w:b/>
                <w:sz w:val="28"/>
                <w:szCs w:val="28"/>
              </w:rPr>
            </w:pPr>
            <w:r w:rsidRPr="00F90B6B">
              <w:rPr>
                <w:rFonts w:ascii="Times New Roman" w:hAnsi="Times New Roman"/>
                <w:b/>
                <w:sz w:val="28"/>
                <w:szCs w:val="28"/>
              </w:rPr>
              <w:t>Індекс Йодена (%)</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95,0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100,0</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20,8</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20,8</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105,0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98,2</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33,3</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27,5</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31,5</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115,0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92,9</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50,0</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13,0</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42,9</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120,0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82,1</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58,3</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6,4</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40,9</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125,0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69,6</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70,8</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5,6</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40,5</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130,0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55,4</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79,2</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4,7</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34,5</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135,0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42,9</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83,3</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3,8</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26,2</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145,0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28,6</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91,7</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4,4</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20,2</w:t>
            </w:r>
          </w:p>
        </w:tc>
      </w:tr>
      <w:tr w:rsidR="00EF4063" w:rsidRPr="00F90B6B" w:rsidTr="0076299F">
        <w:tc>
          <w:tcPr>
            <w:tcW w:w="1773"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155,0</w:t>
            </w:r>
          </w:p>
        </w:tc>
        <w:tc>
          <w:tcPr>
            <w:tcW w:w="1694"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14,3</w:t>
            </w:r>
          </w:p>
        </w:tc>
        <w:tc>
          <w:tcPr>
            <w:tcW w:w="2105"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95,8</w:t>
            </w:r>
          </w:p>
        </w:tc>
        <w:tc>
          <w:tcPr>
            <w:tcW w:w="2457"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3,8</w:t>
            </w:r>
          </w:p>
        </w:tc>
        <w:tc>
          <w:tcPr>
            <w:tcW w:w="1826" w:type="dxa"/>
            <w:vAlign w:val="center"/>
          </w:tcPr>
          <w:p w:rsidR="00EF4063" w:rsidRPr="00F90B6B" w:rsidRDefault="00EF4063" w:rsidP="00FB4A39">
            <w:pPr>
              <w:widowControl w:val="0"/>
              <w:spacing w:after="0" w:line="288" w:lineRule="auto"/>
              <w:jc w:val="center"/>
              <w:rPr>
                <w:rFonts w:ascii="Times New Roman" w:hAnsi="Times New Roman"/>
                <w:sz w:val="28"/>
                <w:szCs w:val="28"/>
              </w:rPr>
            </w:pPr>
            <w:r w:rsidRPr="00F90B6B">
              <w:rPr>
                <w:rFonts w:ascii="Times New Roman" w:hAnsi="Times New Roman"/>
                <w:sz w:val="28"/>
                <w:szCs w:val="28"/>
              </w:rPr>
              <w:t>10,1</w:t>
            </w:r>
          </w:p>
        </w:tc>
      </w:tr>
    </w:tbl>
    <w:p w:rsidR="00EF4063" w:rsidRPr="00F90B6B" w:rsidRDefault="00EF4063" w:rsidP="00F0048B">
      <w:pPr>
        <w:pStyle w:val="Style78"/>
        <w:spacing w:line="360" w:lineRule="auto"/>
        <w:ind w:firstLine="709"/>
        <w:jc w:val="both"/>
        <w:rPr>
          <w:sz w:val="28"/>
          <w:szCs w:val="28"/>
        </w:rPr>
      </w:pPr>
      <w:r w:rsidRPr="00F90B6B">
        <w:rPr>
          <w:sz w:val="28"/>
          <w:szCs w:val="28"/>
        </w:rPr>
        <w:t xml:space="preserve">Дані аналізу </w:t>
      </w:r>
      <w:r w:rsidRPr="00F90B6B">
        <w:rPr>
          <w:sz w:val="28"/>
          <w:szCs w:val="28"/>
          <w:lang w:val="uk-UA"/>
        </w:rPr>
        <w:t>за</w:t>
      </w:r>
      <w:r w:rsidRPr="00F90B6B">
        <w:rPr>
          <w:sz w:val="28"/>
          <w:szCs w:val="28"/>
        </w:rPr>
        <w:t xml:space="preserve"> метод</w:t>
      </w:r>
      <w:r w:rsidRPr="00F90B6B">
        <w:rPr>
          <w:sz w:val="28"/>
          <w:szCs w:val="28"/>
          <w:lang w:val="uk-UA"/>
        </w:rPr>
        <w:t>ом</w:t>
      </w:r>
      <w:r w:rsidRPr="00F90B6B">
        <w:rPr>
          <w:sz w:val="28"/>
          <w:szCs w:val="28"/>
        </w:rPr>
        <w:t xml:space="preserve"> Каплана-Мейєра з використанням, log - rank критерію </w:t>
      </w:r>
      <w:r w:rsidRPr="00F90B6B">
        <w:rPr>
          <w:sz w:val="28"/>
          <w:szCs w:val="28"/>
          <w:lang w:val="uk-UA"/>
        </w:rPr>
        <w:t>залежно від вмісту</w:t>
      </w:r>
      <w:r w:rsidRPr="00F90B6B">
        <w:rPr>
          <w:sz w:val="28"/>
          <w:szCs w:val="28"/>
        </w:rPr>
        <w:t xml:space="preserve"> Na+ представлені на </w:t>
      </w:r>
      <w:r w:rsidRPr="00F90B6B">
        <w:rPr>
          <w:sz w:val="28"/>
          <w:szCs w:val="28"/>
          <w:lang w:val="uk-UA"/>
        </w:rPr>
        <w:t>рисунку 3.5.3.</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object w:dxaOrig="5835" w:dyaOrig="4387">
          <v:shape id="_x0000_i1133" type="#_x0000_t75" style="width:291.75pt;height:217.5pt" o:ole="">
            <v:imagedata r:id="rId266" o:title=""/>
          </v:shape>
          <o:OLEObject Type="Embed" ProgID="STATISTICA.Graph" ShapeID="_x0000_i1133" DrawAspect="Content" ObjectID="_1624460856" r:id="rId267">
            <o:FieldCodes>\s</o:FieldCodes>
          </o:OLEObject>
        </w:object>
      </w:r>
    </w:p>
    <w:p w:rsidR="00EF4063" w:rsidRPr="00F90B6B" w:rsidRDefault="00EF4063" w:rsidP="00F0048B">
      <w:pPr>
        <w:pStyle w:val="Style78"/>
        <w:spacing w:line="360" w:lineRule="auto"/>
        <w:ind w:firstLine="709"/>
        <w:jc w:val="both"/>
        <w:rPr>
          <w:sz w:val="28"/>
          <w:szCs w:val="28"/>
        </w:rPr>
      </w:pPr>
      <w:r w:rsidRPr="00F90B6B">
        <w:rPr>
          <w:b/>
          <w:sz w:val="28"/>
          <w:szCs w:val="28"/>
        </w:rPr>
        <w:t xml:space="preserve">Рис. </w:t>
      </w:r>
      <w:r w:rsidRPr="00F90B6B">
        <w:rPr>
          <w:b/>
          <w:sz w:val="28"/>
          <w:szCs w:val="28"/>
          <w:lang w:val="uk-UA"/>
        </w:rPr>
        <w:t>3.5.3.</w:t>
      </w:r>
      <w:r w:rsidRPr="00F90B6B">
        <w:rPr>
          <w:b/>
          <w:sz w:val="28"/>
          <w:szCs w:val="28"/>
        </w:rPr>
        <w:t xml:space="preserve"> </w:t>
      </w:r>
      <w:r w:rsidRPr="00F90B6B">
        <w:rPr>
          <w:sz w:val="28"/>
          <w:szCs w:val="28"/>
        </w:rPr>
        <w:t>Крива Каплана-Мейера для оц</w:t>
      </w:r>
      <w:r w:rsidRPr="00F90B6B">
        <w:rPr>
          <w:sz w:val="28"/>
          <w:szCs w:val="28"/>
          <w:lang w:val="uk-UA"/>
        </w:rPr>
        <w:t>і</w:t>
      </w:r>
      <w:r w:rsidRPr="00F90B6B">
        <w:rPr>
          <w:sz w:val="28"/>
          <w:szCs w:val="28"/>
        </w:rPr>
        <w:t>нки серцево-судинної смертності внаслідок декомпенсації ХСН</w:t>
      </w:r>
      <w:r w:rsidRPr="00F90B6B">
        <w:rPr>
          <w:sz w:val="28"/>
          <w:szCs w:val="28"/>
          <w:lang w:val="uk-UA"/>
        </w:rPr>
        <w:t xml:space="preserve"> при низькому та нормальному рівні </w:t>
      </w:r>
      <w:r w:rsidRPr="00F90B6B">
        <w:rPr>
          <w:sz w:val="28"/>
          <w:szCs w:val="28"/>
        </w:rPr>
        <w:t>Na+.</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lastRenderedPageBreak/>
        <w:t>Також ми проаналізували значення «поєднаного» ризику за наявності гіпонатріємії та ожиріння. Число пацієнтів з гіпонатріємією, включених в ретроспективне дослідження, сягало 78 чоловік, з них ожиріння верифіковане у 66 пацієнтів. Кількість летальних випадків у хворих з гіпонатріємією становило 35, з них на фоні ожиріння – 32 чол.</w:t>
      </w:r>
      <w:r w:rsidRPr="00F90B6B">
        <w:rPr>
          <w:sz w:val="28"/>
          <w:szCs w:val="28"/>
          <w:lang w:eastAsia="uk-UA"/>
        </w:rPr>
        <w:t xml:space="preserve"> </w:t>
      </w:r>
      <w:r w:rsidRPr="00F90B6B">
        <w:rPr>
          <w:sz w:val="28"/>
          <w:szCs w:val="28"/>
          <w:lang w:val="uk-UA" w:eastAsia="uk-UA"/>
        </w:rPr>
        <w:t>І хоча, абсолютний ризик серцево-судинної смертності при поєднанні гіпонатріємії та ожиріння підвищувався на 23,0%, показники відносного ризику та відношення шансів були невірогідними (RR - 1,94 [0,71-5,34], OR - 2,82 [0,70-11,4], p&gt;0,05), табл. 3.5.9.</w:t>
      </w:r>
    </w:p>
    <w:p w:rsidR="00EF4063" w:rsidRPr="00F90B6B" w:rsidRDefault="00EF4063" w:rsidP="00F0048B">
      <w:pPr>
        <w:pStyle w:val="Style78"/>
        <w:spacing w:line="360" w:lineRule="auto"/>
        <w:ind w:firstLine="709"/>
        <w:jc w:val="right"/>
        <w:rPr>
          <w:i/>
          <w:sz w:val="28"/>
          <w:szCs w:val="28"/>
          <w:lang w:val="uk-UA" w:eastAsia="uk-UA"/>
        </w:rPr>
      </w:pPr>
      <w:r w:rsidRPr="00F90B6B">
        <w:rPr>
          <w:i/>
          <w:sz w:val="28"/>
          <w:szCs w:val="28"/>
          <w:lang w:val="uk-UA" w:eastAsia="uk-UA"/>
        </w:rPr>
        <w:t>Таблиця 3.5.9</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Вірогідність серцево-судинної смертності хворих з ХСН за наявності гіпонатріемії та ожиріння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634277">
        <w:tc>
          <w:tcPr>
            <w:tcW w:w="3020" w:type="dxa"/>
            <w:vAlign w:val="center"/>
          </w:tcPr>
          <w:p w:rsidR="00EF4063" w:rsidRPr="00F90B6B" w:rsidRDefault="00EF4063" w:rsidP="00FB4A39">
            <w:pPr>
              <w:spacing w:after="0" w:line="288" w:lineRule="auto"/>
              <w:jc w:val="center"/>
              <w:rPr>
                <w:rFonts w:ascii="Times New Roman" w:hAnsi="Times New Roman"/>
                <w:b/>
                <w:sz w:val="28"/>
                <w:szCs w:val="28"/>
                <w:lang w:eastAsia="uk-UA"/>
              </w:rPr>
            </w:pPr>
            <w:r w:rsidRPr="00F90B6B">
              <w:rPr>
                <w:rFonts w:ascii="Times New Roman" w:hAnsi="Times New Roman"/>
                <w:b/>
                <w:sz w:val="28"/>
                <w:szCs w:val="28"/>
                <w:lang w:eastAsia="ru-RU"/>
              </w:rPr>
              <w:t>Показник</w:t>
            </w:r>
          </w:p>
        </w:tc>
        <w:tc>
          <w:tcPr>
            <w:tcW w:w="2216" w:type="dxa"/>
            <w:vAlign w:val="center"/>
          </w:tcPr>
          <w:p w:rsidR="00EF4063" w:rsidRPr="00F90B6B" w:rsidRDefault="00EF4063" w:rsidP="00FB4A39">
            <w:pPr>
              <w:spacing w:after="0" w:line="288"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Гіпонатріємія з ожирінням</w:t>
            </w:r>
          </w:p>
        </w:tc>
        <w:tc>
          <w:tcPr>
            <w:tcW w:w="2216" w:type="dxa"/>
            <w:vAlign w:val="center"/>
          </w:tcPr>
          <w:p w:rsidR="00EF4063" w:rsidRPr="00F90B6B" w:rsidRDefault="00EF4063" w:rsidP="00FB4A39">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48,0</w:t>
            </w:r>
          </w:p>
        </w:tc>
        <w:tc>
          <w:tcPr>
            <w:tcW w:w="2243" w:type="dxa"/>
            <w:vMerge w:val="restart"/>
            <w:vAlign w:val="center"/>
          </w:tcPr>
          <w:p w:rsidR="00EF4063" w:rsidRPr="00F90B6B" w:rsidRDefault="00EF4063" w:rsidP="00FB4A39">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val="en-US" w:eastAsia="uk-UA"/>
              </w:rPr>
              <w:t>1,94</w:t>
            </w:r>
          </w:p>
          <w:p w:rsidR="00EF4063" w:rsidRPr="00F90B6B" w:rsidRDefault="00EF4063" w:rsidP="00FB4A39">
            <w:pPr>
              <w:spacing w:after="0" w:line="288"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[0,7</w:t>
            </w:r>
            <w:r w:rsidRPr="00F90B6B">
              <w:rPr>
                <w:rFonts w:ascii="Times New Roman" w:hAnsi="Times New Roman"/>
                <w:sz w:val="28"/>
                <w:szCs w:val="28"/>
                <w:lang w:eastAsia="uk-UA"/>
              </w:rPr>
              <w:t>1-</w:t>
            </w:r>
            <w:r w:rsidRPr="00F90B6B">
              <w:rPr>
                <w:rFonts w:ascii="Times New Roman" w:hAnsi="Times New Roman"/>
                <w:sz w:val="28"/>
                <w:szCs w:val="28"/>
                <w:lang w:val="en-US" w:eastAsia="uk-UA"/>
              </w:rPr>
              <w:t>5,3</w:t>
            </w:r>
            <w:r w:rsidRPr="00F90B6B">
              <w:rPr>
                <w:rFonts w:ascii="Times New Roman" w:hAnsi="Times New Roman"/>
                <w:sz w:val="28"/>
                <w:szCs w:val="28"/>
                <w:lang w:eastAsia="uk-UA"/>
              </w:rPr>
              <w:t>4</w:t>
            </w:r>
            <w:r w:rsidRPr="00F90B6B">
              <w:rPr>
                <w:rFonts w:ascii="Times New Roman" w:hAnsi="Times New Roman"/>
                <w:sz w:val="28"/>
                <w:szCs w:val="28"/>
                <w:lang w:val="en-US" w:eastAsia="uk-UA"/>
              </w:rPr>
              <w:t>]</w:t>
            </w:r>
          </w:p>
          <w:p w:rsidR="00EF4063" w:rsidRPr="00F90B6B" w:rsidRDefault="00EF4063" w:rsidP="00FB4A39">
            <w:pPr>
              <w:spacing w:after="0" w:line="288"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p&gt;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2163" w:type="dxa"/>
            <w:vMerge w:val="restart"/>
            <w:vAlign w:val="center"/>
          </w:tcPr>
          <w:p w:rsidR="00EF4063" w:rsidRPr="00F90B6B" w:rsidRDefault="00EF4063" w:rsidP="00FB4A39">
            <w:pPr>
              <w:spacing w:after="0" w:line="288"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2,82</w:t>
            </w:r>
          </w:p>
          <w:p w:rsidR="00EF4063" w:rsidRPr="00F90B6B" w:rsidRDefault="00EF4063" w:rsidP="00FB4A39">
            <w:pPr>
              <w:spacing w:after="0" w:line="288"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[0,70</w:t>
            </w:r>
            <w:r w:rsidRPr="00F90B6B">
              <w:rPr>
                <w:rFonts w:ascii="Times New Roman" w:hAnsi="Times New Roman"/>
                <w:sz w:val="28"/>
                <w:szCs w:val="28"/>
                <w:lang w:eastAsia="ru-RU"/>
              </w:rPr>
              <w:t>-</w:t>
            </w:r>
            <w:r w:rsidRPr="00F90B6B">
              <w:rPr>
                <w:rFonts w:ascii="Times New Roman" w:hAnsi="Times New Roman"/>
                <w:sz w:val="28"/>
                <w:szCs w:val="28"/>
                <w:lang w:val="en-US" w:eastAsia="ru-RU"/>
              </w:rPr>
              <w:t>11,</w:t>
            </w:r>
            <w:r w:rsidRPr="00F90B6B">
              <w:rPr>
                <w:rFonts w:ascii="Times New Roman" w:hAnsi="Times New Roman"/>
                <w:sz w:val="28"/>
                <w:szCs w:val="28"/>
                <w:lang w:eastAsia="ru-RU"/>
              </w:rPr>
              <w:t>4</w:t>
            </w:r>
            <w:r w:rsidRPr="00F90B6B">
              <w:rPr>
                <w:rFonts w:ascii="Times New Roman" w:hAnsi="Times New Roman"/>
                <w:sz w:val="28"/>
                <w:szCs w:val="28"/>
                <w:lang w:val="en-US" w:eastAsia="ru-RU"/>
              </w:rPr>
              <w:t>]</w:t>
            </w:r>
          </w:p>
          <w:p w:rsidR="00EF4063" w:rsidRPr="00F90B6B" w:rsidRDefault="00EF4063" w:rsidP="00FB4A39">
            <w:pPr>
              <w:spacing w:after="0" w:line="288"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p&gt;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3020" w:type="dxa"/>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Гіпонатріємія без ожиріння</w:t>
            </w:r>
          </w:p>
        </w:tc>
        <w:tc>
          <w:tcPr>
            <w:tcW w:w="2216" w:type="dxa"/>
            <w:vAlign w:val="center"/>
          </w:tcPr>
          <w:p w:rsidR="00EF4063" w:rsidRPr="00F90B6B" w:rsidRDefault="00EF4063" w:rsidP="00FB4A39">
            <w:pPr>
              <w:spacing w:after="0" w:line="288" w:lineRule="auto"/>
              <w:jc w:val="center"/>
              <w:rPr>
                <w:rFonts w:ascii="Times New Roman" w:hAnsi="Times New Roman"/>
                <w:sz w:val="28"/>
                <w:szCs w:val="28"/>
                <w:lang w:eastAsia="uk-UA"/>
              </w:rPr>
            </w:pPr>
            <w:r w:rsidRPr="00F90B6B">
              <w:rPr>
                <w:rFonts w:ascii="Times New Roman" w:hAnsi="Times New Roman"/>
                <w:sz w:val="28"/>
                <w:szCs w:val="28"/>
                <w:lang w:eastAsia="uk-UA"/>
              </w:rPr>
              <w:t>25,0</w:t>
            </w:r>
          </w:p>
        </w:tc>
        <w:tc>
          <w:tcPr>
            <w:tcW w:w="0" w:type="auto"/>
            <w:vMerge/>
            <w:vAlign w:val="center"/>
          </w:tcPr>
          <w:p w:rsidR="00EF4063" w:rsidRPr="00F90B6B" w:rsidRDefault="00EF4063" w:rsidP="00FB4A39">
            <w:pPr>
              <w:spacing w:after="0" w:line="288" w:lineRule="auto"/>
              <w:rPr>
                <w:rFonts w:ascii="Times New Roman" w:hAnsi="Times New Roman"/>
                <w:sz w:val="28"/>
                <w:szCs w:val="28"/>
                <w:lang w:val="en-US" w:eastAsia="uk-UA"/>
              </w:rPr>
            </w:pPr>
          </w:p>
        </w:tc>
        <w:tc>
          <w:tcPr>
            <w:tcW w:w="0" w:type="auto"/>
            <w:vMerge/>
            <w:vAlign w:val="center"/>
          </w:tcPr>
          <w:p w:rsidR="00EF4063" w:rsidRPr="00F90B6B" w:rsidRDefault="00EF4063" w:rsidP="00FB4A39">
            <w:pPr>
              <w:spacing w:after="0" w:line="288" w:lineRule="auto"/>
              <w:rPr>
                <w:rFonts w:ascii="Times New Roman" w:hAnsi="Times New Roman"/>
                <w:sz w:val="28"/>
                <w:szCs w:val="28"/>
                <w:lang w:val="en-US" w:eastAsia="ru-RU"/>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 xml:space="preserve">Наступним кроком був аналіз лабораторних показників у хворих з ХСН, їх значення для прогресування та декомпенсації захворювання, а також ступеня внеску гіпонатріємії. </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Серед традиційно прийнятих факторів ризику для прогресування ХСН було розглянуто значення показників, що характеризують ступінь дисліпідемії, табл. 3.5.10.</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Цікавим фактом було те, що в групі пацієнтів, які відібрані для ретроспективного спостереження у відділенні реанімації та інтенсивної терапії з випадками серцево-судинної смертності за причини прогресування ХСН, відмічено більш низькі показники загального холестерину (</w:t>
      </w:r>
      <w:r w:rsidRPr="00F90B6B">
        <w:rPr>
          <w:sz w:val="28"/>
          <w:szCs w:val="28"/>
          <w:lang w:val="en-US"/>
        </w:rPr>
        <w:t>p</w:t>
      </w:r>
      <w:r w:rsidRPr="00F90B6B">
        <w:rPr>
          <w:sz w:val="28"/>
          <w:szCs w:val="28"/>
          <w:lang w:val="uk-UA"/>
        </w:rPr>
        <w:t>&lt;0,05), ЛПНЩ (</w:t>
      </w:r>
      <w:r w:rsidRPr="00F90B6B">
        <w:rPr>
          <w:sz w:val="28"/>
          <w:szCs w:val="28"/>
          <w:lang w:val="en-US"/>
        </w:rPr>
        <w:t>p</w:t>
      </w:r>
      <w:r w:rsidRPr="00F90B6B">
        <w:rPr>
          <w:sz w:val="28"/>
          <w:szCs w:val="28"/>
          <w:lang w:val="uk-UA"/>
        </w:rPr>
        <w:t>&lt;0,05), ЛПДНЩ (</w:t>
      </w:r>
      <w:r w:rsidRPr="00F90B6B">
        <w:rPr>
          <w:sz w:val="28"/>
          <w:szCs w:val="28"/>
          <w:lang w:val="en-US"/>
        </w:rPr>
        <w:t>p</w:t>
      </w:r>
      <w:r w:rsidRPr="00F90B6B">
        <w:rPr>
          <w:sz w:val="28"/>
          <w:szCs w:val="28"/>
          <w:lang w:val="uk-UA"/>
        </w:rPr>
        <w:t>&lt;0,05), а також більш високий рівень ЛПВЩ (</w:t>
      </w:r>
      <w:r w:rsidRPr="00F90B6B">
        <w:rPr>
          <w:sz w:val="28"/>
          <w:szCs w:val="28"/>
          <w:lang w:val="en-US"/>
        </w:rPr>
        <w:t>p</w:t>
      </w:r>
      <w:r w:rsidRPr="00F90B6B">
        <w:rPr>
          <w:sz w:val="28"/>
          <w:szCs w:val="28"/>
          <w:lang w:val="uk-UA"/>
        </w:rPr>
        <w:t xml:space="preserve">&lt;0,05). І хоча, гіперхолестеринемія вважається фактором ризику ішемічної хвороби серця, що підтверджено в рамках Фремінгемского дослідження [116] та представлено в останніх Рекомендаціях з </w:t>
      </w:r>
      <w:r w:rsidRPr="00F90B6B">
        <w:rPr>
          <w:sz w:val="28"/>
          <w:szCs w:val="28"/>
          <w:lang w:val="uk-UA"/>
        </w:rPr>
        <w:lastRenderedPageBreak/>
        <w:t xml:space="preserve">профілактики Європейського товариства кардіологів, ці дані стосуються, в першу чергу, вірогідності коронарних подій. Натомість, є роботи, які вказують на наявність так званого «парадоксу» у хворих з ХСН </w:t>
      </w:r>
      <w:r w:rsidRPr="00F90B6B">
        <w:rPr>
          <w:sz w:val="28"/>
          <w:szCs w:val="28"/>
        </w:rPr>
        <w:t>[16]</w:t>
      </w:r>
      <w:r w:rsidRPr="00F90B6B">
        <w:rPr>
          <w:sz w:val="28"/>
          <w:szCs w:val="28"/>
          <w:lang w:val="uk-UA"/>
        </w:rPr>
        <w:t>.</w:t>
      </w:r>
    </w:p>
    <w:p w:rsidR="00EF4063" w:rsidRPr="00F90B6B" w:rsidRDefault="00EF4063" w:rsidP="00F0048B">
      <w:pPr>
        <w:spacing w:after="0" w:line="360" w:lineRule="auto"/>
        <w:jc w:val="right"/>
        <w:rPr>
          <w:rFonts w:ascii="Times New Roman" w:hAnsi="Times New Roman"/>
          <w:i/>
          <w:sz w:val="28"/>
          <w:szCs w:val="28"/>
          <w:lang w:eastAsia="ru-RU"/>
        </w:rPr>
      </w:pPr>
      <w:r w:rsidRPr="00F90B6B">
        <w:rPr>
          <w:rFonts w:ascii="Times New Roman" w:hAnsi="Times New Roman"/>
          <w:i/>
          <w:sz w:val="28"/>
          <w:szCs w:val="28"/>
          <w:lang w:eastAsia="ru-RU"/>
        </w:rPr>
        <w:t>Таблиця 3.5.10</w:t>
      </w:r>
    </w:p>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Показники ліпідограми та вірогідність серцево-судинної смертності внаслідок прогресування серцевої недостатності у хворих з ХСН</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443"/>
        <w:gridCol w:w="2464"/>
        <w:gridCol w:w="2464"/>
        <w:gridCol w:w="1050"/>
      </w:tblGrid>
      <w:tr w:rsidR="00EF4063" w:rsidRPr="00F90B6B" w:rsidTr="00634277">
        <w:tc>
          <w:tcPr>
            <w:tcW w:w="2132" w:type="pct"/>
            <w:vAlign w:val="center"/>
          </w:tcPr>
          <w:p w:rsidR="00EF4063" w:rsidRPr="00F90B6B" w:rsidRDefault="00EF4063" w:rsidP="00FB4A39">
            <w:pPr>
              <w:spacing w:after="0" w:line="288" w:lineRule="auto"/>
              <w:jc w:val="center"/>
              <w:rPr>
                <w:rFonts w:ascii="Times New Roman" w:hAnsi="Times New Roman"/>
                <w:b/>
                <w:sz w:val="28"/>
                <w:szCs w:val="28"/>
                <w:lang w:eastAsia="ru-RU"/>
              </w:rPr>
            </w:pPr>
            <w:r w:rsidRPr="00F90B6B">
              <w:rPr>
                <w:rFonts w:ascii="Times New Roman" w:hAnsi="Times New Roman"/>
                <w:b/>
                <w:sz w:val="28"/>
                <w:szCs w:val="28"/>
                <w:lang w:eastAsia="ru-RU"/>
              </w:rPr>
              <w:t>Показник</w:t>
            </w:r>
          </w:p>
        </w:tc>
        <w:tc>
          <w:tcPr>
            <w:tcW w:w="1182" w:type="pct"/>
            <w:vAlign w:val="center"/>
          </w:tcPr>
          <w:p w:rsidR="00EF4063" w:rsidRPr="00F90B6B" w:rsidRDefault="00EF4063" w:rsidP="00FB4A39">
            <w:pPr>
              <w:spacing w:after="0" w:line="288" w:lineRule="auto"/>
              <w:jc w:val="center"/>
              <w:rPr>
                <w:rFonts w:ascii="Times New Roman" w:hAnsi="Times New Roman"/>
                <w:b/>
                <w:sz w:val="28"/>
                <w:szCs w:val="28"/>
                <w:lang w:val="en-US" w:eastAsia="ru-RU"/>
              </w:rPr>
            </w:pPr>
            <w:r w:rsidRPr="00F90B6B">
              <w:rPr>
                <w:rFonts w:ascii="Times New Roman" w:hAnsi="Times New Roman"/>
                <w:b/>
                <w:sz w:val="28"/>
                <w:szCs w:val="28"/>
                <w:lang w:eastAsia="ru-RU"/>
              </w:rPr>
              <w:t>Компенсований перебіг ХСН</w:t>
            </w:r>
          </w:p>
          <w:p w:rsidR="00EF4063" w:rsidRPr="00F90B6B" w:rsidRDefault="00EF4063" w:rsidP="00FB4A39">
            <w:pPr>
              <w:spacing w:after="0" w:line="288"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w:t>
            </w:r>
            <w:r w:rsidRPr="00F90B6B">
              <w:rPr>
                <w:rFonts w:ascii="Times New Roman" w:hAnsi="Times New Roman"/>
                <w:b/>
                <w:sz w:val="28"/>
                <w:szCs w:val="28"/>
                <w:lang w:eastAsia="ru-RU"/>
              </w:rPr>
              <w:t>136</w:t>
            </w:r>
          </w:p>
        </w:tc>
        <w:tc>
          <w:tcPr>
            <w:tcW w:w="1182" w:type="pct"/>
            <w:vAlign w:val="center"/>
          </w:tcPr>
          <w:p w:rsidR="00EF4063" w:rsidRPr="00F90B6B" w:rsidRDefault="00EF4063" w:rsidP="00FB4A39">
            <w:pPr>
              <w:spacing w:after="0" w:line="288" w:lineRule="auto"/>
              <w:jc w:val="center"/>
              <w:rPr>
                <w:rFonts w:ascii="Times New Roman" w:hAnsi="Times New Roman"/>
                <w:b/>
                <w:sz w:val="28"/>
                <w:szCs w:val="28"/>
                <w:lang w:eastAsia="ru-RU"/>
              </w:rPr>
            </w:pPr>
            <w:r w:rsidRPr="00F90B6B">
              <w:rPr>
                <w:rFonts w:ascii="Times New Roman" w:hAnsi="Times New Roman"/>
                <w:b/>
                <w:sz w:val="28"/>
                <w:szCs w:val="28"/>
                <w:lang w:eastAsia="ru-RU"/>
              </w:rPr>
              <w:t>Декомпенсація ХСН</w:t>
            </w:r>
          </w:p>
          <w:p w:rsidR="00EF4063" w:rsidRPr="00F90B6B" w:rsidRDefault="00EF4063" w:rsidP="00FB4A39">
            <w:pPr>
              <w:spacing w:after="0" w:line="288"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n=81</w:t>
            </w:r>
          </w:p>
        </w:tc>
        <w:tc>
          <w:tcPr>
            <w:tcW w:w="504" w:type="pct"/>
            <w:vAlign w:val="center"/>
          </w:tcPr>
          <w:p w:rsidR="00EF4063" w:rsidRPr="00F90B6B" w:rsidRDefault="00EF4063" w:rsidP="00FB4A39">
            <w:pPr>
              <w:spacing w:after="0" w:line="288" w:lineRule="auto"/>
              <w:jc w:val="center"/>
              <w:rPr>
                <w:rFonts w:ascii="Times New Roman" w:hAnsi="Times New Roman"/>
                <w:b/>
                <w:sz w:val="28"/>
                <w:szCs w:val="28"/>
                <w:lang w:eastAsia="ru-RU"/>
              </w:rPr>
            </w:pPr>
            <w:r w:rsidRPr="00F90B6B">
              <w:rPr>
                <w:rFonts w:ascii="Times New Roman" w:hAnsi="Times New Roman"/>
                <w:b/>
                <w:sz w:val="28"/>
                <w:szCs w:val="28"/>
                <w:lang w:eastAsia="ru-RU"/>
              </w:rPr>
              <w:t>р</w:t>
            </w:r>
          </w:p>
        </w:tc>
      </w:tr>
      <w:tr w:rsidR="00EF4063" w:rsidRPr="00F90B6B" w:rsidTr="00634277">
        <w:tc>
          <w:tcPr>
            <w:tcW w:w="213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Загальний холестерин, ммоль/л</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5,05±1,08</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4,31±1,26</w:t>
            </w:r>
          </w:p>
        </w:tc>
        <w:tc>
          <w:tcPr>
            <w:tcW w:w="504"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&lt;0,01</w:t>
            </w:r>
          </w:p>
        </w:tc>
      </w:tr>
      <w:tr w:rsidR="00EF4063" w:rsidRPr="00F90B6B" w:rsidTr="00634277">
        <w:tc>
          <w:tcPr>
            <w:tcW w:w="213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ЛПНЩ, ммоль/л</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2,94±1,13</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2,54±1,10</w:t>
            </w:r>
          </w:p>
        </w:tc>
        <w:tc>
          <w:tcPr>
            <w:tcW w:w="504" w:type="pct"/>
            <w:vAlign w:val="center"/>
          </w:tcPr>
          <w:p w:rsidR="00EF4063" w:rsidRPr="00F90B6B" w:rsidRDefault="00EF4063" w:rsidP="00FB4A39">
            <w:pPr>
              <w:spacing w:after="0" w:line="288" w:lineRule="auto"/>
              <w:jc w:val="center"/>
              <w:rPr>
                <w:rFonts w:ascii="Times New Roman" w:hAnsi="Times New Roman"/>
                <w:sz w:val="28"/>
                <w:szCs w:val="28"/>
                <w:lang w:val="en-US" w:eastAsia="ru-RU"/>
              </w:rPr>
            </w:pPr>
            <w:r w:rsidRPr="00F90B6B">
              <w:rPr>
                <w:rFonts w:ascii="Times New Roman" w:hAnsi="Times New Roman"/>
                <w:sz w:val="28"/>
                <w:szCs w:val="28"/>
                <w:lang w:val="en-US"/>
              </w:rPr>
              <w:t>&lt;0,01</w:t>
            </w:r>
          </w:p>
        </w:tc>
      </w:tr>
      <w:tr w:rsidR="00EF4063" w:rsidRPr="00F90B6B" w:rsidTr="00634277">
        <w:tc>
          <w:tcPr>
            <w:tcW w:w="213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ЛПДНЩ, ммоль/л</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0,73±0,26</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0,64±0,19</w:t>
            </w:r>
          </w:p>
        </w:tc>
        <w:tc>
          <w:tcPr>
            <w:tcW w:w="504" w:type="pct"/>
            <w:vAlign w:val="center"/>
          </w:tcPr>
          <w:p w:rsidR="00EF4063" w:rsidRPr="00F90B6B" w:rsidRDefault="00EF4063" w:rsidP="00FB4A39">
            <w:pPr>
              <w:spacing w:after="0" w:line="288" w:lineRule="auto"/>
              <w:jc w:val="center"/>
              <w:rPr>
                <w:rFonts w:ascii="Times New Roman" w:hAnsi="Times New Roman"/>
                <w:sz w:val="28"/>
                <w:szCs w:val="28"/>
                <w:lang w:val="en-US" w:eastAsia="ru-RU"/>
              </w:rPr>
            </w:pPr>
            <w:r w:rsidRPr="00F90B6B">
              <w:rPr>
                <w:rFonts w:ascii="Times New Roman" w:hAnsi="Times New Roman"/>
                <w:sz w:val="28"/>
                <w:szCs w:val="28"/>
                <w:lang w:val="en-US"/>
              </w:rPr>
              <w:t>&lt;0,01</w:t>
            </w:r>
          </w:p>
        </w:tc>
      </w:tr>
      <w:tr w:rsidR="00EF4063" w:rsidRPr="00F90B6B" w:rsidTr="00634277">
        <w:tc>
          <w:tcPr>
            <w:tcW w:w="213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ЛПВЩ, ммоль/л</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1,28±0,29</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1,46±0,52</w:t>
            </w:r>
          </w:p>
        </w:tc>
        <w:tc>
          <w:tcPr>
            <w:tcW w:w="504"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&lt;0,01</w:t>
            </w:r>
          </w:p>
        </w:tc>
      </w:tr>
      <w:tr w:rsidR="00EF4063" w:rsidRPr="00F90B6B" w:rsidTr="00634277">
        <w:tc>
          <w:tcPr>
            <w:tcW w:w="213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Тригліцериди, ммоль/л</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1,50±0,70</w:t>
            </w:r>
          </w:p>
        </w:tc>
        <w:tc>
          <w:tcPr>
            <w:tcW w:w="118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1,42±0,44</w:t>
            </w:r>
          </w:p>
        </w:tc>
        <w:tc>
          <w:tcPr>
            <w:tcW w:w="504"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&gt;0,05</w:t>
            </w:r>
          </w:p>
        </w:tc>
      </w:tr>
    </w:tbl>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en-US" w:eastAsia="uk-UA"/>
        </w:rPr>
        <w:t>p</w:t>
      </w:r>
      <w:r w:rsidRPr="00F90B6B">
        <w:rPr>
          <w:sz w:val="28"/>
          <w:szCs w:val="28"/>
          <w:lang w:eastAsia="uk-UA"/>
        </w:rPr>
        <w:t xml:space="preserve"> – </w:t>
      </w:r>
      <w:r w:rsidRPr="00F90B6B">
        <w:rPr>
          <w:sz w:val="28"/>
          <w:szCs w:val="28"/>
          <w:lang w:val="uk-UA" w:eastAsia="uk-UA"/>
        </w:rPr>
        <w:t>вірогідність різниці показників</w:t>
      </w:r>
      <w:r w:rsidRPr="00F90B6B">
        <w:rPr>
          <w:sz w:val="28"/>
          <w:szCs w:val="28"/>
          <w:lang w:eastAsia="uk-UA"/>
        </w:rPr>
        <w:t>.</w:t>
      </w:r>
    </w:p>
    <w:p w:rsidR="00EF4063" w:rsidRPr="00F90B6B" w:rsidRDefault="00EF4063" w:rsidP="00F0048B">
      <w:pPr>
        <w:pStyle w:val="Style78"/>
        <w:spacing w:line="360" w:lineRule="auto"/>
        <w:ind w:firstLine="709"/>
        <w:jc w:val="both"/>
        <w:rPr>
          <w:sz w:val="28"/>
          <w:szCs w:val="28"/>
        </w:rPr>
      </w:pPr>
      <w:r w:rsidRPr="00F90B6B">
        <w:rPr>
          <w:sz w:val="28"/>
          <w:szCs w:val="28"/>
          <w:lang w:val="uk-UA"/>
        </w:rPr>
        <w:t>Групою вчених з Великобританії також підтверджено гіпотезу про те, що більш низькі, а не високі рівні загального холестерину пов'язані з поганим клінічним результатом у пацієнтів з ХСН [</w:t>
      </w:r>
      <w:r w:rsidRPr="00F90B6B">
        <w:rPr>
          <w:sz w:val="28"/>
          <w:szCs w:val="28"/>
        </w:rPr>
        <w:t xml:space="preserve">178]. </w:t>
      </w:r>
      <w:r w:rsidRPr="00F90B6B">
        <w:rPr>
          <w:sz w:val="28"/>
          <w:szCs w:val="28"/>
          <w:lang w:val="uk-UA"/>
        </w:rPr>
        <w:t>В цій роботі вказується, що т</w:t>
      </w:r>
      <w:r w:rsidRPr="00F90B6B">
        <w:rPr>
          <w:sz w:val="28"/>
          <w:szCs w:val="28"/>
        </w:rPr>
        <w:t xml:space="preserve">ривалість ХСН не була предиктором смертності, при цьому низький рівень </w:t>
      </w:r>
      <w:r w:rsidRPr="00F90B6B">
        <w:rPr>
          <w:sz w:val="28"/>
          <w:szCs w:val="28"/>
          <w:lang w:val="uk-UA"/>
        </w:rPr>
        <w:t>загального холестерину</w:t>
      </w:r>
      <w:r w:rsidRPr="00F90B6B">
        <w:rPr>
          <w:sz w:val="28"/>
          <w:szCs w:val="28"/>
        </w:rPr>
        <w:t xml:space="preserve"> в сироватці крові асоціювався зі збільшенням смертності.</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Прогностичну роль рівня загального холестерину та тригліцеридів у пацієнтів з ХСН та зниженою ФВ ЛШ (≤40%) оцінювали в рамках дослідження EVEREST Trial. Після аналізу даних 3 957 пацієнтів були виявлено, що особи з більш низьким рівнем загального холестерину, зазвичай, мали більш низький рівень артеріального тиску, більш низьку ФВ ЛШ, більш низький рівень сироваткового натрію та альбуміну, більш високі рівні натрійуретичного пептиду та креатиніну, більш важкий функціональний клас ХСН за NYHA (р&lt;0,001) [99].</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Надалі було проаналізовано значення таких нетрадиційних факторів ризику як загальний клітинний склад крові, рівень гемоглобіну та гематокриту, їх співвідношення з вірогідністю прогресування ХСН, табл. 3.5.11.</w:t>
      </w:r>
    </w:p>
    <w:p w:rsidR="00EF4063" w:rsidRPr="00F90B6B" w:rsidRDefault="00FB4A39" w:rsidP="00F0048B">
      <w:pPr>
        <w:spacing w:after="0" w:line="360" w:lineRule="auto"/>
        <w:ind w:firstLine="708"/>
        <w:jc w:val="right"/>
        <w:rPr>
          <w:rFonts w:ascii="Times New Roman" w:hAnsi="Times New Roman"/>
          <w:i/>
          <w:sz w:val="28"/>
          <w:szCs w:val="28"/>
          <w:lang w:eastAsia="ru-RU"/>
        </w:rPr>
      </w:pPr>
      <w:r w:rsidRPr="00F90B6B">
        <w:rPr>
          <w:rFonts w:ascii="Times New Roman" w:hAnsi="Times New Roman"/>
          <w:i/>
          <w:sz w:val="28"/>
          <w:szCs w:val="28"/>
          <w:lang w:eastAsia="ru-RU"/>
        </w:rPr>
        <w:br w:type="page"/>
      </w:r>
      <w:r w:rsidR="00EF4063" w:rsidRPr="00F90B6B">
        <w:rPr>
          <w:rFonts w:ascii="Times New Roman" w:hAnsi="Times New Roman"/>
          <w:i/>
          <w:sz w:val="28"/>
          <w:szCs w:val="28"/>
          <w:lang w:eastAsia="ru-RU"/>
        </w:rPr>
        <w:lastRenderedPageBreak/>
        <w:t>Таблиця 3.5.11</w:t>
      </w:r>
    </w:p>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Показники гемограми та вірогідність серцево-судинної смертності внаслідок прогресування серцевої недостатності у хворих з ХСН</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964"/>
        <w:gridCol w:w="2693"/>
        <w:gridCol w:w="2693"/>
        <w:gridCol w:w="1071"/>
      </w:tblGrid>
      <w:tr w:rsidR="00EF4063" w:rsidRPr="00F90B6B" w:rsidTr="00634277">
        <w:tc>
          <w:tcPr>
            <w:tcW w:w="1902" w:type="pct"/>
            <w:vAlign w:val="center"/>
          </w:tcPr>
          <w:p w:rsidR="00EF4063" w:rsidRPr="00F90B6B" w:rsidRDefault="00EF4063" w:rsidP="00FB4A39">
            <w:pPr>
              <w:spacing w:after="0" w:line="288" w:lineRule="auto"/>
              <w:jc w:val="center"/>
              <w:rPr>
                <w:rFonts w:ascii="Times New Roman" w:hAnsi="Times New Roman"/>
                <w:b/>
                <w:sz w:val="28"/>
                <w:szCs w:val="28"/>
                <w:lang w:eastAsia="ru-RU"/>
              </w:rPr>
            </w:pPr>
            <w:r w:rsidRPr="00F90B6B">
              <w:rPr>
                <w:rFonts w:ascii="Times New Roman" w:hAnsi="Times New Roman"/>
                <w:b/>
                <w:sz w:val="28"/>
                <w:szCs w:val="28"/>
                <w:lang w:eastAsia="ru-RU"/>
              </w:rPr>
              <w:t>Показник</w:t>
            </w:r>
          </w:p>
        </w:tc>
        <w:tc>
          <w:tcPr>
            <w:tcW w:w="1292" w:type="pct"/>
            <w:vAlign w:val="center"/>
          </w:tcPr>
          <w:p w:rsidR="00EF4063" w:rsidRPr="00F90B6B" w:rsidRDefault="00EF4063" w:rsidP="00FB4A39">
            <w:pPr>
              <w:spacing w:after="0" w:line="288" w:lineRule="auto"/>
              <w:jc w:val="center"/>
              <w:rPr>
                <w:rFonts w:ascii="Times New Roman" w:hAnsi="Times New Roman"/>
                <w:b/>
                <w:sz w:val="28"/>
                <w:szCs w:val="28"/>
                <w:lang w:val="en-US" w:eastAsia="ru-RU"/>
              </w:rPr>
            </w:pPr>
            <w:r w:rsidRPr="00F90B6B">
              <w:rPr>
                <w:rFonts w:ascii="Times New Roman" w:hAnsi="Times New Roman"/>
                <w:b/>
                <w:sz w:val="28"/>
                <w:szCs w:val="28"/>
                <w:lang w:eastAsia="ru-RU"/>
              </w:rPr>
              <w:t>Компенсований перебіг ХСН</w:t>
            </w:r>
          </w:p>
          <w:p w:rsidR="00EF4063" w:rsidRPr="00F90B6B" w:rsidRDefault="00EF4063" w:rsidP="00FB4A39">
            <w:pPr>
              <w:spacing w:after="0" w:line="288"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w:t>
            </w:r>
            <w:r w:rsidRPr="00F90B6B">
              <w:rPr>
                <w:rFonts w:ascii="Times New Roman" w:hAnsi="Times New Roman"/>
                <w:b/>
                <w:sz w:val="28"/>
                <w:szCs w:val="28"/>
                <w:lang w:eastAsia="ru-RU"/>
              </w:rPr>
              <w:t>136</w:t>
            </w:r>
          </w:p>
        </w:tc>
        <w:tc>
          <w:tcPr>
            <w:tcW w:w="1292" w:type="pct"/>
            <w:vAlign w:val="center"/>
          </w:tcPr>
          <w:p w:rsidR="00EF4063" w:rsidRPr="00F90B6B" w:rsidRDefault="00EF4063" w:rsidP="00FB4A39">
            <w:pPr>
              <w:spacing w:after="0" w:line="288" w:lineRule="auto"/>
              <w:jc w:val="center"/>
              <w:rPr>
                <w:rFonts w:ascii="Times New Roman" w:hAnsi="Times New Roman"/>
                <w:b/>
                <w:sz w:val="28"/>
                <w:szCs w:val="28"/>
                <w:lang w:eastAsia="ru-RU"/>
              </w:rPr>
            </w:pPr>
            <w:r w:rsidRPr="00F90B6B">
              <w:rPr>
                <w:rFonts w:ascii="Times New Roman" w:hAnsi="Times New Roman"/>
                <w:b/>
                <w:sz w:val="28"/>
                <w:szCs w:val="28"/>
                <w:lang w:eastAsia="ru-RU"/>
              </w:rPr>
              <w:t>Декомпенсація ХСН</w:t>
            </w:r>
          </w:p>
          <w:p w:rsidR="00EF4063" w:rsidRPr="00F90B6B" w:rsidRDefault="00EF4063" w:rsidP="00FB4A39">
            <w:pPr>
              <w:spacing w:after="0" w:line="288" w:lineRule="auto"/>
              <w:jc w:val="center"/>
              <w:rPr>
                <w:rFonts w:ascii="Times New Roman" w:hAnsi="Times New Roman"/>
                <w:b/>
                <w:sz w:val="28"/>
                <w:szCs w:val="28"/>
                <w:lang w:val="en-US" w:eastAsia="ru-RU"/>
              </w:rPr>
            </w:pPr>
            <w:r w:rsidRPr="00F90B6B">
              <w:rPr>
                <w:rFonts w:ascii="Times New Roman" w:hAnsi="Times New Roman"/>
                <w:b/>
                <w:sz w:val="28"/>
                <w:szCs w:val="28"/>
                <w:lang w:val="en-US" w:eastAsia="ru-RU"/>
              </w:rPr>
              <w:t>n=81</w:t>
            </w:r>
          </w:p>
        </w:tc>
        <w:tc>
          <w:tcPr>
            <w:tcW w:w="514" w:type="pct"/>
            <w:vAlign w:val="center"/>
          </w:tcPr>
          <w:p w:rsidR="00EF4063" w:rsidRPr="00F90B6B" w:rsidRDefault="00EF4063" w:rsidP="00FB4A39">
            <w:pPr>
              <w:spacing w:after="0" w:line="288" w:lineRule="auto"/>
              <w:jc w:val="center"/>
              <w:rPr>
                <w:rFonts w:ascii="Times New Roman" w:hAnsi="Times New Roman"/>
                <w:b/>
                <w:sz w:val="28"/>
                <w:szCs w:val="28"/>
                <w:lang w:eastAsia="ru-RU"/>
              </w:rPr>
            </w:pPr>
            <w:r w:rsidRPr="00F90B6B">
              <w:rPr>
                <w:rFonts w:ascii="Times New Roman" w:hAnsi="Times New Roman"/>
                <w:b/>
                <w:sz w:val="28"/>
                <w:szCs w:val="28"/>
                <w:lang w:eastAsia="ru-RU"/>
              </w:rPr>
              <w:t>р</w:t>
            </w:r>
          </w:p>
        </w:tc>
      </w:tr>
      <w:tr w:rsidR="00EF4063" w:rsidRPr="00F90B6B" w:rsidTr="00634277">
        <w:tc>
          <w:tcPr>
            <w:tcW w:w="190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 xml:space="preserve">Еритроцити </w:t>
            </w:r>
            <w:r w:rsidRPr="00F90B6B">
              <w:rPr>
                <w:rFonts w:ascii="Times New Roman" w:hAnsi="Times New Roman"/>
                <w:i/>
                <w:sz w:val="28"/>
                <w:szCs w:val="28"/>
                <w:lang w:eastAsia="ru-RU"/>
              </w:rPr>
              <w:t>(М±SD)</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4,34±0,54</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4,20±0,34</w:t>
            </w:r>
          </w:p>
        </w:tc>
        <w:tc>
          <w:tcPr>
            <w:tcW w:w="514"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rPr>
              <w:t>&gt;0,05</w:t>
            </w:r>
          </w:p>
        </w:tc>
      </w:tr>
      <w:tr w:rsidR="00EF4063" w:rsidRPr="00F90B6B" w:rsidTr="00634277">
        <w:tc>
          <w:tcPr>
            <w:tcW w:w="190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 xml:space="preserve">Гемоглобін </w:t>
            </w:r>
            <w:r w:rsidRPr="00F90B6B">
              <w:rPr>
                <w:rFonts w:ascii="Times New Roman" w:hAnsi="Times New Roman"/>
                <w:i/>
                <w:sz w:val="28"/>
                <w:szCs w:val="28"/>
                <w:lang w:eastAsia="ru-RU"/>
              </w:rPr>
              <w:t>(М±SD)</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132,5±12,8</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124,6±8,91</w:t>
            </w:r>
          </w:p>
        </w:tc>
        <w:tc>
          <w:tcPr>
            <w:tcW w:w="514"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&lt;0,05</w:t>
            </w:r>
          </w:p>
        </w:tc>
      </w:tr>
      <w:tr w:rsidR="00EF4063" w:rsidRPr="00F90B6B" w:rsidTr="00634277">
        <w:tc>
          <w:tcPr>
            <w:tcW w:w="190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Гематокрит</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0,51±0,09</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0,46±0,08</w:t>
            </w:r>
          </w:p>
        </w:tc>
        <w:tc>
          <w:tcPr>
            <w:tcW w:w="514"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&lt;0,05</w:t>
            </w:r>
          </w:p>
        </w:tc>
      </w:tr>
      <w:tr w:rsidR="00EF4063" w:rsidRPr="00F90B6B" w:rsidTr="00634277">
        <w:tc>
          <w:tcPr>
            <w:tcW w:w="190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ШОЕ</w:t>
            </w:r>
            <w:r w:rsidRPr="00F90B6B">
              <w:rPr>
                <w:rFonts w:ascii="Times New Roman" w:hAnsi="Times New Roman"/>
                <w:i/>
                <w:sz w:val="28"/>
                <w:szCs w:val="28"/>
                <w:lang w:eastAsia="ru-RU"/>
              </w:rPr>
              <w:t>(М±SD)</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10,8±</w:t>
            </w:r>
            <w:r w:rsidRPr="00F90B6B">
              <w:rPr>
                <w:rFonts w:ascii="Times New Roman" w:hAnsi="Times New Roman"/>
                <w:sz w:val="28"/>
                <w:szCs w:val="28"/>
                <w:lang w:val="en-US"/>
              </w:rPr>
              <w:t>5</w:t>
            </w:r>
            <w:r w:rsidRPr="00F90B6B">
              <w:rPr>
                <w:rFonts w:ascii="Times New Roman" w:hAnsi="Times New Roman"/>
                <w:sz w:val="28"/>
                <w:szCs w:val="28"/>
              </w:rPr>
              <w:t>,8</w:t>
            </w:r>
            <w:r w:rsidRPr="00F90B6B">
              <w:rPr>
                <w:rFonts w:ascii="Times New Roman" w:hAnsi="Times New Roman"/>
                <w:sz w:val="28"/>
                <w:szCs w:val="28"/>
                <w:lang w:val="en-US"/>
              </w:rPr>
              <w:t>8</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14,1±</w:t>
            </w:r>
            <w:r w:rsidRPr="00F90B6B">
              <w:rPr>
                <w:rFonts w:ascii="Times New Roman" w:hAnsi="Times New Roman"/>
                <w:sz w:val="28"/>
                <w:szCs w:val="28"/>
                <w:lang w:val="en-US"/>
              </w:rPr>
              <w:t>7</w:t>
            </w:r>
            <w:r w:rsidRPr="00F90B6B">
              <w:rPr>
                <w:rFonts w:ascii="Times New Roman" w:hAnsi="Times New Roman"/>
                <w:sz w:val="28"/>
                <w:szCs w:val="28"/>
              </w:rPr>
              <w:t>,83</w:t>
            </w:r>
          </w:p>
        </w:tc>
        <w:tc>
          <w:tcPr>
            <w:tcW w:w="514"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&lt;0,05</w:t>
            </w:r>
          </w:p>
        </w:tc>
      </w:tr>
      <w:tr w:rsidR="00EF4063" w:rsidRPr="00F90B6B" w:rsidTr="00634277">
        <w:tc>
          <w:tcPr>
            <w:tcW w:w="1902" w:type="pct"/>
            <w:vAlign w:val="center"/>
          </w:tcPr>
          <w:p w:rsidR="00EF4063" w:rsidRPr="00F90B6B" w:rsidRDefault="00EF4063" w:rsidP="00FB4A39">
            <w:pPr>
              <w:spacing w:after="0" w:line="288" w:lineRule="auto"/>
              <w:jc w:val="center"/>
              <w:rPr>
                <w:rFonts w:ascii="Times New Roman" w:hAnsi="Times New Roman"/>
                <w:bCs/>
                <w:i/>
                <w:sz w:val="28"/>
                <w:szCs w:val="28"/>
                <w:lang w:eastAsia="ru-RU"/>
              </w:rPr>
            </w:pPr>
            <w:r w:rsidRPr="00F90B6B">
              <w:rPr>
                <w:rFonts w:ascii="Times New Roman" w:hAnsi="Times New Roman"/>
                <w:bCs/>
                <w:i/>
                <w:sz w:val="28"/>
                <w:szCs w:val="28"/>
                <w:lang w:eastAsia="ru-RU"/>
              </w:rPr>
              <w:t>Лейкоцити</w:t>
            </w:r>
            <w:r w:rsidRPr="00F90B6B">
              <w:rPr>
                <w:rFonts w:ascii="Times New Roman" w:hAnsi="Times New Roman"/>
                <w:i/>
                <w:sz w:val="28"/>
                <w:szCs w:val="28"/>
                <w:lang w:eastAsia="ru-RU"/>
              </w:rPr>
              <w:t>(М±SD)</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6,90±1,59</w:t>
            </w:r>
          </w:p>
        </w:tc>
        <w:tc>
          <w:tcPr>
            <w:tcW w:w="1292"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8,10±1,65</w:t>
            </w:r>
          </w:p>
        </w:tc>
        <w:tc>
          <w:tcPr>
            <w:tcW w:w="514"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&lt;0,05</w:t>
            </w:r>
          </w:p>
        </w:tc>
      </w:tr>
    </w:tbl>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en-US" w:eastAsia="uk-UA"/>
        </w:rPr>
        <w:t>p</w:t>
      </w:r>
      <w:r w:rsidRPr="00F90B6B">
        <w:rPr>
          <w:sz w:val="28"/>
          <w:szCs w:val="28"/>
          <w:lang w:eastAsia="uk-UA"/>
        </w:rPr>
        <w:t xml:space="preserve"> – </w:t>
      </w:r>
      <w:r w:rsidRPr="00F90B6B">
        <w:rPr>
          <w:sz w:val="28"/>
          <w:szCs w:val="28"/>
          <w:lang w:val="uk-UA" w:eastAsia="uk-UA"/>
        </w:rPr>
        <w:t>вірогідність різниці показників</w:t>
      </w:r>
      <w:r w:rsidRPr="00F90B6B">
        <w:rPr>
          <w:sz w:val="28"/>
          <w:szCs w:val="28"/>
          <w:lang w:eastAsia="uk-UA"/>
        </w:rPr>
        <w:t>.</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У пацієнтів, що спостерігалися з важкою декомпенсацією ХСН у відділенні реанімації та інтенсивної терапії було встановлено вірогідно нижчий рівень гемоглобіну (р</w:t>
      </w:r>
      <w:r w:rsidRPr="00F90B6B">
        <w:rPr>
          <w:rFonts w:ascii="Times New Roman" w:hAnsi="Times New Roman"/>
          <w:sz w:val="28"/>
          <w:szCs w:val="28"/>
        </w:rPr>
        <w:t>&lt;0,05</w:t>
      </w:r>
      <w:r w:rsidRPr="00F90B6B">
        <w:rPr>
          <w:rFonts w:ascii="Times New Roman" w:hAnsi="Times New Roman"/>
          <w:sz w:val="28"/>
          <w:szCs w:val="28"/>
          <w:lang w:eastAsia="ru-RU"/>
        </w:rPr>
        <w:t>), гематокриту (р</w:t>
      </w:r>
      <w:r w:rsidRPr="00F90B6B">
        <w:rPr>
          <w:rFonts w:ascii="Times New Roman" w:hAnsi="Times New Roman"/>
          <w:sz w:val="28"/>
          <w:szCs w:val="28"/>
        </w:rPr>
        <w:t>&lt;0,05</w:t>
      </w:r>
      <w:r w:rsidRPr="00F90B6B">
        <w:rPr>
          <w:rFonts w:ascii="Times New Roman" w:hAnsi="Times New Roman"/>
          <w:sz w:val="28"/>
          <w:szCs w:val="28"/>
          <w:lang w:eastAsia="ru-RU"/>
        </w:rPr>
        <w:t>), а також більш високі показники ШОЕ (р</w:t>
      </w:r>
      <w:r w:rsidRPr="00F90B6B">
        <w:rPr>
          <w:rFonts w:ascii="Times New Roman" w:hAnsi="Times New Roman"/>
          <w:sz w:val="28"/>
          <w:szCs w:val="28"/>
        </w:rPr>
        <w:t>&lt;0,05</w:t>
      </w:r>
      <w:r w:rsidRPr="00F90B6B">
        <w:rPr>
          <w:rFonts w:ascii="Times New Roman" w:hAnsi="Times New Roman"/>
          <w:sz w:val="28"/>
          <w:szCs w:val="28"/>
          <w:lang w:eastAsia="ru-RU"/>
        </w:rPr>
        <w:t>) та загального вмісту лейкоцитів (р</w:t>
      </w:r>
      <w:r w:rsidRPr="00F90B6B">
        <w:rPr>
          <w:rFonts w:ascii="Times New Roman" w:hAnsi="Times New Roman"/>
          <w:sz w:val="28"/>
          <w:szCs w:val="28"/>
        </w:rPr>
        <w:t>&lt;0,05</w:t>
      </w:r>
      <w:r w:rsidRPr="00F90B6B">
        <w:rPr>
          <w:rFonts w:ascii="Times New Roman" w:hAnsi="Times New Roman"/>
          <w:sz w:val="28"/>
          <w:szCs w:val="28"/>
          <w:lang w:eastAsia="ru-RU"/>
        </w:rPr>
        <w:t xml:space="preserve">), табл. 3.5.11. </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t>Окрім того, за рівнем гемоглобіну пацієнти були розділені на 2 кластери: в 1-му рівень гемоглобіну склав менше 120 г/л в 2-му кластері – більше 120 г/л. Абсолютний ризик прогресування серцевої недостатності при нижчому рівні гемоглобіну склав 48,0% супроти 16,0% хворих з нормальним рівнем гемоглобіну, відносний ризик - 2,96 [2,04-4,29], відношення шансів - 4,77 [2,78-8,19], р&lt;0,05, табл. 3.5.12.</w:t>
      </w:r>
    </w:p>
    <w:p w:rsidR="00EF4063" w:rsidRPr="00F90B6B" w:rsidRDefault="00EF4063" w:rsidP="00F0048B">
      <w:pPr>
        <w:spacing w:after="0" w:line="360" w:lineRule="auto"/>
        <w:jc w:val="right"/>
        <w:rPr>
          <w:rFonts w:ascii="Times New Roman" w:hAnsi="Times New Roman"/>
          <w:i/>
          <w:sz w:val="28"/>
          <w:szCs w:val="28"/>
        </w:rPr>
      </w:pPr>
      <w:r w:rsidRPr="00F90B6B">
        <w:rPr>
          <w:rFonts w:ascii="Times New Roman" w:hAnsi="Times New Roman"/>
          <w:i/>
          <w:sz w:val="28"/>
          <w:szCs w:val="28"/>
        </w:rPr>
        <w:t>Таблиця 3.5.12</w:t>
      </w:r>
    </w:p>
    <w:p w:rsidR="00EF4063" w:rsidRPr="00F90B6B" w:rsidRDefault="00EF4063" w:rsidP="00F0048B">
      <w:pPr>
        <w:pStyle w:val="a3"/>
        <w:spacing w:before="0" w:beforeAutospacing="0" w:after="0" w:afterAutospacing="0" w:line="360" w:lineRule="auto"/>
        <w:jc w:val="center"/>
        <w:rPr>
          <w:b/>
          <w:sz w:val="28"/>
          <w:szCs w:val="28"/>
        </w:rPr>
      </w:pPr>
      <w:r w:rsidRPr="00F90B6B">
        <w:rPr>
          <w:b/>
          <w:sz w:val="28"/>
          <w:szCs w:val="28"/>
        </w:rPr>
        <w:t>Вірогідність серцево-судинної смертності внаслідок прогресування серцевої недостатності у хворих з ХСН залежно від вмісту гемоглобіну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2"/>
        <w:gridCol w:w="1899"/>
        <w:gridCol w:w="2555"/>
        <w:gridCol w:w="2555"/>
      </w:tblGrid>
      <w:tr w:rsidR="00EF4063" w:rsidRPr="00F90B6B" w:rsidTr="00634277">
        <w:tc>
          <w:tcPr>
            <w:tcW w:w="163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911"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1226"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1226"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1637"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Гемоглобін ≤ 120 г/л</w:t>
            </w:r>
          </w:p>
        </w:tc>
        <w:tc>
          <w:tcPr>
            <w:tcW w:w="911"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48</w:t>
            </w:r>
            <w:r w:rsidRPr="00F90B6B">
              <w:rPr>
                <w:rFonts w:ascii="Times New Roman" w:hAnsi="Times New Roman"/>
                <w:sz w:val="28"/>
                <w:szCs w:val="28"/>
                <w:lang w:val="en-US"/>
              </w:rPr>
              <w:t>,0</w:t>
            </w:r>
            <w:r w:rsidRPr="00F90B6B">
              <w:rPr>
                <w:rFonts w:ascii="Times New Roman" w:hAnsi="Times New Roman"/>
                <w:sz w:val="28"/>
                <w:szCs w:val="28"/>
              </w:rPr>
              <w:t>%</w:t>
            </w:r>
          </w:p>
        </w:tc>
        <w:tc>
          <w:tcPr>
            <w:tcW w:w="1226" w:type="pct"/>
            <w:vMerge w:val="restar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2,96</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[2,04</w:t>
            </w:r>
            <w:r w:rsidRPr="00F90B6B">
              <w:rPr>
                <w:rFonts w:ascii="Times New Roman" w:hAnsi="Times New Roman"/>
                <w:sz w:val="28"/>
                <w:szCs w:val="28"/>
              </w:rPr>
              <w:t>-</w:t>
            </w:r>
            <w:r w:rsidRPr="00F90B6B">
              <w:rPr>
                <w:rFonts w:ascii="Times New Roman" w:hAnsi="Times New Roman"/>
                <w:sz w:val="28"/>
                <w:szCs w:val="28"/>
                <w:lang w:val="en-US"/>
              </w:rPr>
              <w:t>4,29]</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Cs/>
                <w:sz w:val="28"/>
                <w:szCs w:val="28"/>
              </w:rPr>
              <w:t>р&lt;0,05</w:t>
            </w:r>
          </w:p>
        </w:tc>
        <w:tc>
          <w:tcPr>
            <w:tcW w:w="1226" w:type="pct"/>
            <w:vMerge w:val="restar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4,77</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[2,78</w:t>
            </w:r>
            <w:r w:rsidRPr="00F90B6B">
              <w:rPr>
                <w:rFonts w:ascii="Times New Roman" w:hAnsi="Times New Roman"/>
                <w:sz w:val="28"/>
                <w:szCs w:val="28"/>
              </w:rPr>
              <w:t>-</w:t>
            </w:r>
            <w:r w:rsidRPr="00F90B6B">
              <w:rPr>
                <w:rFonts w:ascii="Times New Roman" w:hAnsi="Times New Roman"/>
                <w:sz w:val="28"/>
                <w:szCs w:val="28"/>
                <w:lang w:val="en-US"/>
              </w:rPr>
              <w:t>8,19]</w:t>
            </w: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bCs/>
                <w:sz w:val="28"/>
                <w:szCs w:val="28"/>
              </w:rPr>
              <w:t>р&lt;0,05</w:t>
            </w:r>
          </w:p>
        </w:tc>
      </w:tr>
      <w:tr w:rsidR="00EF4063" w:rsidRPr="00F90B6B" w:rsidTr="00634277">
        <w:tc>
          <w:tcPr>
            <w:tcW w:w="1637"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 xml:space="preserve">Гемоглобін </w:t>
            </w:r>
            <w:r w:rsidRPr="00F90B6B">
              <w:rPr>
                <w:rFonts w:ascii="Times New Roman" w:hAnsi="Times New Roman"/>
                <w:i/>
                <w:sz w:val="28"/>
                <w:szCs w:val="28"/>
                <w:lang w:val="en-US"/>
              </w:rPr>
              <w:t xml:space="preserve">&gt; </w:t>
            </w:r>
            <w:r w:rsidRPr="00F90B6B">
              <w:rPr>
                <w:rFonts w:ascii="Times New Roman" w:hAnsi="Times New Roman"/>
                <w:i/>
                <w:sz w:val="28"/>
                <w:szCs w:val="28"/>
              </w:rPr>
              <w:t>12</w:t>
            </w:r>
            <w:r w:rsidRPr="00F90B6B">
              <w:rPr>
                <w:rFonts w:ascii="Times New Roman" w:hAnsi="Times New Roman"/>
                <w:i/>
                <w:sz w:val="28"/>
                <w:szCs w:val="28"/>
                <w:lang w:val="en-US"/>
              </w:rPr>
              <w:t xml:space="preserve">0 </w:t>
            </w:r>
            <w:r w:rsidRPr="00F90B6B">
              <w:rPr>
                <w:rFonts w:ascii="Times New Roman" w:hAnsi="Times New Roman"/>
                <w:i/>
                <w:sz w:val="28"/>
                <w:szCs w:val="28"/>
              </w:rPr>
              <w:t>г/л</w:t>
            </w:r>
          </w:p>
        </w:tc>
        <w:tc>
          <w:tcPr>
            <w:tcW w:w="911"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1</w:t>
            </w:r>
            <w:r w:rsidRPr="00F90B6B">
              <w:rPr>
                <w:rFonts w:ascii="Times New Roman" w:hAnsi="Times New Roman"/>
                <w:sz w:val="28"/>
                <w:szCs w:val="28"/>
              </w:rPr>
              <w:t>6</w:t>
            </w:r>
            <w:r w:rsidRPr="00F90B6B">
              <w:rPr>
                <w:rFonts w:ascii="Times New Roman" w:hAnsi="Times New Roman"/>
                <w:sz w:val="28"/>
                <w:szCs w:val="28"/>
                <w:lang w:val="en-US"/>
              </w:rPr>
              <w:t>,0</w:t>
            </w:r>
            <w:r w:rsidRPr="00F90B6B">
              <w:rPr>
                <w:rFonts w:ascii="Times New Roman" w:hAnsi="Times New Roman"/>
                <w:sz w:val="28"/>
                <w:szCs w:val="28"/>
              </w:rPr>
              <w:t>%</w:t>
            </w: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c>
          <w:tcPr>
            <w:tcW w:w="0" w:type="auto"/>
            <w:vMerge/>
            <w:vAlign w:val="center"/>
          </w:tcPr>
          <w:p w:rsidR="00EF4063" w:rsidRPr="00F90B6B" w:rsidRDefault="00EF4063" w:rsidP="00F0048B">
            <w:pPr>
              <w:spacing w:after="0" w:line="360" w:lineRule="auto"/>
              <w:rPr>
                <w:rFonts w:ascii="Times New Roman" w:hAnsi="Times New Roman"/>
                <w:sz w:val="28"/>
                <w:szCs w:val="28"/>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rPr>
        <w:lastRenderedPageBreak/>
        <w:t xml:space="preserve">Дані аналізу за методом Каплана-Мейєра з використанням, </w:t>
      </w:r>
      <w:r w:rsidRPr="00F90B6B">
        <w:rPr>
          <w:sz w:val="28"/>
          <w:szCs w:val="28"/>
        </w:rPr>
        <w:t>log</w:t>
      </w:r>
      <w:r w:rsidRPr="00F90B6B">
        <w:rPr>
          <w:sz w:val="28"/>
          <w:szCs w:val="28"/>
          <w:lang w:val="uk-UA"/>
        </w:rPr>
        <w:t xml:space="preserve"> - </w:t>
      </w:r>
      <w:r w:rsidRPr="00F90B6B">
        <w:rPr>
          <w:sz w:val="28"/>
          <w:szCs w:val="28"/>
        </w:rPr>
        <w:t>rank</w:t>
      </w:r>
      <w:r w:rsidRPr="00F90B6B">
        <w:rPr>
          <w:sz w:val="28"/>
          <w:szCs w:val="28"/>
          <w:lang w:val="uk-UA"/>
        </w:rPr>
        <w:t xml:space="preserve"> критерію і оцінкою значущості анемічного синдрому для прогресування ХСН представлені на малюнку 3.5.5.</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На сьогодні є підстави обговорювати спільність патогенезу, чинники прогресування хронічної серцевої недостатності та хронічної хвороби серця, при необхідності особливого підходу до їх комбінованого лікування [202]. Двосторонньо спрямовані взаємовідносини серце - нирки, при якому патофізіологічне порушення в одному з них може призводити до дисфункції іншого, визначено поняттям «Кардіоренальний синдром» </w:t>
      </w:r>
      <w:r w:rsidRPr="00F90B6B">
        <w:rPr>
          <w:sz w:val="28"/>
          <w:szCs w:val="28"/>
          <w:lang w:val="ru-RU"/>
        </w:rPr>
        <w:t>[58]</w:t>
      </w:r>
      <w:r w:rsidRPr="00F90B6B">
        <w:rPr>
          <w:sz w:val="28"/>
          <w:szCs w:val="28"/>
        </w:rPr>
        <w:t>.</w:t>
      </w:r>
    </w:p>
    <w:p w:rsidR="00EF4063" w:rsidRPr="00F90B6B" w:rsidRDefault="00EF4063" w:rsidP="00F0048B">
      <w:pPr>
        <w:pStyle w:val="Style78"/>
        <w:spacing w:line="360" w:lineRule="auto"/>
        <w:ind w:firstLine="709"/>
        <w:jc w:val="both"/>
        <w:rPr>
          <w:sz w:val="28"/>
          <w:szCs w:val="28"/>
          <w:lang w:val="uk-UA"/>
        </w:rPr>
      </w:pPr>
    </w:p>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object w:dxaOrig="5066" w:dyaOrig="3805">
          <v:shape id="_x0000_i1134" type="#_x0000_t75" style="width:253.5pt;height:188.25pt" o:ole="">
            <v:imagedata r:id="rId268" o:title=""/>
          </v:shape>
          <o:OLEObject Type="Embed" ProgID="STATISTICA.Graph" ShapeID="_x0000_i1134" DrawAspect="Content" ObjectID="_1624460857" r:id="rId269">
            <o:FieldCodes>\s</o:FieldCodes>
          </o:OLEObject>
        </w:object>
      </w:r>
    </w:p>
    <w:p w:rsidR="00EF4063" w:rsidRPr="00F90B6B" w:rsidRDefault="00EF4063" w:rsidP="00F0048B">
      <w:pPr>
        <w:pStyle w:val="Style78"/>
        <w:spacing w:line="360" w:lineRule="auto"/>
        <w:ind w:firstLine="709"/>
        <w:jc w:val="both"/>
        <w:rPr>
          <w:sz w:val="28"/>
          <w:szCs w:val="28"/>
          <w:lang w:val="uk-UA"/>
        </w:rPr>
      </w:pPr>
      <w:r w:rsidRPr="00F90B6B">
        <w:rPr>
          <w:b/>
          <w:sz w:val="28"/>
          <w:szCs w:val="28"/>
        </w:rPr>
        <w:t>Рис. 3</w:t>
      </w:r>
      <w:r w:rsidRPr="00F90B6B">
        <w:rPr>
          <w:b/>
          <w:sz w:val="28"/>
          <w:szCs w:val="28"/>
          <w:lang w:val="uk-UA"/>
        </w:rPr>
        <w:t>.5.5</w:t>
      </w:r>
      <w:r w:rsidRPr="00F90B6B">
        <w:rPr>
          <w:b/>
          <w:sz w:val="28"/>
          <w:szCs w:val="28"/>
        </w:rPr>
        <w:t xml:space="preserve">. </w:t>
      </w:r>
      <w:r w:rsidRPr="00F90B6B">
        <w:rPr>
          <w:sz w:val="28"/>
          <w:szCs w:val="28"/>
        </w:rPr>
        <w:t>Крива Каплана-Мейера для оц</w:t>
      </w:r>
      <w:r w:rsidRPr="00F90B6B">
        <w:rPr>
          <w:sz w:val="28"/>
          <w:szCs w:val="28"/>
          <w:lang w:val="uk-UA"/>
        </w:rPr>
        <w:t>і</w:t>
      </w:r>
      <w:r w:rsidRPr="00F90B6B">
        <w:rPr>
          <w:sz w:val="28"/>
          <w:szCs w:val="28"/>
        </w:rPr>
        <w:t xml:space="preserve">нки </w:t>
      </w:r>
      <w:r w:rsidRPr="00F90B6B">
        <w:rPr>
          <w:sz w:val="28"/>
          <w:szCs w:val="28"/>
          <w:lang w:val="uk-UA"/>
        </w:rPr>
        <w:t>прогресування ХСН</w:t>
      </w:r>
      <w:r w:rsidRPr="00F90B6B">
        <w:rPr>
          <w:sz w:val="28"/>
          <w:szCs w:val="28"/>
        </w:rPr>
        <w:t xml:space="preserve"> при нормальном</w:t>
      </w:r>
      <w:r w:rsidRPr="00F90B6B">
        <w:rPr>
          <w:sz w:val="28"/>
          <w:szCs w:val="28"/>
          <w:lang w:val="uk-UA"/>
        </w:rPr>
        <w:t>у та</w:t>
      </w:r>
      <w:r w:rsidRPr="00F90B6B">
        <w:rPr>
          <w:sz w:val="28"/>
          <w:szCs w:val="28"/>
        </w:rPr>
        <w:t xml:space="preserve"> низ</w:t>
      </w:r>
      <w:r w:rsidRPr="00F90B6B">
        <w:rPr>
          <w:sz w:val="28"/>
          <w:szCs w:val="28"/>
          <w:lang w:val="uk-UA"/>
        </w:rPr>
        <w:t>ькому</w:t>
      </w:r>
      <w:r w:rsidRPr="00F90B6B">
        <w:rPr>
          <w:sz w:val="28"/>
          <w:szCs w:val="28"/>
        </w:rPr>
        <w:t xml:space="preserve"> </w:t>
      </w:r>
      <w:r w:rsidRPr="00F90B6B">
        <w:rPr>
          <w:sz w:val="28"/>
          <w:szCs w:val="28"/>
          <w:lang w:val="uk-UA"/>
        </w:rPr>
        <w:t>рівнях</w:t>
      </w:r>
      <w:r w:rsidRPr="00F90B6B">
        <w:rPr>
          <w:sz w:val="28"/>
          <w:szCs w:val="28"/>
        </w:rPr>
        <w:t xml:space="preserve"> гемоглоб</w:t>
      </w:r>
      <w:r w:rsidRPr="00F90B6B">
        <w:rPr>
          <w:sz w:val="28"/>
          <w:szCs w:val="28"/>
          <w:lang w:val="uk-UA"/>
        </w:rPr>
        <w:t>і</w:t>
      </w:r>
      <w:r w:rsidRPr="00F90B6B">
        <w:rPr>
          <w:sz w:val="28"/>
          <w:szCs w:val="28"/>
        </w:rPr>
        <w:t>н</w:t>
      </w:r>
      <w:r w:rsidRPr="00F90B6B">
        <w:rPr>
          <w:sz w:val="28"/>
          <w:szCs w:val="28"/>
          <w:lang w:val="uk-UA"/>
        </w:rPr>
        <w:t>у</w:t>
      </w:r>
      <w:r w:rsidRPr="00F90B6B">
        <w:rPr>
          <w:sz w:val="28"/>
          <w:szCs w:val="28"/>
        </w:rPr>
        <w:t>.</w:t>
      </w:r>
    </w:p>
    <w:p w:rsidR="00EF4063" w:rsidRPr="00F90B6B" w:rsidRDefault="00EF4063" w:rsidP="00F0048B">
      <w:pPr>
        <w:pStyle w:val="a3"/>
        <w:spacing w:before="0" w:beforeAutospacing="0" w:after="0" w:afterAutospacing="0" w:line="360" w:lineRule="auto"/>
        <w:ind w:firstLine="709"/>
        <w:jc w:val="both"/>
        <w:rPr>
          <w:sz w:val="28"/>
          <w:szCs w:val="28"/>
          <w:lang w:val="en-US"/>
        </w:rPr>
      </w:pPr>
      <w:r w:rsidRPr="00F90B6B">
        <w:rPr>
          <w:sz w:val="28"/>
          <w:szCs w:val="28"/>
        </w:rPr>
        <w:t>У кардіоренальному синдромі простежується зв’язок між формуванням та прогресуванням коронарного атеросклерозу та гломерулосклерозу, з підвищенням ризику серцево-судинних та ниркових ускладнень [</w:t>
      </w:r>
      <w:r w:rsidRPr="00F90B6B">
        <w:rPr>
          <w:rStyle w:val="ac"/>
          <w:i w:val="0"/>
          <w:iCs/>
          <w:sz w:val="28"/>
          <w:szCs w:val="28"/>
        </w:rPr>
        <w:t>10</w:t>
      </w:r>
      <w:r w:rsidRPr="00F90B6B">
        <w:rPr>
          <w:sz w:val="28"/>
          <w:szCs w:val="28"/>
        </w:rPr>
        <w:t>]. До останнього часу чітко уніфікованої позиції відносно дефініції кардіоренального синдрому не існувало. У</w:t>
      </w:r>
      <w:r w:rsidRPr="00F90B6B">
        <w:rPr>
          <w:sz w:val="28"/>
          <w:szCs w:val="28"/>
          <w:lang w:val="en-US"/>
        </w:rPr>
        <w:t xml:space="preserve"> 2010 </w:t>
      </w:r>
      <w:r w:rsidRPr="00F90B6B">
        <w:rPr>
          <w:sz w:val="28"/>
          <w:szCs w:val="28"/>
        </w:rPr>
        <w:t>році</w:t>
      </w:r>
      <w:r w:rsidRPr="00F90B6B">
        <w:rPr>
          <w:sz w:val="28"/>
          <w:szCs w:val="28"/>
          <w:lang w:val="en-US"/>
        </w:rPr>
        <w:t xml:space="preserve"> </w:t>
      </w:r>
      <w:r w:rsidRPr="00F90B6B">
        <w:rPr>
          <w:sz w:val="28"/>
          <w:szCs w:val="28"/>
        </w:rPr>
        <w:t>був</w:t>
      </w:r>
      <w:r w:rsidRPr="00F90B6B">
        <w:rPr>
          <w:sz w:val="28"/>
          <w:szCs w:val="28"/>
          <w:lang w:val="en-US"/>
        </w:rPr>
        <w:t xml:space="preserve"> </w:t>
      </w:r>
      <w:r w:rsidRPr="00F90B6B">
        <w:rPr>
          <w:sz w:val="28"/>
          <w:szCs w:val="28"/>
        </w:rPr>
        <w:t>опублікований</w:t>
      </w:r>
      <w:r w:rsidRPr="00F90B6B">
        <w:rPr>
          <w:sz w:val="28"/>
          <w:szCs w:val="28"/>
          <w:lang w:val="en-US"/>
        </w:rPr>
        <w:t xml:space="preserve"> </w:t>
      </w:r>
      <w:r w:rsidRPr="00F90B6B">
        <w:rPr>
          <w:sz w:val="28"/>
          <w:szCs w:val="28"/>
        </w:rPr>
        <w:t>погоджувальний</w:t>
      </w:r>
      <w:r w:rsidRPr="00F90B6B">
        <w:rPr>
          <w:sz w:val="28"/>
          <w:szCs w:val="28"/>
          <w:lang w:val="en-US"/>
        </w:rPr>
        <w:t xml:space="preserve"> </w:t>
      </w:r>
      <w:r w:rsidRPr="00F90B6B">
        <w:rPr>
          <w:sz w:val="28"/>
          <w:szCs w:val="28"/>
        </w:rPr>
        <w:t>документ</w:t>
      </w:r>
      <w:r w:rsidRPr="00F90B6B">
        <w:rPr>
          <w:sz w:val="28"/>
          <w:szCs w:val="28"/>
          <w:lang w:val="en-US"/>
        </w:rPr>
        <w:t xml:space="preserve"> Cardiorenal syndromes: Report from the consensus conference of the acute dialysis quality initiative [</w:t>
      </w:r>
      <w:r w:rsidRPr="00F90B6B">
        <w:rPr>
          <w:rStyle w:val="ac"/>
          <w:i w:val="0"/>
          <w:iCs/>
          <w:sz w:val="28"/>
          <w:szCs w:val="28"/>
          <w:lang w:val="en-US"/>
        </w:rPr>
        <w:t>136, 137, 138</w:t>
      </w:r>
      <w:r w:rsidRPr="00F90B6B">
        <w:rPr>
          <w:sz w:val="28"/>
          <w:szCs w:val="28"/>
          <w:lang w:val="en-US"/>
        </w:rPr>
        <w:t>].</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Таким</w:t>
      </w:r>
      <w:r w:rsidRPr="00F90B6B">
        <w:rPr>
          <w:sz w:val="28"/>
          <w:szCs w:val="28"/>
          <w:lang w:val="en-US"/>
        </w:rPr>
        <w:t xml:space="preserve"> </w:t>
      </w:r>
      <w:r w:rsidRPr="00F90B6B">
        <w:rPr>
          <w:sz w:val="28"/>
          <w:szCs w:val="28"/>
        </w:rPr>
        <w:t>чином</w:t>
      </w:r>
      <w:r w:rsidRPr="00F90B6B">
        <w:rPr>
          <w:sz w:val="28"/>
          <w:szCs w:val="28"/>
          <w:lang w:val="en-US"/>
        </w:rPr>
        <w:t xml:space="preserve">, </w:t>
      </w:r>
      <w:r w:rsidRPr="00F90B6B">
        <w:rPr>
          <w:sz w:val="28"/>
          <w:szCs w:val="28"/>
        </w:rPr>
        <w:t>останнім</w:t>
      </w:r>
      <w:r w:rsidRPr="00F90B6B">
        <w:rPr>
          <w:sz w:val="28"/>
          <w:szCs w:val="28"/>
          <w:lang w:val="en-US"/>
        </w:rPr>
        <w:t xml:space="preserve"> </w:t>
      </w:r>
      <w:r w:rsidRPr="00F90B6B">
        <w:rPr>
          <w:sz w:val="28"/>
          <w:szCs w:val="28"/>
        </w:rPr>
        <w:t>часом</w:t>
      </w:r>
      <w:r w:rsidRPr="00F90B6B">
        <w:rPr>
          <w:sz w:val="28"/>
          <w:szCs w:val="28"/>
          <w:lang w:val="en-US"/>
        </w:rPr>
        <w:t xml:space="preserve"> </w:t>
      </w:r>
      <w:r w:rsidRPr="00F90B6B">
        <w:rPr>
          <w:sz w:val="28"/>
          <w:szCs w:val="28"/>
        </w:rPr>
        <w:t>сформувалась</w:t>
      </w:r>
      <w:r w:rsidRPr="00F90B6B">
        <w:rPr>
          <w:sz w:val="28"/>
          <w:szCs w:val="28"/>
          <w:lang w:val="en-US"/>
        </w:rPr>
        <w:t xml:space="preserve"> </w:t>
      </w:r>
      <w:r w:rsidRPr="00F90B6B">
        <w:rPr>
          <w:sz w:val="28"/>
          <w:szCs w:val="28"/>
        </w:rPr>
        <w:t>уява</w:t>
      </w:r>
      <w:r w:rsidRPr="00F90B6B">
        <w:rPr>
          <w:sz w:val="28"/>
          <w:szCs w:val="28"/>
          <w:lang w:val="en-US"/>
        </w:rPr>
        <w:t xml:space="preserve"> </w:t>
      </w:r>
      <w:r w:rsidRPr="00F90B6B">
        <w:rPr>
          <w:sz w:val="28"/>
          <w:szCs w:val="28"/>
        </w:rPr>
        <w:t>про</w:t>
      </w:r>
      <w:r w:rsidRPr="00F90B6B">
        <w:rPr>
          <w:sz w:val="28"/>
          <w:szCs w:val="28"/>
          <w:lang w:val="en-US"/>
        </w:rPr>
        <w:t xml:space="preserve"> </w:t>
      </w:r>
      <w:r w:rsidRPr="00F90B6B">
        <w:rPr>
          <w:sz w:val="28"/>
          <w:szCs w:val="28"/>
        </w:rPr>
        <w:t>існування</w:t>
      </w:r>
      <w:r w:rsidRPr="00F90B6B">
        <w:rPr>
          <w:sz w:val="28"/>
          <w:szCs w:val="28"/>
          <w:lang w:val="en-US"/>
        </w:rPr>
        <w:t xml:space="preserve"> </w:t>
      </w:r>
      <w:r w:rsidRPr="00F90B6B">
        <w:rPr>
          <w:sz w:val="28"/>
          <w:szCs w:val="28"/>
        </w:rPr>
        <w:t>потенційного</w:t>
      </w:r>
      <w:r w:rsidRPr="00F90B6B">
        <w:rPr>
          <w:sz w:val="28"/>
          <w:szCs w:val="28"/>
          <w:lang w:val="en-US"/>
        </w:rPr>
        <w:t xml:space="preserve"> </w:t>
      </w:r>
      <w:r w:rsidRPr="00F90B6B">
        <w:rPr>
          <w:sz w:val="28"/>
          <w:szCs w:val="28"/>
        </w:rPr>
        <w:t>зв’язку</w:t>
      </w:r>
      <w:r w:rsidRPr="00F90B6B">
        <w:rPr>
          <w:sz w:val="28"/>
          <w:szCs w:val="28"/>
          <w:lang w:val="en-US"/>
        </w:rPr>
        <w:t xml:space="preserve"> </w:t>
      </w:r>
      <w:r w:rsidRPr="00F90B6B">
        <w:rPr>
          <w:sz w:val="28"/>
          <w:szCs w:val="28"/>
        </w:rPr>
        <w:t>між</w:t>
      </w:r>
      <w:r w:rsidRPr="00F90B6B">
        <w:rPr>
          <w:sz w:val="28"/>
          <w:szCs w:val="28"/>
          <w:lang w:val="en-US"/>
        </w:rPr>
        <w:t xml:space="preserve"> </w:t>
      </w:r>
      <w:r w:rsidRPr="00F90B6B">
        <w:rPr>
          <w:sz w:val="28"/>
          <w:szCs w:val="28"/>
        </w:rPr>
        <w:t>міокардіальною</w:t>
      </w:r>
      <w:r w:rsidRPr="00F90B6B">
        <w:rPr>
          <w:sz w:val="28"/>
          <w:szCs w:val="28"/>
          <w:lang w:val="en-US"/>
        </w:rPr>
        <w:t xml:space="preserve"> </w:t>
      </w:r>
      <w:r w:rsidRPr="00F90B6B">
        <w:rPr>
          <w:sz w:val="28"/>
          <w:szCs w:val="28"/>
        </w:rPr>
        <w:t>та</w:t>
      </w:r>
      <w:r w:rsidRPr="00F90B6B">
        <w:rPr>
          <w:sz w:val="28"/>
          <w:szCs w:val="28"/>
          <w:lang w:val="en-US"/>
        </w:rPr>
        <w:t xml:space="preserve"> </w:t>
      </w:r>
      <w:r w:rsidRPr="00F90B6B">
        <w:rPr>
          <w:sz w:val="28"/>
          <w:szCs w:val="28"/>
        </w:rPr>
        <w:t>нирковою</w:t>
      </w:r>
      <w:r w:rsidRPr="00F90B6B">
        <w:rPr>
          <w:sz w:val="28"/>
          <w:szCs w:val="28"/>
          <w:lang w:val="en-US"/>
        </w:rPr>
        <w:t xml:space="preserve"> </w:t>
      </w:r>
      <w:r w:rsidRPr="00F90B6B">
        <w:rPr>
          <w:sz w:val="28"/>
          <w:szCs w:val="28"/>
        </w:rPr>
        <w:t>функціями</w:t>
      </w:r>
      <w:r w:rsidRPr="00F90B6B">
        <w:rPr>
          <w:sz w:val="28"/>
          <w:szCs w:val="28"/>
          <w:lang w:val="en-US"/>
        </w:rPr>
        <w:t xml:space="preserve">, </w:t>
      </w:r>
      <w:r w:rsidRPr="00F90B6B">
        <w:rPr>
          <w:sz w:val="28"/>
          <w:szCs w:val="28"/>
        </w:rPr>
        <w:t>порушення</w:t>
      </w:r>
      <w:r w:rsidRPr="00F90B6B">
        <w:rPr>
          <w:sz w:val="28"/>
          <w:szCs w:val="28"/>
          <w:lang w:val="en-US"/>
        </w:rPr>
        <w:t xml:space="preserve"> </w:t>
      </w:r>
      <w:r w:rsidRPr="00F90B6B">
        <w:rPr>
          <w:sz w:val="28"/>
          <w:szCs w:val="28"/>
        </w:rPr>
        <w:t>яких</w:t>
      </w:r>
      <w:r w:rsidRPr="00F90B6B">
        <w:rPr>
          <w:sz w:val="28"/>
          <w:szCs w:val="28"/>
          <w:lang w:val="en-US"/>
        </w:rPr>
        <w:t xml:space="preserve"> </w:t>
      </w:r>
      <w:r w:rsidRPr="00F90B6B">
        <w:rPr>
          <w:sz w:val="28"/>
          <w:szCs w:val="28"/>
        </w:rPr>
        <w:t>опосередковано</w:t>
      </w:r>
      <w:r w:rsidRPr="00F90B6B">
        <w:rPr>
          <w:sz w:val="28"/>
          <w:szCs w:val="28"/>
          <w:lang w:val="en-US"/>
        </w:rPr>
        <w:t xml:space="preserve"> </w:t>
      </w:r>
      <w:r w:rsidRPr="00F90B6B">
        <w:rPr>
          <w:sz w:val="28"/>
          <w:szCs w:val="28"/>
        </w:rPr>
        <w:t>різними</w:t>
      </w:r>
      <w:r w:rsidRPr="00F90B6B">
        <w:rPr>
          <w:sz w:val="28"/>
          <w:szCs w:val="28"/>
          <w:lang w:val="en-US"/>
        </w:rPr>
        <w:t xml:space="preserve"> </w:t>
      </w:r>
      <w:r w:rsidRPr="00F90B6B">
        <w:rPr>
          <w:sz w:val="28"/>
          <w:szCs w:val="28"/>
        </w:rPr>
        <w:t>патофізіологічними</w:t>
      </w:r>
      <w:r w:rsidRPr="00F90B6B">
        <w:rPr>
          <w:sz w:val="28"/>
          <w:szCs w:val="28"/>
          <w:lang w:val="en-US"/>
        </w:rPr>
        <w:t xml:space="preserve"> </w:t>
      </w:r>
      <w:r w:rsidRPr="00F90B6B">
        <w:rPr>
          <w:sz w:val="28"/>
          <w:szCs w:val="28"/>
        </w:rPr>
        <w:t>механізмами</w:t>
      </w:r>
      <w:r w:rsidRPr="00F90B6B">
        <w:rPr>
          <w:sz w:val="28"/>
          <w:szCs w:val="28"/>
          <w:lang w:val="en-US"/>
        </w:rPr>
        <w:t xml:space="preserve">, </w:t>
      </w:r>
      <w:r w:rsidRPr="00F90B6B">
        <w:rPr>
          <w:sz w:val="28"/>
          <w:szCs w:val="28"/>
        </w:rPr>
        <w:t>проте</w:t>
      </w:r>
      <w:r w:rsidRPr="00F90B6B">
        <w:rPr>
          <w:sz w:val="28"/>
          <w:szCs w:val="28"/>
          <w:lang w:val="en-US"/>
        </w:rPr>
        <w:t xml:space="preserve"> </w:t>
      </w:r>
      <w:r w:rsidRPr="00F90B6B">
        <w:rPr>
          <w:sz w:val="28"/>
          <w:szCs w:val="28"/>
        </w:rPr>
        <w:t>сприяє</w:t>
      </w:r>
      <w:r w:rsidRPr="00F90B6B">
        <w:rPr>
          <w:sz w:val="28"/>
          <w:szCs w:val="28"/>
          <w:lang w:val="en-US"/>
        </w:rPr>
        <w:t xml:space="preserve"> </w:t>
      </w:r>
      <w:r w:rsidRPr="00F90B6B">
        <w:rPr>
          <w:sz w:val="28"/>
          <w:szCs w:val="28"/>
        </w:rPr>
        <w:t>взаємному</w:t>
      </w:r>
      <w:r w:rsidRPr="00F90B6B">
        <w:rPr>
          <w:sz w:val="28"/>
          <w:szCs w:val="28"/>
          <w:lang w:val="en-US"/>
        </w:rPr>
        <w:t xml:space="preserve"> </w:t>
      </w:r>
      <w:r w:rsidRPr="00F90B6B">
        <w:rPr>
          <w:sz w:val="28"/>
          <w:szCs w:val="28"/>
        </w:rPr>
        <w:lastRenderedPageBreak/>
        <w:t>прогресуванню</w:t>
      </w:r>
      <w:r w:rsidRPr="00F90B6B">
        <w:rPr>
          <w:sz w:val="28"/>
          <w:szCs w:val="28"/>
          <w:lang w:val="en-US"/>
        </w:rPr>
        <w:t xml:space="preserve"> </w:t>
      </w:r>
      <w:r w:rsidRPr="00F90B6B">
        <w:rPr>
          <w:sz w:val="28"/>
          <w:szCs w:val="28"/>
        </w:rPr>
        <w:t>з</w:t>
      </w:r>
      <w:r w:rsidRPr="00F90B6B">
        <w:rPr>
          <w:sz w:val="28"/>
          <w:szCs w:val="28"/>
          <w:lang w:val="en-US"/>
        </w:rPr>
        <w:t xml:space="preserve"> </w:t>
      </w:r>
      <w:r w:rsidRPr="00F90B6B">
        <w:rPr>
          <w:sz w:val="28"/>
          <w:szCs w:val="28"/>
        </w:rPr>
        <w:t>виникненням</w:t>
      </w:r>
      <w:r w:rsidRPr="00F90B6B">
        <w:rPr>
          <w:sz w:val="28"/>
          <w:szCs w:val="28"/>
          <w:lang w:val="en-US"/>
        </w:rPr>
        <w:t xml:space="preserve"> </w:t>
      </w:r>
      <w:r w:rsidRPr="00F90B6B">
        <w:rPr>
          <w:sz w:val="28"/>
          <w:szCs w:val="28"/>
        </w:rPr>
        <w:t>кардіоваскулярних</w:t>
      </w:r>
      <w:r w:rsidRPr="00F90B6B">
        <w:rPr>
          <w:sz w:val="28"/>
          <w:szCs w:val="28"/>
          <w:lang w:val="en-US"/>
        </w:rPr>
        <w:t xml:space="preserve"> </w:t>
      </w:r>
      <w:r w:rsidRPr="00F90B6B">
        <w:rPr>
          <w:sz w:val="28"/>
          <w:szCs w:val="28"/>
        </w:rPr>
        <w:t>подій</w:t>
      </w:r>
      <w:r w:rsidRPr="00F90B6B">
        <w:rPr>
          <w:sz w:val="28"/>
          <w:szCs w:val="28"/>
          <w:lang w:val="en-US"/>
        </w:rPr>
        <w:t xml:space="preserve"> </w:t>
      </w:r>
      <w:r w:rsidRPr="00F90B6B">
        <w:rPr>
          <w:sz w:val="28"/>
          <w:szCs w:val="28"/>
        </w:rPr>
        <w:t>та</w:t>
      </w:r>
      <w:r w:rsidRPr="00F90B6B">
        <w:rPr>
          <w:sz w:val="28"/>
          <w:szCs w:val="28"/>
          <w:lang w:val="en-US"/>
        </w:rPr>
        <w:t xml:space="preserve"> </w:t>
      </w:r>
      <w:r w:rsidRPr="00F90B6B">
        <w:rPr>
          <w:sz w:val="28"/>
          <w:szCs w:val="28"/>
        </w:rPr>
        <w:t>ниркової</w:t>
      </w:r>
      <w:r w:rsidRPr="00F90B6B">
        <w:rPr>
          <w:sz w:val="28"/>
          <w:szCs w:val="28"/>
          <w:lang w:val="en-US"/>
        </w:rPr>
        <w:t xml:space="preserve"> </w:t>
      </w:r>
      <w:r w:rsidRPr="00F90B6B">
        <w:rPr>
          <w:sz w:val="28"/>
          <w:szCs w:val="28"/>
        </w:rPr>
        <w:t>недостатності</w:t>
      </w:r>
      <w:r w:rsidRPr="00F90B6B">
        <w:rPr>
          <w:sz w:val="28"/>
          <w:szCs w:val="28"/>
          <w:lang w:val="en-US"/>
        </w:rPr>
        <w:t xml:space="preserve">, </w:t>
      </w:r>
      <w:r w:rsidRPr="00F90B6B">
        <w:rPr>
          <w:sz w:val="28"/>
          <w:szCs w:val="28"/>
        </w:rPr>
        <w:t>що</w:t>
      </w:r>
      <w:r w:rsidRPr="00F90B6B">
        <w:rPr>
          <w:sz w:val="28"/>
          <w:szCs w:val="28"/>
          <w:lang w:val="en-US"/>
        </w:rPr>
        <w:t xml:space="preserve"> </w:t>
      </w:r>
      <w:r w:rsidRPr="00F90B6B">
        <w:rPr>
          <w:sz w:val="28"/>
          <w:szCs w:val="28"/>
        </w:rPr>
        <w:t>спричиняє</w:t>
      </w:r>
      <w:r w:rsidRPr="00F90B6B">
        <w:rPr>
          <w:sz w:val="28"/>
          <w:szCs w:val="28"/>
          <w:lang w:val="en-US"/>
        </w:rPr>
        <w:t xml:space="preserve"> </w:t>
      </w:r>
      <w:r w:rsidRPr="00F90B6B">
        <w:rPr>
          <w:sz w:val="28"/>
          <w:szCs w:val="28"/>
        </w:rPr>
        <w:t>несприятливий</w:t>
      </w:r>
      <w:r w:rsidRPr="00F90B6B">
        <w:rPr>
          <w:sz w:val="28"/>
          <w:szCs w:val="28"/>
          <w:lang w:val="en-US"/>
        </w:rPr>
        <w:t xml:space="preserve"> </w:t>
      </w:r>
      <w:r w:rsidRPr="00F90B6B">
        <w:rPr>
          <w:sz w:val="28"/>
          <w:szCs w:val="28"/>
        </w:rPr>
        <w:t>синергічний</w:t>
      </w:r>
      <w:r w:rsidRPr="00F90B6B">
        <w:rPr>
          <w:sz w:val="28"/>
          <w:szCs w:val="28"/>
          <w:lang w:val="en-US"/>
        </w:rPr>
        <w:t xml:space="preserve"> </w:t>
      </w:r>
      <w:r w:rsidRPr="00F90B6B">
        <w:rPr>
          <w:sz w:val="28"/>
          <w:szCs w:val="28"/>
        </w:rPr>
        <w:t>вплив</w:t>
      </w:r>
      <w:r w:rsidRPr="00F90B6B">
        <w:rPr>
          <w:sz w:val="28"/>
          <w:szCs w:val="28"/>
          <w:lang w:val="en-US"/>
        </w:rPr>
        <w:t xml:space="preserve"> </w:t>
      </w:r>
      <w:r w:rsidRPr="00F90B6B">
        <w:rPr>
          <w:sz w:val="28"/>
          <w:szCs w:val="28"/>
        </w:rPr>
        <w:t>на</w:t>
      </w:r>
      <w:r w:rsidRPr="00F90B6B">
        <w:rPr>
          <w:sz w:val="28"/>
          <w:szCs w:val="28"/>
          <w:lang w:val="en-US"/>
        </w:rPr>
        <w:t xml:space="preserve"> </w:t>
      </w:r>
      <w:r w:rsidRPr="00F90B6B">
        <w:rPr>
          <w:sz w:val="28"/>
          <w:szCs w:val="28"/>
        </w:rPr>
        <w:t>найближчий</w:t>
      </w:r>
      <w:r w:rsidRPr="00F90B6B">
        <w:rPr>
          <w:sz w:val="28"/>
          <w:szCs w:val="28"/>
          <w:lang w:val="en-US"/>
        </w:rPr>
        <w:t xml:space="preserve"> </w:t>
      </w:r>
      <w:r w:rsidRPr="00F90B6B">
        <w:rPr>
          <w:sz w:val="28"/>
          <w:szCs w:val="28"/>
        </w:rPr>
        <w:t>та</w:t>
      </w:r>
      <w:r w:rsidRPr="00F90B6B">
        <w:rPr>
          <w:sz w:val="28"/>
          <w:szCs w:val="28"/>
          <w:lang w:val="en-US"/>
        </w:rPr>
        <w:t xml:space="preserve"> </w:t>
      </w:r>
      <w:r w:rsidRPr="00F90B6B">
        <w:rPr>
          <w:sz w:val="28"/>
          <w:szCs w:val="28"/>
        </w:rPr>
        <w:t>віддалений</w:t>
      </w:r>
      <w:r w:rsidRPr="00F90B6B">
        <w:rPr>
          <w:sz w:val="28"/>
          <w:szCs w:val="28"/>
          <w:lang w:val="en-US"/>
        </w:rPr>
        <w:t xml:space="preserve"> </w:t>
      </w:r>
      <w:r w:rsidRPr="00F90B6B">
        <w:rPr>
          <w:sz w:val="28"/>
          <w:szCs w:val="28"/>
        </w:rPr>
        <w:t>прогноз</w:t>
      </w:r>
      <w:r w:rsidRPr="00F90B6B">
        <w:rPr>
          <w:sz w:val="28"/>
          <w:szCs w:val="28"/>
          <w:lang w:val="en-US"/>
        </w:rPr>
        <w:t xml:space="preserve"> [</w:t>
      </w:r>
      <w:r w:rsidRPr="00F90B6B">
        <w:rPr>
          <w:rStyle w:val="ac"/>
          <w:i w:val="0"/>
          <w:iCs/>
          <w:sz w:val="28"/>
          <w:szCs w:val="28"/>
          <w:lang w:val="en-US"/>
        </w:rPr>
        <w:t>180, 181</w:t>
      </w:r>
      <w:r w:rsidRPr="00F90B6B">
        <w:rPr>
          <w:sz w:val="28"/>
          <w:szCs w:val="28"/>
          <w:lang w:val="en-US"/>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Тому наступним завданням дослідження було встановити співвідношення зниження швидкості клубочкової фільтрації з вірогідністю летального наслідку у хворих з ХСН, а також фактори, що співвідносяться з ризиком зниження швидкості клубочкової фільтрації у хворих з хронічною серцевою недостатністю.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 даною метою проводилась оцінка ШКФ за формулою Кокрофта-Голта. Зниженою функцією нирок вважали випадки, де ШКФ складала менше 60 мл/хв/м</w:t>
      </w:r>
      <w:r w:rsidRPr="00F90B6B">
        <w:rPr>
          <w:rFonts w:ascii="Times New Roman" w:hAnsi="Times New Roman"/>
          <w:sz w:val="28"/>
          <w:szCs w:val="28"/>
          <w:vertAlign w:val="superscript"/>
        </w:rPr>
        <w:t>2</w:t>
      </w:r>
      <w:r w:rsidRPr="00F90B6B">
        <w:rPr>
          <w:rFonts w:ascii="Times New Roman" w:hAnsi="Times New Roman"/>
          <w:sz w:val="28"/>
          <w:szCs w:val="28"/>
        </w:rPr>
        <w:t>.</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Загальна кількість хворих з швидкістю клубочкової фільтрації менше 60 мл/хв склала 84 чол. При дослідженні вірогідності декомпенсації ХСН був проведений аналіз залежності даної події від зниження швидкості клубочкової фільтрації. Ризик асоціації серцево-судинної смертності зі зниженням ШКФ становив - </w:t>
      </w:r>
      <w:r w:rsidRPr="00F90B6B">
        <w:rPr>
          <w:rFonts w:ascii="Times New Roman" w:hAnsi="Times New Roman"/>
          <w:sz w:val="28"/>
          <w:szCs w:val="28"/>
          <w:lang w:eastAsia="uk-UA"/>
        </w:rPr>
        <w:t xml:space="preserve">54,0%, </w:t>
      </w:r>
      <w:r w:rsidRPr="00F90B6B">
        <w:rPr>
          <w:rFonts w:ascii="Times New Roman" w:hAnsi="Times New Roman"/>
          <w:sz w:val="28"/>
          <w:szCs w:val="28"/>
        </w:rPr>
        <w:t>відносний ризик - 3,33 [2,33-4,78]</w:t>
      </w:r>
      <w:r w:rsidRPr="00F90B6B">
        <w:rPr>
          <w:rFonts w:ascii="Times New Roman" w:hAnsi="Times New Roman"/>
          <w:bCs/>
          <w:sz w:val="28"/>
          <w:szCs w:val="28"/>
        </w:rPr>
        <w:t xml:space="preserve"> (р&lt;0,05), відношення шансів - 6,03 [3,45-10,5] (р&lt;0,05), </w:t>
      </w:r>
      <w:r w:rsidRPr="00F90B6B">
        <w:rPr>
          <w:rFonts w:ascii="Times New Roman" w:hAnsi="Times New Roman"/>
          <w:sz w:val="28"/>
          <w:szCs w:val="28"/>
        </w:rPr>
        <w:t>табл. 3.5.13.</w:t>
      </w:r>
    </w:p>
    <w:p w:rsidR="00EF4063" w:rsidRPr="00F90B6B" w:rsidRDefault="00EF4063" w:rsidP="00F0048B">
      <w:pPr>
        <w:spacing w:after="0" w:line="360" w:lineRule="auto"/>
        <w:jc w:val="right"/>
        <w:rPr>
          <w:rFonts w:ascii="Times New Roman" w:hAnsi="Times New Roman"/>
          <w:i/>
          <w:sz w:val="28"/>
          <w:szCs w:val="28"/>
        </w:rPr>
      </w:pPr>
      <w:r w:rsidRPr="00F90B6B">
        <w:rPr>
          <w:rFonts w:ascii="Times New Roman" w:hAnsi="Times New Roman"/>
          <w:i/>
          <w:sz w:val="28"/>
          <w:szCs w:val="28"/>
        </w:rPr>
        <w:t>Таблиця 3.5.13</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Вірогідність асоціації </w:t>
      </w:r>
      <w:r w:rsidRPr="00F90B6B">
        <w:rPr>
          <w:rFonts w:ascii="Times New Roman" w:hAnsi="Times New Roman"/>
          <w:b/>
          <w:sz w:val="28"/>
          <w:szCs w:val="28"/>
          <w:lang w:eastAsia="ru-RU"/>
        </w:rPr>
        <w:t xml:space="preserve">серцево-судинної смертності внаслідок зі </w:t>
      </w:r>
      <w:r w:rsidRPr="00F90B6B">
        <w:rPr>
          <w:rFonts w:ascii="Times New Roman" w:hAnsi="Times New Roman"/>
          <w:b/>
          <w:sz w:val="28"/>
          <w:szCs w:val="28"/>
        </w:rPr>
        <w:t>зниженням швидкості клубочкової фільтрації при ХСН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b/>
                <w:sz w:val="28"/>
                <w:szCs w:val="28"/>
                <w:lang w:eastAsia="uk-UA"/>
              </w:rPr>
            </w:pPr>
            <w:r w:rsidRPr="00F90B6B">
              <w:rPr>
                <w:rFonts w:ascii="Times New Roman" w:hAnsi="Times New Roman"/>
                <w:b/>
                <w:sz w:val="28"/>
                <w:szCs w:val="28"/>
                <w:lang w:eastAsia="ru-RU"/>
              </w:rPr>
              <w:t>Показник</w:t>
            </w:r>
          </w:p>
        </w:tc>
        <w:tc>
          <w:tcPr>
            <w:tcW w:w="2216"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vertAlign w:val="superscript"/>
              </w:rPr>
            </w:pPr>
            <w:r w:rsidRPr="00F90B6B">
              <w:rPr>
                <w:rFonts w:ascii="Times New Roman" w:hAnsi="Times New Roman"/>
                <w:i/>
                <w:sz w:val="28"/>
                <w:szCs w:val="28"/>
              </w:rPr>
              <w:t xml:space="preserve">ШКФ </w:t>
            </w:r>
            <w:r w:rsidRPr="00F90B6B">
              <w:rPr>
                <w:rFonts w:ascii="Times New Roman" w:hAnsi="Times New Roman"/>
                <w:i/>
                <w:sz w:val="28"/>
                <w:szCs w:val="28"/>
                <w:lang w:val="en-US"/>
              </w:rPr>
              <w:t xml:space="preserve">&lt; </w:t>
            </w:r>
            <w:r w:rsidRPr="00F90B6B">
              <w:rPr>
                <w:rFonts w:ascii="Times New Roman" w:hAnsi="Times New Roman"/>
                <w:i/>
                <w:sz w:val="28"/>
                <w:szCs w:val="28"/>
              </w:rPr>
              <w:t>60 мл/хв/м</w:t>
            </w:r>
            <w:r w:rsidRPr="00F90B6B">
              <w:rPr>
                <w:rFonts w:ascii="Times New Roman" w:hAnsi="Times New Roman"/>
                <w:i/>
                <w:sz w:val="28"/>
                <w:szCs w:val="28"/>
                <w:vertAlign w:val="superscript"/>
              </w:rPr>
              <w:t>2</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54,0</w:t>
            </w:r>
          </w:p>
        </w:tc>
        <w:tc>
          <w:tcPr>
            <w:tcW w:w="2243" w:type="dxa"/>
            <w:vMerge w:val="restart"/>
            <w:vAlign w:val="center"/>
          </w:tcPr>
          <w:p w:rsidR="00EF4063" w:rsidRPr="00F90B6B" w:rsidRDefault="00EF4063" w:rsidP="00F0048B">
            <w:pPr>
              <w:spacing w:after="0" w:line="360" w:lineRule="auto"/>
              <w:jc w:val="center"/>
              <w:rPr>
                <w:rFonts w:ascii="Times New Roman" w:hAnsi="Times New Roman"/>
                <w:bCs/>
                <w:sz w:val="28"/>
                <w:szCs w:val="28"/>
              </w:rPr>
            </w:pPr>
            <w:r w:rsidRPr="00F90B6B">
              <w:rPr>
                <w:rFonts w:ascii="Times New Roman" w:hAnsi="Times New Roman"/>
                <w:bCs/>
                <w:sz w:val="28"/>
                <w:szCs w:val="28"/>
              </w:rPr>
              <w:t>3,33</w:t>
            </w:r>
          </w:p>
          <w:p w:rsidR="00EF4063" w:rsidRPr="00F90B6B" w:rsidRDefault="00EF4063" w:rsidP="00F0048B">
            <w:pPr>
              <w:spacing w:after="0" w:line="360" w:lineRule="auto"/>
              <w:jc w:val="center"/>
              <w:rPr>
                <w:rFonts w:ascii="Times New Roman" w:hAnsi="Times New Roman"/>
                <w:bCs/>
                <w:sz w:val="28"/>
                <w:szCs w:val="28"/>
                <w:lang w:val="en-US"/>
              </w:rPr>
            </w:pPr>
            <w:r w:rsidRPr="00F90B6B">
              <w:rPr>
                <w:rFonts w:ascii="Times New Roman" w:hAnsi="Times New Roman"/>
                <w:bCs/>
                <w:sz w:val="28"/>
                <w:szCs w:val="28"/>
                <w:lang w:val="en-US"/>
              </w:rPr>
              <w:t>[2,33-4,78]</w:t>
            </w:r>
          </w:p>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bCs/>
                <w:sz w:val="28"/>
                <w:szCs w:val="28"/>
              </w:rPr>
              <w:t>р&lt;0,05</w:t>
            </w:r>
          </w:p>
        </w:tc>
        <w:tc>
          <w:tcPr>
            <w:tcW w:w="2163" w:type="dxa"/>
            <w:vMerge w:val="restart"/>
            <w:vAlign w:val="center"/>
          </w:tcPr>
          <w:p w:rsidR="00EF4063" w:rsidRPr="00F90B6B" w:rsidRDefault="00EF4063" w:rsidP="00F0048B">
            <w:pPr>
              <w:spacing w:after="0" w:line="360" w:lineRule="auto"/>
              <w:jc w:val="center"/>
              <w:rPr>
                <w:rFonts w:ascii="Times New Roman" w:hAnsi="Times New Roman"/>
                <w:bCs/>
                <w:sz w:val="28"/>
                <w:szCs w:val="28"/>
                <w:lang w:val="en-US"/>
              </w:rPr>
            </w:pPr>
            <w:r w:rsidRPr="00F90B6B">
              <w:rPr>
                <w:rFonts w:ascii="Times New Roman" w:hAnsi="Times New Roman"/>
                <w:bCs/>
                <w:sz w:val="28"/>
                <w:szCs w:val="28"/>
                <w:lang w:val="en-US"/>
              </w:rPr>
              <w:t>6,03</w:t>
            </w:r>
          </w:p>
          <w:p w:rsidR="00EF4063" w:rsidRPr="00F90B6B" w:rsidRDefault="00EF4063" w:rsidP="00F0048B">
            <w:pPr>
              <w:spacing w:after="0" w:line="360" w:lineRule="auto"/>
              <w:jc w:val="center"/>
              <w:rPr>
                <w:rFonts w:ascii="Times New Roman" w:hAnsi="Times New Roman"/>
                <w:bCs/>
                <w:sz w:val="28"/>
                <w:szCs w:val="28"/>
                <w:lang w:val="en-US"/>
              </w:rPr>
            </w:pPr>
            <w:r w:rsidRPr="00F90B6B">
              <w:rPr>
                <w:rFonts w:ascii="Times New Roman" w:hAnsi="Times New Roman"/>
                <w:bCs/>
                <w:sz w:val="28"/>
                <w:szCs w:val="28"/>
                <w:lang w:val="en-US"/>
              </w:rPr>
              <w:t>[3,45-10,5]</w:t>
            </w:r>
          </w:p>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bCs/>
                <w:sz w:val="28"/>
                <w:szCs w:val="28"/>
              </w:rPr>
              <w:t>р&lt;0,05</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ШКФ ≥ 60 мл/хв/м</w:t>
            </w:r>
            <w:r w:rsidRPr="00F90B6B">
              <w:rPr>
                <w:rFonts w:ascii="Times New Roman" w:hAnsi="Times New Roman"/>
                <w:i/>
                <w:sz w:val="28"/>
                <w:szCs w:val="28"/>
                <w:vertAlign w:val="superscript"/>
              </w:rPr>
              <w:t>2</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16,0</w:t>
            </w:r>
          </w:p>
        </w:tc>
        <w:tc>
          <w:tcPr>
            <w:tcW w:w="0" w:type="auto"/>
            <w:vMerge/>
            <w:vAlign w:val="center"/>
          </w:tcPr>
          <w:p w:rsidR="00EF4063" w:rsidRPr="00F90B6B" w:rsidRDefault="00EF4063" w:rsidP="00F0048B">
            <w:pPr>
              <w:spacing w:after="0" w:line="360" w:lineRule="auto"/>
              <w:rPr>
                <w:rFonts w:ascii="Times New Roman" w:hAnsi="Times New Roman"/>
                <w:sz w:val="28"/>
                <w:szCs w:val="28"/>
                <w:lang w:eastAsia="uk-UA"/>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eastAsia="uk-UA"/>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Таким чином, зниження ШКФ є вірогідним та незалежним фактором ризику прогресування ХСН.</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Серед клінічних показників вірогідну асоціацію щодо зниження ШКФ отримано зі старшим віком хворих та підвищеним індексом маси тіла. За віком - 55,2±6,6 років в групі зі збереженою клубочковою фільтрацією та 59,1±5,1 років в групі зі зниженою клкбочковою фільтрацією, р&lt;0,05. Згідно індексу маси тіла - </w:t>
      </w:r>
      <w:r w:rsidRPr="00F90B6B">
        <w:rPr>
          <w:rFonts w:ascii="Times New Roman" w:hAnsi="Times New Roman"/>
          <w:sz w:val="28"/>
          <w:szCs w:val="28"/>
        </w:rPr>
        <w:lastRenderedPageBreak/>
        <w:t>28,6±5,5 кг/м</w:t>
      </w:r>
      <w:r w:rsidRPr="00F90B6B">
        <w:rPr>
          <w:rFonts w:ascii="Times New Roman" w:hAnsi="Times New Roman"/>
          <w:sz w:val="28"/>
          <w:szCs w:val="28"/>
          <w:vertAlign w:val="superscript"/>
        </w:rPr>
        <w:t xml:space="preserve">2 </w:t>
      </w:r>
      <w:r w:rsidRPr="00F90B6B">
        <w:rPr>
          <w:rFonts w:ascii="Times New Roman" w:hAnsi="Times New Roman"/>
          <w:sz w:val="28"/>
          <w:szCs w:val="28"/>
        </w:rPr>
        <w:t>проти 32,9±5,2 кг/м</w:t>
      </w:r>
      <w:r w:rsidRPr="00F90B6B">
        <w:rPr>
          <w:rFonts w:ascii="Times New Roman" w:hAnsi="Times New Roman"/>
          <w:sz w:val="28"/>
          <w:szCs w:val="28"/>
          <w:vertAlign w:val="superscript"/>
        </w:rPr>
        <w:t xml:space="preserve">2 </w:t>
      </w:r>
      <w:r w:rsidRPr="00F90B6B">
        <w:rPr>
          <w:rFonts w:ascii="Times New Roman" w:hAnsi="Times New Roman"/>
          <w:sz w:val="28"/>
          <w:szCs w:val="28"/>
        </w:rPr>
        <w:t xml:space="preserve">відповідно, р&lt;0,05. Дані представлені в таблиці 3.5.14. </w:t>
      </w:r>
    </w:p>
    <w:p w:rsidR="00EF4063" w:rsidRPr="00F90B6B" w:rsidRDefault="00EF4063" w:rsidP="00F0048B">
      <w:pPr>
        <w:spacing w:after="0" w:line="360" w:lineRule="auto"/>
        <w:jc w:val="right"/>
        <w:rPr>
          <w:rFonts w:ascii="Times New Roman" w:hAnsi="Times New Roman"/>
          <w:i/>
          <w:sz w:val="28"/>
          <w:szCs w:val="28"/>
        </w:rPr>
      </w:pPr>
      <w:r w:rsidRPr="00F90B6B">
        <w:rPr>
          <w:rFonts w:ascii="Times New Roman" w:hAnsi="Times New Roman"/>
          <w:i/>
          <w:sz w:val="28"/>
          <w:szCs w:val="28"/>
        </w:rPr>
        <w:t>Таблиця 3.5.14</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Співвідношення розвитку кардіоренального синдрому з клінічними факторами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20"/>
        <w:gridCol w:w="3026"/>
        <w:gridCol w:w="2747"/>
        <w:gridCol w:w="1628"/>
      </w:tblGrid>
      <w:tr w:rsidR="00EF4063" w:rsidRPr="00F90B6B" w:rsidTr="0076299F">
        <w:tc>
          <w:tcPr>
            <w:tcW w:w="1449"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eastAsia="ru-RU"/>
              </w:rPr>
              <w:t>Показник</w:t>
            </w:r>
          </w:p>
        </w:tc>
        <w:tc>
          <w:tcPr>
            <w:tcW w:w="1452"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rPr>
              <w:t>ШКФ збережена</w:t>
            </w:r>
          </w:p>
        </w:tc>
        <w:tc>
          <w:tcPr>
            <w:tcW w:w="1318"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rPr>
              <w:t>ШКФ знижена</w:t>
            </w:r>
          </w:p>
        </w:tc>
        <w:tc>
          <w:tcPr>
            <w:tcW w:w="781"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р</w:t>
            </w:r>
          </w:p>
        </w:tc>
      </w:tr>
      <w:tr w:rsidR="00EF4063" w:rsidRPr="00F90B6B" w:rsidTr="0076299F">
        <w:tc>
          <w:tcPr>
            <w:tcW w:w="1449"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Вік (М±</w:t>
            </w:r>
            <w:r w:rsidRPr="00F90B6B">
              <w:rPr>
                <w:rFonts w:ascii="Times New Roman" w:hAnsi="Times New Roman"/>
                <w:i/>
                <w:sz w:val="28"/>
                <w:szCs w:val="28"/>
                <w:lang w:val="en-US"/>
              </w:rPr>
              <w:t>SD</w:t>
            </w:r>
            <w:r w:rsidRPr="00F90B6B">
              <w:rPr>
                <w:rFonts w:ascii="Times New Roman" w:hAnsi="Times New Roman"/>
                <w:i/>
                <w:sz w:val="28"/>
                <w:szCs w:val="28"/>
              </w:rPr>
              <w:t>)</w:t>
            </w:r>
          </w:p>
        </w:tc>
        <w:tc>
          <w:tcPr>
            <w:tcW w:w="1452"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55,2±6,6</w:t>
            </w:r>
          </w:p>
        </w:tc>
        <w:tc>
          <w:tcPr>
            <w:tcW w:w="1318"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59,1±5,1</w:t>
            </w:r>
          </w:p>
        </w:tc>
        <w:tc>
          <w:tcPr>
            <w:tcW w:w="781"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&lt;0,05</w:t>
            </w:r>
          </w:p>
        </w:tc>
      </w:tr>
      <w:tr w:rsidR="00EF4063" w:rsidRPr="00F90B6B" w:rsidTr="0076299F">
        <w:tc>
          <w:tcPr>
            <w:tcW w:w="1449" w:type="pct"/>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ІМТ(М±</w:t>
            </w:r>
            <w:r w:rsidRPr="00F90B6B">
              <w:rPr>
                <w:rFonts w:ascii="Times New Roman" w:hAnsi="Times New Roman"/>
                <w:i/>
                <w:sz w:val="28"/>
                <w:szCs w:val="28"/>
                <w:lang w:val="en-US"/>
              </w:rPr>
              <w:t>SD</w:t>
            </w:r>
            <w:r w:rsidRPr="00F90B6B">
              <w:rPr>
                <w:rFonts w:ascii="Times New Roman" w:hAnsi="Times New Roman"/>
                <w:i/>
                <w:sz w:val="28"/>
                <w:szCs w:val="28"/>
              </w:rPr>
              <w:t>)</w:t>
            </w:r>
          </w:p>
        </w:tc>
        <w:tc>
          <w:tcPr>
            <w:tcW w:w="1452"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2</w:t>
            </w:r>
            <w:r w:rsidRPr="00F90B6B">
              <w:rPr>
                <w:rFonts w:ascii="Times New Roman" w:hAnsi="Times New Roman"/>
                <w:sz w:val="28"/>
                <w:szCs w:val="28"/>
              </w:rPr>
              <w:t>8</w:t>
            </w:r>
            <w:r w:rsidRPr="00F90B6B">
              <w:rPr>
                <w:rFonts w:ascii="Times New Roman" w:hAnsi="Times New Roman"/>
                <w:sz w:val="28"/>
                <w:szCs w:val="28"/>
                <w:lang w:val="en-US"/>
              </w:rPr>
              <w:t>,6</w:t>
            </w:r>
            <w:r w:rsidRPr="00F90B6B">
              <w:rPr>
                <w:rFonts w:ascii="Times New Roman" w:hAnsi="Times New Roman"/>
                <w:sz w:val="28"/>
                <w:szCs w:val="28"/>
              </w:rPr>
              <w:t>±</w:t>
            </w:r>
            <w:r w:rsidRPr="00F90B6B">
              <w:rPr>
                <w:rFonts w:ascii="Times New Roman" w:hAnsi="Times New Roman"/>
                <w:sz w:val="28"/>
                <w:szCs w:val="28"/>
                <w:lang w:val="en-US"/>
              </w:rPr>
              <w:t>5</w:t>
            </w:r>
            <w:r w:rsidRPr="00F90B6B">
              <w:rPr>
                <w:rFonts w:ascii="Times New Roman" w:hAnsi="Times New Roman"/>
                <w:sz w:val="28"/>
                <w:szCs w:val="28"/>
              </w:rPr>
              <w:t>,</w:t>
            </w:r>
            <w:r w:rsidRPr="00F90B6B">
              <w:rPr>
                <w:rFonts w:ascii="Times New Roman" w:hAnsi="Times New Roman"/>
                <w:sz w:val="28"/>
                <w:szCs w:val="28"/>
                <w:lang w:val="en-US"/>
              </w:rPr>
              <w:t>5</w:t>
            </w:r>
          </w:p>
        </w:tc>
        <w:tc>
          <w:tcPr>
            <w:tcW w:w="1318"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32</w:t>
            </w:r>
            <w:r w:rsidRPr="00F90B6B">
              <w:rPr>
                <w:rFonts w:ascii="Times New Roman" w:hAnsi="Times New Roman"/>
                <w:sz w:val="28"/>
                <w:szCs w:val="28"/>
              </w:rPr>
              <w:t>,9±</w:t>
            </w:r>
            <w:r w:rsidRPr="00F90B6B">
              <w:rPr>
                <w:rFonts w:ascii="Times New Roman" w:hAnsi="Times New Roman"/>
                <w:sz w:val="28"/>
                <w:szCs w:val="28"/>
                <w:lang w:val="en-US"/>
              </w:rPr>
              <w:t>5,2</w:t>
            </w:r>
          </w:p>
        </w:tc>
        <w:tc>
          <w:tcPr>
            <w:tcW w:w="781"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&lt;0,05</w:t>
            </w: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ru-RU"/>
        </w:rPr>
        <w:t>Серед лабораторних показників вірогідну різницю щодо ризику зниження клубочкової фільтрації у хворих з ХСН отримано для рівня гемоглобіну: 121,7±8,79 г/л - в разі розвитку даного ускладнення, 131,4±9,81 г/л – в разі його відсутності, а також гематокриту (</w:t>
      </w:r>
      <w:r w:rsidRPr="00F90B6B">
        <w:rPr>
          <w:rFonts w:ascii="Times New Roman" w:hAnsi="Times New Roman"/>
          <w:sz w:val="28"/>
          <w:szCs w:val="28"/>
        </w:rPr>
        <w:t xml:space="preserve">0,49±0,09 проти 0,47±0,08, р&lt;0,05).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Для решти показників гемограми різниця була невірогідною (р&gt;0,05), табл. 3.5.15.</w: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Встановлено цікаву закономірність при дослідженні співвідношення зниженої ШКФ та рівня натріємії. Першим кроком був аналіз середніх величин вмісту натрію в групах хворих зі зниженою та нормальною ШКФ, що наведено на рис. 3.5.6.</w:t>
      </w:r>
    </w:p>
    <w:p w:rsidR="00FB4A39" w:rsidRPr="00F90B6B" w:rsidRDefault="00FB4A39"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3.5.15</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Співвідношення розвитку кардіоренального синдрому з показниками гемограми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10"/>
        <w:gridCol w:w="2960"/>
        <w:gridCol w:w="2682"/>
        <w:gridCol w:w="1569"/>
      </w:tblGrid>
      <w:tr w:rsidR="00EF4063" w:rsidRPr="00F90B6B" w:rsidTr="0076299F">
        <w:tc>
          <w:tcPr>
            <w:tcW w:w="1540"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eastAsia="ru-RU"/>
              </w:rPr>
              <w:t>Показник</w:t>
            </w:r>
          </w:p>
        </w:tc>
        <w:tc>
          <w:tcPr>
            <w:tcW w:w="1420"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rPr>
              <w:t>ШКФ збережена</w:t>
            </w:r>
          </w:p>
        </w:tc>
        <w:tc>
          <w:tcPr>
            <w:tcW w:w="1287" w:type="pct"/>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rPr>
              <w:t>ШКФ знижена</w:t>
            </w:r>
          </w:p>
        </w:tc>
        <w:tc>
          <w:tcPr>
            <w:tcW w:w="753" w:type="pct"/>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р</w:t>
            </w:r>
          </w:p>
        </w:tc>
      </w:tr>
      <w:tr w:rsidR="00EF4063" w:rsidRPr="00F90B6B" w:rsidTr="0076299F">
        <w:tc>
          <w:tcPr>
            <w:tcW w:w="1540" w:type="pct"/>
            <w:vAlign w:val="center"/>
          </w:tcPr>
          <w:p w:rsidR="00EF4063" w:rsidRPr="00F90B6B" w:rsidRDefault="00EF4063" w:rsidP="00F0048B">
            <w:pPr>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 xml:space="preserve">Еритроцити </w:t>
            </w:r>
            <w:r w:rsidRPr="00F90B6B">
              <w:rPr>
                <w:rFonts w:ascii="Times New Roman" w:hAnsi="Times New Roman"/>
                <w:b/>
                <w:sz w:val="28"/>
                <w:szCs w:val="28"/>
                <w:lang w:eastAsia="ru-RU"/>
              </w:rPr>
              <w:t>(М±SD)</w:t>
            </w:r>
          </w:p>
        </w:tc>
        <w:tc>
          <w:tcPr>
            <w:tcW w:w="142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4,25±1,41</w:t>
            </w:r>
          </w:p>
        </w:tc>
        <w:tc>
          <w:tcPr>
            <w:tcW w:w="128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4,21±1,27</w:t>
            </w:r>
          </w:p>
        </w:tc>
        <w:tc>
          <w:tcPr>
            <w:tcW w:w="753"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&gt;0,05</w:t>
            </w:r>
          </w:p>
        </w:tc>
      </w:tr>
      <w:tr w:rsidR="00EF4063" w:rsidRPr="00F90B6B" w:rsidTr="0076299F">
        <w:tc>
          <w:tcPr>
            <w:tcW w:w="1540" w:type="pct"/>
            <w:vAlign w:val="center"/>
          </w:tcPr>
          <w:p w:rsidR="00EF4063" w:rsidRPr="00F90B6B" w:rsidRDefault="00EF4063" w:rsidP="00F0048B">
            <w:pPr>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 xml:space="preserve">Гемоглобін </w:t>
            </w:r>
            <w:r w:rsidRPr="00F90B6B">
              <w:rPr>
                <w:rFonts w:ascii="Times New Roman" w:hAnsi="Times New Roman"/>
                <w:b/>
                <w:sz w:val="28"/>
                <w:szCs w:val="28"/>
                <w:lang w:eastAsia="ru-RU"/>
              </w:rPr>
              <w:t>(М±SD)</w:t>
            </w:r>
          </w:p>
        </w:tc>
        <w:tc>
          <w:tcPr>
            <w:tcW w:w="142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ru-RU"/>
              </w:rPr>
              <w:t>131,4±9,81</w:t>
            </w:r>
          </w:p>
        </w:tc>
        <w:tc>
          <w:tcPr>
            <w:tcW w:w="1287"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eastAsia="ru-RU"/>
              </w:rPr>
              <w:t>121,7±8,79</w:t>
            </w:r>
          </w:p>
        </w:tc>
        <w:tc>
          <w:tcPr>
            <w:tcW w:w="753"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&lt;0,05</w:t>
            </w:r>
          </w:p>
        </w:tc>
      </w:tr>
      <w:tr w:rsidR="00EF4063" w:rsidRPr="00F90B6B" w:rsidTr="0076299F">
        <w:tc>
          <w:tcPr>
            <w:tcW w:w="1540" w:type="pct"/>
            <w:vAlign w:val="center"/>
          </w:tcPr>
          <w:p w:rsidR="00EF4063" w:rsidRPr="00F90B6B" w:rsidRDefault="00EF4063" w:rsidP="00F0048B">
            <w:pPr>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Гематокрит</w:t>
            </w:r>
          </w:p>
        </w:tc>
        <w:tc>
          <w:tcPr>
            <w:tcW w:w="142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0,49±0,09</w:t>
            </w:r>
          </w:p>
        </w:tc>
        <w:tc>
          <w:tcPr>
            <w:tcW w:w="1287"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0,47±0,08</w:t>
            </w:r>
          </w:p>
        </w:tc>
        <w:tc>
          <w:tcPr>
            <w:tcW w:w="753"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&lt;0,05</w:t>
            </w:r>
          </w:p>
        </w:tc>
      </w:tr>
      <w:tr w:rsidR="00EF4063" w:rsidRPr="00F90B6B" w:rsidTr="0076299F">
        <w:tc>
          <w:tcPr>
            <w:tcW w:w="1540" w:type="pct"/>
            <w:vAlign w:val="center"/>
          </w:tcPr>
          <w:p w:rsidR="00EF4063" w:rsidRPr="00F90B6B" w:rsidRDefault="00EF4063" w:rsidP="00F0048B">
            <w:pPr>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 xml:space="preserve">ШОЕ </w:t>
            </w:r>
            <w:r w:rsidRPr="00F90B6B">
              <w:rPr>
                <w:rFonts w:ascii="Times New Roman" w:hAnsi="Times New Roman"/>
                <w:b/>
                <w:sz w:val="28"/>
                <w:szCs w:val="28"/>
                <w:lang w:eastAsia="ru-RU"/>
              </w:rPr>
              <w:t>(М±SD)</w:t>
            </w:r>
          </w:p>
        </w:tc>
        <w:tc>
          <w:tcPr>
            <w:tcW w:w="1420"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1</w:t>
            </w:r>
            <w:r w:rsidRPr="00F90B6B">
              <w:rPr>
                <w:rFonts w:ascii="Times New Roman" w:hAnsi="Times New Roman"/>
                <w:sz w:val="28"/>
                <w:szCs w:val="28"/>
              </w:rPr>
              <w:t>2,7±4,14</w:t>
            </w:r>
          </w:p>
        </w:tc>
        <w:tc>
          <w:tcPr>
            <w:tcW w:w="1287"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lang w:val="en-US"/>
              </w:rPr>
              <w:t>1</w:t>
            </w:r>
            <w:r w:rsidRPr="00F90B6B">
              <w:rPr>
                <w:rFonts w:ascii="Times New Roman" w:hAnsi="Times New Roman"/>
                <w:sz w:val="28"/>
                <w:szCs w:val="28"/>
              </w:rPr>
              <w:t>3</w:t>
            </w:r>
            <w:r w:rsidRPr="00F90B6B">
              <w:rPr>
                <w:rFonts w:ascii="Times New Roman" w:hAnsi="Times New Roman"/>
                <w:sz w:val="28"/>
                <w:szCs w:val="28"/>
                <w:lang w:val="en-US"/>
              </w:rPr>
              <w:t>,</w:t>
            </w:r>
            <w:r w:rsidRPr="00F90B6B">
              <w:rPr>
                <w:rFonts w:ascii="Times New Roman" w:hAnsi="Times New Roman"/>
                <w:sz w:val="28"/>
                <w:szCs w:val="28"/>
              </w:rPr>
              <w:t>1±5,18</w:t>
            </w:r>
          </w:p>
        </w:tc>
        <w:tc>
          <w:tcPr>
            <w:tcW w:w="753"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val="en-US"/>
              </w:rPr>
              <w:t>&gt;0,05</w:t>
            </w:r>
          </w:p>
        </w:tc>
      </w:tr>
      <w:tr w:rsidR="00EF4063" w:rsidRPr="00F90B6B" w:rsidTr="0076299F">
        <w:tc>
          <w:tcPr>
            <w:tcW w:w="1540" w:type="pct"/>
            <w:vAlign w:val="center"/>
          </w:tcPr>
          <w:p w:rsidR="00EF4063" w:rsidRPr="00F90B6B" w:rsidRDefault="00EF4063" w:rsidP="00F0048B">
            <w:pPr>
              <w:spacing w:after="0" w:line="360" w:lineRule="auto"/>
              <w:jc w:val="center"/>
              <w:rPr>
                <w:rFonts w:ascii="Times New Roman" w:hAnsi="Times New Roman"/>
                <w:b/>
                <w:bCs/>
                <w:sz w:val="28"/>
                <w:szCs w:val="28"/>
                <w:lang w:eastAsia="ru-RU"/>
              </w:rPr>
            </w:pPr>
            <w:r w:rsidRPr="00F90B6B">
              <w:rPr>
                <w:rFonts w:ascii="Times New Roman" w:hAnsi="Times New Roman"/>
                <w:b/>
                <w:bCs/>
                <w:sz w:val="28"/>
                <w:szCs w:val="28"/>
                <w:lang w:eastAsia="ru-RU"/>
              </w:rPr>
              <w:t>Лейкоцити</w:t>
            </w:r>
            <w:r w:rsidRPr="00F90B6B">
              <w:rPr>
                <w:rFonts w:ascii="Times New Roman" w:hAnsi="Times New Roman"/>
                <w:b/>
                <w:sz w:val="28"/>
                <w:szCs w:val="28"/>
                <w:lang w:eastAsia="ru-RU"/>
              </w:rPr>
              <w:t>(М±SD)</w:t>
            </w:r>
          </w:p>
        </w:tc>
        <w:tc>
          <w:tcPr>
            <w:tcW w:w="1420"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bCs/>
                <w:sz w:val="28"/>
                <w:szCs w:val="28"/>
              </w:rPr>
              <w:t>6,78</w:t>
            </w:r>
            <w:r w:rsidRPr="00F90B6B">
              <w:rPr>
                <w:rFonts w:ascii="Times New Roman" w:hAnsi="Times New Roman"/>
                <w:sz w:val="28"/>
                <w:szCs w:val="28"/>
              </w:rPr>
              <w:t>±3,94</w:t>
            </w:r>
          </w:p>
        </w:tc>
        <w:tc>
          <w:tcPr>
            <w:tcW w:w="1287" w:type="pct"/>
            <w:vAlign w:val="center"/>
          </w:tcPr>
          <w:p w:rsidR="00EF4063" w:rsidRPr="00F90B6B" w:rsidRDefault="00EF4063" w:rsidP="00F0048B">
            <w:pPr>
              <w:spacing w:after="0" w:line="360" w:lineRule="auto"/>
              <w:jc w:val="center"/>
              <w:rPr>
                <w:rFonts w:ascii="Times New Roman" w:hAnsi="Times New Roman"/>
                <w:sz w:val="28"/>
                <w:szCs w:val="28"/>
                <w:lang w:val="en-US"/>
              </w:rPr>
            </w:pPr>
            <w:r w:rsidRPr="00F90B6B">
              <w:rPr>
                <w:rFonts w:ascii="Times New Roman" w:hAnsi="Times New Roman"/>
                <w:sz w:val="28"/>
                <w:szCs w:val="28"/>
              </w:rPr>
              <w:t>6,56±4</w:t>
            </w:r>
            <w:r w:rsidRPr="00F90B6B">
              <w:rPr>
                <w:rFonts w:ascii="Times New Roman" w:hAnsi="Times New Roman"/>
                <w:sz w:val="28"/>
                <w:szCs w:val="28"/>
                <w:lang w:val="en-US"/>
              </w:rPr>
              <w:t>,</w:t>
            </w:r>
            <w:r w:rsidRPr="00F90B6B">
              <w:rPr>
                <w:rFonts w:ascii="Times New Roman" w:hAnsi="Times New Roman"/>
                <w:sz w:val="28"/>
                <w:szCs w:val="28"/>
              </w:rPr>
              <w:t>14</w:t>
            </w:r>
          </w:p>
        </w:tc>
        <w:tc>
          <w:tcPr>
            <w:tcW w:w="753" w:type="pct"/>
            <w:vAlign w:val="center"/>
          </w:tcPr>
          <w:p w:rsidR="00EF4063" w:rsidRPr="00F90B6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rPr>
              <w:t>&gt;0,05</w:t>
            </w:r>
          </w:p>
        </w:tc>
      </w:tr>
    </w:tbl>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 – вірогідність різниці показників.</w:t>
      </w:r>
    </w:p>
    <w:p w:rsidR="00EF4063" w:rsidRPr="00F90B6B" w:rsidRDefault="006F7754" w:rsidP="00F0048B">
      <w:pPr>
        <w:spacing w:after="0" w:line="360" w:lineRule="auto"/>
        <w:ind w:firstLine="709"/>
        <w:jc w:val="both"/>
        <w:rPr>
          <w:rFonts w:ascii="Times New Roman" w:hAnsi="Times New Roman"/>
          <w:sz w:val="28"/>
          <w:szCs w:val="28"/>
        </w:rPr>
      </w:pPr>
      <w:r w:rsidRPr="00BD2F09">
        <w:rPr>
          <w:rFonts w:ascii="Times New Roman" w:hAnsi="Times New Roman"/>
          <w:noProof/>
          <w:lang w:val="ru-RU" w:eastAsia="ru-RU"/>
        </w:rPr>
        <w:lastRenderedPageBreak/>
        <w:drawing>
          <wp:inline distT="0" distB="0" distL="0" distR="0">
            <wp:extent cx="5543550" cy="3028950"/>
            <wp:effectExtent l="0" t="0" r="0" b="0"/>
            <wp:docPr id="142" name="Диаграмма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0"/>
              </a:graphicData>
            </a:graphic>
          </wp:inline>
        </w:drawing>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b/>
          <w:sz w:val="28"/>
          <w:szCs w:val="28"/>
        </w:rPr>
        <w:t xml:space="preserve">Рис. 3.5.6. </w:t>
      </w:r>
      <w:r w:rsidRPr="00F90B6B">
        <w:rPr>
          <w:rFonts w:ascii="Times New Roman" w:hAnsi="Times New Roman"/>
          <w:sz w:val="28"/>
          <w:szCs w:val="28"/>
        </w:rPr>
        <w:t>Вміст рівня натрію в групах з нормальною та зниженою ШКФ.</w:t>
      </w:r>
    </w:p>
    <w:p w:rsidR="00EF4063" w:rsidRPr="00F90B6B" w:rsidRDefault="00EF4063" w:rsidP="00F0048B">
      <w:pPr>
        <w:spacing w:after="0" w:line="360" w:lineRule="auto"/>
        <w:ind w:firstLine="709"/>
        <w:jc w:val="both"/>
        <w:rPr>
          <w:rFonts w:ascii="Times New Roman" w:hAnsi="Times New Roman"/>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І, хоча, рівень натрію в цих групах відрізнявся невірогідно, на наступному етапі, аналізуючи розподіл хворих з ШКФ до 60 мл/хв/м</w:t>
      </w:r>
      <w:r w:rsidRPr="00F90B6B">
        <w:rPr>
          <w:rFonts w:ascii="Times New Roman" w:hAnsi="Times New Roman"/>
          <w:sz w:val="28"/>
          <w:szCs w:val="28"/>
          <w:vertAlign w:val="superscript"/>
        </w:rPr>
        <w:t>2</w:t>
      </w:r>
      <w:r w:rsidRPr="00F90B6B">
        <w:rPr>
          <w:rFonts w:ascii="Times New Roman" w:hAnsi="Times New Roman"/>
          <w:sz w:val="28"/>
          <w:szCs w:val="28"/>
        </w:rPr>
        <w:t xml:space="preserve">, було встановлено більшу частоту хворих з гіпонатріємією при зниженій ШКФ, табл. 3.5.16.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Як бачимо, частота асоціації гіпонатріємії та зниженої ШКФ становить 36,0% проти 24,0% з нормальною ШКФ. Відносний ризик - 1,47 [1,01-2,14] (р&lt;0,05), шанси - 1,74 [1,0-3,02] (р&lt;0,05).</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3.5.16</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Вірогідність асоціації </w:t>
      </w:r>
      <w:r w:rsidRPr="00F90B6B">
        <w:rPr>
          <w:rFonts w:ascii="Times New Roman" w:hAnsi="Times New Roman"/>
          <w:b/>
          <w:sz w:val="28"/>
          <w:szCs w:val="28"/>
          <w:lang w:eastAsia="ru-RU"/>
        </w:rPr>
        <w:t>зниженої ШКФ та рівня гіпонатріемії</w:t>
      </w:r>
      <w:r w:rsidRPr="00F90B6B">
        <w:rPr>
          <w:rFonts w:ascii="Times New Roman" w:hAnsi="Times New Roman"/>
          <w:b/>
          <w:sz w:val="28"/>
          <w:szCs w:val="28"/>
        </w:rPr>
        <w:t xml:space="preserve"> при ХСН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b/>
                <w:sz w:val="28"/>
                <w:szCs w:val="28"/>
                <w:lang w:eastAsia="uk-UA"/>
              </w:rPr>
            </w:pPr>
            <w:r w:rsidRPr="00F90B6B">
              <w:rPr>
                <w:rFonts w:ascii="Times New Roman" w:hAnsi="Times New Roman"/>
                <w:b/>
                <w:sz w:val="28"/>
                <w:szCs w:val="28"/>
                <w:lang w:eastAsia="ru-RU"/>
              </w:rPr>
              <w:t>Показник</w:t>
            </w:r>
          </w:p>
        </w:tc>
        <w:tc>
          <w:tcPr>
            <w:tcW w:w="2216"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vertAlign w:val="superscript"/>
              </w:rPr>
            </w:pPr>
            <w:r w:rsidRPr="00F90B6B">
              <w:rPr>
                <w:rFonts w:ascii="Times New Roman" w:hAnsi="Times New Roman"/>
                <w:i/>
                <w:sz w:val="28"/>
                <w:szCs w:val="28"/>
              </w:rPr>
              <w:t xml:space="preserve">ШКФ </w:t>
            </w:r>
            <w:r w:rsidRPr="00F90B6B">
              <w:rPr>
                <w:rFonts w:ascii="Times New Roman" w:hAnsi="Times New Roman"/>
                <w:i/>
                <w:sz w:val="28"/>
                <w:szCs w:val="28"/>
                <w:lang w:val="en-US"/>
              </w:rPr>
              <w:t xml:space="preserve">&lt; </w:t>
            </w:r>
            <w:r w:rsidRPr="00F90B6B">
              <w:rPr>
                <w:rFonts w:ascii="Times New Roman" w:hAnsi="Times New Roman"/>
                <w:i/>
                <w:sz w:val="28"/>
                <w:szCs w:val="28"/>
              </w:rPr>
              <w:t>60 мл/хв/м</w:t>
            </w:r>
            <w:r w:rsidRPr="00F90B6B">
              <w:rPr>
                <w:rFonts w:ascii="Times New Roman" w:hAnsi="Times New Roman"/>
                <w:i/>
                <w:sz w:val="28"/>
                <w:szCs w:val="28"/>
                <w:vertAlign w:val="superscript"/>
              </w:rPr>
              <w:t>2</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36,0</w:t>
            </w:r>
          </w:p>
        </w:tc>
        <w:tc>
          <w:tcPr>
            <w:tcW w:w="2243" w:type="dxa"/>
            <w:vMerge w:val="restart"/>
            <w:vAlign w:val="center"/>
          </w:tcPr>
          <w:p w:rsidR="00EF4063" w:rsidRPr="00F90B6B" w:rsidRDefault="00EF4063" w:rsidP="00F0048B">
            <w:pPr>
              <w:spacing w:after="0" w:line="360" w:lineRule="auto"/>
              <w:jc w:val="center"/>
              <w:rPr>
                <w:rFonts w:ascii="Times New Roman" w:hAnsi="Times New Roman"/>
                <w:bCs/>
                <w:sz w:val="28"/>
                <w:szCs w:val="28"/>
              </w:rPr>
            </w:pPr>
            <w:r w:rsidRPr="00F90B6B">
              <w:rPr>
                <w:rFonts w:ascii="Times New Roman" w:hAnsi="Times New Roman"/>
                <w:bCs/>
                <w:sz w:val="28"/>
                <w:szCs w:val="28"/>
              </w:rPr>
              <w:t>1,47</w:t>
            </w:r>
          </w:p>
          <w:p w:rsidR="00EF4063" w:rsidRPr="00F90B6B" w:rsidRDefault="00EF4063" w:rsidP="00F0048B">
            <w:pPr>
              <w:spacing w:after="0" w:line="360" w:lineRule="auto"/>
              <w:jc w:val="center"/>
              <w:rPr>
                <w:rFonts w:ascii="Times New Roman" w:hAnsi="Times New Roman"/>
                <w:bCs/>
                <w:sz w:val="28"/>
                <w:szCs w:val="28"/>
                <w:lang w:val="en-US"/>
              </w:rPr>
            </w:pPr>
            <w:r w:rsidRPr="00F90B6B">
              <w:rPr>
                <w:rFonts w:ascii="Times New Roman" w:hAnsi="Times New Roman"/>
                <w:bCs/>
                <w:sz w:val="28"/>
                <w:szCs w:val="28"/>
                <w:lang w:val="en-US"/>
              </w:rPr>
              <w:t>[1,01</w:t>
            </w:r>
            <w:r w:rsidRPr="00F90B6B">
              <w:rPr>
                <w:rFonts w:ascii="Times New Roman" w:hAnsi="Times New Roman"/>
                <w:bCs/>
                <w:sz w:val="28"/>
                <w:szCs w:val="28"/>
              </w:rPr>
              <w:t>-</w:t>
            </w:r>
            <w:r w:rsidRPr="00F90B6B">
              <w:rPr>
                <w:rFonts w:ascii="Times New Roman" w:hAnsi="Times New Roman"/>
                <w:bCs/>
                <w:sz w:val="28"/>
                <w:szCs w:val="28"/>
                <w:lang w:val="en-US"/>
              </w:rPr>
              <w:t>2,14]</w:t>
            </w:r>
          </w:p>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bCs/>
                <w:sz w:val="28"/>
                <w:szCs w:val="28"/>
              </w:rPr>
              <w:t>р&lt;0,05</w:t>
            </w:r>
          </w:p>
        </w:tc>
        <w:tc>
          <w:tcPr>
            <w:tcW w:w="2163" w:type="dxa"/>
            <w:vMerge w:val="restart"/>
            <w:vAlign w:val="center"/>
          </w:tcPr>
          <w:p w:rsidR="00EF4063" w:rsidRPr="00F90B6B" w:rsidRDefault="00EF4063" w:rsidP="00F0048B">
            <w:pPr>
              <w:spacing w:after="0" w:line="360" w:lineRule="auto"/>
              <w:jc w:val="center"/>
              <w:rPr>
                <w:rFonts w:ascii="Times New Roman" w:hAnsi="Times New Roman"/>
                <w:bCs/>
                <w:sz w:val="28"/>
                <w:szCs w:val="28"/>
                <w:lang w:val="en-US"/>
              </w:rPr>
            </w:pPr>
            <w:r w:rsidRPr="00F90B6B">
              <w:rPr>
                <w:rFonts w:ascii="Times New Roman" w:hAnsi="Times New Roman"/>
                <w:bCs/>
                <w:sz w:val="28"/>
                <w:szCs w:val="28"/>
                <w:lang w:val="en-US"/>
              </w:rPr>
              <w:t>1,74</w:t>
            </w:r>
          </w:p>
          <w:p w:rsidR="00EF4063" w:rsidRPr="00F90B6B" w:rsidRDefault="00EF4063" w:rsidP="00F0048B">
            <w:pPr>
              <w:spacing w:after="0" w:line="360" w:lineRule="auto"/>
              <w:jc w:val="center"/>
              <w:rPr>
                <w:rFonts w:ascii="Times New Roman" w:hAnsi="Times New Roman"/>
                <w:bCs/>
                <w:sz w:val="28"/>
                <w:szCs w:val="28"/>
                <w:lang w:val="en-US"/>
              </w:rPr>
            </w:pPr>
            <w:r w:rsidRPr="00F90B6B">
              <w:rPr>
                <w:rFonts w:ascii="Times New Roman" w:hAnsi="Times New Roman"/>
                <w:bCs/>
                <w:sz w:val="28"/>
                <w:szCs w:val="28"/>
                <w:lang w:val="en-US"/>
              </w:rPr>
              <w:t>[1,0</w:t>
            </w:r>
            <w:r w:rsidRPr="00F90B6B">
              <w:rPr>
                <w:rFonts w:ascii="Times New Roman" w:hAnsi="Times New Roman"/>
                <w:bCs/>
                <w:sz w:val="28"/>
                <w:szCs w:val="28"/>
              </w:rPr>
              <w:t>-</w:t>
            </w:r>
            <w:r w:rsidRPr="00F90B6B">
              <w:rPr>
                <w:rFonts w:ascii="Times New Roman" w:hAnsi="Times New Roman"/>
                <w:bCs/>
                <w:sz w:val="28"/>
                <w:szCs w:val="28"/>
                <w:lang w:val="en-US"/>
              </w:rPr>
              <w:t>3,02]</w:t>
            </w:r>
          </w:p>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bCs/>
                <w:sz w:val="28"/>
                <w:szCs w:val="28"/>
              </w:rPr>
              <w:t>р&lt;0,05</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ШКФ ≥ 60 мл/хв/м</w:t>
            </w:r>
            <w:r w:rsidRPr="00F90B6B">
              <w:rPr>
                <w:rFonts w:ascii="Times New Roman" w:hAnsi="Times New Roman"/>
                <w:i/>
                <w:sz w:val="28"/>
                <w:szCs w:val="28"/>
                <w:vertAlign w:val="superscript"/>
              </w:rPr>
              <w:t>2</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24,0</w:t>
            </w:r>
          </w:p>
        </w:tc>
        <w:tc>
          <w:tcPr>
            <w:tcW w:w="0" w:type="auto"/>
            <w:vMerge/>
            <w:vAlign w:val="center"/>
          </w:tcPr>
          <w:p w:rsidR="00EF4063" w:rsidRPr="00F90B6B" w:rsidRDefault="00EF4063" w:rsidP="00F0048B">
            <w:pPr>
              <w:spacing w:after="0" w:line="360" w:lineRule="auto"/>
              <w:rPr>
                <w:rFonts w:ascii="Times New Roman" w:hAnsi="Times New Roman"/>
                <w:sz w:val="28"/>
                <w:szCs w:val="28"/>
                <w:lang w:eastAsia="uk-UA"/>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eastAsia="uk-UA"/>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 xml:space="preserve">Наступним нашим завданням було встановлення залежності появи епізоду гострого порушення мозкового кровообігу ГПМК у хворих з ХСН в залежності від </w:t>
      </w:r>
      <w:r w:rsidRPr="00F90B6B">
        <w:rPr>
          <w:rFonts w:ascii="Times New Roman" w:hAnsi="Times New Roman"/>
          <w:sz w:val="28"/>
          <w:szCs w:val="28"/>
        </w:rPr>
        <w:lastRenderedPageBreak/>
        <w:t>клінічних предикторів та наявності гіпонатріємії, табл. 3.5.17. Всього в анамнезі епізоди ГПМК зареєстровані у 8 хворих.</w:t>
      </w:r>
    </w:p>
    <w:p w:rsidR="00EF4063" w:rsidRPr="00F90B6B" w:rsidRDefault="00EF4063" w:rsidP="00F0048B">
      <w:pPr>
        <w:spacing w:after="0" w:line="360" w:lineRule="auto"/>
        <w:jc w:val="right"/>
        <w:rPr>
          <w:rFonts w:ascii="Times New Roman" w:hAnsi="Times New Roman"/>
          <w:i/>
          <w:sz w:val="28"/>
          <w:szCs w:val="28"/>
          <w:lang w:eastAsia="ru-RU"/>
        </w:rPr>
      </w:pPr>
      <w:r w:rsidRPr="00F90B6B">
        <w:rPr>
          <w:rFonts w:ascii="Times New Roman" w:hAnsi="Times New Roman"/>
          <w:i/>
          <w:sz w:val="28"/>
          <w:szCs w:val="28"/>
          <w:lang w:eastAsia="ru-RU"/>
        </w:rPr>
        <w:t>Таблиця 3.5.17</w:t>
      </w:r>
    </w:p>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Залежність виникнення гострих порушень мозкового кровообігу у хворих з ХСН від віку та індексу маси тіла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3026"/>
        <w:gridCol w:w="2747"/>
        <w:gridCol w:w="1628"/>
      </w:tblGrid>
      <w:tr w:rsidR="00EF4063" w:rsidRPr="00F90B6B" w:rsidTr="00634277">
        <w:tc>
          <w:tcPr>
            <w:tcW w:w="1449" w:type="pct"/>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Показник</w:t>
            </w:r>
          </w:p>
        </w:tc>
        <w:tc>
          <w:tcPr>
            <w:tcW w:w="1452" w:type="pct"/>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ГПМК в анамнезі</w:t>
            </w:r>
          </w:p>
        </w:tc>
        <w:tc>
          <w:tcPr>
            <w:tcW w:w="1318" w:type="pct"/>
            <w:vAlign w:val="center"/>
          </w:tcPr>
          <w:p w:rsidR="00EF4063" w:rsidRPr="00F90B6B" w:rsidRDefault="00EF4063" w:rsidP="00F0048B">
            <w:pPr>
              <w:spacing w:after="0" w:line="360" w:lineRule="auto"/>
              <w:jc w:val="center"/>
              <w:rPr>
                <w:rFonts w:ascii="Times New Roman" w:hAnsi="Times New Roman"/>
                <w:b/>
                <w:sz w:val="28"/>
                <w:szCs w:val="28"/>
                <w:lang w:val="en-US" w:eastAsia="ru-RU"/>
              </w:rPr>
            </w:pPr>
            <w:r w:rsidRPr="00F90B6B">
              <w:rPr>
                <w:rFonts w:ascii="Times New Roman" w:hAnsi="Times New Roman"/>
                <w:b/>
                <w:sz w:val="28"/>
                <w:szCs w:val="28"/>
                <w:lang w:eastAsia="ru-RU"/>
              </w:rPr>
              <w:t>ГПМК немає</w:t>
            </w:r>
          </w:p>
        </w:tc>
        <w:tc>
          <w:tcPr>
            <w:tcW w:w="781" w:type="pct"/>
            <w:vAlign w:val="center"/>
          </w:tcPr>
          <w:p w:rsidR="00EF4063" w:rsidRPr="00F90B6B" w:rsidRDefault="00EF4063" w:rsidP="00F0048B">
            <w:pPr>
              <w:spacing w:after="0" w:line="360" w:lineRule="auto"/>
              <w:jc w:val="center"/>
              <w:rPr>
                <w:rFonts w:ascii="Times New Roman" w:hAnsi="Times New Roman"/>
                <w:b/>
                <w:sz w:val="28"/>
                <w:szCs w:val="28"/>
                <w:lang w:eastAsia="ru-RU"/>
              </w:rPr>
            </w:pPr>
            <w:r w:rsidRPr="00F90B6B">
              <w:rPr>
                <w:rFonts w:ascii="Times New Roman" w:hAnsi="Times New Roman"/>
                <w:b/>
                <w:sz w:val="28"/>
                <w:szCs w:val="28"/>
                <w:lang w:eastAsia="ru-RU"/>
              </w:rPr>
              <w:t>р</w:t>
            </w:r>
          </w:p>
        </w:tc>
      </w:tr>
      <w:tr w:rsidR="00EF4063" w:rsidRPr="00F90B6B" w:rsidTr="00634277">
        <w:tc>
          <w:tcPr>
            <w:tcW w:w="1449" w:type="pct"/>
            <w:vAlign w:val="center"/>
          </w:tcPr>
          <w:p w:rsidR="00EF4063" w:rsidRPr="00F90B6B" w:rsidRDefault="00EF4063" w:rsidP="00F0048B">
            <w:pPr>
              <w:spacing w:after="0" w:line="360" w:lineRule="auto"/>
              <w:jc w:val="center"/>
              <w:rPr>
                <w:rFonts w:ascii="Times New Roman" w:hAnsi="Times New Roman"/>
                <w:i/>
                <w:sz w:val="28"/>
                <w:szCs w:val="28"/>
                <w:lang w:eastAsia="ru-RU"/>
              </w:rPr>
            </w:pPr>
            <w:r w:rsidRPr="00F90B6B">
              <w:rPr>
                <w:rFonts w:ascii="Times New Roman" w:hAnsi="Times New Roman"/>
                <w:i/>
                <w:sz w:val="28"/>
                <w:szCs w:val="28"/>
                <w:lang w:eastAsia="ru-RU"/>
              </w:rPr>
              <w:t>Вік (М±SD)</w:t>
            </w:r>
          </w:p>
        </w:tc>
        <w:tc>
          <w:tcPr>
            <w:tcW w:w="1452" w:type="pct"/>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64,8±7,12</w:t>
            </w:r>
          </w:p>
        </w:tc>
        <w:tc>
          <w:tcPr>
            <w:tcW w:w="1318" w:type="pct"/>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58,3±5,37</w:t>
            </w:r>
          </w:p>
        </w:tc>
        <w:tc>
          <w:tcPr>
            <w:tcW w:w="781" w:type="pct"/>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val="en-US" w:eastAsia="ru-RU"/>
              </w:rPr>
              <w:t>&lt;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1449" w:type="pct"/>
            <w:vAlign w:val="center"/>
          </w:tcPr>
          <w:p w:rsidR="00EF4063" w:rsidRPr="00F90B6B" w:rsidRDefault="00EF4063" w:rsidP="00F0048B">
            <w:pPr>
              <w:spacing w:after="0" w:line="360" w:lineRule="auto"/>
              <w:jc w:val="center"/>
              <w:rPr>
                <w:rFonts w:ascii="Times New Roman" w:hAnsi="Times New Roman"/>
                <w:i/>
                <w:sz w:val="28"/>
                <w:szCs w:val="28"/>
                <w:lang w:eastAsia="ru-RU"/>
              </w:rPr>
            </w:pPr>
            <w:r w:rsidRPr="00F90B6B">
              <w:rPr>
                <w:rFonts w:ascii="Times New Roman" w:hAnsi="Times New Roman"/>
                <w:i/>
                <w:sz w:val="28"/>
                <w:szCs w:val="28"/>
                <w:lang w:eastAsia="ru-RU"/>
              </w:rPr>
              <w:t>ІМТ(М±SD)</w:t>
            </w:r>
          </w:p>
        </w:tc>
        <w:tc>
          <w:tcPr>
            <w:tcW w:w="1452" w:type="pct"/>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32,6±3,14</w:t>
            </w:r>
          </w:p>
        </w:tc>
        <w:tc>
          <w:tcPr>
            <w:tcW w:w="1318" w:type="pct"/>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29,3±4,67</w:t>
            </w:r>
          </w:p>
        </w:tc>
        <w:tc>
          <w:tcPr>
            <w:tcW w:w="781" w:type="pct"/>
            <w:vAlign w:val="center"/>
          </w:tcPr>
          <w:p w:rsidR="00EF4063" w:rsidRPr="00F90B6B" w:rsidRDefault="00EF4063" w:rsidP="00F0048B">
            <w:pPr>
              <w:spacing w:after="0" w:line="360"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bl>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 – вірогідність різниці показників.</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 xml:space="preserve">Встановлено достовірний вплив вікового фактору (р&lt;0,05) на вірогідність появи епізодів ГПМК у хворих з ХСН та відмічено більший індекс маси тіла за наявності епізодів ГПМК (р&lt;0,05), табл. 3.5.17. </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В той же час, вірогідної асоціації гіпонатріємії з даним клінічним ускладненням не встановлено, табл. 3.5.18.</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3.5.18</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Вірогідність асоціації епізодів ГПМК</w:t>
      </w:r>
      <w:r w:rsidRPr="00F90B6B">
        <w:rPr>
          <w:rFonts w:ascii="Times New Roman" w:hAnsi="Times New Roman"/>
          <w:b/>
          <w:sz w:val="28"/>
          <w:szCs w:val="28"/>
          <w:lang w:eastAsia="ru-RU"/>
        </w:rPr>
        <w:t xml:space="preserve"> з гіпонатріемією</w:t>
      </w:r>
      <w:r w:rsidRPr="00F90B6B">
        <w:rPr>
          <w:rFonts w:ascii="Times New Roman" w:hAnsi="Times New Roman"/>
          <w:b/>
          <w:sz w:val="28"/>
          <w:szCs w:val="28"/>
        </w:rPr>
        <w:t xml:space="preserve"> при ХСН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b/>
                <w:sz w:val="28"/>
                <w:szCs w:val="28"/>
                <w:lang w:eastAsia="uk-UA"/>
              </w:rPr>
            </w:pPr>
            <w:r w:rsidRPr="00F90B6B">
              <w:rPr>
                <w:rFonts w:ascii="Times New Roman" w:hAnsi="Times New Roman"/>
                <w:b/>
                <w:sz w:val="28"/>
                <w:szCs w:val="28"/>
                <w:lang w:eastAsia="ru-RU"/>
              </w:rPr>
              <w:t>Показник</w:t>
            </w:r>
          </w:p>
        </w:tc>
        <w:tc>
          <w:tcPr>
            <w:tcW w:w="2216"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ГПМК в анамнезі є</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3,0%</w:t>
            </w:r>
          </w:p>
        </w:tc>
        <w:tc>
          <w:tcPr>
            <w:tcW w:w="2243" w:type="dxa"/>
            <w:vMerge w:val="restar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1,04</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[0,21-5,03]</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2163" w:type="dxa"/>
            <w:vMerge w:val="restart"/>
            <w:vAlign w:val="center"/>
          </w:tcPr>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eastAsia="uk-UA"/>
              </w:rPr>
              <w:t>1,04</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[0,24-0,25]</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ГПМК в анамнезі немає</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3,0%</w:t>
            </w: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Подальшим кроком даного етапу дослідження було встановити роль пароксизмів фібриляції передсердь у перебізі хронічної серцевої недостатності. </w:t>
      </w:r>
    </w:p>
    <w:p w:rsidR="00EF4063" w:rsidRPr="00F90B6B" w:rsidRDefault="00EF4063" w:rsidP="00F0048B">
      <w:pPr>
        <w:spacing w:after="0" w:line="360" w:lineRule="auto"/>
        <w:ind w:firstLine="708"/>
        <w:jc w:val="both"/>
        <w:rPr>
          <w:rFonts w:ascii="Times New Roman" w:hAnsi="Times New Roman"/>
          <w:sz w:val="28"/>
          <w:szCs w:val="28"/>
        </w:rPr>
      </w:pPr>
      <w:r w:rsidRPr="00F90B6B">
        <w:rPr>
          <w:rFonts w:ascii="Times New Roman" w:hAnsi="Times New Roman"/>
          <w:sz w:val="28"/>
          <w:szCs w:val="28"/>
        </w:rPr>
        <w:t>Загальна кількість епізодів пароксизмальної фібриляції передсердь під час нашого дослідження становила 26 випадків на 217 хворих, що складало 12,0%. При дослідженні вірогідності асоціації епізодів фібриляції передсердь з декомпенсацією ХСН було проведено аналіз частотної залежності та «шансів», табл. 3.5.19.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Як бачимо, доведено вірогідну асоціацію епізодів ФП та серцево-судинної смертності внаслідок декомпенсації ХСН з підвищенням абсолютного ризику на 22,0%, вірогідним відносним ризиком (9,34 [3,89-22,5], p&lt;0,05) та відношенням шансів (12,08 [4,65-31,4], p&lt;0,05).</w:t>
      </w:r>
    </w:p>
    <w:p w:rsidR="00EF4063" w:rsidRPr="00F90B6B" w:rsidRDefault="00EF4063" w:rsidP="00F0048B">
      <w:pPr>
        <w:spacing w:after="0" w:line="360" w:lineRule="auto"/>
        <w:jc w:val="right"/>
        <w:rPr>
          <w:rFonts w:ascii="Times New Roman" w:hAnsi="Times New Roman"/>
          <w:i/>
          <w:sz w:val="28"/>
          <w:szCs w:val="28"/>
        </w:rPr>
      </w:pPr>
      <w:r w:rsidRPr="00F90B6B">
        <w:rPr>
          <w:rFonts w:ascii="Times New Roman" w:hAnsi="Times New Roman"/>
          <w:i/>
          <w:sz w:val="28"/>
          <w:szCs w:val="28"/>
        </w:rPr>
        <w:t>Таблиця 3.5.19</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Вірогідність асоціації </w:t>
      </w:r>
      <w:r w:rsidRPr="00F90B6B">
        <w:rPr>
          <w:rFonts w:ascii="Times New Roman" w:hAnsi="Times New Roman"/>
          <w:b/>
          <w:sz w:val="28"/>
          <w:szCs w:val="28"/>
          <w:lang w:eastAsia="ru-RU"/>
        </w:rPr>
        <w:t xml:space="preserve">серцево-судинної смертності внаслідок з епізодами фібриляції передсердь при </w:t>
      </w:r>
      <w:r w:rsidRPr="00F90B6B">
        <w:rPr>
          <w:rFonts w:ascii="Times New Roman" w:hAnsi="Times New Roman"/>
          <w:b/>
          <w:sz w:val="28"/>
          <w:szCs w:val="28"/>
        </w:rPr>
        <w:t>ХСН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CB1534">
        <w:trPr>
          <w:trHeight w:val="1438"/>
        </w:trPr>
        <w:tc>
          <w:tcPr>
            <w:tcW w:w="3020" w:type="dxa"/>
            <w:vAlign w:val="center"/>
          </w:tcPr>
          <w:p w:rsidR="00EF4063" w:rsidRPr="00F90B6B" w:rsidRDefault="00EF4063" w:rsidP="00F0048B">
            <w:pPr>
              <w:spacing w:after="0" w:line="360" w:lineRule="auto"/>
              <w:jc w:val="center"/>
              <w:rPr>
                <w:rFonts w:ascii="Times New Roman" w:hAnsi="Times New Roman"/>
                <w:b/>
                <w:sz w:val="28"/>
                <w:szCs w:val="28"/>
                <w:lang w:eastAsia="uk-UA"/>
              </w:rPr>
            </w:pPr>
            <w:r w:rsidRPr="00F90B6B">
              <w:rPr>
                <w:rFonts w:ascii="Times New Roman" w:hAnsi="Times New Roman"/>
                <w:b/>
                <w:sz w:val="28"/>
                <w:szCs w:val="28"/>
                <w:lang w:eastAsia="ru-RU"/>
              </w:rPr>
              <w:t>Показник</w:t>
            </w:r>
          </w:p>
        </w:tc>
        <w:tc>
          <w:tcPr>
            <w:tcW w:w="2216"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vertAlign w:val="superscript"/>
              </w:rPr>
            </w:pPr>
            <w:r w:rsidRPr="00F90B6B">
              <w:rPr>
                <w:rFonts w:ascii="Times New Roman" w:hAnsi="Times New Roman"/>
                <w:i/>
                <w:sz w:val="28"/>
                <w:szCs w:val="28"/>
              </w:rPr>
              <w:t>Епізод ФП</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25,0</w:t>
            </w:r>
          </w:p>
        </w:tc>
        <w:tc>
          <w:tcPr>
            <w:tcW w:w="2243" w:type="dxa"/>
            <w:vMerge w:val="restar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9,34</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[3,89</w:t>
            </w:r>
            <w:r w:rsidRPr="00F90B6B">
              <w:rPr>
                <w:rFonts w:ascii="Times New Roman" w:hAnsi="Times New Roman"/>
                <w:sz w:val="28"/>
                <w:szCs w:val="28"/>
                <w:lang w:eastAsia="uk-UA"/>
              </w:rPr>
              <w:t>-</w:t>
            </w:r>
            <w:r w:rsidRPr="00F90B6B">
              <w:rPr>
                <w:rFonts w:ascii="Times New Roman" w:hAnsi="Times New Roman"/>
                <w:sz w:val="28"/>
                <w:szCs w:val="28"/>
                <w:lang w:val="en-US" w:eastAsia="uk-UA"/>
              </w:rPr>
              <w:t>22,</w:t>
            </w:r>
            <w:r w:rsidRPr="00F90B6B">
              <w:rPr>
                <w:rFonts w:ascii="Times New Roman" w:hAnsi="Times New Roman"/>
                <w:sz w:val="28"/>
                <w:szCs w:val="28"/>
                <w:lang w:eastAsia="uk-UA"/>
              </w:rPr>
              <w:t>5</w:t>
            </w:r>
            <w:r w:rsidRPr="00F90B6B">
              <w:rPr>
                <w:rFonts w:ascii="Times New Roman" w:hAnsi="Times New Roman"/>
                <w:sz w:val="28"/>
                <w:szCs w:val="28"/>
                <w:lang w:val="en-US" w:eastAsia="uk-UA"/>
              </w:rPr>
              <w:t>]</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2163" w:type="dxa"/>
            <w:vMerge w:val="restar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12,08</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[4,65</w:t>
            </w:r>
            <w:r w:rsidRPr="00F90B6B">
              <w:rPr>
                <w:rFonts w:ascii="Times New Roman" w:hAnsi="Times New Roman"/>
                <w:sz w:val="28"/>
                <w:szCs w:val="28"/>
                <w:lang w:eastAsia="uk-UA"/>
              </w:rPr>
              <w:t>-</w:t>
            </w:r>
            <w:r w:rsidRPr="00F90B6B">
              <w:rPr>
                <w:rFonts w:ascii="Times New Roman" w:hAnsi="Times New Roman"/>
                <w:sz w:val="28"/>
                <w:szCs w:val="28"/>
                <w:lang w:val="en-US" w:eastAsia="uk-UA"/>
              </w:rPr>
              <w:t>31,4]</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Немає епізодів ФП</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3,0</w:t>
            </w: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Окрім того, було виявлено вірогідну асоціацію рівня натріємії з епізодами фібриляції, табл. 3.5.20.</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3.5.20</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Вірогідність асоціації епізодів фібриляції передсердь з </w:t>
      </w:r>
      <w:r w:rsidRPr="00F90B6B">
        <w:rPr>
          <w:rFonts w:ascii="Times New Roman" w:hAnsi="Times New Roman"/>
          <w:b/>
          <w:sz w:val="28"/>
          <w:szCs w:val="28"/>
          <w:lang w:eastAsia="ru-RU"/>
        </w:rPr>
        <w:t>гіпонатріємією</w:t>
      </w:r>
      <w:r w:rsidRPr="00F90B6B">
        <w:rPr>
          <w:rFonts w:ascii="Times New Roman" w:hAnsi="Times New Roman"/>
          <w:b/>
          <w:sz w:val="28"/>
          <w:szCs w:val="28"/>
        </w:rPr>
        <w:t xml:space="preserve"> при ХСН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b/>
                <w:sz w:val="28"/>
                <w:szCs w:val="28"/>
                <w:lang w:eastAsia="uk-UA"/>
              </w:rPr>
            </w:pPr>
            <w:r w:rsidRPr="00F90B6B">
              <w:rPr>
                <w:rFonts w:ascii="Times New Roman" w:hAnsi="Times New Roman"/>
                <w:b/>
                <w:sz w:val="28"/>
                <w:szCs w:val="28"/>
                <w:lang w:eastAsia="ru-RU"/>
              </w:rPr>
              <w:t>Показник</w:t>
            </w:r>
          </w:p>
        </w:tc>
        <w:tc>
          <w:tcPr>
            <w:tcW w:w="2216"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vertAlign w:val="superscript"/>
              </w:rPr>
            </w:pPr>
            <w:r w:rsidRPr="00F90B6B">
              <w:rPr>
                <w:rFonts w:ascii="Times New Roman" w:hAnsi="Times New Roman"/>
                <w:i/>
                <w:sz w:val="28"/>
                <w:szCs w:val="28"/>
              </w:rPr>
              <w:t>Епізод ФП</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21,0</w:t>
            </w:r>
          </w:p>
        </w:tc>
        <w:tc>
          <w:tcPr>
            <w:tcW w:w="2243" w:type="dxa"/>
            <w:vMerge w:val="restar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4,72</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[2,23-9,97]</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2163" w:type="dxa"/>
            <w:vMerge w:val="restart"/>
            <w:vAlign w:val="center"/>
          </w:tcPr>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eastAsia="uk-UA"/>
              </w:rPr>
              <w:t>5,68</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[2,45-13,1]</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Немає епізодів ФП</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4,0</w:t>
            </w: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r>
    </w:tbl>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Абсолютний ризик асоціації становив 21,0%, відносний - 4,72 [2,23-9,97] (p&lt;0,05), «шанси» - 5,68 [2,45-13,1] (p&lt;0,05).</w:t>
      </w:r>
    </w:p>
    <w:p w:rsidR="00EF4063" w:rsidRPr="00F90B6B" w:rsidRDefault="00EF4063" w:rsidP="00F0048B">
      <w:pPr>
        <w:pStyle w:val="60"/>
        <w:spacing w:line="360" w:lineRule="auto"/>
        <w:ind w:firstLine="709"/>
        <w:jc w:val="both"/>
        <w:rPr>
          <w:b w:val="0"/>
        </w:rPr>
      </w:pPr>
      <w:r w:rsidRPr="00F90B6B">
        <w:rPr>
          <w:b w:val="0"/>
        </w:rPr>
        <w:t xml:space="preserve">За аналізу інших порушень ритму, зокрема наявності шлуночкових екстрасистол у хворих з ХСН при ретроспективному спостереженні були отримані наступні дані, табл. 3.5.21. </w:t>
      </w:r>
    </w:p>
    <w:p w:rsidR="00EF4063" w:rsidRPr="00F90B6B" w:rsidRDefault="00FB4A39" w:rsidP="00F0048B">
      <w:pPr>
        <w:pStyle w:val="60"/>
        <w:spacing w:line="360" w:lineRule="auto"/>
        <w:ind w:firstLine="709"/>
        <w:jc w:val="right"/>
        <w:rPr>
          <w:b w:val="0"/>
          <w:i/>
        </w:rPr>
      </w:pPr>
      <w:r w:rsidRPr="00F90B6B">
        <w:rPr>
          <w:b w:val="0"/>
          <w:i/>
        </w:rPr>
        <w:br w:type="page"/>
      </w:r>
      <w:r w:rsidR="00EF4063" w:rsidRPr="00F90B6B">
        <w:rPr>
          <w:b w:val="0"/>
          <w:i/>
        </w:rPr>
        <w:lastRenderedPageBreak/>
        <w:t>Таблиця 3.5.21</w:t>
      </w:r>
    </w:p>
    <w:p w:rsidR="00EF4063" w:rsidRPr="00F90B6B" w:rsidRDefault="00EF4063" w:rsidP="00F0048B">
      <w:pPr>
        <w:pStyle w:val="60"/>
        <w:spacing w:line="360" w:lineRule="auto"/>
        <w:ind w:firstLine="0"/>
        <w:jc w:val="center"/>
      </w:pPr>
      <w:r w:rsidRPr="00F90B6B">
        <w:t>Частота виявлення шлуночкових екстрасистол у пацієнтів з ХСН при ретроспективному спостереженні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0"/>
        <w:gridCol w:w="2991"/>
        <w:gridCol w:w="3620"/>
      </w:tblGrid>
      <w:tr w:rsidR="00EF4063" w:rsidRPr="00F90B6B" w:rsidTr="0076299F">
        <w:tc>
          <w:tcPr>
            <w:tcW w:w="1828" w:type="pct"/>
            <w:vAlign w:val="center"/>
          </w:tcPr>
          <w:p w:rsidR="00EF4063" w:rsidRPr="00F90B6B" w:rsidRDefault="00EF4063" w:rsidP="00F0048B">
            <w:pPr>
              <w:spacing w:after="0" w:line="360" w:lineRule="auto"/>
              <w:jc w:val="center"/>
              <w:rPr>
                <w:rFonts w:ascii="Times New Roman" w:hAnsi="Times New Roman"/>
              </w:rPr>
            </w:pPr>
            <w:r w:rsidRPr="00F90B6B">
              <w:rPr>
                <w:rFonts w:ascii="Times New Roman" w:hAnsi="Times New Roman"/>
                <w:b/>
                <w:sz w:val="28"/>
                <w:szCs w:val="28"/>
                <w:lang w:eastAsia="ru-RU"/>
              </w:rPr>
              <w:t>Показник</w:t>
            </w:r>
          </w:p>
        </w:tc>
        <w:tc>
          <w:tcPr>
            <w:tcW w:w="1435" w:type="pct"/>
            <w:vAlign w:val="center"/>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Abs.</w:t>
            </w:r>
          </w:p>
        </w:tc>
        <w:tc>
          <w:tcPr>
            <w:tcW w:w="1737" w:type="pct"/>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w:t>
            </w:r>
          </w:p>
        </w:tc>
      </w:tr>
      <w:tr w:rsidR="00EF4063" w:rsidRPr="00F90B6B" w:rsidTr="0076299F">
        <w:tc>
          <w:tcPr>
            <w:tcW w:w="1828" w:type="pct"/>
            <w:vAlign w:val="center"/>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I</w:t>
            </w:r>
          </w:p>
        </w:tc>
        <w:tc>
          <w:tcPr>
            <w:tcW w:w="1435" w:type="pct"/>
            <w:vAlign w:val="center"/>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57</w:t>
            </w:r>
          </w:p>
        </w:tc>
        <w:tc>
          <w:tcPr>
            <w:tcW w:w="1737" w:type="pct"/>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18,5</w:t>
            </w:r>
          </w:p>
        </w:tc>
      </w:tr>
      <w:tr w:rsidR="00EF4063" w:rsidRPr="00F90B6B" w:rsidTr="0076299F">
        <w:tc>
          <w:tcPr>
            <w:tcW w:w="1828" w:type="pct"/>
            <w:vAlign w:val="center"/>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II</w:t>
            </w:r>
          </w:p>
        </w:tc>
        <w:tc>
          <w:tcPr>
            <w:tcW w:w="1435" w:type="pct"/>
            <w:vAlign w:val="center"/>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78</w:t>
            </w:r>
          </w:p>
        </w:tc>
        <w:tc>
          <w:tcPr>
            <w:tcW w:w="1737" w:type="pct"/>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25,3</w:t>
            </w:r>
          </w:p>
        </w:tc>
      </w:tr>
      <w:tr w:rsidR="00EF4063" w:rsidRPr="00F90B6B" w:rsidTr="0076299F">
        <w:tc>
          <w:tcPr>
            <w:tcW w:w="1828" w:type="pct"/>
            <w:vAlign w:val="center"/>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III</w:t>
            </w:r>
          </w:p>
        </w:tc>
        <w:tc>
          <w:tcPr>
            <w:tcW w:w="1435" w:type="pct"/>
            <w:vAlign w:val="center"/>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23</w:t>
            </w:r>
          </w:p>
        </w:tc>
        <w:tc>
          <w:tcPr>
            <w:tcW w:w="1737" w:type="pct"/>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7,5</w:t>
            </w:r>
          </w:p>
        </w:tc>
      </w:tr>
      <w:tr w:rsidR="00EF4063" w:rsidRPr="00F90B6B" w:rsidTr="0076299F">
        <w:tc>
          <w:tcPr>
            <w:tcW w:w="1828" w:type="pct"/>
            <w:vAlign w:val="center"/>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IVa</w:t>
            </w:r>
          </w:p>
        </w:tc>
        <w:tc>
          <w:tcPr>
            <w:tcW w:w="1435" w:type="pct"/>
            <w:vAlign w:val="center"/>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7</w:t>
            </w:r>
          </w:p>
        </w:tc>
        <w:tc>
          <w:tcPr>
            <w:tcW w:w="1737" w:type="pct"/>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2,3</w:t>
            </w:r>
          </w:p>
        </w:tc>
      </w:tr>
      <w:tr w:rsidR="00EF4063" w:rsidRPr="00F90B6B" w:rsidTr="0076299F">
        <w:tc>
          <w:tcPr>
            <w:tcW w:w="1828" w:type="pct"/>
            <w:vAlign w:val="center"/>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IVb</w:t>
            </w:r>
          </w:p>
        </w:tc>
        <w:tc>
          <w:tcPr>
            <w:tcW w:w="1435" w:type="pct"/>
            <w:vAlign w:val="center"/>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w:t>
            </w:r>
          </w:p>
        </w:tc>
        <w:tc>
          <w:tcPr>
            <w:tcW w:w="1737" w:type="pct"/>
          </w:tcPr>
          <w:p w:rsidR="00EF4063" w:rsidRPr="00C14753" w:rsidRDefault="00EF4063" w:rsidP="00F0048B">
            <w:pPr>
              <w:pStyle w:val="60"/>
              <w:shd w:val="clear" w:color="auto" w:fill="auto"/>
              <w:spacing w:line="360" w:lineRule="auto"/>
              <w:ind w:firstLine="0"/>
              <w:jc w:val="center"/>
              <w:rPr>
                <w:b w:val="0"/>
                <w:bCs/>
                <w:szCs w:val="28"/>
              </w:rPr>
            </w:pPr>
            <w:r w:rsidRPr="00C14753">
              <w:rPr>
                <w:b w:val="0"/>
                <w:bCs/>
                <w:szCs w:val="28"/>
              </w:rPr>
              <w:t>-</w:t>
            </w:r>
          </w:p>
        </w:tc>
      </w:tr>
      <w:tr w:rsidR="00EF4063" w:rsidRPr="00F90B6B" w:rsidTr="0076299F">
        <w:tc>
          <w:tcPr>
            <w:tcW w:w="1828" w:type="pct"/>
            <w:vAlign w:val="center"/>
          </w:tcPr>
          <w:p w:rsidR="00EF4063" w:rsidRPr="00C14753" w:rsidRDefault="00EF4063" w:rsidP="00F0048B">
            <w:pPr>
              <w:pStyle w:val="60"/>
              <w:shd w:val="clear" w:color="auto" w:fill="auto"/>
              <w:spacing w:line="360" w:lineRule="auto"/>
              <w:ind w:firstLine="0"/>
              <w:jc w:val="center"/>
              <w:rPr>
                <w:b w:val="0"/>
                <w:bCs/>
                <w:i/>
                <w:szCs w:val="28"/>
                <w:lang w:val="en-US"/>
              </w:rPr>
            </w:pPr>
            <w:r w:rsidRPr="00C14753">
              <w:rPr>
                <w:b w:val="0"/>
                <w:bCs/>
                <w:i/>
                <w:szCs w:val="28"/>
                <w:lang w:val="en-US"/>
              </w:rPr>
              <w:t>V</w:t>
            </w:r>
          </w:p>
        </w:tc>
        <w:tc>
          <w:tcPr>
            <w:tcW w:w="1435" w:type="pct"/>
            <w:vAlign w:val="center"/>
          </w:tcPr>
          <w:p w:rsidR="00EF4063" w:rsidRPr="00C14753" w:rsidRDefault="00EF4063" w:rsidP="00F0048B">
            <w:pPr>
              <w:pStyle w:val="60"/>
              <w:shd w:val="clear" w:color="auto" w:fill="auto"/>
              <w:spacing w:line="360" w:lineRule="auto"/>
              <w:ind w:firstLine="0"/>
              <w:jc w:val="center"/>
              <w:rPr>
                <w:b w:val="0"/>
                <w:bCs/>
                <w:szCs w:val="28"/>
                <w:lang w:val="en-US"/>
              </w:rPr>
            </w:pPr>
            <w:r w:rsidRPr="00C14753">
              <w:rPr>
                <w:b w:val="0"/>
                <w:bCs/>
                <w:szCs w:val="28"/>
                <w:lang w:val="en-US"/>
              </w:rPr>
              <w:t>-</w:t>
            </w:r>
          </w:p>
        </w:tc>
        <w:tc>
          <w:tcPr>
            <w:tcW w:w="1737" w:type="pct"/>
          </w:tcPr>
          <w:p w:rsidR="00EF4063" w:rsidRPr="00C14753" w:rsidRDefault="00EF4063" w:rsidP="00F0048B">
            <w:pPr>
              <w:pStyle w:val="60"/>
              <w:shd w:val="clear" w:color="auto" w:fill="auto"/>
              <w:spacing w:line="360" w:lineRule="auto"/>
              <w:ind w:firstLine="0"/>
              <w:jc w:val="center"/>
              <w:rPr>
                <w:b w:val="0"/>
                <w:bCs/>
                <w:szCs w:val="28"/>
                <w:lang w:val="en-US"/>
              </w:rPr>
            </w:pPr>
            <w:r w:rsidRPr="00C14753">
              <w:rPr>
                <w:b w:val="0"/>
                <w:bCs/>
                <w:szCs w:val="28"/>
                <w:lang w:val="en-US"/>
              </w:rPr>
              <w:t>-</w:t>
            </w:r>
          </w:p>
        </w:tc>
      </w:tr>
    </w:tbl>
    <w:p w:rsidR="00EF4063" w:rsidRPr="00F90B6B" w:rsidRDefault="00EF4063" w:rsidP="00F0048B">
      <w:pPr>
        <w:pStyle w:val="60"/>
        <w:spacing w:line="360" w:lineRule="auto"/>
        <w:ind w:firstLine="709"/>
        <w:jc w:val="both"/>
        <w:rPr>
          <w:b w:val="0"/>
        </w:rPr>
      </w:pPr>
      <w:r w:rsidRPr="00F90B6B">
        <w:rPr>
          <w:b w:val="0"/>
        </w:rPr>
        <w:t>Загальне число шлуночкових порушень ритму становило – 115 (53,0%)</w:t>
      </w:r>
      <w:r w:rsidRPr="00F90B6B">
        <w:rPr>
          <w:b w:val="0"/>
          <w:lang w:val="ru-RU"/>
        </w:rPr>
        <w:t xml:space="preserve">. </w:t>
      </w:r>
      <w:r w:rsidRPr="00F90B6B">
        <w:rPr>
          <w:b w:val="0"/>
        </w:rPr>
        <w:t xml:space="preserve">У 5 пацієнтів (4,3%) було зареєстровано мономорфні парні шлуночкові екстрасистоли (IV А клас за Lown-Wolf), у 9 пацієнтів (7,8%) - політопні шлуночкові екстрасистоли (ІІІ клас за Lown-Wolf), у 78 хворих (67,8%) – часті мономорфні екстрасистоли (ІІ клас за Lown-Wolf), у 23 (20,0%) - поодинокі мономорфні екстрасистоли, що зумовило їх віднесення до І класу по Lown-Wolf.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Наявність шлуночкових екстрасистол при ХСН часто асоціювалось (</w:t>
      </w:r>
      <w:r w:rsidRPr="00F90B6B">
        <w:rPr>
          <w:rFonts w:ascii="Times New Roman" w:hAnsi="Times New Roman"/>
          <w:sz w:val="28"/>
          <w:szCs w:val="28"/>
          <w:lang w:val="en-US"/>
        </w:rPr>
        <w:t>AR</w:t>
      </w:r>
      <w:r w:rsidRPr="00F90B6B">
        <w:rPr>
          <w:rFonts w:ascii="Times New Roman" w:hAnsi="Times New Roman"/>
          <w:sz w:val="28"/>
          <w:szCs w:val="28"/>
        </w:rPr>
        <w:t xml:space="preserve"> – 71,0%) з презентацією гіпонатріємії у хворих з ХСН з вірогідними показниками RR (1,49 [1,23-1,82], p&lt;0,05) та OR (2,73 [1,56-4,77], p&lt;0,05), табл. 3.5.22.</w:t>
      </w:r>
    </w:p>
    <w:p w:rsidR="00EF4063" w:rsidRPr="00F90B6B" w:rsidRDefault="00EF4063" w:rsidP="00F0048B">
      <w:pPr>
        <w:spacing w:after="0" w:line="360" w:lineRule="auto"/>
        <w:ind w:firstLine="709"/>
        <w:jc w:val="right"/>
        <w:rPr>
          <w:rFonts w:ascii="Times New Roman" w:hAnsi="Times New Roman"/>
          <w:i/>
          <w:sz w:val="28"/>
          <w:szCs w:val="28"/>
        </w:rPr>
      </w:pPr>
      <w:r w:rsidRPr="00F90B6B">
        <w:rPr>
          <w:rFonts w:ascii="Times New Roman" w:hAnsi="Times New Roman"/>
          <w:i/>
          <w:sz w:val="28"/>
          <w:szCs w:val="28"/>
        </w:rPr>
        <w:t>Таблиця 3.5.22</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 xml:space="preserve">Вірогідність асоціації шлуночкових екстрасистол з </w:t>
      </w:r>
      <w:r w:rsidRPr="00F90B6B">
        <w:rPr>
          <w:rFonts w:ascii="Times New Roman" w:hAnsi="Times New Roman"/>
          <w:b/>
          <w:sz w:val="28"/>
          <w:szCs w:val="28"/>
          <w:lang w:eastAsia="ru-RU"/>
        </w:rPr>
        <w:t>гіпонатріємією</w:t>
      </w:r>
      <w:r w:rsidRPr="00F90B6B">
        <w:rPr>
          <w:rFonts w:ascii="Times New Roman" w:hAnsi="Times New Roman"/>
          <w:b/>
          <w:sz w:val="28"/>
          <w:szCs w:val="28"/>
        </w:rPr>
        <w:t xml:space="preserve"> при ХСН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b/>
                <w:sz w:val="28"/>
                <w:szCs w:val="28"/>
                <w:lang w:eastAsia="uk-UA"/>
              </w:rPr>
            </w:pPr>
            <w:r w:rsidRPr="00F90B6B">
              <w:rPr>
                <w:rFonts w:ascii="Times New Roman" w:hAnsi="Times New Roman"/>
                <w:b/>
                <w:sz w:val="28"/>
                <w:szCs w:val="28"/>
                <w:lang w:eastAsia="ru-RU"/>
              </w:rPr>
              <w:t>Показник</w:t>
            </w:r>
          </w:p>
        </w:tc>
        <w:tc>
          <w:tcPr>
            <w:tcW w:w="2216"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vertAlign w:val="superscript"/>
              </w:rPr>
            </w:pPr>
            <w:r w:rsidRPr="00F90B6B">
              <w:rPr>
                <w:rFonts w:ascii="Times New Roman" w:hAnsi="Times New Roman"/>
                <w:i/>
                <w:sz w:val="28"/>
                <w:szCs w:val="28"/>
              </w:rPr>
              <w:t>ШЕ верифіковані</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71,0</w:t>
            </w:r>
          </w:p>
        </w:tc>
        <w:tc>
          <w:tcPr>
            <w:tcW w:w="2243" w:type="dxa"/>
            <w:vMerge w:val="restart"/>
            <w:vAlign w:val="center"/>
          </w:tcPr>
          <w:p w:rsidR="00EF4063" w:rsidRPr="00F90B6B" w:rsidRDefault="00EF4063" w:rsidP="00F0048B">
            <w:pPr>
              <w:spacing w:after="0" w:line="360" w:lineRule="auto"/>
              <w:jc w:val="center"/>
              <w:rPr>
                <w:rFonts w:ascii="Times New Roman" w:hAnsi="Times New Roman"/>
                <w:sz w:val="28"/>
                <w:szCs w:val="28"/>
                <w:lang w:eastAsia="ru-RU"/>
              </w:rPr>
            </w:pPr>
            <w:r w:rsidRPr="00F90B6B">
              <w:rPr>
                <w:rFonts w:ascii="Times New Roman" w:hAnsi="Times New Roman"/>
                <w:sz w:val="28"/>
                <w:szCs w:val="28"/>
                <w:lang w:eastAsia="ru-RU"/>
              </w:rPr>
              <w:t>1,49</w:t>
            </w:r>
          </w:p>
          <w:p w:rsidR="00EF4063" w:rsidRPr="00F90B6B" w:rsidRDefault="00EF4063" w:rsidP="00F0048B">
            <w:pPr>
              <w:spacing w:after="0" w:line="360"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[1,23-1,82]</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2163" w:type="dxa"/>
            <w:vMerge w:val="restart"/>
            <w:vAlign w:val="center"/>
          </w:tcPr>
          <w:p w:rsidR="00EF4063" w:rsidRPr="00F90B6B" w:rsidRDefault="00EF4063" w:rsidP="00F0048B">
            <w:pPr>
              <w:spacing w:after="0" w:line="360"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2,73</w:t>
            </w:r>
          </w:p>
          <w:p w:rsidR="00EF4063" w:rsidRPr="00F90B6B" w:rsidRDefault="00EF4063" w:rsidP="00F0048B">
            <w:pPr>
              <w:spacing w:after="0" w:line="360"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[1,56-4,77] 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ШЕ не верифіковані</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48,0</w:t>
            </w: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ru-RU"/>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Фактори, що поєднувались з повторною госпіталізацією (210 випадків, 68,2%) наведені в таблиці 3.5.23.</w:t>
      </w:r>
    </w:p>
    <w:p w:rsidR="00EF4063" w:rsidRPr="00F90B6B" w:rsidRDefault="00EF4063" w:rsidP="00F0048B">
      <w:pPr>
        <w:pStyle w:val="a3"/>
        <w:spacing w:before="0" w:beforeAutospacing="0" w:after="0" w:afterAutospacing="0" w:line="360" w:lineRule="auto"/>
        <w:ind w:firstLine="709"/>
        <w:jc w:val="right"/>
        <w:rPr>
          <w:i/>
          <w:sz w:val="28"/>
          <w:szCs w:val="28"/>
        </w:rPr>
      </w:pPr>
      <w:r w:rsidRPr="00F90B6B">
        <w:rPr>
          <w:i/>
          <w:sz w:val="28"/>
          <w:szCs w:val="28"/>
        </w:rPr>
        <w:lastRenderedPageBreak/>
        <w:t>Таблиця 3.5.23</w:t>
      </w:r>
    </w:p>
    <w:p w:rsidR="00EF4063" w:rsidRPr="00F90B6B" w:rsidRDefault="00EF4063" w:rsidP="00F0048B">
      <w:pPr>
        <w:pStyle w:val="a3"/>
        <w:spacing w:before="0" w:beforeAutospacing="0" w:after="0" w:afterAutospacing="0" w:line="360" w:lineRule="auto"/>
        <w:jc w:val="center"/>
        <w:rPr>
          <w:b/>
          <w:sz w:val="28"/>
          <w:szCs w:val="28"/>
        </w:rPr>
      </w:pPr>
      <w:r w:rsidRPr="00F90B6B">
        <w:rPr>
          <w:b/>
          <w:sz w:val="28"/>
          <w:szCs w:val="28"/>
        </w:rPr>
        <w:t>Вірогідність повторної госпіталізації хворих з ХСН залежно від віку, індексу маси тіла, функціонального класу, рівня гемоглобіну та гіпонатріємії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3"/>
        <w:gridCol w:w="2118"/>
        <w:gridCol w:w="2605"/>
        <w:gridCol w:w="2605"/>
      </w:tblGrid>
      <w:tr w:rsidR="00EF4063" w:rsidRPr="00F90B6B" w:rsidTr="00634277">
        <w:tc>
          <w:tcPr>
            <w:tcW w:w="1484" w:type="pct"/>
            <w:vMerge w:val="restar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b/>
                <w:sz w:val="28"/>
                <w:szCs w:val="28"/>
                <w:lang w:eastAsia="ru-RU"/>
              </w:rPr>
              <w:t>Показник</w:t>
            </w:r>
          </w:p>
        </w:tc>
        <w:tc>
          <w:tcPr>
            <w:tcW w:w="3516" w:type="pct"/>
            <w:gridSpan w:val="3"/>
            <w:vAlign w:val="center"/>
          </w:tcPr>
          <w:p w:rsidR="00EF4063" w:rsidRPr="00F90B6B" w:rsidRDefault="00EF4063" w:rsidP="00FB4A39">
            <w:pPr>
              <w:spacing w:after="0" w:line="288" w:lineRule="auto"/>
              <w:jc w:val="center"/>
              <w:rPr>
                <w:rFonts w:ascii="Times New Roman" w:hAnsi="Times New Roman"/>
                <w:b/>
                <w:sz w:val="28"/>
                <w:szCs w:val="28"/>
              </w:rPr>
            </w:pPr>
            <w:r w:rsidRPr="00F90B6B">
              <w:rPr>
                <w:rFonts w:ascii="Times New Roman" w:hAnsi="Times New Roman"/>
                <w:b/>
                <w:sz w:val="28"/>
                <w:szCs w:val="28"/>
              </w:rPr>
              <w:t>Повторна госпіталізація</w:t>
            </w:r>
          </w:p>
        </w:tc>
      </w:tr>
      <w:tr w:rsidR="00EF4063" w:rsidRPr="00F90B6B" w:rsidTr="00634277">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c>
          <w:tcPr>
            <w:tcW w:w="1016" w:type="pct"/>
            <w:vAlign w:val="center"/>
          </w:tcPr>
          <w:p w:rsidR="00EF4063" w:rsidRPr="00F90B6B" w:rsidRDefault="00EF4063" w:rsidP="00FB4A39">
            <w:pPr>
              <w:spacing w:after="0" w:line="288"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1250" w:type="pct"/>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1250" w:type="pct"/>
            <w:vAlign w:val="center"/>
          </w:tcPr>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B4A39">
            <w:pPr>
              <w:spacing w:after="0" w:line="288"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Вік≥65,0</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77,0</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1,17</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[1,02-1,35]</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1,76</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[1,04-2,99]</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Вік</w:t>
            </w:r>
            <w:r w:rsidRPr="00F90B6B">
              <w:rPr>
                <w:rFonts w:ascii="Times New Roman" w:hAnsi="Times New Roman"/>
                <w:i/>
                <w:sz w:val="28"/>
                <w:szCs w:val="28"/>
                <w:lang w:val="en-US"/>
              </w:rPr>
              <w:t>&lt;</w:t>
            </w:r>
            <w:r w:rsidRPr="00F90B6B">
              <w:rPr>
                <w:rFonts w:ascii="Times New Roman" w:hAnsi="Times New Roman"/>
                <w:i/>
                <w:sz w:val="28"/>
                <w:szCs w:val="28"/>
              </w:rPr>
              <w:t>65,0</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66,0</w:t>
            </w: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ІМТ≥30 кг/м</w:t>
            </w:r>
            <w:r w:rsidRPr="00F90B6B">
              <w:rPr>
                <w:rFonts w:ascii="Times New Roman" w:hAnsi="Times New Roman"/>
                <w:i/>
                <w:sz w:val="28"/>
                <w:szCs w:val="28"/>
                <w:vertAlign w:val="superscript"/>
              </w:rPr>
              <w:t>2</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71</w:t>
            </w:r>
            <w:r w:rsidRPr="00F90B6B">
              <w:rPr>
                <w:rFonts w:ascii="Times New Roman" w:hAnsi="Times New Roman"/>
                <w:sz w:val="28"/>
                <w:szCs w:val="28"/>
              </w:rPr>
              <w:t>,0</w:t>
            </w:r>
          </w:p>
        </w:tc>
        <w:tc>
          <w:tcPr>
            <w:tcW w:w="1250" w:type="pct"/>
            <w:vMerge w:val="restart"/>
            <w:vAlign w:val="center"/>
          </w:tcPr>
          <w:p w:rsidR="00EF4063" w:rsidRPr="00F90B6B" w:rsidRDefault="00EF4063" w:rsidP="00FB4A39">
            <w:pPr>
              <w:spacing w:after="0" w:line="288" w:lineRule="auto"/>
              <w:jc w:val="center"/>
              <w:rPr>
                <w:rFonts w:ascii="Times New Roman" w:hAnsi="Times New Roman"/>
                <w:bCs/>
                <w:sz w:val="28"/>
                <w:szCs w:val="28"/>
              </w:rPr>
            </w:pPr>
            <w:r w:rsidRPr="00F90B6B">
              <w:rPr>
                <w:rFonts w:ascii="Times New Roman" w:hAnsi="Times New Roman"/>
                <w:bCs/>
                <w:sz w:val="28"/>
                <w:szCs w:val="28"/>
                <w:lang w:val="en-US"/>
              </w:rPr>
              <w:t>1,50</w:t>
            </w:r>
          </w:p>
          <w:p w:rsidR="00EF4063" w:rsidRPr="00F90B6B" w:rsidRDefault="00EF4063" w:rsidP="00FB4A39">
            <w:pPr>
              <w:spacing w:after="0" w:line="288" w:lineRule="auto"/>
              <w:jc w:val="center"/>
              <w:rPr>
                <w:rFonts w:ascii="Times New Roman" w:hAnsi="Times New Roman"/>
                <w:bCs/>
                <w:sz w:val="28"/>
                <w:szCs w:val="28"/>
              </w:rPr>
            </w:pPr>
            <w:r w:rsidRPr="00F90B6B">
              <w:rPr>
                <w:rFonts w:ascii="Times New Roman" w:hAnsi="Times New Roman"/>
                <w:bCs/>
                <w:sz w:val="28"/>
                <w:szCs w:val="28"/>
                <w:lang w:val="en-US"/>
              </w:rPr>
              <w:t>[1,08-2,08]</w:t>
            </w:r>
          </w:p>
          <w:p w:rsidR="00EF4063" w:rsidRPr="00F90B6B" w:rsidRDefault="00EF4063" w:rsidP="00FB4A39">
            <w:pPr>
              <w:spacing w:after="0" w:line="288" w:lineRule="auto"/>
              <w:jc w:val="center"/>
              <w:rPr>
                <w:rFonts w:ascii="Times New Roman" w:hAnsi="Times New Roman"/>
                <w:bCs/>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2,75</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[1,42-5,33]</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ІМТ</w:t>
            </w:r>
            <w:r w:rsidRPr="00F90B6B">
              <w:rPr>
                <w:rFonts w:ascii="Times New Roman" w:hAnsi="Times New Roman"/>
                <w:i/>
                <w:sz w:val="28"/>
                <w:szCs w:val="28"/>
                <w:lang w:val="en-US"/>
              </w:rPr>
              <w:t>&lt;</w:t>
            </w:r>
            <w:r w:rsidRPr="00F90B6B">
              <w:rPr>
                <w:rFonts w:ascii="Times New Roman" w:hAnsi="Times New Roman"/>
                <w:i/>
                <w:sz w:val="28"/>
                <w:szCs w:val="28"/>
              </w:rPr>
              <w:t>30 кг/м</w:t>
            </w:r>
            <w:r w:rsidRPr="00F90B6B">
              <w:rPr>
                <w:rFonts w:ascii="Times New Roman" w:hAnsi="Times New Roman"/>
                <w:i/>
                <w:sz w:val="28"/>
                <w:szCs w:val="28"/>
                <w:vertAlign w:val="superscript"/>
              </w:rPr>
              <w:t>2</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48,0</w:t>
            </w:r>
          </w:p>
        </w:tc>
        <w:tc>
          <w:tcPr>
            <w:tcW w:w="0" w:type="auto"/>
            <w:vMerge/>
            <w:vAlign w:val="center"/>
          </w:tcPr>
          <w:p w:rsidR="00EF4063" w:rsidRPr="00F90B6B" w:rsidRDefault="00EF4063" w:rsidP="00FB4A39">
            <w:pPr>
              <w:spacing w:after="0" w:line="288" w:lineRule="auto"/>
              <w:rPr>
                <w:rFonts w:ascii="Times New Roman" w:hAnsi="Times New Roman"/>
                <w:bCs/>
                <w:sz w:val="28"/>
                <w:szCs w:val="28"/>
              </w:rPr>
            </w:pP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III</w:t>
            </w:r>
            <w:r w:rsidRPr="00F90B6B">
              <w:rPr>
                <w:rFonts w:ascii="Times New Roman" w:hAnsi="Times New Roman"/>
                <w:i/>
                <w:sz w:val="28"/>
                <w:szCs w:val="28"/>
                <w:lang w:val="en-US"/>
              </w:rPr>
              <w:t>-</w:t>
            </w:r>
            <w:r w:rsidRPr="00F90B6B">
              <w:rPr>
                <w:rFonts w:ascii="Times New Roman" w:hAnsi="Times New Roman"/>
                <w:i/>
                <w:sz w:val="28"/>
                <w:szCs w:val="28"/>
              </w:rPr>
              <w:t>IV ФК ХСН</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87</w:t>
            </w:r>
            <w:r w:rsidRPr="00F90B6B">
              <w:rPr>
                <w:rFonts w:ascii="Times New Roman" w:hAnsi="Times New Roman"/>
                <w:sz w:val="28"/>
                <w:szCs w:val="28"/>
              </w:rPr>
              <w:t>,0</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1,46</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[1,27-1,67]</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4,45</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[2,33-8,49]</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I-II ФК ХСН</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rPr>
              <w:t>60,0</w:t>
            </w: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Гемоглобін ≤ 120 г/л</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79,0</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1,24</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[1,07-1,44]</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2,12</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[1,21-3,71]</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 xml:space="preserve">Гемоглобін </w:t>
            </w:r>
            <w:r w:rsidRPr="00F90B6B">
              <w:rPr>
                <w:rFonts w:ascii="Times New Roman" w:hAnsi="Times New Roman"/>
                <w:i/>
                <w:sz w:val="28"/>
                <w:szCs w:val="28"/>
                <w:lang w:val="en-US"/>
              </w:rPr>
              <w:t>&gt;</w:t>
            </w:r>
            <w:r w:rsidRPr="00F90B6B">
              <w:rPr>
                <w:rFonts w:ascii="Times New Roman" w:hAnsi="Times New Roman"/>
                <w:i/>
                <w:sz w:val="28"/>
                <w:szCs w:val="28"/>
              </w:rPr>
              <w:t xml:space="preserve"> 120 г/л</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63,0</w:t>
            </w: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Натрій плазми ≤ 135 ммоль/л</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79,0</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1,24</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[1,06-1,44]</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1250" w:type="pct"/>
            <w:vMerge w:val="restar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2,15</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rPr>
              <w:t>[1,16-3,96]</w:t>
            </w:r>
          </w:p>
          <w:p w:rsidR="00EF4063" w:rsidRPr="00F90B6B" w:rsidRDefault="00EF4063" w:rsidP="00FB4A39">
            <w:pPr>
              <w:spacing w:after="0" w:line="288" w:lineRule="auto"/>
              <w:jc w:val="center"/>
              <w:rPr>
                <w:rFonts w:ascii="Times New Roman" w:hAnsi="Times New Roman"/>
                <w:sz w:val="28"/>
                <w:szCs w:val="28"/>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1484" w:type="pct"/>
            <w:vAlign w:val="center"/>
          </w:tcPr>
          <w:p w:rsidR="00EF4063" w:rsidRPr="00F90B6B" w:rsidRDefault="00EF4063" w:rsidP="00FB4A39">
            <w:pPr>
              <w:spacing w:after="0" w:line="288" w:lineRule="auto"/>
              <w:jc w:val="center"/>
              <w:rPr>
                <w:rFonts w:ascii="Times New Roman" w:hAnsi="Times New Roman"/>
                <w:i/>
                <w:sz w:val="28"/>
                <w:szCs w:val="28"/>
              </w:rPr>
            </w:pPr>
            <w:r w:rsidRPr="00F90B6B">
              <w:rPr>
                <w:rFonts w:ascii="Times New Roman" w:hAnsi="Times New Roman"/>
                <w:i/>
                <w:sz w:val="28"/>
                <w:szCs w:val="28"/>
              </w:rPr>
              <w:t>Натрій плазми 135-155 ммоль/л</w:t>
            </w:r>
          </w:p>
        </w:tc>
        <w:tc>
          <w:tcPr>
            <w:tcW w:w="1016" w:type="pct"/>
            <w:vAlign w:val="center"/>
          </w:tcPr>
          <w:p w:rsidR="00EF4063" w:rsidRPr="00F90B6B" w:rsidRDefault="00EF4063" w:rsidP="00FB4A39">
            <w:pPr>
              <w:spacing w:after="0" w:line="288" w:lineRule="auto"/>
              <w:jc w:val="center"/>
              <w:rPr>
                <w:rFonts w:ascii="Times New Roman" w:hAnsi="Times New Roman"/>
                <w:sz w:val="28"/>
                <w:szCs w:val="28"/>
                <w:lang w:val="en-US"/>
              </w:rPr>
            </w:pPr>
            <w:r w:rsidRPr="00F90B6B">
              <w:rPr>
                <w:rFonts w:ascii="Times New Roman" w:hAnsi="Times New Roman"/>
                <w:sz w:val="28"/>
                <w:szCs w:val="28"/>
                <w:lang w:val="en-US"/>
              </w:rPr>
              <w:t>64,0</w:t>
            </w: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c>
          <w:tcPr>
            <w:tcW w:w="0" w:type="auto"/>
            <w:vMerge/>
            <w:vAlign w:val="center"/>
          </w:tcPr>
          <w:p w:rsidR="00EF4063" w:rsidRPr="00F90B6B" w:rsidRDefault="00EF4063" w:rsidP="00FB4A39">
            <w:pPr>
              <w:spacing w:after="0" w:line="288" w:lineRule="auto"/>
              <w:rPr>
                <w:rFonts w:ascii="Times New Roman" w:hAnsi="Times New Roman"/>
                <w:sz w:val="28"/>
                <w:szCs w:val="28"/>
              </w:rPr>
            </w:pPr>
          </w:p>
        </w:tc>
      </w:tr>
    </w:tbl>
    <w:p w:rsidR="00EF4063" w:rsidRPr="00F90B6B" w:rsidRDefault="00EF4063" w:rsidP="00F0048B">
      <w:pPr>
        <w:spacing w:after="0" w:line="360" w:lineRule="auto"/>
        <w:ind w:firstLine="709"/>
        <w:jc w:val="both"/>
        <w:rPr>
          <w:rFonts w:ascii="Times New Roman" w:hAnsi="Times New Roman"/>
          <w:sz w:val="28"/>
          <w:szCs w:val="28"/>
          <w:lang w:val="ru-RU"/>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Було встановлено вірогідне значення віку хворих більше 65 років (приріст AR на 11,0%, RR - 1,17 [1,02-1,35]; OR 1,76 [1,04-2,99]), індексу маси тіла більше 30 кг/м</w:t>
      </w:r>
      <w:r w:rsidRPr="00F90B6B">
        <w:rPr>
          <w:rFonts w:ascii="Times New Roman" w:hAnsi="Times New Roman"/>
          <w:sz w:val="28"/>
          <w:szCs w:val="28"/>
          <w:vertAlign w:val="superscript"/>
        </w:rPr>
        <w:t xml:space="preserve">2 </w:t>
      </w:r>
      <w:r w:rsidRPr="00F90B6B">
        <w:rPr>
          <w:rFonts w:ascii="Times New Roman" w:hAnsi="Times New Roman"/>
          <w:sz w:val="28"/>
          <w:szCs w:val="28"/>
        </w:rPr>
        <w:t xml:space="preserve">(AR 71,0% проти 48,0%, RR - 1,50 [1,08-2,08], OR - 2,75 [1,42-5,33]), </w:t>
      </w:r>
      <w:r w:rsidRPr="00F90B6B">
        <w:rPr>
          <w:rFonts w:ascii="Times New Roman" w:hAnsi="Times New Roman"/>
          <w:sz w:val="28"/>
          <w:szCs w:val="28"/>
          <w:lang w:val="en-US"/>
        </w:rPr>
        <w:t>III</w:t>
      </w:r>
      <w:r w:rsidRPr="00F90B6B">
        <w:rPr>
          <w:rFonts w:ascii="Times New Roman" w:hAnsi="Times New Roman"/>
          <w:sz w:val="28"/>
          <w:szCs w:val="28"/>
        </w:rPr>
        <w:t xml:space="preserve"> та </w:t>
      </w:r>
      <w:r w:rsidRPr="00F90B6B">
        <w:rPr>
          <w:rFonts w:ascii="Times New Roman" w:hAnsi="Times New Roman"/>
          <w:sz w:val="28"/>
          <w:szCs w:val="28"/>
          <w:lang w:val="en-US"/>
        </w:rPr>
        <w:t>IV</w:t>
      </w:r>
      <w:r w:rsidRPr="00F90B6B">
        <w:rPr>
          <w:rFonts w:ascii="Times New Roman" w:hAnsi="Times New Roman"/>
          <w:sz w:val="28"/>
          <w:szCs w:val="28"/>
        </w:rPr>
        <w:t xml:space="preserve"> функціонального класів ХСН (абсолютний ризик зростає на 27,0%, вірогідні RR та OR), рівня гемоглобіну менше 120 г/л (AR - 79,0% проти 63,0%, RR - 1,24 [1,07-1,44], OR - 2,12 [1,21-3,71]), а також наявності гіпонатріемії (зростання ризику на 15,0%, RR - 1,24[1,06-1,44], ОR - 2,15[1,16-3,96]), табл. 3.5.23.</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t>За аналізу поєднаного впливу двох факторів ризику – гіпонатріємії та ожиріння на вірогідність повторної госпіталізації хворих з ХСН були отримані результати, що наведені в табл. 3.5.24.</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t xml:space="preserve">Кількість хворих з гіпонатріємією, що були повторно госпіталізовані </w:t>
      </w:r>
      <w:r w:rsidRPr="00F90B6B">
        <w:rPr>
          <w:sz w:val="28"/>
          <w:szCs w:val="28"/>
          <w:lang w:val="uk-UA" w:eastAsia="uk-UA"/>
        </w:rPr>
        <w:lastRenderedPageBreak/>
        <w:t xml:space="preserve">впродовж року становило 62 чол., з них ожиріння мали 58 пацієнтів. </w:t>
      </w:r>
    </w:p>
    <w:p w:rsidR="00EF4063" w:rsidRPr="00F90B6B" w:rsidRDefault="00EF4063" w:rsidP="00F0048B">
      <w:pPr>
        <w:pStyle w:val="Style78"/>
        <w:spacing w:line="360" w:lineRule="auto"/>
        <w:ind w:firstLine="709"/>
        <w:jc w:val="right"/>
        <w:rPr>
          <w:i/>
          <w:sz w:val="28"/>
          <w:szCs w:val="28"/>
          <w:lang w:val="uk-UA" w:eastAsia="uk-UA"/>
        </w:rPr>
      </w:pPr>
      <w:r w:rsidRPr="00F90B6B">
        <w:rPr>
          <w:i/>
          <w:sz w:val="28"/>
          <w:szCs w:val="28"/>
          <w:lang w:val="uk-UA" w:eastAsia="uk-UA"/>
        </w:rPr>
        <w:t>Таблиця 3.5.24</w:t>
      </w:r>
    </w:p>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rPr>
        <w:t>Вірогідність повторної госпіталізації хворих з ХСН за наявності гіпонатріємії та ожиріння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20"/>
        <w:gridCol w:w="2216"/>
        <w:gridCol w:w="2243"/>
        <w:gridCol w:w="2163"/>
      </w:tblGrid>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b/>
                <w:sz w:val="28"/>
                <w:szCs w:val="28"/>
                <w:lang w:eastAsia="uk-UA"/>
              </w:rPr>
            </w:pPr>
            <w:r w:rsidRPr="00F90B6B">
              <w:rPr>
                <w:rFonts w:ascii="Times New Roman" w:hAnsi="Times New Roman"/>
                <w:b/>
                <w:sz w:val="28"/>
                <w:szCs w:val="28"/>
                <w:lang w:eastAsia="uk-UA"/>
              </w:rPr>
              <w:t>Показник</w:t>
            </w:r>
          </w:p>
        </w:tc>
        <w:tc>
          <w:tcPr>
            <w:tcW w:w="2216" w:type="dxa"/>
            <w:vAlign w:val="center"/>
          </w:tcPr>
          <w:p w:rsidR="00EF4063" w:rsidRPr="00F90B6B" w:rsidRDefault="00EF4063" w:rsidP="00F0048B">
            <w:pPr>
              <w:spacing w:after="0" w:line="360" w:lineRule="auto"/>
              <w:jc w:val="center"/>
              <w:rPr>
                <w:rFonts w:ascii="Times New Roman" w:hAnsi="Times New Roman"/>
                <w:b/>
                <w:sz w:val="28"/>
                <w:szCs w:val="28"/>
              </w:rPr>
            </w:pPr>
            <w:r w:rsidRPr="00F90B6B">
              <w:rPr>
                <w:rFonts w:ascii="Times New Roman" w:hAnsi="Times New Roman"/>
                <w:b/>
                <w:sz w:val="28"/>
                <w:szCs w:val="28"/>
                <w:lang w:val="en-US"/>
              </w:rPr>
              <w:t>AR</w:t>
            </w:r>
            <w:r w:rsidRPr="00F90B6B">
              <w:rPr>
                <w:rFonts w:ascii="Times New Roman" w:hAnsi="Times New Roman"/>
                <w:b/>
                <w:sz w:val="28"/>
                <w:szCs w:val="28"/>
              </w:rPr>
              <w:t>, %</w:t>
            </w:r>
          </w:p>
        </w:tc>
        <w:tc>
          <w:tcPr>
            <w:tcW w:w="224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RR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c>
          <w:tcPr>
            <w:tcW w:w="2163" w:type="dxa"/>
            <w:vAlign w:val="center"/>
          </w:tcPr>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OR</w:t>
            </w:r>
          </w:p>
          <w:p w:rsidR="00EF4063" w:rsidRPr="00F90B6B" w:rsidRDefault="00EF4063" w:rsidP="00F0048B">
            <w:pPr>
              <w:spacing w:after="0" w:line="360" w:lineRule="auto"/>
              <w:jc w:val="center"/>
              <w:rPr>
                <w:rFonts w:ascii="Times New Roman" w:hAnsi="Times New Roman"/>
                <w:b/>
                <w:sz w:val="28"/>
                <w:szCs w:val="28"/>
                <w:lang w:val="en-US"/>
              </w:rPr>
            </w:pPr>
            <w:r w:rsidRPr="00F90B6B">
              <w:rPr>
                <w:rFonts w:ascii="Times New Roman" w:hAnsi="Times New Roman"/>
                <w:b/>
                <w:sz w:val="28"/>
                <w:szCs w:val="28"/>
                <w:lang w:val="en-US"/>
              </w:rPr>
              <w:t>[95%</w:t>
            </w:r>
            <w:r w:rsidRPr="00F90B6B">
              <w:rPr>
                <w:rFonts w:ascii="Times New Roman" w:hAnsi="Times New Roman"/>
                <w:b/>
                <w:sz w:val="28"/>
                <w:szCs w:val="28"/>
              </w:rPr>
              <w:t>Д</w:t>
            </w:r>
            <w:r w:rsidRPr="00F90B6B">
              <w:rPr>
                <w:rFonts w:ascii="Times New Roman" w:hAnsi="Times New Roman"/>
                <w:b/>
                <w:sz w:val="28"/>
                <w:szCs w:val="28"/>
                <w:lang w:val="en-US"/>
              </w:rPr>
              <w:t>I]</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 з ожирінням</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88,0</w:t>
            </w:r>
          </w:p>
        </w:tc>
        <w:tc>
          <w:tcPr>
            <w:tcW w:w="2243" w:type="dxa"/>
            <w:vMerge w:val="restart"/>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val="en-US" w:eastAsia="uk-UA"/>
              </w:rPr>
              <w:t>2,64</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uk-UA"/>
              </w:rPr>
              <w:t>[1,18-5,90]</w:t>
            </w:r>
          </w:p>
          <w:p w:rsidR="00EF4063" w:rsidRPr="00F90B6B" w:rsidRDefault="00EF4063" w:rsidP="00F0048B">
            <w:pPr>
              <w:spacing w:after="0" w:line="360" w:lineRule="auto"/>
              <w:jc w:val="center"/>
              <w:rPr>
                <w:rFonts w:ascii="Times New Roman" w:hAnsi="Times New Roman"/>
                <w:sz w:val="28"/>
                <w:szCs w:val="28"/>
                <w:lang w:val="en-US" w:eastAsia="uk-UA"/>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c>
          <w:tcPr>
            <w:tcW w:w="2163" w:type="dxa"/>
            <w:vMerge w:val="restart"/>
            <w:vAlign w:val="center"/>
          </w:tcPr>
          <w:p w:rsidR="00EF4063" w:rsidRPr="00F90B6B" w:rsidRDefault="00EF4063" w:rsidP="00F0048B">
            <w:pPr>
              <w:spacing w:after="0" w:line="360"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14,50</w:t>
            </w:r>
          </w:p>
          <w:p w:rsidR="00EF4063" w:rsidRPr="00F90B6B" w:rsidRDefault="00EF4063" w:rsidP="00F0048B">
            <w:pPr>
              <w:spacing w:after="0" w:line="360"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[3,54-59,5]</w:t>
            </w:r>
          </w:p>
          <w:p w:rsidR="00EF4063" w:rsidRPr="00F90B6B" w:rsidRDefault="00EF4063" w:rsidP="00F0048B">
            <w:pPr>
              <w:spacing w:after="0" w:line="360" w:lineRule="auto"/>
              <w:jc w:val="center"/>
              <w:rPr>
                <w:rFonts w:ascii="Times New Roman" w:hAnsi="Times New Roman"/>
                <w:sz w:val="28"/>
                <w:szCs w:val="28"/>
                <w:lang w:val="en-US" w:eastAsia="ru-RU"/>
              </w:rPr>
            </w:pPr>
            <w:r w:rsidRPr="00F90B6B">
              <w:rPr>
                <w:rFonts w:ascii="Times New Roman" w:hAnsi="Times New Roman"/>
                <w:sz w:val="28"/>
                <w:szCs w:val="28"/>
                <w:lang w:val="en-US" w:eastAsia="ru-RU"/>
              </w:rPr>
              <w:t>p&lt;</w:t>
            </w:r>
            <w:r w:rsidRPr="00F90B6B">
              <w:rPr>
                <w:rFonts w:ascii="Times New Roman" w:hAnsi="Times New Roman"/>
                <w:sz w:val="28"/>
                <w:szCs w:val="28"/>
                <w:lang w:eastAsia="ru-RU"/>
              </w:rPr>
              <w:t>0,0</w:t>
            </w:r>
            <w:r w:rsidRPr="00F90B6B">
              <w:rPr>
                <w:rFonts w:ascii="Times New Roman" w:hAnsi="Times New Roman"/>
                <w:sz w:val="28"/>
                <w:szCs w:val="28"/>
                <w:lang w:val="en-US" w:eastAsia="ru-RU"/>
              </w:rPr>
              <w:t>5</w:t>
            </w:r>
          </w:p>
        </w:tc>
      </w:tr>
      <w:tr w:rsidR="00EF4063" w:rsidRPr="00F90B6B" w:rsidTr="00634277">
        <w:tc>
          <w:tcPr>
            <w:tcW w:w="3020" w:type="dxa"/>
            <w:vAlign w:val="center"/>
          </w:tcPr>
          <w:p w:rsidR="00EF4063" w:rsidRPr="00F90B6B" w:rsidRDefault="00EF4063" w:rsidP="00F0048B">
            <w:pPr>
              <w:spacing w:after="0" w:line="360" w:lineRule="auto"/>
              <w:jc w:val="center"/>
              <w:rPr>
                <w:rFonts w:ascii="Times New Roman" w:hAnsi="Times New Roman"/>
                <w:i/>
                <w:sz w:val="28"/>
                <w:szCs w:val="28"/>
              </w:rPr>
            </w:pPr>
            <w:r w:rsidRPr="00F90B6B">
              <w:rPr>
                <w:rFonts w:ascii="Times New Roman" w:hAnsi="Times New Roman"/>
                <w:i/>
                <w:sz w:val="28"/>
                <w:szCs w:val="28"/>
              </w:rPr>
              <w:t>Гіпонатріємія без ожиріння</w:t>
            </w:r>
          </w:p>
        </w:tc>
        <w:tc>
          <w:tcPr>
            <w:tcW w:w="2216" w:type="dxa"/>
            <w:vAlign w:val="center"/>
          </w:tcPr>
          <w:p w:rsidR="00EF4063" w:rsidRPr="00F90B6B" w:rsidRDefault="00EF4063" w:rsidP="00F0048B">
            <w:pPr>
              <w:spacing w:after="0" w:line="360" w:lineRule="auto"/>
              <w:jc w:val="center"/>
              <w:rPr>
                <w:rFonts w:ascii="Times New Roman" w:hAnsi="Times New Roman"/>
                <w:sz w:val="28"/>
                <w:szCs w:val="28"/>
                <w:lang w:eastAsia="uk-UA"/>
              </w:rPr>
            </w:pPr>
            <w:r w:rsidRPr="00F90B6B">
              <w:rPr>
                <w:rFonts w:ascii="Times New Roman" w:hAnsi="Times New Roman"/>
                <w:sz w:val="28"/>
                <w:szCs w:val="28"/>
                <w:lang w:eastAsia="uk-UA"/>
              </w:rPr>
              <w:t>33,0</w:t>
            </w: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uk-UA"/>
              </w:rPr>
            </w:pPr>
          </w:p>
        </w:tc>
        <w:tc>
          <w:tcPr>
            <w:tcW w:w="0" w:type="auto"/>
            <w:vMerge/>
            <w:vAlign w:val="center"/>
          </w:tcPr>
          <w:p w:rsidR="00EF4063" w:rsidRPr="00F90B6B" w:rsidRDefault="00EF4063" w:rsidP="00F0048B">
            <w:pPr>
              <w:spacing w:after="0" w:line="360" w:lineRule="auto"/>
              <w:rPr>
                <w:rFonts w:ascii="Times New Roman" w:hAnsi="Times New Roman"/>
                <w:sz w:val="28"/>
                <w:szCs w:val="28"/>
                <w:lang w:val="en-US" w:eastAsia="ru-RU"/>
              </w:rPr>
            </w:pPr>
          </w:p>
        </w:tc>
      </w:tr>
    </w:tbl>
    <w:p w:rsidR="00EF4063" w:rsidRPr="00F90B6B" w:rsidRDefault="00EF4063" w:rsidP="00F0048B">
      <w:pPr>
        <w:widowControl w:val="0"/>
        <w:spacing w:line="360" w:lineRule="auto"/>
        <w:ind w:firstLine="708"/>
        <w:jc w:val="both"/>
        <w:rPr>
          <w:rFonts w:ascii="Times New Roman" w:hAnsi="Times New Roman"/>
          <w:sz w:val="28"/>
          <w:szCs w:val="28"/>
        </w:rPr>
      </w:pPr>
      <w:r w:rsidRPr="00F90B6B">
        <w:rPr>
          <w:rFonts w:ascii="Times New Roman" w:hAnsi="Times New Roman"/>
          <w:sz w:val="28"/>
          <w:szCs w:val="28"/>
        </w:rPr>
        <w:t>р – вірогідність за критерієм χ</w:t>
      </w:r>
      <w:r w:rsidRPr="00F90B6B">
        <w:rPr>
          <w:rFonts w:ascii="Times New Roman" w:hAnsi="Times New Roman"/>
          <w:sz w:val="28"/>
          <w:szCs w:val="28"/>
          <w:vertAlign w:val="superscript"/>
        </w:rPr>
        <w:t xml:space="preserve">2 </w:t>
      </w:r>
      <w:r w:rsidRPr="00F90B6B">
        <w:rPr>
          <w:rFonts w:ascii="Times New Roman" w:hAnsi="Times New Roman"/>
          <w:sz w:val="28"/>
          <w:szCs w:val="28"/>
        </w:rPr>
        <w:t>с поправкою Мантеля-Хенцеля.</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t>Доведено вірогідний вплив комбінації таких факторів як гіпонатріємія та ожиріння на частоту повторної госпіталізації при ХСН зі значним підвищенням абсолютного ризику (з 33,0 до 88,0%), достовірними показниками RR (2,64[1,18-5,90]) та OR (14,50[3,54-59,5]), табл. 3.5.24.</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t xml:space="preserve">Таким чином, в розділі 3.5. аналізуються </w:t>
      </w:r>
      <w:r w:rsidRPr="00F90B6B">
        <w:rPr>
          <w:sz w:val="28"/>
          <w:szCs w:val="28"/>
          <w:lang w:val="uk-UA"/>
        </w:rPr>
        <w:t>п</w:t>
      </w:r>
      <w:r w:rsidRPr="00F90B6B">
        <w:rPr>
          <w:sz w:val="28"/>
          <w:szCs w:val="28"/>
        </w:rPr>
        <w:t>редиктор</w:t>
      </w:r>
      <w:r w:rsidRPr="00F90B6B">
        <w:rPr>
          <w:sz w:val="28"/>
          <w:szCs w:val="28"/>
          <w:lang w:val="uk-UA"/>
        </w:rPr>
        <w:t>и</w:t>
      </w:r>
      <w:r w:rsidRPr="00F90B6B">
        <w:rPr>
          <w:sz w:val="28"/>
          <w:szCs w:val="28"/>
        </w:rPr>
        <w:t xml:space="preserve"> виникнення серцево-судинних ускладнень у хворих з хронічною серцевою недостатністю, а також </w:t>
      </w:r>
      <w:r w:rsidRPr="00F90B6B">
        <w:rPr>
          <w:sz w:val="28"/>
          <w:szCs w:val="28"/>
          <w:lang w:val="uk-UA"/>
        </w:rPr>
        <w:t xml:space="preserve">вивчено </w:t>
      </w:r>
      <w:r w:rsidRPr="00F90B6B">
        <w:rPr>
          <w:sz w:val="28"/>
          <w:szCs w:val="28"/>
        </w:rPr>
        <w:t>прогностичн</w:t>
      </w:r>
      <w:r w:rsidRPr="00F90B6B">
        <w:rPr>
          <w:sz w:val="28"/>
          <w:szCs w:val="28"/>
          <w:lang w:val="uk-UA"/>
        </w:rPr>
        <w:t>у</w:t>
      </w:r>
      <w:r w:rsidRPr="00F90B6B">
        <w:rPr>
          <w:sz w:val="28"/>
          <w:szCs w:val="28"/>
        </w:rPr>
        <w:t xml:space="preserve"> рол</w:t>
      </w:r>
      <w:r w:rsidRPr="00F90B6B">
        <w:rPr>
          <w:sz w:val="28"/>
          <w:szCs w:val="28"/>
          <w:lang w:val="uk-UA"/>
        </w:rPr>
        <w:t>ь</w:t>
      </w:r>
      <w:r w:rsidRPr="00F90B6B">
        <w:rPr>
          <w:sz w:val="28"/>
          <w:szCs w:val="28"/>
        </w:rPr>
        <w:t xml:space="preserve"> гіпонатрі</w:t>
      </w:r>
      <w:r w:rsidRPr="00F90B6B">
        <w:rPr>
          <w:sz w:val="28"/>
          <w:szCs w:val="28"/>
          <w:lang w:val="uk-UA"/>
        </w:rPr>
        <w:t>є</w:t>
      </w:r>
      <w:r w:rsidRPr="00F90B6B">
        <w:rPr>
          <w:sz w:val="28"/>
          <w:szCs w:val="28"/>
        </w:rPr>
        <w:t>мії.</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 xml:space="preserve">Для досягнення даної мети було проведено 2 типи досліджень: 1) проспективно впродовж 2-х років спостерігалось 70 хворих з ХСН зі ЗФВЛШ при ожирінні, з них – 45 з нормонатріємією, 25 – з гіпонатріємією; 2) ретроспективно було вивчено 217 хворих з хронічною серцевою недостатністю. Серед обстежених хворих 81 був переведений у відділення реанімації та інтенсивної терапії. </w:t>
      </w:r>
    </w:p>
    <w:p w:rsidR="00EF4063" w:rsidRPr="00F90B6B" w:rsidRDefault="00EF4063" w:rsidP="00F0048B">
      <w:pPr>
        <w:pStyle w:val="Style78"/>
        <w:spacing w:line="360" w:lineRule="auto"/>
        <w:ind w:firstLine="709"/>
        <w:jc w:val="both"/>
        <w:rPr>
          <w:sz w:val="28"/>
          <w:szCs w:val="28"/>
          <w:lang w:val="uk-UA"/>
        </w:rPr>
      </w:pPr>
      <w:r w:rsidRPr="00F90B6B">
        <w:rPr>
          <w:sz w:val="28"/>
          <w:szCs w:val="28"/>
        </w:rPr>
        <w:t xml:space="preserve">Проспективно </w:t>
      </w:r>
      <w:r w:rsidRPr="00F90B6B">
        <w:rPr>
          <w:sz w:val="28"/>
          <w:szCs w:val="28"/>
          <w:lang w:val="uk-UA"/>
        </w:rPr>
        <w:t>з</w:t>
      </w:r>
      <w:r w:rsidRPr="00F90B6B">
        <w:rPr>
          <w:sz w:val="28"/>
          <w:szCs w:val="28"/>
        </w:rPr>
        <w:t xml:space="preserve">а оцінки пароксизмів фібриляції передсердь, а також первинно виявлених хворих з постійною формою ФП виявлено приріст </w:t>
      </w:r>
      <w:r w:rsidRPr="00F90B6B">
        <w:rPr>
          <w:sz w:val="28"/>
          <w:szCs w:val="28"/>
          <w:lang w:val="uk-UA"/>
        </w:rPr>
        <w:t xml:space="preserve">абсолютного ризику </w:t>
      </w:r>
      <w:r w:rsidRPr="00F90B6B">
        <w:rPr>
          <w:sz w:val="28"/>
          <w:szCs w:val="28"/>
        </w:rPr>
        <w:t>на 11,0%</w:t>
      </w:r>
      <w:r w:rsidRPr="00F90B6B">
        <w:rPr>
          <w:sz w:val="28"/>
          <w:szCs w:val="28"/>
          <w:lang w:val="uk-UA"/>
        </w:rPr>
        <w:t>, вірогідні показники</w:t>
      </w:r>
      <w:r w:rsidRPr="00F90B6B">
        <w:rPr>
          <w:sz w:val="28"/>
          <w:szCs w:val="28"/>
        </w:rPr>
        <w:t xml:space="preserve"> відносного ризиків (2,76 [1,08-6,98], </w:t>
      </w:r>
      <w:r w:rsidRPr="00F90B6B">
        <w:rPr>
          <w:sz w:val="28"/>
          <w:szCs w:val="28"/>
          <w:lang w:val="en-US"/>
        </w:rPr>
        <w:t>p</w:t>
      </w:r>
      <w:r w:rsidRPr="00F90B6B">
        <w:rPr>
          <w:sz w:val="28"/>
          <w:szCs w:val="28"/>
        </w:rPr>
        <w:t xml:space="preserve">&lt;0,05), а також відношення шансів (3,15 [1,09-9,05], </w:t>
      </w:r>
      <w:r w:rsidRPr="00F90B6B">
        <w:rPr>
          <w:sz w:val="28"/>
          <w:szCs w:val="28"/>
          <w:lang w:val="en-US"/>
        </w:rPr>
        <w:t>p</w:t>
      </w:r>
      <w:r w:rsidRPr="00F90B6B">
        <w:rPr>
          <w:sz w:val="28"/>
          <w:szCs w:val="28"/>
        </w:rPr>
        <w:t>&lt;0,05)</w:t>
      </w:r>
      <w:r w:rsidRPr="00F90B6B">
        <w:rPr>
          <w:sz w:val="28"/>
          <w:szCs w:val="28"/>
          <w:lang w:val="uk-UA"/>
        </w:rPr>
        <w:t>.</w:t>
      </w:r>
    </w:p>
    <w:p w:rsidR="00EF4063" w:rsidRPr="00F90B6B" w:rsidRDefault="00EF4063" w:rsidP="00F0048B">
      <w:pPr>
        <w:pStyle w:val="Style78"/>
        <w:spacing w:line="360" w:lineRule="auto"/>
        <w:ind w:firstLine="709"/>
        <w:jc w:val="both"/>
        <w:rPr>
          <w:sz w:val="28"/>
          <w:szCs w:val="28"/>
        </w:rPr>
      </w:pPr>
      <w:r w:rsidRPr="00F90B6B">
        <w:rPr>
          <w:sz w:val="28"/>
          <w:szCs w:val="28"/>
        </w:rPr>
        <w:t xml:space="preserve">При зіставленні частоти гострого коронарного синдрому </w:t>
      </w:r>
      <w:r w:rsidRPr="00F90B6B">
        <w:rPr>
          <w:sz w:val="28"/>
          <w:szCs w:val="28"/>
          <w:lang w:val="uk-UA"/>
        </w:rPr>
        <w:t>в</w:t>
      </w:r>
      <w:r w:rsidRPr="00F90B6B">
        <w:rPr>
          <w:sz w:val="28"/>
          <w:szCs w:val="28"/>
        </w:rPr>
        <w:t>ерифіковано підвищення абсолютного ризику на 8,0%, зростання відносного ризику в 1,93 разів та шансів в 2,14 разів.</w:t>
      </w:r>
    </w:p>
    <w:p w:rsidR="00EF4063" w:rsidRPr="00F90B6B" w:rsidRDefault="00EF4063" w:rsidP="00F0048B">
      <w:pPr>
        <w:tabs>
          <w:tab w:val="left" w:pos="3864"/>
        </w:tabs>
        <w:spacing w:after="0" w:line="360" w:lineRule="auto"/>
        <w:ind w:firstLine="709"/>
        <w:jc w:val="both"/>
        <w:rPr>
          <w:rFonts w:ascii="Times New Roman" w:hAnsi="Times New Roman"/>
          <w:lang w:val="ru-RU"/>
        </w:rPr>
      </w:pPr>
      <w:r w:rsidRPr="00F90B6B">
        <w:rPr>
          <w:rFonts w:ascii="Times New Roman" w:hAnsi="Times New Roman"/>
          <w:sz w:val="28"/>
          <w:szCs w:val="28"/>
        </w:rPr>
        <w:lastRenderedPageBreak/>
        <w:t>Для гострого порушення мозкового кровообігу такої тенденції для пацієнтів з ХСН зі ЗФВЛШ при ожирінні на фоні гіпонатріємії не визначено.</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Доведено несприятливу асоціацію гострої декомпенсації ХСН та гіпонатріємії з підвищенням AR на 38,0%, вірогідними RR 2,78 [1,85-4,19] та OR 5,37 [2,64-10,9]. Дані пацієнти потребувати переведення у відділення інтенсивної терапії.</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важкій гіпонатріємії вірогідність декомпенсації ХСН сягала 100,0%, ризик зростав на 49,0% порівняно з легкою гіпонатріємією, RR - 1,95 [1,45-2,63].</w:t>
      </w:r>
    </w:p>
    <w:p w:rsidR="00EF4063" w:rsidRPr="00F90B6B" w:rsidRDefault="00EF4063" w:rsidP="00F0048B">
      <w:pPr>
        <w:pStyle w:val="Style60"/>
        <w:spacing w:line="360" w:lineRule="auto"/>
        <w:ind w:firstLine="709"/>
        <w:rPr>
          <w:sz w:val="28"/>
          <w:szCs w:val="28"/>
          <w:lang w:val="uk-UA"/>
        </w:rPr>
      </w:pPr>
      <w:r w:rsidRPr="00F90B6B">
        <w:rPr>
          <w:sz w:val="28"/>
          <w:szCs w:val="28"/>
          <w:lang w:val="uk-UA"/>
        </w:rPr>
        <w:t>Частота повторної госпіталізації при гіпонатріємії впродовж проспективного спостереження склала 76,0%, в той же час у хворих з нормальним рівнем натрію – 44,0%. «Додатній ризик» за наявності гіпонатріємії у хворих з ХСН та ожирінням – 32,0%, Relative Risk і Odds Ratio склали, відповідно, 1,71 [1,15-2,54] та 3,96 [1,33-11,8], що свідчить про достовірне підвищення частоти госпіталізації при низькому рівні натрію.</w:t>
      </w:r>
    </w:p>
    <w:p w:rsidR="00EF4063" w:rsidRPr="00F90B6B" w:rsidRDefault="00EF4063" w:rsidP="00F0048B">
      <w:pPr>
        <w:pStyle w:val="Style60"/>
        <w:spacing w:line="360" w:lineRule="auto"/>
        <w:ind w:firstLine="709"/>
        <w:rPr>
          <w:sz w:val="28"/>
          <w:szCs w:val="28"/>
          <w:lang w:val="uk-UA"/>
        </w:rPr>
      </w:pPr>
      <w:r w:rsidRPr="00F90B6B">
        <w:rPr>
          <w:sz w:val="28"/>
          <w:szCs w:val="28"/>
          <w:lang w:val="uk-UA"/>
        </w:rPr>
        <w:t>Впродовж 2-річного проспективного спостереження у хворих з ХСН зі ЗВФЛШ при ожирінні та супутній гіпонатріємії було зареєстровано 1 випадок смертності – 4,0% проти 0,0% групи з нормонатріємією. Відносна ймовірність та шанси серцево-судинної летальності на фоні гіпонатріємії достовірно не підвищувались.</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Ретроспективно впродовж періоду спостереження було зареєстровано 351 ускладнення хронічної серцевої недостатності, з них – 115 гострих ускладнення, 236 – хронічних. Серед гострих розглядалися епізоди пароксизму фібриляції передсердь, летальність внаслідок декомпенсації серцевої недостатності, гостре порушення мозкового кровообігу, серед хронічних - зниження швидкості клубочкової фільтрації, потреба у повторній госпіталізації.</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За аналізу причин декомпенсації серцевої недостатності в досліджуваній когорті хворих було встановлено, що за наявності ожиріння (ІМТ більше 30 кг/м</w:t>
      </w:r>
      <w:r w:rsidRPr="00F90B6B">
        <w:rPr>
          <w:rFonts w:ascii="Times New Roman" w:hAnsi="Times New Roman"/>
          <w:sz w:val="28"/>
          <w:szCs w:val="28"/>
          <w:vertAlign w:val="superscript"/>
          <w:lang w:eastAsia="ru-RU"/>
        </w:rPr>
        <w:t>2</w:t>
      </w:r>
      <w:r w:rsidRPr="00F90B6B">
        <w:rPr>
          <w:rFonts w:ascii="Times New Roman" w:hAnsi="Times New Roman"/>
          <w:sz w:val="28"/>
          <w:szCs w:val="28"/>
          <w:lang w:eastAsia="ru-RU"/>
        </w:rPr>
        <w:t>) частота декомпенсації ХСН була на 11,0% вищою</w:t>
      </w:r>
      <w:r w:rsidRPr="00F90B6B">
        <w:rPr>
          <w:rFonts w:ascii="Times New Roman" w:hAnsi="Times New Roman"/>
          <w:sz w:val="28"/>
          <w:szCs w:val="28"/>
          <w:lang w:val="ru-RU" w:eastAsia="ru-RU"/>
        </w:rPr>
        <w:t xml:space="preserve">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 проте вірогідний показник смертності при ХСН був виявлений саме за наявності абдомінального ожиріння. Вірогідність прогресування та декомпенсації ХСН на фоні цукрового діабету склала 56,0% супроти 18,0% без нього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а гендерною особливістю </w:t>
      </w:r>
      <w:r w:rsidRPr="00F90B6B">
        <w:rPr>
          <w:rFonts w:ascii="Times New Roman" w:hAnsi="Times New Roman"/>
          <w:sz w:val="28"/>
          <w:szCs w:val="28"/>
          <w:lang w:eastAsia="ru-RU"/>
        </w:rPr>
        <w:lastRenderedPageBreak/>
        <w:t>був більший ризик серцево-судинної смертності з декомпенсацією ХСН у осіб чоловічої статі зі збільшенням абсолютного ризику на 17,0</w:t>
      </w:r>
      <w:r w:rsidRPr="00F90B6B">
        <w:rPr>
          <w:rFonts w:ascii="Times New Roman" w:hAnsi="Times New Roman"/>
          <w:sz w:val="28"/>
          <w:szCs w:val="28"/>
          <w:lang w:val="ru-RU" w:eastAsia="ru-RU"/>
        </w:rPr>
        <w:t xml:space="preserve">%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Встановлено, що найбільш часто при погіршенні перебігу ХСН у пацієнтів верифікувався знижений САТ (менше 90 мм рт. ст.) з абсолютним ризиком 82,7%. Подібну залежність було отримано також відносно показників діастолічного АТ, з найбільшим ризиком при ДАТ менше 60 мм рт. ст.</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Наявність ХСН високих функціональних класів (ІІІ та IV) вірогідно корелювало з загальною та серцево-судинною смертністю, абсолютний ризик при переході від ФК І до ФК IV зростав від 5,9% до 81,6%, відносний ризик збільшувався в 71,1 рази при ФК IV порівняно з ФК І, Cumulative odds ratio - 8,96 [4,676-17,166] (p&lt;0,05), χ2 Мантеля-Хенцеля – 68,194 (р&lt;0,001). Встановлено вірогідно більш високу вірогідність декомпенсації ХСН при ФВ ЛШ менше 50,0% - збільшення абсолютного ризику на 39,0%, відносний ризик - 0,31 [0,22-0,44] (р&lt;0,05), «шанси» - 0,16 [0,09-0,29] (р&lt;0,05).</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Ризик серцево-судинної смертності при ХСН з рівнем натрію менше 135 ммоль/л зростав з 19,0 до 45,0%, а величиною «точки відсікання» для прогнозування серцево-судинної смертності внаслідок декомпенсації ХСН був вміст Na+ в межах 115,0-125,0 ммоль/л.</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t>За аналізу «поєднаного» ризику за наявності гіпонатріємії та ожиріння. серцево-судинної смертність підвищувалась на 23,0%, проте показники відносного ризику та шансів були невірогідними.</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В групі пацієнтів, де зареєстровані випадки серцево-судинної смертності, відмічено більш низькі показники загального холестерину (p&lt;0,05), холестерину ЛПНЩ (p&lt;0,05), ЛПДНЩ (p&lt;0,05), а також більш високий рівень ЛПВЩ (p&lt;0,05). Окрім того, у пацієнтів, що спостерігалися з важкою декомпенсацією ХСН було встановлено нижчий рівень гемоглобіну (р&lt;0,05), гематокриту (р&lt;0,05), а також більш високі показники ШОЕ (р&lt;0,05) та загального вмісту лейкоцитів (р&lt;0,05). Абсолютний ризик прогресування серцевої недостатності при рівні гемоглобіну до 120 г/л склав 48,0% супроти 16,0% хворих з нормальним рівнем гемоглобіну.</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lastRenderedPageBreak/>
        <w:t>Ризик асоціації серцево-судинної смертності зі зниженням ШКФ становив - 54,0%, відносний ризик - 3,33 [2,33-4,78] (р&lt;0,05), відношення шансів - 6,03 [3,45-10,5] (р&lt;0,05), а серед клінічних показників вірогідну різницю щодо ШКФ отримано з віком хворих (р&lt;0,05) та індексом маси тіла (р&lt;0,05). Окрім того, встановлено більшу частоту хворих з гіпонатріємією при зниженій ШКФ - частота асоціації гіпонатріємії та зниженої ШКФ становила 36,0% проти 24,0% з нормальною ШКФ (р&lt;0,05).</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Відносно ГПМК у хворих з ХСН встановлено достовірний вплив вікового фактору (р&lt;0,05) та індексу маси тіла (р&lt;0,05).</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Доведено вірогідну асоціацію епізодів ФП та серцево-судинної смертності внаслідок декомпенсації ХСН з підвищенням абсолютного ризику на 22,0%, вірогідним відносним ризиком (p&lt;0,05) та відношенням шансів (p&lt;0,05). Абсолютний ризик асоціації становив 21,0%, відносний - 4,72 [2,23-9,97] (p&lt;0,05), «шанси» - 5,68 [2,45-13,1] (p&lt;0,05). Наявність шлуночкових екстрасистол при ХСН часто асоціювалось (AR – 71,0%) з презентацією гіпонатріємії у хворих з ХСН з вірогідними показниками RR та OR, p&lt;0,05.</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Аналізуючи фактори, що поєднувались з повторною госпіталізацією, було встановлено вірогідне значення віку хворих більше 65 років (p&lt;0,05), індексу маси тіла більше 30 кг/м2 (p&lt;0,05), III та IV функціонального класів ХСН (p&lt;0,05), рівня гемоглобіну менше 120 г/л (p&lt;0,05), а також наявності гіпонатріємії (p&lt;0,05). Доведено вірогідний вплив комбінації гіпонатріемії та ожиріння на частоту повторної госпіталізації при ХСН з підвищенням абсолютного ризику на 55,0%, достовірними показниками RR та OR (p&lt;0,05).</w:t>
      </w:r>
    </w:p>
    <w:p w:rsidR="00EF4063" w:rsidRPr="00F90B6B" w:rsidRDefault="00EF4063" w:rsidP="00F0048B">
      <w:pPr>
        <w:spacing w:after="0" w:line="360" w:lineRule="auto"/>
        <w:ind w:firstLine="708"/>
        <w:jc w:val="both"/>
        <w:rPr>
          <w:rFonts w:ascii="Times New Roman" w:hAnsi="Times New Roman"/>
          <w:sz w:val="28"/>
          <w:szCs w:val="28"/>
        </w:rPr>
      </w:pPr>
    </w:p>
    <w:p w:rsidR="00EF4063" w:rsidRPr="00F90B6B" w:rsidRDefault="008F54E3" w:rsidP="00F0048B">
      <w:pPr>
        <w:spacing w:after="0" w:line="360" w:lineRule="auto"/>
        <w:ind w:firstLine="709"/>
        <w:jc w:val="both"/>
        <w:rPr>
          <w:rFonts w:ascii="Times New Roman" w:hAnsi="Times New Roman"/>
          <w:i/>
          <w:sz w:val="28"/>
          <w:szCs w:val="28"/>
        </w:rPr>
      </w:pPr>
      <w:r w:rsidRPr="00F90B6B">
        <w:rPr>
          <w:rFonts w:ascii="Times New Roman" w:hAnsi="Times New Roman"/>
          <w:i/>
          <w:sz w:val="28"/>
          <w:szCs w:val="28"/>
        </w:rPr>
        <w:br w:type="page"/>
      </w:r>
      <w:r w:rsidR="00EF4063" w:rsidRPr="00F90B6B">
        <w:rPr>
          <w:rFonts w:ascii="Times New Roman" w:hAnsi="Times New Roman"/>
          <w:i/>
          <w:sz w:val="28"/>
          <w:szCs w:val="28"/>
        </w:rPr>
        <w:lastRenderedPageBreak/>
        <w:t>Матеріали, що представлені в розділі 3.5., включені в наступні публікації дисертанта:</w:t>
      </w:r>
    </w:p>
    <w:p w:rsidR="00EF4063" w:rsidRPr="00F90B6B" w:rsidRDefault="00EF4063" w:rsidP="00F0048B">
      <w:pPr>
        <w:pStyle w:val="1"/>
        <w:widowControl w:val="0"/>
        <w:spacing w:after="0" w:line="360" w:lineRule="auto"/>
        <w:ind w:left="0"/>
        <w:jc w:val="both"/>
        <w:rPr>
          <w:rFonts w:ascii="Times New Roman" w:hAnsi="Times New Roman"/>
          <w:bCs/>
          <w:i/>
          <w:color w:val="339966"/>
          <w:sz w:val="28"/>
          <w:szCs w:val="28"/>
          <w:shd w:val="clear" w:color="auto" w:fill="FFFFFF"/>
        </w:rPr>
      </w:pPr>
      <w:r w:rsidRPr="00F90B6B">
        <w:rPr>
          <w:rFonts w:ascii="Times New Roman" w:hAnsi="Times New Roman"/>
          <w:bCs/>
          <w:sz w:val="28"/>
          <w:szCs w:val="28"/>
          <w:shd w:val="clear" w:color="auto" w:fill="FFFFFF"/>
        </w:rPr>
        <w:t xml:space="preserve">1.Лазиди Е.Л., Рудык Ю.С. Роль уровня ионов натрия в сыворотке крови в прогнозе риска смерти у пациентов с хронической сердечной недостаточностью и сохраненной фракцией выброса левого желудочка. / Е.Л Лазиди., Ю.С. Рудык // Експериментальна і клінічна медицина. – 2017. - №4(77). – С. 32-37. </w:t>
      </w:r>
      <w:r w:rsidRPr="00F90B6B">
        <w:rPr>
          <w:rFonts w:ascii="Times New Roman" w:hAnsi="Times New Roman"/>
          <w:bCs/>
          <w:i/>
          <w:sz w:val="28"/>
          <w:szCs w:val="28"/>
          <w:shd w:val="clear" w:color="auto" w:fill="FFFFFF"/>
        </w:rPr>
        <w:t>(Здобівач сформувала групи хворих, здійснила статистичний аналіз результатів, підготувала статтю до друку).</w:t>
      </w:r>
    </w:p>
    <w:p w:rsidR="00EF4063" w:rsidRPr="00F90B6B" w:rsidRDefault="00EF4063" w:rsidP="00F0048B">
      <w:pPr>
        <w:pStyle w:val="1"/>
        <w:spacing w:after="0" w:line="360" w:lineRule="auto"/>
        <w:ind w:left="0"/>
        <w:jc w:val="both"/>
        <w:rPr>
          <w:rFonts w:ascii="Times New Roman" w:hAnsi="Times New Roman"/>
          <w:bCs/>
          <w:i/>
          <w:sz w:val="28"/>
          <w:szCs w:val="28"/>
          <w:shd w:val="clear" w:color="auto" w:fill="FFFFFF"/>
        </w:rPr>
      </w:pPr>
      <w:r w:rsidRPr="00F90B6B">
        <w:rPr>
          <w:rFonts w:ascii="Times New Roman" w:hAnsi="Times New Roman"/>
          <w:sz w:val="28"/>
          <w:szCs w:val="28"/>
          <w:lang w:val="uz-Cyrl-UZ"/>
        </w:rPr>
        <w:t xml:space="preserve">2.Лазиди Е.Л., Рудык Ю.С., Высоцкая Е.В., Печерская А.И., Болотских А.В. Гипонатриемия у пациентов с хронической сердечной недостаточностью и сохраненной фракцией выброса левого желудочка / Е.Л Лазиди., Ю.С. Рудык, Е.В. Высоцкая, А.И Печерская, А.В. Болотских // </w:t>
      </w:r>
      <w:r w:rsidRPr="00F90B6B">
        <w:rPr>
          <w:rFonts w:ascii="Times New Roman" w:hAnsi="Times New Roman"/>
          <w:bCs/>
          <w:sz w:val="28"/>
          <w:szCs w:val="28"/>
          <w:shd w:val="clear" w:color="auto" w:fill="FFFFFF"/>
        </w:rPr>
        <w:t>«</w:t>
      </w:r>
      <w:r w:rsidRPr="00F90B6B">
        <w:rPr>
          <w:rFonts w:ascii="Times New Roman" w:hAnsi="Times New Roman"/>
          <w:bCs/>
          <w:sz w:val="28"/>
          <w:szCs w:val="28"/>
          <w:shd w:val="clear" w:color="auto" w:fill="FFFFFF"/>
          <w:lang w:val="uz-Cyrl-UZ"/>
        </w:rPr>
        <w:t xml:space="preserve">ScienceRise: Medical Science». – </w:t>
      </w:r>
      <w:r w:rsidRPr="00F90B6B">
        <w:rPr>
          <w:rFonts w:ascii="Times New Roman" w:hAnsi="Times New Roman"/>
          <w:bCs/>
          <w:sz w:val="28"/>
          <w:szCs w:val="28"/>
          <w:shd w:val="clear" w:color="auto" w:fill="FFFFFF"/>
        </w:rPr>
        <w:t xml:space="preserve">2018. – </w:t>
      </w:r>
      <w:r w:rsidRPr="00F90B6B">
        <w:rPr>
          <w:rFonts w:ascii="Times New Roman" w:hAnsi="Times New Roman"/>
          <w:bCs/>
          <w:sz w:val="28"/>
          <w:szCs w:val="28"/>
          <w:shd w:val="clear" w:color="auto" w:fill="FFFFFF"/>
          <w:lang w:val="uz-Cyrl-UZ"/>
        </w:rPr>
        <w:t>Vol.</w:t>
      </w:r>
      <w:r w:rsidRPr="00F90B6B">
        <w:rPr>
          <w:rFonts w:ascii="Times New Roman" w:hAnsi="Times New Roman"/>
          <w:bCs/>
          <w:sz w:val="28"/>
          <w:szCs w:val="28"/>
          <w:shd w:val="clear" w:color="auto" w:fill="FFFFFF"/>
        </w:rPr>
        <w:t xml:space="preserve"> 2(22). – Р.4-9. </w:t>
      </w:r>
      <w:r w:rsidRPr="00F90B6B">
        <w:rPr>
          <w:rFonts w:ascii="Times New Roman" w:hAnsi="Times New Roman"/>
          <w:bCs/>
          <w:i/>
          <w:sz w:val="28"/>
          <w:szCs w:val="28"/>
          <w:shd w:val="clear" w:color="auto" w:fill="FFFFFF"/>
        </w:rPr>
        <w:t>(Здобувачем проведено обстеження хворих, вивчення літератури, статистичний аналіз результатів, написання та підготовка статті до друку).</w:t>
      </w:r>
    </w:p>
    <w:p w:rsidR="00EF4063" w:rsidRPr="00F90B6B" w:rsidRDefault="00EF4063" w:rsidP="00F0048B">
      <w:pPr>
        <w:pStyle w:val="1"/>
        <w:spacing w:after="0" w:line="360" w:lineRule="auto"/>
        <w:ind w:left="0"/>
        <w:jc w:val="both"/>
        <w:rPr>
          <w:rFonts w:ascii="Times New Roman" w:hAnsi="Times New Roman"/>
          <w:color w:val="FF0000"/>
          <w:sz w:val="28"/>
          <w:szCs w:val="28"/>
        </w:rPr>
      </w:pPr>
      <w:r w:rsidRPr="00F90B6B">
        <w:rPr>
          <w:rFonts w:ascii="Times New Roman" w:hAnsi="Times New Roman"/>
          <w:bCs/>
          <w:sz w:val="28"/>
          <w:szCs w:val="28"/>
        </w:rPr>
        <w:t xml:space="preserve">3.Лазиди Е.Л., Рудык Ю.С. Прогностичекое значение ожирения и гипонатриемии в прогрессировании хронической сердечной недостаточности: сердечно-сосудистая смертность и кардиоренальный синдром / </w:t>
      </w:r>
      <w:r w:rsidRPr="00F90B6B">
        <w:rPr>
          <w:rFonts w:ascii="Times New Roman" w:hAnsi="Times New Roman"/>
          <w:sz w:val="28"/>
          <w:szCs w:val="28"/>
        </w:rPr>
        <w:t>Е.Л. Лазиди, Ю.С.Рудык //</w:t>
      </w:r>
      <w:r w:rsidRPr="00F90B6B">
        <w:rPr>
          <w:rFonts w:ascii="Times New Roman" w:hAnsi="Times New Roman"/>
          <w:bCs/>
          <w:sz w:val="28"/>
          <w:szCs w:val="28"/>
        </w:rPr>
        <w:t xml:space="preserve"> </w:t>
      </w:r>
      <w:r w:rsidRPr="00F90B6B">
        <w:rPr>
          <w:rFonts w:ascii="Times New Roman" w:hAnsi="Times New Roman"/>
          <w:bCs/>
          <w:sz w:val="28"/>
          <w:szCs w:val="28"/>
          <w:shd w:val="clear" w:color="auto" w:fill="FFFFFF"/>
          <w:lang w:val="en-US"/>
        </w:rPr>
        <w:t>Georgian</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medical</w:t>
      </w:r>
      <w:r w:rsidRPr="00F90B6B">
        <w:rPr>
          <w:rFonts w:ascii="Times New Roman" w:hAnsi="Times New Roman"/>
          <w:bCs/>
          <w:sz w:val="28"/>
          <w:szCs w:val="28"/>
          <w:shd w:val="clear" w:color="auto" w:fill="FFFFFF"/>
        </w:rPr>
        <w:t xml:space="preserve"> </w:t>
      </w:r>
      <w:r w:rsidRPr="00F90B6B">
        <w:rPr>
          <w:rFonts w:ascii="Times New Roman" w:hAnsi="Times New Roman"/>
          <w:bCs/>
          <w:sz w:val="28"/>
          <w:szCs w:val="28"/>
          <w:shd w:val="clear" w:color="auto" w:fill="FFFFFF"/>
          <w:lang w:val="en-US"/>
        </w:rPr>
        <w:t>news</w:t>
      </w:r>
      <w:r w:rsidRPr="00F90B6B">
        <w:rPr>
          <w:rFonts w:ascii="Times New Roman" w:hAnsi="Times New Roman"/>
          <w:bCs/>
          <w:sz w:val="28"/>
          <w:szCs w:val="28"/>
          <w:shd w:val="clear" w:color="auto" w:fill="FFFFFF"/>
        </w:rPr>
        <w:t xml:space="preserve">. – 2018. – Грузия, Тбилиси. - №9(282) . – Р.65-73 </w:t>
      </w:r>
      <w:r w:rsidRPr="00F90B6B">
        <w:rPr>
          <w:rFonts w:ascii="Times New Roman" w:hAnsi="Times New Roman"/>
          <w:i/>
          <w:sz w:val="28"/>
          <w:szCs w:val="28"/>
        </w:rPr>
        <w:t>(Здобувачем проведено обстеження хворих, оцінку та інтерпретацію отриманих результатів, написання статті та підготовку статті до друку)</w:t>
      </w:r>
      <w:r w:rsidRPr="00F90B6B">
        <w:rPr>
          <w:rFonts w:ascii="Times New Roman" w:hAnsi="Times New Roman"/>
          <w:sz w:val="28"/>
          <w:szCs w:val="28"/>
        </w:rPr>
        <w:t xml:space="preserve"> (</w:t>
      </w:r>
      <w:r w:rsidRPr="00F90B6B">
        <w:rPr>
          <w:rFonts w:ascii="Times New Roman" w:hAnsi="Times New Roman"/>
          <w:sz w:val="28"/>
          <w:szCs w:val="28"/>
          <w:lang w:val="en-US"/>
        </w:rPr>
        <w:t>SCOPUS</w:t>
      </w:r>
      <w:r w:rsidRPr="00F90B6B">
        <w:rPr>
          <w:rFonts w:ascii="Times New Roman" w:hAnsi="Times New Roman"/>
          <w:sz w:val="28"/>
          <w:szCs w:val="28"/>
        </w:rPr>
        <w:t>).</w:t>
      </w:r>
    </w:p>
    <w:p w:rsidR="00EF4063" w:rsidRPr="00F90B6B" w:rsidRDefault="00EF4063" w:rsidP="00F0048B">
      <w:pPr>
        <w:spacing w:after="0" w:line="360" w:lineRule="auto"/>
        <w:jc w:val="both"/>
        <w:rPr>
          <w:rFonts w:ascii="Times New Roman" w:hAnsi="Times New Roman"/>
          <w:sz w:val="28"/>
          <w:szCs w:val="28"/>
          <w:lang w:eastAsia="ru-RU"/>
        </w:rPr>
      </w:pPr>
      <w:r w:rsidRPr="00F90B6B">
        <w:rPr>
          <w:rFonts w:ascii="Times New Roman" w:hAnsi="Times New Roman"/>
          <w:sz w:val="28"/>
          <w:szCs w:val="28"/>
          <w:lang w:eastAsia="ru-RU"/>
        </w:rPr>
        <w:t xml:space="preserve">4.Лазіді К.Л. «Спосіб прогнозування прогресування хронічної серцевої недостатності у хворих зі збереженою фракцією викиду лівого шлуночка, гіпонатріємією та супутнім ожирінням»/ К.Л. Лазіді, Ю.С. Рудик // Патент № 129891, UA, МПК:G01N 33/48.; Державна установа «Національний інститут терапії імені Л.Т.Малої НАМН України». – опубл. 12.11.2018, Бюл. № 21. </w:t>
      </w:r>
      <w:r w:rsidRPr="00F90B6B">
        <w:rPr>
          <w:rFonts w:ascii="Times New Roman" w:hAnsi="Times New Roman"/>
          <w:sz w:val="28"/>
          <w:szCs w:val="28"/>
        </w:rPr>
        <w:t>(</w:t>
      </w:r>
      <w:r w:rsidRPr="00F90B6B">
        <w:rPr>
          <w:rFonts w:ascii="Times New Roman" w:hAnsi="Times New Roman"/>
          <w:i/>
          <w:iCs/>
          <w:sz w:val="28"/>
          <w:szCs w:val="28"/>
        </w:rPr>
        <w:t>Здобувачем проведено клінічне обстеження пацієнтів, статистичний аналіз і узагальнення результатів, розроблено та оформлено заявку до розгляду БРіВ</w:t>
      </w:r>
      <w:r w:rsidRPr="00F90B6B">
        <w:rPr>
          <w:rFonts w:ascii="Times New Roman" w:hAnsi="Times New Roman"/>
          <w:sz w:val="28"/>
          <w:szCs w:val="28"/>
        </w:rPr>
        <w:t>).</w:t>
      </w:r>
    </w:p>
    <w:p w:rsidR="00EF4063" w:rsidRPr="00F90B6B" w:rsidRDefault="00EF4063" w:rsidP="00F0048B">
      <w:pPr>
        <w:pStyle w:val="1"/>
        <w:spacing w:after="0" w:line="360" w:lineRule="auto"/>
        <w:ind w:left="0"/>
        <w:jc w:val="both"/>
        <w:rPr>
          <w:rFonts w:ascii="Times New Roman" w:hAnsi="Times New Roman"/>
          <w:sz w:val="28"/>
          <w:szCs w:val="28"/>
        </w:rPr>
      </w:pPr>
      <w:r w:rsidRPr="00F90B6B">
        <w:rPr>
          <w:rFonts w:ascii="Times New Roman" w:hAnsi="Times New Roman"/>
          <w:sz w:val="28"/>
          <w:szCs w:val="28"/>
        </w:rPr>
        <w:t>5.Лазіді К.Л., Рудик Ю.С. Гіпонаріємія і прогноз хворих із ХСН: чи існує зв'язок? / К.Л. Лазіді,</w:t>
      </w:r>
      <w:r w:rsidRPr="00F90B6B">
        <w:rPr>
          <w:rFonts w:ascii="Times New Roman" w:hAnsi="Times New Roman"/>
          <w:color w:val="339966"/>
          <w:sz w:val="28"/>
          <w:szCs w:val="28"/>
        </w:rPr>
        <w:t xml:space="preserve"> </w:t>
      </w:r>
      <w:r w:rsidRPr="00F90B6B">
        <w:rPr>
          <w:rFonts w:ascii="Times New Roman" w:hAnsi="Times New Roman"/>
          <w:sz w:val="28"/>
          <w:szCs w:val="28"/>
        </w:rPr>
        <w:t xml:space="preserve">Ю.С.Рудик // Матеріали науково-практичної конференції за участю </w:t>
      </w:r>
      <w:r w:rsidRPr="00F90B6B">
        <w:rPr>
          <w:rFonts w:ascii="Times New Roman" w:hAnsi="Times New Roman"/>
          <w:sz w:val="28"/>
          <w:szCs w:val="28"/>
        </w:rPr>
        <w:lastRenderedPageBreak/>
        <w:t>міжнародних спеціалістів</w:t>
      </w:r>
      <w:r w:rsidRPr="00F90B6B">
        <w:rPr>
          <w:rFonts w:ascii="Times New Roman" w:hAnsi="Times New Roman"/>
          <w:caps/>
          <w:sz w:val="28"/>
          <w:szCs w:val="28"/>
        </w:rPr>
        <w:t xml:space="preserve"> </w:t>
      </w:r>
      <w:r w:rsidRPr="00F90B6B">
        <w:rPr>
          <w:rFonts w:ascii="Times New Roman" w:hAnsi="Times New Roman"/>
          <w:sz w:val="28"/>
          <w:szCs w:val="28"/>
        </w:rPr>
        <w:t>«Щорічні терапевтичні читання: Профілактика неінфекційних захворювань на перехресті терапевтичних наук</w:t>
      </w:r>
      <w:r w:rsidRPr="00F90B6B">
        <w:rPr>
          <w:rFonts w:ascii="Times New Roman" w:hAnsi="Times New Roman"/>
          <w:bCs/>
          <w:iCs/>
          <w:caps/>
          <w:sz w:val="28"/>
          <w:szCs w:val="28"/>
        </w:rPr>
        <w:t>». 21</w:t>
      </w:r>
      <w:r w:rsidRPr="00F90B6B">
        <w:rPr>
          <w:rFonts w:ascii="Times New Roman" w:hAnsi="Times New Roman"/>
          <w:sz w:val="28"/>
          <w:szCs w:val="28"/>
        </w:rPr>
        <w:t xml:space="preserve"> квітня</w:t>
      </w:r>
      <w:r w:rsidRPr="00F90B6B">
        <w:rPr>
          <w:rFonts w:ascii="Times New Roman" w:hAnsi="Times New Roman"/>
          <w:bCs/>
          <w:iCs/>
          <w:caps/>
          <w:sz w:val="28"/>
          <w:szCs w:val="28"/>
        </w:rPr>
        <w:t xml:space="preserve"> </w:t>
      </w:r>
      <w:r w:rsidRPr="00F90B6B">
        <w:rPr>
          <w:rFonts w:ascii="Times New Roman" w:hAnsi="Times New Roman"/>
          <w:sz w:val="28"/>
          <w:szCs w:val="28"/>
        </w:rPr>
        <w:t>2016 р. Харків. С. 281.</w:t>
      </w:r>
    </w:p>
    <w:p w:rsidR="00EF4063" w:rsidRPr="00F90B6B" w:rsidRDefault="00EF4063" w:rsidP="00F0048B">
      <w:pPr>
        <w:pStyle w:val="1"/>
        <w:spacing w:after="0" w:line="360" w:lineRule="auto"/>
        <w:ind w:left="0"/>
        <w:jc w:val="both"/>
        <w:rPr>
          <w:rFonts w:ascii="Times New Roman" w:hAnsi="Times New Roman"/>
          <w:sz w:val="28"/>
          <w:szCs w:val="28"/>
        </w:rPr>
      </w:pPr>
      <w:r w:rsidRPr="00F90B6B">
        <w:rPr>
          <w:rFonts w:ascii="Times New Roman" w:hAnsi="Times New Roman"/>
          <w:sz w:val="28"/>
          <w:szCs w:val="28"/>
        </w:rPr>
        <w:t xml:space="preserve">6.Лазіді К.Л., Рудик Ю.С. </w:t>
      </w:r>
      <w:r w:rsidRPr="00F90B6B">
        <w:rPr>
          <w:rStyle w:val="shorttext"/>
          <w:rFonts w:ascii="Times New Roman" w:hAnsi="Times New Roman"/>
          <w:sz w:val="28"/>
          <w:szCs w:val="28"/>
        </w:rPr>
        <w:t>Електролітні</w:t>
      </w:r>
      <w:r w:rsidRPr="00F90B6B">
        <w:rPr>
          <w:rStyle w:val="shorttext"/>
          <w:rFonts w:ascii="Times New Roman" w:hAnsi="Times New Roman"/>
          <w:szCs w:val="28"/>
        </w:rPr>
        <w:t xml:space="preserve"> </w:t>
      </w:r>
      <w:r w:rsidRPr="00F90B6B">
        <w:rPr>
          <w:rFonts w:ascii="Times New Roman" w:hAnsi="Times New Roman"/>
          <w:sz w:val="28"/>
          <w:szCs w:val="28"/>
        </w:rPr>
        <w:t>порушення у хворих із хронічною серцевою недостатністю / К.Л. Лазіді, Ю.С.Рудик</w:t>
      </w:r>
      <w:r w:rsidRPr="00F90B6B">
        <w:rPr>
          <w:rFonts w:ascii="Times New Roman" w:hAnsi="Times New Roman"/>
          <w:color w:val="339966"/>
          <w:sz w:val="28"/>
          <w:szCs w:val="28"/>
        </w:rPr>
        <w:t xml:space="preserve"> </w:t>
      </w:r>
      <w:r w:rsidRPr="00F90B6B">
        <w:rPr>
          <w:rFonts w:ascii="Times New Roman" w:hAnsi="Times New Roman"/>
          <w:sz w:val="28"/>
          <w:szCs w:val="28"/>
        </w:rPr>
        <w:t>// Матеріали</w:t>
      </w:r>
      <w:r w:rsidRPr="00F90B6B">
        <w:rPr>
          <w:rFonts w:ascii="Times New Roman" w:hAnsi="Times New Roman"/>
          <w:color w:val="339966"/>
          <w:sz w:val="28"/>
          <w:szCs w:val="28"/>
        </w:rPr>
        <w:t xml:space="preserve"> </w:t>
      </w:r>
      <w:r w:rsidRPr="00F90B6B">
        <w:rPr>
          <w:rFonts w:ascii="Times New Roman" w:hAnsi="Times New Roman"/>
          <w:sz w:val="28"/>
          <w:szCs w:val="28"/>
        </w:rPr>
        <w:t>н</w:t>
      </w:r>
      <w:r w:rsidRPr="00F90B6B">
        <w:rPr>
          <w:rFonts w:ascii="Times New Roman" w:hAnsi="Times New Roman"/>
          <w:bCs/>
          <w:iCs/>
          <w:sz w:val="28"/>
          <w:szCs w:val="28"/>
        </w:rPr>
        <w:t>ауково-практичної конференції молодих учених за участю міжнародних спеціалістів,</w:t>
      </w:r>
      <w:r w:rsidRPr="00F90B6B">
        <w:rPr>
          <w:rFonts w:ascii="Times New Roman" w:hAnsi="Times New Roman"/>
          <w:iCs/>
          <w:spacing w:val="8"/>
          <w:sz w:val="28"/>
          <w:szCs w:val="28"/>
        </w:rPr>
        <w:t xml:space="preserve"> присвячена Дню науки </w:t>
      </w:r>
      <w:r w:rsidRPr="00F90B6B">
        <w:rPr>
          <w:rFonts w:ascii="Times New Roman" w:hAnsi="Times New Roman"/>
          <w:bCs/>
          <w:sz w:val="28"/>
          <w:szCs w:val="28"/>
        </w:rPr>
        <w:t xml:space="preserve">«Медична наука та клінічна практика - 2016». </w:t>
      </w:r>
      <w:r w:rsidRPr="00F90B6B">
        <w:rPr>
          <w:rFonts w:ascii="Times New Roman" w:hAnsi="Times New Roman"/>
          <w:sz w:val="28"/>
          <w:szCs w:val="28"/>
        </w:rPr>
        <w:t>20 травня 2016 р.</w:t>
      </w:r>
      <w:r w:rsidRPr="00F90B6B">
        <w:rPr>
          <w:rFonts w:ascii="Times New Roman" w:hAnsi="Times New Roman"/>
          <w:bCs/>
          <w:sz w:val="28"/>
          <w:szCs w:val="28"/>
        </w:rPr>
        <w:t xml:space="preserve"> Харків. С. 56-57.</w:t>
      </w:r>
    </w:p>
    <w:p w:rsidR="00EF4063" w:rsidRPr="00F90B6B" w:rsidRDefault="00EF4063" w:rsidP="00F0048B">
      <w:pPr>
        <w:pStyle w:val="1"/>
        <w:spacing w:after="0" w:line="360" w:lineRule="auto"/>
        <w:ind w:left="0"/>
        <w:jc w:val="both"/>
        <w:rPr>
          <w:rFonts w:ascii="Times New Roman" w:hAnsi="Times New Roman"/>
          <w:sz w:val="28"/>
          <w:szCs w:val="28"/>
          <w:shd w:val="clear" w:color="auto" w:fill="FFFFFF"/>
        </w:rPr>
      </w:pPr>
      <w:r w:rsidRPr="00F90B6B">
        <w:rPr>
          <w:rFonts w:ascii="Times New Roman" w:hAnsi="Times New Roman"/>
          <w:sz w:val="28"/>
          <w:szCs w:val="28"/>
        </w:rPr>
        <w:t>7.Лазіді К.Л., Рудик Ю.С</w:t>
      </w:r>
      <w:r w:rsidRPr="00F90B6B">
        <w:rPr>
          <w:rFonts w:ascii="Times New Roman" w:hAnsi="Times New Roman"/>
          <w:sz w:val="28"/>
          <w:szCs w:val="28"/>
          <w:shd w:val="clear" w:color="auto" w:fill="FFFFFF"/>
        </w:rPr>
        <w:t xml:space="preserve"> Які фактори впливають на клінічний перебіг у пацієнтів з хронічною серцевою недостатністю зі збереженою фракцією викиду лівого шлуночка? / </w:t>
      </w:r>
      <w:r w:rsidRPr="00F90B6B">
        <w:rPr>
          <w:rFonts w:ascii="Times New Roman" w:hAnsi="Times New Roman"/>
          <w:sz w:val="28"/>
          <w:szCs w:val="28"/>
        </w:rPr>
        <w:t xml:space="preserve">К.Л. Лазіді, Ю.С.Рудик // Матеріали </w:t>
      </w:r>
      <w:r w:rsidRPr="00F90B6B">
        <w:rPr>
          <w:rFonts w:ascii="Times New Roman" w:hAnsi="Times New Roman"/>
          <w:sz w:val="28"/>
          <w:szCs w:val="28"/>
          <w:shd w:val="clear" w:color="auto" w:fill="FFFFFF"/>
        </w:rPr>
        <w:t>щорічної підсумкова науково-практичної конференції молодих вчених Харківської медичної академії післядипломної освіти «Медицина 21 століття». 24 листопада 2016 р. Харків . С. 61.</w:t>
      </w:r>
    </w:p>
    <w:p w:rsidR="00EF4063" w:rsidRPr="00F90B6B" w:rsidRDefault="00EF4063" w:rsidP="00F0048B">
      <w:pPr>
        <w:pStyle w:val="1"/>
        <w:spacing w:after="0" w:line="360" w:lineRule="auto"/>
        <w:ind w:left="0"/>
        <w:jc w:val="both"/>
        <w:rPr>
          <w:rFonts w:ascii="Times New Roman" w:hAnsi="Times New Roman"/>
          <w:sz w:val="28"/>
          <w:szCs w:val="28"/>
        </w:rPr>
      </w:pPr>
      <w:r w:rsidRPr="00F90B6B">
        <w:rPr>
          <w:rFonts w:ascii="Times New Roman" w:hAnsi="Times New Roman"/>
          <w:sz w:val="28"/>
          <w:szCs w:val="28"/>
        </w:rPr>
        <w:t>8.Лазіді К.Л., Рудик Ю.С</w:t>
      </w:r>
      <w:r w:rsidRPr="00F90B6B">
        <w:rPr>
          <w:rFonts w:ascii="Times New Roman" w:hAnsi="Times New Roman"/>
          <w:sz w:val="28"/>
          <w:szCs w:val="28"/>
          <w:shd w:val="clear" w:color="auto" w:fill="FFFFFF"/>
        </w:rPr>
        <w:t xml:space="preserve"> </w:t>
      </w:r>
      <w:r w:rsidRPr="00F90B6B">
        <w:rPr>
          <w:rFonts w:ascii="Times New Roman" w:hAnsi="Times New Roman"/>
          <w:sz w:val="28"/>
          <w:szCs w:val="28"/>
        </w:rPr>
        <w:t>Чи  впливає дисбаланс електролітів на розвиток ускладнень у пацієнтів з хронічною серцевою недостатністю? / К.Л. Лазіді, Ю.С.Рудик // Матеріали Всеукраїнської науково-практичної конференції молодих учених «Медична наука в практику охорони здоров я». 9 грудня  2016 р. Полтава. С. 39.</w:t>
      </w:r>
    </w:p>
    <w:p w:rsidR="00EF4063" w:rsidRPr="00F90B6B" w:rsidRDefault="00EF4063" w:rsidP="00F0048B">
      <w:pPr>
        <w:pStyle w:val="1"/>
        <w:widowControl w:val="0"/>
        <w:spacing w:after="0" w:line="360" w:lineRule="auto"/>
        <w:ind w:left="0"/>
        <w:jc w:val="both"/>
        <w:rPr>
          <w:rFonts w:ascii="Times New Roman" w:hAnsi="Times New Roman"/>
          <w:sz w:val="28"/>
          <w:szCs w:val="28"/>
        </w:rPr>
      </w:pPr>
      <w:r w:rsidRPr="00F90B6B">
        <w:rPr>
          <w:rFonts w:ascii="Times New Roman" w:hAnsi="Times New Roman"/>
          <w:sz w:val="28"/>
          <w:szCs w:val="28"/>
        </w:rPr>
        <w:t>9.Лазіді К.Л., Рудик Ю.С</w:t>
      </w:r>
      <w:r w:rsidRPr="00F90B6B">
        <w:rPr>
          <w:rFonts w:ascii="Times New Roman" w:hAnsi="Times New Roman"/>
          <w:sz w:val="28"/>
          <w:szCs w:val="28"/>
          <w:shd w:val="clear" w:color="auto" w:fill="FFFFFF"/>
        </w:rPr>
        <w:t xml:space="preserve"> </w:t>
      </w:r>
      <w:r w:rsidRPr="00F90B6B">
        <w:rPr>
          <w:rFonts w:ascii="Times New Roman" w:hAnsi="Times New Roman"/>
          <w:bCs/>
          <w:sz w:val="28"/>
          <w:szCs w:val="28"/>
          <w:shd w:val="clear" w:color="auto" w:fill="FFFFFF"/>
        </w:rPr>
        <w:t xml:space="preserve">Електролітні порушення  у пацієнтів з хронічною серцевою недостатністю зі збереженою фракцією викиду лівого шлуночка і супутнім ожирінням: чи  існує зв’язок? / </w:t>
      </w:r>
      <w:r w:rsidRPr="00F90B6B">
        <w:rPr>
          <w:rFonts w:ascii="Times New Roman" w:hAnsi="Times New Roman"/>
          <w:sz w:val="28"/>
          <w:szCs w:val="28"/>
        </w:rPr>
        <w:t>К.Л. Лазіді, Ю.С.Рудик // Матеріали міжнародної науково-практичної конференції «Світова медицина: сучасні тенденції та фактори розвитку». 27-28 січня 2017 р. Львів. С. 22-23.</w:t>
      </w:r>
    </w:p>
    <w:p w:rsidR="00EF4063" w:rsidRPr="00F90B6B" w:rsidRDefault="00EF4063" w:rsidP="00F0048B">
      <w:pPr>
        <w:pStyle w:val="1"/>
        <w:spacing w:after="0" w:line="360" w:lineRule="auto"/>
        <w:ind w:left="0"/>
        <w:jc w:val="both"/>
        <w:rPr>
          <w:rFonts w:ascii="Times New Roman" w:hAnsi="Times New Roman"/>
          <w:sz w:val="28"/>
          <w:szCs w:val="28"/>
        </w:rPr>
      </w:pPr>
      <w:r w:rsidRPr="00F90B6B">
        <w:rPr>
          <w:rFonts w:ascii="Times New Roman" w:hAnsi="Times New Roman"/>
          <w:sz w:val="28"/>
          <w:szCs w:val="28"/>
        </w:rPr>
        <w:t>10.Лазіді К.Л.</w:t>
      </w:r>
      <w:r w:rsidRPr="00F90B6B">
        <w:rPr>
          <w:rFonts w:ascii="Times New Roman" w:hAnsi="Times New Roman"/>
          <w:sz w:val="28"/>
          <w:szCs w:val="28"/>
          <w:shd w:val="clear" w:color="auto" w:fill="FFFFFF"/>
        </w:rPr>
        <w:t xml:space="preserve"> Гіпонатріємія у пацієнтів з хронічною серцевою недостатністю і супутнім ожирінням: чи змінюється прогноз? / </w:t>
      </w:r>
      <w:r w:rsidRPr="00F90B6B">
        <w:rPr>
          <w:rFonts w:ascii="Times New Roman" w:hAnsi="Times New Roman"/>
          <w:sz w:val="28"/>
          <w:szCs w:val="28"/>
        </w:rPr>
        <w:t>К.Л. Лазіді //</w:t>
      </w:r>
      <w:r w:rsidRPr="00F90B6B">
        <w:rPr>
          <w:rFonts w:ascii="Times New Roman" w:hAnsi="Times New Roman"/>
          <w:color w:val="339966"/>
          <w:sz w:val="28"/>
          <w:szCs w:val="28"/>
        </w:rPr>
        <w:t xml:space="preserve"> </w:t>
      </w:r>
      <w:r w:rsidRPr="00F90B6B">
        <w:rPr>
          <w:rFonts w:ascii="Times New Roman" w:hAnsi="Times New Roman"/>
          <w:bCs/>
          <w:sz w:val="28"/>
          <w:szCs w:val="28"/>
        </w:rPr>
        <w:t>Матеріали</w:t>
      </w:r>
      <w:r w:rsidRPr="00F90B6B">
        <w:rPr>
          <w:rFonts w:ascii="Times New Roman" w:hAnsi="Times New Roman"/>
          <w:sz w:val="28"/>
          <w:szCs w:val="28"/>
          <w:lang w:val="uz-Cyrl-UZ"/>
        </w:rPr>
        <w:t xml:space="preserve"> міжнародн</w:t>
      </w:r>
      <w:r w:rsidRPr="00F90B6B">
        <w:rPr>
          <w:rFonts w:ascii="Times New Roman" w:hAnsi="Times New Roman"/>
          <w:sz w:val="28"/>
          <w:szCs w:val="28"/>
        </w:rPr>
        <w:t>ої</w:t>
      </w:r>
      <w:r w:rsidRPr="00F90B6B">
        <w:rPr>
          <w:rFonts w:ascii="Times New Roman" w:hAnsi="Times New Roman"/>
          <w:sz w:val="28"/>
          <w:szCs w:val="28"/>
          <w:lang w:val="uz-Cyrl-UZ"/>
        </w:rPr>
        <w:t xml:space="preserve"> науково-практичн</w:t>
      </w:r>
      <w:r w:rsidRPr="00F90B6B">
        <w:rPr>
          <w:rFonts w:ascii="Times New Roman" w:hAnsi="Times New Roman"/>
          <w:sz w:val="28"/>
          <w:szCs w:val="28"/>
        </w:rPr>
        <w:t>ої</w:t>
      </w:r>
      <w:r w:rsidRPr="00F90B6B">
        <w:rPr>
          <w:rFonts w:ascii="Times New Roman" w:hAnsi="Times New Roman"/>
          <w:sz w:val="28"/>
          <w:szCs w:val="28"/>
          <w:lang w:val="uz-Cyrl-UZ"/>
        </w:rPr>
        <w:t xml:space="preserve"> конференці</w:t>
      </w:r>
      <w:r w:rsidRPr="00F90B6B">
        <w:rPr>
          <w:rFonts w:ascii="Times New Roman" w:hAnsi="Times New Roman"/>
          <w:sz w:val="28"/>
          <w:szCs w:val="28"/>
        </w:rPr>
        <w:t xml:space="preserve">ї </w:t>
      </w:r>
      <w:r w:rsidRPr="00F90B6B">
        <w:rPr>
          <w:rFonts w:ascii="Times New Roman" w:hAnsi="Times New Roman"/>
          <w:sz w:val="28"/>
          <w:szCs w:val="28"/>
          <w:lang w:val="uz-Cyrl-UZ"/>
        </w:rPr>
        <w:t>«Сучасні тенденції розвитку медичної науки та медичної практики»</w:t>
      </w:r>
      <w:r w:rsidRPr="00F90B6B">
        <w:rPr>
          <w:rFonts w:ascii="Times New Roman" w:hAnsi="Times New Roman"/>
          <w:sz w:val="28"/>
          <w:szCs w:val="28"/>
        </w:rPr>
        <w:t xml:space="preserve">. </w:t>
      </w:r>
      <w:r w:rsidRPr="00F90B6B">
        <w:rPr>
          <w:rFonts w:ascii="Times New Roman" w:hAnsi="Times New Roman"/>
          <w:sz w:val="28"/>
          <w:szCs w:val="28"/>
          <w:lang w:val="uz-Cyrl-UZ"/>
        </w:rPr>
        <w:t>22-23 грудня 2017 р</w:t>
      </w:r>
      <w:r w:rsidRPr="00F90B6B">
        <w:rPr>
          <w:rFonts w:ascii="Times New Roman" w:hAnsi="Times New Roman"/>
          <w:sz w:val="28"/>
          <w:szCs w:val="28"/>
        </w:rPr>
        <w:t xml:space="preserve">. </w:t>
      </w:r>
      <w:r w:rsidRPr="00F90B6B">
        <w:rPr>
          <w:rFonts w:ascii="Times New Roman" w:hAnsi="Times New Roman"/>
          <w:sz w:val="28"/>
          <w:szCs w:val="28"/>
          <w:lang w:val="uz-Cyrl-UZ"/>
        </w:rPr>
        <w:t>Львів</w:t>
      </w:r>
      <w:r w:rsidRPr="00F90B6B">
        <w:rPr>
          <w:rFonts w:ascii="Times New Roman" w:hAnsi="Times New Roman"/>
          <w:sz w:val="28"/>
          <w:szCs w:val="28"/>
        </w:rPr>
        <w:t>. С. 23.</w:t>
      </w:r>
    </w:p>
    <w:p w:rsidR="00EF4063" w:rsidRPr="00F90B6B" w:rsidRDefault="00EF4063" w:rsidP="00F0048B">
      <w:pPr>
        <w:pStyle w:val="1"/>
        <w:widowControl w:val="0"/>
        <w:spacing w:after="0" w:line="360" w:lineRule="auto"/>
        <w:ind w:left="0"/>
        <w:jc w:val="both"/>
        <w:rPr>
          <w:rFonts w:ascii="Times New Roman" w:hAnsi="Times New Roman"/>
          <w:bCs/>
          <w:iCs/>
          <w:sz w:val="28"/>
          <w:szCs w:val="28"/>
        </w:rPr>
      </w:pPr>
      <w:r w:rsidRPr="00F90B6B">
        <w:rPr>
          <w:rFonts w:ascii="Times New Roman" w:hAnsi="Times New Roman"/>
          <w:sz w:val="28"/>
          <w:szCs w:val="28"/>
        </w:rPr>
        <w:t>11.Лазиди Е.Л., Рудык Ю.С</w:t>
      </w:r>
      <w:r w:rsidRPr="00F90B6B">
        <w:rPr>
          <w:rFonts w:ascii="Times New Roman" w:hAnsi="Times New Roman"/>
          <w:sz w:val="28"/>
          <w:szCs w:val="28"/>
          <w:shd w:val="clear" w:color="auto" w:fill="FFFFFF"/>
        </w:rPr>
        <w:t xml:space="preserve">  Гипонатриемия у пациентов с хронической сердечной недостаточностью и сохраненной фракцией выброса левого желудочка </w:t>
      </w:r>
      <w:r w:rsidRPr="00F90B6B">
        <w:rPr>
          <w:rFonts w:ascii="Times New Roman" w:hAnsi="Times New Roman"/>
          <w:b/>
        </w:rPr>
        <w:t xml:space="preserve">/ </w:t>
      </w:r>
      <w:r w:rsidRPr="00F90B6B">
        <w:rPr>
          <w:rFonts w:ascii="Times New Roman" w:hAnsi="Times New Roman"/>
          <w:sz w:val="28"/>
          <w:szCs w:val="28"/>
        </w:rPr>
        <w:t>Е.Л. Лазиди, Ю.С.Рудык</w:t>
      </w:r>
      <w:r w:rsidRPr="00F90B6B">
        <w:rPr>
          <w:rFonts w:ascii="Times New Roman" w:hAnsi="Times New Roman"/>
          <w:color w:val="339966"/>
          <w:sz w:val="28"/>
          <w:szCs w:val="28"/>
        </w:rPr>
        <w:t xml:space="preserve"> // </w:t>
      </w:r>
      <w:r w:rsidRPr="00F90B6B">
        <w:rPr>
          <w:rFonts w:ascii="Times New Roman" w:hAnsi="Times New Roman"/>
          <w:bCs/>
          <w:sz w:val="28"/>
          <w:szCs w:val="28"/>
        </w:rPr>
        <w:t>Матеріали</w:t>
      </w:r>
      <w:r w:rsidRPr="00F90B6B">
        <w:rPr>
          <w:rFonts w:ascii="Times New Roman" w:hAnsi="Times New Roman"/>
          <w:b/>
        </w:rPr>
        <w:t xml:space="preserve"> </w:t>
      </w:r>
      <w:r w:rsidRPr="00F90B6B">
        <w:rPr>
          <w:rFonts w:ascii="Times New Roman" w:hAnsi="Times New Roman"/>
          <w:sz w:val="28"/>
          <w:szCs w:val="28"/>
        </w:rPr>
        <w:t xml:space="preserve">науково-практичноъ конференції молодих вчених з </w:t>
      </w:r>
      <w:r w:rsidRPr="00F90B6B">
        <w:rPr>
          <w:rFonts w:ascii="Times New Roman" w:hAnsi="Times New Roman"/>
          <w:sz w:val="28"/>
          <w:szCs w:val="28"/>
        </w:rPr>
        <w:lastRenderedPageBreak/>
        <w:t xml:space="preserve">міжнародною участю присвяченої 25-річному ювілею НАМН України та  Дню науки «Профілактична медицина сьогодні:внесок молодих спеціалістів». </w:t>
      </w:r>
      <w:r w:rsidRPr="00F90B6B">
        <w:rPr>
          <w:rFonts w:ascii="Times New Roman" w:hAnsi="Times New Roman"/>
          <w:bCs/>
          <w:iCs/>
          <w:sz w:val="28"/>
          <w:szCs w:val="28"/>
        </w:rPr>
        <w:t>24 травня 2018 р. Харків. С. 33.</w:t>
      </w:r>
    </w:p>
    <w:p w:rsidR="00EF4063" w:rsidRPr="00F90B6B" w:rsidRDefault="00EF4063" w:rsidP="00F0048B">
      <w:pPr>
        <w:pStyle w:val="1"/>
        <w:spacing w:after="0" w:line="360" w:lineRule="auto"/>
        <w:ind w:left="0"/>
        <w:jc w:val="both"/>
        <w:rPr>
          <w:rFonts w:ascii="Times New Roman" w:hAnsi="Times New Roman"/>
          <w:bCs/>
          <w:color w:val="000080"/>
        </w:rPr>
      </w:pPr>
      <w:r w:rsidRPr="00F90B6B">
        <w:rPr>
          <w:rFonts w:ascii="Times New Roman" w:hAnsi="Times New Roman"/>
          <w:sz w:val="28"/>
          <w:szCs w:val="28"/>
        </w:rPr>
        <w:t>12.Лазиди Е.Л., Рудык Ю.С. Встречаемость гипонатриемии у пациентов с хронической сердечной недостаточностью и сохраненной фракцией выброса левого желудочка / Е.Л. Лазиди, Ю.С. Рудык //</w:t>
      </w:r>
      <w:r w:rsidRPr="00F90B6B">
        <w:rPr>
          <w:rFonts w:ascii="Times New Roman" w:hAnsi="Times New Roman"/>
          <w:color w:val="339966"/>
          <w:sz w:val="28"/>
          <w:szCs w:val="28"/>
        </w:rPr>
        <w:t xml:space="preserve"> </w:t>
      </w:r>
      <w:r w:rsidRPr="00F90B6B">
        <w:rPr>
          <w:rFonts w:ascii="Times New Roman" w:hAnsi="Times New Roman"/>
          <w:sz w:val="28"/>
          <w:szCs w:val="28"/>
        </w:rPr>
        <w:t>Матеріали</w:t>
      </w:r>
      <w:r w:rsidRPr="00F90B6B">
        <w:rPr>
          <w:rFonts w:ascii="Times New Roman" w:hAnsi="Times New Roman"/>
          <w:bCs/>
          <w:color w:val="000080"/>
        </w:rPr>
        <w:t xml:space="preserve"> </w:t>
      </w:r>
      <w:r w:rsidRPr="00F90B6B">
        <w:rPr>
          <w:rFonts w:ascii="Times New Roman" w:hAnsi="Times New Roman"/>
          <w:bCs/>
          <w:iCs/>
          <w:sz w:val="28"/>
          <w:szCs w:val="28"/>
        </w:rPr>
        <w:t>Х</w:t>
      </w:r>
      <w:r w:rsidRPr="00F90B6B">
        <w:rPr>
          <w:rFonts w:ascii="Times New Roman" w:hAnsi="Times New Roman"/>
          <w:bCs/>
          <w:iCs/>
          <w:sz w:val="28"/>
          <w:szCs w:val="28"/>
          <w:lang w:val="en-US"/>
        </w:rPr>
        <w:t>I</w:t>
      </w:r>
      <w:r w:rsidRPr="00F90B6B">
        <w:rPr>
          <w:rFonts w:ascii="Times New Roman" w:hAnsi="Times New Roman"/>
          <w:bCs/>
          <w:iCs/>
          <w:sz w:val="28"/>
          <w:szCs w:val="28"/>
        </w:rPr>
        <w:t>Х національного конгресу кардіологів України. 26-28 вересня 2018 р. Київ. С. 166.</w:t>
      </w:r>
    </w:p>
    <w:p w:rsidR="00EF4063" w:rsidRPr="00F90B6B" w:rsidRDefault="00EF4063" w:rsidP="00F0048B">
      <w:pPr>
        <w:spacing w:after="0" w:line="360" w:lineRule="auto"/>
        <w:ind w:firstLine="709"/>
        <w:jc w:val="both"/>
        <w:rPr>
          <w:rFonts w:ascii="Times New Roman" w:hAnsi="Times New Roman"/>
          <w:i/>
          <w:sz w:val="28"/>
          <w:szCs w:val="28"/>
        </w:rPr>
      </w:pPr>
    </w:p>
    <w:p w:rsidR="00EF4063" w:rsidRPr="007F242B" w:rsidRDefault="00EF4063" w:rsidP="00F0048B">
      <w:pPr>
        <w:spacing w:line="360" w:lineRule="auto"/>
        <w:jc w:val="center"/>
        <w:rPr>
          <w:rFonts w:ascii="Times New Roman" w:hAnsi="Times New Roman"/>
          <w:sz w:val="28"/>
          <w:szCs w:val="28"/>
        </w:rPr>
      </w:pPr>
      <w:r w:rsidRPr="00F90B6B">
        <w:rPr>
          <w:rFonts w:ascii="Times New Roman" w:hAnsi="Times New Roman"/>
          <w:sz w:val="28"/>
          <w:szCs w:val="28"/>
          <w:lang w:eastAsia="uk-UA"/>
        </w:rPr>
        <w:br w:type="page"/>
      </w:r>
      <w:r w:rsidRPr="007F242B">
        <w:rPr>
          <w:rFonts w:ascii="Times New Roman" w:hAnsi="Times New Roman"/>
          <w:sz w:val="28"/>
          <w:szCs w:val="28"/>
        </w:rPr>
        <w:lastRenderedPageBreak/>
        <w:t>РОЗДІЛ 4</w:t>
      </w:r>
    </w:p>
    <w:p w:rsidR="00EF4063" w:rsidRPr="007F242B" w:rsidRDefault="00EF4063" w:rsidP="00F0048B">
      <w:pPr>
        <w:spacing w:after="0" w:line="360" w:lineRule="auto"/>
        <w:jc w:val="center"/>
        <w:rPr>
          <w:rFonts w:ascii="Times New Roman" w:hAnsi="Times New Roman"/>
          <w:sz w:val="28"/>
          <w:szCs w:val="28"/>
        </w:rPr>
      </w:pPr>
      <w:r w:rsidRPr="007F242B">
        <w:rPr>
          <w:rFonts w:ascii="Times New Roman" w:hAnsi="Times New Roman"/>
          <w:sz w:val="28"/>
          <w:szCs w:val="28"/>
        </w:rPr>
        <w:t>АНАЛІЗ ТА УЗАГАЛЬНЕННЯ ОТРИМАНИХ РЕЗУЛЬТАТІВ</w:t>
      </w:r>
    </w:p>
    <w:p w:rsidR="00EF4063" w:rsidRPr="00F90B6B" w:rsidRDefault="00EF4063" w:rsidP="00F0048B">
      <w:pPr>
        <w:spacing w:after="0" w:line="360" w:lineRule="auto"/>
        <w:ind w:firstLine="709"/>
        <w:jc w:val="center"/>
        <w:rPr>
          <w:rFonts w:ascii="Times New Roman" w:hAnsi="Times New Roman"/>
          <w:b/>
          <w:sz w:val="28"/>
          <w:szCs w:val="28"/>
        </w:rPr>
      </w:pP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Хронічна серцева недостатність (ХСН) – один з патологічних станів серцево-судинної системи з вкрай несприятливим прогнозом.</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 темпами зростання захворюваності ХСН посідає першу сходинку серед усієї серцево-судинної патології. У наш час на ХСН страждає в середньому 1-3% населення земної кулі [</w:t>
      </w:r>
      <w:r w:rsidRPr="00F90B6B">
        <w:rPr>
          <w:rFonts w:ascii="Times New Roman" w:hAnsi="Times New Roman"/>
          <w:sz w:val="28"/>
          <w:szCs w:val="28"/>
          <w:lang w:val="ru-RU"/>
        </w:rPr>
        <w:t>185</w:t>
      </w:r>
      <w:r w:rsidRPr="00F90B6B">
        <w:rPr>
          <w:rFonts w:ascii="Times New Roman" w:hAnsi="Times New Roman"/>
          <w:sz w:val="28"/>
          <w:szCs w:val="28"/>
        </w:rPr>
        <w:t>]. За даними національних реєстрів країн Європи поширеність цього синдрому становить 1-9%, частота його зростає з віком і після 65 років досягає 10-28%.</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Дані про поширеність ХСН у різних країнах істотно відрізняються, оскільки одержані за допомогою окремих епідеміологічних та клінічних обстежень з використанням різних методичних підходів та діагностичних критеріїв [155, 157]. Комплексних популяційних досліджень на підставі репрезентативного матеріалу з додержанням стандартизації методів, що застосовуються, в Україні до цього часу не проводили.</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 даними на 2014 р 2,1 млрд населення планети мають надлишкову масу тіла, в тому числі 671 млн - ожиріння. За останні три десятиліття поширеність надлишкової маси тіла та ожиріння в світі зросла на 27,5%</w:t>
      </w:r>
      <w:r w:rsidRPr="00F90B6B">
        <w:rPr>
          <w:rFonts w:ascii="Times New Roman" w:hAnsi="Times New Roman"/>
          <w:sz w:val="28"/>
          <w:szCs w:val="28"/>
          <w:lang w:val="ru-RU"/>
        </w:rPr>
        <w:t xml:space="preserve"> [28, 228]</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 урахуванням великої кількості досліджень, існує постійний пошук клініко-прогностичних факторів, які можуть сприяти покращенню субклінічної або клінічної діагностики серцево-судинних захворювань. Використання електролітів (особливо рівня натрію в сироватці крові) є найбільш простим методом та може змінити прогноз при серцевій недостатності. Знижений рівень натрію та підвищений рівень </w:t>
      </w:r>
      <w:r w:rsidR="007E797D">
        <w:rPr>
          <w:rFonts w:ascii="Times New Roman" w:hAnsi="Times New Roman"/>
          <w:sz w:val="28"/>
          <w:szCs w:val="28"/>
          <w:lang w:val="en-US"/>
        </w:rPr>
        <w:t>N</w:t>
      </w:r>
      <w:r w:rsidR="007E797D" w:rsidRPr="007E797D">
        <w:rPr>
          <w:rFonts w:ascii="Times New Roman" w:hAnsi="Times New Roman"/>
          <w:sz w:val="28"/>
          <w:szCs w:val="28"/>
        </w:rPr>
        <w:t>Т</w:t>
      </w:r>
      <w:r w:rsidRPr="00F90B6B">
        <w:rPr>
          <w:rFonts w:ascii="Times New Roman" w:hAnsi="Times New Roman"/>
          <w:sz w:val="28"/>
          <w:szCs w:val="28"/>
          <w:lang w:val="en-US"/>
        </w:rPr>
        <w:t>proBNP</w:t>
      </w:r>
      <w:r w:rsidRPr="00F90B6B">
        <w:rPr>
          <w:rFonts w:ascii="Times New Roman" w:hAnsi="Times New Roman"/>
          <w:sz w:val="28"/>
          <w:szCs w:val="28"/>
        </w:rPr>
        <w:t xml:space="preserve"> пов’язані з несприятливим прогнозом, відображають важкий перебіг захворювання, можуть бути незалежними предикторами ускладненого перебігу та смертності таких хворих [46, 163, 184].</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Тому метою даного дисертаційного дослідження було провести оцінку клініко-прогностичного значення гіпонатріємії та рівня </w:t>
      </w:r>
      <w:r w:rsidR="00021D22">
        <w:rPr>
          <w:rFonts w:ascii="Times New Roman" w:hAnsi="Times New Roman"/>
          <w:sz w:val="28"/>
          <w:szCs w:val="28"/>
          <w:lang w:val="en-US"/>
        </w:rPr>
        <w:t>N</w:t>
      </w:r>
      <w:r w:rsidR="000A2895" w:rsidRPr="000A2895">
        <w:rPr>
          <w:rFonts w:ascii="Times New Roman" w:hAnsi="Times New Roman"/>
          <w:sz w:val="28"/>
          <w:szCs w:val="28"/>
        </w:rPr>
        <w:t>Т</w:t>
      </w:r>
      <w:r w:rsidRPr="00F90B6B">
        <w:rPr>
          <w:rFonts w:ascii="Times New Roman" w:hAnsi="Times New Roman"/>
          <w:sz w:val="28"/>
          <w:szCs w:val="28"/>
          <w:lang w:val="en-US"/>
        </w:rPr>
        <w:t>proBNP</w:t>
      </w:r>
      <w:r w:rsidRPr="00F90B6B">
        <w:rPr>
          <w:rFonts w:ascii="Times New Roman" w:hAnsi="Times New Roman"/>
          <w:sz w:val="28"/>
          <w:szCs w:val="28"/>
        </w:rPr>
        <w:t xml:space="preserve"> у пацієнтів з </w:t>
      </w:r>
      <w:r w:rsidRPr="00F90B6B">
        <w:rPr>
          <w:rFonts w:ascii="Times New Roman" w:hAnsi="Times New Roman"/>
          <w:sz w:val="28"/>
          <w:szCs w:val="28"/>
        </w:rPr>
        <w:lastRenderedPageBreak/>
        <w:t>хронічною серцевою недостатністю зі збереженою фракцією викиду лівого шлуночка на фоні супутнього ожиріння.</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Для досягнення даної мети було проведено 2 види клінічних досліджень.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Перший вид дослідження включав у себе проспективне клінічне спостереження за </w:t>
      </w:r>
      <w:r w:rsidR="008C1B4E">
        <w:rPr>
          <w:rFonts w:ascii="Times New Roman" w:hAnsi="Times New Roman"/>
          <w:sz w:val="28"/>
          <w:szCs w:val="28"/>
        </w:rPr>
        <w:t>176 особами, з них 146 хворих з хронічною серцевою недостатністю</w:t>
      </w:r>
      <w:r w:rsidRPr="00F90B6B">
        <w:rPr>
          <w:rFonts w:ascii="Times New Roman" w:hAnsi="Times New Roman"/>
          <w:sz w:val="28"/>
          <w:szCs w:val="28"/>
        </w:rPr>
        <w:t xml:space="preserve"> та 30 практично здорових осіб. На початку дослідження всім хворим проводились клінічні (детальний збір скарг, анамнезу, ретельне об`єктивне обстеження), функціональні (електрокардіографія, ЕхоКГ), лабораторні (загальноклінічне, біохімічне, аналіз рівня натрію та калію) та імуноферментнеі дослідження (вміст натрійуретичного пептиду та альдостерону). </w:t>
      </w:r>
    </w:p>
    <w:p w:rsidR="00EF4063" w:rsidRPr="00F90B6B" w:rsidRDefault="00EF4063" w:rsidP="00F0048B">
      <w:pPr>
        <w:spacing w:after="0" w:line="360" w:lineRule="auto"/>
        <w:ind w:firstLine="709"/>
        <w:jc w:val="both"/>
        <w:rPr>
          <w:rFonts w:ascii="Times New Roman" w:hAnsi="Times New Roman"/>
          <w:spacing w:val="-6"/>
          <w:sz w:val="28"/>
          <w:szCs w:val="28"/>
        </w:rPr>
      </w:pPr>
      <w:r w:rsidRPr="00F90B6B">
        <w:rPr>
          <w:rFonts w:ascii="Times New Roman" w:hAnsi="Times New Roman"/>
          <w:sz w:val="28"/>
          <w:szCs w:val="28"/>
          <w:lang w:eastAsia="ru-RU"/>
        </w:rPr>
        <w:t xml:space="preserve">При включенні в дослідження проводилась клінічна оцінка пацієнтів: стать, вік, наявність супутніх захворювань кардіологічного та некардіологічного профілю. </w:t>
      </w:r>
      <w:r w:rsidRPr="00F90B6B">
        <w:rPr>
          <w:rFonts w:ascii="Times New Roman" w:hAnsi="Times New Roman"/>
          <w:sz w:val="28"/>
          <w:szCs w:val="28"/>
        </w:rPr>
        <w:t xml:space="preserve">За результатами клінічного спостереження, характером перебігу, даними клініко-функціональних та лабораторних обстежень хворі, що були включені в проспективне дослідження, були розподілені на групи: </w:t>
      </w:r>
      <w:r w:rsidRPr="00F90B6B">
        <w:rPr>
          <w:rFonts w:ascii="Times New Roman" w:hAnsi="Times New Roman"/>
          <w:spacing w:val="-6"/>
          <w:sz w:val="28"/>
          <w:szCs w:val="28"/>
        </w:rPr>
        <w:t xml:space="preserve">1 група - хворі з ХСН зі ЗВФЛШ та нормальною вагою включено (40 осіб, 27,4%),  2 група - хворі   з ХСН зі ЗФВЛШ та надлишковою вагою – 35 осіб (24,0%),  3 група – хворі з ХСН зі ЗФВЛШ та ожирінням – 71особа (48,6%).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 метою дослідження стану ремоделювання міокарда, наявності систолічної або діастолічної дисфункції проводились ЕхоКГ, доповнена кольоровою доплерометрією (у 146 хворих та 30 особам контрольної групи – 100%).</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Загальноклінічні лабораторні обстеження, проведені всім 146 хворим та всім 30 особам контрольної групи.</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Аналіз маркерів серцевої недостатності проведений в наступному обсязі: рівень пронатрійуретичного пептиду досліджений у 146 хворих, альдостерону – у 90, вміст іонів калію та натрію в сироватці у 146 пацієнтів.</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Всі хворі з ХСН та супутнім ожирінням, а також хворі з ХСН та нормальною вагою на тлі гіпонатріємії получали стандартну терапію, згідно діючих рекомендацій.</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Загальна тривалість періоду контрольованого спостереження складала 12 місяців. Обстеження проводились перед початком дослідження та в кінці.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Усі параметри, що вивчалися, були внесені до статистичної бази даних зі збереженням принципу конфіденційності персональних даних пацієнтів.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Другий вид досліджень – ретроспективний, який проводилось шляхом аналізу лікування 217 історій хвороб пацієнтів з хронічною серцевою недостатністю, що впродовж 2010 - 2015 років знаходились на стаціонарному лікуванні в ДУ «Національний інститут терапії ім. Л. Т. Малої НАМН України» (м. Харків) з метою оцінки клінічних наслідків перебігу та взаємообтяження хронічної серцевої недостатності, ожиріння, а також ролі гіпонатріємії. </w:t>
      </w:r>
    </w:p>
    <w:p w:rsidR="00EF4063" w:rsidRPr="00F90B6B" w:rsidRDefault="00EF4063" w:rsidP="00F0048B">
      <w:pPr>
        <w:tabs>
          <w:tab w:val="left" w:pos="426"/>
          <w:tab w:val="left" w:pos="1069"/>
        </w:tabs>
        <w:spacing w:after="0" w:line="360" w:lineRule="auto"/>
        <w:ind w:firstLine="709"/>
        <w:jc w:val="both"/>
        <w:rPr>
          <w:rFonts w:ascii="Times New Roman" w:hAnsi="Times New Roman"/>
          <w:sz w:val="28"/>
          <w:szCs w:val="28"/>
        </w:rPr>
      </w:pPr>
      <w:r w:rsidRPr="00F90B6B">
        <w:rPr>
          <w:rFonts w:ascii="Times New Roman" w:hAnsi="Times New Roman"/>
          <w:sz w:val="28"/>
          <w:szCs w:val="28"/>
        </w:rPr>
        <w:t>Критерії включення: хронічна серцева недостатність ІІ-І</w:t>
      </w:r>
      <w:r w:rsidRPr="00F90B6B">
        <w:rPr>
          <w:rFonts w:ascii="Times New Roman" w:hAnsi="Times New Roman"/>
          <w:sz w:val="28"/>
          <w:szCs w:val="28"/>
          <w:lang w:val="en-US"/>
        </w:rPr>
        <w:t>V</w:t>
      </w:r>
      <w:r w:rsidRPr="00F90B6B">
        <w:rPr>
          <w:rFonts w:ascii="Times New Roman" w:hAnsi="Times New Roman"/>
          <w:sz w:val="28"/>
          <w:szCs w:val="28"/>
        </w:rPr>
        <w:t xml:space="preserve"> функціональних класів за </w:t>
      </w:r>
      <w:r w:rsidRPr="00F90B6B">
        <w:rPr>
          <w:rFonts w:ascii="Times New Roman" w:hAnsi="Times New Roman"/>
          <w:sz w:val="28"/>
          <w:szCs w:val="28"/>
          <w:lang w:val="en-US"/>
        </w:rPr>
        <w:t>NYHA</w:t>
      </w:r>
      <w:r w:rsidRPr="00F90B6B">
        <w:rPr>
          <w:rFonts w:ascii="Times New Roman" w:hAnsi="Times New Roman"/>
          <w:sz w:val="28"/>
          <w:szCs w:val="28"/>
        </w:rPr>
        <w:t>, в ряді випадків - поєднання ХСН з гіпонатріємією, поєднання ХСН з підвищеною вагою тіла та ожирінням, проживання на території м. Харкова та Харківської області.</w:t>
      </w:r>
    </w:p>
    <w:p w:rsidR="00EF4063" w:rsidRPr="00F90B6B" w:rsidRDefault="00EF4063" w:rsidP="00F0048B">
      <w:pPr>
        <w:tabs>
          <w:tab w:val="left" w:pos="426"/>
          <w:tab w:val="left" w:pos="1069"/>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Первинна мета дослідження містила в себе вивчення кінцевих сурогатних точок, а саме – кардіальної летальності, виникнення гострого коронарного синдрому та гострого інфаркту міокарда у хворих з ХСН та гіпонатріємією.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Першим завданням дисертаційної роботи було проаналізувати поширеність та фактори, асоційовані з гіпонатріємією, у хворих з хронічною серцевою недостатністю зі збереженою фракцією викиду лівого шлуночка.</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Було верифіковано, що поширеність гіпонатріємії у хворих з ХСН становить 27,8%. Немодифікуемими факторами, асоційованими з гіпонатріємією у хворих з ХСН є жіноча стать (29,8%), вік більше 65 років (34,2%). Серед клінічних факторів, що модифікуються, характерною особливістю було наявність асоціації гіпонатріємії з надлишковою вагою та ожирінням. При нижчому рівні натрію верифіковано більшу вагу пацієнта (р&lt;0,05), більший ІМТ (р&lt;0,05), окружність талії (р&lt;0,05) та співвідношення розміру талії/стегна (р&lt;0,05). </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 xml:space="preserve">Подібне дослідження проведено в роботі Щекочихіна Д. Ю. та співав. у вигляді проспективного спостереження. У хворих враховувалися демографічні дані, вираженість набрякового синдрому, генез ХСН, артеріальний тиск та ЧСС, </w:t>
      </w:r>
      <w:r w:rsidRPr="00F90B6B">
        <w:rPr>
          <w:sz w:val="28"/>
          <w:szCs w:val="28"/>
        </w:rPr>
        <w:lastRenderedPageBreak/>
        <w:t>наявність фібриляції передсердь, параметри стандартного ехокардіографічного обстеження, значення креатиніну сироватки і натрію крові при надходженні та в динаміці. За даними цієї роботи, догоспітальна гіпонатріємія при госпіталізації з приводу декомпенсації ХСН, виявляється у 13,0% пацієнтів, середній рівень натрію у цих пацієнтів складає близько 132,5 ммоль/л. Внутрішньогоспітальна - у 9,6% пацієнтів, середній рівень натрію складає 132,4 ммоль/л. При чому, за аналізу клінічних характеристик обстежених груп виявлено більш важкі порушення гемодинаміки у хворих з обома варіантами гіпонатріємії в порівнянні з пацієнтами з нормальними значеннями натрію крові [17, 18].</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нашій роботі, серед супутніх станів, асоційованих з гіпонатріємією, частота верифікації артеріальної гіпертензії становила 71,4%, що було вище, ніж при нормонатріємії (60,9%). Виявлено більшу частоту асоціації фібриляції передсердь з гіпонатріємією (18,4%) проти станів з нормальним (6,7%) рівнем натрію (13,6%); більшу частоту цукрового діабету - 24,5% проти 15,2%.</w:t>
      </w:r>
    </w:p>
    <w:p w:rsidR="00EF4063" w:rsidRPr="00F90B6B" w:rsidRDefault="00EF4063" w:rsidP="00F0048B">
      <w:pPr>
        <w:pStyle w:val="a3"/>
        <w:spacing w:before="0" w:beforeAutospacing="0" w:after="0" w:afterAutospacing="0" w:line="360" w:lineRule="auto"/>
        <w:ind w:firstLine="709"/>
        <w:jc w:val="both"/>
        <w:rPr>
          <w:sz w:val="28"/>
          <w:szCs w:val="28"/>
        </w:rPr>
      </w:pPr>
      <w:r w:rsidRPr="00F90B6B">
        <w:rPr>
          <w:sz w:val="28"/>
          <w:szCs w:val="28"/>
        </w:rPr>
        <w:t>У подібній роботі середній вік пацієнтів з гіпонатріємією склав 72,7 років, серед них - жінки 52% всієї вибірки. Практично у двох третин хворих відзначалася фібриляція передсердь [17, 18].</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нашому дослідженні частота асоціації анемічного синдрому та гіпонатріємії становила 40,8% проти 30,5% у пацієнтів з нормонатріємією. Подібних досліджень, присвячених асоціації гіпонатріємії та анемічного синдрому ми не знайшли, проте існує значна кількість робіт, що підтверджують несприятливий перебіг ХСН при низькому рівні гемоглобіну.</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Зокрема, за даними багатоцентрових клінічних досліджень та за даними різних авторів серед пацієнтів з ХСН анемія відзначається у 14,4-27,6% випадків. Зустрічальність анемії зростає зі збільшенням функціонального класу серцевої недостатності, досягаючи від 19% при I до 79,1% при IV ФК. Зі збільшенням функціонального класу ХСН відзначається збільшення частки осіб з анемією практично в 2 рази від I до IV класу </w:t>
      </w:r>
      <w:r w:rsidRPr="00F90B6B">
        <w:rPr>
          <w:rFonts w:ascii="Times New Roman" w:hAnsi="Times New Roman"/>
          <w:sz w:val="28"/>
          <w:szCs w:val="28"/>
          <w:lang w:val="ru-RU"/>
        </w:rPr>
        <w:t>[24]</w:t>
      </w:r>
      <w:r w:rsidRPr="00F90B6B">
        <w:rPr>
          <w:rFonts w:ascii="Times New Roman" w:hAnsi="Times New Roman"/>
          <w:sz w:val="28"/>
          <w:szCs w:val="28"/>
        </w:rPr>
        <w:t xml:space="preserve">. </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Для компенсації анемії включаються гемодинамічні і негемодинамічні фактори [</w:t>
      </w:r>
      <w:r w:rsidRPr="00F90B6B">
        <w:rPr>
          <w:rFonts w:ascii="Times New Roman" w:hAnsi="Times New Roman"/>
          <w:sz w:val="28"/>
          <w:szCs w:val="28"/>
          <w:lang w:val="ru-RU"/>
        </w:rPr>
        <w:t>65, 121, 146, 151</w:t>
      </w:r>
      <w:r w:rsidRPr="00F90B6B">
        <w:rPr>
          <w:rFonts w:ascii="Times New Roman" w:hAnsi="Times New Roman"/>
          <w:sz w:val="28"/>
          <w:szCs w:val="28"/>
        </w:rPr>
        <w:t xml:space="preserve">]. До негемодинамічних відносяться підвищення продукції </w:t>
      </w:r>
      <w:r w:rsidRPr="00F90B6B">
        <w:rPr>
          <w:rFonts w:ascii="Times New Roman" w:hAnsi="Times New Roman"/>
          <w:sz w:val="28"/>
          <w:szCs w:val="28"/>
        </w:rPr>
        <w:lastRenderedPageBreak/>
        <w:t>еритропоетину для стимуляції еритропоезу, збільшення екстракції кисню з гемоглобіну. Гемодинамічні фактори забезпечуються зміною параметрів серцево-судинної системи. Основний фактор компенсації - збільшення серцевого викиду, що супроводжується зниженням постнавантаження, збільшенням переднавантаження, позитивними хроно- та інотропним ефектами [68, 101].</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 нашому дослідженні зміни ліпідного гомеостазу у пацієнтів з ХСН та гіпонатріємією характеризувались порушенням ліпідного профілю за рахунок вірогідного підвищення вмісту проатерогенної фракції ліпопротеїдів дуже низької щільності (ЛПДНЩ, </w:t>
      </w:r>
      <w:r w:rsidRPr="00F90B6B">
        <w:rPr>
          <w:rFonts w:ascii="Times New Roman" w:hAnsi="Times New Roman"/>
          <w:sz w:val="28"/>
          <w:szCs w:val="28"/>
          <w:lang w:val="en-US"/>
        </w:rPr>
        <w:t>p</w:t>
      </w:r>
      <w:r w:rsidRPr="00F90B6B">
        <w:rPr>
          <w:rFonts w:ascii="Times New Roman" w:hAnsi="Times New Roman"/>
          <w:sz w:val="28"/>
          <w:szCs w:val="28"/>
        </w:rPr>
        <w:t xml:space="preserve">&lt;0,05), зниження антиатерогенної фракції ліпопротеїдів високої щільності (ЛПВЩ, </w:t>
      </w:r>
      <w:r w:rsidRPr="00F90B6B">
        <w:rPr>
          <w:rFonts w:ascii="Times New Roman" w:hAnsi="Times New Roman"/>
          <w:sz w:val="28"/>
          <w:szCs w:val="28"/>
          <w:lang w:val="en-US"/>
        </w:rPr>
        <w:t>p</w:t>
      </w:r>
      <w:r w:rsidRPr="00F90B6B">
        <w:rPr>
          <w:rFonts w:ascii="Times New Roman" w:hAnsi="Times New Roman"/>
          <w:sz w:val="28"/>
          <w:szCs w:val="28"/>
        </w:rPr>
        <w:t>&lt;0,05), а також збільшенням вмісту тригліцеридів (</w:t>
      </w:r>
      <w:r w:rsidRPr="00F90B6B">
        <w:rPr>
          <w:rFonts w:ascii="Times New Roman" w:hAnsi="Times New Roman"/>
          <w:sz w:val="28"/>
          <w:szCs w:val="28"/>
          <w:lang w:val="en-US"/>
        </w:rPr>
        <w:t>p</w:t>
      </w:r>
      <w:r w:rsidRPr="00F90B6B">
        <w:rPr>
          <w:rFonts w:ascii="Times New Roman" w:hAnsi="Times New Roman"/>
          <w:sz w:val="28"/>
          <w:szCs w:val="28"/>
        </w:rPr>
        <w:t>&lt;0,05). Також встановлено негативний зв’язок відносно рівня натрію та тригліцеридів (</w:t>
      </w:r>
      <w:r w:rsidRPr="00F90B6B">
        <w:rPr>
          <w:rFonts w:ascii="Times New Roman" w:hAnsi="Times New Roman"/>
          <w:sz w:val="28"/>
          <w:szCs w:val="28"/>
          <w:lang w:val="en-US"/>
        </w:rPr>
        <w:t>r</w:t>
      </w:r>
      <w:r w:rsidRPr="00F90B6B">
        <w:rPr>
          <w:rFonts w:ascii="Times New Roman" w:hAnsi="Times New Roman"/>
          <w:sz w:val="28"/>
          <w:szCs w:val="28"/>
        </w:rPr>
        <w:t xml:space="preserve">=-0,27, </w:t>
      </w:r>
      <w:r w:rsidRPr="00F90B6B">
        <w:rPr>
          <w:rFonts w:ascii="Times New Roman" w:hAnsi="Times New Roman"/>
          <w:sz w:val="28"/>
          <w:szCs w:val="28"/>
          <w:lang w:val="en-US"/>
        </w:rPr>
        <w:t>p</w:t>
      </w:r>
      <w:r w:rsidRPr="00F90B6B">
        <w:rPr>
          <w:rFonts w:ascii="Times New Roman" w:hAnsi="Times New Roman"/>
          <w:sz w:val="28"/>
          <w:szCs w:val="28"/>
        </w:rPr>
        <w:t>&lt;0,05), рівнем тригліцеридів та функціональним класом ХСН (</w:t>
      </w:r>
      <w:r w:rsidRPr="00F90B6B">
        <w:rPr>
          <w:rFonts w:ascii="Times New Roman" w:hAnsi="Times New Roman"/>
          <w:sz w:val="28"/>
          <w:szCs w:val="28"/>
          <w:lang w:val="en-US"/>
        </w:rPr>
        <w:t>r</w:t>
      </w:r>
      <w:r w:rsidRPr="00F90B6B">
        <w:rPr>
          <w:rFonts w:ascii="Times New Roman" w:hAnsi="Times New Roman"/>
          <w:sz w:val="28"/>
          <w:szCs w:val="28"/>
        </w:rPr>
        <w:t xml:space="preserve">=-0,37, </w:t>
      </w:r>
      <w:r w:rsidRPr="00F90B6B">
        <w:rPr>
          <w:rFonts w:ascii="Times New Roman" w:hAnsi="Times New Roman"/>
          <w:sz w:val="28"/>
          <w:szCs w:val="28"/>
          <w:lang w:val="en-US"/>
        </w:rPr>
        <w:t>p</w:t>
      </w:r>
      <w:r w:rsidRPr="00F90B6B">
        <w:rPr>
          <w:rFonts w:ascii="Times New Roman" w:hAnsi="Times New Roman"/>
          <w:sz w:val="28"/>
          <w:szCs w:val="28"/>
        </w:rPr>
        <w:t>&lt;0,05), позитивний зв’язок між вмістом ЛПНЩ та ІМТ (</w:t>
      </w:r>
      <w:r w:rsidRPr="00F90B6B">
        <w:rPr>
          <w:rFonts w:ascii="Times New Roman" w:hAnsi="Times New Roman"/>
          <w:sz w:val="28"/>
          <w:szCs w:val="28"/>
          <w:lang w:val="en-US"/>
        </w:rPr>
        <w:t>r</w:t>
      </w:r>
      <w:r w:rsidRPr="00F90B6B">
        <w:rPr>
          <w:rFonts w:ascii="Times New Roman" w:hAnsi="Times New Roman"/>
          <w:sz w:val="28"/>
          <w:szCs w:val="28"/>
        </w:rPr>
        <w:t xml:space="preserve">=0,35,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Також у власній роботі серед супутніх захворювань встановлено приріст абсолютного ризику на 22,0% при асоціації виразкової хвороби або хронічного гастриту та зниженому рівні натрію на фоні ХСН, </w:t>
      </w:r>
      <w:r w:rsidRPr="00F90B6B">
        <w:rPr>
          <w:rFonts w:ascii="Times New Roman" w:hAnsi="Times New Roman"/>
          <w:sz w:val="28"/>
          <w:szCs w:val="28"/>
          <w:lang w:val="en-US"/>
        </w:rPr>
        <w:t>p</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tabs>
          <w:tab w:val="left" w:pos="3864"/>
        </w:tabs>
        <w:spacing w:after="0" w:line="360" w:lineRule="auto"/>
        <w:ind w:firstLine="709"/>
        <w:jc w:val="both"/>
        <w:rPr>
          <w:rFonts w:ascii="Times New Roman" w:hAnsi="Times New Roman"/>
          <w:sz w:val="28"/>
          <w:szCs w:val="28"/>
        </w:rPr>
      </w:pPr>
      <w:r w:rsidRPr="00F90B6B">
        <w:rPr>
          <w:rFonts w:ascii="Times New Roman" w:hAnsi="Times New Roman"/>
          <w:sz w:val="28"/>
          <w:szCs w:val="28"/>
        </w:rPr>
        <w:t>За аналізу ехокардіографічних показників у власному дослідженні, вірогідні зміни за наявності гіпонатріємії встановлені за рахунок приросту кінцевосистолічного та кінцеводіастолічного розмірів (</w:t>
      </w:r>
      <w:r w:rsidRPr="00F90B6B">
        <w:rPr>
          <w:rFonts w:ascii="Times New Roman" w:hAnsi="Times New Roman"/>
          <w:sz w:val="28"/>
          <w:szCs w:val="28"/>
          <w:lang w:val="en-US"/>
        </w:rPr>
        <w:t>p</w:t>
      </w:r>
      <w:r w:rsidRPr="00F90B6B">
        <w:rPr>
          <w:rFonts w:ascii="Times New Roman" w:hAnsi="Times New Roman"/>
          <w:sz w:val="28"/>
          <w:szCs w:val="28"/>
        </w:rPr>
        <w:t>&lt;0,05) та об’ємів (</w:t>
      </w:r>
      <w:r w:rsidRPr="00F90B6B">
        <w:rPr>
          <w:rFonts w:ascii="Times New Roman" w:hAnsi="Times New Roman"/>
          <w:sz w:val="28"/>
          <w:szCs w:val="28"/>
          <w:lang w:val="en-US"/>
        </w:rPr>
        <w:t>p</w:t>
      </w:r>
      <w:r w:rsidRPr="00F90B6B">
        <w:rPr>
          <w:rFonts w:ascii="Times New Roman" w:hAnsi="Times New Roman"/>
          <w:sz w:val="28"/>
          <w:szCs w:val="28"/>
        </w:rPr>
        <w:t>&lt;0,05), а також збільшення товщини задньої стінки лівого шлуночка (</w:t>
      </w:r>
      <w:r w:rsidRPr="00F90B6B">
        <w:rPr>
          <w:rFonts w:ascii="Times New Roman" w:hAnsi="Times New Roman"/>
          <w:sz w:val="28"/>
          <w:szCs w:val="28"/>
          <w:lang w:val="en-US"/>
        </w:rPr>
        <w:t>p</w:t>
      </w:r>
      <w:r w:rsidRPr="00F90B6B">
        <w:rPr>
          <w:rFonts w:ascii="Times New Roman" w:hAnsi="Times New Roman"/>
          <w:sz w:val="28"/>
          <w:szCs w:val="28"/>
        </w:rPr>
        <w:t>&lt;0,05) та міжшлуночкової перетинки (</w:t>
      </w:r>
      <w:r w:rsidRPr="00F90B6B">
        <w:rPr>
          <w:rFonts w:ascii="Times New Roman" w:hAnsi="Times New Roman"/>
          <w:sz w:val="28"/>
          <w:szCs w:val="28"/>
          <w:lang w:val="en-US"/>
        </w:rPr>
        <w:t>p</w:t>
      </w:r>
      <w:r w:rsidRPr="00F90B6B">
        <w:rPr>
          <w:rFonts w:ascii="Times New Roman" w:hAnsi="Times New Roman"/>
          <w:sz w:val="28"/>
          <w:szCs w:val="28"/>
        </w:rPr>
        <w:t>&lt;0,05). Виявлено позитивний кореляційний зв’язок між величиною лівого передсердя та ІМТ (</w:t>
      </w:r>
      <w:r w:rsidRPr="00F90B6B">
        <w:rPr>
          <w:rFonts w:ascii="Times New Roman" w:hAnsi="Times New Roman"/>
          <w:sz w:val="28"/>
          <w:szCs w:val="28"/>
          <w:lang w:val="en-US"/>
        </w:rPr>
        <w:t>r</w:t>
      </w:r>
      <w:r w:rsidRPr="00F90B6B">
        <w:rPr>
          <w:rFonts w:ascii="Times New Roman" w:hAnsi="Times New Roman"/>
          <w:sz w:val="28"/>
          <w:szCs w:val="28"/>
        </w:rPr>
        <w:t xml:space="preserve">=0,36, </w:t>
      </w:r>
      <w:r w:rsidRPr="00F90B6B">
        <w:rPr>
          <w:rFonts w:ascii="Times New Roman" w:hAnsi="Times New Roman"/>
          <w:sz w:val="28"/>
          <w:szCs w:val="28"/>
          <w:lang w:val="en-US"/>
        </w:rPr>
        <w:t>p</w:t>
      </w:r>
      <w:r w:rsidRPr="00F90B6B">
        <w:rPr>
          <w:rFonts w:ascii="Times New Roman" w:hAnsi="Times New Roman"/>
          <w:sz w:val="28"/>
          <w:szCs w:val="28"/>
        </w:rPr>
        <w:t>&lt;0,05), негативний зв’язок між кінцеводіастолічним об’ємом та функціональним класом серцевої недостатності (</w:t>
      </w:r>
      <w:r w:rsidRPr="00F90B6B">
        <w:rPr>
          <w:rFonts w:ascii="Times New Roman" w:hAnsi="Times New Roman"/>
          <w:sz w:val="28"/>
          <w:szCs w:val="28"/>
          <w:lang w:val="en-US"/>
        </w:rPr>
        <w:t>r</w:t>
      </w:r>
      <w:r w:rsidRPr="00F90B6B">
        <w:rPr>
          <w:rFonts w:ascii="Times New Roman" w:hAnsi="Times New Roman"/>
          <w:sz w:val="28"/>
          <w:szCs w:val="28"/>
        </w:rPr>
        <w:t xml:space="preserve">=-0,24,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tabs>
          <w:tab w:val="left" w:pos="3864"/>
        </w:tabs>
        <w:spacing w:after="0" w:line="360" w:lineRule="auto"/>
        <w:ind w:firstLine="709"/>
        <w:jc w:val="both"/>
        <w:rPr>
          <w:rFonts w:ascii="Times New Roman" w:hAnsi="Times New Roman"/>
          <w:b/>
          <w:sz w:val="28"/>
          <w:szCs w:val="28"/>
        </w:rPr>
      </w:pPr>
      <w:r w:rsidRPr="00F90B6B">
        <w:rPr>
          <w:rFonts w:ascii="Times New Roman" w:hAnsi="Times New Roman"/>
          <w:sz w:val="28"/>
          <w:szCs w:val="28"/>
        </w:rPr>
        <w:t xml:space="preserve">В нашій роботі доведено, що частота виявлення діастолічної дисфункції у пацієнтів, госпіталізованих з приводу ХСН за наявності гіпонатріємії, була більшою, ніж при нормальному іонному складі,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tabs>
          <w:tab w:val="left" w:pos="2436"/>
        </w:tabs>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За даними реєстра госпіталізацій, що включав близько 5000 хворих з діагнозом ХСН, гіпонатріємія (натрій сироватки менш 136 ммоль/л) виявляється у </w:t>
      </w:r>
      <w:r w:rsidRPr="00F90B6B">
        <w:rPr>
          <w:rFonts w:ascii="Times New Roman" w:hAnsi="Times New Roman"/>
          <w:sz w:val="28"/>
          <w:szCs w:val="28"/>
        </w:rPr>
        <w:lastRenderedPageBreak/>
        <w:t>19,4% хворих при надходженні до стаціонару. Більш того, у 30,2% хворих, госпіталізованих з нормальним рівнем натрію, гіпонатріємія розвивається під час перебування в стаціонарі</w:t>
      </w:r>
      <w:r w:rsidRPr="00F90B6B">
        <w:rPr>
          <w:rFonts w:ascii="Times New Roman" w:hAnsi="Times New Roman"/>
          <w:sz w:val="28"/>
          <w:szCs w:val="28"/>
          <w:lang w:val="ru-RU"/>
        </w:rPr>
        <w:t xml:space="preserve"> [107, 108, 128, 167, 225, 232]</w:t>
      </w:r>
      <w:r w:rsidRPr="00F90B6B">
        <w:rPr>
          <w:rFonts w:ascii="Times New Roman" w:hAnsi="Times New Roman"/>
          <w:sz w:val="28"/>
          <w:szCs w:val="28"/>
        </w:rPr>
        <w:t>. Обидва варіанти гипонатріємії (достаціонарної та внутрішньостаціонарної) при ХСН в однаковому ступені асоційовані зі збільшенням смертності й термінів госпіталізації. Прогноз у хворих значно погіршувався при зниженні вмісту натрію в крові менше 136 ммоль/л [</w:t>
      </w:r>
      <w:r w:rsidRPr="00F90B6B">
        <w:rPr>
          <w:rFonts w:ascii="Times New Roman" w:hAnsi="Times New Roman"/>
          <w:sz w:val="28"/>
          <w:szCs w:val="28"/>
          <w:lang w:val="ru-RU"/>
        </w:rPr>
        <w:t>49, 71, 72, 95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 xml:space="preserve">Наступною задачею дисертаційного дослідження була надати клініко-анамнестичну характеристику, зміни лабораторних показники та особливості кардіогемодинаміки у хворих з хронічною серцевою недостатністю та ожирінням. </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Переважна кількість пацієнтів з ХСН, включених в дослідження, мали надмірну вагу тіла або ожиріння. У власній роботі встановлено зворотню залежність між рівнем переносимості фізичних навантажень та надлишком маси тіла у хворих з ХСН, а також отримано зворотній вірогідний кореляційний зв’язок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між толерантністю до фізичного навантаження та ІМТ.</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 більшості робіт вказується, що у осіб з ожирінням спостерігається підвищений рівень альдостерону в сироватці крові, причому при прогресуванні ожиріння концентрація цього гормону зростає. За даними когортного дослідження DIAST-CHF за участю пацієнтів з ХСН та ЗФВЛШ (61,6±6,2%) було встановлено, що в осіб з високим рівнем альдостерону в плазмі крові асоціюється гіпертрофія ЛШ, а вторинний гіперальдостеронізм у хворих з ХСН обумовлений гіперактивацією ренін-ангіотензин-альдостеронової системи (РААС) та симпато-адреналової системи. Відомо, що структурні зміни ЛШ, викликані гіперальдостеронізмом, не залежать від активності РААС і САС, істотно підвищують ризик виникнення аритмій. Окрім того, тривалий гіперальдостеронізм тягне за собою зниження числа кардіоміоцитів в одиниці об'єму міокарда з розвитком їх гіпоксії, що в результаті веде до зниження скорочувальної здатності серцевого м'яза [44, 82].</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 нашій роботі при більшій вазі пацієнта обмеження фізичних можливостей та психічного стану за рахунок проявів ХСН при було вірогідно вищим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з </w:t>
      </w:r>
      <w:r w:rsidRPr="00F90B6B">
        <w:rPr>
          <w:rFonts w:ascii="Times New Roman" w:hAnsi="Times New Roman"/>
          <w:sz w:val="28"/>
          <w:szCs w:val="28"/>
          <w:lang w:eastAsia="ru-RU"/>
        </w:rPr>
        <w:lastRenderedPageBreak/>
        <w:t>прямим позитивним кореляційним зв’язком між підвищенням ІМТ та зростанням фізичного та психологічного дискомфорту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=0,39,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а точкою переходу був ІМТ 25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p>
    <w:p w:rsidR="00EF4063" w:rsidRPr="00F90B6B" w:rsidRDefault="00EF4063" w:rsidP="00F0048B">
      <w:pPr>
        <w:shd w:val="clear" w:color="auto" w:fill="FFFFFF"/>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Прикладом виразної залежності ожиріння та якості життя є результати дослідження стану здоров'я і харчування в США NHANES (National Health and Nutrition Examination Surveys), що включало 5440 учасників. У цій же вибірці увага приділяється значеннню глюкозотолерантності в даній категорії. Зокрема, зміна порогових значень індексу НОМА від 5,1 до 2,5 призвело до скорочення кількості пацієнтів з метаболічно нормальним ожирінням до 6% [</w:t>
      </w:r>
      <w:r w:rsidRPr="00F90B6B">
        <w:rPr>
          <w:rFonts w:ascii="Times New Roman" w:hAnsi="Times New Roman"/>
          <w:sz w:val="28"/>
          <w:szCs w:val="28"/>
          <w:lang w:val="ru-RU" w:eastAsia="ru-RU"/>
        </w:rPr>
        <w:t>137</w:t>
      </w:r>
      <w:r w:rsidRPr="00F90B6B">
        <w:rPr>
          <w:rFonts w:ascii="Times New Roman" w:hAnsi="Times New Roman"/>
          <w:sz w:val="28"/>
          <w:szCs w:val="28"/>
          <w:lang w:eastAsia="ru-RU"/>
        </w:rPr>
        <w:t>].</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Доведено наявність вірогідно більшого рівня холестерину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тригліцеридів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а також ЛПНЩ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та ЛПДНЩ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нижчого рівня ЛПВЩ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та більш високого індексу атерогенності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у пацієнтів з ХСН та ІМТ більше 25, проте за всіма параметрами ліпідограми, вірогідної різниці між групами з ІМТ 25-30 та ІМТ більше 30 не встановлено.</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 роботі, опубликованній McDowell K</w:t>
      </w:r>
      <w:r w:rsidRPr="00F90B6B">
        <w:rPr>
          <w:rFonts w:ascii="Times New Roman" w:hAnsi="Times New Roman"/>
          <w:sz w:val="28"/>
          <w:szCs w:val="28"/>
          <w:lang w:val="ru-RU" w:eastAsia="ru-RU"/>
        </w:rPr>
        <w:t>.</w:t>
      </w:r>
      <w:r w:rsidRPr="00F90B6B">
        <w:rPr>
          <w:rFonts w:ascii="Times New Roman" w:hAnsi="Times New Roman"/>
          <w:sz w:val="28"/>
          <w:szCs w:val="28"/>
          <w:lang w:eastAsia="ru-RU"/>
        </w:rPr>
        <w:t xml:space="preserve"> та співав., наведені результати чотирьохрічного спостереження за вибіркою, яка включала 6748 чоловік. Початково, залежно від стану кардіометаболічних показників, пацієнти були розподілені на 4 групи. До групи метаболічно здорового ожиріння (нормальний ліпідний та глікемічний профіль) увійшли 11,3% осіб, в групу метаболічно ускладненого ожиріння - 45,3% учасників. Відношення шансів (ОШ) розвитку ускладнень при ожирінні, що не супроводжувалось зміною метаболічного профілю склало 1,34 (95% довірчий інтервал (ДІ) 0,67-2,67), в групі з дисліпідемією - відповідно 4,32 (95% ДІ 2,7-6,9) [139].</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Нами встановлено вірогідну різницю щодо рівня креатиніну з більшими значеннями у хворих з ХСН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xml:space="preserve">, рівня ранішньої глікемії залежно від величини ІМТ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&lt;0,05)</w:t>
      </w:r>
      <w:r w:rsidRPr="00F90B6B">
        <w:rPr>
          <w:rFonts w:ascii="Times New Roman" w:hAnsi="Times New Roman"/>
          <w:sz w:val="28"/>
          <w:szCs w:val="28"/>
        </w:rPr>
        <w:t xml:space="preserve">, а також вмісту печінковоспецифічних ферментів – АсАТ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&lt;0,05)</w:t>
      </w:r>
      <w:r w:rsidRPr="00F90B6B">
        <w:rPr>
          <w:rFonts w:ascii="Times New Roman" w:hAnsi="Times New Roman"/>
          <w:sz w:val="28"/>
          <w:szCs w:val="28"/>
        </w:rPr>
        <w:t xml:space="preserve"> та АлАТ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vertAlign w:val="subscript"/>
          <w:lang w:eastAsia="ru-RU"/>
        </w:rPr>
        <w:t>1</w:t>
      </w:r>
      <w:r w:rsidRPr="00F90B6B">
        <w:rPr>
          <w:rFonts w:ascii="Times New Roman" w:hAnsi="Times New Roman"/>
          <w:sz w:val="28"/>
          <w:szCs w:val="28"/>
          <w:lang w:eastAsia="ru-RU"/>
        </w:rPr>
        <w:t xml:space="preserve">&lt;0,05) </w:t>
      </w:r>
      <w:r w:rsidRPr="00F90B6B">
        <w:rPr>
          <w:rFonts w:ascii="Times New Roman" w:hAnsi="Times New Roman"/>
          <w:sz w:val="28"/>
          <w:szCs w:val="28"/>
        </w:rPr>
        <w:t>у пацієнтів з надмірною вагою та ХСН.</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Також відмічено вірогідне зниження ШКФ у хворих з ХСН та надмірною вагою тіла порівняно з пацієнтами, які мали нормальну вагу, р&lt;0,05. Встановлено вірогідний зворотній кореляційний зв’язок між функціональним станом нирок та </w:t>
      </w:r>
      <w:r w:rsidRPr="00F90B6B">
        <w:rPr>
          <w:rFonts w:ascii="Times New Roman" w:hAnsi="Times New Roman"/>
          <w:sz w:val="28"/>
          <w:szCs w:val="28"/>
        </w:rPr>
        <w:lastRenderedPageBreak/>
        <w:t>масою тіла у хворих з серцевою недостатністю (</w:t>
      </w:r>
      <w:r w:rsidRPr="00F90B6B">
        <w:rPr>
          <w:rFonts w:ascii="Times New Roman" w:hAnsi="Times New Roman"/>
          <w:sz w:val="28"/>
          <w:szCs w:val="28"/>
          <w:lang w:val="en-US"/>
        </w:rPr>
        <w:t>r</w:t>
      </w:r>
      <w:r w:rsidRPr="00F90B6B">
        <w:rPr>
          <w:rFonts w:ascii="Times New Roman" w:hAnsi="Times New Roman"/>
          <w:sz w:val="28"/>
          <w:szCs w:val="28"/>
        </w:rPr>
        <w:t>=-0,32, р&lt;0,05). Доведено прогресивне збільшення очікуваної частоти – з 0,5 до 4,71 подій у вигляді хронічної хвороби нирок на 100,0 випадків хронічної серцевої недостатності при підвищенні ІМТ з 24,9 до більше 30,0 одиниць.</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Слід зазначити дані проспективного дослідження, виконаного Hossain M</w:t>
      </w:r>
      <w:r w:rsidRPr="00F90B6B">
        <w:rPr>
          <w:rFonts w:ascii="Times New Roman" w:hAnsi="Times New Roman"/>
          <w:sz w:val="28"/>
          <w:szCs w:val="28"/>
          <w:lang w:val="ru-RU"/>
        </w:rPr>
        <w:t xml:space="preserve">. </w:t>
      </w:r>
      <w:r w:rsidRPr="00F90B6B">
        <w:rPr>
          <w:rFonts w:ascii="Times New Roman" w:hAnsi="Times New Roman"/>
          <w:sz w:val="28"/>
          <w:szCs w:val="28"/>
        </w:rPr>
        <w:t>A</w:t>
      </w:r>
      <w:r w:rsidRPr="00F90B6B">
        <w:rPr>
          <w:rFonts w:ascii="Times New Roman" w:hAnsi="Times New Roman"/>
          <w:sz w:val="28"/>
          <w:szCs w:val="28"/>
          <w:lang w:val="ru-RU"/>
        </w:rPr>
        <w:t>.</w:t>
      </w:r>
      <w:r w:rsidRPr="00F90B6B">
        <w:rPr>
          <w:rFonts w:ascii="Times New Roman" w:hAnsi="Times New Roman"/>
          <w:sz w:val="28"/>
          <w:szCs w:val="28"/>
        </w:rPr>
        <w:t xml:space="preserve"> та співавт., в яке було включено 5269 осіб; наявність ожиріння діагностовано у 638 (12,1%). Через 17 років відмічався приріст ризику загальної та серцево-судинної смерті при ожирінні, в тому числі за рахунок приросту частоти ниркової дисфункції [</w:t>
      </w:r>
      <w:r w:rsidRPr="00F90B6B">
        <w:rPr>
          <w:rFonts w:ascii="Times New Roman" w:hAnsi="Times New Roman"/>
          <w:sz w:val="28"/>
          <w:szCs w:val="28"/>
          <w:lang w:val="ru-RU"/>
        </w:rPr>
        <w:t>110</w:t>
      </w:r>
      <w:r w:rsidRPr="00F90B6B">
        <w:rPr>
          <w:rFonts w:ascii="Times New Roman" w:hAnsi="Times New Roman"/>
          <w:sz w:val="28"/>
          <w:szCs w:val="28"/>
        </w:rPr>
        <w:t>].</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На підставі метааналізу, виконаного Nishikido T. і співавт., що включав результати обстеження 61 386 осіб, при спостереженні впродовж 10 років відносний ризик загальної і серцево-судинної смерті у пацієнтів з ожирінням був статистично значимо вище, ніж у учасників з нормальною масою тіла [150].</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Наступним завданням дисертаційного дослідження було дослідити зв’язок між рівнями альдостерону та </w:t>
      </w:r>
      <w:r w:rsidRPr="00F90B6B">
        <w:rPr>
          <w:rFonts w:ascii="Times New Roman" w:hAnsi="Times New Roman"/>
          <w:sz w:val="28"/>
          <w:szCs w:val="28"/>
          <w:lang w:val="en-US"/>
        </w:rPr>
        <w:t>NPproBNP</w:t>
      </w:r>
      <w:r w:rsidRPr="00F90B6B">
        <w:rPr>
          <w:rFonts w:ascii="Times New Roman" w:hAnsi="Times New Roman"/>
          <w:sz w:val="28"/>
          <w:szCs w:val="28"/>
        </w:rPr>
        <w:t xml:space="preserve">, рівнем натріємії з клініко-лабораторними і кардіогемодинамічними показниками у хворих з хронічною серцевою недостатністю та ожирінням.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В нашій роботі у хворих ХСН та надмірною вагою, а також ХСН та ожирінням порівняно з групами хворих, які мають нормальну вагу, встановлено нижчі значення </w:t>
      </w:r>
      <w:r w:rsidRPr="00F90B6B">
        <w:rPr>
          <w:rFonts w:ascii="Times New Roman" w:hAnsi="Times New Roman"/>
          <w:sz w:val="28"/>
          <w:szCs w:val="28"/>
          <w:lang w:val="en-US"/>
        </w:rPr>
        <w:t>NT</w:t>
      </w:r>
      <w:r w:rsidRPr="00F90B6B">
        <w:rPr>
          <w:rFonts w:ascii="Times New Roman" w:hAnsi="Times New Roman"/>
          <w:sz w:val="28"/>
          <w:szCs w:val="28"/>
        </w:rPr>
        <w:t>-</w:t>
      </w:r>
      <w:r w:rsidRPr="00F90B6B">
        <w:rPr>
          <w:rFonts w:ascii="Times New Roman" w:hAnsi="Times New Roman"/>
          <w:sz w:val="28"/>
          <w:szCs w:val="28"/>
          <w:lang w:val="en-US"/>
        </w:rPr>
        <w:t>proBNP</w:t>
      </w:r>
      <w:r w:rsidRPr="00F90B6B">
        <w:rPr>
          <w:rFonts w:ascii="Times New Roman" w:hAnsi="Times New Roman"/>
          <w:sz w:val="28"/>
          <w:szCs w:val="28"/>
        </w:rPr>
        <w:t xml:space="preserve"> проти 396,9±66,4 пмоль/мл в групі пацієнтів з нормальною вагою тіла (р&lt;0,05), натомість в усіх випадках вміст </w:t>
      </w:r>
      <w:r w:rsidRPr="00F90B6B">
        <w:rPr>
          <w:rFonts w:ascii="Times New Roman" w:hAnsi="Times New Roman"/>
          <w:sz w:val="28"/>
          <w:szCs w:val="28"/>
          <w:lang w:val="en-US"/>
        </w:rPr>
        <w:t>NT</w:t>
      </w:r>
      <w:r w:rsidRPr="00F90B6B">
        <w:rPr>
          <w:rFonts w:ascii="Times New Roman" w:hAnsi="Times New Roman"/>
          <w:sz w:val="28"/>
          <w:szCs w:val="28"/>
        </w:rPr>
        <w:t>-</w:t>
      </w:r>
      <w:r w:rsidRPr="00F90B6B">
        <w:rPr>
          <w:rFonts w:ascii="Times New Roman" w:hAnsi="Times New Roman"/>
          <w:sz w:val="28"/>
          <w:szCs w:val="28"/>
          <w:lang w:val="en-US"/>
        </w:rPr>
        <w:t>proBNP</w:t>
      </w:r>
      <w:r w:rsidRPr="00F90B6B">
        <w:rPr>
          <w:rFonts w:ascii="Times New Roman" w:hAnsi="Times New Roman"/>
          <w:sz w:val="28"/>
          <w:szCs w:val="28"/>
        </w:rPr>
        <w:t xml:space="preserve"> був вірогідно вищим порівняно з групою контролю (р</w:t>
      </w:r>
      <w:r w:rsidRPr="00F90B6B">
        <w:rPr>
          <w:rFonts w:ascii="Times New Roman" w:hAnsi="Times New Roman"/>
          <w:sz w:val="28"/>
          <w:szCs w:val="28"/>
          <w:lang w:val="ru-RU"/>
        </w:rPr>
        <w:t>&lt;0,05</w:t>
      </w:r>
      <w:r w:rsidRPr="00F90B6B">
        <w:rPr>
          <w:rFonts w:ascii="Times New Roman" w:hAnsi="Times New Roman"/>
          <w:sz w:val="28"/>
          <w:szCs w:val="28"/>
        </w:rPr>
        <w:t xml:space="preserve">).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лінійному регресійному аналізі встановлено слабкий негативний зв’язок між індексом маси тіла та рівнем натрію у хворих з ХСН (</w:t>
      </w:r>
      <w:r w:rsidRPr="00F90B6B">
        <w:rPr>
          <w:rFonts w:ascii="Times New Roman" w:hAnsi="Times New Roman"/>
          <w:sz w:val="28"/>
          <w:szCs w:val="28"/>
          <w:lang w:val="en-US"/>
        </w:rPr>
        <w:t>r</w:t>
      </w:r>
      <w:r w:rsidRPr="00F90B6B">
        <w:rPr>
          <w:rFonts w:ascii="Times New Roman" w:hAnsi="Times New Roman"/>
          <w:sz w:val="28"/>
          <w:szCs w:val="28"/>
          <w:lang w:val="ru-RU"/>
        </w:rPr>
        <w:t>=-0,16</w:t>
      </w:r>
      <w:r w:rsidRPr="00F90B6B">
        <w:rPr>
          <w:rFonts w:ascii="Times New Roman" w:hAnsi="Times New Roman"/>
          <w:sz w:val="28"/>
          <w:szCs w:val="28"/>
        </w:rPr>
        <w:t xml:space="preserve">). </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Було проведено оцінку рівня </w:t>
      </w:r>
      <w:r w:rsidRPr="00F90B6B">
        <w:rPr>
          <w:rFonts w:ascii="Times New Roman" w:hAnsi="Times New Roman"/>
          <w:sz w:val="28"/>
          <w:szCs w:val="28"/>
          <w:lang w:val="en-US"/>
        </w:rPr>
        <w:t>NTproBNP</w:t>
      </w:r>
      <w:r w:rsidRPr="00F90B6B">
        <w:rPr>
          <w:rFonts w:ascii="Times New Roman" w:hAnsi="Times New Roman"/>
          <w:sz w:val="28"/>
          <w:szCs w:val="28"/>
        </w:rPr>
        <w:t xml:space="preserve"> у пацієнтів з ожирінням, залежно від рівня натрію плазми крові. Встановлено, що хворі ХСН зі ЗФВЛШ та супутнім ожирінням мають інший метаболічний профіль натрійуретичного пептиду за наявності гіпонатріємії – 351,8±64,2 пмоль/мл проти 294,0±59,2 пмоль/мл при нормонатріємії та 101,2±32,8 пмоль/мл при гіпернатріємії.</w:t>
      </w:r>
    </w:p>
    <w:p w:rsidR="00EF4063" w:rsidRPr="00F90B6B" w:rsidRDefault="00EF4063" w:rsidP="00F0048B">
      <w:pPr>
        <w:shd w:val="clear" w:color="auto" w:fill="FFFFFF"/>
        <w:spacing w:after="0" w:line="360" w:lineRule="auto"/>
        <w:ind w:firstLine="709"/>
        <w:jc w:val="both"/>
        <w:rPr>
          <w:rFonts w:ascii="Times New Roman" w:hAnsi="Times New Roman"/>
          <w:sz w:val="28"/>
          <w:szCs w:val="28"/>
        </w:rPr>
      </w:pPr>
      <w:r w:rsidRPr="00F90B6B">
        <w:rPr>
          <w:rFonts w:ascii="Times New Roman" w:hAnsi="Times New Roman"/>
          <w:sz w:val="28"/>
          <w:szCs w:val="28"/>
        </w:rPr>
        <w:lastRenderedPageBreak/>
        <w:t xml:space="preserve">Таким чином, на основі отриманих результатів можна сказати, що у пацієнтів з ХСН зі ЗФЛШ рівень </w:t>
      </w:r>
      <w:r w:rsidRPr="00F90B6B">
        <w:rPr>
          <w:rFonts w:ascii="Times New Roman" w:hAnsi="Times New Roman"/>
          <w:sz w:val="28"/>
          <w:szCs w:val="28"/>
          <w:lang w:val="en-US"/>
        </w:rPr>
        <w:t>NTproBNP</w:t>
      </w:r>
      <w:r w:rsidRPr="00F90B6B">
        <w:rPr>
          <w:rFonts w:ascii="Times New Roman" w:hAnsi="Times New Roman"/>
          <w:sz w:val="28"/>
          <w:szCs w:val="28"/>
        </w:rPr>
        <w:t xml:space="preserve"> повинен оцінюватись залежно від ІМТ та вмісту натрію в плазмі крові. Як бачимо, гіпонатріємія зумовлює інші критерії оцінки та супроводжуєються більш високим рівнем </w:t>
      </w:r>
      <w:r w:rsidRPr="00F90B6B">
        <w:rPr>
          <w:rFonts w:ascii="Times New Roman" w:hAnsi="Times New Roman"/>
          <w:sz w:val="28"/>
          <w:szCs w:val="28"/>
          <w:lang w:val="en-US"/>
        </w:rPr>
        <w:t>NTproBNP</w:t>
      </w:r>
      <w:r w:rsidRPr="00F90B6B">
        <w:rPr>
          <w:rFonts w:ascii="Times New Roman" w:hAnsi="Times New Roman"/>
          <w:sz w:val="28"/>
          <w:szCs w:val="28"/>
        </w:rPr>
        <w:t>, порівняно з нормонатріємією.</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За наявності ожиріння відмічено вірогідно більшу ЧСС в порівнянні з групами, що мали нормальну та надлишкову масу тіла (р</w:t>
      </w:r>
      <w:r w:rsidRPr="00F90B6B">
        <w:rPr>
          <w:rFonts w:ascii="Times New Roman" w:hAnsi="Times New Roman"/>
          <w:sz w:val="28"/>
          <w:szCs w:val="28"/>
          <w:lang w:val="ru-RU"/>
        </w:rPr>
        <w:t>&lt;0,05</w:t>
      </w:r>
      <w:r w:rsidRPr="00F90B6B">
        <w:rPr>
          <w:rFonts w:ascii="Times New Roman" w:hAnsi="Times New Roman"/>
          <w:sz w:val="28"/>
          <w:szCs w:val="28"/>
        </w:rPr>
        <w:t>). Відповідні зміни встановлено також для рівня середнього систолічного та діастолічного артеріального тиску (р</w:t>
      </w:r>
      <w:r w:rsidRPr="00F90B6B">
        <w:rPr>
          <w:rFonts w:ascii="Times New Roman" w:hAnsi="Times New Roman"/>
          <w:sz w:val="28"/>
          <w:szCs w:val="28"/>
          <w:lang w:val="ru-RU"/>
        </w:rPr>
        <w:t>&lt;0,05</w:t>
      </w:r>
      <w:r w:rsidRPr="00F90B6B">
        <w:rPr>
          <w:rFonts w:ascii="Times New Roman" w:hAnsi="Times New Roman"/>
          <w:sz w:val="28"/>
          <w:szCs w:val="28"/>
        </w:rPr>
        <w:t xml:space="preserve">). При оцінці параметрів кардіогемодинаміки у пацієнтів з надмірною вагою та ожирінням скоротлива здатність міокарду за аналізу інтегрального показника скоротловості – фракції викиду була вірогідно нижчою </w:t>
      </w:r>
      <w:r w:rsidRPr="00F90B6B">
        <w:rPr>
          <w:rFonts w:ascii="Times New Roman" w:hAnsi="Times New Roman"/>
          <w:sz w:val="28"/>
          <w:szCs w:val="28"/>
          <w:lang w:val="ru-RU"/>
        </w:rPr>
        <w:t>(р&lt;0,05)</w:t>
      </w:r>
      <w:r w:rsidRPr="00F90B6B">
        <w:rPr>
          <w:rFonts w:ascii="Times New Roman" w:hAnsi="Times New Roman"/>
          <w:sz w:val="28"/>
          <w:szCs w:val="28"/>
        </w:rPr>
        <w:t>, проте відмічалось зростання ударного об’єму, ударного індексу, хвилинного об’єму крові (р</w:t>
      </w:r>
      <w:r w:rsidRPr="00F90B6B">
        <w:rPr>
          <w:rFonts w:ascii="Times New Roman" w:hAnsi="Times New Roman"/>
          <w:sz w:val="28"/>
          <w:szCs w:val="28"/>
          <w:lang w:val="ru-RU"/>
        </w:rPr>
        <w:t>&lt;0,05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Дослідження вказують на проблему так званої «кардіоміопатії ожиріння». Найбільш характерним серцево-судинним проявом ожиріння є гіпертрофія ЛШ (ГЛШ). Ймовірність розвитку ГЛШ у осіб з нормальною масою тіла становить 5,5%, а в осіб з ожирінням - 29,9% [</w:t>
      </w:r>
      <w:r w:rsidRPr="00F90B6B">
        <w:rPr>
          <w:rFonts w:ascii="Times New Roman" w:hAnsi="Times New Roman"/>
          <w:sz w:val="28"/>
          <w:szCs w:val="28"/>
          <w:lang w:val="ru-RU"/>
        </w:rPr>
        <w:t>177</w:t>
      </w:r>
      <w:r w:rsidRPr="00F90B6B">
        <w:rPr>
          <w:rFonts w:ascii="Times New Roman" w:hAnsi="Times New Roman"/>
          <w:sz w:val="28"/>
          <w:szCs w:val="28"/>
        </w:rPr>
        <w:t>]. Фремінгемське дослідження продемонструвало наявність високовірогідного зв'язку між ІМТ, розмірами порожнин серця та товщиною стінок ЛШ. Зазначені взаємозв'язки зберігали свою достовірність навіть з урахуванням поправок на вік, стать та рівень артеріального тиску. Невід'ємним наслідком ГЛШ є його діастолічна дисфункція і поступове формування ХСН зі збереженою систолічною функцією ЛШ. Зв'язок між ожирінням і ХСН є складною проблемою, пов'язаною з різними патофізіологічними механізмами та включенням великого числа взаємодіючих факторів. Достатнього розуміння зазначених причинно-наслідкових зв'язків на сьогоднішній день немає і, тим не менш, очевидно, що домінуючим компонентом патогенезу в цьому випадку виступає прогресуючий фіброз та апоптоз міокарда [38, 183].</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нашій роботі встановлено вірогідне зниження співвідношення Е/А при ожирінні (на 46,0%, р</w:t>
      </w:r>
      <w:r w:rsidRPr="00F90B6B">
        <w:rPr>
          <w:rFonts w:ascii="Times New Roman" w:hAnsi="Times New Roman"/>
          <w:sz w:val="28"/>
          <w:szCs w:val="28"/>
          <w:lang w:val="ru-RU"/>
        </w:rPr>
        <w:t>&lt;0,05</w:t>
      </w:r>
      <w:r w:rsidRPr="00F90B6B">
        <w:rPr>
          <w:rFonts w:ascii="Times New Roman" w:hAnsi="Times New Roman"/>
          <w:sz w:val="28"/>
          <w:szCs w:val="28"/>
        </w:rPr>
        <w:t>) та відповідну тенденцію у хворих з надлишковою вагою (на 7,8%, р</w:t>
      </w:r>
      <w:r w:rsidRPr="00F90B6B">
        <w:rPr>
          <w:rFonts w:ascii="Times New Roman" w:hAnsi="Times New Roman"/>
          <w:sz w:val="28"/>
          <w:szCs w:val="28"/>
          <w:lang w:val="ru-RU"/>
        </w:rPr>
        <w:t>&gt;0,05</w:t>
      </w:r>
      <w:r w:rsidRPr="00F90B6B">
        <w:rPr>
          <w:rFonts w:ascii="Times New Roman" w:hAnsi="Times New Roman"/>
          <w:sz w:val="28"/>
          <w:szCs w:val="28"/>
        </w:rPr>
        <w:t>) проти пацієнтів з ХСН, що мали нормальну вагу. В усіх групах пацієнтів з ХСН час уповільнення (</w:t>
      </w:r>
      <w:r w:rsidRPr="00F90B6B">
        <w:rPr>
          <w:rFonts w:ascii="Times New Roman" w:hAnsi="Times New Roman"/>
          <w:sz w:val="28"/>
          <w:szCs w:val="28"/>
          <w:lang w:eastAsia="uk-UA"/>
        </w:rPr>
        <w:t xml:space="preserve">DT) </w:t>
      </w:r>
      <w:r w:rsidRPr="00F90B6B">
        <w:rPr>
          <w:rFonts w:ascii="Times New Roman" w:hAnsi="Times New Roman"/>
          <w:sz w:val="28"/>
          <w:szCs w:val="28"/>
        </w:rPr>
        <w:t xml:space="preserve">ранньодіастолічного наповнення був вище </w:t>
      </w:r>
      <w:r w:rsidRPr="00F90B6B">
        <w:rPr>
          <w:rFonts w:ascii="Times New Roman" w:hAnsi="Times New Roman"/>
          <w:sz w:val="28"/>
          <w:szCs w:val="28"/>
        </w:rPr>
        <w:lastRenderedPageBreak/>
        <w:t>показників контрольної групи (р&lt;0,05), а перевагу (85,1%) становив І тип діастолічної дисфункції. Особливостей формування діастолічної дисфункції залежно від ІМТ не встановлено. Проте, встановлено наявність змін, що свідчать про структурну перебудову міокарда – збільшення розмірів лівого передсердя, правого передсердя та правого шлуночка при надмірній вазі тіла та ожирінні у пацієнтів з ХСН (р&gt;0,05).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rPr>
        <w:t xml:space="preserve">Також нами відмічено </w:t>
      </w:r>
      <w:r w:rsidRPr="00F90B6B">
        <w:rPr>
          <w:rFonts w:ascii="Times New Roman" w:hAnsi="Times New Roman"/>
          <w:sz w:val="28"/>
          <w:szCs w:val="28"/>
          <w:lang w:eastAsia="ru-RU"/>
        </w:rPr>
        <w:t xml:space="preserve">наявність прямої лінійної залежності між зростанням віку пацієнта та рівня секреції альдостерона з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=0,26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Відомо, що альдостерон стимулює синтез колагену фібробластами та відіграє роль в загибелі кардіоміоцитів через вплив на внутрішньоклітинний баланс електролітів. У свою чергу, активація фібробластів призводить до фіброзу міокарда, збільшення жорсткості стінок ЛШ, діастолічної дисфункції, порушення передачі електричних імпульсів та апоптозу [149].</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В нашій роботі, при дослідженні рівня вільного альдостерону, у взаємозв’язку з індексом маси тіла у пацієнтів з ХСН в цілому, так і за наявності ожиріння встановлено лінійний від’ємний вірогідний кореляційний зв’язок з коефіціентами регресії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=-0,28 та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=-0,25 (</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Застосовуючи кластерний К-аналіз було проведено розподіл пацієнтів за рівнем секреції альдостерону на кластери з «низьким» та «високим» рівнем секреції, де вміст альдостерону становив, відповідно, 51,9±11,5 та 89,6±19,3 пг/мл.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ru-RU"/>
        </w:rPr>
        <w:t>Аналізуючи ІМТ у кожному з кластерів виявлено вірогідно більш низький показник ІМТ в кластері з більш високим рівнем альдостерону – 27,8±4,78 кг/м</w:t>
      </w:r>
      <w:r w:rsidRPr="00F90B6B">
        <w:rPr>
          <w:rFonts w:ascii="Times New Roman" w:hAnsi="Times New Roman"/>
          <w:sz w:val="28"/>
          <w:szCs w:val="28"/>
          <w:vertAlign w:val="superscript"/>
          <w:lang w:eastAsia="ru-RU"/>
        </w:rPr>
        <w:t xml:space="preserve">2 </w:t>
      </w:r>
      <w:r w:rsidRPr="00F90B6B">
        <w:rPr>
          <w:rFonts w:ascii="Times New Roman" w:hAnsi="Times New Roman"/>
          <w:sz w:val="28"/>
          <w:szCs w:val="28"/>
          <w:lang w:eastAsia="ru-RU"/>
        </w:rPr>
        <w:t>проти 31,7±4,54 кг/м</w:t>
      </w:r>
      <w:r w:rsidRPr="00F90B6B">
        <w:rPr>
          <w:rFonts w:ascii="Times New Roman" w:hAnsi="Times New Roman"/>
          <w:sz w:val="28"/>
          <w:szCs w:val="28"/>
          <w:vertAlign w:val="superscript"/>
          <w:lang w:eastAsia="ru-RU"/>
        </w:rPr>
        <w:t xml:space="preserve">2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eastAsia="ru-RU"/>
        </w:rPr>
        <w:t xml:space="preserve">&lt;0,05). </w:t>
      </w:r>
      <w:r w:rsidRPr="00F90B6B">
        <w:rPr>
          <w:rFonts w:ascii="Times New Roman" w:hAnsi="Times New Roman"/>
          <w:sz w:val="28"/>
          <w:szCs w:val="28"/>
        </w:rPr>
        <w:t>Проте, як встановлено на подальшому етапі нашої роботи, у пацієнтів з ХСН має значення не стільки величина ІМТ в цілому, скільки тип ожиріння з оцінкою співвідношення об’єму талії (ОТ) до об’єму стегон (ОС), що підтвержується позитивним кореляційним зв’язком ОТ/ОС та вмісту вільного альдостерону як по групі в цілому (</w:t>
      </w:r>
      <w:r w:rsidRPr="00F90B6B">
        <w:rPr>
          <w:rFonts w:ascii="Times New Roman" w:hAnsi="Times New Roman"/>
          <w:sz w:val="28"/>
          <w:szCs w:val="28"/>
          <w:lang w:val="en-US"/>
        </w:rPr>
        <w:t>r</w:t>
      </w:r>
      <w:r w:rsidRPr="00F90B6B">
        <w:rPr>
          <w:rFonts w:ascii="Times New Roman" w:hAnsi="Times New Roman"/>
          <w:sz w:val="28"/>
          <w:szCs w:val="28"/>
        </w:rPr>
        <w:t xml:space="preserve">=0,23,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так і при ожирінні (</w:t>
      </w:r>
      <w:r w:rsidRPr="00F90B6B">
        <w:rPr>
          <w:rFonts w:ascii="Times New Roman" w:hAnsi="Times New Roman"/>
          <w:sz w:val="28"/>
          <w:szCs w:val="28"/>
          <w:lang w:val="en-US"/>
        </w:rPr>
        <w:t>r</w:t>
      </w:r>
      <w:r w:rsidRPr="00F90B6B">
        <w:rPr>
          <w:rFonts w:ascii="Times New Roman" w:hAnsi="Times New Roman"/>
          <w:sz w:val="28"/>
          <w:szCs w:val="28"/>
        </w:rPr>
        <w:t xml:space="preserve">=0,14,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rPr>
        <w:t xml:space="preserve">На подальшому етапі, вивчаючи співвідношення толерантності до фізичного навантаження за дистанцією 6-хвилинної ходьби та рівня секреції альдостерону за </w:t>
      </w:r>
      <w:r w:rsidRPr="00F90B6B">
        <w:rPr>
          <w:rFonts w:ascii="Times New Roman" w:hAnsi="Times New Roman"/>
          <w:sz w:val="28"/>
          <w:szCs w:val="28"/>
        </w:rPr>
        <w:lastRenderedPageBreak/>
        <w:t>наявності ХСН було отримано від’ємний коефіцієнт лінійної регресії (</w:t>
      </w:r>
      <w:r w:rsidRPr="00F90B6B">
        <w:rPr>
          <w:rFonts w:ascii="Times New Roman" w:hAnsi="Times New Roman"/>
          <w:sz w:val="28"/>
          <w:szCs w:val="28"/>
          <w:lang w:val="en-US"/>
        </w:rPr>
        <w:t>r</w:t>
      </w:r>
      <w:r w:rsidRPr="00F90B6B">
        <w:rPr>
          <w:rFonts w:ascii="Times New Roman" w:hAnsi="Times New Roman"/>
          <w:sz w:val="28"/>
          <w:szCs w:val="28"/>
        </w:rPr>
        <w:t xml:space="preserve">=-0,28,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w:t>
      </w:r>
      <w:r w:rsidRPr="00F90B6B">
        <w:rPr>
          <w:rFonts w:ascii="Times New Roman" w:hAnsi="Times New Roman"/>
          <w:sz w:val="28"/>
          <w:szCs w:val="28"/>
        </w:rPr>
        <w:t>, значення якого, однак, зменшувалось у хворих з ожирінням (</w:t>
      </w:r>
      <w:r w:rsidRPr="00F90B6B">
        <w:rPr>
          <w:rFonts w:ascii="Times New Roman" w:hAnsi="Times New Roman"/>
          <w:sz w:val="28"/>
          <w:szCs w:val="28"/>
          <w:lang w:val="en-US"/>
        </w:rPr>
        <w:t>r</w:t>
      </w:r>
      <w:r w:rsidRPr="00F90B6B">
        <w:rPr>
          <w:rFonts w:ascii="Times New Roman" w:hAnsi="Times New Roman"/>
          <w:sz w:val="28"/>
          <w:szCs w:val="28"/>
        </w:rPr>
        <w:t xml:space="preserve">=-0,11, </w:t>
      </w:r>
      <w:r w:rsidRPr="00F90B6B">
        <w:rPr>
          <w:rFonts w:ascii="Times New Roman" w:hAnsi="Times New Roman"/>
          <w:sz w:val="28"/>
          <w:szCs w:val="28"/>
          <w:lang w:val="en-US" w:eastAsia="ru-RU"/>
        </w:rPr>
        <w:t>p</w:t>
      </w:r>
      <w:r w:rsidRPr="00F90B6B">
        <w:rPr>
          <w:rFonts w:ascii="Times New Roman" w:hAnsi="Times New Roman"/>
          <w:sz w:val="28"/>
          <w:szCs w:val="28"/>
          <w:lang w:eastAsia="ru-RU"/>
        </w:rPr>
        <w:t>&gt;0,05)</w:t>
      </w:r>
      <w:r w:rsidRPr="00F90B6B">
        <w:rPr>
          <w:rFonts w:ascii="Times New Roman" w:hAnsi="Times New Roman"/>
          <w:sz w:val="28"/>
          <w:szCs w:val="28"/>
        </w:rPr>
        <w:t>. Цей факт підтверджує припущення про існування дещо іншого механізму прогресування ХСН при ожирінні, проте значну роль альдостерону для зниження загальної переносимості фізичних навантажень. Нами було доведено, що в кластерах «низького» та «високого» синтезу альдостерону є існує вірогідна різниця за дистанцією, пройденою хворим за 6 хвилин, причому нижча толерантність до фізичних навантажень верифікована в кластері «високого» синтезу, - 405,7±59,6 метрів проти 472,8±89,4 метрів</w:t>
      </w:r>
      <w:r w:rsidRPr="00F90B6B">
        <w:rPr>
          <w:rFonts w:ascii="Times New Roman" w:hAnsi="Times New Roman"/>
          <w:sz w:val="28"/>
          <w:szCs w:val="28"/>
          <w:lang w:val="ru-RU"/>
        </w:rPr>
        <w:t xml:space="preserve"> (</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rPr>
        <w:t xml:space="preserve">. </w:t>
      </w:r>
      <w:r w:rsidRPr="00F90B6B">
        <w:rPr>
          <w:rFonts w:ascii="Times New Roman" w:hAnsi="Times New Roman"/>
          <w:sz w:val="28"/>
          <w:szCs w:val="28"/>
          <w:lang w:eastAsia="ru-RU"/>
        </w:rPr>
        <w:t xml:space="preserve">Погіршення якості життя за Міннесотським опитувачем прямо корелювало з вмістом альдостерону у хворих з ХСН, а також при ХСН та ожирінні. Коефіцієнт взаємодії становив </w:t>
      </w:r>
      <w:r w:rsidRPr="00F90B6B">
        <w:rPr>
          <w:rFonts w:ascii="Times New Roman" w:hAnsi="Times New Roman"/>
          <w:sz w:val="28"/>
          <w:szCs w:val="28"/>
          <w:lang w:val="en-US" w:eastAsia="ru-RU"/>
        </w:rPr>
        <w:t>r</w:t>
      </w:r>
      <w:r w:rsidRPr="00F90B6B">
        <w:rPr>
          <w:rFonts w:ascii="Times New Roman" w:hAnsi="Times New Roman"/>
          <w:sz w:val="28"/>
          <w:szCs w:val="28"/>
          <w:lang w:eastAsia="ru-RU"/>
        </w:rPr>
        <w:t xml:space="preserve">=0,26 (р&lt;0,05) та </w:t>
      </w:r>
      <w:r w:rsidRPr="00F90B6B">
        <w:rPr>
          <w:rFonts w:ascii="Times New Roman" w:hAnsi="Times New Roman"/>
          <w:sz w:val="28"/>
          <w:szCs w:val="28"/>
          <w:lang w:val="en-US" w:eastAsia="ru-RU"/>
        </w:rPr>
        <w:t>r</w:t>
      </w:r>
      <w:r w:rsidRPr="00F90B6B">
        <w:rPr>
          <w:rFonts w:ascii="Times New Roman" w:hAnsi="Times New Roman"/>
          <w:sz w:val="28"/>
          <w:szCs w:val="28"/>
          <w:lang w:eastAsia="ru-RU"/>
        </w:rPr>
        <w:t>=0,17, (р&lt;0,05).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В той же час, існують думки про </w:t>
      </w:r>
      <w:r w:rsidRPr="00F90B6B">
        <w:rPr>
          <w:rFonts w:ascii="Times New Roman" w:hAnsi="Times New Roman"/>
          <w:sz w:val="28"/>
          <w:szCs w:val="28"/>
          <w:lang w:val="en-US" w:eastAsia="ru-RU"/>
        </w:rPr>
        <w:t>J</w:t>
      </w:r>
      <w:r w:rsidRPr="00F90B6B">
        <w:rPr>
          <w:rFonts w:ascii="Times New Roman" w:hAnsi="Times New Roman"/>
          <w:sz w:val="28"/>
          <w:szCs w:val="28"/>
          <w:lang w:eastAsia="ru-RU"/>
        </w:rPr>
        <w:t>-подібну залежність між ожирінням та серцево-судинною смертністю. Зокрема, Packer M.</w:t>
      </w:r>
      <w:r w:rsidRPr="00F90B6B">
        <w:rPr>
          <w:rFonts w:ascii="Times New Roman" w:hAnsi="Times New Roman"/>
          <w:sz w:val="28"/>
          <w:szCs w:val="28"/>
          <w:lang w:val="ru-RU" w:eastAsia="ru-RU"/>
        </w:rPr>
        <w:t xml:space="preserve"> </w:t>
      </w:r>
      <w:r w:rsidRPr="00F90B6B">
        <w:rPr>
          <w:rFonts w:ascii="Times New Roman" w:hAnsi="Times New Roman"/>
          <w:sz w:val="28"/>
          <w:szCs w:val="28"/>
          <w:lang w:eastAsia="ru-RU"/>
        </w:rPr>
        <w:t>проведено аналіз Національного Реєстру пацієнтів, які перенесли декомпенсацию ХСН. Оцінювалася внутрішньолікарняна смертність у всіх пацієнтів як зі зниженою, так зі збереженою систолічною функцією ЛШ. Після поправки на вік, стать, АТ, ЧСС, концентрацію креатиніну, величина ІМТ строго корелювала з рівнем смертності: для кожних 5 одиниць підвищення ІМТ ризик смертності знижувався на 10% (95% ДІ 0,88 -0,93, р&lt;0,001) [</w:t>
      </w:r>
      <w:r w:rsidRPr="00F90B6B">
        <w:rPr>
          <w:rFonts w:ascii="Times New Roman" w:hAnsi="Times New Roman"/>
          <w:sz w:val="28"/>
          <w:szCs w:val="28"/>
          <w:lang w:val="ru-RU" w:eastAsia="ru-RU"/>
        </w:rPr>
        <w:t>161</w:t>
      </w:r>
      <w:r w:rsidRPr="00F90B6B">
        <w:rPr>
          <w:rFonts w:ascii="Times New Roman" w:hAnsi="Times New Roman"/>
          <w:sz w:val="28"/>
          <w:szCs w:val="28"/>
          <w:lang w:eastAsia="ru-RU"/>
        </w:rPr>
        <w:t>].</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021D22">
        <w:rPr>
          <w:rFonts w:ascii="Times New Roman" w:hAnsi="Times New Roman"/>
          <w:spacing w:val="-2"/>
          <w:sz w:val="28"/>
          <w:szCs w:val="28"/>
          <w:lang w:eastAsia="ru-RU"/>
        </w:rPr>
        <w:t>У 2008 р Oreopoulos А. і співавт. провели мета-аналіз 9 досліджень, де вивчалася взаємозв'язок між підвищеним ІМТ і смертністю у пацієнтів з ХСН. Були проаналізовані дослідження з провідних наукових баз (когортного, випадок-контроль та рандомізовані контрольовані дослідження), оцінені ефекти ожиріння на загальну та серцево-судинну смертність. Загальна кількість пацієнтів склала 28209, термін спостереження - близько 3 років. Результати проведеного мета-аналізу показали, що в порівнянні з особами з нормальною вагою, пацієнти з надмірною вагою і ожирінням (ІМТ більше 30) мають більш низьку загальну смертність (RR 0,84, 95% ДІ 0,79-0,90 і RR 0 , 67, 95% ДІ 0,62-0,73 відповідно</w:t>
      </w:r>
      <w:r w:rsidRPr="00F90B6B">
        <w:rPr>
          <w:rFonts w:ascii="Times New Roman" w:hAnsi="Times New Roman"/>
          <w:sz w:val="28"/>
          <w:szCs w:val="28"/>
          <w:lang w:eastAsia="ru-RU"/>
        </w:rPr>
        <w:t xml:space="preserve">). </w:t>
      </w:r>
      <w:r w:rsidRPr="00021D22">
        <w:rPr>
          <w:rFonts w:ascii="Times New Roman" w:hAnsi="Times New Roman"/>
          <w:spacing w:val="-2"/>
          <w:sz w:val="28"/>
          <w:szCs w:val="28"/>
          <w:lang w:eastAsia="ru-RU"/>
        </w:rPr>
        <w:t xml:space="preserve">Надмірна вага (RR 0,81, 95% ДІ 0,72-0,92) і ожиріння (RR 0,60, 95% ДІ 0,53-0,69) асоціювалися з низькою смертністю: серцево-судинної (-19% і -40% відповідно) і загальної (-16% і -33% відповідно) [158]. </w:t>
      </w:r>
      <w:r w:rsidRPr="00F90B6B">
        <w:rPr>
          <w:rFonts w:ascii="Times New Roman" w:hAnsi="Times New Roman"/>
          <w:sz w:val="28"/>
          <w:szCs w:val="28"/>
        </w:rPr>
        <w:lastRenderedPageBreak/>
        <w:t xml:space="preserve">Верифіковано суттєве клінічне значення </w:t>
      </w:r>
      <w:r w:rsidRPr="00F90B6B">
        <w:rPr>
          <w:rFonts w:ascii="Times New Roman" w:hAnsi="Times New Roman"/>
          <w:sz w:val="28"/>
          <w:szCs w:val="28"/>
          <w:lang w:eastAsia="uk-UA"/>
        </w:rPr>
        <w:t xml:space="preserve">NTproBNP в </w:t>
      </w:r>
      <w:r w:rsidRPr="00F90B6B">
        <w:rPr>
          <w:rFonts w:ascii="Times New Roman" w:hAnsi="Times New Roman"/>
          <w:sz w:val="28"/>
          <w:szCs w:val="28"/>
        </w:rPr>
        <w:t>клінічному перебізі серцевої недостатності при збереженій фракції викиду лівого шлуночка та супутньому ожирінні.</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Мозковий натрійуретичний пептид - єдиний нейрогормон, який продукується кардиомиоцитами шлуночків серця у відповідь на навантаження об'ємом і тиском і може служити діагностичним маркером серцевої недостатності.  Секреція </w:t>
      </w:r>
      <w:r w:rsidRPr="00F90B6B">
        <w:rPr>
          <w:rFonts w:ascii="Times New Roman" w:hAnsi="Times New Roman"/>
          <w:sz w:val="28"/>
          <w:szCs w:val="28"/>
          <w:lang w:eastAsia="uk-UA"/>
        </w:rPr>
        <w:t>NTproBNP</w:t>
      </w:r>
      <w:r w:rsidRPr="00F90B6B">
        <w:rPr>
          <w:rFonts w:ascii="Times New Roman" w:hAnsi="Times New Roman"/>
          <w:sz w:val="28"/>
          <w:szCs w:val="28"/>
        </w:rPr>
        <w:t xml:space="preserve"> - незалежний предиктор підвищеного кінцевого діастолічного тиску в лівому шлуночку і підвищеного тиску заклинювання в легеневій артерії, даний процес відображає функцію серця як ендокринного органа [63, 64].</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rPr>
        <w:t xml:space="preserve">Зокрема, в нашій роботі відмічено погіршення якості життя за Міннесотським опитувальником при зростанні рівня </w:t>
      </w:r>
      <w:r w:rsidRPr="00F90B6B">
        <w:rPr>
          <w:rFonts w:ascii="Times New Roman" w:hAnsi="Times New Roman"/>
          <w:sz w:val="28"/>
          <w:szCs w:val="28"/>
          <w:lang w:eastAsia="uk-UA"/>
        </w:rPr>
        <w:t>NTproBNP у хворих з ХСН при ожирінні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=0,30 та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=0,18, р&lt;0,05). Встановлено вірогідний вплив підвищеного рівня NTproBNP на зниження толерантності до фізичного навантаження при ХСН та ожирінні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=-0,20, р&lt;0,05).</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В дослідженні Фурмана Н. В. та співав.  проаналізувано прогностичне значення NTproBNP (маркера міокардіального стресу) в когорті пацієнтів з СН ішемічної етіології.  Біомаркер був включений в модель з іншими традиційними факторами ризику (ФК NYHA, СКФ &lt;90 мл / хв / 1,73 м 2, наявність аневризми ЛШ і інсульту в анамнезі) </w:t>
      </w:r>
      <w:r w:rsidRPr="00F90B6B">
        <w:rPr>
          <w:rFonts w:ascii="Times New Roman" w:hAnsi="Times New Roman"/>
          <w:sz w:val="28"/>
          <w:szCs w:val="28"/>
          <w:lang w:val="ru-RU" w:eastAsia="uk-UA"/>
        </w:rPr>
        <w:t>[</w:t>
      </w:r>
      <w:r w:rsidRPr="00F90B6B">
        <w:rPr>
          <w:rFonts w:ascii="Times New Roman" w:hAnsi="Times New Roman"/>
          <w:sz w:val="28"/>
          <w:szCs w:val="28"/>
          <w:lang w:val="ru-RU"/>
        </w:rPr>
        <w:t>15</w:t>
      </w:r>
      <w:r w:rsidRPr="00F90B6B">
        <w:rPr>
          <w:rFonts w:ascii="Times New Roman" w:hAnsi="Times New Roman"/>
          <w:sz w:val="28"/>
          <w:szCs w:val="28"/>
          <w:lang w:eastAsia="uk-UA"/>
        </w:rPr>
        <w:t>].</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В нашій роботі</w:t>
      </w:r>
      <w:r w:rsidRPr="00F90B6B">
        <w:rPr>
          <w:rFonts w:ascii="Times New Roman" w:hAnsi="Times New Roman"/>
          <w:sz w:val="28"/>
          <w:szCs w:val="28"/>
        </w:rPr>
        <w:t xml:space="preserve"> пацієнти були розподілені на дві групи за рівнем синтезу </w:t>
      </w:r>
      <w:r w:rsidRPr="00F90B6B">
        <w:rPr>
          <w:rFonts w:ascii="Times New Roman" w:hAnsi="Times New Roman"/>
          <w:sz w:val="28"/>
          <w:szCs w:val="28"/>
          <w:lang w:eastAsia="uk-UA"/>
        </w:rPr>
        <w:t>NTproBNP високого та нормального рівня NTproBNP. В</w:t>
      </w:r>
      <w:r w:rsidRPr="00F90B6B">
        <w:rPr>
          <w:rFonts w:ascii="Times New Roman" w:hAnsi="Times New Roman"/>
          <w:sz w:val="28"/>
          <w:szCs w:val="28"/>
        </w:rPr>
        <w:t xml:space="preserve">становлено вірогідне зниження швидкості клубочкової фільтрації при високому синтезі </w:t>
      </w:r>
      <w:r w:rsidRPr="00F90B6B">
        <w:rPr>
          <w:rFonts w:ascii="Times New Roman" w:hAnsi="Times New Roman"/>
          <w:sz w:val="28"/>
          <w:szCs w:val="28"/>
          <w:lang w:eastAsia="uk-UA"/>
        </w:rPr>
        <w:t>NTproBNP, що підтверджується як абсолютними значеннями (р&lt;0,05), так і регресійним аналізом (р&lt;0,05).</w:t>
      </w:r>
    </w:p>
    <w:p w:rsidR="00EF4063" w:rsidRPr="00F90B6B" w:rsidRDefault="00EF4063" w:rsidP="00F0048B">
      <w:pPr>
        <w:spacing w:after="0" w:line="360" w:lineRule="auto"/>
        <w:ind w:firstLine="709"/>
        <w:jc w:val="both"/>
        <w:rPr>
          <w:rFonts w:ascii="Times New Roman" w:hAnsi="Times New Roman"/>
          <w:i/>
          <w:sz w:val="28"/>
          <w:szCs w:val="28"/>
          <w:lang w:eastAsia="uk-UA"/>
        </w:rPr>
      </w:pPr>
      <w:r w:rsidRPr="00F90B6B">
        <w:rPr>
          <w:rFonts w:ascii="Times New Roman" w:hAnsi="Times New Roman"/>
          <w:sz w:val="28"/>
          <w:szCs w:val="28"/>
          <w:lang w:eastAsia="uk-UA"/>
        </w:rPr>
        <w:t xml:space="preserve">Нами було запропоновано математичну модель взаємозв'язку між вмістом NTproBNP та рівнем ШКФ при ХСН та ожирінні: </w:t>
      </w:r>
      <w:r w:rsidRPr="00F90B6B">
        <w:rPr>
          <w:rFonts w:ascii="Times New Roman" w:hAnsi="Times New Roman"/>
          <w:i/>
          <w:sz w:val="28"/>
          <w:szCs w:val="28"/>
          <w:lang w:eastAsia="uk-UA"/>
        </w:rPr>
        <w:t>NTproBNP=399,35-ШКФ*0,151.</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В кластері «високого» синтезу NTproBNP верифіковано вірогідну роль анемічного синдрому при ХСН та ожирінні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а також встановлено від’ємний взаємозв’язок між рівнем синтезу NTproBNP, вмістом еритроцитів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=-0,42,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гемоглобіну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=-0,26, </w:t>
      </w:r>
      <w:r w:rsidRPr="00F90B6B">
        <w:rPr>
          <w:rFonts w:ascii="Times New Roman" w:hAnsi="Times New Roman"/>
          <w:sz w:val="28"/>
          <w:szCs w:val="28"/>
          <w:lang w:val="en-US" w:eastAsia="uk-UA"/>
        </w:rPr>
        <w:t>p</w:t>
      </w:r>
      <w:r w:rsidRPr="00F90B6B">
        <w:rPr>
          <w:rFonts w:ascii="Times New Roman" w:hAnsi="Times New Roman"/>
          <w:sz w:val="28"/>
          <w:szCs w:val="28"/>
          <w:lang w:eastAsia="uk-UA"/>
        </w:rPr>
        <w:t xml:space="preserve">&lt;0,05). За аналізу показників гемодинаміки та їх </w:t>
      </w:r>
      <w:r w:rsidRPr="00F90B6B">
        <w:rPr>
          <w:rFonts w:ascii="Times New Roman" w:hAnsi="Times New Roman"/>
          <w:sz w:val="28"/>
          <w:szCs w:val="28"/>
          <w:lang w:eastAsia="uk-UA"/>
        </w:rPr>
        <w:lastRenderedPageBreak/>
        <w:t>співвідношення з рівнем NTproBNP було виявлено прямий зв’язок при регресійному аналізі відносно рівня САТ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=0,25, р&lt;0,05) та ДАТ (</w:t>
      </w:r>
      <w:r w:rsidRPr="00F90B6B">
        <w:rPr>
          <w:rFonts w:ascii="Times New Roman" w:hAnsi="Times New Roman"/>
          <w:sz w:val="28"/>
          <w:szCs w:val="28"/>
          <w:lang w:val="en-US" w:eastAsia="uk-UA"/>
        </w:rPr>
        <w:t>r</w:t>
      </w:r>
      <w:r w:rsidRPr="00F90B6B">
        <w:rPr>
          <w:rFonts w:ascii="Times New Roman" w:hAnsi="Times New Roman"/>
          <w:sz w:val="28"/>
          <w:szCs w:val="28"/>
          <w:lang w:eastAsia="uk-UA"/>
        </w:rPr>
        <w:t>=0,20, р&lt;0,05), рівня пульсового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середнього АТ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=0,24, </w:t>
      </w:r>
      <w:r w:rsidRPr="00F90B6B">
        <w:rPr>
          <w:rFonts w:ascii="Times New Roman" w:hAnsi="Times New Roman"/>
          <w:sz w:val="28"/>
          <w:szCs w:val="28"/>
          <w:lang w:val="en-US" w:eastAsia="uk-UA"/>
        </w:rPr>
        <w:t>p</w:t>
      </w:r>
      <w:r w:rsidRPr="00F90B6B">
        <w:rPr>
          <w:rFonts w:ascii="Times New Roman" w:hAnsi="Times New Roman"/>
          <w:sz w:val="28"/>
          <w:szCs w:val="28"/>
          <w:lang w:eastAsia="uk-UA"/>
        </w:rPr>
        <w:t xml:space="preserve">&lt;0,05). Встановлену залежність між NTproBNP та показниками гемодинаміки для пацієнтів з ХСН при супутньому ожирінні представлено у вигляді рівняння лінійної регресії: </w:t>
      </w:r>
      <w:r w:rsidRPr="00F90B6B">
        <w:rPr>
          <w:rFonts w:ascii="Times New Roman" w:hAnsi="Times New Roman"/>
          <w:i/>
          <w:sz w:val="28"/>
          <w:szCs w:val="28"/>
          <w:lang w:eastAsia="uk-UA"/>
        </w:rPr>
        <w:t>NTproBNP=599,07-ПАТ*0,308.</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За даними ехокардіографії було встановлено вірогідне зменшення ФВЛШ при наростанні вмісту NTproBNP у хворих з ХСН та ожирінням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причому зниження ФВЛШ було пов’язано, в першу чергу зі збільшенням КСО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NTproBNP-залежними структурними змінами при ХСН та ожирінні за даними ЕхоКГ були ліве передсердя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=0,22,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праве передсердя (</w:t>
      </w:r>
      <w:r w:rsidRPr="00F90B6B">
        <w:rPr>
          <w:rFonts w:ascii="Times New Roman" w:hAnsi="Times New Roman"/>
          <w:sz w:val="28"/>
          <w:szCs w:val="28"/>
          <w:lang w:val="en-US" w:eastAsia="uk-UA"/>
        </w:rPr>
        <w:t>r</w:t>
      </w:r>
      <w:r w:rsidRPr="00F90B6B">
        <w:rPr>
          <w:rFonts w:ascii="Times New Roman" w:hAnsi="Times New Roman"/>
          <w:sz w:val="28"/>
          <w:szCs w:val="28"/>
          <w:lang w:eastAsia="uk-UA"/>
        </w:rPr>
        <w:t xml:space="preserve">=0,19,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 та правий шлуночок, розміри яких були вірогідно більшими при більш високому рівні біомаркера. Серед параметрів, що характеризують прояви діастолічної дисфункції ЛШ вірогідну лінійну залежність встановлено для Е/А співвідношення – наростання вмісту NTproBNP супроводжується зменшенням діастолічного розслаблення ЛШ при ХСН та ожирінні (</w:t>
      </w:r>
      <w:r w:rsidRPr="00F90B6B">
        <w:rPr>
          <w:rFonts w:ascii="Times New Roman" w:hAnsi="Times New Roman"/>
          <w:sz w:val="28"/>
          <w:szCs w:val="28"/>
          <w:lang w:val="en-US" w:eastAsia="uk-UA"/>
        </w:rPr>
        <w:t>p</w:t>
      </w:r>
      <w:r w:rsidRPr="00F90B6B">
        <w:rPr>
          <w:rFonts w:ascii="Times New Roman" w:hAnsi="Times New Roman"/>
          <w:sz w:val="28"/>
          <w:szCs w:val="28"/>
          <w:lang w:eastAsia="uk-UA"/>
        </w:rPr>
        <w:t>&lt;0,05).</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 xml:space="preserve">Аналогічні дані показані також у дослідженні Kim H. і співавт., в якому співвідношення Е / А у хворих з ХСН з збереженій ФВ ЛШ з'явилися найбільш потужним предиктором підвищеного рівня NTproBNP [152, </w:t>
      </w:r>
      <w:r w:rsidRPr="00F90B6B">
        <w:rPr>
          <w:rFonts w:ascii="Times New Roman" w:hAnsi="Times New Roman"/>
          <w:sz w:val="28"/>
          <w:szCs w:val="28"/>
        </w:rPr>
        <w:t>211</w:t>
      </w:r>
      <w:r w:rsidRPr="00F90B6B">
        <w:rPr>
          <w:rFonts w:ascii="Times New Roman" w:hAnsi="Times New Roman"/>
          <w:sz w:val="28"/>
          <w:szCs w:val="28"/>
          <w:lang w:eastAsia="uk-UA"/>
        </w:rPr>
        <w:t>]. Таким чином, у хворих з ХСН підвищення рівня NTproBNP сприяє як дисфункція ЛШ, так і розширення ЛП, а рівні NTproBNP відрізняються досить високою специфічністю у виявленні дисфункції ЛП, що відповідає результатам досліджень, в яких втрата насосної функції ЛП у хворих з фібриляцією передсердь за  порівняно з хворими з синусовим ритмом асоціюється з достовірним підвищенням рівнів NTproBNP [</w:t>
      </w:r>
      <w:r w:rsidRPr="00F90B6B">
        <w:rPr>
          <w:rFonts w:ascii="Times New Roman" w:hAnsi="Times New Roman"/>
          <w:sz w:val="28"/>
          <w:szCs w:val="28"/>
        </w:rPr>
        <w:t>53</w:t>
      </w:r>
      <w:r w:rsidRPr="00F90B6B">
        <w:rPr>
          <w:rFonts w:ascii="Times New Roman" w:hAnsi="Times New Roman"/>
          <w:sz w:val="28"/>
          <w:szCs w:val="28"/>
          <w:lang w:eastAsia="uk-UA"/>
        </w:rPr>
        <w:t xml:space="preserve">].  Наявність достовірної кореляційної зв'язку між розміром ЛП і рівнем NTproBNP у хворих з ХСН та збереженою ФВ ЛШ було показано також в дослідженні Lim TK і співавт., в якому достовірними прогностичними факторами підвищення рівня NTproBNP  в одноваріантного аналізі були КСР, індекс Vmax, максимальна швидкість хвилі, а багатоваріантний аналіз показав, що найбільш потужним незалежним предиктором підвищення рівня даного нейропепті  да є розмір ЛП. </w:t>
      </w:r>
      <w:r w:rsidRPr="00F90B6B">
        <w:rPr>
          <w:rFonts w:ascii="Times New Roman" w:hAnsi="Times New Roman"/>
          <w:sz w:val="28"/>
          <w:szCs w:val="28"/>
          <w:lang w:eastAsia="uk-UA"/>
        </w:rPr>
        <w:lastRenderedPageBreak/>
        <w:t xml:space="preserve">Також, при вивченні тривимірної залежності між рівнем NTproBNP натріємії та альдостероном нами було представлено тривимірну регресійну модель: </w:t>
      </w:r>
      <w:r w:rsidRPr="00F90B6B">
        <w:rPr>
          <w:rFonts w:ascii="Times New Roman" w:hAnsi="Times New Roman"/>
          <w:i/>
          <w:sz w:val="28"/>
          <w:szCs w:val="28"/>
          <w:lang w:val="en-US" w:eastAsia="uk-UA"/>
        </w:rPr>
        <w:t>Na</w:t>
      </w:r>
      <w:r w:rsidRPr="00F90B6B">
        <w:rPr>
          <w:rFonts w:ascii="Times New Roman" w:hAnsi="Times New Roman"/>
          <w:i/>
          <w:sz w:val="28"/>
          <w:szCs w:val="28"/>
          <w:lang w:eastAsia="uk-UA"/>
        </w:rPr>
        <w:t>=129,75- NTproBNP*0,029267+альдостерон*0,770815.</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lang w:eastAsia="uk-UA"/>
        </w:rPr>
        <w:t>Таким чином, на підставі результатів проведеного нами дослідження та досліджень інших авторів можна зробити висновок, що NTproBNP є потужним біомаркером при ХСН та ожирінні, что впливає на натрійурез та параметри гемодинаміки.</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Завданням наступного етапу дисертаційного дослідження було </w:t>
      </w:r>
      <w:r w:rsidRPr="00F90B6B">
        <w:rPr>
          <w:rFonts w:ascii="Times New Roman" w:hAnsi="Times New Roman"/>
          <w:bCs/>
          <w:sz w:val="28"/>
          <w:szCs w:val="28"/>
        </w:rPr>
        <w:t>оцінити прогностичну роль гіпонатріємії у пацієнтів з хронічною серцевою недостатністю і збереженою фракцією викиду лівого шлуночка та ожирінням.</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Було встановлено, що серед факторів, які асоціюються з гіпонатріємією у хворих, госпіталізованих з приводу ХСН були вік хворих старше 65 років, індекс маси тіла більше 30 кг/м</w:t>
      </w:r>
      <w:r w:rsidRPr="00F90B6B">
        <w:rPr>
          <w:rFonts w:ascii="Times New Roman" w:hAnsi="Times New Roman"/>
          <w:sz w:val="28"/>
          <w:szCs w:val="28"/>
          <w:vertAlign w:val="superscript"/>
        </w:rPr>
        <w:t>2</w:t>
      </w:r>
      <w:r w:rsidRPr="00F90B6B">
        <w:rPr>
          <w:rFonts w:ascii="Times New Roman" w:hAnsi="Times New Roman"/>
          <w:sz w:val="28"/>
          <w:szCs w:val="28"/>
        </w:rPr>
        <w:t xml:space="preserve">, наявність в анамнезі гіпертонічної хвороби, фібриляції передсердь, виразкової хвороби та хронічного гастриту, верифіковані діастолічна дисфункція (Е/А&lt;1,0) та кардіоренальний синдром. </w:t>
      </w:r>
    </w:p>
    <w:p w:rsidR="00EF4063" w:rsidRPr="00F90B6B" w:rsidRDefault="00EF4063" w:rsidP="00F0048B">
      <w:pPr>
        <w:spacing w:after="0" w:line="360" w:lineRule="auto"/>
        <w:ind w:firstLine="709"/>
        <w:jc w:val="both"/>
        <w:rPr>
          <w:rFonts w:ascii="Times New Roman" w:hAnsi="Times New Roman"/>
          <w:sz w:val="28"/>
          <w:szCs w:val="28"/>
          <w:lang w:eastAsia="uk-UA"/>
        </w:rPr>
      </w:pPr>
      <w:r w:rsidRPr="00F90B6B">
        <w:rPr>
          <w:rFonts w:ascii="Times New Roman" w:hAnsi="Times New Roman"/>
          <w:sz w:val="28"/>
          <w:szCs w:val="28"/>
        </w:rPr>
        <w:t>Зокрема, віковою особливістю розвитку важкої гіпонатріємії був приріст абсолютного ризику на 17,0% у осіб старше 65 років. Вірогідний додатковий ризик важкої гіпонатріємії встановлено у осіб з ожирінням (ІМТ≥30 кг/м</w:t>
      </w:r>
      <w:r w:rsidRPr="00F90B6B">
        <w:rPr>
          <w:rFonts w:ascii="Times New Roman" w:hAnsi="Times New Roman"/>
          <w:sz w:val="28"/>
          <w:szCs w:val="28"/>
          <w:vertAlign w:val="superscript"/>
        </w:rPr>
        <w:t>2</w:t>
      </w:r>
      <w:r w:rsidRPr="00F90B6B">
        <w:rPr>
          <w:rFonts w:ascii="Times New Roman" w:hAnsi="Times New Roman"/>
          <w:sz w:val="28"/>
          <w:szCs w:val="28"/>
        </w:rPr>
        <w:t>) – підвищення ризику на 33,0%, вірогідні показники відносного ризику, при супутній гіпертонічній хворобі (</w:t>
      </w:r>
      <w:r w:rsidRPr="00F90B6B">
        <w:rPr>
          <w:rFonts w:ascii="Times New Roman" w:hAnsi="Times New Roman"/>
          <w:sz w:val="28"/>
          <w:szCs w:val="28"/>
          <w:lang w:val="en-US"/>
        </w:rPr>
        <w:t>p</w:t>
      </w:r>
      <w:r w:rsidRPr="00F90B6B">
        <w:rPr>
          <w:rFonts w:ascii="Times New Roman" w:hAnsi="Times New Roman"/>
          <w:sz w:val="28"/>
          <w:szCs w:val="28"/>
        </w:rPr>
        <w:t>&lt;0,05), цукровому діабеті типу 2 (</w:t>
      </w:r>
      <w:r w:rsidRPr="00F90B6B">
        <w:rPr>
          <w:rFonts w:ascii="Times New Roman" w:hAnsi="Times New Roman"/>
          <w:sz w:val="28"/>
          <w:szCs w:val="28"/>
          <w:lang w:val="en-US"/>
        </w:rPr>
        <w:t>p</w:t>
      </w:r>
      <w:r w:rsidRPr="00F90B6B">
        <w:rPr>
          <w:rFonts w:ascii="Times New Roman" w:hAnsi="Times New Roman"/>
          <w:sz w:val="28"/>
          <w:szCs w:val="28"/>
        </w:rPr>
        <w:t>&lt;0,05). Серед загальноклінічних показників за наявності більш важкої гіпонатріємії верифіковано більш високий рівень глікемії (р</w:t>
      </w:r>
      <w:r w:rsidRPr="00F90B6B">
        <w:rPr>
          <w:rFonts w:ascii="Times New Roman" w:hAnsi="Times New Roman"/>
          <w:sz w:val="28"/>
          <w:szCs w:val="28"/>
          <w:lang w:eastAsia="uk-UA"/>
        </w:rPr>
        <w:t>&lt;0,05</w:t>
      </w:r>
      <w:r w:rsidRPr="00F90B6B">
        <w:rPr>
          <w:rFonts w:ascii="Times New Roman" w:hAnsi="Times New Roman"/>
          <w:sz w:val="28"/>
          <w:szCs w:val="28"/>
        </w:rPr>
        <w:t>), а також інсулінорезистентності за індексом НОМА (р</w:t>
      </w:r>
      <w:r w:rsidRPr="00F90B6B">
        <w:rPr>
          <w:rFonts w:ascii="Times New Roman" w:hAnsi="Times New Roman"/>
          <w:sz w:val="28"/>
          <w:szCs w:val="28"/>
          <w:lang w:eastAsia="uk-UA"/>
        </w:rPr>
        <w:t>&lt;0,05).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lang w:eastAsia="uk-UA"/>
        </w:rPr>
        <w:t xml:space="preserve">За аналізу </w:t>
      </w:r>
      <w:r w:rsidRPr="00F90B6B">
        <w:rPr>
          <w:rFonts w:ascii="Times New Roman" w:hAnsi="Times New Roman"/>
          <w:sz w:val="28"/>
          <w:szCs w:val="28"/>
        </w:rPr>
        <w:t xml:space="preserve">розвитку діастолічної дисфункції та Е/А&lt;1,0 у пацієнтів з ХСН та важкою гіпонатріємією приріст абсолютного ризику становив 23,0%,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Доведено, що частота призначення гідрохлортіазиду у хворих з гіпонатріємією була суттєво більшою - приріст абсолютного ризику становив 28,0%, </w:t>
      </w:r>
      <w:r w:rsidRPr="00F90B6B">
        <w:rPr>
          <w:rFonts w:ascii="Times New Roman" w:hAnsi="Times New Roman"/>
          <w:sz w:val="28"/>
          <w:szCs w:val="28"/>
          <w:lang w:val="en-US"/>
        </w:rPr>
        <w:t>p</w:t>
      </w:r>
      <w:r w:rsidRPr="00F90B6B">
        <w:rPr>
          <w:rFonts w:ascii="Times New Roman" w:hAnsi="Times New Roman"/>
          <w:sz w:val="28"/>
          <w:szCs w:val="28"/>
          <w:lang w:val="ru-RU"/>
        </w:rPr>
        <w:t>&lt;0,05</w:t>
      </w:r>
      <w:r w:rsidRPr="00F90B6B">
        <w:rPr>
          <w:rFonts w:ascii="Times New Roman" w:hAnsi="Times New Roman"/>
          <w:sz w:val="28"/>
          <w:szCs w:val="28"/>
        </w:rPr>
        <w:t xml:space="preserve">. При оцінці спектру петльових діуретиків, встановлено, що частота призначення фуросеміду при розвитку гіпонатріємії була більшою; на тлі призначення фуросеміду, порівняно з торасемідом, встановлено підвищення AR на 27,0%, </w:t>
      </w:r>
      <w:r w:rsidRPr="00F90B6B">
        <w:rPr>
          <w:rFonts w:ascii="Times New Roman" w:hAnsi="Times New Roman"/>
          <w:sz w:val="28"/>
          <w:szCs w:val="28"/>
          <w:lang w:val="en-US"/>
        </w:rPr>
        <w:t>p</w:t>
      </w:r>
      <w:r w:rsidRPr="00F90B6B">
        <w:rPr>
          <w:rFonts w:ascii="Times New Roman" w:hAnsi="Times New Roman"/>
          <w:sz w:val="28"/>
          <w:szCs w:val="28"/>
        </w:rPr>
        <w:t xml:space="preserve">&lt;0,05. Частота призначення петльових діуретиків варіювала від 79,5% при легкій </w:t>
      </w:r>
      <w:r w:rsidRPr="00F90B6B">
        <w:rPr>
          <w:rFonts w:ascii="Times New Roman" w:hAnsi="Times New Roman"/>
          <w:sz w:val="28"/>
          <w:szCs w:val="28"/>
        </w:rPr>
        <w:lastRenderedPageBreak/>
        <w:t xml:space="preserve">гіпонатріємії до 100,0% при важкій гіпонатріємії та гіпонатріємії середньої важкості. Приріст ризику важкої гіпонатріємії встановлено на рівні 21,0%, </w:t>
      </w:r>
      <w:r w:rsidRPr="00F90B6B">
        <w:rPr>
          <w:rFonts w:ascii="Times New Roman" w:hAnsi="Times New Roman"/>
          <w:sz w:val="28"/>
          <w:szCs w:val="28"/>
          <w:lang w:val="en-US"/>
        </w:rPr>
        <w:t>p</w:t>
      </w:r>
      <w:r w:rsidRPr="00F90B6B">
        <w:rPr>
          <w:rFonts w:ascii="Times New Roman" w:hAnsi="Times New Roman"/>
          <w:sz w:val="28"/>
          <w:szCs w:val="28"/>
        </w:rPr>
        <w:t xml:space="preserve">&lt;0,05. Призначення фуросеміду асоціювалося з важкою гіпонатріємією та гіпонатріємією середньої важкості, </w:t>
      </w:r>
      <w:r w:rsidRPr="00F90B6B">
        <w:rPr>
          <w:rFonts w:ascii="Times New Roman" w:hAnsi="Times New Roman"/>
          <w:sz w:val="28"/>
          <w:szCs w:val="28"/>
          <w:lang w:val="en-US"/>
        </w:rPr>
        <w:t>p</w:t>
      </w:r>
      <w:r w:rsidRPr="00F90B6B">
        <w:rPr>
          <w:rFonts w:ascii="Times New Roman" w:hAnsi="Times New Roman"/>
          <w:sz w:val="28"/>
          <w:szCs w:val="28"/>
        </w:rPr>
        <w:t>&lt;0,05.</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Якщо говорити про специфічне лікування гіпонатріємії, то в даний час гіпонатріємія є єдиним показанням до обмеження прийому рідини при декомпенсації ХСН, при цьому обмеження рідини лише збільшує спрагу, не впливаючи на результати лікування [174]. В той же час для хворих з декомпенсацією ХСН та гіпонатріємією є характерною вкрай висока нейрогуморальна активація з подальшою системною вазоконстрикцією та вираженою реадсорбцією натрію і води в усіх відділах ниркових канальців, найбільш інтенсивна в початкових відділах, проксимальніше місця дії петльових діуретиків. Отже, для таких хворих характерним є розвиток рефрактерності до діуретиків. Застосування інгібіторів ангіотензинперетворюючого ферменту (ІАПФ) у хворих цієї групи є обмеженим. Цим пояснюється більш часта необхідність застосування вазодилататорів, зокрема, нітрогліцерину для досягнення компенсації ХСН. Інший підхід пов'язаний з блокадою рецепторів V2 збірних трубочок (місце дії антидіуретичного гормону) ваптанами [59, 112, 147, 216]. Препарати цієї групи продемонстрували високий потенціал в лікуванні гипонатріємії, в тому числі у хворих з ХСН. Дослідження EVEREST показало високу ефективність толваптану як акваретіка при декомпенсації ХСН. В той же час, застосування препарату в порівнянні зі стандартною терапією не впливало на довгострокові «кінцеві точки» (смертність та повторні госпіталізації) [</w:t>
      </w:r>
      <w:r w:rsidRPr="00F90B6B">
        <w:rPr>
          <w:rFonts w:ascii="Times New Roman" w:hAnsi="Times New Roman"/>
          <w:sz w:val="28"/>
          <w:szCs w:val="28"/>
          <w:lang w:val="ru-RU"/>
        </w:rPr>
        <w:t>26, 67, 92, 99</w:t>
      </w:r>
      <w:r w:rsidRPr="00F90B6B">
        <w:rPr>
          <w:rFonts w:ascii="Times New Roman" w:hAnsi="Times New Roman"/>
          <w:sz w:val="28"/>
          <w:szCs w:val="28"/>
        </w:rPr>
        <w:t>]. Обмеженням цього дослідження було невелике число хворих СН з гіпонатріємією (7,7%).</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В рекомендаціях також зазначено раціональність щоденного визначення рівня натрію в сироватці у хворих з важкою декомпенсацією ХСН, особливо при підборі доз інгібіторів АПФ та β-адреноблокаторів при низькому та межовому рівні артеріального тиску, тому що, найчастіше, зниження концентрації натрію у хворих цієї групи випереджає падіння артеріального тиску та погіршення функції нирок.</w:t>
      </w:r>
    </w:p>
    <w:p w:rsidR="00EF4063" w:rsidRPr="00F90B6B" w:rsidRDefault="00EF4063" w:rsidP="00F0048B">
      <w:pPr>
        <w:pStyle w:val="Style78"/>
        <w:spacing w:line="360" w:lineRule="auto"/>
        <w:ind w:firstLine="709"/>
        <w:jc w:val="both"/>
        <w:rPr>
          <w:sz w:val="28"/>
          <w:szCs w:val="28"/>
          <w:lang w:val="uk-UA"/>
        </w:rPr>
      </w:pPr>
      <w:r w:rsidRPr="00F90B6B">
        <w:rPr>
          <w:sz w:val="28"/>
          <w:szCs w:val="28"/>
          <w:lang w:val="uk-UA" w:eastAsia="uk-UA"/>
        </w:rPr>
        <w:t xml:space="preserve">Наступним завданням нашої роботи був аналіз </w:t>
      </w:r>
      <w:r w:rsidRPr="00F90B6B">
        <w:rPr>
          <w:sz w:val="28"/>
          <w:szCs w:val="28"/>
          <w:lang w:val="uk-UA"/>
        </w:rPr>
        <w:t xml:space="preserve">предикторів виникнення </w:t>
      </w:r>
      <w:r w:rsidRPr="00F90B6B">
        <w:rPr>
          <w:sz w:val="28"/>
          <w:szCs w:val="28"/>
          <w:lang w:val="uk-UA"/>
        </w:rPr>
        <w:lastRenderedPageBreak/>
        <w:t>серцево-судинних ускладнень у хворих з хронічною серцевою недостатністю та гіпонатріємією при 2-річному проспективному та 5-річному ретроспективному спостереженні.</w:t>
      </w:r>
    </w:p>
    <w:p w:rsidR="00EF4063" w:rsidRPr="00F90B6B" w:rsidRDefault="00EF4063" w:rsidP="00F0048B">
      <w:pPr>
        <w:pStyle w:val="Style78"/>
        <w:spacing w:line="360" w:lineRule="auto"/>
        <w:ind w:firstLine="709"/>
        <w:jc w:val="both"/>
        <w:rPr>
          <w:sz w:val="28"/>
          <w:szCs w:val="28"/>
          <w:lang w:val="uk-UA"/>
        </w:rPr>
      </w:pPr>
      <w:r w:rsidRPr="00F90B6B">
        <w:rPr>
          <w:sz w:val="28"/>
          <w:szCs w:val="28"/>
        </w:rPr>
        <w:t xml:space="preserve">Проспективно </w:t>
      </w:r>
      <w:r w:rsidRPr="00F90B6B">
        <w:rPr>
          <w:sz w:val="28"/>
          <w:szCs w:val="28"/>
          <w:lang w:val="uk-UA"/>
        </w:rPr>
        <w:t>з</w:t>
      </w:r>
      <w:r w:rsidRPr="00F90B6B">
        <w:rPr>
          <w:sz w:val="28"/>
          <w:szCs w:val="28"/>
        </w:rPr>
        <w:t xml:space="preserve">а оцінки пароксизмів фібриляції передсердь, а також первинно виявлених хворих з постійною формою ФП виявлено приріст </w:t>
      </w:r>
      <w:r w:rsidRPr="00F90B6B">
        <w:rPr>
          <w:sz w:val="28"/>
          <w:szCs w:val="28"/>
          <w:lang w:val="uk-UA"/>
        </w:rPr>
        <w:t xml:space="preserve">абсолютного ризику </w:t>
      </w:r>
      <w:r w:rsidRPr="00F90B6B">
        <w:rPr>
          <w:sz w:val="28"/>
          <w:szCs w:val="28"/>
        </w:rPr>
        <w:t>на 11,0%</w:t>
      </w:r>
      <w:r w:rsidRPr="00F90B6B">
        <w:rPr>
          <w:sz w:val="28"/>
          <w:szCs w:val="28"/>
          <w:lang w:val="uk-UA"/>
        </w:rPr>
        <w:t>, вірогідні показники</w:t>
      </w:r>
      <w:r w:rsidRPr="00F90B6B">
        <w:rPr>
          <w:sz w:val="28"/>
          <w:szCs w:val="28"/>
        </w:rPr>
        <w:t xml:space="preserve"> відносного ризиків (2,76 [1,08-6,98], </w:t>
      </w:r>
      <w:r w:rsidRPr="00F90B6B">
        <w:rPr>
          <w:sz w:val="28"/>
          <w:szCs w:val="28"/>
          <w:lang w:val="en-US"/>
        </w:rPr>
        <w:t>p</w:t>
      </w:r>
      <w:r w:rsidRPr="00F90B6B">
        <w:rPr>
          <w:sz w:val="28"/>
          <w:szCs w:val="28"/>
        </w:rPr>
        <w:t xml:space="preserve">&lt;0,05), а також відношення шансів (3,15 [1,09-9,05], </w:t>
      </w:r>
      <w:r w:rsidRPr="00F90B6B">
        <w:rPr>
          <w:sz w:val="28"/>
          <w:szCs w:val="28"/>
          <w:lang w:val="en-US"/>
        </w:rPr>
        <w:t>p</w:t>
      </w:r>
      <w:r w:rsidRPr="00F90B6B">
        <w:rPr>
          <w:sz w:val="28"/>
          <w:szCs w:val="28"/>
        </w:rPr>
        <w:t>&lt;0,05)</w:t>
      </w:r>
      <w:r w:rsidRPr="00F90B6B">
        <w:rPr>
          <w:sz w:val="28"/>
          <w:szCs w:val="28"/>
          <w:lang w:val="uk-UA"/>
        </w:rPr>
        <w:t>.</w:t>
      </w:r>
    </w:p>
    <w:p w:rsidR="00EF4063" w:rsidRPr="00F90B6B" w:rsidRDefault="00EF4063" w:rsidP="00F0048B">
      <w:pPr>
        <w:pStyle w:val="Style78"/>
        <w:spacing w:line="360" w:lineRule="auto"/>
        <w:ind w:firstLine="709"/>
        <w:jc w:val="both"/>
        <w:rPr>
          <w:sz w:val="28"/>
          <w:szCs w:val="28"/>
        </w:rPr>
      </w:pPr>
      <w:r w:rsidRPr="00F90B6B">
        <w:rPr>
          <w:sz w:val="28"/>
          <w:szCs w:val="28"/>
        </w:rPr>
        <w:t xml:space="preserve">При зіставленні частоти гострого коронарного синдрому </w:t>
      </w:r>
      <w:r w:rsidRPr="00F90B6B">
        <w:rPr>
          <w:sz w:val="28"/>
          <w:szCs w:val="28"/>
          <w:lang w:val="uk-UA"/>
        </w:rPr>
        <w:t>в</w:t>
      </w:r>
      <w:r w:rsidRPr="00F90B6B">
        <w:rPr>
          <w:sz w:val="28"/>
          <w:szCs w:val="28"/>
        </w:rPr>
        <w:t>ерифіковано підвищення абсолютного ризику на 8,0%, зростання відносного ризику в 1,93 разів та шансів в 2,14 разів.</w:t>
      </w:r>
    </w:p>
    <w:p w:rsidR="00EF4063" w:rsidRPr="00F90B6B" w:rsidRDefault="00EF4063" w:rsidP="00F0048B">
      <w:pPr>
        <w:tabs>
          <w:tab w:val="left" w:pos="3864"/>
        </w:tabs>
        <w:spacing w:after="0" w:line="360" w:lineRule="auto"/>
        <w:ind w:firstLine="709"/>
        <w:jc w:val="both"/>
        <w:rPr>
          <w:rFonts w:ascii="Times New Roman" w:hAnsi="Times New Roman"/>
          <w:sz w:val="28"/>
          <w:szCs w:val="28"/>
          <w:lang w:val="ru-RU"/>
        </w:rPr>
      </w:pPr>
      <w:r w:rsidRPr="00F90B6B">
        <w:rPr>
          <w:rFonts w:ascii="Times New Roman" w:hAnsi="Times New Roman"/>
          <w:sz w:val="28"/>
          <w:szCs w:val="28"/>
        </w:rPr>
        <w:t xml:space="preserve">Для гострого порушення мозкового кровообігу такої тенденції для пацієнтів з ХСН зі ЗФВЛШ при ожирінні на фоні гіпонатріємії не визначено </w:t>
      </w:r>
      <w:r w:rsidRPr="00F90B6B">
        <w:rPr>
          <w:rFonts w:ascii="Times New Roman" w:hAnsi="Times New Roman"/>
          <w:sz w:val="28"/>
          <w:szCs w:val="28"/>
          <w:lang w:val="ru-RU"/>
        </w:rPr>
        <w:t>[224]</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Доведено несприятливу асоціацію гострої декомпенсації ХСН та гіпонатріємії з підвищенням AR на 38,0%, вірогідними RR 2,78 [1,85-4,19] та OR 5,37 [2,64-10,9]. Дані пацієнти потребувати переведення у відділення інтенсивної терапії.</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При важкій гіпонатріємії вірогідність декомпенсації ХСН сягала 100,0%, ризик зростав на 49,0% порівняно з легкою гіпонатріємією, RR - 1,95 [1,45-2,63].</w:t>
      </w:r>
    </w:p>
    <w:p w:rsidR="00EF4063" w:rsidRPr="00F90B6B" w:rsidRDefault="00EF4063" w:rsidP="00F0048B">
      <w:pPr>
        <w:pStyle w:val="Style60"/>
        <w:spacing w:line="360" w:lineRule="auto"/>
        <w:ind w:firstLine="709"/>
        <w:rPr>
          <w:sz w:val="28"/>
          <w:szCs w:val="28"/>
          <w:lang w:val="uk-UA"/>
        </w:rPr>
      </w:pPr>
      <w:r w:rsidRPr="00F90B6B">
        <w:rPr>
          <w:sz w:val="28"/>
          <w:szCs w:val="28"/>
          <w:lang w:val="uk-UA"/>
        </w:rPr>
        <w:t>Частота повторної госпіталізації при гіпонатріємії впродовж проспективного спостереження склала 76,0%, в той же час у хворих з нормальним рівнем натрію – 44,0%. Додатній ризик» за наявності гіпонатріємії у хворих з ХСН та ожирінням – 32,0%, Relative Risk і Odds Ratio склали, відповідно, 1,71 [1,15-2,54] та 3,96 [1,33-11,8], що свідчить про достовірне</w:t>
      </w:r>
      <w:r w:rsidRPr="00F90B6B">
        <w:rPr>
          <w:color w:val="FF0000"/>
          <w:sz w:val="28"/>
          <w:szCs w:val="28"/>
          <w:lang w:val="uk-UA"/>
        </w:rPr>
        <w:t xml:space="preserve"> </w:t>
      </w:r>
      <w:r w:rsidRPr="00F90B6B">
        <w:rPr>
          <w:sz w:val="28"/>
          <w:szCs w:val="28"/>
          <w:lang w:val="uk-UA"/>
        </w:rPr>
        <w:t>підвищення частоти госпіталізації при низькому рівні натрію.</w:t>
      </w:r>
    </w:p>
    <w:p w:rsidR="00EF4063" w:rsidRPr="00F90B6B" w:rsidRDefault="00EF4063" w:rsidP="00F0048B">
      <w:pPr>
        <w:pStyle w:val="Style60"/>
        <w:spacing w:line="360" w:lineRule="auto"/>
        <w:ind w:firstLine="709"/>
        <w:rPr>
          <w:sz w:val="28"/>
          <w:szCs w:val="28"/>
          <w:lang w:val="uk-UA"/>
        </w:rPr>
      </w:pPr>
      <w:r w:rsidRPr="00F90B6B">
        <w:rPr>
          <w:sz w:val="28"/>
          <w:szCs w:val="28"/>
          <w:lang w:val="uk-UA"/>
        </w:rPr>
        <w:t>Впродовж 2-річного проспективного спостереження у хворих з ХСН зі ЗВФЛШ при ожирінні та супутній гіпонатріємії було зареєстровано 1 випадок смертності – 4,0% проти 0,0% групи з нормонатріємією. Відносна ймовірність та шанси серцево-судинної летальності на фоні гіпонатріємії достовірно не підвищувались.</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Ретроспективно було вивчено 217 історій хвороб пацієнтів з хронічною серцевою недостатністю. Серед обстежених хворих 81 був переведений у відділення </w:t>
      </w:r>
      <w:r w:rsidRPr="00F90B6B">
        <w:rPr>
          <w:rFonts w:ascii="Times New Roman" w:hAnsi="Times New Roman"/>
          <w:sz w:val="28"/>
          <w:szCs w:val="28"/>
          <w:lang w:eastAsia="ru-RU"/>
        </w:rPr>
        <w:lastRenderedPageBreak/>
        <w:t>реанімації та інтенсивної терапії. Впродовж періоду спостереження було зареєстровано 351 ускладнення хронічної серцевої недостатності, з них – 115 гострих ускладнення, 236 – хронічних. Серед гострих розглядалися епізоди пароксизму фібриляції передсердь, летальність внаслідок декомпенсації серцевої недостатності, гостре порушення мозкового кровообігу, серед хронічних - зниження швидкості клубочкової фільтрації, потреба у повторній госпіталізації.</w:t>
      </w:r>
    </w:p>
    <w:p w:rsidR="00EF4063" w:rsidRPr="00F90B6B" w:rsidRDefault="00EF4063" w:rsidP="00F0048B">
      <w:pPr>
        <w:spacing w:after="0" w:line="360" w:lineRule="auto"/>
        <w:ind w:firstLine="708"/>
        <w:jc w:val="both"/>
        <w:rPr>
          <w:rFonts w:ascii="Times New Roman" w:hAnsi="Times New Roman"/>
          <w:sz w:val="28"/>
          <w:szCs w:val="28"/>
          <w:lang w:eastAsia="ru-RU"/>
        </w:rPr>
      </w:pPr>
      <w:r w:rsidRPr="00F90B6B">
        <w:rPr>
          <w:rFonts w:ascii="Times New Roman" w:hAnsi="Times New Roman"/>
          <w:sz w:val="28"/>
          <w:szCs w:val="28"/>
          <w:lang w:eastAsia="ru-RU"/>
        </w:rPr>
        <w:t>За аналізу причин декомпенсації серцевої недостатності в досліджуваній когорті хворих було встановлено, що за наявності ожиріння (ІМТ більше 30 кг/м</w:t>
      </w:r>
      <w:r w:rsidRPr="00F90B6B">
        <w:rPr>
          <w:rFonts w:ascii="Times New Roman" w:hAnsi="Times New Roman"/>
          <w:sz w:val="28"/>
          <w:szCs w:val="28"/>
          <w:vertAlign w:val="superscript"/>
          <w:lang w:eastAsia="ru-RU"/>
        </w:rPr>
        <w:t>2</w:t>
      </w:r>
      <w:r w:rsidRPr="00F90B6B">
        <w:rPr>
          <w:rFonts w:ascii="Times New Roman" w:hAnsi="Times New Roman"/>
          <w:sz w:val="28"/>
          <w:szCs w:val="28"/>
          <w:lang w:eastAsia="ru-RU"/>
        </w:rPr>
        <w:t>) частота декомпенсації ХСН була на 11,0% вищою</w:t>
      </w:r>
      <w:r w:rsidRPr="00F90B6B">
        <w:rPr>
          <w:rFonts w:ascii="Times New Roman" w:hAnsi="Times New Roman"/>
          <w:sz w:val="28"/>
          <w:szCs w:val="28"/>
          <w:lang w:val="ru-RU" w:eastAsia="ru-RU"/>
        </w:rPr>
        <w:t xml:space="preserve">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 проте вірогідний показник смертності при ХСН був виявлений саме за наявності абдомінального ожиріння. Вірогідність прогресування та декомпенсації ХСН на фоні цукрового діабету склала 56,0% супроти 18,0% (</w:t>
      </w:r>
      <w:r w:rsidRPr="00F90B6B">
        <w:rPr>
          <w:rFonts w:ascii="Times New Roman" w:hAnsi="Times New Roman"/>
          <w:sz w:val="28"/>
          <w:szCs w:val="28"/>
          <w:lang w:val="en-US" w:eastAsia="ru-RU"/>
        </w:rPr>
        <w:t>p</w:t>
      </w:r>
      <w:r w:rsidRPr="00F90B6B">
        <w:rPr>
          <w:rFonts w:ascii="Times New Roman" w:hAnsi="Times New Roman"/>
          <w:sz w:val="28"/>
          <w:szCs w:val="28"/>
          <w:lang w:eastAsia="ru-RU"/>
        </w:rPr>
        <w:t>&lt;0,05), а гендерною особливістю був більший ризик серцево-судинної смертності з декомпенсацією ХСН у осіб чоловічої статі зі збільшенням абсолютного ризику на 17,0</w:t>
      </w:r>
      <w:r w:rsidRPr="00F90B6B">
        <w:rPr>
          <w:rFonts w:ascii="Times New Roman" w:hAnsi="Times New Roman"/>
          <w:sz w:val="28"/>
          <w:szCs w:val="28"/>
          <w:lang w:val="ru-RU" w:eastAsia="ru-RU"/>
        </w:rPr>
        <w:t xml:space="preserve">% </w:t>
      </w:r>
      <w:r w:rsidRPr="00F90B6B">
        <w:rPr>
          <w:rFonts w:ascii="Times New Roman" w:hAnsi="Times New Roman"/>
          <w:sz w:val="28"/>
          <w:szCs w:val="28"/>
          <w:lang w:eastAsia="ru-RU"/>
        </w:rPr>
        <w:t>(</w:t>
      </w:r>
      <w:r w:rsidRPr="00F90B6B">
        <w:rPr>
          <w:rFonts w:ascii="Times New Roman" w:hAnsi="Times New Roman"/>
          <w:sz w:val="28"/>
          <w:szCs w:val="28"/>
          <w:lang w:val="en-US" w:eastAsia="ru-RU"/>
        </w:rPr>
        <w:t>p</w:t>
      </w:r>
      <w:r w:rsidRPr="00F90B6B">
        <w:rPr>
          <w:rFonts w:ascii="Times New Roman" w:hAnsi="Times New Roman"/>
          <w:sz w:val="28"/>
          <w:szCs w:val="28"/>
          <w:lang w:val="ru-RU" w:eastAsia="ru-RU"/>
        </w:rPr>
        <w:t>&lt;0,05</w:t>
      </w:r>
      <w:r w:rsidRPr="00F90B6B">
        <w:rPr>
          <w:rFonts w:ascii="Times New Roman" w:hAnsi="Times New Roman"/>
          <w:sz w:val="28"/>
          <w:szCs w:val="28"/>
          <w:lang w:eastAsia="ru-RU"/>
        </w:rPr>
        <w:t>).</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Встановлено, що найбільш часто при погіршенні перебігу ХСН у пацієнтів верифікувався знижений САТ (менше 90 мм рт. ст.) з абсолютним ризиком 82,7%. Подібну залежність було отримано також відносно показників діастолічного АТ, з найбільшим ризиком при ДАТ менше 60 мм рт. ст.</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Підвищений неконтрольований АТ може лежати в основі розвитку ХСН, проте низький рівень АТ є предиктором не тільки поганого прогнозу, але й ризику повторних госпіталізацій. Так, в дослідженні OPTIMIZE-HF у пацієнтів з систолічним АТ ≤ 119 мм рт. ст. була найменшою ФВ ЛШ (33%), відзначалася максимальна внутрішньогоспітальная смертність, а також смертність через 60 і 90 днів в порівнянні з пацієнтами з більш високими рівнями АТ (причому чим вищим був САТ, тим вищою була ФВ ЛШ). В групі пацієнтів, у яких систолічний АД складав ≥ 161 мм рт. ст., ФВ ЛШ була 44,4%. Однак, слід зазначити, що пацієнти з гіпотонією зустрічаються не так часто: в середньому у 5% пацієнтів САТ ≤ 90 мм рт. ст., тоді як приблизно у 50% - ≥ 140 мм рт. ст. [89].</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Проте, в недавньому мета-аналізі, який включав дані обстежень більше одного мільйона хворих, було встановлено, що смерть, як від ішемічної хвороби серця, так і </w:t>
      </w:r>
      <w:r w:rsidRPr="00F90B6B">
        <w:rPr>
          <w:rFonts w:ascii="Times New Roman" w:hAnsi="Times New Roman"/>
          <w:sz w:val="28"/>
          <w:szCs w:val="28"/>
        </w:rPr>
        <w:lastRenderedPageBreak/>
        <w:t>від інсультів прогресивно та лінійно збільшується при рівнях артеріального тиску 155 мм рт.ст. і вище САТ та 75 мм рт.ст. і вище ДАТ. Нижче цих рівнів немає доказів того, що смертність знижується. Необхідно відзначити, що зв'язок артеріального тиску з серцево-судинними захворюваннями і смертністю схильна до досить значних випадкових флюктуацій, особливо в «нормотензивному» діапазоні артеріального тиску (там, де поширеність серцево-судинних захворювань є низькою). Таким чином, після корекції виявилено статистично значуще помірне збільшення смертності від серцево-судинних захворювань при ДАТ нижче 80 мм рт.ст.</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 xml:space="preserve">Інтерпретація цих результатів є різною. І на сьогоднішній день запропоновано кілька механізмів для пояснення J-кривої. Можливо, що пацієнти з прихованими коронарними захворюваннями при низькому артеріальному тиску переносять лікування гірше, оскільки більша частина коронарних аретрій заповнюється в діастолу. Аналогічним чином, наявна гіпертрофія лівого шлуночка може порушити коронарний резерв, зменшуючи здатність судин розширюватися при нижчій коронарної перфузії. </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Спостереження, отримані при Фрамінгемскому дослідженні, збігаються з припущенням про потенційну важливість наявної ішемічної хвороби серця. J-подібна крива для смерті від коронарних катастроф була відзначена тільки серед пацієнтів, які перенесли інфаркт міокарда.</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 нашій роботі наявність ХСН високих функціональних класів (ІІІ та IV) вірогідно корелювало з загальною та серцево-судинною смертністю, абсолютний ризик при переході від ФК І до ФК IV зростав від 5,9% до 81,6%, відносний ризик збільшувався в 71,1 рази при ФК IV порівняно з ФК І, (p&lt;0,05). Встановлено вірогідно більш високу вірогідність декомпенсації ХСН при ФВ ЛШ менше 50,0% - збільшення абсолютного ризику на 39,0% (р&lt;0,05).</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Ризик серцево-судинної смертності при ХСН з рівнем натрію менше 135 ммоль/л зростав з 19,0 до 45,0%, а величиною «точки відсікання» для прогнозування серцево-судинної смертності внаслідок декомпенсації ХСН був вміст Na+ в межах 115,0-125,0 ммоль/л. Гіпонатріємія є наслідком абсолютного або </w:t>
      </w:r>
      <w:r w:rsidRPr="00F90B6B">
        <w:rPr>
          <w:rFonts w:ascii="Times New Roman" w:hAnsi="Times New Roman"/>
          <w:sz w:val="28"/>
          <w:szCs w:val="28"/>
          <w:lang w:eastAsia="ru-RU"/>
        </w:rPr>
        <w:lastRenderedPageBreak/>
        <w:t>відносного надлишку осмотично незв'язаної (вільної) води в організмі [23, 201]. До надлишку осмотично незв'язаної води призводить підвищена секреція антидіуретичного гормону, аргініну вазопресину (АВП) в задній частині гіпофізу під впливом осмотичних та неосмотичних стимулі. В нормі АВП вивільняється у відповідь на підвищення осмолярності плазми крові, причому навіть невелике її підвищення (на 1%) викликає секрецію гормону. Основним «неосмотичним» механізмом активації вивільнення АПВ є зниження ефективного артеріального кровотоку, «недозаповненого» артеріального русла. Концентрація АВП в крові підвищується при зниженні середнього артеріального тиску на 5-7% або зменшенні ефективного обсягу артеріального кровообігу на 8-10% [</w:t>
      </w:r>
      <w:r w:rsidRPr="00F90B6B">
        <w:rPr>
          <w:rFonts w:ascii="Times New Roman" w:hAnsi="Times New Roman"/>
          <w:sz w:val="28"/>
          <w:szCs w:val="28"/>
          <w:lang w:val="ru-RU" w:eastAsia="ru-RU"/>
        </w:rPr>
        <w:t>19</w:t>
      </w:r>
      <w:r w:rsidRPr="00F90B6B">
        <w:rPr>
          <w:rFonts w:ascii="Times New Roman" w:hAnsi="Times New Roman"/>
          <w:sz w:val="28"/>
          <w:szCs w:val="28"/>
          <w:lang w:eastAsia="ru-RU"/>
        </w:rPr>
        <w:t>]. Під впливом АВП збільшується реабсорбція вільної води в збірних трубочках нирок, що і призводить, в кінцевому рахунку, до гіпонатріємії [22]. Таким чином, у хворих ХСН гіпонатріємію можна розглядати як один із проявів нейрогуморальної активації у відповідь на зниження серцевого викиду. Набагато складнішим є генез зниження рівня натрію крові при терапії декомпенсації ХСН. Причинами цієї, внутрішньогоспітальної гіпонатріємії, можна розглядати як прогресування порушень гемодинаміки, так і вплив лікування. За даними ряду досліджень, застосування петльових діуретиків практично не викликає зниження рівня натрію крові. Тіазиди, навпаки, є однією з найчастіших причин гіпонатріємії [48, 135]. Ймовірно, до гіпонатріємії можуть призводити й високі (натрійуретичні) дози спіронолактону [60, 157].</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За даними Щекочіхіна Д. Ю. та співав. летальні наслідки та перевід у відділення інтенсивної терапії, а також погіршення функції нирок при ХСН та рівні натрію до 130 ммоль/л, частіше спостерігалися в групах догоспітальної та внутрішньогоспітальної гіпонатріємії, порівняно з нормонатріємією. При цьому, частота настання різних випадків не розрізнялися між групами до- та внутрішньогоспітальної гіпонатріємії. Автори використовували також багатофакторний регресивний аналіз з поправкою на вік, стать індекс коморбіності. Показаний значний зв'язок між догоспітальною гіпонатріємією та смертністю, переведенням у відділення інтенсивної терапії, а також розвитком рефрактерності до </w:t>
      </w:r>
      <w:r w:rsidRPr="00F90B6B">
        <w:rPr>
          <w:rFonts w:ascii="Times New Roman" w:hAnsi="Times New Roman"/>
          <w:sz w:val="28"/>
          <w:szCs w:val="28"/>
          <w:lang w:eastAsia="ru-RU"/>
        </w:rPr>
        <w:lastRenderedPageBreak/>
        <w:t>петльоих діуретиків. Розвиток внутрішньогоспітальної гіпонатріємії було пов'язано з розвитком погіршення функції нирок [</w:t>
      </w:r>
      <w:r w:rsidRPr="00F90B6B">
        <w:rPr>
          <w:rFonts w:ascii="Times New Roman" w:hAnsi="Times New Roman"/>
          <w:sz w:val="28"/>
          <w:szCs w:val="28"/>
        </w:rPr>
        <w:t>17, 18</w:t>
      </w:r>
      <w:r w:rsidRPr="00F90B6B">
        <w:rPr>
          <w:rFonts w:ascii="Times New Roman" w:hAnsi="Times New Roman"/>
          <w:sz w:val="28"/>
          <w:szCs w:val="28"/>
          <w:lang w:eastAsia="ru-RU"/>
        </w:rPr>
        <w:t>].</w:t>
      </w:r>
    </w:p>
    <w:p w:rsidR="00EF4063" w:rsidRPr="00F90B6B" w:rsidRDefault="00EF4063" w:rsidP="00F0048B">
      <w:pPr>
        <w:pStyle w:val="Style78"/>
        <w:spacing w:line="360" w:lineRule="auto"/>
        <w:ind w:firstLine="709"/>
        <w:jc w:val="both"/>
        <w:rPr>
          <w:sz w:val="28"/>
          <w:szCs w:val="28"/>
          <w:lang w:val="uk-UA" w:eastAsia="uk-UA"/>
        </w:rPr>
      </w:pPr>
      <w:r w:rsidRPr="00F90B6B">
        <w:rPr>
          <w:sz w:val="28"/>
          <w:szCs w:val="28"/>
          <w:lang w:val="uk-UA" w:eastAsia="uk-UA"/>
        </w:rPr>
        <w:t>В нашій роботі, за аналізу «поєднаного» ризику при наявності гіпонатріємії та ожиріння, серцево-судинної смертність підвищувалась на 23,0%, проте показники відносного ризику та шансів були невірогідними.</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В групі пацієнтів, де зареєстровані випадки серцево-судинної смертності, відмічено більш низькі показники загального холестерину (p&lt;0,05), холестерину ЛПНЩ (p&lt;0,05), ЛПДНЩ (p&lt;0,05), а також більш високий рівень ЛПВЩ (p&lt;0,05). Окрім того, у пацієнтів, що спостерігалися з важкою декомпенсацією ХСН було встановлено нижчий рівень гемоглобіну (р&lt;0,05), гематокриту (р&lt;0,05), а також більш високі показники ШОЕ (р&lt;0,05) та загального вмісту лейкоцитів (р&lt;0,05). Абсолютний ризик прогресування серцевої недостатності при рівні гемоглобіну до 120 г/л склав 48,0% супроти 16,0% хворих з нормальним рівнем гемоглобіну.</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За данимі ряду досліджень, тривалість гіпонатріємії збільшується з тривалістю декомпенсації захворювання. При спостереженні впродовж 270 днів за хворими з ХСН та гіпонатріємією показано збільшення смертності при збереженні гіпонатріємії [111, 152, 230]. Довгостроковий ефект гіпонатріємії проаналізовано у великої групи пацієнтів з систолічною ХСН II-III функціонального класу [165]. Пацієнти спостерігалися протягом 5 років. При тривалому спостереженні наявність гіпонатріємії було незалежно пов'язана з підвищенням загальної смертності, серцево-судинної смертності та повторними госпіталізаціями. В іншому дослідженні наявність гіпонатріємії при ХСН було асоційовано з гіршою якістю життя [19]. Таким чином, при стабільному перебігу ХСН, як і при декомпенсації, гіпонатріємія є серйозним фактором ризику ускладнень захворювання.</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lang w:eastAsia="ru-RU"/>
        </w:rPr>
        <w:t xml:space="preserve">В нашій роботі, при ретроспективному дослідженні, ризик асоціації серцево-судинної смертності зі зниженням ШКФ становив - 54,0% (р&lt;0,05), а серед клінічних показників вірогідну різницю щодо ШКФ отримано з віком хворих (р&lt;0,05) та індексом маси тіла (р&lt;0,05). Окрім того, встановлено більшу частоту хворих з гіпонатріємією та зниженою ШКФ - частота асоціації гіпонатріемії та зниженої ШКФ становила 36,0% проти 24,0% з нормальною ШКФ (р&lt;0,05). </w:t>
      </w:r>
    </w:p>
    <w:p w:rsidR="00EF4063" w:rsidRPr="00F90B6B" w:rsidRDefault="00EF4063" w:rsidP="00F0048B">
      <w:pPr>
        <w:spacing w:after="0" w:line="360" w:lineRule="auto"/>
        <w:ind w:firstLine="709"/>
        <w:jc w:val="both"/>
        <w:rPr>
          <w:rFonts w:ascii="Times New Roman" w:hAnsi="Times New Roman"/>
          <w:sz w:val="28"/>
          <w:szCs w:val="28"/>
          <w:lang w:eastAsia="ru-RU"/>
        </w:rPr>
      </w:pPr>
      <w:r w:rsidRPr="00F90B6B">
        <w:rPr>
          <w:rFonts w:ascii="Times New Roman" w:hAnsi="Times New Roman"/>
          <w:sz w:val="28"/>
          <w:szCs w:val="28"/>
        </w:rPr>
        <w:lastRenderedPageBreak/>
        <w:t xml:space="preserve">Таким чином, при ХСН, ожирінні та гіпонатріємії </w:t>
      </w:r>
      <w:r w:rsidRPr="00F90B6B">
        <w:rPr>
          <w:rFonts w:ascii="Times New Roman" w:hAnsi="Times New Roman"/>
          <w:sz w:val="28"/>
          <w:szCs w:val="28"/>
          <w:lang w:eastAsia="ru-RU"/>
        </w:rPr>
        <w:t>в клінічному діагнозі необхідно охарактеризувати серцеву недостатність, ниркову дисфункцію, а також вказувати стан гіпо-, гіпер- або нормонатріємії, користуючись загальноприйнятими класифікаціями, а не обмежуватися тільки вказівкою на наявність зниження ШКФ. У 2008 році C. Ronco і співавт. узагальнили свій досвід,  дані літератури і виділили 5 типів кардіоренального синдрому. Навряд чи доцільно об'єднувати в одну групу всі можливі клінічні ситуації, при яких має місце ниркова і серцева дисфункція. В багатьох хворих неможливо визначити, що є первинною: патологія серця або нирок - тому поділ кардіоренального синдрому на типи в ряді випадків є досить умовним. Проте, достовірно відомо, що гіпонатріємія при ХСН практично в 100% поєднується з кардіоренальним синдромом [</w:t>
      </w:r>
      <w:r w:rsidRPr="00F90B6B">
        <w:rPr>
          <w:rFonts w:ascii="Times New Roman" w:hAnsi="Times New Roman"/>
          <w:sz w:val="28"/>
          <w:szCs w:val="28"/>
          <w:lang w:val="ru-RU" w:eastAsia="ru-RU"/>
        </w:rPr>
        <w:t>180, 181].</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Таким чином, за останніми даними, гіпонатріємія має дуже негативний вплив на перебіг хронічної серцевої недостатності і підвищує частоту смертності. За даними авторів 1- та 5-річна смертність у хворих з гіпонатріємією становить 22,5 та 42,3 %. Тому немає сумнівів, що вдосконалення терапії серцевої недостатності може покращити прогноз таких хворих [</w:t>
      </w:r>
      <w:r w:rsidRPr="00F90B6B">
        <w:rPr>
          <w:rFonts w:ascii="Times New Roman" w:hAnsi="Times New Roman"/>
          <w:sz w:val="28"/>
          <w:szCs w:val="28"/>
          <w:lang w:val="ru-RU"/>
        </w:rPr>
        <w:t>107, 108]</w:t>
      </w:r>
      <w:r w:rsidRPr="00F90B6B">
        <w:rPr>
          <w:rFonts w:ascii="Times New Roman" w:hAnsi="Times New Roman"/>
          <w:sz w:val="28"/>
          <w:szCs w:val="28"/>
        </w:rPr>
        <w:t>.</w:t>
      </w:r>
    </w:p>
    <w:p w:rsidR="00EF4063" w:rsidRPr="00F90B6B" w:rsidRDefault="00EF4063" w:rsidP="00F0048B">
      <w:pPr>
        <w:spacing w:after="0" w:line="360" w:lineRule="auto"/>
        <w:ind w:firstLine="709"/>
        <w:jc w:val="both"/>
        <w:rPr>
          <w:rFonts w:ascii="Times New Roman" w:hAnsi="Times New Roman"/>
          <w:sz w:val="28"/>
          <w:szCs w:val="28"/>
        </w:rPr>
      </w:pPr>
      <w:r w:rsidRPr="00F90B6B">
        <w:rPr>
          <w:rFonts w:ascii="Times New Roman" w:hAnsi="Times New Roman"/>
          <w:sz w:val="28"/>
          <w:szCs w:val="28"/>
        </w:rPr>
        <w:t>Підсумовуючи отримані власні результати, а також дані, представлені в інших дослідженнях, можна сказати, що зниження рівня натрію в сироватці крові у хворих з хронічною серцевою недостатністю є несприятливою прогностичною ознакою як при стабільному перебізі захворювання, так і при декомпенсації. Гіпонатріємія вказує на значну затримку осмотично «вільної» води. Тому, при хронічній серцевій недостатності, визначення рівня натрію в крові, зважаючи на доступність методики, а також значущість методу для оцінки вираженості порушень гемодинаміки, поєднання з активацією нейрогуморальних систем, що важливо для вибору тактики лікування, повинно стати обов’язковим дослідженням.</w:t>
      </w:r>
    </w:p>
    <w:p w:rsidR="00EF4063" w:rsidRDefault="00EF4063" w:rsidP="00F0048B">
      <w:pPr>
        <w:spacing w:line="360" w:lineRule="auto"/>
        <w:rPr>
          <w:rFonts w:ascii="Times New Roman" w:hAnsi="Times New Roman"/>
          <w:sz w:val="28"/>
          <w:szCs w:val="28"/>
          <w:lang w:eastAsia="uk-UA"/>
        </w:rPr>
      </w:pPr>
    </w:p>
    <w:p w:rsidR="006432F5" w:rsidRDefault="006432F5" w:rsidP="00F0048B">
      <w:pPr>
        <w:spacing w:line="360" w:lineRule="auto"/>
        <w:rPr>
          <w:rFonts w:ascii="Times New Roman" w:hAnsi="Times New Roman"/>
          <w:sz w:val="28"/>
          <w:szCs w:val="28"/>
          <w:lang w:eastAsia="uk-UA"/>
        </w:rPr>
      </w:pPr>
    </w:p>
    <w:p w:rsidR="006432F5" w:rsidRDefault="006432F5" w:rsidP="00F0048B">
      <w:pPr>
        <w:spacing w:line="360" w:lineRule="auto"/>
        <w:rPr>
          <w:rFonts w:ascii="Times New Roman" w:hAnsi="Times New Roman"/>
          <w:sz w:val="28"/>
          <w:szCs w:val="28"/>
          <w:lang w:eastAsia="uk-UA"/>
        </w:rPr>
      </w:pPr>
    </w:p>
    <w:p w:rsidR="006432F5" w:rsidRPr="007F242B" w:rsidRDefault="006432F5" w:rsidP="00F0048B">
      <w:pPr>
        <w:spacing w:line="360" w:lineRule="auto"/>
        <w:rPr>
          <w:rFonts w:ascii="Times New Roman" w:hAnsi="Times New Roman"/>
          <w:sz w:val="28"/>
          <w:szCs w:val="28"/>
          <w:lang w:eastAsia="uk-UA"/>
        </w:rPr>
      </w:pPr>
    </w:p>
    <w:p w:rsidR="00EF4063" w:rsidRPr="007F242B" w:rsidRDefault="00EF4063" w:rsidP="00F0048B">
      <w:pPr>
        <w:spacing w:after="0" w:line="360" w:lineRule="auto"/>
        <w:jc w:val="center"/>
        <w:rPr>
          <w:rFonts w:ascii="Times New Roman" w:hAnsi="Times New Roman"/>
          <w:sz w:val="28"/>
          <w:szCs w:val="28"/>
        </w:rPr>
      </w:pPr>
      <w:r w:rsidRPr="007F242B">
        <w:rPr>
          <w:rFonts w:ascii="Times New Roman" w:hAnsi="Times New Roman"/>
          <w:sz w:val="28"/>
          <w:szCs w:val="28"/>
        </w:rPr>
        <w:lastRenderedPageBreak/>
        <w:t>ВИСНОВКИ</w:t>
      </w:r>
    </w:p>
    <w:p w:rsidR="00EF4063" w:rsidRPr="00F90B6B" w:rsidRDefault="00EF4063" w:rsidP="00F0048B">
      <w:pPr>
        <w:spacing w:after="0" w:line="360" w:lineRule="auto"/>
        <w:jc w:val="center"/>
        <w:rPr>
          <w:rFonts w:ascii="Times New Roman" w:hAnsi="Times New Roman"/>
          <w:b/>
          <w:sz w:val="28"/>
          <w:szCs w:val="28"/>
        </w:rPr>
      </w:pPr>
    </w:p>
    <w:p w:rsidR="00EF4063" w:rsidRPr="00F90B6B" w:rsidRDefault="00EF4063" w:rsidP="00F0048B">
      <w:pPr>
        <w:spacing w:after="0" w:line="360" w:lineRule="auto"/>
        <w:jc w:val="both"/>
        <w:rPr>
          <w:rFonts w:ascii="Times New Roman" w:hAnsi="Times New Roman"/>
          <w:spacing w:val="-6"/>
          <w:sz w:val="28"/>
          <w:szCs w:val="28"/>
        </w:rPr>
      </w:pPr>
      <w:r w:rsidRPr="00F90B6B">
        <w:rPr>
          <w:rFonts w:ascii="Times New Roman" w:hAnsi="Times New Roman"/>
          <w:spacing w:val="-6"/>
          <w:sz w:val="28"/>
          <w:szCs w:val="28"/>
        </w:rPr>
        <w:t xml:space="preserve">1. У дисертаційній роботі вирішено актуальне завдання сучасної внутрішньої медицини – оптимізовано прогнозування перебігу серцевої недостатності ішемічного ґенезу у хворих з ожирінням зі збереженою фракцією викиду лівого шлуночка на підставі вивчення гіпонатріємії та вмісту натрійуретичного пептиду. </w:t>
      </w:r>
    </w:p>
    <w:p w:rsidR="00EF4063" w:rsidRPr="00F90B6B" w:rsidRDefault="00EF4063" w:rsidP="00F0048B">
      <w:pPr>
        <w:pStyle w:val="a3"/>
        <w:spacing w:before="0" w:beforeAutospacing="0" w:after="0" w:afterAutospacing="0" w:line="360" w:lineRule="auto"/>
        <w:jc w:val="both"/>
        <w:rPr>
          <w:spacing w:val="-6"/>
          <w:sz w:val="28"/>
          <w:szCs w:val="28"/>
        </w:rPr>
      </w:pPr>
      <w:r w:rsidRPr="00F90B6B">
        <w:rPr>
          <w:spacing w:val="-6"/>
          <w:sz w:val="28"/>
          <w:szCs w:val="28"/>
        </w:rPr>
        <w:t>2. Поширеність гіпонатріємії у хворих з ХСН зі ЗФВЛШ становить 33,5%, більш часто асоціюється з жіночою статтю (34,0% проти 28,0%, р&lt;0,05) та віком більше 65 років (53,0% проти 37,0%, р&lt;0,05); серед клінічних факторів доведено асоціацію гіпонатріємії з ІМТ більше 30 кг/м</w:t>
      </w:r>
      <w:r w:rsidRPr="00F90B6B">
        <w:rPr>
          <w:spacing w:val="-6"/>
          <w:sz w:val="28"/>
          <w:szCs w:val="28"/>
          <w:vertAlign w:val="superscript"/>
        </w:rPr>
        <w:t>2</w:t>
      </w:r>
      <w:r w:rsidRPr="00F90B6B">
        <w:rPr>
          <w:spacing w:val="-6"/>
          <w:sz w:val="28"/>
          <w:szCs w:val="28"/>
        </w:rPr>
        <w:t xml:space="preserve"> (р&lt;0,05); супутніми станами, вірогідно асоційованими з гіпонатріємією проти нормонатріємії є  фібриляція передсердь (18,4% проти 7,0%, р&lt;0,05), цукровий діабет (24,0% проти 15,0%, р&lt;0,05), виразкова хвороба та хронічний гастрит (53,0% проти 21,0%, р&lt;0,05).</w:t>
      </w:r>
    </w:p>
    <w:p w:rsidR="00EF4063" w:rsidRPr="00F90B6B" w:rsidRDefault="00EF4063" w:rsidP="00F0048B">
      <w:pPr>
        <w:pStyle w:val="a3"/>
        <w:spacing w:before="0" w:beforeAutospacing="0" w:after="0" w:afterAutospacing="0" w:line="360" w:lineRule="auto"/>
        <w:jc w:val="both"/>
        <w:rPr>
          <w:spacing w:val="-6"/>
          <w:sz w:val="28"/>
          <w:szCs w:val="28"/>
        </w:rPr>
      </w:pPr>
      <w:r w:rsidRPr="00F90B6B">
        <w:rPr>
          <w:spacing w:val="-6"/>
          <w:sz w:val="28"/>
          <w:szCs w:val="28"/>
        </w:rPr>
        <w:t>3.</w:t>
      </w:r>
      <w:r w:rsidRPr="00F90B6B">
        <w:rPr>
          <w:spacing w:val="-6"/>
        </w:rPr>
        <w:t xml:space="preserve"> </w:t>
      </w:r>
      <w:r w:rsidRPr="00F90B6B">
        <w:rPr>
          <w:spacing w:val="-6"/>
          <w:sz w:val="28"/>
          <w:szCs w:val="28"/>
        </w:rPr>
        <w:t xml:space="preserve">Клінічними особливостями  пацієнтів з ХСН зі ЗФВЛШ та супутнім ожирінням є </w:t>
      </w:r>
      <w:r w:rsidRPr="00F90B6B">
        <w:rPr>
          <w:spacing w:val="-6"/>
          <w:sz w:val="28"/>
          <w:szCs w:val="28"/>
          <w:lang w:eastAsia="ru-RU"/>
        </w:rPr>
        <w:t>зростання рівня фізичного та психологічного дискомфорту (</w:t>
      </w:r>
      <w:r w:rsidRPr="00F90B6B">
        <w:rPr>
          <w:spacing w:val="-6"/>
          <w:sz w:val="28"/>
          <w:szCs w:val="28"/>
          <w:lang w:val="en-US" w:eastAsia="ru-RU"/>
        </w:rPr>
        <w:t>r</w:t>
      </w:r>
      <w:r w:rsidRPr="00F90B6B">
        <w:rPr>
          <w:spacing w:val="-6"/>
          <w:sz w:val="28"/>
          <w:szCs w:val="28"/>
          <w:lang w:eastAsia="ru-RU"/>
        </w:rPr>
        <w:t xml:space="preserve">=0,39, </w:t>
      </w:r>
      <w:r w:rsidRPr="00F90B6B">
        <w:rPr>
          <w:spacing w:val="-6"/>
          <w:sz w:val="28"/>
          <w:szCs w:val="28"/>
          <w:lang w:val="en-US" w:eastAsia="ru-RU"/>
        </w:rPr>
        <w:t>p</w:t>
      </w:r>
      <w:r w:rsidRPr="00F90B6B">
        <w:rPr>
          <w:spacing w:val="-6"/>
          <w:sz w:val="28"/>
          <w:szCs w:val="28"/>
          <w:lang w:eastAsia="ru-RU"/>
        </w:rPr>
        <w:t xml:space="preserve">&lt;0,05). </w:t>
      </w:r>
      <w:r w:rsidRPr="00F90B6B">
        <w:rPr>
          <w:spacing w:val="-6"/>
          <w:sz w:val="28"/>
          <w:szCs w:val="28"/>
        </w:rPr>
        <w:t xml:space="preserve">При </w:t>
      </w:r>
    </w:p>
    <w:p w:rsidR="00EF4063" w:rsidRPr="00F90B6B" w:rsidRDefault="00EF4063" w:rsidP="00F0048B">
      <w:pPr>
        <w:pStyle w:val="a3"/>
        <w:spacing w:before="0" w:beforeAutospacing="0" w:after="0" w:afterAutospacing="0" w:line="360" w:lineRule="auto"/>
        <w:jc w:val="both"/>
        <w:rPr>
          <w:spacing w:val="-6"/>
          <w:sz w:val="28"/>
          <w:szCs w:val="28"/>
          <w:lang w:eastAsia="ru-RU"/>
        </w:rPr>
      </w:pPr>
      <w:r w:rsidRPr="00F90B6B">
        <w:rPr>
          <w:spacing w:val="-6"/>
          <w:sz w:val="28"/>
          <w:szCs w:val="28"/>
        </w:rPr>
        <w:t>наявності гіпонатріємії встановлено більші значення окружності талії (p&lt;0,05) та співвідношення ОТ/ОС (p&lt;0,05) порівняно з хворими з  нормонатріємією.</w:t>
      </w:r>
      <w:r w:rsidRPr="00F90B6B">
        <w:rPr>
          <w:color w:val="7030A0"/>
          <w:spacing w:val="-6"/>
          <w:sz w:val="28"/>
          <w:szCs w:val="28"/>
        </w:rPr>
        <w:t xml:space="preserve"> </w:t>
      </w:r>
      <w:r w:rsidRPr="00F90B6B">
        <w:rPr>
          <w:spacing w:val="-6"/>
          <w:sz w:val="28"/>
          <w:szCs w:val="28"/>
          <w:lang w:eastAsia="ru-RU"/>
        </w:rPr>
        <w:t>При ожирінні, порівняно з нормальним ІМТ, встановлено нижчі значення NTproBNP (р&lt;0,05). Перебіг ХСН зі ЗФВЛШ та супутнім ожирінням характеризується вірогідним підвищенням NTproBNP (</w:t>
      </w:r>
      <w:r w:rsidRPr="00F90B6B">
        <w:rPr>
          <w:spacing w:val="-6"/>
          <w:sz w:val="28"/>
          <w:szCs w:val="28"/>
        </w:rPr>
        <w:t xml:space="preserve">351,8±64,2, </w:t>
      </w:r>
      <w:r w:rsidRPr="00F90B6B">
        <w:rPr>
          <w:spacing w:val="-6"/>
          <w:sz w:val="28"/>
          <w:szCs w:val="28"/>
          <w:lang w:eastAsia="ru-RU"/>
        </w:rPr>
        <w:t>р&lt;0,05) при гіпонатріємії порівняно з нормонатріємією (</w:t>
      </w:r>
      <w:r w:rsidRPr="00F90B6B">
        <w:rPr>
          <w:spacing w:val="-6"/>
          <w:sz w:val="28"/>
          <w:szCs w:val="28"/>
        </w:rPr>
        <w:t xml:space="preserve">294,0±59,2, </w:t>
      </w:r>
      <w:r w:rsidRPr="00F90B6B">
        <w:rPr>
          <w:spacing w:val="-6"/>
          <w:sz w:val="28"/>
          <w:szCs w:val="28"/>
          <w:lang w:eastAsia="ru-RU"/>
        </w:rPr>
        <w:t xml:space="preserve">р&lt;0,05). </w:t>
      </w:r>
      <w:r w:rsidRPr="00F90B6B">
        <w:rPr>
          <w:spacing w:val="-6"/>
          <w:sz w:val="28"/>
          <w:szCs w:val="28"/>
        </w:rPr>
        <w:t xml:space="preserve">За наявності гіпонатріємії </w:t>
      </w:r>
      <w:r w:rsidRPr="00F90B6B">
        <w:rPr>
          <w:spacing w:val="-6"/>
          <w:sz w:val="28"/>
          <w:szCs w:val="28"/>
          <w:lang w:eastAsia="ru-RU"/>
        </w:rPr>
        <w:t>встановлено достовірне зростання</w:t>
      </w:r>
      <w:r w:rsidRPr="00F90B6B">
        <w:rPr>
          <w:spacing w:val="-6"/>
          <w:sz w:val="28"/>
          <w:szCs w:val="28"/>
        </w:rPr>
        <w:t xml:space="preserve"> КСО та КДО ЛШ (</w:t>
      </w:r>
      <w:r w:rsidRPr="00F90B6B">
        <w:rPr>
          <w:spacing w:val="-6"/>
          <w:sz w:val="28"/>
          <w:szCs w:val="28"/>
          <w:lang w:val="en-US"/>
        </w:rPr>
        <w:t>p</w:t>
      </w:r>
      <w:r w:rsidRPr="00F90B6B">
        <w:rPr>
          <w:spacing w:val="-6"/>
          <w:sz w:val="28"/>
          <w:szCs w:val="28"/>
        </w:rPr>
        <w:t>&lt;0,05), збільшення товщини задньої стінки лівого шлуночка (</w:t>
      </w:r>
      <w:r w:rsidRPr="00F90B6B">
        <w:rPr>
          <w:spacing w:val="-6"/>
          <w:sz w:val="28"/>
          <w:szCs w:val="28"/>
          <w:lang w:val="en-US"/>
        </w:rPr>
        <w:t>p</w:t>
      </w:r>
      <w:r w:rsidRPr="00F90B6B">
        <w:rPr>
          <w:spacing w:val="-6"/>
          <w:sz w:val="28"/>
          <w:szCs w:val="28"/>
        </w:rPr>
        <w:t>&lt;0,05) та міжшлуночкової перетинки (</w:t>
      </w:r>
      <w:r w:rsidRPr="00F90B6B">
        <w:rPr>
          <w:spacing w:val="-6"/>
          <w:sz w:val="28"/>
          <w:szCs w:val="28"/>
          <w:lang w:val="en-US"/>
        </w:rPr>
        <w:t>p</w:t>
      </w:r>
      <w:r w:rsidRPr="00F90B6B">
        <w:rPr>
          <w:spacing w:val="-6"/>
          <w:sz w:val="28"/>
          <w:szCs w:val="28"/>
        </w:rPr>
        <w:t>&lt;0,05).</w:t>
      </w:r>
    </w:p>
    <w:p w:rsidR="00EF4063" w:rsidRPr="00F90B6B" w:rsidRDefault="00EF4063" w:rsidP="00F0048B">
      <w:pPr>
        <w:pStyle w:val="a3"/>
        <w:spacing w:before="0" w:beforeAutospacing="0" w:after="0" w:afterAutospacing="0" w:line="360" w:lineRule="auto"/>
        <w:jc w:val="both"/>
        <w:rPr>
          <w:spacing w:val="-6"/>
          <w:sz w:val="28"/>
          <w:szCs w:val="28"/>
        </w:rPr>
      </w:pPr>
      <w:r w:rsidRPr="00F90B6B">
        <w:rPr>
          <w:spacing w:val="-6"/>
          <w:sz w:val="28"/>
          <w:szCs w:val="28"/>
          <w:lang w:eastAsia="ru-RU"/>
        </w:rPr>
        <w:t xml:space="preserve">4. </w:t>
      </w:r>
      <w:r w:rsidRPr="00F90B6B">
        <w:rPr>
          <w:spacing w:val="-6"/>
          <w:sz w:val="28"/>
          <w:szCs w:val="28"/>
        </w:rPr>
        <w:t>У пацієнтів  із СН зі  ЗФВЛШ і супутнім ожирінням та гіпонатріємією діаметр лівого передсердя вірогідно зростає при підвищенні рівня альдостерону (</w:t>
      </w:r>
      <w:r w:rsidRPr="00F90B6B">
        <w:rPr>
          <w:spacing w:val="-6"/>
          <w:sz w:val="28"/>
          <w:szCs w:val="28"/>
          <w:lang w:val="en-US"/>
        </w:rPr>
        <w:t>r</w:t>
      </w:r>
      <w:r w:rsidRPr="00F90B6B">
        <w:rPr>
          <w:spacing w:val="-6"/>
          <w:sz w:val="28"/>
          <w:szCs w:val="28"/>
        </w:rPr>
        <w:t xml:space="preserve">=0,33, р&lt;0,05). Зростання рівня </w:t>
      </w:r>
      <w:r w:rsidRPr="00F90B6B">
        <w:rPr>
          <w:spacing w:val="-6"/>
          <w:sz w:val="28"/>
          <w:szCs w:val="28"/>
          <w:lang w:val="en-US"/>
        </w:rPr>
        <w:t>NT</w:t>
      </w:r>
      <w:r w:rsidRPr="00F90B6B">
        <w:rPr>
          <w:spacing w:val="-6"/>
          <w:sz w:val="28"/>
          <w:szCs w:val="28"/>
        </w:rPr>
        <w:t>proBNP у цих хворих супроводжується зниженням толерантності до фізичного навантаження (</w:t>
      </w:r>
      <w:r w:rsidRPr="00F90B6B">
        <w:rPr>
          <w:spacing w:val="-6"/>
          <w:sz w:val="28"/>
          <w:szCs w:val="28"/>
          <w:lang w:val="en-US"/>
        </w:rPr>
        <w:t>r</w:t>
      </w:r>
      <w:r w:rsidRPr="00F90B6B">
        <w:rPr>
          <w:spacing w:val="-6"/>
          <w:sz w:val="28"/>
          <w:szCs w:val="28"/>
        </w:rPr>
        <w:t>=-0,20, р&lt;0,05) та якості життя (</w:t>
      </w:r>
      <w:r w:rsidRPr="00F90B6B">
        <w:rPr>
          <w:spacing w:val="-6"/>
          <w:sz w:val="28"/>
          <w:szCs w:val="28"/>
          <w:lang w:val="en-US"/>
        </w:rPr>
        <w:t>r</w:t>
      </w:r>
      <w:r w:rsidRPr="00F90B6B">
        <w:rPr>
          <w:spacing w:val="-6"/>
          <w:sz w:val="28"/>
          <w:szCs w:val="28"/>
        </w:rPr>
        <w:t xml:space="preserve">=0,30, р&lt;0,05). Встановлено вірогідне збільшення діаметру лівого та правого передсердь (p&lt;0,05) та правого шлуночка (p&lt;0,05) при зростанні вмісту </w:t>
      </w:r>
      <w:r w:rsidRPr="00F90B6B">
        <w:rPr>
          <w:spacing w:val="-6"/>
          <w:sz w:val="28"/>
          <w:szCs w:val="28"/>
          <w:lang w:val="en-US"/>
        </w:rPr>
        <w:t>NT</w:t>
      </w:r>
      <w:r w:rsidRPr="00F90B6B">
        <w:rPr>
          <w:spacing w:val="-6"/>
          <w:sz w:val="28"/>
          <w:szCs w:val="28"/>
        </w:rPr>
        <w:t xml:space="preserve">proBNP. </w:t>
      </w:r>
    </w:p>
    <w:p w:rsidR="00EF4063" w:rsidRPr="00F90B6B" w:rsidRDefault="00EF4063" w:rsidP="00F0048B">
      <w:pPr>
        <w:spacing w:after="0" w:line="360" w:lineRule="auto"/>
        <w:jc w:val="both"/>
        <w:rPr>
          <w:rFonts w:ascii="Times New Roman" w:hAnsi="Times New Roman"/>
          <w:spacing w:val="-6"/>
          <w:sz w:val="28"/>
          <w:szCs w:val="28"/>
        </w:rPr>
      </w:pPr>
      <w:r w:rsidRPr="00F90B6B">
        <w:rPr>
          <w:rFonts w:ascii="Times New Roman" w:hAnsi="Times New Roman"/>
          <w:spacing w:val="-6"/>
          <w:sz w:val="28"/>
          <w:szCs w:val="28"/>
        </w:rPr>
        <w:lastRenderedPageBreak/>
        <w:t>5. Асоційованими з гіпонатріємією станами у хворих із СН зі ЗФВЛШ  є ожиріння (р&lt;0,05), гіпертонічна хвороба (р&lt;0,05) та цукровий діабет 2 типу (р&lt;0,05). Виявлено, що важка гіпонатріємія  пов`язана з вищими рівнями глікемії (р</w:t>
      </w:r>
      <w:r w:rsidRPr="00F90B6B">
        <w:rPr>
          <w:rFonts w:ascii="Times New Roman" w:hAnsi="Times New Roman"/>
          <w:spacing w:val="-6"/>
          <w:sz w:val="28"/>
          <w:szCs w:val="28"/>
          <w:lang w:eastAsia="uk-UA"/>
        </w:rPr>
        <w:t>&lt;0,05</w:t>
      </w:r>
      <w:r w:rsidRPr="00F90B6B">
        <w:rPr>
          <w:rFonts w:ascii="Times New Roman" w:hAnsi="Times New Roman"/>
          <w:spacing w:val="-6"/>
          <w:sz w:val="28"/>
          <w:szCs w:val="28"/>
        </w:rPr>
        <w:t>) та інсулінорезистентності за індексом НОМА (р</w:t>
      </w:r>
      <w:r w:rsidRPr="00F90B6B">
        <w:rPr>
          <w:rFonts w:ascii="Times New Roman" w:hAnsi="Times New Roman"/>
          <w:spacing w:val="-6"/>
          <w:sz w:val="28"/>
          <w:szCs w:val="28"/>
          <w:lang w:eastAsia="uk-UA"/>
        </w:rPr>
        <w:t>&lt;0,05)</w:t>
      </w:r>
      <w:r w:rsidRPr="00F90B6B">
        <w:rPr>
          <w:rFonts w:ascii="Times New Roman" w:hAnsi="Times New Roman"/>
          <w:spacing w:val="-6"/>
          <w:sz w:val="28"/>
          <w:szCs w:val="28"/>
        </w:rPr>
        <w:t>. У таких хворих частіше призначаються тіазидні (гідрохлортіазид) (р&lt;0,05) та  петльові діуретики (у 79,5%  хворих з  легкою  та у 100,0% пацієнтів з важкою гіпонатріємією). Призначення фуросеміду частіше асоціюється з гіпонатріємією, порівняно з торасемідом (р&lt;0,05).</w:t>
      </w:r>
    </w:p>
    <w:p w:rsidR="00EF4063" w:rsidRPr="00F90B6B" w:rsidRDefault="00EF4063" w:rsidP="00F0048B">
      <w:pPr>
        <w:spacing w:after="0" w:line="360" w:lineRule="auto"/>
        <w:jc w:val="both"/>
        <w:rPr>
          <w:rFonts w:ascii="Times New Roman" w:hAnsi="Times New Roman"/>
          <w:spacing w:val="-6"/>
          <w:sz w:val="28"/>
          <w:szCs w:val="28"/>
          <w:lang w:eastAsia="ru-RU"/>
        </w:rPr>
      </w:pPr>
      <w:r w:rsidRPr="00F90B6B">
        <w:rPr>
          <w:rFonts w:ascii="Times New Roman" w:hAnsi="Times New Roman"/>
          <w:spacing w:val="-6"/>
          <w:sz w:val="28"/>
          <w:szCs w:val="28"/>
        </w:rPr>
        <w:t>6. Клініко-п</w:t>
      </w:r>
      <w:r w:rsidRPr="00F90B6B">
        <w:rPr>
          <w:rFonts w:ascii="Times New Roman" w:hAnsi="Times New Roman"/>
          <w:sz w:val="28"/>
          <w:szCs w:val="28"/>
        </w:rPr>
        <w:t xml:space="preserve">рогностична значимість гіпонатріємії у хворих з ХСН зі ЗФВЛШ на підставі аналізу даних 5-річного ретроспективного дослідження </w:t>
      </w:r>
      <w:r w:rsidRPr="00F90B6B">
        <w:rPr>
          <w:rFonts w:ascii="Times New Roman" w:hAnsi="Times New Roman"/>
          <w:spacing w:val="-6"/>
          <w:sz w:val="28"/>
          <w:szCs w:val="28"/>
        </w:rPr>
        <w:t>полягає в тому, що загальний р</w:t>
      </w:r>
      <w:r w:rsidRPr="00F90B6B">
        <w:rPr>
          <w:rFonts w:ascii="Times New Roman" w:hAnsi="Times New Roman"/>
          <w:spacing w:val="-6"/>
          <w:sz w:val="28"/>
          <w:szCs w:val="28"/>
          <w:lang w:eastAsia="ru-RU"/>
        </w:rPr>
        <w:t>изик серцево-судинної летальності при гіпонатріємії зростає на 26,0%. Встановлена а</w:t>
      </w:r>
      <w:r w:rsidRPr="00F90B6B">
        <w:rPr>
          <w:rFonts w:ascii="Times New Roman" w:hAnsi="Times New Roman"/>
          <w:spacing w:val="-6"/>
          <w:sz w:val="28"/>
          <w:szCs w:val="28"/>
          <w:lang w:eastAsia="uk-UA"/>
        </w:rPr>
        <w:t xml:space="preserve">соціація </w:t>
      </w:r>
      <w:r w:rsidRPr="00F90B6B">
        <w:rPr>
          <w:rFonts w:ascii="Times New Roman" w:hAnsi="Times New Roman"/>
          <w:spacing w:val="-6"/>
          <w:sz w:val="28"/>
          <w:szCs w:val="28"/>
          <w:lang w:eastAsia="ru-RU"/>
        </w:rPr>
        <w:t>випадків серцево-судинної смертності при ХСН та гіпонатріємії з більш низькими показниками загального холестерину (p&lt;0,05) та ХС ЛПНЩ (p&lt;0,05). Абсолютний ризик декомпенсації серцевої недостатності за наявності гіпонатріємії та анемічного синдрому зростає на 32,0% (p&lt;0,05), ризик зниження ШКФ становить 54,0% (р&lt;0,05). Доведено вірогідну асоціацію епізодів ФП (21,0% проти 4,0%, ) та шлуночкових екстрасистол  високих градацій (71,0% проти 48,0%, p&lt;0,05) з гіпонатріємією проти нормонатріємії.</w:t>
      </w:r>
    </w:p>
    <w:p w:rsidR="00EF4063" w:rsidRPr="00F90B6B" w:rsidRDefault="00EF4063" w:rsidP="00F0048B">
      <w:pPr>
        <w:spacing w:after="0" w:line="360" w:lineRule="auto"/>
        <w:jc w:val="both"/>
        <w:rPr>
          <w:rFonts w:ascii="Times New Roman" w:hAnsi="Times New Roman"/>
          <w:spacing w:val="-6"/>
          <w:sz w:val="28"/>
          <w:szCs w:val="28"/>
        </w:rPr>
      </w:pPr>
      <w:r w:rsidRPr="00F90B6B">
        <w:rPr>
          <w:rFonts w:ascii="Times New Roman" w:hAnsi="Times New Roman"/>
          <w:spacing w:val="-6"/>
          <w:sz w:val="28"/>
          <w:szCs w:val="28"/>
        </w:rPr>
        <w:t>7. Несприятлива прогностична роль г</w:t>
      </w:r>
      <w:r w:rsidRPr="00F90B6B">
        <w:rPr>
          <w:rFonts w:ascii="Times New Roman" w:hAnsi="Times New Roman"/>
          <w:sz w:val="28"/>
          <w:szCs w:val="28"/>
        </w:rPr>
        <w:t xml:space="preserve">іпонатріємії у хворих з ХСН зі ЗФВЛШ та супутнім ожирінням </w:t>
      </w:r>
      <w:r w:rsidRPr="00F90B6B">
        <w:rPr>
          <w:rFonts w:ascii="Times New Roman" w:hAnsi="Times New Roman"/>
          <w:spacing w:val="-6"/>
          <w:sz w:val="28"/>
          <w:szCs w:val="28"/>
        </w:rPr>
        <w:t xml:space="preserve">порівняно з пацієнтами з нормонатріємією полягає  в тому, що її наявність </w:t>
      </w:r>
      <w:r w:rsidRPr="00F90B6B">
        <w:rPr>
          <w:rFonts w:ascii="Times New Roman" w:hAnsi="Times New Roman"/>
          <w:sz w:val="28"/>
          <w:szCs w:val="28"/>
        </w:rPr>
        <w:t xml:space="preserve">протягом  2-річного проспективного  спостереження </w:t>
      </w:r>
      <w:r w:rsidRPr="00F90B6B">
        <w:rPr>
          <w:rFonts w:ascii="Times New Roman" w:hAnsi="Times New Roman"/>
          <w:spacing w:val="-6"/>
          <w:sz w:val="28"/>
          <w:szCs w:val="28"/>
        </w:rPr>
        <w:t>підвищує ризик декомпенсації ХСН та повторної госпіталізації – на 38,0% (</w:t>
      </w:r>
      <w:r w:rsidRPr="00F90B6B">
        <w:rPr>
          <w:rFonts w:ascii="Times New Roman" w:hAnsi="Times New Roman"/>
          <w:spacing w:val="-6"/>
          <w:sz w:val="28"/>
          <w:szCs w:val="28"/>
          <w:lang w:val="en-US"/>
        </w:rPr>
        <w:t>p</w:t>
      </w:r>
      <w:r w:rsidRPr="00F90B6B">
        <w:rPr>
          <w:rFonts w:ascii="Times New Roman" w:hAnsi="Times New Roman"/>
          <w:spacing w:val="-6"/>
          <w:sz w:val="28"/>
          <w:szCs w:val="28"/>
        </w:rPr>
        <w:t>&lt;0,05), та 76,0% (</w:t>
      </w:r>
      <w:r w:rsidRPr="00F90B6B">
        <w:rPr>
          <w:rFonts w:ascii="Times New Roman" w:hAnsi="Times New Roman"/>
          <w:spacing w:val="-6"/>
          <w:sz w:val="28"/>
          <w:szCs w:val="28"/>
          <w:lang w:val="en-US"/>
        </w:rPr>
        <w:t>p</w:t>
      </w:r>
      <w:r w:rsidRPr="00F90B6B">
        <w:rPr>
          <w:rFonts w:ascii="Times New Roman" w:hAnsi="Times New Roman"/>
          <w:spacing w:val="-6"/>
          <w:sz w:val="28"/>
          <w:szCs w:val="28"/>
        </w:rPr>
        <w:t xml:space="preserve">&lt;0,05), відповідно.  </w:t>
      </w:r>
    </w:p>
    <w:p w:rsidR="00EF4063" w:rsidRPr="00F90B6B" w:rsidRDefault="00EF4063" w:rsidP="00F0048B">
      <w:pPr>
        <w:spacing w:after="0" w:line="360" w:lineRule="auto"/>
        <w:jc w:val="both"/>
        <w:rPr>
          <w:rFonts w:ascii="Times New Roman" w:hAnsi="Times New Roman"/>
          <w:spacing w:val="-6"/>
          <w:sz w:val="28"/>
          <w:szCs w:val="28"/>
          <w:lang w:eastAsia="ru-RU"/>
        </w:rPr>
      </w:pPr>
    </w:p>
    <w:p w:rsidR="00EF4063" w:rsidRPr="00F90B6B" w:rsidRDefault="00EF4063" w:rsidP="00F0048B">
      <w:pPr>
        <w:pStyle w:val="a3"/>
        <w:spacing w:before="0" w:beforeAutospacing="0" w:after="0" w:afterAutospacing="0" w:line="360" w:lineRule="auto"/>
        <w:jc w:val="both"/>
        <w:rPr>
          <w:spacing w:val="-6"/>
        </w:rPr>
      </w:pPr>
    </w:p>
    <w:p w:rsidR="00EF4063" w:rsidRPr="00F90B6B" w:rsidRDefault="00EF4063" w:rsidP="00F0048B">
      <w:pPr>
        <w:spacing w:after="0" w:line="360" w:lineRule="auto"/>
        <w:ind w:firstLine="709"/>
        <w:jc w:val="center"/>
        <w:rPr>
          <w:rFonts w:ascii="Times New Roman" w:hAnsi="Times New Roman"/>
          <w:b/>
          <w:sz w:val="28"/>
          <w:szCs w:val="28"/>
        </w:rPr>
      </w:pPr>
    </w:p>
    <w:p w:rsidR="00EF4063" w:rsidRPr="00F90B6B" w:rsidRDefault="00EF4063" w:rsidP="00F0048B">
      <w:pPr>
        <w:spacing w:after="0" w:line="360" w:lineRule="auto"/>
        <w:ind w:firstLine="709"/>
        <w:jc w:val="center"/>
        <w:rPr>
          <w:rFonts w:ascii="Times New Roman" w:hAnsi="Times New Roman"/>
          <w:b/>
          <w:sz w:val="28"/>
          <w:szCs w:val="28"/>
        </w:rPr>
      </w:pPr>
    </w:p>
    <w:p w:rsidR="00EF4063" w:rsidRPr="00F90B6B" w:rsidRDefault="00EF4063" w:rsidP="00F0048B">
      <w:pPr>
        <w:spacing w:after="0" w:line="360" w:lineRule="auto"/>
        <w:rPr>
          <w:rFonts w:ascii="Times New Roman" w:hAnsi="Times New Roman"/>
          <w:b/>
          <w:sz w:val="28"/>
          <w:szCs w:val="28"/>
        </w:rPr>
      </w:pPr>
    </w:p>
    <w:p w:rsidR="00EF4063" w:rsidRPr="00F90B6B" w:rsidRDefault="00EF4063" w:rsidP="00F0048B">
      <w:pPr>
        <w:spacing w:after="0" w:line="360" w:lineRule="auto"/>
        <w:rPr>
          <w:rFonts w:ascii="Times New Roman" w:hAnsi="Times New Roman"/>
          <w:b/>
          <w:sz w:val="28"/>
          <w:szCs w:val="28"/>
        </w:rPr>
      </w:pPr>
    </w:p>
    <w:p w:rsidR="00EF4063" w:rsidRPr="00F90B6B" w:rsidRDefault="00EF4063" w:rsidP="00F0048B">
      <w:pPr>
        <w:spacing w:after="0" w:line="360" w:lineRule="auto"/>
        <w:rPr>
          <w:rFonts w:ascii="Times New Roman" w:hAnsi="Times New Roman"/>
          <w:b/>
          <w:sz w:val="28"/>
          <w:szCs w:val="28"/>
        </w:rPr>
      </w:pPr>
    </w:p>
    <w:p w:rsidR="00EF4063" w:rsidRPr="00F90B6B" w:rsidRDefault="00EF4063" w:rsidP="00F0048B">
      <w:pPr>
        <w:spacing w:after="0" w:line="360" w:lineRule="auto"/>
        <w:ind w:firstLine="709"/>
        <w:jc w:val="center"/>
        <w:rPr>
          <w:rFonts w:ascii="Times New Roman" w:hAnsi="Times New Roman"/>
          <w:b/>
          <w:sz w:val="28"/>
          <w:szCs w:val="28"/>
        </w:rPr>
      </w:pPr>
    </w:p>
    <w:p w:rsidR="00EF4063" w:rsidRPr="007F242B" w:rsidRDefault="00EF4063" w:rsidP="00F0048B">
      <w:pPr>
        <w:spacing w:after="0" w:line="360" w:lineRule="auto"/>
        <w:ind w:firstLine="709"/>
        <w:jc w:val="center"/>
        <w:rPr>
          <w:rFonts w:ascii="Times New Roman" w:hAnsi="Times New Roman"/>
          <w:sz w:val="28"/>
          <w:szCs w:val="28"/>
        </w:rPr>
      </w:pPr>
      <w:r w:rsidRPr="007F242B">
        <w:rPr>
          <w:rFonts w:ascii="Times New Roman" w:hAnsi="Times New Roman"/>
          <w:sz w:val="28"/>
          <w:szCs w:val="28"/>
        </w:rPr>
        <w:lastRenderedPageBreak/>
        <w:t>ПРАКТИЧНІ РЕКОМЕНДАЦІЇ</w:t>
      </w:r>
    </w:p>
    <w:p w:rsidR="00EF4063" w:rsidRPr="00F90B6B" w:rsidRDefault="00EF4063" w:rsidP="00F0048B">
      <w:pPr>
        <w:spacing w:after="0" w:line="360" w:lineRule="auto"/>
        <w:ind w:firstLine="709"/>
        <w:jc w:val="center"/>
        <w:rPr>
          <w:rFonts w:ascii="Times New Roman" w:hAnsi="Times New Roman"/>
          <w:b/>
          <w:sz w:val="28"/>
          <w:szCs w:val="28"/>
        </w:rPr>
      </w:pPr>
    </w:p>
    <w:p w:rsidR="00EF4063" w:rsidRPr="00F90B6B" w:rsidRDefault="00EF4063" w:rsidP="00F0048B">
      <w:pPr>
        <w:pStyle w:val="1"/>
        <w:numPr>
          <w:ilvl w:val="0"/>
          <w:numId w:val="33"/>
        </w:numPr>
        <w:spacing w:after="0" w:line="360" w:lineRule="auto"/>
        <w:ind w:left="0" w:firstLine="0"/>
        <w:contextualSpacing w:val="0"/>
        <w:jc w:val="both"/>
        <w:rPr>
          <w:rFonts w:ascii="Times New Roman" w:hAnsi="Times New Roman"/>
          <w:spacing w:val="-6"/>
          <w:sz w:val="28"/>
          <w:szCs w:val="28"/>
        </w:rPr>
      </w:pPr>
      <w:r w:rsidRPr="00F90B6B">
        <w:rPr>
          <w:rFonts w:ascii="Times New Roman" w:hAnsi="Times New Roman"/>
          <w:spacing w:val="-6"/>
          <w:sz w:val="28"/>
          <w:szCs w:val="28"/>
        </w:rPr>
        <w:t xml:space="preserve">Пацієнтам з </w:t>
      </w:r>
      <w:r w:rsidRPr="00F90B6B">
        <w:rPr>
          <w:rFonts w:ascii="Times New Roman" w:hAnsi="Times New Roman"/>
          <w:spacing w:val="-6"/>
          <w:kern w:val="24"/>
          <w:sz w:val="28"/>
          <w:szCs w:val="28"/>
        </w:rPr>
        <w:t>ХСН і збереженою ФВ ЛШ та супутнім ожирінням рекомендовано в</w:t>
      </w:r>
      <w:r w:rsidRPr="00F90B6B">
        <w:rPr>
          <w:rFonts w:ascii="Times New Roman" w:hAnsi="Times New Roman"/>
          <w:spacing w:val="-6"/>
          <w:sz w:val="28"/>
          <w:szCs w:val="28"/>
        </w:rPr>
        <w:t xml:space="preserve">изначення рівня іонізованого натрію  </w:t>
      </w:r>
      <w:r w:rsidRPr="00F90B6B">
        <w:rPr>
          <w:rFonts w:ascii="Times New Roman" w:hAnsi="Times New Roman"/>
          <w:spacing w:val="-6"/>
          <w:kern w:val="24"/>
          <w:sz w:val="28"/>
          <w:szCs w:val="28"/>
        </w:rPr>
        <w:t>з метою прогнозування ризику госпіталізацій з приводу СН та серцево-судинних подій</w:t>
      </w:r>
      <w:r w:rsidRPr="00F90B6B">
        <w:rPr>
          <w:rFonts w:ascii="Times New Roman" w:hAnsi="Times New Roman"/>
          <w:spacing w:val="-6"/>
          <w:kern w:val="24"/>
          <w:sz w:val="28"/>
          <w:szCs w:val="28"/>
          <w:lang w:val="ru-RU"/>
        </w:rPr>
        <w:t xml:space="preserve">. </w:t>
      </w:r>
      <w:r w:rsidRPr="00F90B6B">
        <w:rPr>
          <w:rFonts w:ascii="Times New Roman" w:hAnsi="Times New Roman"/>
          <w:spacing w:val="-6"/>
          <w:sz w:val="28"/>
          <w:szCs w:val="28"/>
        </w:rPr>
        <w:t xml:space="preserve">Прогностично несприятливим для прогресування ХСН є рівень натрію менше 135 ммоль/л, для розвитку фатальних </w:t>
      </w:r>
      <w:r w:rsidRPr="00F90B6B">
        <w:rPr>
          <w:rFonts w:ascii="Times New Roman" w:hAnsi="Times New Roman"/>
          <w:spacing w:val="-6"/>
          <w:kern w:val="24"/>
          <w:sz w:val="28"/>
          <w:szCs w:val="28"/>
        </w:rPr>
        <w:t xml:space="preserve">серцево-судинних подій – </w:t>
      </w:r>
      <w:r w:rsidRPr="00F90B6B">
        <w:rPr>
          <w:rFonts w:ascii="Times New Roman" w:hAnsi="Times New Roman"/>
          <w:spacing w:val="-6"/>
          <w:sz w:val="28"/>
          <w:szCs w:val="28"/>
        </w:rPr>
        <w:t>115-125 ммоль/л.</w:t>
      </w:r>
    </w:p>
    <w:p w:rsidR="00EF4063" w:rsidRPr="00F90B6B" w:rsidRDefault="00EF4063" w:rsidP="00F0048B">
      <w:pPr>
        <w:pStyle w:val="1"/>
        <w:numPr>
          <w:ilvl w:val="0"/>
          <w:numId w:val="33"/>
        </w:numPr>
        <w:spacing w:after="0" w:line="360" w:lineRule="auto"/>
        <w:ind w:left="0" w:firstLine="0"/>
        <w:contextualSpacing w:val="0"/>
        <w:jc w:val="both"/>
        <w:rPr>
          <w:rFonts w:ascii="Times New Roman" w:hAnsi="Times New Roman"/>
          <w:spacing w:val="-6"/>
          <w:sz w:val="28"/>
          <w:szCs w:val="28"/>
        </w:rPr>
      </w:pPr>
      <w:r w:rsidRPr="00F90B6B">
        <w:rPr>
          <w:rFonts w:ascii="Times New Roman" w:hAnsi="Times New Roman"/>
          <w:spacing w:val="-6"/>
          <w:sz w:val="28"/>
          <w:szCs w:val="28"/>
        </w:rPr>
        <w:t xml:space="preserve">Хворим з </w:t>
      </w:r>
      <w:r w:rsidRPr="00F90B6B">
        <w:rPr>
          <w:rFonts w:ascii="Times New Roman" w:hAnsi="Times New Roman"/>
          <w:spacing w:val="-6"/>
          <w:kern w:val="24"/>
          <w:sz w:val="28"/>
          <w:szCs w:val="28"/>
        </w:rPr>
        <w:t xml:space="preserve">ХСН і збереженою ФВ ЛШ та супутнім ожирінням на фоні гіпонатріємії з метою прогнозування ризику госпіталізацій з приводу СН та серцево-судинних подій рекомендовано проводити визначення рівня альдостерону та </w:t>
      </w:r>
      <w:r w:rsidRPr="00F90B6B">
        <w:rPr>
          <w:rFonts w:ascii="Times New Roman" w:hAnsi="Times New Roman"/>
          <w:spacing w:val="-6"/>
          <w:kern w:val="24"/>
          <w:sz w:val="28"/>
          <w:szCs w:val="28"/>
          <w:lang w:val="en-US"/>
        </w:rPr>
        <w:t>NTproBNP</w:t>
      </w:r>
      <w:r w:rsidRPr="00F90B6B">
        <w:rPr>
          <w:rFonts w:ascii="Times New Roman" w:hAnsi="Times New Roman"/>
          <w:spacing w:val="-6"/>
          <w:kern w:val="24"/>
          <w:sz w:val="28"/>
          <w:szCs w:val="28"/>
        </w:rPr>
        <w:t>.</w:t>
      </w:r>
      <w:r w:rsidRPr="00F90B6B">
        <w:rPr>
          <w:rFonts w:ascii="Times New Roman" w:hAnsi="Times New Roman"/>
          <w:spacing w:val="-6"/>
          <w:sz w:val="28"/>
          <w:szCs w:val="28"/>
        </w:rPr>
        <w:t xml:space="preserve"> Асоційованим з гіпонатріємією слід вважати рівень NTproBNP 351,8±64,2</w:t>
      </w:r>
      <w:r w:rsidRPr="00F90B6B">
        <w:rPr>
          <w:rFonts w:ascii="Times New Roman" w:hAnsi="Times New Roman"/>
          <w:spacing w:val="-6"/>
          <w:sz w:val="28"/>
          <w:szCs w:val="28"/>
          <w:lang w:eastAsia="uk-UA"/>
        </w:rPr>
        <w:t xml:space="preserve"> пг/мл.</w:t>
      </w:r>
      <w:r w:rsidRPr="00F90B6B">
        <w:rPr>
          <w:rFonts w:ascii="Times New Roman" w:hAnsi="Times New Roman"/>
          <w:spacing w:val="-6"/>
          <w:sz w:val="28"/>
          <w:szCs w:val="28"/>
        </w:rPr>
        <w:t xml:space="preserve"> Прогностично несприятливим, асоційованим з важкою гіпонатріємією та зниженням швидкості клубочкової фільтрації є рівень </w:t>
      </w:r>
      <w:r w:rsidRPr="00F90B6B">
        <w:rPr>
          <w:rFonts w:ascii="Times New Roman" w:hAnsi="Times New Roman"/>
          <w:spacing w:val="-6"/>
          <w:sz w:val="28"/>
          <w:szCs w:val="28"/>
          <w:lang w:eastAsia="uk-UA"/>
        </w:rPr>
        <w:t xml:space="preserve">NTproBNP ≥ 587,2±225,6 пг/мл та рівень альдостерону </w:t>
      </w:r>
      <w:r w:rsidRPr="00F90B6B">
        <w:rPr>
          <w:rFonts w:ascii="Times New Roman" w:hAnsi="Times New Roman"/>
          <w:spacing w:val="-6"/>
          <w:sz w:val="28"/>
          <w:szCs w:val="28"/>
        </w:rPr>
        <w:t>≥ 130,2 пмоль/л.</w:t>
      </w:r>
    </w:p>
    <w:p w:rsidR="00EF4063" w:rsidRPr="00F90B6B" w:rsidRDefault="00EF4063" w:rsidP="00F0048B">
      <w:pPr>
        <w:pStyle w:val="1"/>
        <w:numPr>
          <w:ilvl w:val="0"/>
          <w:numId w:val="33"/>
        </w:numPr>
        <w:spacing w:after="0" w:line="360" w:lineRule="auto"/>
        <w:ind w:left="0" w:firstLine="0"/>
        <w:contextualSpacing w:val="0"/>
        <w:jc w:val="both"/>
        <w:rPr>
          <w:rFonts w:ascii="Times New Roman" w:hAnsi="Times New Roman"/>
          <w:spacing w:val="-6"/>
          <w:sz w:val="28"/>
          <w:szCs w:val="28"/>
        </w:rPr>
      </w:pPr>
      <w:r w:rsidRPr="00F90B6B">
        <w:rPr>
          <w:rFonts w:ascii="Times New Roman" w:hAnsi="Times New Roman"/>
          <w:spacing w:val="-6"/>
          <w:sz w:val="28"/>
          <w:szCs w:val="28"/>
        </w:rPr>
        <w:t xml:space="preserve">Хворим з ХСН </w:t>
      </w:r>
      <w:r w:rsidRPr="00F90B6B">
        <w:rPr>
          <w:rFonts w:ascii="Times New Roman" w:hAnsi="Times New Roman"/>
          <w:spacing w:val="-6"/>
          <w:kern w:val="24"/>
          <w:sz w:val="28"/>
          <w:szCs w:val="28"/>
        </w:rPr>
        <w:t xml:space="preserve">і збереженою ФВ ЛШ та супутнім ожирінням на фоні гіпонатріємії </w:t>
      </w:r>
      <w:r w:rsidRPr="00F90B6B">
        <w:rPr>
          <w:rFonts w:ascii="Times New Roman" w:hAnsi="Times New Roman"/>
          <w:spacing w:val="-6"/>
          <w:sz w:val="28"/>
          <w:szCs w:val="28"/>
        </w:rPr>
        <w:t xml:space="preserve">рекомендовано проводити контроль гемодинамічних показників та зважати на наявність </w:t>
      </w:r>
      <w:r w:rsidRPr="00F90B6B">
        <w:rPr>
          <w:rFonts w:ascii="Times New Roman" w:hAnsi="Times New Roman"/>
          <w:spacing w:val="-6"/>
          <w:sz w:val="28"/>
          <w:szCs w:val="28"/>
          <w:lang w:val="en-US"/>
        </w:rPr>
        <w:t>J</w:t>
      </w:r>
      <w:r w:rsidRPr="00F90B6B">
        <w:rPr>
          <w:rFonts w:ascii="Times New Roman" w:hAnsi="Times New Roman"/>
          <w:spacing w:val="-6"/>
          <w:sz w:val="28"/>
          <w:szCs w:val="28"/>
        </w:rPr>
        <w:t xml:space="preserve">-подібної залежності </w:t>
      </w:r>
      <w:r w:rsidRPr="00F90B6B">
        <w:rPr>
          <w:rFonts w:ascii="Times New Roman" w:hAnsi="Times New Roman"/>
          <w:spacing w:val="-6"/>
          <w:kern w:val="24"/>
          <w:sz w:val="28"/>
          <w:szCs w:val="28"/>
        </w:rPr>
        <w:t>серцево-судинних подій від</w:t>
      </w:r>
      <w:r w:rsidRPr="00F90B6B">
        <w:rPr>
          <w:rFonts w:ascii="Times New Roman" w:hAnsi="Times New Roman"/>
          <w:spacing w:val="-6"/>
          <w:sz w:val="28"/>
          <w:szCs w:val="28"/>
        </w:rPr>
        <w:t xml:space="preserve"> систолічного артеріального тиску. Показник систолічного артеріального тиску нижче 110 мм рт</w:t>
      </w:r>
      <w:r w:rsidRPr="00F90B6B">
        <w:rPr>
          <w:rFonts w:ascii="Times New Roman" w:hAnsi="Times New Roman"/>
          <w:spacing w:val="-6"/>
          <w:sz w:val="28"/>
          <w:szCs w:val="28"/>
          <w:lang w:val="ru-RU"/>
        </w:rPr>
        <w:t>.</w:t>
      </w:r>
      <w:r w:rsidRPr="00F90B6B">
        <w:rPr>
          <w:rFonts w:ascii="Times New Roman" w:hAnsi="Times New Roman"/>
          <w:spacing w:val="-6"/>
          <w:sz w:val="28"/>
          <w:szCs w:val="28"/>
        </w:rPr>
        <w:t xml:space="preserve"> </w:t>
      </w:r>
      <w:r w:rsidRPr="00F90B6B">
        <w:rPr>
          <w:rFonts w:ascii="Times New Roman" w:hAnsi="Times New Roman"/>
          <w:spacing w:val="-6"/>
          <w:sz w:val="28"/>
          <w:szCs w:val="28"/>
          <w:lang w:val="ru-RU"/>
        </w:rPr>
        <w:t>с</w:t>
      </w:r>
      <w:r w:rsidRPr="00F90B6B">
        <w:rPr>
          <w:rFonts w:ascii="Times New Roman" w:hAnsi="Times New Roman"/>
          <w:spacing w:val="-6"/>
          <w:sz w:val="28"/>
          <w:szCs w:val="28"/>
        </w:rPr>
        <w:t>т. є прогностично несприятливим та асоціюється з ризиком серцево-судинної смертності.</w:t>
      </w:r>
    </w:p>
    <w:p w:rsidR="00EF4063" w:rsidRPr="00F90B6B" w:rsidRDefault="00EF4063" w:rsidP="00F0048B">
      <w:pPr>
        <w:pStyle w:val="1"/>
        <w:spacing w:after="0" w:line="360" w:lineRule="auto"/>
        <w:ind w:left="0"/>
        <w:jc w:val="both"/>
        <w:rPr>
          <w:rFonts w:ascii="Times New Roman" w:hAnsi="Times New Roman"/>
          <w:spacing w:val="-6"/>
          <w:sz w:val="28"/>
          <w:szCs w:val="28"/>
          <w:lang w:eastAsia="ru-RU"/>
        </w:rPr>
      </w:pPr>
    </w:p>
    <w:p w:rsidR="00EF4063" w:rsidRPr="00F90B6B" w:rsidRDefault="00EF4063" w:rsidP="00F0048B">
      <w:pPr>
        <w:pStyle w:val="1"/>
        <w:spacing w:after="0" w:line="360" w:lineRule="auto"/>
        <w:ind w:left="0"/>
        <w:jc w:val="both"/>
        <w:rPr>
          <w:rFonts w:ascii="Times New Roman" w:hAnsi="Times New Roman"/>
          <w:sz w:val="28"/>
          <w:szCs w:val="28"/>
          <w:lang w:eastAsia="ru-RU"/>
        </w:rPr>
      </w:pPr>
    </w:p>
    <w:p w:rsidR="00EF4063" w:rsidRPr="007F242B" w:rsidRDefault="00EF4063" w:rsidP="00F0048B">
      <w:pPr>
        <w:spacing w:after="0" w:line="360" w:lineRule="auto"/>
        <w:jc w:val="center"/>
        <w:rPr>
          <w:rFonts w:ascii="Times New Roman" w:hAnsi="Times New Roman"/>
          <w:sz w:val="28"/>
          <w:szCs w:val="28"/>
        </w:rPr>
      </w:pPr>
      <w:r w:rsidRPr="00F90B6B">
        <w:rPr>
          <w:rFonts w:ascii="Times New Roman" w:hAnsi="Times New Roman"/>
          <w:sz w:val="28"/>
          <w:szCs w:val="28"/>
          <w:lang w:eastAsia="ru-RU"/>
        </w:rPr>
        <w:br w:type="page"/>
      </w:r>
      <w:r w:rsidRPr="007F242B">
        <w:rPr>
          <w:rFonts w:ascii="Times New Roman" w:hAnsi="Times New Roman"/>
          <w:sz w:val="28"/>
          <w:szCs w:val="28"/>
        </w:rPr>
        <w:lastRenderedPageBreak/>
        <w:t>ПЕРЕЛІК ВИКОРИСТАНИХ ДЖЕРЕЛ</w:t>
      </w:r>
    </w:p>
    <w:p w:rsidR="00EF4063" w:rsidRPr="00F90B6B" w:rsidRDefault="00EF4063" w:rsidP="00F0048B">
      <w:pPr>
        <w:spacing w:after="0" w:line="360" w:lineRule="auto"/>
        <w:rPr>
          <w:rFonts w:ascii="Times New Roman" w:hAnsi="Times New Roman"/>
          <w:sz w:val="28"/>
          <w:szCs w:val="28"/>
          <w:lang w:eastAsia="ru-RU"/>
        </w:rPr>
      </w:pP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 xml:space="preserve">Бердников С. В., Вишневский В. И., Бердникова О. А. Влияние амбулаторного самоконтроля на функциональное состояние почек и электролитные нарушения у больных с выраженной сердечной недостаточностью. </w:t>
      </w:r>
      <w:r w:rsidRPr="00F90B6B">
        <w:rPr>
          <w:rFonts w:ascii="Times New Roman" w:hAnsi="Times New Roman"/>
          <w:sz w:val="28"/>
          <w:szCs w:val="28"/>
          <w:lang w:val="en-US"/>
        </w:rPr>
        <w:t xml:space="preserve">Российский кардиологический журнал. 2013; 1 (99): </w:t>
      </w:r>
      <w:r w:rsidRPr="00F90B6B">
        <w:rPr>
          <w:rFonts w:ascii="Times New Roman" w:hAnsi="Times New Roman"/>
          <w:sz w:val="28"/>
          <w:szCs w:val="28"/>
        </w:rPr>
        <w:t>79-85.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ВНОК. Диагностика и коррекция нарушений липидного обмена с целью профилактики и лечения атеросклероза</w:t>
      </w:r>
      <w:r w:rsidRPr="00F90B6B">
        <w:rPr>
          <w:rFonts w:ascii="Times New Roman" w:hAnsi="Times New Roman"/>
          <w:sz w:val="28"/>
          <w:szCs w:val="28"/>
          <w:lang w:val="ru-RU"/>
        </w:rPr>
        <w:t>.</w:t>
      </w:r>
      <w:r w:rsidRPr="00F90B6B">
        <w:rPr>
          <w:rFonts w:ascii="Times New Roman" w:hAnsi="Times New Roman"/>
          <w:sz w:val="28"/>
          <w:szCs w:val="28"/>
        </w:rPr>
        <w:t xml:space="preserve"> Кардиоваскулярная терапия и профилактика. Приложение 3. 2007</w:t>
      </w:r>
      <w:r w:rsidRPr="00F90B6B">
        <w:rPr>
          <w:rFonts w:ascii="Times New Roman" w:hAnsi="Times New Roman"/>
          <w:sz w:val="28"/>
          <w:szCs w:val="28"/>
          <w:lang w:val="en-US"/>
        </w:rPr>
        <w:t xml:space="preserve">; 6 </w:t>
      </w:r>
      <w:r w:rsidRPr="00F90B6B">
        <w:rPr>
          <w:rFonts w:ascii="Times New Roman" w:hAnsi="Times New Roman"/>
          <w:sz w:val="28"/>
          <w:szCs w:val="28"/>
        </w:rPr>
        <w:t>(6)</w:t>
      </w:r>
      <w:r w:rsidRPr="00F90B6B">
        <w:rPr>
          <w:rFonts w:ascii="Times New Roman" w:hAnsi="Times New Roman"/>
          <w:sz w:val="28"/>
          <w:szCs w:val="28"/>
          <w:lang w:val="en-US"/>
        </w:rPr>
        <w:t>: 12-23</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Дислипідемії, діагностика, профілактика та лікування: методичні рекомендації</w:t>
      </w:r>
      <w:r w:rsidRPr="00F90B6B">
        <w:rPr>
          <w:rFonts w:ascii="Times New Roman" w:hAnsi="Times New Roman"/>
          <w:sz w:val="28"/>
          <w:szCs w:val="28"/>
          <w:lang w:val="ru-RU"/>
        </w:rPr>
        <w:t>.</w:t>
      </w:r>
      <w:r w:rsidRPr="00F90B6B">
        <w:rPr>
          <w:rFonts w:ascii="Times New Roman" w:hAnsi="Times New Roman"/>
          <w:sz w:val="28"/>
          <w:szCs w:val="28"/>
        </w:rPr>
        <w:t xml:space="preserve"> Київ, 2012</w:t>
      </w:r>
      <w:r w:rsidRPr="00F90B6B">
        <w:rPr>
          <w:rFonts w:ascii="Times New Roman" w:hAnsi="Times New Roman"/>
          <w:sz w:val="28"/>
          <w:szCs w:val="28"/>
          <w:lang w:val="en-US"/>
        </w:rPr>
        <w:t>,</w:t>
      </w:r>
      <w:r w:rsidRPr="00F90B6B">
        <w:rPr>
          <w:rFonts w:ascii="Times New Roman" w:hAnsi="Times New Roman"/>
          <w:sz w:val="28"/>
          <w:szCs w:val="28"/>
        </w:rPr>
        <w:t xml:space="preserve"> 47</w:t>
      </w:r>
      <w:r w:rsidRPr="00F90B6B">
        <w:rPr>
          <w:rFonts w:ascii="Times New Roman" w:hAnsi="Times New Roman"/>
          <w:sz w:val="28"/>
          <w:szCs w:val="28"/>
          <w:lang w:val="en-US"/>
        </w:rPr>
        <w:t xml:space="preserve"> c.</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Журавлёва Л.</w:t>
      </w:r>
      <w:r w:rsidRPr="00F90B6B">
        <w:rPr>
          <w:rFonts w:ascii="Times New Roman" w:hAnsi="Times New Roman"/>
          <w:sz w:val="28"/>
          <w:szCs w:val="28"/>
        </w:rPr>
        <w:t xml:space="preserve"> </w:t>
      </w:r>
      <w:r w:rsidRPr="00F90B6B">
        <w:rPr>
          <w:rFonts w:ascii="Times New Roman" w:hAnsi="Times New Roman"/>
          <w:sz w:val="28"/>
          <w:szCs w:val="28"/>
          <w:lang w:val="ru-RU"/>
        </w:rPr>
        <w:t>В.</w:t>
      </w:r>
      <w:r w:rsidRPr="00F90B6B">
        <w:rPr>
          <w:rFonts w:ascii="Times New Roman" w:hAnsi="Times New Roman"/>
          <w:sz w:val="28"/>
          <w:szCs w:val="28"/>
        </w:rPr>
        <w:t>,</w:t>
      </w:r>
      <w:r w:rsidRPr="00F90B6B">
        <w:rPr>
          <w:rFonts w:ascii="Times New Roman" w:hAnsi="Times New Roman"/>
          <w:sz w:val="28"/>
          <w:szCs w:val="28"/>
          <w:lang w:val="ru-RU"/>
        </w:rPr>
        <w:t xml:space="preserve"> Лопина Н.</w:t>
      </w:r>
      <w:r w:rsidRPr="00F90B6B">
        <w:rPr>
          <w:rFonts w:ascii="Times New Roman" w:hAnsi="Times New Roman"/>
          <w:sz w:val="28"/>
          <w:szCs w:val="28"/>
        </w:rPr>
        <w:t xml:space="preserve"> </w:t>
      </w:r>
      <w:r w:rsidRPr="00F90B6B">
        <w:rPr>
          <w:rFonts w:ascii="Times New Roman" w:hAnsi="Times New Roman"/>
          <w:sz w:val="28"/>
          <w:szCs w:val="28"/>
          <w:lang w:val="ru-RU"/>
        </w:rPr>
        <w:t>А. Анализ показателей атеросклеротического поражения коронарных артерий у больных ишемической болезнью сердца в зависимости от наличия сахарного диабета 2-го типа</w:t>
      </w:r>
      <w:r w:rsidRPr="00F90B6B">
        <w:rPr>
          <w:rFonts w:ascii="Times New Roman" w:hAnsi="Times New Roman"/>
          <w:sz w:val="28"/>
          <w:szCs w:val="28"/>
        </w:rPr>
        <w:t>.</w:t>
      </w:r>
      <w:r w:rsidRPr="00F90B6B">
        <w:rPr>
          <w:rFonts w:ascii="Times New Roman" w:hAnsi="Times New Roman"/>
          <w:sz w:val="28"/>
          <w:szCs w:val="28"/>
          <w:lang w:val="ru-RU"/>
        </w:rPr>
        <w:t xml:space="preserve"> </w:t>
      </w:r>
      <w:r w:rsidRPr="00F90B6B">
        <w:rPr>
          <w:rFonts w:ascii="Times New Roman" w:hAnsi="Times New Roman"/>
          <w:sz w:val="28"/>
          <w:szCs w:val="28"/>
          <w:lang w:val="en-US"/>
        </w:rPr>
        <w:t>Ліки України плюс. 2016</w:t>
      </w:r>
      <w:r w:rsidRPr="00F90B6B">
        <w:rPr>
          <w:rFonts w:ascii="Times New Roman" w:hAnsi="Times New Roman"/>
          <w:sz w:val="28"/>
          <w:szCs w:val="28"/>
        </w:rPr>
        <w:t xml:space="preserve">; </w:t>
      </w:r>
      <w:r w:rsidRPr="00F90B6B">
        <w:rPr>
          <w:rFonts w:ascii="Times New Roman" w:hAnsi="Times New Roman"/>
          <w:sz w:val="28"/>
          <w:szCs w:val="28"/>
          <w:lang w:val="en-US"/>
        </w:rPr>
        <w:t>2 (27)</w:t>
      </w:r>
      <w:r w:rsidRPr="00F90B6B">
        <w:rPr>
          <w:rFonts w:ascii="Times New Roman" w:hAnsi="Times New Roman"/>
          <w:sz w:val="28"/>
          <w:szCs w:val="28"/>
        </w:rPr>
        <w:t xml:space="preserve">: </w:t>
      </w:r>
      <w:r w:rsidRPr="00F90B6B">
        <w:rPr>
          <w:rFonts w:ascii="Times New Roman" w:hAnsi="Times New Roman"/>
          <w:sz w:val="28"/>
          <w:szCs w:val="28"/>
          <w:lang w:val="en-US"/>
        </w:rPr>
        <w:t>32-38</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Журавлёва Л.</w:t>
      </w:r>
      <w:r w:rsidRPr="00F90B6B">
        <w:rPr>
          <w:rFonts w:ascii="Times New Roman" w:hAnsi="Times New Roman"/>
          <w:sz w:val="28"/>
          <w:szCs w:val="28"/>
        </w:rPr>
        <w:t xml:space="preserve"> </w:t>
      </w:r>
      <w:r w:rsidRPr="00F90B6B">
        <w:rPr>
          <w:rFonts w:ascii="Times New Roman" w:hAnsi="Times New Roman"/>
          <w:sz w:val="28"/>
          <w:szCs w:val="28"/>
          <w:lang w:val="ru-RU"/>
        </w:rPr>
        <w:t>В.</w:t>
      </w:r>
      <w:r w:rsidRPr="00F90B6B">
        <w:rPr>
          <w:rFonts w:ascii="Times New Roman" w:hAnsi="Times New Roman"/>
          <w:sz w:val="28"/>
          <w:szCs w:val="28"/>
        </w:rPr>
        <w:t>,</w:t>
      </w:r>
      <w:r w:rsidRPr="00F90B6B">
        <w:rPr>
          <w:rFonts w:ascii="Times New Roman" w:hAnsi="Times New Roman"/>
          <w:sz w:val="28"/>
          <w:szCs w:val="28"/>
          <w:lang w:val="ru-RU"/>
        </w:rPr>
        <w:t xml:space="preserve"> Лопина Н.</w:t>
      </w:r>
      <w:r w:rsidRPr="00F90B6B">
        <w:rPr>
          <w:rFonts w:ascii="Times New Roman" w:hAnsi="Times New Roman"/>
          <w:sz w:val="28"/>
          <w:szCs w:val="28"/>
        </w:rPr>
        <w:t xml:space="preserve"> </w:t>
      </w:r>
      <w:r w:rsidRPr="00F90B6B">
        <w:rPr>
          <w:rFonts w:ascii="Times New Roman" w:hAnsi="Times New Roman"/>
          <w:sz w:val="28"/>
          <w:szCs w:val="28"/>
          <w:lang w:val="ru-RU"/>
        </w:rPr>
        <w:t>А. Нарушение липидного обмена у пациентов с ишемической болезнью сердца в зависимости от наличия сахарного диабета 2-го типа и характера поражения коронарных артерий</w:t>
      </w:r>
      <w:r w:rsidRPr="00F90B6B">
        <w:rPr>
          <w:rFonts w:ascii="Times New Roman" w:hAnsi="Times New Roman"/>
          <w:sz w:val="28"/>
          <w:szCs w:val="28"/>
        </w:rPr>
        <w:t>.</w:t>
      </w:r>
      <w:r w:rsidRPr="00F90B6B">
        <w:rPr>
          <w:rFonts w:ascii="Times New Roman" w:hAnsi="Times New Roman"/>
          <w:sz w:val="28"/>
          <w:szCs w:val="28"/>
          <w:lang w:val="ru-RU"/>
        </w:rPr>
        <w:t xml:space="preserve"> </w:t>
      </w:r>
      <w:r w:rsidRPr="00F90B6B">
        <w:rPr>
          <w:rFonts w:ascii="Times New Roman" w:hAnsi="Times New Roman"/>
          <w:sz w:val="28"/>
          <w:szCs w:val="28"/>
          <w:lang w:val="en-US"/>
        </w:rPr>
        <w:t>Серце і судини. 2016</w:t>
      </w:r>
      <w:r w:rsidRPr="00F90B6B">
        <w:rPr>
          <w:rFonts w:ascii="Times New Roman" w:hAnsi="Times New Roman"/>
          <w:sz w:val="28"/>
          <w:szCs w:val="28"/>
        </w:rPr>
        <w:t xml:space="preserve">; </w:t>
      </w:r>
      <w:r w:rsidRPr="00F90B6B">
        <w:rPr>
          <w:rFonts w:ascii="Times New Roman" w:hAnsi="Times New Roman"/>
          <w:sz w:val="28"/>
          <w:szCs w:val="28"/>
          <w:lang w:val="en-US"/>
        </w:rPr>
        <w:t>2 (54)</w:t>
      </w:r>
      <w:r w:rsidRPr="00F90B6B">
        <w:rPr>
          <w:rFonts w:ascii="Times New Roman" w:hAnsi="Times New Roman"/>
          <w:sz w:val="28"/>
          <w:szCs w:val="28"/>
        </w:rPr>
        <w:t xml:space="preserve">: </w:t>
      </w:r>
      <w:r w:rsidRPr="00F90B6B">
        <w:rPr>
          <w:rFonts w:ascii="Times New Roman" w:hAnsi="Times New Roman"/>
          <w:sz w:val="28"/>
          <w:szCs w:val="28"/>
          <w:lang w:val="en-US"/>
        </w:rPr>
        <w:t>63-72</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Журавльова Л.</w:t>
      </w:r>
      <w:r w:rsidRPr="00F90B6B">
        <w:rPr>
          <w:rFonts w:ascii="Times New Roman" w:hAnsi="Times New Roman"/>
          <w:sz w:val="28"/>
          <w:szCs w:val="28"/>
        </w:rPr>
        <w:t xml:space="preserve"> </w:t>
      </w:r>
      <w:r w:rsidRPr="00F90B6B">
        <w:rPr>
          <w:rFonts w:ascii="Times New Roman" w:hAnsi="Times New Roman"/>
          <w:sz w:val="28"/>
          <w:szCs w:val="28"/>
          <w:lang w:val="ru-RU"/>
        </w:rPr>
        <w:t>В.</w:t>
      </w:r>
      <w:r w:rsidRPr="00F90B6B">
        <w:rPr>
          <w:rFonts w:ascii="Times New Roman" w:hAnsi="Times New Roman"/>
          <w:sz w:val="28"/>
          <w:szCs w:val="28"/>
        </w:rPr>
        <w:t>,</w:t>
      </w:r>
      <w:r w:rsidRPr="00F90B6B">
        <w:rPr>
          <w:rFonts w:ascii="Times New Roman" w:hAnsi="Times New Roman"/>
          <w:sz w:val="28"/>
          <w:szCs w:val="28"/>
          <w:lang w:val="ru-RU"/>
        </w:rPr>
        <w:t xml:space="preserve"> Лопіна Н.</w:t>
      </w:r>
      <w:r w:rsidRPr="00F90B6B">
        <w:rPr>
          <w:rFonts w:ascii="Times New Roman" w:hAnsi="Times New Roman"/>
          <w:sz w:val="28"/>
          <w:szCs w:val="28"/>
        </w:rPr>
        <w:t xml:space="preserve"> </w:t>
      </w:r>
      <w:r w:rsidRPr="00F90B6B">
        <w:rPr>
          <w:rFonts w:ascii="Times New Roman" w:hAnsi="Times New Roman"/>
          <w:sz w:val="28"/>
          <w:szCs w:val="28"/>
          <w:lang w:val="ru-RU"/>
        </w:rPr>
        <w:t>А. Рівень фракталкіну і його значення для прогнозування наявності та вираження атеросклеротичного ураження вінцевих судин</w:t>
      </w:r>
      <w:r w:rsidRPr="00F90B6B">
        <w:rPr>
          <w:rFonts w:ascii="Times New Roman" w:hAnsi="Times New Roman"/>
          <w:sz w:val="28"/>
          <w:szCs w:val="28"/>
        </w:rPr>
        <w:t>.</w:t>
      </w:r>
      <w:r w:rsidRPr="00F90B6B">
        <w:rPr>
          <w:rFonts w:ascii="Times New Roman" w:hAnsi="Times New Roman"/>
          <w:sz w:val="28"/>
          <w:szCs w:val="28"/>
          <w:lang w:val="ru-RU"/>
        </w:rPr>
        <w:t xml:space="preserve"> </w:t>
      </w:r>
      <w:r w:rsidRPr="00F90B6B">
        <w:rPr>
          <w:rFonts w:ascii="Times New Roman" w:hAnsi="Times New Roman"/>
          <w:sz w:val="28"/>
          <w:szCs w:val="28"/>
          <w:lang w:val="en-US"/>
        </w:rPr>
        <w:t>Український кардіологічний журнал. 2016</w:t>
      </w:r>
      <w:r w:rsidRPr="00F90B6B">
        <w:rPr>
          <w:rFonts w:ascii="Times New Roman" w:hAnsi="Times New Roman"/>
          <w:sz w:val="28"/>
          <w:szCs w:val="28"/>
        </w:rPr>
        <w:t xml:space="preserve">; </w:t>
      </w:r>
      <w:r w:rsidRPr="00F90B6B">
        <w:rPr>
          <w:rFonts w:ascii="Times New Roman" w:hAnsi="Times New Roman"/>
          <w:sz w:val="28"/>
          <w:szCs w:val="28"/>
          <w:lang w:val="en-US"/>
        </w:rPr>
        <w:t>3</w:t>
      </w:r>
      <w:r w:rsidRPr="00F90B6B">
        <w:rPr>
          <w:rFonts w:ascii="Times New Roman" w:hAnsi="Times New Roman"/>
          <w:sz w:val="28"/>
          <w:szCs w:val="28"/>
        </w:rPr>
        <w:t xml:space="preserve">: </w:t>
      </w:r>
      <w:r w:rsidRPr="00F90B6B">
        <w:rPr>
          <w:rFonts w:ascii="Times New Roman" w:hAnsi="Times New Roman"/>
          <w:sz w:val="28"/>
          <w:szCs w:val="28"/>
          <w:lang w:val="en-US"/>
        </w:rPr>
        <w:t>62-67</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Журавльова Л.</w:t>
      </w:r>
      <w:r w:rsidRPr="00F90B6B">
        <w:rPr>
          <w:rFonts w:ascii="Times New Roman" w:hAnsi="Times New Roman"/>
          <w:sz w:val="28"/>
          <w:szCs w:val="28"/>
        </w:rPr>
        <w:t xml:space="preserve"> </w:t>
      </w:r>
      <w:r w:rsidRPr="00F90B6B">
        <w:rPr>
          <w:rFonts w:ascii="Times New Roman" w:hAnsi="Times New Roman"/>
          <w:sz w:val="28"/>
          <w:szCs w:val="28"/>
          <w:lang w:val="ru-RU"/>
        </w:rPr>
        <w:t>В.</w:t>
      </w:r>
      <w:r w:rsidRPr="00F90B6B">
        <w:rPr>
          <w:rFonts w:ascii="Times New Roman" w:hAnsi="Times New Roman"/>
          <w:sz w:val="28"/>
          <w:szCs w:val="28"/>
        </w:rPr>
        <w:t>,</w:t>
      </w:r>
      <w:r w:rsidRPr="00F90B6B">
        <w:rPr>
          <w:rFonts w:ascii="Times New Roman" w:hAnsi="Times New Roman"/>
          <w:sz w:val="28"/>
          <w:szCs w:val="28"/>
          <w:lang w:val="ru-RU"/>
        </w:rPr>
        <w:t xml:space="preserve"> Моїсеєнко Т.</w:t>
      </w:r>
      <w:r w:rsidRPr="00F90B6B">
        <w:rPr>
          <w:rFonts w:ascii="Times New Roman" w:hAnsi="Times New Roman"/>
          <w:sz w:val="28"/>
          <w:szCs w:val="28"/>
        </w:rPr>
        <w:t xml:space="preserve"> </w:t>
      </w:r>
      <w:r w:rsidRPr="00F90B6B">
        <w:rPr>
          <w:rFonts w:ascii="Times New Roman" w:hAnsi="Times New Roman"/>
          <w:sz w:val="28"/>
          <w:szCs w:val="28"/>
          <w:lang w:val="ru-RU"/>
        </w:rPr>
        <w:t>А. Дистиреоз у хворих на цукровий діабет 2 типу з ожирінням та без нього</w:t>
      </w:r>
      <w:r w:rsidRPr="00F90B6B">
        <w:rPr>
          <w:rFonts w:ascii="Times New Roman" w:hAnsi="Times New Roman"/>
          <w:sz w:val="28"/>
          <w:szCs w:val="28"/>
        </w:rPr>
        <w:t>.</w:t>
      </w:r>
      <w:r w:rsidRPr="00F90B6B">
        <w:rPr>
          <w:rFonts w:ascii="Times New Roman" w:hAnsi="Times New Roman"/>
          <w:sz w:val="28"/>
          <w:szCs w:val="28"/>
          <w:lang w:val="ru-RU"/>
        </w:rPr>
        <w:t xml:space="preserve"> </w:t>
      </w:r>
      <w:r w:rsidRPr="00F90B6B">
        <w:rPr>
          <w:rFonts w:ascii="Times New Roman" w:hAnsi="Times New Roman"/>
          <w:sz w:val="28"/>
          <w:szCs w:val="28"/>
          <w:lang w:val="en-US"/>
        </w:rPr>
        <w:t>Практикуючий лікар. 2013</w:t>
      </w:r>
      <w:r w:rsidRPr="00F90B6B">
        <w:rPr>
          <w:rFonts w:ascii="Times New Roman" w:hAnsi="Times New Roman"/>
          <w:sz w:val="28"/>
          <w:szCs w:val="28"/>
        </w:rPr>
        <w:t xml:space="preserve">; </w:t>
      </w:r>
      <w:r w:rsidRPr="00F90B6B">
        <w:rPr>
          <w:rFonts w:ascii="Times New Roman" w:hAnsi="Times New Roman"/>
          <w:sz w:val="28"/>
          <w:szCs w:val="28"/>
          <w:lang w:val="en-US"/>
        </w:rPr>
        <w:t>1</w:t>
      </w:r>
      <w:r w:rsidRPr="00F90B6B">
        <w:rPr>
          <w:rFonts w:ascii="Times New Roman" w:hAnsi="Times New Roman"/>
          <w:sz w:val="28"/>
          <w:szCs w:val="28"/>
        </w:rPr>
        <w:t>:</w:t>
      </w:r>
      <w:r w:rsidRPr="00F90B6B">
        <w:rPr>
          <w:rFonts w:ascii="Times New Roman" w:hAnsi="Times New Roman"/>
          <w:sz w:val="28"/>
          <w:szCs w:val="28"/>
          <w:lang w:val="en-US"/>
        </w:rPr>
        <w:t>45 -51</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Коваленк</w:t>
      </w:r>
      <w:r w:rsidRPr="00F90B6B">
        <w:rPr>
          <w:rFonts w:ascii="Times New Roman" w:hAnsi="Times New Roman"/>
          <w:sz w:val="28"/>
          <w:szCs w:val="28"/>
        </w:rPr>
        <w:t>о</w:t>
      </w:r>
      <w:r w:rsidRPr="00F90B6B">
        <w:rPr>
          <w:rFonts w:ascii="Times New Roman" w:hAnsi="Times New Roman"/>
          <w:sz w:val="28"/>
          <w:szCs w:val="28"/>
          <w:lang w:val="ru-RU"/>
        </w:rPr>
        <w:t xml:space="preserve"> В.</w:t>
      </w:r>
      <w:r w:rsidRPr="00F90B6B">
        <w:rPr>
          <w:rFonts w:ascii="Times New Roman" w:hAnsi="Times New Roman"/>
          <w:sz w:val="28"/>
          <w:szCs w:val="28"/>
        </w:rPr>
        <w:t xml:space="preserve"> </w:t>
      </w:r>
      <w:r w:rsidRPr="00F90B6B">
        <w:rPr>
          <w:rFonts w:ascii="Times New Roman" w:hAnsi="Times New Roman"/>
          <w:sz w:val="28"/>
          <w:szCs w:val="28"/>
          <w:lang w:val="ru-RU"/>
        </w:rPr>
        <w:t>М., Корнацьк</w:t>
      </w:r>
      <w:r w:rsidRPr="00F90B6B">
        <w:rPr>
          <w:rFonts w:ascii="Times New Roman" w:hAnsi="Times New Roman"/>
          <w:sz w:val="28"/>
          <w:szCs w:val="28"/>
        </w:rPr>
        <w:t>ий</w:t>
      </w:r>
      <w:r w:rsidRPr="00F90B6B">
        <w:rPr>
          <w:rFonts w:ascii="Times New Roman" w:hAnsi="Times New Roman"/>
          <w:sz w:val="28"/>
          <w:szCs w:val="28"/>
          <w:lang w:val="ru-RU"/>
        </w:rPr>
        <w:t xml:space="preserve"> В.</w:t>
      </w:r>
      <w:r w:rsidRPr="00F90B6B">
        <w:rPr>
          <w:rFonts w:ascii="Times New Roman" w:hAnsi="Times New Roman"/>
          <w:sz w:val="28"/>
          <w:szCs w:val="28"/>
        </w:rPr>
        <w:t xml:space="preserve"> </w:t>
      </w:r>
      <w:r w:rsidRPr="00F90B6B">
        <w:rPr>
          <w:rFonts w:ascii="Times New Roman" w:hAnsi="Times New Roman"/>
          <w:sz w:val="28"/>
          <w:szCs w:val="28"/>
          <w:lang w:val="ru-RU"/>
        </w:rPr>
        <w:t>М.</w:t>
      </w:r>
      <w:r w:rsidRPr="00F90B6B">
        <w:rPr>
          <w:rFonts w:ascii="Times New Roman" w:hAnsi="Times New Roman"/>
          <w:sz w:val="28"/>
          <w:szCs w:val="28"/>
        </w:rPr>
        <w:t xml:space="preserve"> </w:t>
      </w:r>
      <w:r w:rsidRPr="00F90B6B">
        <w:rPr>
          <w:rFonts w:ascii="Times New Roman" w:hAnsi="Times New Roman"/>
          <w:sz w:val="28"/>
          <w:szCs w:val="28"/>
          <w:lang w:val="ru-RU"/>
        </w:rPr>
        <w:t>Проблеми здоров'я і медичної допомоги та модель покращання в сучасних умовах : посібник для кардіологів, ревматологів, терапевтів, організаторів охорони здоров'я та лікарів загальної практики</w:t>
      </w:r>
      <w:r w:rsidRPr="00F90B6B">
        <w:rPr>
          <w:rFonts w:ascii="Times New Roman" w:hAnsi="Times New Roman"/>
          <w:sz w:val="28"/>
          <w:szCs w:val="28"/>
        </w:rPr>
        <w:t xml:space="preserve">. </w:t>
      </w:r>
      <w:r w:rsidRPr="00F90B6B">
        <w:rPr>
          <w:rFonts w:ascii="Times New Roman" w:hAnsi="Times New Roman"/>
          <w:sz w:val="28"/>
          <w:szCs w:val="28"/>
          <w:lang w:val="en-US"/>
        </w:rPr>
        <w:t xml:space="preserve">Київ: "Гордон", 2016; 261 с.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Колб В.Г., Камішников В.С. Клиническая биохимия. Минск: Беларусь</w:t>
      </w:r>
      <w:r w:rsidRPr="00F90B6B">
        <w:rPr>
          <w:rFonts w:ascii="Times New Roman" w:hAnsi="Times New Roman"/>
          <w:sz w:val="28"/>
          <w:szCs w:val="28"/>
          <w:lang w:val="ru-RU"/>
        </w:rPr>
        <w:t>,</w:t>
      </w:r>
      <w:r w:rsidRPr="00F90B6B">
        <w:rPr>
          <w:rFonts w:ascii="Times New Roman" w:hAnsi="Times New Roman"/>
          <w:sz w:val="28"/>
          <w:szCs w:val="28"/>
        </w:rPr>
        <w:t>1976</w:t>
      </w:r>
      <w:r w:rsidRPr="00F90B6B">
        <w:rPr>
          <w:rFonts w:ascii="Times New Roman" w:hAnsi="Times New Roman"/>
          <w:sz w:val="28"/>
          <w:szCs w:val="28"/>
          <w:lang w:val="ru-RU"/>
        </w:rPr>
        <w:t>:</w:t>
      </w:r>
      <w:r w:rsidRPr="00F90B6B">
        <w:rPr>
          <w:rFonts w:ascii="Times New Roman" w:hAnsi="Times New Roman"/>
          <w:sz w:val="28"/>
          <w:szCs w:val="28"/>
        </w:rPr>
        <w:t xml:space="preserve"> 171-74.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Style w:val="ac"/>
          <w:rFonts w:ascii="Times New Roman" w:hAnsi="Times New Roman"/>
          <w:i w:val="0"/>
          <w:iCs/>
          <w:sz w:val="28"/>
          <w:szCs w:val="28"/>
        </w:rPr>
        <w:lastRenderedPageBreak/>
        <w:t>Мухин Н. А., Моисеев В. С.</w:t>
      </w:r>
      <w:r w:rsidRPr="00F90B6B">
        <w:rPr>
          <w:rFonts w:ascii="Times New Roman" w:hAnsi="Times New Roman"/>
          <w:sz w:val="28"/>
          <w:szCs w:val="28"/>
        </w:rPr>
        <w:t xml:space="preserve"> Кардиоренальные соотношения и риск сердечно-сосудистых заболеваний</w:t>
      </w:r>
      <w:r w:rsidRPr="00F90B6B">
        <w:rPr>
          <w:rFonts w:ascii="Times New Roman" w:hAnsi="Times New Roman"/>
          <w:sz w:val="28"/>
          <w:szCs w:val="28"/>
          <w:lang w:val="ru-RU"/>
        </w:rPr>
        <w:t>.</w:t>
      </w:r>
      <w:r w:rsidRPr="00F90B6B">
        <w:rPr>
          <w:rFonts w:ascii="Times New Roman" w:hAnsi="Times New Roman"/>
          <w:sz w:val="28"/>
          <w:szCs w:val="28"/>
        </w:rPr>
        <w:t xml:space="preserve"> Вестник РАМН. 2003</w:t>
      </w:r>
      <w:r w:rsidRPr="00F90B6B">
        <w:rPr>
          <w:rFonts w:ascii="Times New Roman" w:hAnsi="Times New Roman"/>
          <w:sz w:val="28"/>
          <w:szCs w:val="28"/>
          <w:lang w:val="en-US"/>
        </w:rPr>
        <w:t xml:space="preserve">; </w:t>
      </w:r>
      <w:r w:rsidRPr="00F90B6B">
        <w:rPr>
          <w:rFonts w:ascii="Times New Roman" w:hAnsi="Times New Roman"/>
          <w:sz w:val="28"/>
          <w:szCs w:val="28"/>
        </w:rPr>
        <w:t>11</w:t>
      </w:r>
      <w:r w:rsidRPr="00F90B6B">
        <w:rPr>
          <w:rFonts w:ascii="Times New Roman" w:hAnsi="Times New Roman"/>
          <w:sz w:val="28"/>
          <w:szCs w:val="28"/>
          <w:lang w:val="en-US"/>
        </w:rPr>
        <w:t>:</w:t>
      </w:r>
      <w:r w:rsidRPr="00F90B6B">
        <w:rPr>
          <w:rFonts w:ascii="Times New Roman" w:hAnsi="Times New Roman"/>
          <w:sz w:val="28"/>
          <w:szCs w:val="28"/>
        </w:rPr>
        <w:t xml:space="preserve"> 50–55.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 xml:space="preserve">Рудык Ю. С., Меденцева Е. А., Высоцкая Е. В. Особенности клинико­лабораторных показателей у пациентов с хронической сердечной недостаточностью с сохраненной фракцией выброса и сахарным диабетом 2 типа. </w:t>
      </w:r>
      <w:r w:rsidRPr="00F90B6B">
        <w:rPr>
          <w:rFonts w:ascii="Times New Roman" w:hAnsi="Times New Roman"/>
          <w:sz w:val="28"/>
          <w:szCs w:val="28"/>
        </w:rPr>
        <w:t>Ук</w:t>
      </w:r>
      <w:r w:rsidRPr="00F90B6B">
        <w:rPr>
          <w:rFonts w:ascii="Times New Roman" w:hAnsi="Times New Roman"/>
          <w:sz w:val="28"/>
          <w:szCs w:val="28"/>
          <w:lang w:val="en-US"/>
        </w:rPr>
        <w:t xml:space="preserve">раїнський терапевтичний журнал. </w:t>
      </w:r>
      <w:r w:rsidRPr="00F90B6B">
        <w:rPr>
          <w:rFonts w:ascii="Times New Roman" w:hAnsi="Times New Roman"/>
          <w:sz w:val="28"/>
          <w:szCs w:val="28"/>
        </w:rPr>
        <w:t>20</w:t>
      </w:r>
      <w:r w:rsidRPr="00F90B6B">
        <w:rPr>
          <w:rFonts w:ascii="Times New Roman" w:hAnsi="Times New Roman"/>
          <w:sz w:val="28"/>
          <w:szCs w:val="28"/>
          <w:lang w:val="en-US"/>
        </w:rPr>
        <w:t>17</w:t>
      </w:r>
      <w:r w:rsidRPr="00F90B6B">
        <w:rPr>
          <w:rFonts w:ascii="Times New Roman" w:hAnsi="Times New Roman"/>
          <w:sz w:val="28"/>
          <w:szCs w:val="28"/>
        </w:rPr>
        <w:t xml:space="preserve">; </w:t>
      </w:r>
      <w:r w:rsidRPr="00F90B6B">
        <w:rPr>
          <w:rFonts w:ascii="Times New Roman" w:hAnsi="Times New Roman"/>
          <w:sz w:val="28"/>
          <w:szCs w:val="28"/>
          <w:lang w:val="en-US"/>
        </w:rPr>
        <w:t>1</w:t>
      </w:r>
      <w:r w:rsidRPr="00F90B6B">
        <w:rPr>
          <w:rFonts w:ascii="Times New Roman" w:hAnsi="Times New Roman"/>
          <w:sz w:val="28"/>
          <w:szCs w:val="28"/>
        </w:rPr>
        <w:t>:</w:t>
      </w:r>
      <w:r w:rsidRPr="00F90B6B">
        <w:rPr>
          <w:rFonts w:ascii="Times New Roman" w:hAnsi="Times New Roman"/>
          <w:sz w:val="28"/>
          <w:szCs w:val="28"/>
          <w:lang w:val="en-US"/>
        </w:rPr>
        <w:t xml:space="preserve"> 40-47.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 xml:space="preserve">Реброва О.Ю. Статистический анализ медицинских данных. Применение пакета прикладных программ </w:t>
      </w:r>
      <w:r w:rsidRPr="00F90B6B">
        <w:rPr>
          <w:rFonts w:ascii="Times New Roman" w:hAnsi="Times New Roman"/>
          <w:sz w:val="28"/>
          <w:szCs w:val="28"/>
          <w:lang w:val="en-US"/>
        </w:rPr>
        <w:t>STATISTICA</w:t>
      </w:r>
      <w:r w:rsidRPr="00F90B6B">
        <w:rPr>
          <w:rFonts w:ascii="Times New Roman" w:hAnsi="Times New Roman"/>
          <w:sz w:val="28"/>
          <w:szCs w:val="28"/>
        </w:rPr>
        <w:t>.</w:t>
      </w:r>
      <w:r w:rsidRPr="00F90B6B">
        <w:rPr>
          <w:rFonts w:ascii="Times New Roman" w:hAnsi="Times New Roman"/>
          <w:sz w:val="28"/>
          <w:szCs w:val="28"/>
          <w:lang w:val="ru-RU"/>
        </w:rPr>
        <w:t xml:space="preserve"> </w:t>
      </w:r>
      <w:r w:rsidRPr="00F90B6B">
        <w:rPr>
          <w:rFonts w:ascii="Times New Roman" w:hAnsi="Times New Roman"/>
          <w:sz w:val="28"/>
          <w:szCs w:val="28"/>
        </w:rPr>
        <w:t>М.:Медиа-сфера, 2004.312</w:t>
      </w:r>
      <w:r w:rsidRPr="00F90B6B">
        <w:rPr>
          <w:rFonts w:ascii="Times New Roman" w:hAnsi="Times New Roman"/>
          <w:sz w:val="28"/>
          <w:szCs w:val="28"/>
          <w:lang w:val="en-US"/>
        </w:rPr>
        <w:t xml:space="preserve"> </w:t>
      </w:r>
      <w:r w:rsidRPr="00F90B6B">
        <w:rPr>
          <w:rFonts w:ascii="Times New Roman" w:hAnsi="Times New Roman"/>
          <w:sz w:val="28"/>
          <w:szCs w:val="28"/>
        </w:rPr>
        <w:t>с</w:t>
      </w:r>
      <w:r w:rsidRPr="00F90B6B">
        <w:rPr>
          <w:rFonts w:ascii="Times New Roman" w:hAnsi="Times New Roman"/>
          <w:sz w:val="28"/>
          <w:szCs w:val="28"/>
          <w:lang w:val="en-US"/>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 xml:space="preserve">Сыволап В. Д., Лашкул Д. А., Абрамов А. В., Манукян Мозговой А. М. Натрийуретический пептид и структурно-функциональное ремоделирование сердца при хронической сердечной недостаточности с избыточной массой тела и ожирением. </w:t>
      </w:r>
      <w:r w:rsidRPr="00F90B6B">
        <w:rPr>
          <w:rFonts w:ascii="Times New Roman" w:hAnsi="Times New Roman"/>
          <w:sz w:val="28"/>
          <w:szCs w:val="28"/>
          <w:lang w:val="en-US"/>
        </w:rPr>
        <w:t>Запорізький медичний журнал. 2014; 3 (84): 9–12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ru-RU"/>
        </w:rPr>
      </w:pPr>
      <w:r w:rsidRPr="00F90B6B">
        <w:rPr>
          <w:rFonts w:ascii="Times New Roman" w:hAnsi="Times New Roman"/>
          <w:sz w:val="28"/>
          <w:szCs w:val="28"/>
        </w:rPr>
        <w:t>Тиц</w:t>
      </w:r>
      <w:r w:rsidRPr="00F90B6B">
        <w:rPr>
          <w:rFonts w:ascii="Times New Roman" w:hAnsi="Times New Roman"/>
          <w:sz w:val="28"/>
          <w:szCs w:val="28"/>
          <w:lang w:val="ru-RU"/>
        </w:rPr>
        <w:t xml:space="preserve"> </w:t>
      </w:r>
      <w:r w:rsidRPr="00F90B6B">
        <w:rPr>
          <w:rFonts w:ascii="Times New Roman" w:hAnsi="Times New Roman"/>
          <w:sz w:val="28"/>
          <w:szCs w:val="28"/>
        </w:rPr>
        <w:t>Н.У</w:t>
      </w:r>
      <w:r w:rsidRPr="00F90B6B">
        <w:rPr>
          <w:rFonts w:ascii="Times New Roman" w:hAnsi="Times New Roman"/>
          <w:sz w:val="28"/>
          <w:szCs w:val="28"/>
          <w:lang w:val="ru-RU"/>
        </w:rPr>
        <w:t xml:space="preserve">, </w:t>
      </w:r>
      <w:r w:rsidRPr="00F90B6B">
        <w:rPr>
          <w:rFonts w:ascii="Times New Roman" w:hAnsi="Times New Roman"/>
          <w:sz w:val="28"/>
          <w:szCs w:val="28"/>
        </w:rPr>
        <w:t>Меньшикова</w:t>
      </w:r>
      <w:r w:rsidRPr="00F90B6B">
        <w:rPr>
          <w:rFonts w:ascii="Times New Roman" w:hAnsi="Times New Roman"/>
          <w:sz w:val="28"/>
          <w:szCs w:val="28"/>
          <w:lang w:val="ru-RU"/>
        </w:rPr>
        <w:t xml:space="preserve"> </w:t>
      </w:r>
      <w:r w:rsidRPr="00F90B6B">
        <w:rPr>
          <w:rFonts w:ascii="Times New Roman" w:hAnsi="Times New Roman"/>
          <w:sz w:val="28"/>
          <w:szCs w:val="28"/>
        </w:rPr>
        <w:t>В.В.</w:t>
      </w:r>
      <w:r w:rsidRPr="00F90B6B">
        <w:rPr>
          <w:rFonts w:ascii="Times New Roman" w:hAnsi="Times New Roman"/>
          <w:sz w:val="28"/>
          <w:szCs w:val="28"/>
          <w:lang w:val="ru-RU"/>
        </w:rPr>
        <w:t>, редакторы.</w:t>
      </w:r>
      <w:r w:rsidRPr="00F90B6B">
        <w:rPr>
          <w:rFonts w:ascii="Times New Roman" w:hAnsi="Times New Roman"/>
          <w:sz w:val="28"/>
          <w:szCs w:val="28"/>
        </w:rPr>
        <w:t xml:space="preserve"> Энциклопедия клинических лабораторных тестов</w:t>
      </w:r>
      <w:r w:rsidRPr="00F90B6B">
        <w:rPr>
          <w:rFonts w:ascii="Times New Roman" w:hAnsi="Times New Roman"/>
          <w:sz w:val="28"/>
          <w:szCs w:val="28"/>
          <w:lang w:val="ru-RU"/>
        </w:rPr>
        <w:t>.</w:t>
      </w:r>
      <w:r w:rsidRPr="00F90B6B">
        <w:rPr>
          <w:rFonts w:ascii="Times New Roman" w:hAnsi="Times New Roman"/>
          <w:sz w:val="28"/>
          <w:szCs w:val="28"/>
        </w:rPr>
        <w:t xml:space="preserve"> М.: Лабинформ, 1997</w:t>
      </w:r>
      <w:r w:rsidRPr="00F90B6B">
        <w:rPr>
          <w:rFonts w:ascii="Times New Roman" w:hAnsi="Times New Roman"/>
          <w:sz w:val="28"/>
          <w:szCs w:val="28"/>
          <w:lang w:val="ru-RU"/>
        </w:rPr>
        <w:t>:</w:t>
      </w:r>
      <w:r w:rsidRPr="00F90B6B">
        <w:rPr>
          <w:rFonts w:ascii="Times New Roman" w:hAnsi="Times New Roman"/>
          <w:sz w:val="28"/>
          <w:szCs w:val="28"/>
        </w:rPr>
        <w:t xml:space="preserve"> 459-60.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ru-RU"/>
        </w:rPr>
      </w:pPr>
      <w:r w:rsidRPr="00F90B6B">
        <w:rPr>
          <w:rFonts w:ascii="Times New Roman" w:hAnsi="Times New Roman"/>
          <w:sz w:val="28"/>
          <w:szCs w:val="28"/>
        </w:rPr>
        <w:t>Фурман Н. В., Пучиньян Н. Ф., Долотовская П. В., Довгалевский Я. П., Панина А. В. Прогностическое значение уровня мозгового натрийуретического пептида у больных острым коронарным синдромом без симптомов сердечной недостаточности. Саратовский научно-медицинский журнал 2017; 13 (1): 41–46.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Шепель Р.</w:t>
      </w:r>
      <w:r w:rsidRPr="00F90B6B">
        <w:rPr>
          <w:rFonts w:ascii="Times New Roman" w:hAnsi="Times New Roman"/>
          <w:sz w:val="28"/>
          <w:szCs w:val="28"/>
          <w:lang w:val="ru-RU"/>
        </w:rPr>
        <w:t xml:space="preserve"> </w:t>
      </w:r>
      <w:r w:rsidRPr="00F90B6B">
        <w:rPr>
          <w:rFonts w:ascii="Times New Roman" w:hAnsi="Times New Roman"/>
          <w:sz w:val="28"/>
          <w:szCs w:val="28"/>
        </w:rPr>
        <w:t>Н. «Парадокс холестерина»</w:t>
      </w:r>
      <w:r w:rsidRPr="00F90B6B">
        <w:rPr>
          <w:rFonts w:ascii="Times New Roman" w:hAnsi="Times New Roman"/>
          <w:sz w:val="28"/>
          <w:szCs w:val="28"/>
          <w:lang w:val="ru-RU"/>
        </w:rPr>
        <w:t xml:space="preserve"> </w:t>
      </w:r>
      <w:r w:rsidRPr="00F90B6B">
        <w:rPr>
          <w:rFonts w:ascii="Times New Roman" w:hAnsi="Times New Roman"/>
          <w:sz w:val="28"/>
          <w:szCs w:val="28"/>
        </w:rPr>
        <w:t>у пациентов с хронической сердечной недостаточностью: современное состояние проблемы</w:t>
      </w:r>
      <w:r w:rsidRPr="00F90B6B">
        <w:rPr>
          <w:rFonts w:ascii="Times New Roman" w:hAnsi="Times New Roman"/>
          <w:sz w:val="28"/>
          <w:szCs w:val="28"/>
          <w:lang w:val="ru-RU"/>
        </w:rPr>
        <w:t>.</w:t>
      </w:r>
      <w:r w:rsidRPr="00F90B6B">
        <w:rPr>
          <w:rFonts w:ascii="Times New Roman" w:hAnsi="Times New Roman"/>
          <w:sz w:val="28"/>
          <w:szCs w:val="28"/>
        </w:rPr>
        <w:t xml:space="preserve"> Медицинский совет</w:t>
      </w:r>
      <w:r w:rsidRPr="00F90B6B">
        <w:rPr>
          <w:rFonts w:ascii="Times New Roman" w:hAnsi="Times New Roman"/>
          <w:sz w:val="28"/>
          <w:szCs w:val="28"/>
          <w:lang w:val="en-US"/>
        </w:rPr>
        <w:t xml:space="preserve">. 2016; </w:t>
      </w:r>
      <w:r w:rsidRPr="00F90B6B">
        <w:rPr>
          <w:rFonts w:ascii="Times New Roman" w:hAnsi="Times New Roman"/>
          <w:sz w:val="28"/>
          <w:szCs w:val="28"/>
        </w:rPr>
        <w:t>13</w:t>
      </w:r>
      <w:r w:rsidRPr="00F90B6B">
        <w:rPr>
          <w:rFonts w:ascii="Times New Roman" w:hAnsi="Times New Roman"/>
          <w:sz w:val="28"/>
          <w:szCs w:val="28"/>
          <w:lang w:val="en-US"/>
        </w:rPr>
        <w:t>:</w:t>
      </w:r>
      <w:r w:rsidRPr="00F90B6B">
        <w:rPr>
          <w:rFonts w:ascii="Times New Roman" w:hAnsi="Times New Roman"/>
          <w:sz w:val="28"/>
          <w:szCs w:val="28"/>
        </w:rPr>
        <w:t xml:space="preserve"> 61-5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lang w:val="ru-RU"/>
        </w:rPr>
        <w:t>Щекочихин Д. Ю.</w:t>
      </w:r>
      <w:r w:rsidRPr="00F90B6B">
        <w:rPr>
          <w:rFonts w:ascii="Times New Roman" w:hAnsi="Times New Roman"/>
          <w:sz w:val="28"/>
          <w:szCs w:val="28"/>
        </w:rPr>
        <w:t xml:space="preserve">, </w:t>
      </w:r>
      <w:r w:rsidRPr="00F90B6B">
        <w:rPr>
          <w:rFonts w:ascii="Times New Roman" w:hAnsi="Times New Roman"/>
          <w:sz w:val="28"/>
          <w:szCs w:val="28"/>
          <w:lang w:val="ru-RU"/>
        </w:rPr>
        <w:t>Копылов Ф. Ю.</w:t>
      </w:r>
      <w:r w:rsidRPr="00F90B6B">
        <w:rPr>
          <w:rFonts w:ascii="Times New Roman" w:hAnsi="Times New Roman"/>
          <w:sz w:val="28"/>
          <w:szCs w:val="28"/>
        </w:rPr>
        <w:t xml:space="preserve">, </w:t>
      </w:r>
      <w:r w:rsidRPr="00F90B6B">
        <w:rPr>
          <w:rFonts w:ascii="Times New Roman" w:hAnsi="Times New Roman"/>
          <w:sz w:val="28"/>
          <w:szCs w:val="28"/>
          <w:lang w:val="ru-RU"/>
        </w:rPr>
        <w:t>Козловская Н. Л. Прогностическое значение догоспитальной и внутригоспитальной гипонатриемии при декомпенсации хронической сердечной недостаточности</w:t>
      </w:r>
      <w:r w:rsidRPr="00F90B6B">
        <w:rPr>
          <w:rFonts w:ascii="Times New Roman" w:hAnsi="Times New Roman"/>
          <w:sz w:val="28"/>
          <w:szCs w:val="28"/>
        </w:rPr>
        <w:t>. Рациональная Фармакотерапия в Кардиологии. 2014;10(6): 640-645.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ru-RU"/>
        </w:rPr>
        <w:t xml:space="preserve">Щекочихин Д.Ю., Копылов Ф.Ю., Козловская Н.Л., Сыркин А.Л. Гипонатриемия при хронической сердечной недостаточности. </w:t>
      </w:r>
      <w:r w:rsidRPr="00F90B6B">
        <w:rPr>
          <w:rFonts w:ascii="Times New Roman" w:hAnsi="Times New Roman"/>
          <w:sz w:val="28"/>
          <w:szCs w:val="28"/>
          <w:lang w:val="en-US"/>
        </w:rPr>
        <w:t>Кардиология. 2014; 6: 63-6</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Abdellah AT, Mohamed AD, Hendawi HA, Omera MA. Clinical and laboratory characteristics of short-term mortality in Egyptian patients with acute heart failure. Egypt Heart J. 2017; 69(3): 201-208.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Adrogue H</w:t>
      </w:r>
      <w:r w:rsidRPr="00F90B6B">
        <w:rPr>
          <w:rFonts w:ascii="Times New Roman" w:hAnsi="Times New Roman"/>
          <w:sz w:val="28"/>
          <w:szCs w:val="28"/>
          <w:lang w:val="en-US"/>
        </w:rPr>
        <w:t>.</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Madias N</w:t>
      </w:r>
      <w:r w:rsidRPr="00F90B6B">
        <w:rPr>
          <w:rFonts w:ascii="Times New Roman" w:hAnsi="Times New Roman"/>
          <w:sz w:val="28"/>
          <w:szCs w:val="28"/>
          <w:lang w:val="en-US"/>
        </w:rPr>
        <w:t>.</w:t>
      </w:r>
      <w:r w:rsidRPr="00F90B6B">
        <w:rPr>
          <w:rFonts w:ascii="Times New Roman" w:hAnsi="Times New Roman"/>
          <w:sz w:val="28"/>
          <w:szCs w:val="28"/>
        </w:rPr>
        <w:t>E</w:t>
      </w:r>
      <w:r w:rsidRPr="00F90B6B">
        <w:rPr>
          <w:rFonts w:ascii="Times New Roman" w:hAnsi="Times New Roman"/>
          <w:sz w:val="28"/>
          <w:szCs w:val="28"/>
          <w:lang w:val="en-US"/>
        </w:rPr>
        <w:t>.</w:t>
      </w:r>
      <w:r w:rsidRPr="00F90B6B">
        <w:rPr>
          <w:rFonts w:ascii="Times New Roman" w:hAnsi="Times New Roman"/>
          <w:sz w:val="28"/>
          <w:szCs w:val="28"/>
        </w:rPr>
        <w:t xml:space="preserve"> Hyponatremia. N</w:t>
      </w:r>
      <w:r w:rsidRPr="00F90B6B">
        <w:rPr>
          <w:rFonts w:ascii="Times New Roman" w:hAnsi="Times New Roman"/>
          <w:sz w:val="28"/>
          <w:szCs w:val="28"/>
          <w:lang w:val="en-US"/>
        </w:rPr>
        <w:t>.</w:t>
      </w:r>
      <w:r w:rsidRPr="00F90B6B">
        <w:rPr>
          <w:rFonts w:ascii="Times New Roman" w:hAnsi="Times New Roman"/>
          <w:sz w:val="28"/>
          <w:szCs w:val="28"/>
        </w:rPr>
        <w:t xml:space="preserve"> Engl</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w:t>
      </w:r>
      <w:r w:rsidRPr="00F90B6B">
        <w:rPr>
          <w:rFonts w:ascii="Times New Roman" w:hAnsi="Times New Roman"/>
          <w:sz w:val="28"/>
          <w:szCs w:val="28"/>
        </w:rPr>
        <w:t xml:space="preserve"> 2000; 342: 1581–89.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Adrogué HJ. Hyponatremia in Heart Failure. Methodist Debakey Cardiovasc J. 2017; 13(1): 40.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Ahmed A</w:t>
      </w:r>
      <w:r w:rsidRPr="00F90B6B">
        <w:rPr>
          <w:rFonts w:ascii="Times New Roman" w:hAnsi="Times New Roman"/>
          <w:sz w:val="28"/>
          <w:szCs w:val="28"/>
          <w:lang w:val="en-US"/>
        </w:rPr>
        <w:t>.</w:t>
      </w:r>
      <w:r w:rsidRPr="00F90B6B">
        <w:rPr>
          <w:rFonts w:ascii="Times New Roman" w:hAnsi="Times New Roman"/>
          <w:sz w:val="28"/>
          <w:szCs w:val="28"/>
        </w:rPr>
        <w:t>, Pitt B</w:t>
      </w:r>
      <w:r w:rsidRPr="00F90B6B">
        <w:rPr>
          <w:rFonts w:ascii="Times New Roman" w:hAnsi="Times New Roman"/>
          <w:sz w:val="28"/>
          <w:szCs w:val="28"/>
          <w:lang w:val="en-US"/>
        </w:rPr>
        <w:t>.</w:t>
      </w:r>
      <w:r w:rsidRPr="00F90B6B">
        <w:rPr>
          <w:rFonts w:ascii="Times New Roman" w:hAnsi="Times New Roman"/>
          <w:sz w:val="28"/>
          <w:szCs w:val="28"/>
        </w:rPr>
        <w:t>, Rahimtoola S</w:t>
      </w:r>
      <w:r w:rsidRPr="00F90B6B">
        <w:rPr>
          <w:rFonts w:ascii="Times New Roman" w:hAnsi="Times New Roman"/>
          <w:sz w:val="28"/>
          <w:szCs w:val="28"/>
          <w:lang w:val="en-US"/>
        </w:rPr>
        <w:t xml:space="preserve">. </w:t>
      </w:r>
      <w:r w:rsidRPr="00F90B6B">
        <w:rPr>
          <w:rFonts w:ascii="Times New Roman" w:hAnsi="Times New Roman"/>
          <w:sz w:val="28"/>
          <w:szCs w:val="28"/>
        </w:rPr>
        <w:t>H</w:t>
      </w:r>
      <w:r w:rsidRPr="00F90B6B">
        <w:rPr>
          <w:rFonts w:ascii="Times New Roman" w:hAnsi="Times New Roman"/>
          <w:sz w:val="28"/>
          <w:szCs w:val="28"/>
          <w:lang w:val="en-US"/>
        </w:rPr>
        <w:t>.</w:t>
      </w:r>
      <w:r w:rsidRPr="00F90B6B">
        <w:rPr>
          <w:rFonts w:ascii="Times New Roman" w:hAnsi="Times New Roman"/>
          <w:sz w:val="28"/>
          <w:szCs w:val="28"/>
        </w:rPr>
        <w:t xml:space="preserve">, </w:t>
      </w:r>
      <w:r w:rsidRPr="00F90B6B">
        <w:rPr>
          <w:rFonts w:ascii="Times New Roman" w:hAnsi="Times New Roman"/>
          <w:sz w:val="28"/>
          <w:szCs w:val="28"/>
          <w:lang w:val="en-US"/>
        </w:rPr>
        <w:t xml:space="preserve">et al. </w:t>
      </w:r>
      <w:r w:rsidRPr="00F90B6B">
        <w:rPr>
          <w:rFonts w:ascii="Times New Roman" w:hAnsi="Times New Roman"/>
          <w:sz w:val="28"/>
          <w:szCs w:val="28"/>
        </w:rPr>
        <w:t>Effects of digoxin at low serum concentrations on mortality and hospitalization in heart failure: a propensity-matched study of the DIG trial.</w:t>
      </w:r>
      <w:r w:rsidRPr="00F90B6B">
        <w:rPr>
          <w:rFonts w:ascii="Times New Roman" w:hAnsi="Times New Roman"/>
          <w:sz w:val="28"/>
          <w:szCs w:val="28"/>
          <w:lang w:val="en-US"/>
        </w:rPr>
        <w:t xml:space="preserve"> </w:t>
      </w:r>
      <w:r w:rsidRPr="00F90B6B">
        <w:rPr>
          <w:rFonts w:ascii="Times New Roman" w:hAnsi="Times New Roman"/>
          <w:sz w:val="28"/>
          <w:szCs w:val="28"/>
        </w:rPr>
        <w:t>Int J Cardiol. 2008;123(2):</w:t>
      </w:r>
      <w:r w:rsidRPr="00F90B6B">
        <w:rPr>
          <w:rFonts w:ascii="Times New Roman" w:hAnsi="Times New Roman"/>
          <w:sz w:val="28"/>
          <w:szCs w:val="28"/>
          <w:lang w:val="en-US"/>
        </w:rPr>
        <w:t xml:space="preserve"> </w:t>
      </w:r>
      <w:r w:rsidRPr="00F90B6B">
        <w:rPr>
          <w:rFonts w:ascii="Times New Roman" w:hAnsi="Times New Roman"/>
          <w:sz w:val="28"/>
          <w:szCs w:val="28"/>
        </w:rPr>
        <w:t xml:space="preserve">138-46.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Albabtain M, Brenner MJ, Nicklas JM, et al. Hyponatremia, Cognitive Function, and Mobility in an Outpatient Heart Failure Population. Med Sci Monit. 2016; 22: 4978-4985.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Al-Jarallah M, Rajan R, Al-Zakwani I, et al. Incidence and impact of cardiorenal anaemia syndrome on all-cause mortality in acute heart failure patients stratified by left ventricular ejection fraction in the Middle East. ESC Heart Fail. 2018; 12: 51.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Al-Khadra Y, Darmoch F, Alkhatib M, et al. Risk of Left Atrial Enlargement in Obese Patients With Obesity-Induced Hypoventilation Syndrome vs Obstructive Sleep Apnea. Ochsner J. 2018; 18(2): 136-140.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Ambrosy</w:t>
      </w:r>
      <w:r w:rsidRPr="00F90B6B">
        <w:rPr>
          <w:rFonts w:ascii="Times New Roman" w:hAnsi="Times New Roman"/>
          <w:sz w:val="28"/>
          <w:szCs w:val="28"/>
          <w:lang w:val="en-US"/>
        </w:rPr>
        <w:t xml:space="preserve"> </w:t>
      </w:r>
      <w:r w:rsidRPr="00F90B6B">
        <w:rPr>
          <w:rFonts w:ascii="Times New Roman" w:hAnsi="Times New Roman"/>
          <w:sz w:val="28"/>
          <w:szCs w:val="28"/>
        </w:rPr>
        <w:t>A., Pang</w:t>
      </w:r>
      <w:r w:rsidRPr="00F90B6B">
        <w:rPr>
          <w:rFonts w:ascii="Times New Roman" w:hAnsi="Times New Roman"/>
          <w:sz w:val="28"/>
          <w:szCs w:val="28"/>
          <w:lang w:val="en-US"/>
        </w:rPr>
        <w:t xml:space="preserve"> </w:t>
      </w:r>
      <w:r w:rsidRPr="00F90B6B">
        <w:rPr>
          <w:rFonts w:ascii="Times New Roman" w:hAnsi="Times New Roman"/>
          <w:sz w:val="28"/>
          <w:szCs w:val="28"/>
        </w:rPr>
        <w:t>P., Khan S. Clinical course and predictive value of congestion  during hospitalization in patients admitted for worsening signs  and symptoms of heart failure with reduced ejection fraction: findings  from the EVEREST trial</w:t>
      </w:r>
      <w:r w:rsidRPr="00F90B6B">
        <w:rPr>
          <w:rFonts w:ascii="Times New Roman" w:hAnsi="Times New Roman"/>
          <w:sz w:val="28"/>
          <w:szCs w:val="28"/>
          <w:lang w:val="en-US"/>
        </w:rPr>
        <w:t>.</w:t>
      </w:r>
      <w:r w:rsidRPr="00F90B6B">
        <w:rPr>
          <w:rFonts w:ascii="Times New Roman" w:hAnsi="Times New Roman"/>
          <w:sz w:val="28"/>
          <w:szCs w:val="28"/>
        </w:rPr>
        <w:t xml:space="preserve"> Eur. Heart J. 2013</w:t>
      </w:r>
      <w:r w:rsidRPr="00F90B6B">
        <w:rPr>
          <w:rFonts w:ascii="Times New Roman" w:hAnsi="Times New Roman"/>
          <w:sz w:val="28"/>
          <w:szCs w:val="28"/>
          <w:lang w:val="en-US"/>
        </w:rPr>
        <w:t xml:space="preserve">; </w:t>
      </w:r>
      <w:r w:rsidRPr="00F90B6B">
        <w:rPr>
          <w:rFonts w:ascii="Times New Roman" w:hAnsi="Times New Roman"/>
          <w:sz w:val="28"/>
          <w:szCs w:val="28"/>
        </w:rPr>
        <w:t>34</w:t>
      </w:r>
      <w:r w:rsidRPr="00F90B6B">
        <w:rPr>
          <w:rFonts w:ascii="Times New Roman" w:hAnsi="Times New Roman"/>
          <w:sz w:val="28"/>
          <w:szCs w:val="28"/>
          <w:lang w:val="en-US"/>
        </w:rPr>
        <w:t xml:space="preserve"> </w:t>
      </w:r>
      <w:r w:rsidRPr="00F90B6B">
        <w:rPr>
          <w:rFonts w:ascii="Times New Roman" w:hAnsi="Times New Roman"/>
          <w:sz w:val="28"/>
          <w:szCs w:val="28"/>
        </w:rPr>
        <w:t>(11)</w:t>
      </w:r>
      <w:r w:rsidRPr="00F90B6B">
        <w:rPr>
          <w:rFonts w:ascii="Times New Roman" w:hAnsi="Times New Roman"/>
          <w:sz w:val="28"/>
          <w:szCs w:val="28"/>
          <w:lang w:val="en-US"/>
        </w:rPr>
        <w:t xml:space="preserve">: </w:t>
      </w:r>
      <w:r w:rsidRPr="00F90B6B">
        <w:rPr>
          <w:rFonts w:ascii="Times New Roman" w:hAnsi="Times New Roman"/>
          <w:sz w:val="28"/>
          <w:szCs w:val="28"/>
        </w:rPr>
        <w:t>835-43.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Angelidis G., Giamouzis G., Karagiannis G. et al. SPECT and PET in ischemic heart failure. Heart Fail. Rev. 2017; 22 (2): 243-61</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Ansaldo AM, Montecucco F, Sahebkar A, et al. Epicardial adipose tissue and cardiovascular diseases. Int J Cardiol. 2018; 18: 33687-8.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Artham</w:t>
      </w:r>
      <w:r w:rsidRPr="00F90B6B">
        <w:rPr>
          <w:rFonts w:ascii="Times New Roman" w:hAnsi="Times New Roman"/>
          <w:sz w:val="28"/>
          <w:szCs w:val="28"/>
          <w:lang w:val="en-US"/>
        </w:rPr>
        <w:t xml:space="preserve"> </w:t>
      </w:r>
      <w:r w:rsidRPr="00F90B6B">
        <w:rPr>
          <w:rFonts w:ascii="Times New Roman" w:hAnsi="Times New Roman"/>
          <w:sz w:val="28"/>
          <w:szCs w:val="28"/>
        </w:rPr>
        <w:t>S. M., Lavie</w:t>
      </w:r>
      <w:r w:rsidRPr="00F90B6B">
        <w:rPr>
          <w:rFonts w:ascii="Times New Roman" w:hAnsi="Times New Roman"/>
          <w:sz w:val="28"/>
          <w:szCs w:val="28"/>
          <w:lang w:val="en-US"/>
        </w:rPr>
        <w:t xml:space="preserve"> </w:t>
      </w:r>
      <w:r w:rsidRPr="00F90B6B">
        <w:rPr>
          <w:rFonts w:ascii="Times New Roman" w:hAnsi="Times New Roman"/>
          <w:sz w:val="28"/>
          <w:szCs w:val="28"/>
        </w:rPr>
        <w:t>C. J., Patel</w:t>
      </w:r>
      <w:r w:rsidRPr="00F90B6B">
        <w:rPr>
          <w:rFonts w:ascii="Times New Roman" w:hAnsi="Times New Roman"/>
          <w:sz w:val="28"/>
          <w:szCs w:val="28"/>
          <w:lang w:val="en-US"/>
        </w:rPr>
        <w:t xml:space="preserve"> </w:t>
      </w:r>
      <w:r w:rsidRPr="00F90B6B">
        <w:rPr>
          <w:rFonts w:ascii="Times New Roman" w:hAnsi="Times New Roman"/>
          <w:sz w:val="28"/>
          <w:szCs w:val="28"/>
        </w:rPr>
        <w:t>H. M.</w:t>
      </w:r>
      <w:r w:rsidRPr="00F90B6B">
        <w:rPr>
          <w:rFonts w:ascii="Times New Roman" w:hAnsi="Times New Roman"/>
          <w:sz w:val="28"/>
          <w:szCs w:val="28"/>
          <w:lang w:val="en-US"/>
        </w:rPr>
        <w:t xml:space="preserve"> </w:t>
      </w:r>
      <w:r w:rsidRPr="00F90B6B">
        <w:rPr>
          <w:rFonts w:ascii="Times New Roman" w:hAnsi="Times New Roman"/>
          <w:sz w:val="28"/>
          <w:szCs w:val="28"/>
        </w:rPr>
        <w:t>et al.</w:t>
      </w:r>
      <w:r w:rsidRPr="00F90B6B">
        <w:rPr>
          <w:rFonts w:ascii="Times New Roman" w:hAnsi="Times New Roman"/>
          <w:sz w:val="28"/>
          <w:szCs w:val="28"/>
          <w:lang w:val="en-US"/>
        </w:rPr>
        <w:t xml:space="preserve"> </w:t>
      </w:r>
      <w:r w:rsidRPr="00F90B6B">
        <w:rPr>
          <w:rFonts w:ascii="Times New Roman" w:hAnsi="Times New Roman"/>
          <w:sz w:val="28"/>
          <w:szCs w:val="28"/>
        </w:rPr>
        <w:t>Impact of obesity on the risk of heart failure and its prognosis</w:t>
      </w:r>
      <w:r w:rsidRPr="00F90B6B">
        <w:rPr>
          <w:rFonts w:ascii="Times New Roman" w:hAnsi="Times New Roman"/>
          <w:sz w:val="28"/>
          <w:szCs w:val="28"/>
          <w:lang w:val="en-US"/>
        </w:rPr>
        <w:t>.</w:t>
      </w:r>
      <w:r w:rsidRPr="00F90B6B">
        <w:rPr>
          <w:rFonts w:ascii="Times New Roman" w:hAnsi="Times New Roman"/>
          <w:sz w:val="28"/>
          <w:szCs w:val="28"/>
        </w:rPr>
        <w:t xml:space="preserve"> Cardiometab Syndr</w:t>
      </w:r>
      <w:r w:rsidRPr="00F90B6B">
        <w:rPr>
          <w:rFonts w:ascii="Times New Roman" w:hAnsi="Times New Roman"/>
          <w:sz w:val="28"/>
          <w:szCs w:val="28"/>
          <w:lang w:val="en-US"/>
        </w:rPr>
        <w:t xml:space="preserve">. </w:t>
      </w:r>
      <w:r w:rsidRPr="00F90B6B">
        <w:rPr>
          <w:rFonts w:ascii="Times New Roman" w:hAnsi="Times New Roman"/>
          <w:sz w:val="28"/>
          <w:szCs w:val="28"/>
        </w:rPr>
        <w:t>2008</w:t>
      </w:r>
      <w:r w:rsidRPr="00F90B6B">
        <w:rPr>
          <w:rFonts w:ascii="Times New Roman" w:hAnsi="Times New Roman"/>
          <w:sz w:val="28"/>
          <w:szCs w:val="28"/>
          <w:lang w:val="en-US"/>
        </w:rPr>
        <w:t xml:space="preserve">; </w:t>
      </w:r>
      <w:r w:rsidRPr="00F90B6B">
        <w:rPr>
          <w:rFonts w:ascii="Times New Roman" w:hAnsi="Times New Roman"/>
          <w:sz w:val="28"/>
          <w:szCs w:val="28"/>
        </w:rPr>
        <w:t>3</w:t>
      </w:r>
      <w:r w:rsidRPr="00F90B6B">
        <w:rPr>
          <w:rFonts w:ascii="Times New Roman" w:hAnsi="Times New Roman"/>
          <w:sz w:val="28"/>
          <w:szCs w:val="28"/>
          <w:lang w:val="en-US"/>
        </w:rPr>
        <w:t xml:space="preserve"> </w:t>
      </w:r>
      <w:r w:rsidRPr="00F90B6B">
        <w:rPr>
          <w:rFonts w:ascii="Times New Roman" w:hAnsi="Times New Roman"/>
          <w:sz w:val="28"/>
          <w:szCs w:val="28"/>
        </w:rPr>
        <w:t>(3)</w:t>
      </w:r>
      <w:r w:rsidRPr="00F90B6B">
        <w:rPr>
          <w:rFonts w:ascii="Times New Roman" w:hAnsi="Times New Roman"/>
          <w:sz w:val="28"/>
          <w:szCs w:val="28"/>
          <w:lang w:val="en-US"/>
        </w:rPr>
        <w:t xml:space="preserve">: </w:t>
      </w:r>
      <w:r w:rsidRPr="00F90B6B">
        <w:rPr>
          <w:rFonts w:ascii="Times New Roman" w:hAnsi="Times New Roman"/>
          <w:sz w:val="28"/>
          <w:szCs w:val="28"/>
        </w:rPr>
        <w:t>155-61.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Ayus J</w:t>
      </w:r>
      <w:r w:rsidRPr="00F90B6B">
        <w:rPr>
          <w:rFonts w:ascii="Times New Roman" w:hAnsi="Times New Roman"/>
          <w:sz w:val="28"/>
          <w:szCs w:val="28"/>
        </w:rPr>
        <w:t xml:space="preserve"> </w:t>
      </w:r>
      <w:r w:rsidRPr="00F90B6B">
        <w:rPr>
          <w:rFonts w:ascii="Times New Roman" w:hAnsi="Times New Roman"/>
          <w:sz w:val="28"/>
          <w:szCs w:val="28"/>
          <w:lang w:val="en-US"/>
        </w:rPr>
        <w:t>C, Achinger S</w:t>
      </w:r>
      <w:r w:rsidRPr="00F90B6B">
        <w:rPr>
          <w:rFonts w:ascii="Times New Roman" w:hAnsi="Times New Roman"/>
          <w:sz w:val="28"/>
          <w:szCs w:val="28"/>
        </w:rPr>
        <w:t xml:space="preserve"> </w:t>
      </w:r>
      <w:r w:rsidRPr="00F90B6B">
        <w:rPr>
          <w:rFonts w:ascii="Times New Roman" w:hAnsi="Times New Roman"/>
          <w:sz w:val="28"/>
          <w:szCs w:val="28"/>
          <w:lang w:val="en-US"/>
        </w:rPr>
        <w:t>G, Negri A</w:t>
      </w:r>
      <w:r w:rsidRPr="00F90B6B">
        <w:rPr>
          <w:rFonts w:ascii="Times New Roman" w:hAnsi="Times New Roman"/>
          <w:sz w:val="28"/>
          <w:szCs w:val="28"/>
        </w:rPr>
        <w:t xml:space="preserve"> </w:t>
      </w:r>
      <w:r w:rsidRPr="00F90B6B">
        <w:rPr>
          <w:rFonts w:ascii="Times New Roman" w:hAnsi="Times New Roman"/>
          <w:sz w:val="28"/>
          <w:szCs w:val="28"/>
          <w:lang w:val="en-US"/>
        </w:rPr>
        <w:t>L.</w:t>
      </w:r>
      <w:r w:rsidRPr="00F90B6B">
        <w:rPr>
          <w:rFonts w:ascii="Times New Roman" w:hAnsi="Times New Roman"/>
          <w:sz w:val="28"/>
          <w:szCs w:val="28"/>
        </w:rPr>
        <w:t xml:space="preserve"> </w:t>
      </w:r>
      <w:r w:rsidRPr="00F90B6B">
        <w:rPr>
          <w:rFonts w:ascii="Times New Roman" w:hAnsi="Times New Roman"/>
          <w:sz w:val="28"/>
          <w:szCs w:val="28"/>
          <w:lang w:val="en-US"/>
        </w:rPr>
        <w:t>Weekly number of hours of treatment is critical when evaluating mortality in in-center daily dialysis.</w:t>
      </w:r>
      <w:r w:rsidRPr="00F90B6B">
        <w:rPr>
          <w:rFonts w:ascii="Times New Roman" w:hAnsi="Times New Roman"/>
          <w:sz w:val="28"/>
          <w:szCs w:val="28"/>
        </w:rPr>
        <w:t xml:space="preserve"> </w:t>
      </w:r>
      <w:r w:rsidRPr="00F90B6B">
        <w:rPr>
          <w:rFonts w:ascii="Times New Roman" w:hAnsi="Times New Roman"/>
          <w:sz w:val="28"/>
          <w:szCs w:val="28"/>
          <w:lang w:val="en-US"/>
        </w:rPr>
        <w:t>Kidney Int. 2013;</w:t>
      </w:r>
      <w:r w:rsidRPr="00F90B6B">
        <w:rPr>
          <w:rFonts w:ascii="Times New Roman" w:hAnsi="Times New Roman"/>
          <w:sz w:val="28"/>
          <w:szCs w:val="28"/>
        </w:rPr>
        <w:t xml:space="preserve"> </w:t>
      </w:r>
      <w:r w:rsidRPr="00F90B6B">
        <w:rPr>
          <w:rFonts w:ascii="Times New Roman" w:hAnsi="Times New Roman"/>
          <w:sz w:val="28"/>
          <w:szCs w:val="28"/>
          <w:lang w:val="en-US"/>
        </w:rPr>
        <w:t>84(2):</w:t>
      </w:r>
      <w:r w:rsidRPr="00F90B6B">
        <w:rPr>
          <w:rFonts w:ascii="Times New Roman" w:hAnsi="Times New Roman"/>
          <w:sz w:val="28"/>
          <w:szCs w:val="28"/>
        </w:rPr>
        <w:t xml:space="preserve"> </w:t>
      </w:r>
      <w:r w:rsidRPr="00F90B6B">
        <w:rPr>
          <w:rFonts w:ascii="Times New Roman" w:hAnsi="Times New Roman"/>
          <w:sz w:val="28"/>
          <w:szCs w:val="28"/>
          <w:lang w:val="en-US"/>
        </w:rPr>
        <w:t>409.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Balling L., Schou M., Videbaek L., Hildebrandt P. Danish Heart Failure Clinics Network: Prevalence and prognostic significance of hyponatraemia in outpatients with chronic heart failure. Eur J Heart Fail. 2011; 13: 968–73.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Bavishi C., Khan A. R., Ather S. Digoxin in patients with atrial ﬁbrillation and heart failure: a meta-analysis. Int. J. Cardiol. 2015; 188: 99–101</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Bayoumi E, Lam PH, Dooley DJ, et al. Spironolactone and Outcomes in Older Patients with Heart Failure and Reduced Ejection Fraction. Am J Med. 2018; 18: 30878-7.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lang w:val="en-US"/>
        </w:rPr>
        <w:t xml:space="preserve">Berry C., Doughty R. N., Granger C. </w:t>
      </w:r>
      <w:r w:rsidRPr="00F90B6B">
        <w:rPr>
          <w:rFonts w:ascii="Times New Roman" w:hAnsi="Times New Roman"/>
          <w:sz w:val="28"/>
          <w:szCs w:val="28"/>
        </w:rPr>
        <w:t>et al. Meta-analysis Global Group in Chronic Heart Failure (MAGGIC)</w:t>
      </w:r>
      <w:r w:rsidRPr="00F90B6B">
        <w:rPr>
          <w:rFonts w:ascii="Times New Roman" w:hAnsi="Times New Roman"/>
          <w:sz w:val="28"/>
          <w:szCs w:val="28"/>
          <w:lang w:val="en-US"/>
        </w:rPr>
        <w:t xml:space="preserve">. </w:t>
      </w:r>
      <w:r w:rsidRPr="00F90B6B">
        <w:rPr>
          <w:rFonts w:ascii="Times New Roman" w:hAnsi="Times New Roman"/>
          <w:sz w:val="28"/>
          <w:szCs w:val="28"/>
        </w:rPr>
        <w:t>The survival of patients with heart failure with preserved or reduced left ventricular ejection fraction: an individual patient data meta-analysis</w:t>
      </w:r>
      <w:r w:rsidRPr="00F90B6B">
        <w:rPr>
          <w:rFonts w:ascii="Times New Roman" w:hAnsi="Times New Roman"/>
          <w:sz w:val="28"/>
          <w:szCs w:val="28"/>
          <w:lang w:val="en-US"/>
        </w:rPr>
        <w:t xml:space="preserve">. </w:t>
      </w:r>
      <w:r w:rsidRPr="00F90B6B">
        <w:rPr>
          <w:rFonts w:ascii="Times New Roman" w:hAnsi="Times New Roman"/>
          <w:sz w:val="28"/>
          <w:szCs w:val="28"/>
        </w:rPr>
        <w:t>Eur</w:t>
      </w:r>
      <w:r w:rsidRPr="00F90B6B">
        <w:rPr>
          <w:rFonts w:ascii="Times New Roman" w:hAnsi="Times New Roman"/>
          <w:sz w:val="28"/>
          <w:szCs w:val="28"/>
          <w:lang w:val="en-US"/>
        </w:rPr>
        <w:t>.</w:t>
      </w:r>
      <w:r w:rsidRPr="00F90B6B">
        <w:rPr>
          <w:rFonts w:ascii="Times New Roman" w:hAnsi="Times New Roman"/>
          <w:sz w:val="28"/>
          <w:szCs w:val="28"/>
        </w:rPr>
        <w:t xml:space="preserve"> Heart J</w:t>
      </w:r>
      <w:r w:rsidRPr="00F90B6B">
        <w:rPr>
          <w:rFonts w:ascii="Times New Roman" w:hAnsi="Times New Roman"/>
          <w:sz w:val="28"/>
          <w:szCs w:val="28"/>
          <w:lang w:val="en-US"/>
        </w:rPr>
        <w:t xml:space="preserve">. </w:t>
      </w:r>
      <w:r w:rsidRPr="00F90B6B">
        <w:rPr>
          <w:rFonts w:ascii="Times New Roman" w:hAnsi="Times New Roman"/>
          <w:sz w:val="28"/>
          <w:szCs w:val="28"/>
        </w:rPr>
        <w:t>2012</w:t>
      </w:r>
      <w:r w:rsidRPr="00F90B6B">
        <w:rPr>
          <w:rFonts w:ascii="Times New Roman" w:hAnsi="Times New Roman"/>
          <w:sz w:val="28"/>
          <w:szCs w:val="28"/>
          <w:lang w:val="en-US"/>
        </w:rPr>
        <w:t xml:space="preserve">; </w:t>
      </w:r>
      <w:r w:rsidRPr="00F90B6B">
        <w:rPr>
          <w:rFonts w:ascii="Times New Roman" w:hAnsi="Times New Roman"/>
          <w:sz w:val="28"/>
          <w:szCs w:val="28"/>
        </w:rPr>
        <w:t>33</w:t>
      </w:r>
      <w:r w:rsidRPr="00F90B6B">
        <w:rPr>
          <w:rFonts w:ascii="Times New Roman" w:hAnsi="Times New Roman"/>
          <w:sz w:val="28"/>
          <w:szCs w:val="28"/>
          <w:lang w:val="en-US"/>
        </w:rPr>
        <w:t xml:space="preserve">: </w:t>
      </w:r>
      <w:r w:rsidRPr="00F90B6B">
        <w:rPr>
          <w:rFonts w:ascii="Times New Roman" w:hAnsi="Times New Roman"/>
          <w:sz w:val="28"/>
          <w:szCs w:val="28"/>
        </w:rPr>
        <w:t>1750-57.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Bertrand</w:t>
      </w:r>
      <w:r w:rsidRPr="00F90B6B">
        <w:rPr>
          <w:rFonts w:ascii="Times New Roman" w:hAnsi="Times New Roman"/>
          <w:sz w:val="28"/>
          <w:szCs w:val="28"/>
          <w:lang w:val="en-US"/>
        </w:rPr>
        <w:t xml:space="preserve"> M. E.</w:t>
      </w:r>
      <w:r w:rsidRPr="00F90B6B">
        <w:rPr>
          <w:rFonts w:ascii="Times New Roman" w:hAnsi="Times New Roman"/>
          <w:sz w:val="28"/>
          <w:szCs w:val="28"/>
        </w:rPr>
        <w:t>, Ferrari</w:t>
      </w:r>
      <w:r w:rsidRPr="00F90B6B">
        <w:rPr>
          <w:rFonts w:ascii="Times New Roman" w:hAnsi="Times New Roman"/>
          <w:sz w:val="28"/>
          <w:szCs w:val="28"/>
          <w:lang w:val="en-US"/>
        </w:rPr>
        <w:t xml:space="preserve"> R.</w:t>
      </w:r>
      <w:r w:rsidRPr="00F90B6B">
        <w:rPr>
          <w:rFonts w:ascii="Times New Roman" w:hAnsi="Times New Roman"/>
          <w:sz w:val="28"/>
          <w:szCs w:val="28"/>
        </w:rPr>
        <w:t>, Remme</w:t>
      </w:r>
      <w:r w:rsidRPr="00F90B6B">
        <w:rPr>
          <w:rFonts w:ascii="Times New Roman" w:hAnsi="Times New Roman"/>
          <w:sz w:val="28"/>
          <w:szCs w:val="28"/>
          <w:lang w:val="en-US"/>
        </w:rPr>
        <w:t xml:space="preserve"> W. J. et al. </w:t>
      </w:r>
      <w:r w:rsidRPr="00F90B6B">
        <w:rPr>
          <w:rFonts w:ascii="Times New Roman" w:hAnsi="Times New Roman"/>
          <w:sz w:val="28"/>
          <w:szCs w:val="28"/>
        </w:rPr>
        <w:t>Perindopril and β-blocker for the prevention of cardiac events and mortality in stable coronary artery disease patients: A EUropean trial on Reduction Of cardiac events with Perindopril in stable coronary Artery disease (EUROPA) subanalysis</w:t>
      </w:r>
      <w:r w:rsidRPr="00F90B6B">
        <w:rPr>
          <w:rFonts w:ascii="Times New Roman" w:hAnsi="Times New Roman"/>
          <w:sz w:val="28"/>
          <w:szCs w:val="28"/>
          <w:lang w:val="en-US"/>
        </w:rPr>
        <w:t xml:space="preserve">. </w:t>
      </w:r>
      <w:r w:rsidRPr="00F90B6B">
        <w:rPr>
          <w:rFonts w:ascii="Times New Roman" w:hAnsi="Times New Roman"/>
          <w:sz w:val="28"/>
          <w:szCs w:val="28"/>
        </w:rPr>
        <w:t>Am</w:t>
      </w:r>
      <w:r w:rsidRPr="00F90B6B">
        <w:rPr>
          <w:rFonts w:ascii="Times New Roman" w:hAnsi="Times New Roman"/>
          <w:sz w:val="28"/>
          <w:szCs w:val="28"/>
          <w:lang w:val="en-US"/>
        </w:rPr>
        <w:t>.</w:t>
      </w:r>
      <w:r w:rsidRPr="00F90B6B">
        <w:rPr>
          <w:rFonts w:ascii="Times New Roman" w:hAnsi="Times New Roman"/>
          <w:sz w:val="28"/>
          <w:szCs w:val="28"/>
        </w:rPr>
        <w:t xml:space="preserve"> Heart J. 2015</w:t>
      </w:r>
      <w:r w:rsidRPr="00F90B6B">
        <w:rPr>
          <w:rFonts w:ascii="Times New Roman" w:hAnsi="Times New Roman"/>
          <w:sz w:val="28"/>
          <w:szCs w:val="28"/>
          <w:lang w:val="en-US"/>
        </w:rPr>
        <w:t xml:space="preserve">; </w:t>
      </w:r>
      <w:r w:rsidRPr="00F90B6B">
        <w:rPr>
          <w:rFonts w:ascii="Times New Roman" w:hAnsi="Times New Roman"/>
          <w:sz w:val="28"/>
          <w:szCs w:val="28"/>
        </w:rPr>
        <w:t>170</w:t>
      </w:r>
      <w:r w:rsidRPr="00F90B6B">
        <w:rPr>
          <w:rFonts w:ascii="Times New Roman" w:hAnsi="Times New Roman"/>
          <w:sz w:val="28"/>
          <w:szCs w:val="28"/>
          <w:lang w:val="en-US"/>
        </w:rPr>
        <w:t xml:space="preserve"> </w:t>
      </w:r>
      <w:r w:rsidRPr="00F90B6B">
        <w:rPr>
          <w:rFonts w:ascii="Times New Roman" w:hAnsi="Times New Roman"/>
          <w:sz w:val="28"/>
          <w:szCs w:val="28"/>
        </w:rPr>
        <w:t>(6)</w:t>
      </w:r>
      <w:r w:rsidRPr="00F90B6B">
        <w:rPr>
          <w:rFonts w:ascii="Times New Roman" w:hAnsi="Times New Roman"/>
          <w:sz w:val="28"/>
          <w:szCs w:val="28"/>
          <w:lang w:val="en-US"/>
        </w:rPr>
        <w:t xml:space="preserve">: </w:t>
      </w:r>
      <w:r w:rsidRPr="00F90B6B">
        <w:rPr>
          <w:rFonts w:ascii="Times New Roman" w:hAnsi="Times New Roman"/>
          <w:sz w:val="28"/>
          <w:szCs w:val="28"/>
        </w:rPr>
        <w:t>1092-</w:t>
      </w:r>
      <w:r w:rsidRPr="00F90B6B">
        <w:rPr>
          <w:rFonts w:ascii="Times New Roman" w:hAnsi="Times New Roman"/>
          <w:sz w:val="28"/>
          <w:szCs w:val="28"/>
          <w:lang w:val="en-US"/>
        </w:rPr>
        <w:t>109</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Bigvava T., Zamani S. M., Pieske-Kraigher  E. et al. Prognostic value of non-invasive stress testing for coronary artery disease in obese patients. Expert. Rev. Cardiovasc. Ther. 2015; 13 (12): 1325-32</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Binanay C., Califf R.M., Hasselblad V. et al. ESCAPE Investigators and ESCAPE Study Coordinators. Evaluation Study of Congestive Heart Failure and Pulmonary ArteryCatheterization Effectiveness : the ESCAPE trial. JAMA</w:t>
      </w:r>
      <w:r w:rsidRPr="00F90B6B">
        <w:rPr>
          <w:rFonts w:ascii="Times New Roman" w:hAnsi="Times New Roman"/>
          <w:sz w:val="28"/>
          <w:szCs w:val="28"/>
          <w:lang w:val="en-US"/>
        </w:rPr>
        <w:t>.</w:t>
      </w:r>
      <w:r w:rsidRPr="00F90B6B">
        <w:rPr>
          <w:rFonts w:ascii="Times New Roman" w:hAnsi="Times New Roman"/>
          <w:sz w:val="28"/>
          <w:szCs w:val="28"/>
        </w:rPr>
        <w:t xml:space="preserve"> 2005;</w:t>
      </w:r>
      <w:r w:rsidRPr="00F90B6B">
        <w:rPr>
          <w:rFonts w:ascii="Times New Roman" w:hAnsi="Times New Roman"/>
          <w:sz w:val="28"/>
          <w:szCs w:val="28"/>
          <w:lang w:val="en-US"/>
        </w:rPr>
        <w:t xml:space="preserve"> </w:t>
      </w:r>
      <w:r w:rsidRPr="00F90B6B">
        <w:rPr>
          <w:rFonts w:ascii="Times New Roman" w:hAnsi="Times New Roman"/>
          <w:sz w:val="28"/>
          <w:szCs w:val="28"/>
        </w:rPr>
        <w:t>294: 1625-33.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Blomstrand P, Sjöblom P, Nilsson M, et al. Overweight and obesity impair left ventricular systolic function as measured by left ventricular ejection fraction and global longitudinal strain. Cardiovasc Diabetol. 2018; 17(1): 113.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Bohm</w:t>
      </w:r>
      <w:r w:rsidRPr="00F90B6B">
        <w:rPr>
          <w:rFonts w:ascii="Times New Roman" w:hAnsi="Times New Roman"/>
          <w:sz w:val="28"/>
          <w:szCs w:val="28"/>
          <w:lang w:val="en-US"/>
        </w:rPr>
        <w:t xml:space="preserve"> M.</w:t>
      </w:r>
      <w:r w:rsidRPr="00F90B6B">
        <w:rPr>
          <w:rFonts w:ascii="Times New Roman" w:hAnsi="Times New Roman"/>
          <w:sz w:val="28"/>
          <w:szCs w:val="28"/>
        </w:rPr>
        <w:t>, Borer</w:t>
      </w:r>
      <w:r w:rsidRPr="00F90B6B">
        <w:rPr>
          <w:rFonts w:ascii="Times New Roman" w:hAnsi="Times New Roman"/>
          <w:sz w:val="28"/>
          <w:szCs w:val="28"/>
          <w:lang w:val="en-US"/>
        </w:rPr>
        <w:t xml:space="preserve"> J.</w:t>
      </w:r>
      <w:r w:rsidRPr="00F90B6B">
        <w:rPr>
          <w:rFonts w:ascii="Times New Roman" w:hAnsi="Times New Roman"/>
          <w:sz w:val="28"/>
          <w:szCs w:val="28"/>
        </w:rPr>
        <w:t>, Ford</w:t>
      </w:r>
      <w:r w:rsidRPr="00F90B6B">
        <w:rPr>
          <w:rFonts w:ascii="Times New Roman" w:hAnsi="Times New Roman"/>
          <w:sz w:val="28"/>
          <w:szCs w:val="28"/>
          <w:lang w:val="en-US"/>
        </w:rPr>
        <w:t xml:space="preserve"> I. </w:t>
      </w:r>
      <w:r w:rsidRPr="00F90B6B">
        <w:rPr>
          <w:rFonts w:ascii="Times New Roman" w:hAnsi="Times New Roman"/>
          <w:sz w:val="28"/>
          <w:szCs w:val="28"/>
        </w:rPr>
        <w:t>et al.</w:t>
      </w:r>
      <w:r w:rsidRPr="00F90B6B">
        <w:rPr>
          <w:rFonts w:ascii="Times New Roman" w:hAnsi="Times New Roman"/>
          <w:sz w:val="28"/>
          <w:szCs w:val="28"/>
          <w:lang w:val="en-US"/>
        </w:rPr>
        <w:t xml:space="preserve"> </w:t>
      </w:r>
      <w:r w:rsidRPr="00F90B6B">
        <w:rPr>
          <w:rFonts w:ascii="Times New Roman" w:hAnsi="Times New Roman"/>
          <w:sz w:val="28"/>
          <w:szCs w:val="28"/>
        </w:rPr>
        <w:t>Heart rate at baseline inﬂuences the effect of ivabradine on cardiovascular outcomes in chronic heart failure: analysis from the SHIFT study</w:t>
      </w:r>
      <w:r w:rsidRPr="00F90B6B">
        <w:rPr>
          <w:rFonts w:ascii="Times New Roman" w:hAnsi="Times New Roman"/>
          <w:sz w:val="28"/>
          <w:szCs w:val="28"/>
          <w:lang w:val="en-US"/>
        </w:rPr>
        <w:t>.</w:t>
      </w:r>
      <w:r w:rsidRPr="00F90B6B">
        <w:rPr>
          <w:rFonts w:ascii="Times New Roman" w:hAnsi="Times New Roman"/>
          <w:sz w:val="28"/>
          <w:szCs w:val="28"/>
        </w:rPr>
        <w:t xml:space="preserve"> Clin</w:t>
      </w:r>
      <w:r w:rsidRPr="00F90B6B">
        <w:rPr>
          <w:rFonts w:ascii="Times New Roman" w:hAnsi="Times New Roman"/>
          <w:sz w:val="28"/>
          <w:szCs w:val="28"/>
          <w:lang w:val="en-US"/>
        </w:rPr>
        <w:t>.</w:t>
      </w:r>
      <w:r w:rsidRPr="00F90B6B">
        <w:rPr>
          <w:rFonts w:ascii="Times New Roman" w:hAnsi="Times New Roman"/>
          <w:sz w:val="28"/>
          <w:szCs w:val="28"/>
        </w:rPr>
        <w:t xml:space="preserve"> Res</w:t>
      </w:r>
      <w:r w:rsidRPr="00F90B6B">
        <w:rPr>
          <w:rFonts w:ascii="Times New Roman" w:hAnsi="Times New Roman"/>
          <w:sz w:val="28"/>
          <w:szCs w:val="28"/>
          <w:lang w:val="en-US"/>
        </w:rPr>
        <w:t>.</w:t>
      </w:r>
      <w:r w:rsidRPr="00F90B6B">
        <w:rPr>
          <w:rFonts w:ascii="Times New Roman" w:hAnsi="Times New Roman"/>
          <w:sz w:val="28"/>
          <w:szCs w:val="28"/>
        </w:rPr>
        <w:t xml:space="preserve"> Cardiol</w:t>
      </w:r>
      <w:r w:rsidRPr="00F90B6B">
        <w:rPr>
          <w:rFonts w:ascii="Times New Roman" w:hAnsi="Times New Roman"/>
          <w:sz w:val="28"/>
          <w:szCs w:val="28"/>
          <w:lang w:val="en-US"/>
        </w:rPr>
        <w:t>.</w:t>
      </w:r>
      <w:r w:rsidRPr="00F90B6B">
        <w:rPr>
          <w:rFonts w:ascii="Times New Roman" w:hAnsi="Times New Roman"/>
          <w:sz w:val="28"/>
          <w:szCs w:val="28"/>
        </w:rPr>
        <w:t xml:space="preserve"> 2013</w:t>
      </w:r>
      <w:r w:rsidRPr="00F90B6B">
        <w:rPr>
          <w:rFonts w:ascii="Times New Roman" w:hAnsi="Times New Roman"/>
          <w:sz w:val="28"/>
          <w:szCs w:val="28"/>
          <w:lang w:val="en-US"/>
        </w:rPr>
        <w:t xml:space="preserve">; </w:t>
      </w:r>
      <w:r w:rsidRPr="00F90B6B">
        <w:rPr>
          <w:rFonts w:ascii="Times New Roman" w:hAnsi="Times New Roman"/>
          <w:sz w:val="28"/>
          <w:szCs w:val="28"/>
        </w:rPr>
        <w:t>102</w:t>
      </w:r>
      <w:r w:rsidRPr="00F90B6B">
        <w:rPr>
          <w:rFonts w:ascii="Times New Roman" w:hAnsi="Times New Roman"/>
          <w:sz w:val="28"/>
          <w:szCs w:val="28"/>
          <w:lang w:val="en-US"/>
        </w:rPr>
        <w:t xml:space="preserve">: </w:t>
      </w:r>
      <w:r w:rsidRPr="00F90B6B">
        <w:rPr>
          <w:rFonts w:ascii="Times New Roman" w:hAnsi="Times New Roman"/>
          <w:sz w:val="28"/>
          <w:szCs w:val="28"/>
        </w:rPr>
        <w:t>11–22.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Brasé A, Chivite D, Formiga F. Prognostic role of hyponatremia in acute heart failure. Med Clin (Barc). 2017; 148(1): 41-42.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ru-RU"/>
        </w:rPr>
      </w:pPr>
      <w:r w:rsidRPr="00F90B6B">
        <w:rPr>
          <w:rFonts w:ascii="Times New Roman" w:hAnsi="Times New Roman"/>
          <w:sz w:val="28"/>
          <w:szCs w:val="28"/>
        </w:rPr>
        <w:lastRenderedPageBreak/>
        <w:t>Buccolo G</w:t>
      </w:r>
      <w:r w:rsidRPr="00F90B6B">
        <w:rPr>
          <w:rFonts w:ascii="Times New Roman" w:hAnsi="Times New Roman"/>
          <w:sz w:val="28"/>
          <w:szCs w:val="28"/>
          <w:lang w:val="en-US"/>
        </w:rPr>
        <w:t>.</w:t>
      </w:r>
      <w:r w:rsidRPr="00F90B6B">
        <w:rPr>
          <w:rFonts w:ascii="Times New Roman" w:hAnsi="Times New Roman"/>
          <w:sz w:val="28"/>
          <w:szCs w:val="28"/>
        </w:rPr>
        <w:t xml:space="preserve"> Quantative determination of serum triglycerides by use of enzimes. Clin. Chem</w:t>
      </w:r>
      <w:r w:rsidRPr="00F90B6B">
        <w:rPr>
          <w:rFonts w:ascii="Times New Roman" w:hAnsi="Times New Roman"/>
          <w:sz w:val="28"/>
          <w:szCs w:val="28"/>
          <w:lang w:val="en-US"/>
        </w:rPr>
        <w:t>.</w:t>
      </w:r>
      <w:r w:rsidRPr="00F90B6B">
        <w:rPr>
          <w:rFonts w:ascii="Times New Roman" w:hAnsi="Times New Roman"/>
          <w:sz w:val="28"/>
          <w:szCs w:val="28"/>
        </w:rPr>
        <w:t xml:space="preserve"> 1973</w:t>
      </w:r>
      <w:r w:rsidRPr="00F90B6B">
        <w:rPr>
          <w:rFonts w:ascii="Times New Roman" w:hAnsi="Times New Roman"/>
          <w:sz w:val="28"/>
          <w:szCs w:val="28"/>
          <w:lang w:val="en-US"/>
        </w:rPr>
        <w:t>:</w:t>
      </w:r>
      <w:r w:rsidRPr="00F90B6B">
        <w:rPr>
          <w:rFonts w:ascii="Times New Roman" w:hAnsi="Times New Roman"/>
          <w:sz w:val="28"/>
          <w:szCs w:val="28"/>
        </w:rPr>
        <w:t xml:space="preserve"> 19</w:t>
      </w:r>
      <w:r w:rsidRPr="00F90B6B">
        <w:rPr>
          <w:rFonts w:ascii="Times New Roman" w:hAnsi="Times New Roman"/>
          <w:sz w:val="28"/>
          <w:szCs w:val="28"/>
          <w:lang w:val="en-US"/>
        </w:rPr>
        <w:t xml:space="preserve"> (</w:t>
      </w:r>
      <w:r w:rsidRPr="00F90B6B">
        <w:rPr>
          <w:rFonts w:ascii="Times New Roman" w:hAnsi="Times New Roman"/>
          <w:sz w:val="28"/>
          <w:szCs w:val="28"/>
        </w:rPr>
        <w:t>5</w:t>
      </w:r>
      <w:r w:rsidRPr="00F90B6B">
        <w:rPr>
          <w:rFonts w:ascii="Times New Roman" w:hAnsi="Times New Roman"/>
          <w:sz w:val="28"/>
          <w:szCs w:val="28"/>
          <w:lang w:val="en-US"/>
        </w:rPr>
        <w:t>):</w:t>
      </w:r>
      <w:r w:rsidRPr="00F90B6B">
        <w:rPr>
          <w:rFonts w:ascii="Times New Roman" w:hAnsi="Times New Roman"/>
          <w:sz w:val="28"/>
          <w:szCs w:val="28"/>
        </w:rPr>
        <w:t xml:space="preserve"> 476-82.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Buonafine M, Bonnard B, Jaisser F. Mineralocorticoid Receptor and Cardiovascular Disease. Am J Hypertens. 2018; 31(11): 1165-1174.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Burst V, Grundmann F, Kubacki T, Greenberg A, et al. Thiazide-Associated Hyponatremia, Report of the Hyponatremia Registry: An Observational Multicenter International Study.</w:t>
      </w:r>
      <w:r w:rsidRPr="00F90B6B">
        <w:rPr>
          <w:rFonts w:ascii="Times New Roman" w:hAnsi="Times New Roman"/>
          <w:sz w:val="28"/>
          <w:szCs w:val="28"/>
        </w:rPr>
        <w:t xml:space="preserve"> </w:t>
      </w:r>
      <w:r w:rsidRPr="00F90B6B">
        <w:rPr>
          <w:rFonts w:ascii="Times New Roman" w:hAnsi="Times New Roman"/>
          <w:sz w:val="28"/>
          <w:szCs w:val="28"/>
          <w:lang w:val="en-US"/>
        </w:rPr>
        <w:t>Am J Nephrol. 2017; 45(5): 420-430.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Cannavo A, Bencivenga L, Liccardo D, et al. Aldosterone and Mineralocorticoid Receptor System in Cardiovascular Physiology and Pathophysiology. Oxid Med Cell Longev. 2018; 19: 98.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Carbone S, Elagizi A, Lavie CJ. Obesity and mortality risk in heart failure: when adipose tissue distribution matters. Eur J Heart Fail. 2018; 20(9): 1278-1280.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Cavusoglu Y, Kaya H, Eraslan S, Yilmaz MB. Hyponatremia is associated with occurrence of atrial fibrillation in outpatients with heart failure and reduced ejection fraction. Hellenic J Cardiol. 2018; 17: 30632-2.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Chawla</w:t>
      </w:r>
      <w:r w:rsidRPr="00F90B6B">
        <w:rPr>
          <w:rFonts w:ascii="Times New Roman" w:hAnsi="Times New Roman"/>
          <w:sz w:val="28"/>
          <w:szCs w:val="28"/>
          <w:lang w:val="en-US"/>
        </w:rPr>
        <w:t xml:space="preserve"> </w:t>
      </w:r>
      <w:r w:rsidRPr="00F90B6B">
        <w:rPr>
          <w:rFonts w:ascii="Times New Roman" w:hAnsi="Times New Roman"/>
          <w:sz w:val="28"/>
          <w:szCs w:val="28"/>
        </w:rPr>
        <w:t>L. S., Eggers</w:t>
      </w:r>
      <w:r w:rsidRPr="00F90B6B">
        <w:rPr>
          <w:rFonts w:ascii="Times New Roman" w:hAnsi="Times New Roman"/>
          <w:sz w:val="28"/>
          <w:szCs w:val="28"/>
          <w:lang w:val="en-US"/>
        </w:rPr>
        <w:t xml:space="preserve"> </w:t>
      </w:r>
      <w:r w:rsidRPr="00F90B6B">
        <w:rPr>
          <w:rFonts w:ascii="Times New Roman" w:hAnsi="Times New Roman"/>
          <w:sz w:val="28"/>
          <w:szCs w:val="28"/>
        </w:rPr>
        <w:t>P. W., Star</w:t>
      </w:r>
      <w:r w:rsidRPr="00F90B6B">
        <w:rPr>
          <w:rFonts w:ascii="Times New Roman" w:hAnsi="Times New Roman"/>
          <w:sz w:val="28"/>
          <w:szCs w:val="28"/>
          <w:lang w:val="en-US"/>
        </w:rPr>
        <w:t xml:space="preserve"> </w:t>
      </w:r>
      <w:r w:rsidRPr="00F90B6B">
        <w:rPr>
          <w:rFonts w:ascii="Times New Roman" w:hAnsi="Times New Roman"/>
          <w:sz w:val="28"/>
          <w:szCs w:val="28"/>
        </w:rPr>
        <w:t>R. A. et al.</w:t>
      </w:r>
      <w:r w:rsidRPr="00F90B6B">
        <w:rPr>
          <w:rFonts w:ascii="Times New Roman" w:hAnsi="Times New Roman"/>
          <w:sz w:val="28"/>
          <w:szCs w:val="28"/>
          <w:lang w:val="en-US"/>
        </w:rPr>
        <w:t xml:space="preserve"> </w:t>
      </w:r>
      <w:r w:rsidRPr="00F90B6B">
        <w:rPr>
          <w:rFonts w:ascii="Times New Roman" w:hAnsi="Times New Roman"/>
          <w:sz w:val="28"/>
          <w:szCs w:val="28"/>
        </w:rPr>
        <w:t>Acute kidney injury and chronic kidney disease as interconnected syndromes</w:t>
      </w:r>
      <w:r w:rsidRPr="00F90B6B">
        <w:rPr>
          <w:rFonts w:ascii="Times New Roman" w:hAnsi="Times New Roman"/>
          <w:sz w:val="28"/>
          <w:szCs w:val="28"/>
          <w:lang w:val="en-US"/>
        </w:rPr>
        <w:t xml:space="preserve">. </w:t>
      </w:r>
      <w:r w:rsidRPr="00F90B6B">
        <w:rPr>
          <w:rFonts w:ascii="Times New Roman" w:hAnsi="Times New Roman"/>
          <w:sz w:val="28"/>
          <w:szCs w:val="28"/>
        </w:rPr>
        <w:t>New Engl. J. Med. 2014</w:t>
      </w:r>
      <w:r w:rsidRPr="00F90B6B">
        <w:rPr>
          <w:rFonts w:ascii="Times New Roman" w:hAnsi="Times New Roman"/>
          <w:sz w:val="28"/>
          <w:szCs w:val="28"/>
          <w:lang w:val="en-US"/>
        </w:rPr>
        <w:t>;</w:t>
      </w:r>
      <w:r w:rsidRPr="00F90B6B">
        <w:rPr>
          <w:rFonts w:ascii="Times New Roman" w:hAnsi="Times New Roman"/>
          <w:sz w:val="28"/>
          <w:szCs w:val="28"/>
        </w:rPr>
        <w:t xml:space="preserve"> 371</w:t>
      </w:r>
      <w:r w:rsidRPr="00F90B6B">
        <w:rPr>
          <w:rFonts w:ascii="Times New Roman" w:hAnsi="Times New Roman"/>
          <w:sz w:val="28"/>
          <w:szCs w:val="28"/>
          <w:lang w:val="en-US"/>
        </w:rPr>
        <w:t>:</w:t>
      </w:r>
      <w:r w:rsidRPr="00F90B6B">
        <w:rPr>
          <w:rFonts w:ascii="Times New Roman" w:hAnsi="Times New Roman"/>
          <w:sz w:val="28"/>
          <w:szCs w:val="28"/>
        </w:rPr>
        <w:t xml:space="preserve"> 58–66.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Chitturi C, Novak JE. Diuretics in the Management of Cardiorenal Syndrome. Adv Chronic Kidney Dis. 2018; 25(5): 425-433.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Chouihed T, Buessler A, Bassand A, et al. Hyponatraemia, hyperglycaemia and worsening renal function at first blood sample on emergency department admission as predictors of in-hospital death in patients with dyspnoea with suspected acute heart failure: retrospective observational analysis of the PARADISE cohort. BMJ Open. 2018; 8(3): e019557.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CIBIS-II Investigators and Committees. The Cardiac Insufﬁciency Bisoprolol Study II (CIBIS-II): a randomised trial. Lancet. 1999; 353: 9–13</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Cohn J.N. Structural basis of heart failure: ventricular remodelling and its pharmacological inhibition. Circulation. 1995; 91: 2504-07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Cohn J</w:t>
      </w:r>
      <w:r w:rsidRPr="00F90B6B">
        <w:rPr>
          <w:rFonts w:ascii="Times New Roman" w:hAnsi="Times New Roman"/>
          <w:sz w:val="28"/>
          <w:szCs w:val="28"/>
          <w:lang w:val="en-US"/>
        </w:rPr>
        <w:t>.</w:t>
      </w:r>
      <w:r w:rsidRPr="00F90B6B">
        <w:rPr>
          <w:rFonts w:ascii="Times New Roman" w:hAnsi="Times New Roman"/>
          <w:sz w:val="28"/>
          <w:szCs w:val="28"/>
        </w:rPr>
        <w:t>N</w:t>
      </w:r>
      <w:r w:rsidRPr="00F90B6B">
        <w:rPr>
          <w:rFonts w:ascii="Times New Roman" w:hAnsi="Times New Roman"/>
          <w:sz w:val="28"/>
          <w:szCs w:val="28"/>
          <w:lang w:val="en-US"/>
        </w:rPr>
        <w:t xml:space="preserve">., </w:t>
      </w:r>
      <w:r w:rsidRPr="00F90B6B">
        <w:rPr>
          <w:rFonts w:ascii="Times New Roman" w:hAnsi="Times New Roman"/>
          <w:sz w:val="28"/>
          <w:szCs w:val="28"/>
        </w:rPr>
        <w:t>Tognoni</w:t>
      </w:r>
      <w:r w:rsidRPr="00F90B6B">
        <w:rPr>
          <w:rFonts w:ascii="Times New Roman" w:hAnsi="Times New Roman"/>
          <w:sz w:val="28"/>
          <w:szCs w:val="28"/>
          <w:lang w:val="en-US"/>
        </w:rPr>
        <w:t xml:space="preserve"> </w:t>
      </w:r>
      <w:r w:rsidRPr="00F90B6B">
        <w:rPr>
          <w:rFonts w:ascii="Times New Roman" w:hAnsi="Times New Roman"/>
          <w:sz w:val="28"/>
          <w:szCs w:val="28"/>
        </w:rPr>
        <w:t>G.</w:t>
      </w:r>
      <w:r w:rsidRPr="00F90B6B">
        <w:rPr>
          <w:rFonts w:ascii="Times New Roman" w:hAnsi="Times New Roman"/>
          <w:sz w:val="28"/>
          <w:szCs w:val="28"/>
          <w:lang w:val="en-US"/>
        </w:rPr>
        <w:t xml:space="preserve"> </w:t>
      </w:r>
      <w:r w:rsidRPr="00F90B6B">
        <w:rPr>
          <w:rFonts w:ascii="Times New Roman" w:hAnsi="Times New Roman"/>
          <w:sz w:val="28"/>
          <w:szCs w:val="28"/>
        </w:rPr>
        <w:t>A randomized trial of the angiotensin-receptor blocker valsartan in chronic heart failure</w:t>
      </w:r>
      <w:r w:rsidRPr="00F90B6B">
        <w:rPr>
          <w:rFonts w:ascii="Times New Roman" w:hAnsi="Times New Roman"/>
          <w:sz w:val="28"/>
          <w:szCs w:val="28"/>
          <w:lang w:val="en-US"/>
        </w:rPr>
        <w:t xml:space="preserve">. </w:t>
      </w:r>
      <w:r w:rsidRPr="00F90B6B">
        <w:rPr>
          <w:rFonts w:ascii="Times New Roman" w:hAnsi="Times New Roman"/>
          <w:sz w:val="28"/>
          <w:szCs w:val="28"/>
        </w:rPr>
        <w:t>N</w:t>
      </w:r>
      <w:r w:rsidRPr="00F90B6B">
        <w:rPr>
          <w:rFonts w:ascii="Times New Roman" w:hAnsi="Times New Roman"/>
          <w:sz w:val="28"/>
          <w:szCs w:val="28"/>
          <w:lang w:val="en-US"/>
        </w:rPr>
        <w:t>ew</w:t>
      </w:r>
      <w:r w:rsidRPr="00F90B6B">
        <w:rPr>
          <w:rFonts w:ascii="Times New Roman" w:hAnsi="Times New Roman"/>
          <w:sz w:val="28"/>
          <w:szCs w:val="28"/>
        </w:rPr>
        <w:t xml:space="preserve"> Engl</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w:t>
      </w:r>
      <w:r w:rsidRPr="00F90B6B">
        <w:rPr>
          <w:rFonts w:ascii="Times New Roman" w:hAnsi="Times New Roman"/>
          <w:sz w:val="28"/>
          <w:szCs w:val="28"/>
        </w:rPr>
        <w:t xml:space="preserve"> 2001</w:t>
      </w:r>
      <w:r w:rsidRPr="00F90B6B">
        <w:rPr>
          <w:rFonts w:ascii="Times New Roman" w:hAnsi="Times New Roman"/>
          <w:sz w:val="28"/>
          <w:szCs w:val="28"/>
          <w:lang w:val="en-US"/>
        </w:rPr>
        <w:t xml:space="preserve">; </w:t>
      </w:r>
      <w:r w:rsidRPr="00F90B6B">
        <w:rPr>
          <w:rFonts w:ascii="Times New Roman" w:hAnsi="Times New Roman"/>
          <w:sz w:val="28"/>
          <w:szCs w:val="28"/>
        </w:rPr>
        <w:t>345</w:t>
      </w:r>
      <w:r w:rsidRPr="00F90B6B">
        <w:rPr>
          <w:rFonts w:ascii="Times New Roman" w:hAnsi="Times New Roman"/>
          <w:sz w:val="28"/>
          <w:szCs w:val="28"/>
          <w:lang w:val="en-US"/>
        </w:rPr>
        <w:t xml:space="preserve">: </w:t>
      </w:r>
      <w:r w:rsidRPr="00F90B6B">
        <w:rPr>
          <w:rFonts w:ascii="Times New Roman" w:hAnsi="Times New Roman"/>
          <w:sz w:val="28"/>
          <w:szCs w:val="28"/>
        </w:rPr>
        <w:t>1667–75.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ru-RU"/>
        </w:rPr>
      </w:pPr>
      <w:r w:rsidRPr="00F90B6B">
        <w:rPr>
          <w:rFonts w:ascii="Times New Roman" w:hAnsi="Times New Roman"/>
          <w:sz w:val="28"/>
          <w:szCs w:val="28"/>
          <w:lang w:val="en-US"/>
        </w:rPr>
        <w:lastRenderedPageBreak/>
        <w:t xml:space="preserve">Corell P, Gustafsson F, Kistorp C, Madsen LH, Schou M, Hildebrandt P. Effect of atrial fibrillation on plasma NT-proBNP in chronic heart failure. </w:t>
      </w:r>
      <w:r w:rsidRPr="00F90B6B">
        <w:rPr>
          <w:rFonts w:ascii="Times New Roman" w:hAnsi="Times New Roman"/>
          <w:sz w:val="28"/>
          <w:szCs w:val="28"/>
          <w:lang w:val="ru-RU"/>
        </w:rPr>
        <w:t>Int J Cardiol 2007; 117:395–402.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Cunha GJL, Rocha BML, Menezes Falcão L. Iron deficiency in chronic and acute heart failure: A contemporary review on intertwined conditions. Eur J Intern Med. 2018; 52: 1-7.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lang w:val="en-US"/>
        </w:rPr>
        <w:t>D'Agostino R. B. Sr., Pencina M. J., Massaro J. M. et al. Cardiovascular Disease Risk Assessment: Insights from Framingham. Glob. Heart. 2013; 8 (1): 11-23</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Damman K., Testani J. M. The kidney in heart failure: an update. Eur. Heart J. 2015; 36: 1437–44</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Damman</w:t>
      </w:r>
      <w:r w:rsidRPr="00F90B6B">
        <w:rPr>
          <w:rFonts w:ascii="Times New Roman" w:hAnsi="Times New Roman"/>
          <w:sz w:val="28"/>
          <w:szCs w:val="28"/>
          <w:lang w:val="en-US"/>
        </w:rPr>
        <w:t xml:space="preserve"> </w:t>
      </w:r>
      <w:r w:rsidRPr="00F90B6B">
        <w:rPr>
          <w:rFonts w:ascii="Times New Roman" w:hAnsi="Times New Roman"/>
          <w:sz w:val="28"/>
          <w:szCs w:val="28"/>
        </w:rPr>
        <w:t>K., Valente</w:t>
      </w:r>
      <w:r w:rsidRPr="00F90B6B">
        <w:rPr>
          <w:rFonts w:ascii="Times New Roman" w:hAnsi="Times New Roman"/>
          <w:sz w:val="28"/>
          <w:szCs w:val="28"/>
          <w:lang w:val="en-US"/>
        </w:rPr>
        <w:t xml:space="preserve"> </w:t>
      </w:r>
      <w:r w:rsidRPr="00F90B6B">
        <w:rPr>
          <w:rFonts w:ascii="Times New Roman" w:hAnsi="Times New Roman"/>
          <w:sz w:val="28"/>
          <w:szCs w:val="28"/>
        </w:rPr>
        <w:t>M A., Voors</w:t>
      </w:r>
      <w:r w:rsidRPr="00F90B6B">
        <w:rPr>
          <w:rFonts w:ascii="Times New Roman" w:hAnsi="Times New Roman"/>
          <w:sz w:val="28"/>
          <w:szCs w:val="28"/>
          <w:lang w:val="en-US"/>
        </w:rPr>
        <w:t xml:space="preserve"> </w:t>
      </w:r>
      <w:r w:rsidRPr="00F90B6B">
        <w:rPr>
          <w:rFonts w:ascii="Times New Roman" w:hAnsi="Times New Roman"/>
          <w:sz w:val="28"/>
          <w:szCs w:val="28"/>
        </w:rPr>
        <w:t>A. A. et al. Renal impairment, worsening renal function, and outcome in patients with heart failure: an updated meta-analysis</w:t>
      </w:r>
      <w:r w:rsidRPr="00F90B6B">
        <w:rPr>
          <w:rFonts w:ascii="Times New Roman" w:hAnsi="Times New Roman"/>
          <w:sz w:val="28"/>
          <w:szCs w:val="28"/>
          <w:lang w:val="en-US"/>
        </w:rPr>
        <w:t>.</w:t>
      </w:r>
      <w:r w:rsidRPr="00F90B6B">
        <w:rPr>
          <w:rFonts w:ascii="Times New Roman" w:hAnsi="Times New Roman"/>
          <w:sz w:val="28"/>
          <w:szCs w:val="28"/>
        </w:rPr>
        <w:t xml:space="preserve"> Eur. Heart J. 2014</w:t>
      </w:r>
      <w:r w:rsidRPr="00F90B6B">
        <w:rPr>
          <w:rFonts w:ascii="Times New Roman" w:hAnsi="Times New Roman"/>
          <w:sz w:val="28"/>
          <w:szCs w:val="28"/>
          <w:lang w:val="en-US"/>
        </w:rPr>
        <w:t>;</w:t>
      </w:r>
      <w:r w:rsidRPr="00F90B6B">
        <w:rPr>
          <w:rFonts w:ascii="Times New Roman" w:hAnsi="Times New Roman"/>
          <w:sz w:val="28"/>
          <w:szCs w:val="28"/>
        </w:rPr>
        <w:t xml:space="preserve"> 35</w:t>
      </w:r>
      <w:r w:rsidRPr="00F90B6B">
        <w:rPr>
          <w:rFonts w:ascii="Times New Roman" w:hAnsi="Times New Roman"/>
          <w:sz w:val="28"/>
          <w:szCs w:val="28"/>
          <w:lang w:val="en-US"/>
        </w:rPr>
        <w:t xml:space="preserve">: </w:t>
      </w:r>
      <w:r w:rsidRPr="00F90B6B">
        <w:rPr>
          <w:rFonts w:ascii="Times New Roman" w:hAnsi="Times New Roman"/>
          <w:sz w:val="28"/>
          <w:szCs w:val="28"/>
        </w:rPr>
        <w:t>455–69.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Darmon M, Schetz M. What's new in cardiorenal syndrome? Intensive Care Med. 2018; 44(6): 908-910.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Dasta JF, Sundar S, Chase S, et al. Economic impact of tolvaptan treatment vs. fluid restriction based on real-world data among hospitalized patients with heart failure and hyponatremia. Hosp Pract (1995). 2018; 46(4): 197-202.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De Vecchis R, Di Maio M, Di Biase G, Ariano C. J. Effects of Hyponatremia Normalization on the Short-Term Mortality and Rehospitalizations in Patients with Recent Acute Decompensated Heart Failure: A Retrospective Study. Clin Med. 2016; 5(10): E92.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Dessi-Fulgheri P</w:t>
      </w:r>
      <w:r w:rsidRPr="00F90B6B">
        <w:rPr>
          <w:rFonts w:ascii="Times New Roman" w:hAnsi="Times New Roman"/>
          <w:sz w:val="28"/>
          <w:szCs w:val="28"/>
          <w:lang w:val="en-US"/>
        </w:rPr>
        <w:t>.</w:t>
      </w:r>
      <w:r w:rsidRPr="00F90B6B">
        <w:rPr>
          <w:rFonts w:ascii="Times New Roman" w:hAnsi="Times New Roman"/>
          <w:sz w:val="28"/>
          <w:szCs w:val="28"/>
        </w:rPr>
        <w:t>, Sarzani R</w:t>
      </w:r>
      <w:r w:rsidRPr="00F90B6B">
        <w:rPr>
          <w:rFonts w:ascii="Times New Roman" w:hAnsi="Times New Roman"/>
          <w:sz w:val="28"/>
          <w:szCs w:val="28"/>
          <w:lang w:val="en-US"/>
        </w:rPr>
        <w:t>.</w:t>
      </w:r>
      <w:r w:rsidRPr="00F90B6B">
        <w:rPr>
          <w:rFonts w:ascii="Times New Roman" w:hAnsi="Times New Roman"/>
          <w:sz w:val="28"/>
          <w:szCs w:val="28"/>
        </w:rPr>
        <w:t>, Serenelli M. Low calorie diet enhances renal, hemodynamic, and humoral effects of exogenous atrial natriuretic peptide in obese hypertensives. Hypertension. 1999; 33: 658-62.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Dewan P, Rørth R, Jhund PS, Shen L, et al. Differential Impact of Heart Failure With Reduced Ejection Fraction on Men and Women.</w:t>
      </w:r>
      <w:r w:rsidRPr="00F90B6B">
        <w:rPr>
          <w:rFonts w:ascii="Times New Roman" w:hAnsi="Times New Roman"/>
          <w:sz w:val="28"/>
          <w:szCs w:val="28"/>
        </w:rPr>
        <w:t xml:space="preserve"> </w:t>
      </w:r>
      <w:r w:rsidRPr="00F90B6B">
        <w:rPr>
          <w:rFonts w:ascii="Times New Roman" w:hAnsi="Times New Roman"/>
          <w:sz w:val="28"/>
          <w:szCs w:val="28"/>
          <w:lang w:val="en-US"/>
        </w:rPr>
        <w:t>J Am Coll Cardiol. 2019; 73(1): 29-40.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Dokainish H, Zoghbi WA, Albakshy FA, et al. Optimal noninvasive assessment of left ventricular filling pressures. A comparison of tissue doppler echocardiography and b-</w:t>
      </w:r>
      <w:r w:rsidRPr="00F90B6B">
        <w:rPr>
          <w:rFonts w:ascii="Times New Roman" w:hAnsi="Times New Roman"/>
          <w:sz w:val="28"/>
          <w:szCs w:val="28"/>
        </w:rPr>
        <w:lastRenderedPageBreak/>
        <w:t>type natriuretic peptide in patients with pulmonary artery catheters Circulation 2004; 109 (20): 2432–2439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Dokainish</w:t>
      </w:r>
      <w:r w:rsidRPr="00F90B6B">
        <w:rPr>
          <w:rFonts w:ascii="Times New Roman" w:hAnsi="Times New Roman"/>
          <w:sz w:val="28"/>
          <w:szCs w:val="28"/>
          <w:lang w:val="en-US"/>
        </w:rPr>
        <w:t xml:space="preserve"> </w:t>
      </w:r>
      <w:r w:rsidRPr="00F90B6B">
        <w:rPr>
          <w:rFonts w:ascii="Times New Roman" w:hAnsi="Times New Roman"/>
          <w:sz w:val="28"/>
          <w:szCs w:val="28"/>
        </w:rPr>
        <w:t>H</w:t>
      </w:r>
      <w:r w:rsidRPr="00F90B6B">
        <w:rPr>
          <w:rFonts w:ascii="Times New Roman" w:hAnsi="Times New Roman"/>
          <w:sz w:val="28"/>
          <w:szCs w:val="28"/>
          <w:lang w:val="en-US"/>
        </w:rPr>
        <w:t>.</w:t>
      </w:r>
      <w:r w:rsidRPr="00F90B6B">
        <w:rPr>
          <w:rFonts w:ascii="Times New Roman" w:hAnsi="Times New Roman"/>
          <w:sz w:val="28"/>
          <w:szCs w:val="28"/>
        </w:rPr>
        <w:t>, Nguyen</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 xml:space="preserve">. </w:t>
      </w:r>
      <w:r w:rsidRPr="00F90B6B">
        <w:rPr>
          <w:rFonts w:ascii="Times New Roman" w:hAnsi="Times New Roman"/>
          <w:sz w:val="28"/>
          <w:szCs w:val="28"/>
        </w:rPr>
        <w:t>S</w:t>
      </w:r>
      <w:r w:rsidRPr="00F90B6B">
        <w:rPr>
          <w:rFonts w:ascii="Times New Roman" w:hAnsi="Times New Roman"/>
          <w:sz w:val="28"/>
          <w:szCs w:val="28"/>
          <w:lang w:val="en-US"/>
        </w:rPr>
        <w:t>.</w:t>
      </w:r>
      <w:r w:rsidRPr="00F90B6B">
        <w:rPr>
          <w:rFonts w:ascii="Times New Roman" w:hAnsi="Times New Roman"/>
          <w:sz w:val="28"/>
          <w:szCs w:val="28"/>
        </w:rPr>
        <w:t>, Bobek</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xml:space="preserve"> et al.</w:t>
      </w:r>
      <w:r w:rsidRPr="00F90B6B">
        <w:rPr>
          <w:rFonts w:ascii="Times New Roman" w:hAnsi="Times New Roman"/>
          <w:sz w:val="28"/>
          <w:szCs w:val="28"/>
          <w:lang w:val="en-US"/>
        </w:rPr>
        <w:t xml:space="preserve"> </w:t>
      </w:r>
      <w:r w:rsidRPr="00F90B6B">
        <w:rPr>
          <w:rFonts w:ascii="Times New Roman" w:hAnsi="Times New Roman"/>
          <w:sz w:val="28"/>
          <w:szCs w:val="28"/>
        </w:rPr>
        <w:t>Assessment of the American Society of Echocardiography-European Association of Echocardiography guidelines for diastolic function in patients with depressed ejection fraction: an echocardiographic and invasive haemodynamic study</w:t>
      </w:r>
      <w:r w:rsidRPr="00F90B6B">
        <w:rPr>
          <w:rFonts w:ascii="Times New Roman" w:hAnsi="Times New Roman"/>
          <w:sz w:val="28"/>
          <w:szCs w:val="28"/>
          <w:lang w:val="en-US"/>
        </w:rPr>
        <w:t>.</w:t>
      </w:r>
      <w:r w:rsidRPr="00F90B6B">
        <w:rPr>
          <w:rFonts w:ascii="Times New Roman" w:hAnsi="Times New Roman"/>
          <w:sz w:val="28"/>
          <w:szCs w:val="28"/>
        </w:rPr>
        <w:t xml:space="preserve"> Eur</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 xml:space="preserve">. </w:t>
      </w:r>
      <w:r w:rsidRPr="00F90B6B">
        <w:rPr>
          <w:rFonts w:ascii="Times New Roman" w:hAnsi="Times New Roman"/>
          <w:sz w:val="28"/>
          <w:szCs w:val="28"/>
        </w:rPr>
        <w:t>Echocardiogr</w:t>
      </w:r>
      <w:r w:rsidRPr="00F90B6B">
        <w:rPr>
          <w:rFonts w:ascii="Times New Roman" w:hAnsi="Times New Roman"/>
          <w:sz w:val="28"/>
          <w:szCs w:val="28"/>
          <w:lang w:val="en-US"/>
        </w:rPr>
        <w:t xml:space="preserve">. </w:t>
      </w:r>
      <w:r w:rsidRPr="00F90B6B">
        <w:rPr>
          <w:rFonts w:ascii="Times New Roman" w:hAnsi="Times New Roman"/>
          <w:sz w:val="28"/>
          <w:szCs w:val="28"/>
        </w:rPr>
        <w:t>2011</w:t>
      </w:r>
      <w:r w:rsidRPr="00F90B6B">
        <w:rPr>
          <w:rFonts w:ascii="Times New Roman" w:hAnsi="Times New Roman"/>
          <w:sz w:val="28"/>
          <w:szCs w:val="28"/>
          <w:lang w:val="en-US"/>
        </w:rPr>
        <w:t xml:space="preserve">; </w:t>
      </w:r>
      <w:r w:rsidRPr="00F90B6B">
        <w:rPr>
          <w:rFonts w:ascii="Times New Roman" w:hAnsi="Times New Roman"/>
          <w:sz w:val="28"/>
          <w:szCs w:val="28"/>
        </w:rPr>
        <w:t>12</w:t>
      </w:r>
      <w:r w:rsidRPr="00F90B6B">
        <w:rPr>
          <w:rFonts w:ascii="Times New Roman" w:hAnsi="Times New Roman"/>
          <w:sz w:val="28"/>
          <w:szCs w:val="28"/>
          <w:lang w:val="en-US"/>
        </w:rPr>
        <w:t xml:space="preserve">: </w:t>
      </w:r>
      <w:r w:rsidRPr="00F90B6B">
        <w:rPr>
          <w:rFonts w:ascii="Times New Roman" w:hAnsi="Times New Roman"/>
          <w:sz w:val="28"/>
          <w:szCs w:val="28"/>
        </w:rPr>
        <w:t>857–64.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Drozd M, Jankowska EA, Banasiak W, Ponikowski P. Iron Therapy in Patients with Heart Failure and Iron Deficiency: Review of Iron Preparations for Practitioners. Am J Cardiovasc Drugs. 2017; 17(3): 183-201.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Dunlap M.E, Hauptman P.J, Amin A.N, Chase S.L. Current Management of Hyponatremia in Acute Heart Failure: A Report From the Hyponatremia Registry for Patients With Euvolemic and Hypervolemic Hyponatremia (HN Registry). J. Am. Heart. Assoc. 2017; 6: e005261</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Dunlay</w:t>
      </w:r>
      <w:r w:rsidRPr="00F90B6B">
        <w:rPr>
          <w:rFonts w:ascii="Times New Roman" w:hAnsi="Times New Roman"/>
          <w:sz w:val="28"/>
          <w:szCs w:val="28"/>
          <w:lang w:val="en-US"/>
        </w:rPr>
        <w:t xml:space="preserve"> </w:t>
      </w:r>
      <w:r w:rsidRPr="00F90B6B">
        <w:rPr>
          <w:rFonts w:ascii="Times New Roman" w:hAnsi="Times New Roman"/>
          <w:sz w:val="28"/>
          <w:szCs w:val="28"/>
        </w:rPr>
        <w:t>S.M., Gheorghiade</w:t>
      </w:r>
      <w:r w:rsidRPr="00F90B6B">
        <w:rPr>
          <w:rFonts w:ascii="Times New Roman" w:hAnsi="Times New Roman"/>
          <w:sz w:val="28"/>
          <w:szCs w:val="28"/>
          <w:lang w:val="en-US"/>
        </w:rPr>
        <w:t xml:space="preserve"> </w:t>
      </w:r>
      <w:r w:rsidRPr="00F90B6B">
        <w:rPr>
          <w:rFonts w:ascii="Times New Roman" w:hAnsi="Times New Roman"/>
          <w:sz w:val="28"/>
          <w:szCs w:val="28"/>
        </w:rPr>
        <w:t>M., Reid</w:t>
      </w:r>
      <w:r w:rsidRPr="00F90B6B">
        <w:rPr>
          <w:rFonts w:ascii="Times New Roman" w:hAnsi="Times New Roman"/>
          <w:sz w:val="28"/>
          <w:szCs w:val="28"/>
          <w:lang w:val="en-US"/>
        </w:rPr>
        <w:t xml:space="preserve"> </w:t>
      </w:r>
      <w:r w:rsidRPr="00F90B6B">
        <w:rPr>
          <w:rFonts w:ascii="Times New Roman" w:hAnsi="Times New Roman"/>
          <w:sz w:val="28"/>
          <w:szCs w:val="28"/>
        </w:rPr>
        <w:t>K.J. Critical elements of clinical follow-up after hospital discharge for heart failure: insights from the EVEREST trial</w:t>
      </w:r>
      <w:r w:rsidRPr="00F90B6B">
        <w:rPr>
          <w:rFonts w:ascii="Times New Roman" w:hAnsi="Times New Roman"/>
          <w:sz w:val="28"/>
          <w:szCs w:val="28"/>
          <w:lang w:val="en-US"/>
        </w:rPr>
        <w:t>.</w:t>
      </w:r>
      <w:r w:rsidRPr="00F90B6B">
        <w:rPr>
          <w:rFonts w:ascii="Times New Roman" w:hAnsi="Times New Roman"/>
          <w:sz w:val="28"/>
          <w:szCs w:val="28"/>
        </w:rPr>
        <w:t xml:space="preserve"> Eur. J. Heart  Fail. 2010</w:t>
      </w:r>
      <w:r w:rsidRPr="00F90B6B">
        <w:rPr>
          <w:rFonts w:ascii="Times New Roman" w:hAnsi="Times New Roman"/>
          <w:sz w:val="28"/>
          <w:szCs w:val="28"/>
          <w:lang w:val="en-US"/>
        </w:rPr>
        <w:t xml:space="preserve">; </w:t>
      </w:r>
      <w:r w:rsidRPr="00F90B6B">
        <w:rPr>
          <w:rFonts w:ascii="Times New Roman" w:hAnsi="Times New Roman"/>
          <w:sz w:val="28"/>
          <w:szCs w:val="28"/>
        </w:rPr>
        <w:t>12</w:t>
      </w:r>
      <w:r w:rsidRPr="00F90B6B">
        <w:rPr>
          <w:rFonts w:ascii="Times New Roman" w:hAnsi="Times New Roman"/>
          <w:sz w:val="28"/>
          <w:szCs w:val="28"/>
          <w:lang w:val="en-US"/>
        </w:rPr>
        <w:t xml:space="preserve">: </w:t>
      </w:r>
      <w:r w:rsidRPr="00F90B6B">
        <w:rPr>
          <w:rFonts w:ascii="Times New Roman" w:hAnsi="Times New Roman"/>
          <w:sz w:val="28"/>
          <w:szCs w:val="28"/>
        </w:rPr>
        <w:t>367</w:t>
      </w:r>
      <w:r w:rsidRPr="00F90B6B">
        <w:rPr>
          <w:rFonts w:ascii="Times New Roman" w:hAnsi="Times New Roman"/>
          <w:sz w:val="28"/>
          <w:szCs w:val="28"/>
          <w:lang w:val="en-US"/>
        </w:rPr>
        <w:t>-</w:t>
      </w:r>
      <w:r w:rsidRPr="00F90B6B">
        <w:rPr>
          <w:rFonts w:ascii="Times New Roman" w:hAnsi="Times New Roman"/>
          <w:sz w:val="28"/>
          <w:szCs w:val="28"/>
        </w:rPr>
        <w:t>74.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Ebner N, Jankowska EA, Ponikowski P, et al. The impact of iron deficiency and anaemia on exercise capacity and outcomes in patients with chronic heart failure. Results from the Studies Investigating Co-morbidities Aggravating Heart Failure. Int J Cardiol. 2016; 205: 6-12.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Elfar A, Sambandam KK. The Basic Metabolic Profile in Heart Failure-Marker and Modifier. Curr Heart Fail Rep. 2017; 14(4): 311-320.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Fagerberg B</w:t>
      </w:r>
      <w:r w:rsidRPr="00F90B6B">
        <w:rPr>
          <w:rFonts w:ascii="Times New Roman" w:hAnsi="Times New Roman"/>
          <w:sz w:val="28"/>
          <w:szCs w:val="28"/>
          <w:lang w:val="en-US"/>
        </w:rPr>
        <w:t>.</w:t>
      </w:r>
      <w:r w:rsidRPr="00F90B6B">
        <w:rPr>
          <w:rFonts w:ascii="Times New Roman" w:hAnsi="Times New Roman"/>
          <w:sz w:val="28"/>
          <w:szCs w:val="28"/>
        </w:rPr>
        <w:t xml:space="preserve"> Effect of metoprolol CR/XL in chronic heart failure: Metoprolol CR/XL Randomised Intervention Trial in Congestive Heart Failure (MERIT-HF)</w:t>
      </w:r>
      <w:r w:rsidRPr="00F90B6B">
        <w:rPr>
          <w:rFonts w:ascii="Times New Roman" w:hAnsi="Times New Roman"/>
          <w:sz w:val="28"/>
          <w:szCs w:val="28"/>
          <w:lang w:val="en-US"/>
        </w:rPr>
        <w:t xml:space="preserve">. </w:t>
      </w:r>
      <w:r w:rsidRPr="00F90B6B">
        <w:rPr>
          <w:rFonts w:ascii="Times New Roman" w:hAnsi="Times New Roman"/>
          <w:sz w:val="28"/>
          <w:szCs w:val="28"/>
        </w:rPr>
        <w:t>Lancet</w:t>
      </w:r>
      <w:r w:rsidRPr="00F90B6B">
        <w:rPr>
          <w:rFonts w:ascii="Times New Roman" w:hAnsi="Times New Roman"/>
          <w:sz w:val="28"/>
          <w:szCs w:val="28"/>
          <w:lang w:val="en-US"/>
        </w:rPr>
        <w:t xml:space="preserve">. </w:t>
      </w:r>
      <w:r w:rsidRPr="00F90B6B">
        <w:rPr>
          <w:rFonts w:ascii="Times New Roman" w:hAnsi="Times New Roman"/>
          <w:sz w:val="28"/>
          <w:szCs w:val="28"/>
        </w:rPr>
        <w:t>1999</w:t>
      </w:r>
      <w:r w:rsidRPr="00F90B6B">
        <w:rPr>
          <w:rFonts w:ascii="Times New Roman" w:hAnsi="Times New Roman"/>
          <w:sz w:val="28"/>
          <w:szCs w:val="28"/>
          <w:lang w:val="en-US"/>
        </w:rPr>
        <w:t xml:space="preserve">; </w:t>
      </w:r>
      <w:r w:rsidRPr="00F90B6B">
        <w:rPr>
          <w:rFonts w:ascii="Times New Roman" w:hAnsi="Times New Roman"/>
          <w:sz w:val="28"/>
          <w:szCs w:val="28"/>
        </w:rPr>
        <w:t>353</w:t>
      </w:r>
      <w:r w:rsidRPr="00F90B6B">
        <w:rPr>
          <w:rFonts w:ascii="Times New Roman" w:hAnsi="Times New Roman"/>
          <w:sz w:val="28"/>
          <w:szCs w:val="28"/>
          <w:lang w:val="en-US"/>
        </w:rPr>
        <w:t xml:space="preserve">: </w:t>
      </w:r>
      <w:r w:rsidRPr="00F90B6B">
        <w:rPr>
          <w:rFonts w:ascii="Times New Roman" w:hAnsi="Times New Roman"/>
          <w:sz w:val="28"/>
          <w:szCs w:val="28"/>
        </w:rPr>
        <w:t>2001–7.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Fan PC, Chang CH, Chen YC. Biomarkers for acute cardiorenal syndrome. Nephrology (Carlton). 2018; 23 (4): 68-71.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Fazulina KS, Fomin VV, Meshalkina VV. Predictive significance of disturbed water-salt homeostasis in decompensated chronic heart failure patients. Kardiologiia. 2018; 4: 10-21.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lastRenderedPageBreak/>
        <w:t>Filippatos G.</w:t>
      </w:r>
      <w:r w:rsidRPr="00F90B6B">
        <w:rPr>
          <w:rFonts w:ascii="Times New Roman" w:hAnsi="Times New Roman"/>
          <w:sz w:val="28"/>
          <w:szCs w:val="28"/>
          <w:lang w:val="en-US"/>
        </w:rPr>
        <w:t xml:space="preserve">, </w:t>
      </w:r>
      <w:r w:rsidRPr="00F90B6B">
        <w:rPr>
          <w:rFonts w:ascii="Times New Roman" w:hAnsi="Times New Roman"/>
          <w:sz w:val="28"/>
          <w:szCs w:val="28"/>
        </w:rPr>
        <w:t>Farmakis</w:t>
      </w:r>
      <w:r w:rsidRPr="00F90B6B">
        <w:rPr>
          <w:rFonts w:ascii="Times New Roman" w:hAnsi="Times New Roman"/>
          <w:sz w:val="28"/>
          <w:szCs w:val="28"/>
          <w:lang w:val="en-US"/>
        </w:rPr>
        <w:t xml:space="preserve"> </w:t>
      </w:r>
      <w:r w:rsidRPr="00F90B6B">
        <w:rPr>
          <w:rFonts w:ascii="Times New Roman" w:hAnsi="Times New Roman"/>
          <w:sz w:val="28"/>
          <w:szCs w:val="28"/>
        </w:rPr>
        <w:t>D., Parissis J. Renal dysfunction and heart failure: things are seldom what they seem</w:t>
      </w:r>
      <w:r w:rsidRPr="00F90B6B">
        <w:rPr>
          <w:rFonts w:ascii="Times New Roman" w:hAnsi="Times New Roman"/>
          <w:sz w:val="28"/>
          <w:szCs w:val="28"/>
          <w:lang w:val="en-US"/>
        </w:rPr>
        <w:t>.</w:t>
      </w:r>
      <w:r w:rsidRPr="00F90B6B">
        <w:rPr>
          <w:rFonts w:ascii="Times New Roman" w:hAnsi="Times New Roman"/>
          <w:sz w:val="28"/>
          <w:szCs w:val="28"/>
        </w:rPr>
        <w:t xml:space="preserve"> Eur. Heart J. 2014</w:t>
      </w:r>
      <w:r w:rsidRPr="00F90B6B">
        <w:rPr>
          <w:rFonts w:ascii="Times New Roman" w:hAnsi="Times New Roman"/>
          <w:sz w:val="28"/>
          <w:szCs w:val="28"/>
          <w:lang w:val="en-US"/>
        </w:rPr>
        <w:t>;</w:t>
      </w:r>
      <w:r w:rsidRPr="00F90B6B">
        <w:rPr>
          <w:rFonts w:ascii="Times New Roman" w:hAnsi="Times New Roman"/>
          <w:sz w:val="28"/>
          <w:szCs w:val="28"/>
        </w:rPr>
        <w:t xml:space="preserve"> 35</w:t>
      </w:r>
      <w:r w:rsidRPr="00F90B6B">
        <w:rPr>
          <w:rFonts w:ascii="Times New Roman" w:hAnsi="Times New Roman"/>
          <w:sz w:val="28"/>
          <w:szCs w:val="28"/>
          <w:lang w:val="en-US"/>
        </w:rPr>
        <w:t>:</w:t>
      </w:r>
      <w:r w:rsidRPr="00F90B6B">
        <w:rPr>
          <w:rFonts w:ascii="Times New Roman" w:hAnsi="Times New Roman"/>
          <w:sz w:val="28"/>
          <w:szCs w:val="28"/>
        </w:rPr>
        <w:t xml:space="preserve"> 416–18.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Filippatos</w:t>
      </w:r>
      <w:r w:rsidRPr="00F90B6B">
        <w:rPr>
          <w:rFonts w:ascii="Times New Roman" w:hAnsi="Times New Roman"/>
          <w:sz w:val="28"/>
          <w:szCs w:val="28"/>
          <w:lang w:val="en-US"/>
        </w:rPr>
        <w:t xml:space="preserve"> </w:t>
      </w:r>
      <w:r w:rsidRPr="00F90B6B">
        <w:rPr>
          <w:rFonts w:ascii="Times New Roman" w:hAnsi="Times New Roman"/>
          <w:sz w:val="28"/>
          <w:szCs w:val="28"/>
        </w:rPr>
        <w:t>G., Khan</w:t>
      </w:r>
      <w:r w:rsidRPr="00F90B6B">
        <w:rPr>
          <w:rFonts w:ascii="Times New Roman" w:hAnsi="Times New Roman"/>
          <w:sz w:val="28"/>
          <w:szCs w:val="28"/>
          <w:lang w:val="en-US"/>
        </w:rPr>
        <w:t xml:space="preserve"> </w:t>
      </w:r>
      <w:r w:rsidRPr="00F90B6B">
        <w:rPr>
          <w:rFonts w:ascii="Times New Roman" w:hAnsi="Times New Roman"/>
          <w:sz w:val="28"/>
          <w:szCs w:val="28"/>
        </w:rPr>
        <w:t>S. S., Ambrosy A. P. et al. International REgistry to assess medical Practice with lOngitudinal obseRvation for Treatment of Heart Failure (REPORT-HF): rationale for and design of a global registry</w:t>
      </w:r>
      <w:r w:rsidRPr="00F90B6B">
        <w:rPr>
          <w:rFonts w:ascii="Times New Roman" w:hAnsi="Times New Roman"/>
          <w:sz w:val="28"/>
          <w:szCs w:val="28"/>
          <w:lang w:val="en-US"/>
        </w:rPr>
        <w:t>.</w:t>
      </w:r>
      <w:r w:rsidRPr="00F90B6B">
        <w:rPr>
          <w:rFonts w:ascii="Times New Roman" w:hAnsi="Times New Roman"/>
          <w:sz w:val="28"/>
          <w:szCs w:val="28"/>
        </w:rPr>
        <w:t xml:space="preserve"> Eur. J. Heart Fail. 2015</w:t>
      </w:r>
      <w:r w:rsidRPr="00F90B6B">
        <w:rPr>
          <w:rFonts w:ascii="Times New Roman" w:hAnsi="Times New Roman"/>
          <w:sz w:val="28"/>
          <w:szCs w:val="28"/>
          <w:lang w:val="en-US"/>
        </w:rPr>
        <w:t>;</w:t>
      </w:r>
      <w:r w:rsidRPr="00F90B6B">
        <w:rPr>
          <w:rFonts w:ascii="Times New Roman" w:hAnsi="Times New Roman"/>
          <w:sz w:val="28"/>
          <w:szCs w:val="28"/>
        </w:rPr>
        <w:t xml:space="preserve"> 17</w:t>
      </w:r>
      <w:r w:rsidRPr="00F90B6B">
        <w:rPr>
          <w:rFonts w:ascii="Times New Roman" w:hAnsi="Times New Roman"/>
          <w:sz w:val="28"/>
          <w:szCs w:val="28"/>
          <w:lang w:val="en-US"/>
        </w:rPr>
        <w:t>: 5</w:t>
      </w:r>
      <w:r w:rsidRPr="00F90B6B">
        <w:rPr>
          <w:rFonts w:ascii="Times New Roman" w:hAnsi="Times New Roman"/>
          <w:sz w:val="28"/>
          <w:szCs w:val="28"/>
        </w:rPr>
        <w:t>27-33.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Filippatos G.</w:t>
      </w:r>
      <w:r w:rsidRPr="00F90B6B">
        <w:rPr>
          <w:rFonts w:ascii="Times New Roman" w:hAnsi="Times New Roman"/>
          <w:sz w:val="28"/>
          <w:szCs w:val="28"/>
          <w:lang w:val="en-US"/>
        </w:rPr>
        <w:t>,</w:t>
      </w:r>
      <w:r w:rsidRPr="00F90B6B">
        <w:rPr>
          <w:rFonts w:ascii="Times New Roman" w:hAnsi="Times New Roman"/>
          <w:sz w:val="28"/>
          <w:szCs w:val="28"/>
        </w:rPr>
        <w:t xml:space="preserve"> Parissis J. T. Heart failure diagnosis and prognosis in the elderly: the proof of the pudding is in the eating</w:t>
      </w:r>
      <w:r w:rsidRPr="00F90B6B">
        <w:rPr>
          <w:rFonts w:ascii="Times New Roman" w:hAnsi="Times New Roman"/>
          <w:sz w:val="28"/>
          <w:szCs w:val="28"/>
          <w:lang w:val="en-US"/>
        </w:rPr>
        <w:t>.</w:t>
      </w:r>
      <w:r w:rsidRPr="00F90B6B">
        <w:rPr>
          <w:rFonts w:ascii="Times New Roman" w:hAnsi="Times New Roman"/>
          <w:sz w:val="28"/>
          <w:szCs w:val="28"/>
        </w:rPr>
        <w:t xml:space="preserve"> Eur. J. Heart Fail.</w:t>
      </w:r>
      <w:r w:rsidRPr="00F90B6B">
        <w:rPr>
          <w:rFonts w:ascii="Times New Roman" w:hAnsi="Times New Roman"/>
          <w:sz w:val="28"/>
          <w:szCs w:val="28"/>
          <w:lang w:val="en-US"/>
        </w:rPr>
        <w:t xml:space="preserve"> </w:t>
      </w:r>
      <w:r w:rsidRPr="00F90B6B">
        <w:rPr>
          <w:rFonts w:ascii="Times New Roman" w:hAnsi="Times New Roman"/>
          <w:sz w:val="28"/>
          <w:szCs w:val="28"/>
        </w:rPr>
        <w:t>2011</w:t>
      </w:r>
      <w:r w:rsidRPr="00F90B6B">
        <w:rPr>
          <w:rFonts w:ascii="Times New Roman" w:hAnsi="Times New Roman"/>
          <w:sz w:val="28"/>
          <w:szCs w:val="28"/>
          <w:lang w:val="en-US"/>
        </w:rPr>
        <w:t>;</w:t>
      </w:r>
      <w:r w:rsidRPr="00F90B6B">
        <w:rPr>
          <w:rFonts w:ascii="Times New Roman" w:hAnsi="Times New Roman"/>
          <w:sz w:val="28"/>
          <w:szCs w:val="28"/>
        </w:rPr>
        <w:t xml:space="preserve"> 13</w:t>
      </w:r>
      <w:r w:rsidRPr="00F90B6B">
        <w:rPr>
          <w:rFonts w:ascii="Times New Roman" w:hAnsi="Times New Roman"/>
          <w:sz w:val="28"/>
          <w:szCs w:val="28"/>
          <w:lang w:val="en-US"/>
        </w:rPr>
        <w:t>:</w:t>
      </w:r>
      <w:r w:rsidRPr="00F90B6B">
        <w:rPr>
          <w:rFonts w:ascii="Times New Roman" w:hAnsi="Times New Roman"/>
          <w:sz w:val="28"/>
          <w:szCs w:val="28"/>
        </w:rPr>
        <w:t xml:space="preserve"> 467–71.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Flather</w:t>
      </w:r>
      <w:r w:rsidRPr="00F90B6B">
        <w:rPr>
          <w:rFonts w:ascii="Times New Roman" w:hAnsi="Times New Roman"/>
          <w:sz w:val="28"/>
          <w:szCs w:val="28"/>
          <w:lang w:val="en-US"/>
        </w:rPr>
        <w:t xml:space="preserve"> </w:t>
      </w:r>
      <w:r w:rsidRPr="00F90B6B">
        <w:rPr>
          <w:rFonts w:ascii="Times New Roman" w:hAnsi="Times New Roman"/>
          <w:sz w:val="28"/>
          <w:szCs w:val="28"/>
        </w:rPr>
        <w:t>M</w:t>
      </w:r>
      <w:r w:rsidRPr="00F90B6B">
        <w:rPr>
          <w:rFonts w:ascii="Times New Roman" w:hAnsi="Times New Roman"/>
          <w:sz w:val="28"/>
          <w:szCs w:val="28"/>
          <w:lang w:val="en-US"/>
        </w:rPr>
        <w:t xml:space="preserve">. </w:t>
      </w:r>
      <w:r w:rsidRPr="00F90B6B">
        <w:rPr>
          <w:rFonts w:ascii="Times New Roman" w:hAnsi="Times New Roman"/>
          <w:sz w:val="28"/>
          <w:szCs w:val="28"/>
        </w:rPr>
        <w:t>D</w:t>
      </w:r>
      <w:r w:rsidRPr="00F90B6B">
        <w:rPr>
          <w:rFonts w:ascii="Times New Roman" w:hAnsi="Times New Roman"/>
          <w:sz w:val="28"/>
          <w:szCs w:val="28"/>
          <w:lang w:val="en-US"/>
        </w:rPr>
        <w:t>.</w:t>
      </w:r>
      <w:r w:rsidRPr="00F90B6B">
        <w:rPr>
          <w:rFonts w:ascii="Times New Roman" w:hAnsi="Times New Roman"/>
          <w:sz w:val="28"/>
          <w:szCs w:val="28"/>
        </w:rPr>
        <w:t>, Shibata</w:t>
      </w:r>
      <w:r w:rsidRPr="00F90B6B">
        <w:rPr>
          <w:rFonts w:ascii="Times New Roman" w:hAnsi="Times New Roman"/>
          <w:sz w:val="28"/>
          <w:szCs w:val="28"/>
          <w:lang w:val="en-US"/>
        </w:rPr>
        <w:t xml:space="preserve"> </w:t>
      </w:r>
      <w:r w:rsidRPr="00F90B6B">
        <w:rPr>
          <w:rFonts w:ascii="Times New Roman" w:hAnsi="Times New Roman"/>
          <w:sz w:val="28"/>
          <w:szCs w:val="28"/>
        </w:rPr>
        <w:t>M</w:t>
      </w:r>
      <w:r w:rsidRPr="00F90B6B">
        <w:rPr>
          <w:rFonts w:ascii="Times New Roman" w:hAnsi="Times New Roman"/>
          <w:sz w:val="28"/>
          <w:szCs w:val="28"/>
          <w:lang w:val="en-US"/>
        </w:rPr>
        <w:t xml:space="preserve">. </w:t>
      </w:r>
      <w:r w:rsidRPr="00F90B6B">
        <w:rPr>
          <w:rFonts w:ascii="Times New Roman" w:hAnsi="Times New Roman"/>
          <w:sz w:val="28"/>
          <w:szCs w:val="28"/>
        </w:rPr>
        <w:t>C</w:t>
      </w:r>
      <w:r w:rsidRPr="00F90B6B">
        <w:rPr>
          <w:rFonts w:ascii="Times New Roman" w:hAnsi="Times New Roman"/>
          <w:sz w:val="28"/>
          <w:szCs w:val="28"/>
          <w:lang w:val="en-US"/>
        </w:rPr>
        <w:t>.</w:t>
      </w:r>
      <w:r w:rsidRPr="00F90B6B">
        <w:rPr>
          <w:rFonts w:ascii="Times New Roman" w:hAnsi="Times New Roman"/>
          <w:sz w:val="28"/>
          <w:szCs w:val="28"/>
        </w:rPr>
        <w:t>, Coats</w:t>
      </w:r>
      <w:r w:rsidRPr="00F90B6B">
        <w:rPr>
          <w:rFonts w:ascii="Times New Roman" w:hAnsi="Times New Roman"/>
          <w:sz w:val="28"/>
          <w:szCs w:val="28"/>
          <w:lang w:val="en-US"/>
        </w:rPr>
        <w:t xml:space="preserve"> </w:t>
      </w:r>
      <w:r w:rsidRPr="00F90B6B">
        <w:rPr>
          <w:rFonts w:ascii="Times New Roman" w:hAnsi="Times New Roman"/>
          <w:sz w:val="28"/>
          <w:szCs w:val="28"/>
        </w:rPr>
        <w:t>A</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 xml:space="preserve">. </w:t>
      </w:r>
      <w:r w:rsidRPr="00F90B6B">
        <w:rPr>
          <w:rFonts w:ascii="Times New Roman" w:hAnsi="Times New Roman"/>
          <w:sz w:val="28"/>
          <w:szCs w:val="28"/>
        </w:rPr>
        <w:t>S</w:t>
      </w:r>
      <w:r w:rsidRPr="00F90B6B">
        <w:rPr>
          <w:rFonts w:ascii="Times New Roman" w:hAnsi="Times New Roman"/>
          <w:sz w:val="28"/>
          <w:szCs w:val="28"/>
          <w:lang w:val="en-US"/>
        </w:rPr>
        <w:t>.</w:t>
      </w:r>
      <w:r w:rsidRPr="00F90B6B">
        <w:rPr>
          <w:rFonts w:ascii="Times New Roman" w:hAnsi="Times New Roman"/>
          <w:sz w:val="28"/>
          <w:szCs w:val="28"/>
        </w:rPr>
        <w:t xml:space="preserve"> et al.</w:t>
      </w:r>
      <w:r w:rsidRPr="00F90B6B">
        <w:rPr>
          <w:rFonts w:ascii="Times New Roman" w:hAnsi="Times New Roman"/>
          <w:sz w:val="28"/>
          <w:szCs w:val="28"/>
          <w:lang w:val="en-US"/>
        </w:rPr>
        <w:t xml:space="preserve"> </w:t>
      </w:r>
      <w:r w:rsidRPr="00F90B6B">
        <w:rPr>
          <w:rFonts w:ascii="Times New Roman" w:hAnsi="Times New Roman"/>
          <w:sz w:val="28"/>
          <w:szCs w:val="28"/>
        </w:rPr>
        <w:t>SENIORS Investigators. Randomized trial to determine the effect of nebivolol on mortality and cardiovascular hospital admission in elderly patients with heart failure (SENIORS)</w:t>
      </w:r>
      <w:r w:rsidRPr="00F90B6B">
        <w:rPr>
          <w:rFonts w:ascii="Times New Roman" w:hAnsi="Times New Roman"/>
          <w:sz w:val="28"/>
          <w:szCs w:val="28"/>
          <w:lang w:val="en-US"/>
        </w:rPr>
        <w:t xml:space="preserve">. </w:t>
      </w:r>
      <w:r w:rsidRPr="00F90B6B">
        <w:rPr>
          <w:rFonts w:ascii="Times New Roman" w:hAnsi="Times New Roman"/>
          <w:sz w:val="28"/>
          <w:szCs w:val="28"/>
        </w:rPr>
        <w:t>Eur</w:t>
      </w:r>
      <w:r w:rsidRPr="00F90B6B">
        <w:rPr>
          <w:rFonts w:ascii="Times New Roman" w:hAnsi="Times New Roman"/>
          <w:sz w:val="28"/>
          <w:szCs w:val="28"/>
          <w:lang w:val="en-US"/>
        </w:rPr>
        <w:t>.</w:t>
      </w:r>
      <w:r w:rsidRPr="00F90B6B">
        <w:rPr>
          <w:rFonts w:ascii="Times New Roman" w:hAnsi="Times New Roman"/>
          <w:sz w:val="28"/>
          <w:szCs w:val="28"/>
        </w:rPr>
        <w:t xml:space="preserve"> Heart J</w:t>
      </w:r>
      <w:r w:rsidRPr="00F90B6B">
        <w:rPr>
          <w:rFonts w:ascii="Times New Roman" w:hAnsi="Times New Roman"/>
          <w:sz w:val="28"/>
          <w:szCs w:val="28"/>
          <w:lang w:val="en-US"/>
        </w:rPr>
        <w:t xml:space="preserve">. </w:t>
      </w:r>
      <w:r w:rsidRPr="00F90B6B">
        <w:rPr>
          <w:rFonts w:ascii="Times New Roman" w:hAnsi="Times New Roman"/>
          <w:sz w:val="28"/>
          <w:szCs w:val="28"/>
        </w:rPr>
        <w:t>2005</w:t>
      </w:r>
      <w:r w:rsidRPr="00F90B6B">
        <w:rPr>
          <w:rFonts w:ascii="Times New Roman" w:hAnsi="Times New Roman"/>
          <w:sz w:val="28"/>
          <w:szCs w:val="28"/>
          <w:lang w:val="en-US"/>
        </w:rPr>
        <w:t xml:space="preserve">; </w:t>
      </w:r>
      <w:r w:rsidRPr="00F90B6B">
        <w:rPr>
          <w:rFonts w:ascii="Times New Roman" w:hAnsi="Times New Roman"/>
          <w:sz w:val="28"/>
          <w:szCs w:val="28"/>
        </w:rPr>
        <w:t>26</w:t>
      </w:r>
      <w:r w:rsidRPr="00F90B6B">
        <w:rPr>
          <w:rFonts w:ascii="Times New Roman" w:hAnsi="Times New Roman"/>
          <w:sz w:val="28"/>
          <w:szCs w:val="28"/>
          <w:lang w:val="en-US"/>
        </w:rPr>
        <w:t xml:space="preserve">: </w:t>
      </w:r>
      <w:r w:rsidRPr="00F90B6B">
        <w:rPr>
          <w:rFonts w:ascii="Times New Roman" w:hAnsi="Times New Roman"/>
          <w:sz w:val="28"/>
          <w:szCs w:val="28"/>
        </w:rPr>
        <w:t>215–25.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eastAsia="uk-UA"/>
        </w:rPr>
      </w:pPr>
      <w:r w:rsidRPr="00F90B6B">
        <w:rPr>
          <w:rFonts w:ascii="Times New Roman" w:hAnsi="Times New Roman"/>
          <w:sz w:val="28"/>
          <w:szCs w:val="28"/>
          <w:lang w:eastAsia="uk-UA"/>
        </w:rPr>
        <w:t>Fonarow G</w:t>
      </w:r>
      <w:r w:rsidRPr="00F90B6B">
        <w:rPr>
          <w:rFonts w:ascii="Times New Roman" w:hAnsi="Times New Roman"/>
          <w:sz w:val="28"/>
          <w:szCs w:val="28"/>
          <w:lang w:val="en-US" w:eastAsia="uk-UA"/>
        </w:rPr>
        <w:t>.</w:t>
      </w:r>
      <w:r w:rsidRPr="00F90B6B">
        <w:rPr>
          <w:rFonts w:ascii="Times New Roman" w:hAnsi="Times New Roman"/>
          <w:sz w:val="28"/>
          <w:szCs w:val="28"/>
          <w:lang w:eastAsia="uk-UA"/>
        </w:rPr>
        <w:t>C</w:t>
      </w:r>
      <w:r w:rsidRPr="00F90B6B">
        <w:rPr>
          <w:rFonts w:ascii="Times New Roman" w:hAnsi="Times New Roman"/>
          <w:sz w:val="28"/>
          <w:szCs w:val="28"/>
          <w:lang w:val="en-US" w:eastAsia="uk-UA"/>
        </w:rPr>
        <w:t>.</w:t>
      </w:r>
      <w:r w:rsidRPr="00F90B6B">
        <w:rPr>
          <w:rFonts w:ascii="Times New Roman" w:hAnsi="Times New Roman"/>
          <w:sz w:val="28"/>
          <w:szCs w:val="28"/>
          <w:lang w:eastAsia="uk-UA"/>
        </w:rPr>
        <w:t>, Srikanthan P</w:t>
      </w:r>
      <w:r w:rsidRPr="00F90B6B">
        <w:rPr>
          <w:rFonts w:ascii="Times New Roman" w:hAnsi="Times New Roman"/>
          <w:sz w:val="28"/>
          <w:szCs w:val="28"/>
          <w:lang w:val="en-US" w:eastAsia="uk-UA"/>
        </w:rPr>
        <w:t>.</w:t>
      </w:r>
      <w:r w:rsidRPr="00F90B6B">
        <w:rPr>
          <w:rFonts w:ascii="Times New Roman" w:hAnsi="Times New Roman"/>
          <w:sz w:val="28"/>
          <w:szCs w:val="28"/>
          <w:lang w:eastAsia="uk-UA"/>
        </w:rPr>
        <w:t>, Costanzo M</w:t>
      </w:r>
      <w:r w:rsidRPr="00F90B6B">
        <w:rPr>
          <w:rFonts w:ascii="Times New Roman" w:hAnsi="Times New Roman"/>
          <w:sz w:val="28"/>
          <w:szCs w:val="28"/>
          <w:lang w:val="en-US" w:eastAsia="uk-UA"/>
        </w:rPr>
        <w:t>.</w:t>
      </w:r>
      <w:r w:rsidRPr="00F90B6B">
        <w:rPr>
          <w:rFonts w:ascii="Times New Roman" w:hAnsi="Times New Roman"/>
          <w:sz w:val="28"/>
          <w:szCs w:val="28"/>
          <w:lang w:eastAsia="uk-UA"/>
        </w:rPr>
        <w:t>R</w:t>
      </w:r>
      <w:r w:rsidRPr="00F90B6B">
        <w:rPr>
          <w:rFonts w:ascii="Times New Roman" w:hAnsi="Times New Roman"/>
          <w:sz w:val="28"/>
          <w:szCs w:val="28"/>
          <w:lang w:val="en-US" w:eastAsia="uk-UA"/>
        </w:rPr>
        <w:t>.</w:t>
      </w:r>
      <w:r w:rsidRPr="00F90B6B">
        <w:rPr>
          <w:rFonts w:ascii="Times New Roman" w:hAnsi="Times New Roman"/>
          <w:sz w:val="28"/>
          <w:szCs w:val="28"/>
          <w:lang w:eastAsia="uk-UA"/>
        </w:rPr>
        <w:t xml:space="preserve"> An obesity paradox in acute heart failure: analysis of body mass index and in hospital mortality for 108,927 patients in the Acute Decompensated Heart Failure. National Registry. 2007; 153</w:t>
      </w:r>
      <w:r w:rsidRPr="00F90B6B">
        <w:rPr>
          <w:rFonts w:ascii="Times New Roman" w:hAnsi="Times New Roman"/>
          <w:sz w:val="28"/>
          <w:szCs w:val="28"/>
          <w:lang w:val="en-US" w:eastAsia="uk-UA"/>
        </w:rPr>
        <w:t xml:space="preserve"> </w:t>
      </w:r>
      <w:r w:rsidRPr="00F90B6B">
        <w:rPr>
          <w:rFonts w:ascii="Times New Roman" w:hAnsi="Times New Roman"/>
          <w:sz w:val="28"/>
          <w:szCs w:val="28"/>
          <w:lang w:eastAsia="uk-UA"/>
        </w:rPr>
        <w:t>(1): 74-81.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Formiga F, Chivite D, Brasé A, et al. Clinical characteristics and prognosis in patients with a first acute heart failure hospitalization according to admission hyponatremia. Acta Clin Belg. 2018; 73(4): 281-286.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Freeman J. V., Reynolds K., Fang M. et al. Digoxin and risk of death in adults with atrial ﬁbrillation: the ATRIA-CVRN Study. Circ. Arrhythmia Electrophysiol. 2015; 8: 49–58</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Fu S, Zhao S, Ye P, Luo L. Biomarkers in Cardiorenal Syndromes. Biomed Res Int. 2018; 96: 63.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Fukushima A, Kinugawa S. Hyponatremia as a surrogate marker for optimal diuretic selection in acute heart failure. J Cardiol. 2018; 71(6): 547-549.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Fukuta H, Goto T, Wakami K, et al. Effects of mineralocorticoid receptor antagonists on left ventricular diastolic function, exercise capacity, and quality of life in heart failure with preserved ejection fraction: a meta-analysis of randomized controlled trials. Heart Vessels. 2018; 12: 79-1.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Gaggin</w:t>
      </w:r>
      <w:r w:rsidRPr="00F90B6B">
        <w:rPr>
          <w:rFonts w:ascii="Times New Roman" w:hAnsi="Times New Roman"/>
          <w:sz w:val="28"/>
          <w:szCs w:val="28"/>
          <w:lang w:val="en-US"/>
        </w:rPr>
        <w:t xml:space="preserve"> </w:t>
      </w:r>
      <w:r w:rsidRPr="00F90B6B">
        <w:rPr>
          <w:rFonts w:ascii="Times New Roman" w:hAnsi="Times New Roman"/>
          <w:sz w:val="28"/>
          <w:szCs w:val="28"/>
        </w:rPr>
        <w:t>H. K., Chen-Tournoux</w:t>
      </w:r>
      <w:r w:rsidRPr="00F90B6B">
        <w:rPr>
          <w:rFonts w:ascii="Times New Roman" w:hAnsi="Times New Roman"/>
          <w:sz w:val="28"/>
          <w:szCs w:val="28"/>
          <w:lang w:val="en-US"/>
        </w:rPr>
        <w:t xml:space="preserve"> </w:t>
      </w:r>
      <w:r w:rsidRPr="00F90B6B">
        <w:rPr>
          <w:rFonts w:ascii="Times New Roman" w:hAnsi="Times New Roman"/>
          <w:sz w:val="28"/>
          <w:szCs w:val="28"/>
        </w:rPr>
        <w:t>A. A., Christenson</w:t>
      </w:r>
      <w:r w:rsidRPr="00F90B6B">
        <w:rPr>
          <w:rFonts w:ascii="Times New Roman" w:hAnsi="Times New Roman"/>
          <w:sz w:val="28"/>
          <w:szCs w:val="28"/>
          <w:lang w:val="en-US"/>
        </w:rPr>
        <w:t xml:space="preserve"> </w:t>
      </w:r>
      <w:r w:rsidRPr="00F90B6B">
        <w:rPr>
          <w:rFonts w:ascii="Times New Roman" w:hAnsi="Times New Roman"/>
          <w:sz w:val="28"/>
          <w:szCs w:val="28"/>
        </w:rPr>
        <w:t>R. H. et al. ICON-RELOADED Investigators</w:t>
      </w:r>
      <w:r w:rsidRPr="00F90B6B">
        <w:rPr>
          <w:rFonts w:ascii="Times New Roman" w:hAnsi="Times New Roman"/>
          <w:sz w:val="28"/>
          <w:szCs w:val="28"/>
          <w:lang w:val="en-US"/>
        </w:rPr>
        <w:t>.</w:t>
      </w:r>
      <w:r w:rsidRPr="00F90B6B">
        <w:rPr>
          <w:rFonts w:ascii="Times New Roman" w:hAnsi="Times New Roman"/>
          <w:sz w:val="28"/>
          <w:szCs w:val="28"/>
        </w:rPr>
        <w:t xml:space="preserve"> Rationale and design of the ICON-RELOADED study: International </w:t>
      </w:r>
      <w:r w:rsidRPr="00F90B6B">
        <w:rPr>
          <w:rFonts w:ascii="Times New Roman" w:hAnsi="Times New Roman"/>
          <w:sz w:val="28"/>
          <w:szCs w:val="28"/>
        </w:rPr>
        <w:lastRenderedPageBreak/>
        <w:t>Collaborative of N-terminal pro-B-type Natriuretic Peptide Re-evaluation of Acute Diagnostic Cut-Offs in the Emergency Department</w:t>
      </w:r>
      <w:r w:rsidRPr="00F90B6B">
        <w:rPr>
          <w:rFonts w:ascii="Times New Roman" w:hAnsi="Times New Roman"/>
          <w:sz w:val="28"/>
          <w:szCs w:val="28"/>
          <w:lang w:val="en-US"/>
        </w:rPr>
        <w:t>.</w:t>
      </w:r>
      <w:r w:rsidRPr="00F90B6B">
        <w:rPr>
          <w:rFonts w:ascii="Times New Roman" w:hAnsi="Times New Roman"/>
          <w:sz w:val="28"/>
          <w:szCs w:val="28"/>
        </w:rPr>
        <w:t xml:space="preserve"> Am. Heart J. 2017</w:t>
      </w:r>
      <w:r w:rsidRPr="00F90B6B">
        <w:rPr>
          <w:rFonts w:ascii="Times New Roman" w:hAnsi="Times New Roman"/>
          <w:sz w:val="28"/>
          <w:szCs w:val="28"/>
          <w:lang w:val="en-US"/>
        </w:rPr>
        <w:t>;</w:t>
      </w:r>
      <w:r w:rsidRPr="00F90B6B">
        <w:rPr>
          <w:rFonts w:ascii="Times New Roman" w:hAnsi="Times New Roman"/>
          <w:sz w:val="28"/>
          <w:szCs w:val="28"/>
        </w:rPr>
        <w:t xml:space="preserve"> 192</w:t>
      </w:r>
      <w:r w:rsidRPr="00F90B6B">
        <w:rPr>
          <w:rFonts w:ascii="Times New Roman" w:hAnsi="Times New Roman"/>
          <w:sz w:val="28"/>
          <w:szCs w:val="28"/>
          <w:lang w:val="en-US"/>
        </w:rPr>
        <w:t>:</w:t>
      </w:r>
      <w:r w:rsidRPr="00F90B6B">
        <w:rPr>
          <w:rFonts w:ascii="Times New Roman" w:hAnsi="Times New Roman"/>
          <w:sz w:val="28"/>
          <w:szCs w:val="28"/>
        </w:rPr>
        <w:t xml:space="preserve"> 26-37.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Galinier M</w:t>
      </w:r>
      <w:r w:rsidRPr="00F90B6B">
        <w:rPr>
          <w:rFonts w:ascii="Times New Roman" w:hAnsi="Times New Roman"/>
          <w:sz w:val="28"/>
          <w:szCs w:val="28"/>
          <w:lang w:val="en-US"/>
        </w:rPr>
        <w:t>.</w:t>
      </w:r>
      <w:r w:rsidRPr="00F90B6B">
        <w:rPr>
          <w:rFonts w:ascii="Times New Roman" w:hAnsi="Times New Roman"/>
          <w:sz w:val="28"/>
          <w:szCs w:val="28"/>
        </w:rPr>
        <w:t>, Cariou E</w:t>
      </w:r>
      <w:r w:rsidRPr="00F90B6B">
        <w:rPr>
          <w:rFonts w:ascii="Times New Roman" w:hAnsi="Times New Roman"/>
          <w:sz w:val="28"/>
          <w:szCs w:val="28"/>
          <w:lang w:val="en-US"/>
        </w:rPr>
        <w:t>.</w:t>
      </w:r>
      <w:r w:rsidRPr="00F90B6B">
        <w:rPr>
          <w:rFonts w:ascii="Times New Roman" w:hAnsi="Times New Roman"/>
          <w:sz w:val="28"/>
          <w:szCs w:val="28"/>
        </w:rPr>
        <w:t>, Lairez O</w:t>
      </w:r>
      <w:r w:rsidRPr="00F90B6B">
        <w:rPr>
          <w:rFonts w:ascii="Times New Roman" w:hAnsi="Times New Roman"/>
          <w:sz w:val="28"/>
          <w:szCs w:val="28"/>
          <w:lang w:val="en-US"/>
        </w:rPr>
        <w:t xml:space="preserve">. et al. </w:t>
      </w:r>
      <w:r w:rsidRPr="00F90B6B">
        <w:rPr>
          <w:rFonts w:ascii="Times New Roman" w:hAnsi="Times New Roman"/>
          <w:sz w:val="28"/>
          <w:szCs w:val="28"/>
        </w:rPr>
        <w:t>Place of natriuretic peptides in the early diagnosis of heart failure in community medicine</w:t>
      </w:r>
      <w:r w:rsidRPr="00F90B6B">
        <w:rPr>
          <w:rFonts w:ascii="Times New Roman" w:hAnsi="Times New Roman"/>
          <w:sz w:val="28"/>
          <w:szCs w:val="28"/>
          <w:lang w:val="en-US"/>
        </w:rPr>
        <w:t>.</w:t>
      </w:r>
      <w:r w:rsidRPr="00F90B6B">
        <w:rPr>
          <w:rFonts w:ascii="Times New Roman" w:hAnsi="Times New Roman"/>
          <w:sz w:val="28"/>
          <w:szCs w:val="28"/>
        </w:rPr>
        <w:t xml:space="preserve"> J. Presse Med. 2018</w:t>
      </w:r>
      <w:r w:rsidRPr="00F90B6B">
        <w:rPr>
          <w:rFonts w:ascii="Times New Roman" w:hAnsi="Times New Roman"/>
          <w:sz w:val="28"/>
          <w:szCs w:val="28"/>
          <w:lang w:val="en-US"/>
        </w:rPr>
        <w:t>;</w:t>
      </w:r>
      <w:r w:rsidRPr="00F90B6B">
        <w:rPr>
          <w:rFonts w:ascii="Times New Roman" w:hAnsi="Times New Roman"/>
          <w:sz w:val="28"/>
          <w:szCs w:val="28"/>
        </w:rPr>
        <w:t xml:space="preserve"> 4</w:t>
      </w:r>
      <w:r w:rsidRPr="00F90B6B">
        <w:rPr>
          <w:rFonts w:ascii="Times New Roman" w:hAnsi="Times New Roman"/>
          <w:sz w:val="28"/>
          <w:szCs w:val="28"/>
          <w:lang w:val="en-US"/>
        </w:rPr>
        <w:t xml:space="preserve">: </w:t>
      </w:r>
      <w:r w:rsidRPr="00F90B6B">
        <w:rPr>
          <w:rFonts w:ascii="Times New Roman" w:hAnsi="Times New Roman"/>
          <w:sz w:val="28"/>
          <w:szCs w:val="28"/>
        </w:rPr>
        <w:t>30337-3.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Gankam Kengne F, Decaux G.</w:t>
      </w:r>
      <w:r w:rsidRPr="00F90B6B">
        <w:rPr>
          <w:rFonts w:ascii="Times New Roman" w:hAnsi="Times New Roman"/>
          <w:sz w:val="28"/>
          <w:szCs w:val="28"/>
        </w:rPr>
        <w:t xml:space="preserve"> </w:t>
      </w:r>
      <w:r w:rsidRPr="00F90B6B">
        <w:rPr>
          <w:rFonts w:ascii="Times New Roman" w:hAnsi="Times New Roman"/>
          <w:sz w:val="28"/>
          <w:szCs w:val="28"/>
          <w:lang w:val="en-US"/>
        </w:rPr>
        <w:t>Hyponatremia and the Brain.</w:t>
      </w:r>
      <w:r w:rsidRPr="00F90B6B">
        <w:rPr>
          <w:rFonts w:ascii="Times New Roman" w:hAnsi="Times New Roman"/>
          <w:sz w:val="28"/>
          <w:szCs w:val="28"/>
        </w:rPr>
        <w:t xml:space="preserve"> </w:t>
      </w:r>
      <w:r w:rsidRPr="00F90B6B">
        <w:rPr>
          <w:rFonts w:ascii="Times New Roman" w:hAnsi="Times New Roman"/>
          <w:sz w:val="28"/>
          <w:szCs w:val="28"/>
          <w:lang w:val="en-US"/>
        </w:rPr>
        <w:t>Kidney Int Rep. 2017;</w:t>
      </w:r>
      <w:r w:rsidRPr="00F90B6B">
        <w:rPr>
          <w:rFonts w:ascii="Times New Roman" w:hAnsi="Times New Roman"/>
          <w:sz w:val="28"/>
          <w:szCs w:val="28"/>
        </w:rPr>
        <w:t xml:space="preserve"> </w:t>
      </w:r>
      <w:r w:rsidRPr="00F90B6B">
        <w:rPr>
          <w:rFonts w:ascii="Times New Roman" w:hAnsi="Times New Roman"/>
          <w:sz w:val="28"/>
          <w:szCs w:val="28"/>
          <w:lang w:val="en-US"/>
        </w:rPr>
        <w:t>3(1):</w:t>
      </w:r>
      <w:r w:rsidRPr="00F90B6B">
        <w:rPr>
          <w:rFonts w:ascii="Times New Roman" w:hAnsi="Times New Roman"/>
          <w:sz w:val="28"/>
          <w:szCs w:val="28"/>
        </w:rPr>
        <w:t xml:space="preserve"> </w:t>
      </w:r>
      <w:r w:rsidRPr="00F90B6B">
        <w:rPr>
          <w:rFonts w:ascii="Times New Roman" w:hAnsi="Times New Roman"/>
          <w:sz w:val="28"/>
          <w:szCs w:val="28"/>
          <w:lang w:val="en-US"/>
        </w:rPr>
        <w:t>24-35.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Garg R., Yusuf S. Overview of randomized trials of angiotensin-converting enzyme inhibitors on mortality and morbidity in patients with heart failure</w:t>
      </w:r>
      <w:r w:rsidRPr="00F90B6B">
        <w:rPr>
          <w:rFonts w:ascii="Times New Roman" w:hAnsi="Times New Roman"/>
          <w:sz w:val="28"/>
          <w:szCs w:val="28"/>
          <w:lang w:val="en-US"/>
        </w:rPr>
        <w:t>.</w:t>
      </w:r>
      <w:r w:rsidRPr="00F90B6B">
        <w:rPr>
          <w:rFonts w:ascii="Times New Roman" w:hAnsi="Times New Roman"/>
          <w:sz w:val="28"/>
          <w:szCs w:val="28"/>
        </w:rPr>
        <w:t xml:space="preserve"> JAMA. 1995</w:t>
      </w:r>
      <w:r w:rsidRPr="00F90B6B">
        <w:rPr>
          <w:rFonts w:ascii="Times New Roman" w:hAnsi="Times New Roman"/>
          <w:sz w:val="28"/>
          <w:szCs w:val="28"/>
          <w:lang w:val="en-US"/>
        </w:rPr>
        <w:t>;</w:t>
      </w:r>
      <w:r w:rsidRPr="00F90B6B">
        <w:rPr>
          <w:rFonts w:ascii="Times New Roman" w:hAnsi="Times New Roman"/>
          <w:sz w:val="28"/>
          <w:szCs w:val="28"/>
        </w:rPr>
        <w:t xml:space="preserve"> 273</w:t>
      </w:r>
      <w:r w:rsidRPr="00F90B6B">
        <w:rPr>
          <w:rFonts w:ascii="Times New Roman" w:hAnsi="Times New Roman"/>
          <w:sz w:val="28"/>
          <w:szCs w:val="28"/>
          <w:lang w:val="en-US"/>
        </w:rPr>
        <w:t>:</w:t>
      </w:r>
      <w:r w:rsidRPr="00F90B6B">
        <w:rPr>
          <w:rFonts w:ascii="Times New Roman" w:hAnsi="Times New Roman"/>
          <w:sz w:val="28"/>
          <w:szCs w:val="28"/>
        </w:rPr>
        <w:t xml:space="preserve"> 1450–56.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Gassanov N., Semmo N., Semmo M. et al. Arginine vasopressin (AVP) and treatment with arginine vasopressin receptor antagonists(vaptans) in congestive heart failure, liver cirrhosis and syndrome of inappropriateantidiuretic hormone secretion(SIADH). Eur</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Clin</w:t>
      </w:r>
      <w:r w:rsidRPr="00F90B6B">
        <w:rPr>
          <w:rFonts w:ascii="Times New Roman" w:hAnsi="Times New Roman"/>
          <w:sz w:val="28"/>
          <w:szCs w:val="28"/>
          <w:lang w:val="en-US"/>
        </w:rPr>
        <w:t>.</w:t>
      </w:r>
      <w:r w:rsidRPr="00F90B6B">
        <w:rPr>
          <w:rFonts w:ascii="Times New Roman" w:hAnsi="Times New Roman"/>
          <w:sz w:val="28"/>
          <w:szCs w:val="28"/>
        </w:rPr>
        <w:t xml:space="preserve"> Pharmacol</w:t>
      </w:r>
      <w:r w:rsidRPr="00F90B6B">
        <w:rPr>
          <w:rFonts w:ascii="Times New Roman" w:hAnsi="Times New Roman"/>
          <w:sz w:val="28"/>
          <w:szCs w:val="28"/>
          <w:lang w:val="en-US"/>
        </w:rPr>
        <w:t>.</w:t>
      </w:r>
      <w:r w:rsidRPr="00F90B6B">
        <w:rPr>
          <w:rFonts w:ascii="Times New Roman" w:hAnsi="Times New Roman"/>
          <w:sz w:val="28"/>
          <w:szCs w:val="28"/>
        </w:rPr>
        <w:t xml:space="preserve"> 2011;</w:t>
      </w:r>
      <w:r w:rsidRPr="00F90B6B">
        <w:rPr>
          <w:rFonts w:ascii="Times New Roman" w:hAnsi="Times New Roman"/>
          <w:sz w:val="28"/>
          <w:szCs w:val="28"/>
          <w:lang w:val="en-US"/>
        </w:rPr>
        <w:t xml:space="preserve"> </w:t>
      </w:r>
      <w:r w:rsidRPr="00F90B6B">
        <w:rPr>
          <w:rFonts w:ascii="Times New Roman" w:hAnsi="Times New Roman"/>
          <w:sz w:val="28"/>
          <w:szCs w:val="28"/>
        </w:rPr>
        <w:t>67: 333-46.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Gerber Y., Weston S. A., Redﬁeld M. M. et al. A contemporary appraisal of the heart failure epidemic in Olmsted County, Minnesota, 2000 to 2010. JAMA Intern. Med. 2015; 175: 996–1004.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Gheorghiade M., Abraham W.T., Albert N.M. et al. OPTIMIZE-HF Investigators and Coordinators.</w:t>
      </w:r>
      <w:r w:rsidRPr="00F90B6B">
        <w:rPr>
          <w:rFonts w:ascii="Times New Roman" w:hAnsi="Times New Roman"/>
          <w:sz w:val="28"/>
          <w:szCs w:val="28"/>
          <w:lang w:val="en-US"/>
        </w:rPr>
        <w:t xml:space="preserve"> </w:t>
      </w:r>
      <w:r w:rsidRPr="00F90B6B">
        <w:rPr>
          <w:rFonts w:ascii="Times New Roman" w:hAnsi="Times New Roman"/>
          <w:sz w:val="28"/>
          <w:szCs w:val="28"/>
        </w:rPr>
        <w:t>Relationship between admission serum sodium concentration and clinical outcomes in patients hospitalized for heart failure: an analysis from the OPTIMIZE-HF registry. Eur</w:t>
      </w:r>
      <w:r w:rsidRPr="00F90B6B">
        <w:rPr>
          <w:rFonts w:ascii="Times New Roman" w:hAnsi="Times New Roman"/>
          <w:sz w:val="28"/>
          <w:szCs w:val="28"/>
          <w:lang w:val="en-US"/>
        </w:rPr>
        <w:t>.</w:t>
      </w:r>
      <w:r w:rsidRPr="00F90B6B">
        <w:rPr>
          <w:rFonts w:ascii="Times New Roman" w:hAnsi="Times New Roman"/>
          <w:sz w:val="28"/>
          <w:szCs w:val="28"/>
        </w:rPr>
        <w:t xml:space="preserve"> Heart J</w:t>
      </w:r>
      <w:r w:rsidRPr="00F90B6B">
        <w:rPr>
          <w:rFonts w:ascii="Times New Roman" w:hAnsi="Times New Roman"/>
          <w:sz w:val="28"/>
          <w:szCs w:val="28"/>
          <w:lang w:val="en-US"/>
        </w:rPr>
        <w:t>.</w:t>
      </w:r>
      <w:r w:rsidRPr="00F90B6B">
        <w:rPr>
          <w:rFonts w:ascii="Times New Roman" w:hAnsi="Times New Roman"/>
          <w:sz w:val="28"/>
          <w:szCs w:val="28"/>
        </w:rPr>
        <w:t xml:space="preserve"> 2007;</w:t>
      </w:r>
      <w:r w:rsidRPr="00F90B6B">
        <w:rPr>
          <w:rFonts w:ascii="Times New Roman" w:hAnsi="Times New Roman"/>
          <w:sz w:val="28"/>
          <w:szCs w:val="28"/>
          <w:lang w:val="en-US"/>
        </w:rPr>
        <w:t xml:space="preserve"> </w:t>
      </w:r>
      <w:r w:rsidRPr="00F90B6B">
        <w:rPr>
          <w:rFonts w:ascii="Times New Roman" w:hAnsi="Times New Roman"/>
          <w:sz w:val="28"/>
          <w:szCs w:val="28"/>
        </w:rPr>
        <w:t>28: 980-88.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Gheorghiade</w:t>
      </w:r>
      <w:r w:rsidRPr="00F90B6B">
        <w:rPr>
          <w:rFonts w:ascii="Times New Roman" w:hAnsi="Times New Roman"/>
          <w:sz w:val="28"/>
          <w:szCs w:val="28"/>
          <w:lang w:val="en-US"/>
        </w:rPr>
        <w:t xml:space="preserve"> M.</w:t>
      </w:r>
      <w:r w:rsidRPr="00F90B6B">
        <w:rPr>
          <w:rFonts w:ascii="Times New Roman" w:hAnsi="Times New Roman"/>
          <w:sz w:val="28"/>
          <w:szCs w:val="28"/>
        </w:rPr>
        <w:t>, Bohm</w:t>
      </w:r>
      <w:r w:rsidRPr="00F90B6B">
        <w:rPr>
          <w:rFonts w:ascii="Times New Roman" w:hAnsi="Times New Roman"/>
          <w:sz w:val="28"/>
          <w:szCs w:val="28"/>
          <w:lang w:val="en-US"/>
        </w:rPr>
        <w:t xml:space="preserve"> M.</w:t>
      </w:r>
      <w:r w:rsidRPr="00F90B6B">
        <w:rPr>
          <w:rFonts w:ascii="Times New Roman" w:hAnsi="Times New Roman"/>
          <w:sz w:val="28"/>
          <w:szCs w:val="28"/>
        </w:rPr>
        <w:t>, Greene</w:t>
      </w:r>
      <w:r w:rsidRPr="00F90B6B">
        <w:rPr>
          <w:rFonts w:ascii="Times New Roman" w:hAnsi="Times New Roman"/>
          <w:sz w:val="28"/>
          <w:szCs w:val="28"/>
          <w:lang w:val="en-US"/>
        </w:rPr>
        <w:t xml:space="preserve"> </w:t>
      </w:r>
      <w:r w:rsidRPr="00F90B6B">
        <w:rPr>
          <w:rFonts w:ascii="Times New Roman" w:hAnsi="Times New Roman"/>
          <w:sz w:val="28"/>
          <w:szCs w:val="28"/>
        </w:rPr>
        <w:t>S</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xml:space="preserve"> et al.</w:t>
      </w:r>
      <w:r w:rsidRPr="00F90B6B">
        <w:rPr>
          <w:rFonts w:ascii="Times New Roman" w:hAnsi="Times New Roman"/>
          <w:sz w:val="28"/>
          <w:szCs w:val="28"/>
          <w:lang w:val="en-US"/>
        </w:rPr>
        <w:t xml:space="preserve"> </w:t>
      </w:r>
      <w:r w:rsidRPr="00F90B6B">
        <w:rPr>
          <w:rFonts w:ascii="Times New Roman" w:hAnsi="Times New Roman"/>
          <w:sz w:val="28"/>
          <w:szCs w:val="28"/>
        </w:rPr>
        <w:t>ASTRONAUT Investigators and Coordinators. Effect of aliskiren on postdischarge mortality and heart failure readmissions among patients hospitalized for heart failure: the ASTRONAUT randomized trial</w:t>
      </w:r>
      <w:r w:rsidRPr="00F90B6B">
        <w:rPr>
          <w:rFonts w:ascii="Times New Roman" w:hAnsi="Times New Roman"/>
          <w:sz w:val="28"/>
          <w:szCs w:val="28"/>
          <w:lang w:val="en-US"/>
        </w:rPr>
        <w:t>.</w:t>
      </w:r>
      <w:r w:rsidRPr="00F90B6B">
        <w:rPr>
          <w:rFonts w:ascii="Times New Roman" w:hAnsi="Times New Roman"/>
          <w:sz w:val="28"/>
          <w:szCs w:val="28"/>
        </w:rPr>
        <w:t xml:space="preserve"> JAMA</w:t>
      </w:r>
      <w:r w:rsidRPr="00F90B6B">
        <w:rPr>
          <w:rFonts w:ascii="Times New Roman" w:hAnsi="Times New Roman"/>
          <w:sz w:val="28"/>
          <w:szCs w:val="28"/>
          <w:lang w:val="en-US"/>
        </w:rPr>
        <w:t>.</w:t>
      </w:r>
      <w:r w:rsidRPr="00F90B6B">
        <w:rPr>
          <w:rFonts w:ascii="Times New Roman" w:hAnsi="Times New Roman"/>
          <w:sz w:val="28"/>
          <w:szCs w:val="28"/>
        </w:rPr>
        <w:t xml:space="preserve"> 2013</w:t>
      </w:r>
      <w:r w:rsidRPr="00F90B6B">
        <w:rPr>
          <w:rFonts w:ascii="Times New Roman" w:hAnsi="Times New Roman"/>
          <w:sz w:val="28"/>
          <w:szCs w:val="28"/>
          <w:lang w:val="en-US"/>
        </w:rPr>
        <w:t xml:space="preserve">; </w:t>
      </w:r>
      <w:r w:rsidRPr="00F90B6B">
        <w:rPr>
          <w:rFonts w:ascii="Times New Roman" w:hAnsi="Times New Roman"/>
          <w:sz w:val="28"/>
          <w:szCs w:val="28"/>
        </w:rPr>
        <w:t>309</w:t>
      </w:r>
      <w:r w:rsidRPr="00F90B6B">
        <w:rPr>
          <w:rFonts w:ascii="Times New Roman" w:hAnsi="Times New Roman"/>
          <w:sz w:val="28"/>
          <w:szCs w:val="28"/>
          <w:lang w:val="en-US"/>
        </w:rPr>
        <w:t xml:space="preserve">: </w:t>
      </w:r>
      <w:r w:rsidRPr="00F90B6B">
        <w:rPr>
          <w:rFonts w:ascii="Times New Roman" w:hAnsi="Times New Roman"/>
          <w:sz w:val="28"/>
          <w:szCs w:val="28"/>
        </w:rPr>
        <w:t>1125–35.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Gheorghiade M., Gattis W.A., O'Connor C.M. et al. Acute and Chronic Therapeutic Impact of a Vasopressin Antagonist in Congestive Heart Failure(ACTIV in CHF) Investigators.</w:t>
      </w:r>
      <w:r w:rsidRPr="00F90B6B">
        <w:rPr>
          <w:rFonts w:ascii="Times New Roman" w:hAnsi="Times New Roman"/>
          <w:sz w:val="28"/>
          <w:szCs w:val="28"/>
          <w:lang w:val="en-US"/>
        </w:rPr>
        <w:t xml:space="preserve"> </w:t>
      </w:r>
      <w:r w:rsidRPr="00F90B6B">
        <w:rPr>
          <w:rFonts w:ascii="Times New Roman" w:hAnsi="Times New Roman"/>
          <w:sz w:val="28"/>
          <w:szCs w:val="28"/>
        </w:rPr>
        <w:t>Effects of tolvaptan, a vasopressin antagonist, in patients hospitalized with worsening heart failure: a randomized controlled trial. JAMA 2004;</w:t>
      </w:r>
      <w:r w:rsidRPr="00F90B6B">
        <w:rPr>
          <w:rFonts w:ascii="Times New Roman" w:hAnsi="Times New Roman"/>
          <w:sz w:val="28"/>
          <w:szCs w:val="28"/>
          <w:lang w:val="en-US"/>
        </w:rPr>
        <w:t xml:space="preserve"> </w:t>
      </w:r>
      <w:r w:rsidRPr="00F90B6B">
        <w:rPr>
          <w:rFonts w:ascii="Times New Roman" w:hAnsi="Times New Roman"/>
          <w:sz w:val="28"/>
          <w:szCs w:val="28"/>
        </w:rPr>
        <w:t>291: 1963-71.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lastRenderedPageBreak/>
        <w:t>Gheorghiade</w:t>
      </w:r>
      <w:r w:rsidRPr="00F90B6B">
        <w:rPr>
          <w:rFonts w:ascii="Times New Roman" w:hAnsi="Times New Roman"/>
          <w:sz w:val="28"/>
          <w:szCs w:val="28"/>
          <w:lang w:val="en-US"/>
        </w:rPr>
        <w:t xml:space="preserve"> </w:t>
      </w:r>
      <w:r w:rsidRPr="00F90B6B">
        <w:rPr>
          <w:rFonts w:ascii="Times New Roman" w:hAnsi="Times New Roman"/>
          <w:sz w:val="28"/>
          <w:szCs w:val="28"/>
        </w:rPr>
        <w:t>M., Konstam</w:t>
      </w:r>
      <w:r w:rsidRPr="00F90B6B">
        <w:rPr>
          <w:rFonts w:ascii="Times New Roman" w:hAnsi="Times New Roman"/>
          <w:sz w:val="28"/>
          <w:szCs w:val="28"/>
          <w:lang w:val="en-US"/>
        </w:rPr>
        <w:t xml:space="preserve"> </w:t>
      </w:r>
      <w:r w:rsidRPr="00F90B6B">
        <w:rPr>
          <w:rFonts w:ascii="Times New Roman" w:hAnsi="Times New Roman"/>
          <w:sz w:val="28"/>
          <w:szCs w:val="28"/>
        </w:rPr>
        <w:t>M. A., Burnett</w:t>
      </w:r>
      <w:r w:rsidRPr="00F90B6B">
        <w:rPr>
          <w:rFonts w:ascii="Times New Roman" w:hAnsi="Times New Roman"/>
          <w:sz w:val="28"/>
          <w:szCs w:val="28"/>
          <w:lang w:val="en-US"/>
        </w:rPr>
        <w:t xml:space="preserve"> </w:t>
      </w:r>
      <w:r w:rsidRPr="00F90B6B">
        <w:rPr>
          <w:rFonts w:ascii="Times New Roman" w:hAnsi="Times New Roman"/>
          <w:sz w:val="28"/>
          <w:szCs w:val="28"/>
        </w:rPr>
        <w:t>Jr J. C.</w:t>
      </w:r>
      <w:r w:rsidRPr="00F90B6B">
        <w:rPr>
          <w:rFonts w:ascii="Times New Roman" w:hAnsi="Times New Roman"/>
          <w:sz w:val="28"/>
          <w:szCs w:val="28"/>
          <w:lang w:val="en-US"/>
        </w:rPr>
        <w:t xml:space="preserve"> </w:t>
      </w:r>
      <w:r w:rsidRPr="00F90B6B">
        <w:rPr>
          <w:rFonts w:ascii="Times New Roman" w:hAnsi="Times New Roman"/>
          <w:sz w:val="28"/>
          <w:szCs w:val="28"/>
        </w:rPr>
        <w:t>et al.</w:t>
      </w:r>
      <w:r w:rsidRPr="00F90B6B">
        <w:rPr>
          <w:rFonts w:ascii="Times New Roman" w:hAnsi="Times New Roman"/>
          <w:sz w:val="28"/>
          <w:szCs w:val="28"/>
          <w:lang w:val="en-US"/>
        </w:rPr>
        <w:t xml:space="preserve"> </w:t>
      </w:r>
      <w:r w:rsidRPr="00F90B6B">
        <w:rPr>
          <w:rFonts w:ascii="Times New Roman" w:hAnsi="Times New Roman"/>
          <w:sz w:val="28"/>
          <w:szCs w:val="28"/>
        </w:rPr>
        <w:t>Short term clinical effects of tolvaptan, an oral vasopressin antagonist, in patients hospitalized for heart failure: the EVEREST clinical status trials</w:t>
      </w:r>
      <w:r w:rsidRPr="00F90B6B">
        <w:rPr>
          <w:rFonts w:ascii="Times New Roman" w:hAnsi="Times New Roman"/>
          <w:sz w:val="28"/>
          <w:szCs w:val="28"/>
          <w:lang w:val="en-US"/>
        </w:rPr>
        <w:t>.</w:t>
      </w:r>
      <w:r w:rsidRPr="00F90B6B">
        <w:rPr>
          <w:rFonts w:ascii="Times New Roman" w:hAnsi="Times New Roman"/>
          <w:sz w:val="28"/>
          <w:szCs w:val="28"/>
        </w:rPr>
        <w:t xml:space="preserve"> JAMA. 2007</w:t>
      </w:r>
      <w:r w:rsidRPr="00F90B6B">
        <w:rPr>
          <w:rFonts w:ascii="Times New Roman" w:hAnsi="Times New Roman"/>
          <w:sz w:val="28"/>
          <w:szCs w:val="28"/>
          <w:lang w:val="en-US"/>
        </w:rPr>
        <w:t>;</w:t>
      </w:r>
      <w:r w:rsidRPr="00F90B6B">
        <w:rPr>
          <w:rFonts w:ascii="Times New Roman" w:hAnsi="Times New Roman"/>
          <w:sz w:val="28"/>
          <w:szCs w:val="28"/>
        </w:rPr>
        <w:t xml:space="preserve"> 297</w:t>
      </w:r>
      <w:r w:rsidRPr="00F90B6B">
        <w:rPr>
          <w:rFonts w:ascii="Times New Roman" w:hAnsi="Times New Roman"/>
          <w:sz w:val="28"/>
          <w:szCs w:val="28"/>
          <w:lang w:val="en-US"/>
        </w:rPr>
        <w:t>:</w:t>
      </w:r>
      <w:r w:rsidRPr="00F90B6B">
        <w:rPr>
          <w:rFonts w:ascii="Times New Roman" w:hAnsi="Times New Roman"/>
          <w:sz w:val="28"/>
          <w:szCs w:val="28"/>
        </w:rPr>
        <w:t xml:space="preserve"> 1332-43.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Gheorghiade M., Niazi I., Ouyang J. et al. Tolvaptan Investigators. Vasopressin V2-receptor blockade with Tolvaptan in patients with chronic heart failure: results from a double-blind randomized trial. Circulation 2003;</w:t>
      </w:r>
      <w:r w:rsidRPr="00F90B6B">
        <w:rPr>
          <w:rFonts w:ascii="Times New Roman" w:hAnsi="Times New Roman"/>
          <w:sz w:val="28"/>
          <w:szCs w:val="28"/>
          <w:lang w:val="en-US"/>
        </w:rPr>
        <w:t xml:space="preserve"> </w:t>
      </w:r>
      <w:r w:rsidRPr="00F90B6B">
        <w:rPr>
          <w:rFonts w:ascii="Times New Roman" w:hAnsi="Times New Roman"/>
          <w:sz w:val="28"/>
          <w:szCs w:val="28"/>
        </w:rPr>
        <w:t>107: 2690-96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Gheorghiade M., Rossi J.S., Cotts W. et al. Characterization and Prognostic Value of Persistent Hyponatremia in Patients With Severe Heart Failure in the ESCAPE Trial. Arch</w:t>
      </w:r>
      <w:r w:rsidRPr="00F90B6B">
        <w:rPr>
          <w:rFonts w:ascii="Times New Roman" w:hAnsi="Times New Roman"/>
          <w:sz w:val="28"/>
          <w:szCs w:val="28"/>
          <w:lang w:val="en-US"/>
        </w:rPr>
        <w:t>.</w:t>
      </w:r>
      <w:r w:rsidRPr="00F90B6B">
        <w:rPr>
          <w:rFonts w:ascii="Times New Roman" w:hAnsi="Times New Roman"/>
          <w:sz w:val="28"/>
          <w:szCs w:val="28"/>
        </w:rPr>
        <w:t xml:space="preserve"> Intern</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w:t>
      </w:r>
      <w:r w:rsidRPr="00F90B6B">
        <w:rPr>
          <w:rFonts w:ascii="Times New Roman" w:hAnsi="Times New Roman"/>
          <w:sz w:val="28"/>
          <w:szCs w:val="28"/>
        </w:rPr>
        <w:t xml:space="preserve"> 2007;</w:t>
      </w:r>
      <w:r w:rsidRPr="00F90B6B">
        <w:rPr>
          <w:rFonts w:ascii="Times New Roman" w:hAnsi="Times New Roman"/>
          <w:sz w:val="28"/>
          <w:szCs w:val="28"/>
          <w:lang w:val="en-US"/>
        </w:rPr>
        <w:t xml:space="preserve"> </w:t>
      </w:r>
      <w:r w:rsidRPr="00F90B6B">
        <w:rPr>
          <w:rFonts w:ascii="Times New Roman" w:hAnsi="Times New Roman"/>
          <w:sz w:val="28"/>
          <w:szCs w:val="28"/>
        </w:rPr>
        <w:t>167: 1998-2005.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Givi M, Shafie D, Nouri F, et al. Survival rate and predictors of mortality in patients hospitalised with heart failure: a cohort study on the data of Persian registry of cardiovascular disease (PROVE). Postgrad Med J. 2018; 94(1112): 318-324.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Goldberg IJ, Reue K, Abumrad NA, et al. Deciphering the Role of Lipid Droplets in Cardiovascular Disease: A Report From the 2017 National Heart, Lung, and Blood Institute Workshop. Circulation. 2018; 138(3): 305-315.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Goldsmith S.R., Francis G.S., Cowley A.W. et al. Increased plasma arginine vasopressin levels in patients with congestive heart failure. J</w:t>
      </w:r>
      <w:r w:rsidRPr="00F90B6B">
        <w:rPr>
          <w:rFonts w:ascii="Times New Roman" w:hAnsi="Times New Roman"/>
          <w:sz w:val="28"/>
          <w:szCs w:val="28"/>
          <w:lang w:val="en-US"/>
        </w:rPr>
        <w:t>.</w:t>
      </w:r>
      <w:r w:rsidRPr="00F90B6B">
        <w:rPr>
          <w:rFonts w:ascii="Times New Roman" w:hAnsi="Times New Roman"/>
          <w:sz w:val="28"/>
          <w:szCs w:val="28"/>
        </w:rPr>
        <w:t xml:space="preserve"> Am</w:t>
      </w:r>
      <w:r w:rsidRPr="00F90B6B">
        <w:rPr>
          <w:rFonts w:ascii="Times New Roman" w:hAnsi="Times New Roman"/>
          <w:sz w:val="28"/>
          <w:szCs w:val="28"/>
          <w:lang w:val="en-US"/>
        </w:rPr>
        <w:t>.</w:t>
      </w:r>
      <w:r w:rsidRPr="00F90B6B">
        <w:rPr>
          <w:rFonts w:ascii="Times New Roman" w:hAnsi="Times New Roman"/>
          <w:sz w:val="28"/>
          <w:szCs w:val="28"/>
        </w:rPr>
        <w:t xml:space="preserve"> Coll</w:t>
      </w:r>
      <w:r w:rsidRPr="00F90B6B">
        <w:rPr>
          <w:rFonts w:ascii="Times New Roman" w:hAnsi="Times New Roman"/>
          <w:sz w:val="28"/>
          <w:szCs w:val="28"/>
          <w:lang w:val="en-US"/>
        </w:rPr>
        <w:t>.</w:t>
      </w:r>
      <w:r w:rsidRPr="00F90B6B">
        <w:rPr>
          <w:rFonts w:ascii="Times New Roman" w:hAnsi="Times New Roman"/>
          <w:sz w:val="28"/>
          <w:szCs w:val="28"/>
        </w:rPr>
        <w:t xml:space="preserve"> Cardiol</w:t>
      </w:r>
      <w:r w:rsidRPr="00F90B6B">
        <w:rPr>
          <w:rFonts w:ascii="Times New Roman" w:hAnsi="Times New Roman"/>
          <w:sz w:val="28"/>
          <w:szCs w:val="28"/>
          <w:lang w:val="en-US"/>
        </w:rPr>
        <w:t>.</w:t>
      </w:r>
      <w:r w:rsidRPr="00F90B6B">
        <w:rPr>
          <w:rFonts w:ascii="Times New Roman" w:hAnsi="Times New Roman"/>
          <w:sz w:val="28"/>
          <w:szCs w:val="28"/>
        </w:rPr>
        <w:t xml:space="preserve"> 1985;</w:t>
      </w:r>
      <w:r w:rsidRPr="00F90B6B">
        <w:rPr>
          <w:rFonts w:ascii="Times New Roman" w:hAnsi="Times New Roman"/>
          <w:sz w:val="28"/>
          <w:szCs w:val="28"/>
          <w:lang w:val="en-US"/>
        </w:rPr>
        <w:t xml:space="preserve"> </w:t>
      </w:r>
      <w:r w:rsidRPr="00F90B6B">
        <w:rPr>
          <w:rFonts w:ascii="Times New Roman" w:hAnsi="Times New Roman"/>
          <w:sz w:val="28"/>
          <w:szCs w:val="28"/>
        </w:rPr>
        <w:t>1: 1385.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Granger C. B., McMurray J. J. V., Yusuf S. et al. Effects of candesartan in patients with chronic heart failure and reduced left-ventricular systolic function intolerant to angiotensin-converting-enzyme inhibitors: the CHARM-Alternative trial. Lancet. 2003; 362: 772–76</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Greene S.J., Vaduganathan M., Lupi L. et al. Prognostic significance of serum total cholesterol and triglyceride levels in patients hospitalized for heart failure with reduced ejection fraction (from the EVEREST Trial). Am. J. Cardiol. 2013; 111 (4): 574-81</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Grodin JL. Hemodynamically, the kidney is at the heart of cardiorenal syndrome. Cleve Clin J Med. 2018; 85(3): 240-242.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Haehling S, Jankowska EA, van Veldhuisen DJ, et al. Iron deficiency and cardiovascular disease. Nat Rev Cardiol. 2015; 12(11): 659-69.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Hanatani A., Shibata A., Kitada R. et al. Administration of tolvaptan with reduction of loop diuretics ameliorates congestion with improving renal dysfunction in patients with congestive heart failure and renal dysfunction. Heart Vessels. 2017; 32 (3): 287-94</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Harada E, Mizuno Y, Kugimiya F, et al. Sex Differences in Heart Failure With Preserved Ejection Fraction Reflected by B-type Natriuretic Peptide Level. Am J Med Sci. 2018; 356(4): 335-343.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Hawkins R.C. Age and gender as risk factors for hyponatremia and hypernatremia. Clin</w:t>
      </w:r>
      <w:r w:rsidRPr="00F90B6B">
        <w:rPr>
          <w:rFonts w:ascii="Times New Roman" w:hAnsi="Times New Roman"/>
          <w:sz w:val="28"/>
          <w:szCs w:val="28"/>
          <w:lang w:val="en-US"/>
        </w:rPr>
        <w:t>.</w:t>
      </w:r>
      <w:r w:rsidRPr="00F90B6B">
        <w:rPr>
          <w:rFonts w:ascii="Times New Roman" w:hAnsi="Times New Roman"/>
          <w:sz w:val="28"/>
          <w:szCs w:val="28"/>
        </w:rPr>
        <w:t xml:space="preserve"> Chim</w:t>
      </w:r>
      <w:r w:rsidRPr="00F90B6B">
        <w:rPr>
          <w:rFonts w:ascii="Times New Roman" w:hAnsi="Times New Roman"/>
          <w:sz w:val="28"/>
          <w:szCs w:val="28"/>
          <w:lang w:val="en-US"/>
        </w:rPr>
        <w:t>.</w:t>
      </w:r>
      <w:r w:rsidRPr="00F90B6B">
        <w:rPr>
          <w:rFonts w:ascii="Times New Roman" w:hAnsi="Times New Roman"/>
          <w:sz w:val="28"/>
          <w:szCs w:val="28"/>
        </w:rPr>
        <w:t xml:space="preserve"> Acta</w:t>
      </w:r>
      <w:r w:rsidRPr="00F90B6B">
        <w:rPr>
          <w:rFonts w:ascii="Times New Roman" w:hAnsi="Times New Roman"/>
          <w:sz w:val="28"/>
          <w:szCs w:val="28"/>
          <w:lang w:val="en-US"/>
        </w:rPr>
        <w:t>.</w:t>
      </w:r>
      <w:r w:rsidRPr="00F90B6B">
        <w:rPr>
          <w:rFonts w:ascii="Times New Roman" w:hAnsi="Times New Roman"/>
          <w:sz w:val="28"/>
          <w:szCs w:val="28"/>
        </w:rPr>
        <w:t xml:space="preserve"> 2003;</w:t>
      </w:r>
      <w:r w:rsidRPr="00F90B6B">
        <w:rPr>
          <w:rFonts w:ascii="Times New Roman" w:hAnsi="Times New Roman"/>
          <w:sz w:val="28"/>
          <w:szCs w:val="28"/>
          <w:lang w:val="en-US"/>
        </w:rPr>
        <w:t xml:space="preserve"> </w:t>
      </w:r>
      <w:r w:rsidRPr="00F90B6B">
        <w:rPr>
          <w:rFonts w:ascii="Times New Roman" w:hAnsi="Times New Roman"/>
          <w:sz w:val="28"/>
          <w:szCs w:val="28"/>
        </w:rPr>
        <w:t>337: 169-72.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Haykowsky M</w:t>
      </w:r>
      <w:r w:rsidRPr="00F90B6B">
        <w:rPr>
          <w:rFonts w:ascii="Times New Roman" w:hAnsi="Times New Roman"/>
          <w:sz w:val="28"/>
          <w:szCs w:val="28"/>
          <w:lang w:val="en-US"/>
        </w:rPr>
        <w:t>.</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Nicklas B</w:t>
      </w:r>
      <w:r w:rsidRPr="00F90B6B">
        <w:rPr>
          <w:rFonts w:ascii="Times New Roman" w:hAnsi="Times New Roman"/>
          <w:sz w:val="28"/>
          <w:szCs w:val="28"/>
          <w:lang w:val="en-US"/>
        </w:rPr>
        <w:t>.</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Brubaker P</w:t>
      </w:r>
      <w:r w:rsidRPr="00F90B6B">
        <w:rPr>
          <w:rFonts w:ascii="Times New Roman" w:hAnsi="Times New Roman"/>
          <w:sz w:val="28"/>
          <w:szCs w:val="28"/>
          <w:lang w:val="en-US"/>
        </w:rPr>
        <w:t>.</w:t>
      </w:r>
      <w:r w:rsidRPr="00F90B6B">
        <w:rPr>
          <w:rFonts w:ascii="Times New Roman" w:hAnsi="Times New Roman"/>
          <w:sz w:val="28"/>
          <w:szCs w:val="28"/>
        </w:rPr>
        <w:t>H</w:t>
      </w:r>
      <w:r w:rsidRPr="00F90B6B">
        <w:rPr>
          <w:rFonts w:ascii="Times New Roman" w:hAnsi="Times New Roman"/>
          <w:sz w:val="28"/>
          <w:szCs w:val="28"/>
          <w:lang w:val="en-US"/>
        </w:rPr>
        <w:t xml:space="preserve">. et al. </w:t>
      </w:r>
      <w:r w:rsidRPr="00F90B6B">
        <w:rPr>
          <w:rFonts w:ascii="Times New Roman" w:hAnsi="Times New Roman"/>
          <w:sz w:val="28"/>
          <w:szCs w:val="28"/>
        </w:rPr>
        <w:t>Regional Adipose Distribution and its Relationship to Exercise Intolerance in Older Obese Patients Who Have Heart Failure With Preserved Ejection Fraction.</w:t>
      </w:r>
      <w:r w:rsidRPr="00F90B6B">
        <w:rPr>
          <w:rFonts w:ascii="Times New Roman" w:hAnsi="Times New Roman"/>
          <w:sz w:val="28"/>
          <w:szCs w:val="28"/>
          <w:lang w:val="en-US"/>
        </w:rPr>
        <w:t xml:space="preserve"> </w:t>
      </w:r>
      <w:r w:rsidRPr="00F90B6B">
        <w:rPr>
          <w:rFonts w:ascii="Times New Roman" w:hAnsi="Times New Roman"/>
          <w:sz w:val="28"/>
          <w:szCs w:val="28"/>
        </w:rPr>
        <w:t>JACC Heart Fail. 2018;</w:t>
      </w:r>
      <w:r w:rsidRPr="00F90B6B">
        <w:rPr>
          <w:rFonts w:ascii="Times New Roman" w:hAnsi="Times New Roman"/>
          <w:sz w:val="28"/>
          <w:szCs w:val="28"/>
          <w:lang w:val="en-US"/>
        </w:rPr>
        <w:t xml:space="preserve"> </w:t>
      </w:r>
      <w:r w:rsidRPr="00F90B6B">
        <w:rPr>
          <w:rFonts w:ascii="Times New Roman" w:hAnsi="Times New Roman"/>
          <w:sz w:val="28"/>
          <w:szCs w:val="28"/>
        </w:rPr>
        <w:t>6</w:t>
      </w:r>
      <w:r w:rsidRPr="00F90B6B">
        <w:rPr>
          <w:rFonts w:ascii="Times New Roman" w:hAnsi="Times New Roman"/>
          <w:sz w:val="28"/>
          <w:szCs w:val="28"/>
          <w:lang w:val="en-US"/>
        </w:rPr>
        <w:t xml:space="preserve"> </w:t>
      </w:r>
      <w:r w:rsidRPr="00F90B6B">
        <w:rPr>
          <w:rFonts w:ascii="Times New Roman" w:hAnsi="Times New Roman"/>
          <w:sz w:val="28"/>
          <w:szCs w:val="28"/>
        </w:rPr>
        <w:t>(8):</w:t>
      </w:r>
      <w:r w:rsidRPr="00F90B6B">
        <w:rPr>
          <w:rFonts w:ascii="Times New Roman" w:hAnsi="Times New Roman"/>
          <w:sz w:val="28"/>
          <w:szCs w:val="28"/>
          <w:lang w:val="en-US"/>
        </w:rPr>
        <w:t xml:space="preserve"> </w:t>
      </w:r>
      <w:r w:rsidRPr="00F90B6B">
        <w:rPr>
          <w:rFonts w:ascii="Times New Roman" w:hAnsi="Times New Roman"/>
          <w:sz w:val="28"/>
          <w:szCs w:val="28"/>
        </w:rPr>
        <w:t>640-49.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Hensrud D. D., Klein S. Extreme obesity: a new medical crisis in the United States. Mayo Clin</w:t>
      </w:r>
      <w:r w:rsidRPr="00F90B6B">
        <w:rPr>
          <w:rFonts w:ascii="Times New Roman" w:hAnsi="Times New Roman"/>
          <w:sz w:val="28"/>
          <w:szCs w:val="28"/>
          <w:lang w:val="en-US"/>
        </w:rPr>
        <w:t>.</w:t>
      </w:r>
      <w:r w:rsidRPr="00F90B6B">
        <w:rPr>
          <w:rFonts w:ascii="Times New Roman" w:hAnsi="Times New Roman"/>
          <w:sz w:val="28"/>
          <w:szCs w:val="28"/>
        </w:rPr>
        <w:t xml:space="preserve"> Proc</w:t>
      </w:r>
      <w:r w:rsidRPr="00F90B6B">
        <w:rPr>
          <w:rFonts w:ascii="Times New Roman" w:hAnsi="Times New Roman"/>
          <w:sz w:val="28"/>
          <w:szCs w:val="28"/>
          <w:lang w:val="en-US"/>
        </w:rPr>
        <w:t>.</w:t>
      </w:r>
      <w:r w:rsidRPr="00F90B6B">
        <w:rPr>
          <w:rFonts w:ascii="Times New Roman" w:hAnsi="Times New Roman"/>
          <w:sz w:val="28"/>
          <w:szCs w:val="28"/>
        </w:rPr>
        <w:t xml:space="preserve"> 2006; 81: 5-10.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 xml:space="preserve">Herrera-Gómez F, Monge-Donaire D, Ochoa-Sangrador C, </w:t>
      </w:r>
      <w:r w:rsidRPr="00F90B6B">
        <w:rPr>
          <w:rFonts w:ascii="Times New Roman" w:hAnsi="Times New Roman"/>
          <w:sz w:val="28"/>
          <w:szCs w:val="28"/>
          <w:lang w:val="en-US"/>
        </w:rPr>
        <w:t>et al.</w:t>
      </w:r>
      <w:r w:rsidRPr="00F90B6B">
        <w:rPr>
          <w:rFonts w:ascii="Times New Roman" w:hAnsi="Times New Roman"/>
          <w:sz w:val="28"/>
          <w:szCs w:val="28"/>
        </w:rPr>
        <w:t xml:space="preserve"> Correction of Hyponatremia May Be a Treatment Stratification Biomarker: A Two-Stage Systematic Review and Meta-Analysis. J Clin Med. 2018;</w:t>
      </w:r>
      <w:r w:rsidRPr="00F90B6B">
        <w:rPr>
          <w:rFonts w:ascii="Times New Roman" w:hAnsi="Times New Roman"/>
          <w:sz w:val="28"/>
          <w:szCs w:val="28"/>
          <w:lang w:val="en-US"/>
        </w:rPr>
        <w:t xml:space="preserve"> </w:t>
      </w:r>
      <w:r w:rsidRPr="00F90B6B">
        <w:rPr>
          <w:rFonts w:ascii="Times New Roman" w:hAnsi="Times New Roman"/>
          <w:sz w:val="28"/>
          <w:szCs w:val="28"/>
        </w:rPr>
        <w:t>7(9)</w:t>
      </w:r>
      <w:r w:rsidRPr="00F90B6B">
        <w:rPr>
          <w:rFonts w:ascii="Times New Roman" w:hAnsi="Times New Roman"/>
          <w:sz w:val="28"/>
          <w:szCs w:val="28"/>
          <w:lang w:val="en-US"/>
        </w:rPr>
        <w:t>:</w:t>
      </w:r>
      <w:r w:rsidRPr="00F90B6B">
        <w:rPr>
          <w:rFonts w:ascii="Times New Roman" w:hAnsi="Times New Roman"/>
          <w:sz w:val="28"/>
          <w:szCs w:val="28"/>
        </w:rPr>
        <w:t xml:space="preserve"> E262.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Hiki M, Kasai T, Yatsu S, et al. Relationship Between Serum Sodium Level Within the Low-Normal Range on Admission and Long-Term Clinical Outcomes in Patients with Acute Decompensated Heart Failure. Int Heart J. 2018; 59(5): 1052-1058.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Hjalmarson</w:t>
      </w:r>
      <w:r w:rsidRPr="00F90B6B">
        <w:rPr>
          <w:rFonts w:ascii="Times New Roman" w:hAnsi="Times New Roman"/>
          <w:sz w:val="28"/>
          <w:szCs w:val="28"/>
          <w:lang w:val="en-US"/>
        </w:rPr>
        <w:t xml:space="preserve"> </w:t>
      </w:r>
      <w:r w:rsidRPr="00F90B6B">
        <w:rPr>
          <w:rFonts w:ascii="Times New Roman" w:hAnsi="Times New Roman"/>
          <w:sz w:val="28"/>
          <w:szCs w:val="28"/>
        </w:rPr>
        <w:t>A., Goldstein</w:t>
      </w:r>
      <w:r w:rsidRPr="00F90B6B">
        <w:rPr>
          <w:rFonts w:ascii="Times New Roman" w:hAnsi="Times New Roman"/>
          <w:sz w:val="28"/>
          <w:szCs w:val="28"/>
          <w:lang w:val="en-US"/>
        </w:rPr>
        <w:t xml:space="preserve"> </w:t>
      </w:r>
      <w:r w:rsidRPr="00F90B6B">
        <w:rPr>
          <w:rFonts w:ascii="Times New Roman" w:hAnsi="Times New Roman"/>
          <w:sz w:val="28"/>
          <w:szCs w:val="28"/>
        </w:rPr>
        <w:t>S., Fagerberg</w:t>
      </w:r>
      <w:r w:rsidRPr="00F90B6B">
        <w:rPr>
          <w:rFonts w:ascii="Times New Roman" w:hAnsi="Times New Roman"/>
          <w:sz w:val="28"/>
          <w:szCs w:val="28"/>
          <w:lang w:val="en-US"/>
        </w:rPr>
        <w:t xml:space="preserve"> </w:t>
      </w:r>
      <w:r w:rsidRPr="00F90B6B">
        <w:rPr>
          <w:rFonts w:ascii="Times New Roman" w:hAnsi="Times New Roman"/>
          <w:sz w:val="28"/>
          <w:szCs w:val="28"/>
        </w:rPr>
        <w:t>B. et al.</w:t>
      </w:r>
      <w:r w:rsidRPr="00F90B6B">
        <w:rPr>
          <w:rFonts w:ascii="Times New Roman" w:hAnsi="Times New Roman"/>
          <w:sz w:val="28"/>
          <w:szCs w:val="28"/>
          <w:lang w:val="en-US"/>
        </w:rPr>
        <w:t xml:space="preserve"> </w:t>
      </w:r>
      <w:r w:rsidRPr="00F90B6B">
        <w:rPr>
          <w:rFonts w:ascii="Times New Roman" w:hAnsi="Times New Roman"/>
          <w:sz w:val="28"/>
          <w:szCs w:val="28"/>
        </w:rPr>
        <w:t>MERIT-HF Study Group. Effects of controlled-release metoprolol on total mortality, hospitalizations, and wellbeing in patients with heart failure: the Metoprolol CR/XL Randomized Intervention Trial in congestive Heart Failure (MERIT-HF)</w:t>
      </w:r>
      <w:r w:rsidRPr="00F90B6B">
        <w:rPr>
          <w:rFonts w:ascii="Times New Roman" w:hAnsi="Times New Roman"/>
          <w:sz w:val="28"/>
          <w:szCs w:val="28"/>
          <w:lang w:val="en-US"/>
        </w:rPr>
        <w:t>.</w:t>
      </w:r>
      <w:r w:rsidRPr="00F90B6B">
        <w:rPr>
          <w:rFonts w:ascii="Times New Roman" w:hAnsi="Times New Roman"/>
          <w:sz w:val="28"/>
          <w:szCs w:val="28"/>
        </w:rPr>
        <w:t xml:space="preserve"> JAMA. 2000</w:t>
      </w:r>
      <w:r w:rsidRPr="00F90B6B">
        <w:rPr>
          <w:rFonts w:ascii="Times New Roman" w:hAnsi="Times New Roman"/>
          <w:sz w:val="28"/>
          <w:szCs w:val="28"/>
          <w:lang w:val="en-US"/>
        </w:rPr>
        <w:t xml:space="preserve">; </w:t>
      </w:r>
      <w:r w:rsidRPr="00F90B6B">
        <w:rPr>
          <w:rFonts w:ascii="Times New Roman" w:hAnsi="Times New Roman"/>
          <w:sz w:val="28"/>
          <w:szCs w:val="28"/>
        </w:rPr>
        <w:t>283</w:t>
      </w:r>
      <w:r w:rsidRPr="00F90B6B">
        <w:rPr>
          <w:rFonts w:ascii="Times New Roman" w:hAnsi="Times New Roman"/>
          <w:sz w:val="28"/>
          <w:szCs w:val="28"/>
          <w:lang w:val="en-US"/>
        </w:rPr>
        <w:t>:</w:t>
      </w:r>
      <w:r w:rsidRPr="00F90B6B">
        <w:rPr>
          <w:rFonts w:ascii="Times New Roman" w:hAnsi="Times New Roman"/>
          <w:sz w:val="28"/>
          <w:szCs w:val="28"/>
        </w:rPr>
        <w:t xml:space="preserve"> 1295–1302.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Hossain MA, Amin A, Paul A, et al. Recognizing Obesity in Adult Hospitalized Patients: A Retrospective Cohort Study Assessing Rates of Documentation and Prevalence of Obesity. J Clin Med. 2018; 7(8): E203.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Imamura T, Kinugawa K. Prognostic Impacts of Hyponatremia, Renal Dysfunction, and High-Dose Diuretics During a 10-Year Study Period in 4,087 Japanese Heart Failure Patients. Int Heart J. 2016; 57(5): 657-8.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Iovino M, Iacoviello M, De Pergola G, et al. Vasopressin in Heart Failure. Endocr Metab Immune Disord Drug Targets. 2018; 18(5): 458-465.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Iwagaki H, Haruki N, Junichi N, et al. Hyponatremia after initiation of angiotensin-converting enzyme inhibitor in a geriatric patient with chronic heart failure: A case of mineralocorticoid-responsive hyponatremia of the elderly. Geriatr Gerontol Int. 2017; 17(5): 847-848.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Jankowska E. A., Kasztura M., Sokolski M. et al. Iron deﬁciency deﬁned as depleted iron stores accompanied by unmet cellular iron requirements identiﬁes patients at the highest risk of death after an episode of acute heart failure. Eur. Heart J. 2014; 35: 2468–76</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Jankowska E. A., von Haehling S., Anker S. D. et al. Iron deﬁciency and heart failure: diagnostic dilemmas and therapeutic perspectives. Eur. Heart J. 2013; 34: 816–26</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Kannel W.B., Belanger A.J. Epidemiology of heart failure. Am. Heart J. 1991; 121: 951-57</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Katsi V</w:t>
      </w:r>
      <w:r w:rsidRPr="00F90B6B">
        <w:rPr>
          <w:rFonts w:ascii="Times New Roman" w:hAnsi="Times New Roman"/>
          <w:sz w:val="28"/>
          <w:szCs w:val="28"/>
          <w:lang w:val="en-US"/>
        </w:rPr>
        <w:t>.</w:t>
      </w:r>
      <w:r w:rsidRPr="00F90B6B">
        <w:rPr>
          <w:rFonts w:ascii="Times New Roman" w:hAnsi="Times New Roman"/>
          <w:sz w:val="28"/>
          <w:szCs w:val="28"/>
        </w:rPr>
        <w:t>, Marketou M</w:t>
      </w:r>
      <w:r w:rsidRPr="00F90B6B">
        <w:rPr>
          <w:rFonts w:ascii="Times New Roman" w:hAnsi="Times New Roman"/>
          <w:sz w:val="28"/>
          <w:szCs w:val="28"/>
          <w:lang w:val="en-US"/>
        </w:rPr>
        <w:t>.</w:t>
      </w:r>
      <w:r w:rsidRPr="00F90B6B">
        <w:rPr>
          <w:rFonts w:ascii="Times New Roman" w:hAnsi="Times New Roman"/>
          <w:sz w:val="28"/>
          <w:szCs w:val="28"/>
        </w:rPr>
        <w:t>, Antonopoulos A</w:t>
      </w:r>
      <w:r w:rsidRPr="00F90B6B">
        <w:rPr>
          <w:rFonts w:ascii="Times New Roman" w:hAnsi="Times New Roman"/>
          <w:sz w:val="28"/>
          <w:szCs w:val="28"/>
          <w:lang w:val="en-US"/>
        </w:rPr>
        <w:t>.</w:t>
      </w:r>
      <w:r w:rsidRPr="00F90B6B">
        <w:rPr>
          <w:rFonts w:ascii="Times New Roman" w:hAnsi="Times New Roman"/>
          <w:sz w:val="28"/>
          <w:szCs w:val="28"/>
        </w:rPr>
        <w:t>S</w:t>
      </w:r>
      <w:r w:rsidRPr="00F90B6B">
        <w:rPr>
          <w:rFonts w:ascii="Times New Roman" w:hAnsi="Times New Roman"/>
          <w:sz w:val="28"/>
          <w:szCs w:val="28"/>
          <w:lang w:val="en-US"/>
        </w:rPr>
        <w:t>. et al.</w:t>
      </w:r>
      <w:r w:rsidRPr="00F90B6B">
        <w:rPr>
          <w:rFonts w:ascii="Times New Roman" w:hAnsi="Times New Roman"/>
          <w:sz w:val="28"/>
          <w:szCs w:val="28"/>
        </w:rPr>
        <w:t xml:space="preserve"> B-type natriuretic peptide levels and benign adiposity in obese heart failure patients. Heart Fail</w:t>
      </w:r>
      <w:r w:rsidRPr="00F90B6B">
        <w:rPr>
          <w:rFonts w:ascii="Times New Roman" w:hAnsi="Times New Roman"/>
          <w:sz w:val="28"/>
          <w:szCs w:val="28"/>
          <w:lang w:val="en-US"/>
        </w:rPr>
        <w:t>.</w:t>
      </w:r>
      <w:r w:rsidRPr="00F90B6B">
        <w:rPr>
          <w:rFonts w:ascii="Times New Roman" w:hAnsi="Times New Roman"/>
          <w:sz w:val="28"/>
          <w:szCs w:val="28"/>
        </w:rPr>
        <w:t xml:space="preserve"> Rev. 2018</w:t>
      </w:r>
      <w:r w:rsidRPr="00F90B6B">
        <w:rPr>
          <w:rFonts w:ascii="Times New Roman" w:hAnsi="Times New Roman"/>
          <w:sz w:val="28"/>
          <w:szCs w:val="28"/>
          <w:lang w:val="en-US"/>
        </w:rPr>
        <w:t>:</w:t>
      </w:r>
      <w:r w:rsidRPr="00F90B6B">
        <w:rPr>
          <w:rFonts w:ascii="Times New Roman" w:hAnsi="Times New Roman"/>
          <w:sz w:val="28"/>
          <w:szCs w:val="28"/>
        </w:rPr>
        <w:t xml:space="preserve"> 25:9739-3.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lang w:val="en-US"/>
        </w:rPr>
        <w:t>Kenchaiah S., Vasan R. S. Heart Failure in Women - Insights from the Framingham Heart Study. Cardiovasc. Drugs Ther. 2015; 29 (4): 377-90</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Kieback A</w:t>
      </w:r>
      <w:r w:rsidRPr="00F90B6B">
        <w:rPr>
          <w:rFonts w:ascii="Times New Roman" w:hAnsi="Times New Roman"/>
          <w:sz w:val="28"/>
          <w:szCs w:val="28"/>
          <w:lang w:val="en-US"/>
        </w:rPr>
        <w:t xml:space="preserve">. </w:t>
      </w:r>
      <w:r w:rsidRPr="00F90B6B">
        <w:rPr>
          <w:rFonts w:ascii="Times New Roman" w:hAnsi="Times New Roman"/>
          <w:sz w:val="28"/>
          <w:szCs w:val="28"/>
        </w:rPr>
        <w:t>G</w:t>
      </w:r>
      <w:r w:rsidRPr="00F90B6B">
        <w:rPr>
          <w:rFonts w:ascii="Times New Roman" w:hAnsi="Times New Roman"/>
          <w:sz w:val="28"/>
          <w:szCs w:val="28"/>
          <w:lang w:val="en-US"/>
        </w:rPr>
        <w:t xml:space="preserve">., </w:t>
      </w:r>
      <w:r w:rsidRPr="00F90B6B">
        <w:rPr>
          <w:rFonts w:ascii="Times New Roman" w:hAnsi="Times New Roman"/>
          <w:sz w:val="28"/>
          <w:szCs w:val="28"/>
        </w:rPr>
        <w:t>Felix,</w:t>
      </w:r>
      <w:r w:rsidRPr="00F90B6B">
        <w:rPr>
          <w:rFonts w:ascii="Times New Roman" w:hAnsi="Times New Roman"/>
          <w:sz w:val="28"/>
          <w:szCs w:val="28"/>
          <w:lang w:val="en-US"/>
        </w:rPr>
        <w:t xml:space="preserve"> </w:t>
      </w:r>
      <w:r w:rsidRPr="00F90B6B">
        <w:rPr>
          <w:rFonts w:ascii="Times New Roman" w:hAnsi="Times New Roman"/>
          <w:sz w:val="28"/>
          <w:szCs w:val="28"/>
        </w:rPr>
        <w:t>S</w:t>
      </w:r>
      <w:r w:rsidRPr="00F90B6B">
        <w:rPr>
          <w:rFonts w:ascii="Times New Roman" w:hAnsi="Times New Roman"/>
          <w:sz w:val="28"/>
          <w:szCs w:val="28"/>
          <w:lang w:val="en-US"/>
        </w:rPr>
        <w:t xml:space="preserve">. </w:t>
      </w:r>
      <w:r w:rsidRPr="00F90B6B">
        <w:rPr>
          <w:rFonts w:ascii="Times New Roman" w:hAnsi="Times New Roman"/>
          <w:sz w:val="28"/>
          <w:szCs w:val="28"/>
        </w:rPr>
        <w:t>B</w:t>
      </w:r>
      <w:r w:rsidRPr="00F90B6B">
        <w:rPr>
          <w:rFonts w:ascii="Times New Roman" w:hAnsi="Times New Roman"/>
          <w:sz w:val="28"/>
          <w:szCs w:val="28"/>
          <w:lang w:val="en-US"/>
        </w:rPr>
        <w:t>.,</w:t>
      </w:r>
      <w:r w:rsidRPr="00F90B6B">
        <w:rPr>
          <w:rFonts w:ascii="Times New Roman" w:hAnsi="Times New Roman"/>
          <w:sz w:val="28"/>
          <w:szCs w:val="28"/>
        </w:rPr>
        <w:t xml:space="preserve"> Reffelmann T. Quinaprilat: a review of its pharmacokinetics, pharmacodynamics, toxicological data and clinical application</w:t>
      </w:r>
      <w:r w:rsidRPr="00F90B6B">
        <w:rPr>
          <w:rFonts w:ascii="Times New Roman" w:hAnsi="Times New Roman"/>
          <w:sz w:val="28"/>
          <w:szCs w:val="28"/>
          <w:lang w:val="en-US"/>
        </w:rPr>
        <w:t xml:space="preserve">. </w:t>
      </w:r>
      <w:r w:rsidRPr="00F90B6B">
        <w:rPr>
          <w:rFonts w:ascii="Times New Roman" w:hAnsi="Times New Roman"/>
          <w:sz w:val="28"/>
          <w:szCs w:val="28"/>
        </w:rPr>
        <w:t>Expert Opin</w:t>
      </w:r>
      <w:r w:rsidRPr="00F90B6B">
        <w:rPr>
          <w:rFonts w:ascii="Times New Roman" w:hAnsi="Times New Roman"/>
          <w:sz w:val="28"/>
          <w:szCs w:val="28"/>
          <w:lang w:val="en-US"/>
        </w:rPr>
        <w:t>.</w:t>
      </w:r>
      <w:r w:rsidRPr="00F90B6B">
        <w:rPr>
          <w:rFonts w:ascii="Times New Roman" w:hAnsi="Times New Roman"/>
          <w:sz w:val="28"/>
          <w:szCs w:val="28"/>
        </w:rPr>
        <w:t xml:space="preserve"> Drug Metab</w:t>
      </w:r>
      <w:r w:rsidRPr="00F90B6B">
        <w:rPr>
          <w:rFonts w:ascii="Times New Roman" w:hAnsi="Times New Roman"/>
          <w:sz w:val="28"/>
          <w:szCs w:val="28"/>
          <w:lang w:val="en-US"/>
        </w:rPr>
        <w:t>.</w:t>
      </w:r>
      <w:r w:rsidRPr="00F90B6B">
        <w:rPr>
          <w:rFonts w:ascii="Times New Roman" w:hAnsi="Times New Roman"/>
          <w:sz w:val="28"/>
          <w:szCs w:val="28"/>
        </w:rPr>
        <w:t xml:space="preserve"> Toxicol.</w:t>
      </w:r>
      <w:r w:rsidRPr="00F90B6B">
        <w:rPr>
          <w:rFonts w:ascii="Times New Roman" w:hAnsi="Times New Roman"/>
          <w:sz w:val="28"/>
          <w:szCs w:val="28"/>
          <w:lang w:val="en-US"/>
        </w:rPr>
        <w:t xml:space="preserve"> </w:t>
      </w:r>
      <w:r w:rsidRPr="00F90B6B">
        <w:rPr>
          <w:rFonts w:ascii="Times New Roman" w:hAnsi="Times New Roman"/>
          <w:sz w:val="28"/>
          <w:szCs w:val="28"/>
        </w:rPr>
        <w:t>2009</w:t>
      </w:r>
      <w:r w:rsidRPr="00F90B6B">
        <w:rPr>
          <w:rFonts w:ascii="Times New Roman" w:hAnsi="Times New Roman"/>
          <w:sz w:val="28"/>
          <w:szCs w:val="28"/>
          <w:lang w:val="en-US"/>
        </w:rPr>
        <w:t xml:space="preserve">; </w:t>
      </w:r>
      <w:r w:rsidRPr="00F90B6B">
        <w:rPr>
          <w:rFonts w:ascii="Times New Roman" w:hAnsi="Times New Roman"/>
          <w:sz w:val="28"/>
          <w:szCs w:val="28"/>
        </w:rPr>
        <w:t>5</w:t>
      </w:r>
      <w:r w:rsidRPr="00F90B6B">
        <w:rPr>
          <w:rFonts w:ascii="Times New Roman" w:hAnsi="Times New Roman"/>
          <w:sz w:val="28"/>
          <w:szCs w:val="28"/>
          <w:lang w:val="en-US"/>
        </w:rPr>
        <w:t xml:space="preserve"> </w:t>
      </w:r>
      <w:r w:rsidRPr="00F90B6B">
        <w:rPr>
          <w:rFonts w:ascii="Times New Roman" w:hAnsi="Times New Roman"/>
          <w:sz w:val="28"/>
          <w:szCs w:val="28"/>
        </w:rPr>
        <w:t>(10)</w:t>
      </w:r>
      <w:r w:rsidRPr="00F90B6B">
        <w:rPr>
          <w:rFonts w:ascii="Times New Roman" w:hAnsi="Times New Roman"/>
          <w:sz w:val="28"/>
          <w:szCs w:val="28"/>
          <w:lang w:val="en-US"/>
        </w:rPr>
        <w:t xml:space="preserve">: </w:t>
      </w:r>
      <w:r w:rsidRPr="00F90B6B">
        <w:rPr>
          <w:rFonts w:ascii="Times New Roman" w:hAnsi="Times New Roman"/>
          <w:sz w:val="28"/>
          <w:szCs w:val="28"/>
        </w:rPr>
        <w:t>1337-47.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ru-RU"/>
        </w:rPr>
      </w:pPr>
      <w:r w:rsidRPr="00F90B6B">
        <w:rPr>
          <w:rFonts w:ascii="Times New Roman" w:hAnsi="Times New Roman"/>
          <w:sz w:val="28"/>
          <w:szCs w:val="28"/>
          <w:lang w:val="en-US"/>
        </w:rPr>
        <w:t xml:space="preserve">Kim H, Jun DW, Cho YK, et al. The correlation of left atrial volume index to the level of N-Terminal pro-BNP in heart failure with a preserved ejection fraction. </w:t>
      </w:r>
      <w:r w:rsidRPr="00F90B6B">
        <w:rPr>
          <w:rFonts w:ascii="Times New Roman" w:hAnsi="Times New Roman"/>
          <w:sz w:val="28"/>
          <w:szCs w:val="28"/>
          <w:lang w:val="ru-RU"/>
        </w:rPr>
        <w:t>Echocardiography 2008; 25:961–7.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Kobak KA, Radwańska M, Dzięgała M, et al. Structural and functional abnormalities in iron-depleted heart. Heart Fail Rev. 2018; 3: 38-4.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Kondo T, Yamada T, Tamaki S, et al. Serial Change in Serum Chloride During Hospitalization Could Predict Heart Failure Death in Acute Decompensated Heart Failure Patients. Circ J. 2018; 82(4): 1041-1050.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lastRenderedPageBreak/>
        <w:t>Konstam M., Gheorghiade M., Burnett J. et al. Effects of Oral Tolvaptan in Patients Hospitalized for Worsening Heart Failure: The EVEREST Outcome Trial. JAMA 2007;</w:t>
      </w:r>
      <w:r w:rsidRPr="00F90B6B">
        <w:rPr>
          <w:rFonts w:ascii="Times New Roman" w:hAnsi="Times New Roman"/>
          <w:sz w:val="28"/>
          <w:szCs w:val="28"/>
          <w:lang w:val="en-US"/>
        </w:rPr>
        <w:t xml:space="preserve"> </w:t>
      </w:r>
      <w:r w:rsidRPr="00F90B6B">
        <w:rPr>
          <w:rFonts w:ascii="Times New Roman" w:hAnsi="Times New Roman"/>
          <w:sz w:val="28"/>
          <w:szCs w:val="28"/>
        </w:rPr>
        <w:t>297: 1319-31.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Król B</w:t>
      </w:r>
      <w:r w:rsidRPr="00F90B6B">
        <w:rPr>
          <w:rFonts w:ascii="Times New Roman" w:hAnsi="Times New Roman"/>
          <w:sz w:val="28"/>
          <w:szCs w:val="28"/>
          <w:lang w:val="en-US"/>
        </w:rPr>
        <w:t>.</w:t>
      </w:r>
      <w:r w:rsidRPr="00F90B6B">
        <w:rPr>
          <w:rFonts w:ascii="Times New Roman" w:hAnsi="Times New Roman"/>
          <w:sz w:val="28"/>
          <w:szCs w:val="28"/>
        </w:rPr>
        <w:t>, Oprzędkiewicz A</w:t>
      </w:r>
      <w:r w:rsidRPr="00F90B6B">
        <w:rPr>
          <w:rFonts w:ascii="Times New Roman" w:hAnsi="Times New Roman"/>
          <w:sz w:val="28"/>
          <w:szCs w:val="28"/>
          <w:lang w:val="en-US"/>
        </w:rPr>
        <w:t>.</w:t>
      </w:r>
      <w:r w:rsidRPr="00F90B6B">
        <w:rPr>
          <w:rFonts w:ascii="Times New Roman" w:hAnsi="Times New Roman"/>
          <w:sz w:val="28"/>
          <w:szCs w:val="28"/>
        </w:rPr>
        <w:t>, Szczurek W</w:t>
      </w:r>
      <w:r w:rsidRPr="00F90B6B">
        <w:rPr>
          <w:rFonts w:ascii="Times New Roman" w:hAnsi="Times New Roman"/>
          <w:sz w:val="28"/>
          <w:szCs w:val="28"/>
          <w:lang w:val="en-US"/>
        </w:rPr>
        <w:t>.</w:t>
      </w:r>
      <w:r w:rsidRPr="00F90B6B">
        <w:rPr>
          <w:rFonts w:ascii="Times New Roman" w:hAnsi="Times New Roman"/>
          <w:sz w:val="28"/>
          <w:szCs w:val="28"/>
        </w:rPr>
        <w:t>, Szyguła-Jurkiewicz B.</w:t>
      </w:r>
      <w:r w:rsidRPr="00F90B6B">
        <w:rPr>
          <w:rFonts w:ascii="Times New Roman" w:hAnsi="Times New Roman"/>
          <w:sz w:val="28"/>
          <w:szCs w:val="28"/>
          <w:lang w:val="en-US"/>
        </w:rPr>
        <w:t xml:space="preserve"> </w:t>
      </w:r>
      <w:r w:rsidRPr="00F90B6B">
        <w:rPr>
          <w:rFonts w:ascii="Times New Roman" w:hAnsi="Times New Roman"/>
          <w:sz w:val="28"/>
          <w:szCs w:val="28"/>
        </w:rPr>
        <w:t>Obesity in patients with end-stage heart failure. Kardiochir</w:t>
      </w:r>
      <w:r w:rsidRPr="00F90B6B">
        <w:rPr>
          <w:rFonts w:ascii="Times New Roman" w:hAnsi="Times New Roman"/>
          <w:sz w:val="28"/>
          <w:szCs w:val="28"/>
          <w:lang w:val="en-US"/>
        </w:rPr>
        <w:t>.</w:t>
      </w:r>
      <w:r w:rsidRPr="00F90B6B">
        <w:rPr>
          <w:rFonts w:ascii="Times New Roman" w:hAnsi="Times New Roman"/>
          <w:sz w:val="28"/>
          <w:szCs w:val="28"/>
        </w:rPr>
        <w:t xml:space="preserve"> Torakochirurgia Pol. 2018</w:t>
      </w:r>
      <w:r w:rsidRPr="00F90B6B">
        <w:rPr>
          <w:rFonts w:ascii="Times New Roman" w:hAnsi="Times New Roman"/>
          <w:sz w:val="28"/>
          <w:szCs w:val="28"/>
          <w:lang w:val="en-US"/>
        </w:rPr>
        <w:t>;</w:t>
      </w:r>
      <w:r w:rsidRPr="00F90B6B">
        <w:rPr>
          <w:rFonts w:ascii="Times New Roman" w:hAnsi="Times New Roman"/>
          <w:sz w:val="28"/>
          <w:szCs w:val="28"/>
        </w:rPr>
        <w:t xml:space="preserve"> 15</w:t>
      </w:r>
      <w:r w:rsidRPr="00F90B6B">
        <w:rPr>
          <w:rFonts w:ascii="Times New Roman" w:hAnsi="Times New Roman"/>
          <w:sz w:val="28"/>
          <w:szCs w:val="28"/>
          <w:lang w:val="en-US"/>
        </w:rPr>
        <w:t xml:space="preserve"> </w:t>
      </w:r>
      <w:r w:rsidRPr="00F90B6B">
        <w:rPr>
          <w:rFonts w:ascii="Times New Roman" w:hAnsi="Times New Roman"/>
          <w:sz w:val="28"/>
          <w:szCs w:val="28"/>
        </w:rPr>
        <w:t>(3):176-79.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Lam C. S. P.</w:t>
      </w:r>
      <w:r w:rsidRPr="00F90B6B">
        <w:rPr>
          <w:rFonts w:ascii="Times New Roman" w:hAnsi="Times New Roman"/>
          <w:sz w:val="28"/>
          <w:szCs w:val="28"/>
          <w:lang w:val="en-US"/>
        </w:rPr>
        <w:t xml:space="preserve">, </w:t>
      </w:r>
      <w:r w:rsidRPr="00F90B6B">
        <w:rPr>
          <w:rFonts w:ascii="Times New Roman" w:hAnsi="Times New Roman"/>
          <w:sz w:val="28"/>
          <w:szCs w:val="28"/>
        </w:rPr>
        <w:t>Solomon S. D. The middle child in heart failure: heart failure with midrange ejection fraction (40–50%)</w:t>
      </w:r>
      <w:r w:rsidRPr="00F90B6B">
        <w:rPr>
          <w:rFonts w:ascii="Times New Roman" w:hAnsi="Times New Roman"/>
          <w:sz w:val="28"/>
          <w:szCs w:val="28"/>
          <w:lang w:val="en-US"/>
        </w:rPr>
        <w:t>.</w:t>
      </w:r>
      <w:r w:rsidRPr="00F90B6B">
        <w:rPr>
          <w:rFonts w:ascii="Times New Roman" w:hAnsi="Times New Roman"/>
          <w:sz w:val="28"/>
          <w:szCs w:val="28"/>
        </w:rPr>
        <w:t xml:space="preserve"> Eur. J. Heart Fail. 2014</w:t>
      </w:r>
      <w:r w:rsidRPr="00F90B6B">
        <w:rPr>
          <w:rFonts w:ascii="Times New Roman" w:hAnsi="Times New Roman"/>
          <w:sz w:val="28"/>
          <w:szCs w:val="28"/>
          <w:lang w:val="en-US"/>
        </w:rPr>
        <w:t>;</w:t>
      </w:r>
      <w:r w:rsidRPr="00F90B6B">
        <w:rPr>
          <w:rFonts w:ascii="Times New Roman" w:hAnsi="Times New Roman"/>
          <w:sz w:val="28"/>
          <w:szCs w:val="28"/>
        </w:rPr>
        <w:t xml:space="preserve"> 16</w:t>
      </w:r>
      <w:r w:rsidRPr="00F90B6B">
        <w:rPr>
          <w:rFonts w:ascii="Times New Roman" w:hAnsi="Times New Roman"/>
          <w:sz w:val="28"/>
          <w:szCs w:val="28"/>
          <w:lang w:val="en-US"/>
        </w:rPr>
        <w:t>:</w:t>
      </w:r>
      <w:r w:rsidRPr="00F90B6B">
        <w:rPr>
          <w:rFonts w:ascii="Times New Roman" w:hAnsi="Times New Roman"/>
          <w:sz w:val="28"/>
          <w:szCs w:val="28"/>
        </w:rPr>
        <w:t xml:space="preserve"> 1049–55.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Lee H, Lee SE, Park CS, et al. Hyponatraemia and its prognosis in acute heart failure is related to right ventricular dysfunction. Heart. 2018; 104(20): 1670-1677.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Lobzhanidze G. Association between left ventricular ejection fraction and renal impairment in patients with cardio-renal syndrome type 2. Minerva Cardioangiol. 2018; 66(4): 520-521.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Ma QQ, Fan XD, Li T, et al.  Short- and long-term prognostic value of hyponatremia in patients with acute coronary syndrome: A systematic review and meta-analysis. PLoS One. 2018; 13(3): e0193857.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eastAsia="uk-UA"/>
        </w:rPr>
      </w:pPr>
      <w:r w:rsidRPr="00F90B6B">
        <w:rPr>
          <w:rFonts w:ascii="Times New Roman" w:hAnsi="Times New Roman"/>
          <w:sz w:val="28"/>
          <w:szCs w:val="28"/>
          <w:lang w:val="en-US" w:eastAsia="uk-UA"/>
        </w:rPr>
        <w:t>Madamanchi C., Alhosaini H., Sumida A. et al. Obesity and natriuretic peptides, BNP and NT-proBNP: Mechanisms and diagnostic implications for heart failure. Int. J. Cardiol. 2014; 176: 611–17</w:t>
      </w:r>
      <w:r w:rsidRPr="00F90B6B">
        <w:rPr>
          <w:rFonts w:ascii="Times New Roman" w:hAnsi="Times New Roman"/>
          <w:sz w:val="28"/>
          <w:szCs w:val="28"/>
          <w:lang w:eastAsia="uk-UA"/>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Magan˜a-Serrano</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 xml:space="preserve">. </w:t>
      </w:r>
      <w:r w:rsidRPr="00F90B6B">
        <w:rPr>
          <w:rFonts w:ascii="Times New Roman" w:hAnsi="Times New Roman"/>
          <w:sz w:val="28"/>
          <w:szCs w:val="28"/>
        </w:rPr>
        <w:t>A</w:t>
      </w:r>
      <w:r w:rsidRPr="00F90B6B">
        <w:rPr>
          <w:rFonts w:ascii="Times New Roman" w:hAnsi="Times New Roman"/>
          <w:sz w:val="28"/>
          <w:szCs w:val="28"/>
          <w:lang w:val="en-US"/>
        </w:rPr>
        <w:t>.</w:t>
      </w:r>
      <w:r w:rsidRPr="00F90B6B">
        <w:rPr>
          <w:rFonts w:ascii="Times New Roman" w:hAnsi="Times New Roman"/>
          <w:sz w:val="28"/>
          <w:szCs w:val="28"/>
        </w:rPr>
        <w:t>, Almahmeed</w:t>
      </w:r>
      <w:r w:rsidRPr="00F90B6B">
        <w:rPr>
          <w:rFonts w:ascii="Times New Roman" w:hAnsi="Times New Roman"/>
          <w:sz w:val="28"/>
          <w:szCs w:val="28"/>
          <w:lang w:val="en-US"/>
        </w:rPr>
        <w:t xml:space="preserve"> </w:t>
      </w:r>
      <w:r w:rsidRPr="00F90B6B">
        <w:rPr>
          <w:rFonts w:ascii="Times New Roman" w:hAnsi="Times New Roman"/>
          <w:sz w:val="28"/>
          <w:szCs w:val="28"/>
        </w:rPr>
        <w:t>W</w:t>
      </w:r>
      <w:r w:rsidRPr="00F90B6B">
        <w:rPr>
          <w:rFonts w:ascii="Times New Roman" w:hAnsi="Times New Roman"/>
          <w:sz w:val="28"/>
          <w:szCs w:val="28"/>
          <w:lang w:val="en-US"/>
        </w:rPr>
        <w:t>.</w:t>
      </w:r>
      <w:r w:rsidRPr="00F90B6B">
        <w:rPr>
          <w:rFonts w:ascii="Times New Roman" w:hAnsi="Times New Roman"/>
          <w:sz w:val="28"/>
          <w:szCs w:val="28"/>
        </w:rPr>
        <w:t>, Gomez</w:t>
      </w:r>
      <w:r w:rsidRPr="00F90B6B">
        <w:rPr>
          <w:rFonts w:ascii="Times New Roman" w:hAnsi="Times New Roman"/>
          <w:sz w:val="28"/>
          <w:szCs w:val="28"/>
          <w:lang w:val="en-US"/>
        </w:rPr>
        <w:t xml:space="preserve"> </w:t>
      </w:r>
      <w:r w:rsidRPr="00F90B6B">
        <w:rPr>
          <w:rFonts w:ascii="Times New Roman" w:hAnsi="Times New Roman"/>
          <w:sz w:val="28"/>
          <w:szCs w:val="28"/>
        </w:rPr>
        <w:t>E</w:t>
      </w:r>
      <w:r w:rsidRPr="00F90B6B">
        <w:rPr>
          <w:rFonts w:ascii="Times New Roman" w:hAnsi="Times New Roman"/>
          <w:sz w:val="28"/>
          <w:szCs w:val="28"/>
          <w:lang w:val="en-US"/>
        </w:rPr>
        <w:t>.</w:t>
      </w:r>
      <w:r w:rsidRPr="00F90B6B">
        <w:rPr>
          <w:rFonts w:ascii="Times New Roman" w:hAnsi="Times New Roman"/>
          <w:sz w:val="28"/>
          <w:szCs w:val="28"/>
        </w:rPr>
        <w:t xml:space="preserve"> et al.</w:t>
      </w:r>
      <w:r w:rsidRPr="00F90B6B">
        <w:rPr>
          <w:rFonts w:ascii="Times New Roman" w:hAnsi="Times New Roman"/>
          <w:sz w:val="28"/>
          <w:szCs w:val="28"/>
          <w:lang w:val="en-US"/>
        </w:rPr>
        <w:t xml:space="preserve"> </w:t>
      </w:r>
      <w:r w:rsidRPr="00F90B6B">
        <w:rPr>
          <w:rFonts w:ascii="Times New Roman" w:hAnsi="Times New Roman"/>
          <w:sz w:val="28"/>
          <w:szCs w:val="28"/>
        </w:rPr>
        <w:t>Prevalence of heart failure with preserved ejection fraction in Latin American, Middle Eastern, and North African Regions in the I PREFER study (Identiﬁcation of Patients With Heart Failure and PREserved Systolic Function: an epidemiological regional study</w:t>
      </w:r>
      <w:r w:rsidRPr="00F90B6B">
        <w:rPr>
          <w:rFonts w:ascii="Times New Roman" w:hAnsi="Times New Roman"/>
          <w:sz w:val="28"/>
          <w:szCs w:val="28"/>
          <w:lang w:val="en-US"/>
        </w:rPr>
        <w:t xml:space="preserve">. </w:t>
      </w:r>
      <w:r w:rsidRPr="00F90B6B">
        <w:rPr>
          <w:rFonts w:ascii="Times New Roman" w:hAnsi="Times New Roman"/>
          <w:sz w:val="28"/>
          <w:szCs w:val="28"/>
        </w:rPr>
        <w:t>Am</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Cardiol</w:t>
      </w:r>
      <w:r w:rsidRPr="00F90B6B">
        <w:rPr>
          <w:rFonts w:ascii="Times New Roman" w:hAnsi="Times New Roman"/>
          <w:sz w:val="28"/>
          <w:szCs w:val="28"/>
          <w:lang w:val="en-US"/>
        </w:rPr>
        <w:t xml:space="preserve">. </w:t>
      </w:r>
      <w:r w:rsidRPr="00F90B6B">
        <w:rPr>
          <w:rFonts w:ascii="Times New Roman" w:hAnsi="Times New Roman"/>
          <w:sz w:val="28"/>
          <w:szCs w:val="28"/>
        </w:rPr>
        <w:t>2011</w:t>
      </w:r>
      <w:r w:rsidRPr="00F90B6B">
        <w:rPr>
          <w:rFonts w:ascii="Times New Roman" w:hAnsi="Times New Roman"/>
          <w:sz w:val="28"/>
          <w:szCs w:val="28"/>
          <w:lang w:val="en-US"/>
        </w:rPr>
        <w:t xml:space="preserve">; </w:t>
      </w:r>
      <w:r w:rsidRPr="00F90B6B">
        <w:rPr>
          <w:rFonts w:ascii="Times New Roman" w:hAnsi="Times New Roman"/>
          <w:sz w:val="28"/>
          <w:szCs w:val="28"/>
        </w:rPr>
        <w:t>108</w:t>
      </w:r>
      <w:r w:rsidRPr="00F90B6B">
        <w:rPr>
          <w:rFonts w:ascii="Times New Roman" w:hAnsi="Times New Roman"/>
          <w:sz w:val="28"/>
          <w:szCs w:val="28"/>
          <w:lang w:val="en-US"/>
        </w:rPr>
        <w:t xml:space="preserve">: </w:t>
      </w:r>
      <w:r w:rsidRPr="00F90B6B">
        <w:rPr>
          <w:rFonts w:ascii="Times New Roman" w:hAnsi="Times New Roman"/>
          <w:sz w:val="28"/>
          <w:szCs w:val="28"/>
        </w:rPr>
        <w:t>1289–96.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Maisel AS, Daniels LB, Anand IS, et al. Utility of natriuretic peptides to assess and manage patients with heart failure receiving angiotensin receptor blocker/neprilysin inhibitor therapy. Postgrad Med. 2018;130(3): 299-307.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Malagoli A, Rossi L, Bursi F, et al. Left Atrial Function Predicts Cardiovascular Events in Patients With Chronic Heart Failure With Reduced Ejection Fraction. J Am Soc Echocardiogr. 2018; 18: 30469-3.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lastRenderedPageBreak/>
        <w:t>Mangiaﬁco</w:t>
      </w:r>
      <w:r w:rsidRPr="00F90B6B">
        <w:rPr>
          <w:rFonts w:ascii="Times New Roman" w:hAnsi="Times New Roman"/>
          <w:sz w:val="28"/>
          <w:szCs w:val="28"/>
          <w:lang w:val="en-US"/>
        </w:rPr>
        <w:t xml:space="preserve"> </w:t>
      </w:r>
      <w:r w:rsidRPr="00F90B6B">
        <w:rPr>
          <w:rFonts w:ascii="Times New Roman" w:hAnsi="Times New Roman"/>
          <w:sz w:val="28"/>
          <w:szCs w:val="28"/>
        </w:rPr>
        <w:t>S</w:t>
      </w:r>
      <w:r w:rsidRPr="00F90B6B">
        <w:rPr>
          <w:rFonts w:ascii="Times New Roman" w:hAnsi="Times New Roman"/>
          <w:sz w:val="28"/>
          <w:szCs w:val="28"/>
          <w:lang w:val="en-US"/>
        </w:rPr>
        <w:t>.</w:t>
      </w:r>
      <w:r w:rsidRPr="00F90B6B">
        <w:rPr>
          <w:rFonts w:ascii="Times New Roman" w:hAnsi="Times New Roman"/>
          <w:sz w:val="28"/>
          <w:szCs w:val="28"/>
        </w:rPr>
        <w:t>, Costello-Boerrigter</w:t>
      </w:r>
      <w:r w:rsidRPr="00F90B6B">
        <w:rPr>
          <w:rFonts w:ascii="Times New Roman" w:hAnsi="Times New Roman"/>
          <w:sz w:val="28"/>
          <w:szCs w:val="28"/>
          <w:lang w:val="en-US"/>
        </w:rPr>
        <w:t xml:space="preserve"> </w:t>
      </w:r>
      <w:r w:rsidRPr="00F90B6B">
        <w:rPr>
          <w:rFonts w:ascii="Times New Roman" w:hAnsi="Times New Roman"/>
          <w:sz w:val="28"/>
          <w:szCs w:val="28"/>
        </w:rPr>
        <w:t>L</w:t>
      </w:r>
      <w:r w:rsidRPr="00F90B6B">
        <w:rPr>
          <w:rFonts w:ascii="Times New Roman" w:hAnsi="Times New Roman"/>
          <w:sz w:val="28"/>
          <w:szCs w:val="28"/>
          <w:lang w:val="en-US"/>
        </w:rPr>
        <w:t xml:space="preserve">. </w:t>
      </w:r>
      <w:r w:rsidRPr="00F90B6B">
        <w:rPr>
          <w:rFonts w:ascii="Times New Roman" w:hAnsi="Times New Roman"/>
          <w:sz w:val="28"/>
          <w:szCs w:val="28"/>
        </w:rPr>
        <w:t>C</w:t>
      </w:r>
      <w:r w:rsidRPr="00F90B6B">
        <w:rPr>
          <w:rFonts w:ascii="Times New Roman" w:hAnsi="Times New Roman"/>
          <w:sz w:val="28"/>
          <w:szCs w:val="28"/>
          <w:lang w:val="en-US"/>
        </w:rPr>
        <w:t>.</w:t>
      </w:r>
      <w:r w:rsidRPr="00F90B6B">
        <w:rPr>
          <w:rFonts w:ascii="Times New Roman" w:hAnsi="Times New Roman"/>
          <w:sz w:val="28"/>
          <w:szCs w:val="28"/>
        </w:rPr>
        <w:t>, Andersen</w:t>
      </w:r>
      <w:r w:rsidRPr="00F90B6B">
        <w:rPr>
          <w:rFonts w:ascii="Times New Roman" w:hAnsi="Times New Roman"/>
          <w:sz w:val="28"/>
          <w:szCs w:val="28"/>
          <w:lang w:val="en-US"/>
        </w:rPr>
        <w:t xml:space="preserve"> </w:t>
      </w:r>
      <w:r w:rsidRPr="00F90B6B">
        <w:rPr>
          <w:rFonts w:ascii="Times New Roman" w:hAnsi="Times New Roman"/>
          <w:sz w:val="28"/>
          <w:szCs w:val="28"/>
        </w:rPr>
        <w:t>I</w:t>
      </w:r>
      <w:r w:rsidRPr="00F90B6B">
        <w:rPr>
          <w:rFonts w:ascii="Times New Roman" w:hAnsi="Times New Roman"/>
          <w:sz w:val="28"/>
          <w:szCs w:val="28"/>
          <w:lang w:val="en-US"/>
        </w:rPr>
        <w:t xml:space="preserve">. </w:t>
      </w:r>
      <w:r w:rsidRPr="00F90B6B">
        <w:rPr>
          <w:rFonts w:ascii="Times New Roman" w:hAnsi="Times New Roman"/>
          <w:sz w:val="28"/>
          <w:szCs w:val="28"/>
        </w:rPr>
        <w:t>A</w:t>
      </w:r>
      <w:r w:rsidRPr="00F90B6B">
        <w:rPr>
          <w:rFonts w:ascii="Times New Roman" w:hAnsi="Times New Roman"/>
          <w:sz w:val="28"/>
          <w:szCs w:val="28"/>
          <w:lang w:val="en-US"/>
        </w:rPr>
        <w:t>.</w:t>
      </w:r>
      <w:r w:rsidRPr="00F90B6B">
        <w:rPr>
          <w:rFonts w:ascii="Times New Roman" w:hAnsi="Times New Roman"/>
          <w:sz w:val="28"/>
          <w:szCs w:val="28"/>
        </w:rPr>
        <w:t xml:space="preserve"> et al.</w:t>
      </w:r>
      <w:r w:rsidRPr="00F90B6B">
        <w:rPr>
          <w:rFonts w:ascii="Times New Roman" w:hAnsi="Times New Roman"/>
          <w:sz w:val="28"/>
          <w:szCs w:val="28"/>
          <w:lang w:val="en-US"/>
        </w:rPr>
        <w:t xml:space="preserve"> </w:t>
      </w:r>
      <w:r w:rsidRPr="00F90B6B">
        <w:rPr>
          <w:rFonts w:ascii="Times New Roman" w:hAnsi="Times New Roman"/>
          <w:sz w:val="28"/>
          <w:szCs w:val="28"/>
        </w:rPr>
        <w:t>Neutral endopeptidase inhibition and the natriuretic peptide system: an evolving strategy in cardiovascular therapeutics</w:t>
      </w:r>
      <w:r w:rsidRPr="00F90B6B">
        <w:rPr>
          <w:rFonts w:ascii="Times New Roman" w:hAnsi="Times New Roman"/>
          <w:sz w:val="28"/>
          <w:szCs w:val="28"/>
          <w:lang w:val="en-US"/>
        </w:rPr>
        <w:t>.</w:t>
      </w:r>
      <w:r w:rsidRPr="00F90B6B">
        <w:rPr>
          <w:rFonts w:ascii="Times New Roman" w:hAnsi="Times New Roman"/>
          <w:sz w:val="28"/>
          <w:szCs w:val="28"/>
        </w:rPr>
        <w:t xml:space="preserve"> Eur</w:t>
      </w:r>
      <w:r w:rsidRPr="00F90B6B">
        <w:rPr>
          <w:rFonts w:ascii="Times New Roman" w:hAnsi="Times New Roman"/>
          <w:sz w:val="28"/>
          <w:szCs w:val="28"/>
          <w:lang w:val="en-US"/>
        </w:rPr>
        <w:t>.</w:t>
      </w:r>
      <w:r w:rsidRPr="00F90B6B">
        <w:rPr>
          <w:rFonts w:ascii="Times New Roman" w:hAnsi="Times New Roman"/>
          <w:sz w:val="28"/>
          <w:szCs w:val="28"/>
        </w:rPr>
        <w:t xml:space="preserve"> Heart J</w:t>
      </w:r>
      <w:r w:rsidRPr="00F90B6B">
        <w:rPr>
          <w:rFonts w:ascii="Times New Roman" w:hAnsi="Times New Roman"/>
          <w:sz w:val="28"/>
          <w:szCs w:val="28"/>
          <w:lang w:val="en-US"/>
        </w:rPr>
        <w:t>.</w:t>
      </w:r>
      <w:r w:rsidRPr="00F90B6B">
        <w:rPr>
          <w:rFonts w:ascii="Times New Roman" w:hAnsi="Times New Roman"/>
          <w:sz w:val="28"/>
          <w:szCs w:val="28"/>
        </w:rPr>
        <w:t xml:space="preserve"> 2013</w:t>
      </w:r>
      <w:r w:rsidRPr="00F90B6B">
        <w:rPr>
          <w:rFonts w:ascii="Times New Roman" w:hAnsi="Times New Roman"/>
          <w:sz w:val="28"/>
          <w:szCs w:val="28"/>
          <w:lang w:val="en-US"/>
        </w:rPr>
        <w:t xml:space="preserve">; </w:t>
      </w:r>
      <w:r w:rsidRPr="00F90B6B">
        <w:rPr>
          <w:rFonts w:ascii="Times New Roman" w:hAnsi="Times New Roman"/>
          <w:sz w:val="28"/>
          <w:szCs w:val="28"/>
        </w:rPr>
        <w:t>34</w:t>
      </w:r>
      <w:r w:rsidRPr="00F90B6B">
        <w:rPr>
          <w:rFonts w:ascii="Times New Roman" w:hAnsi="Times New Roman"/>
          <w:sz w:val="28"/>
          <w:szCs w:val="28"/>
          <w:lang w:val="en-US"/>
        </w:rPr>
        <w:t xml:space="preserve">: </w:t>
      </w:r>
      <w:r w:rsidRPr="00F90B6B">
        <w:rPr>
          <w:rFonts w:ascii="Times New Roman" w:hAnsi="Times New Roman"/>
          <w:sz w:val="28"/>
          <w:szCs w:val="28"/>
        </w:rPr>
        <w:t>886–93.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Martinsson A, Oest P, Wiborg MB, et al. Longitudinal evaluation of ventricular ejection fraction and NT-proBNP across heart failure subgroups. Scand Cardiovasc J. 2018; 52(4): 205-210.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Matsue Y, Yoshioka K, Suzuki M, et al. Prognostic importance of sodium level trajectory in acute heart failure. Heart Vessels. 2017; 32(12): 1498-1505.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CE7B32">
        <w:rPr>
          <w:rStyle w:val="ac"/>
          <w:rFonts w:ascii="Times New Roman" w:hAnsi="Times New Roman"/>
          <w:i w:val="0"/>
          <w:iCs/>
          <w:sz w:val="28"/>
          <w:szCs w:val="28"/>
          <w:lang w:val="en-US"/>
        </w:rPr>
        <w:t>McCullough P. A., Haapio M., Mankad S</w:t>
      </w:r>
      <w:r w:rsidRPr="00CE7B32">
        <w:rPr>
          <w:rFonts w:ascii="Times New Roman" w:hAnsi="Times New Roman"/>
          <w:i/>
          <w:sz w:val="28"/>
          <w:szCs w:val="28"/>
          <w:lang w:val="en-US"/>
        </w:rPr>
        <w:t>.</w:t>
      </w:r>
      <w:r w:rsidRPr="00F90B6B">
        <w:rPr>
          <w:rFonts w:ascii="Times New Roman" w:hAnsi="Times New Roman"/>
          <w:sz w:val="28"/>
          <w:szCs w:val="28"/>
          <w:lang w:val="en-US"/>
        </w:rPr>
        <w:t xml:space="preserve"> et al. Prevention of cardio-renal syndromes: workgroup statements from the 7 th ADQI Consensus Conference. Nephrol. Dial. Transplant. 2010; 25: 1777–84.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McCullough P.A., Li S., Jurkovitz C.T. et al. CKD and cardiovascular disease in screened highrisk volunteer and general populations: the Kidney Early Evaluation Program (KEEP) and National Health and Nutrition Examination Survey (NHANES) 1999-2004. Am. J. Kidney Dis. 2008</w:t>
      </w:r>
      <w:r w:rsidRPr="00F90B6B">
        <w:rPr>
          <w:rFonts w:ascii="Times New Roman" w:hAnsi="Times New Roman"/>
          <w:sz w:val="28"/>
          <w:szCs w:val="28"/>
          <w:lang w:val="en-US"/>
        </w:rPr>
        <w:t>;</w:t>
      </w:r>
      <w:r w:rsidRPr="00F90B6B">
        <w:rPr>
          <w:rFonts w:ascii="Times New Roman" w:hAnsi="Times New Roman"/>
          <w:sz w:val="28"/>
          <w:szCs w:val="28"/>
        </w:rPr>
        <w:t xml:space="preserve"> 51</w:t>
      </w:r>
      <w:r w:rsidRPr="00F90B6B">
        <w:rPr>
          <w:rFonts w:ascii="Times New Roman" w:hAnsi="Times New Roman"/>
          <w:sz w:val="28"/>
          <w:szCs w:val="28"/>
          <w:lang w:val="en-US"/>
        </w:rPr>
        <w:t xml:space="preserve"> </w:t>
      </w:r>
      <w:r w:rsidRPr="00F90B6B">
        <w:rPr>
          <w:rFonts w:ascii="Times New Roman" w:hAnsi="Times New Roman"/>
          <w:sz w:val="28"/>
          <w:szCs w:val="28"/>
        </w:rPr>
        <w:t>(4 Suppl 2)</w:t>
      </w:r>
      <w:r w:rsidRPr="00F90B6B">
        <w:rPr>
          <w:rFonts w:ascii="Times New Roman" w:hAnsi="Times New Roman"/>
          <w:sz w:val="28"/>
          <w:szCs w:val="28"/>
          <w:lang w:val="en-US"/>
        </w:rPr>
        <w:t>:</w:t>
      </w:r>
      <w:r w:rsidRPr="00F90B6B">
        <w:rPr>
          <w:rFonts w:ascii="Times New Roman" w:hAnsi="Times New Roman"/>
          <w:sz w:val="28"/>
          <w:szCs w:val="28"/>
        </w:rPr>
        <w:t xml:space="preserve"> 38-45.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McCullough PA, Soman S. Cardiorenal Syndrome: A Call to Action for a Pressing Medical Issue. Adv Chronic Kidney Dis. 2018; 25(5): 379-381.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McDowell K, Petrie MC, Raihan NA, Logue J. Effects of intentional weight loss in patients with obesity and heart failure: a systematic review. Obes Rev. 2018; 19(9): 1189-1204.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McGreal K., Budhiraja P., Nishank J. A., Yu S.L. Current Challenges in the Evaluation and Management of Hyponatremia. Kidney Dis. 2016; 2: 56–63</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McMurray</w:t>
      </w:r>
      <w:r w:rsidRPr="00F90B6B">
        <w:rPr>
          <w:rFonts w:ascii="Times New Roman" w:hAnsi="Times New Roman"/>
          <w:sz w:val="28"/>
          <w:szCs w:val="28"/>
          <w:lang w:val="en-US"/>
        </w:rPr>
        <w:t xml:space="preserve"> </w:t>
      </w:r>
      <w:r w:rsidRPr="00F90B6B">
        <w:rPr>
          <w:rFonts w:ascii="Times New Roman" w:hAnsi="Times New Roman"/>
          <w:sz w:val="28"/>
          <w:szCs w:val="28"/>
        </w:rPr>
        <w:t>J. J., Packer</w:t>
      </w:r>
      <w:r w:rsidRPr="00F90B6B">
        <w:rPr>
          <w:rFonts w:ascii="Times New Roman" w:hAnsi="Times New Roman"/>
          <w:sz w:val="28"/>
          <w:szCs w:val="28"/>
          <w:lang w:val="en-US"/>
        </w:rPr>
        <w:t xml:space="preserve"> </w:t>
      </w:r>
      <w:r w:rsidRPr="00F90B6B">
        <w:rPr>
          <w:rFonts w:ascii="Times New Roman" w:hAnsi="Times New Roman"/>
          <w:sz w:val="28"/>
          <w:szCs w:val="28"/>
        </w:rPr>
        <w:t>M., Desai</w:t>
      </w:r>
      <w:r w:rsidRPr="00F90B6B">
        <w:rPr>
          <w:rFonts w:ascii="Times New Roman" w:hAnsi="Times New Roman"/>
          <w:sz w:val="28"/>
          <w:szCs w:val="28"/>
          <w:lang w:val="en-US"/>
        </w:rPr>
        <w:t xml:space="preserve"> </w:t>
      </w:r>
      <w:r w:rsidRPr="00F90B6B">
        <w:rPr>
          <w:rFonts w:ascii="Times New Roman" w:hAnsi="Times New Roman"/>
          <w:sz w:val="28"/>
          <w:szCs w:val="28"/>
        </w:rPr>
        <w:t>A. S. et al. PARADIGM-HF Investigators and Committees. Angiotensin-neprilysin inhibition versus enalapril in heart failure</w:t>
      </w:r>
      <w:r w:rsidRPr="00F90B6B">
        <w:rPr>
          <w:rFonts w:ascii="Times New Roman" w:hAnsi="Times New Roman"/>
          <w:sz w:val="28"/>
          <w:szCs w:val="28"/>
          <w:lang w:val="en-US"/>
        </w:rPr>
        <w:t>.</w:t>
      </w:r>
      <w:r w:rsidRPr="00F90B6B">
        <w:rPr>
          <w:rFonts w:ascii="Times New Roman" w:hAnsi="Times New Roman"/>
          <w:sz w:val="28"/>
          <w:szCs w:val="28"/>
        </w:rPr>
        <w:t xml:space="preserve"> New Engl. J. Med. 2014</w:t>
      </w:r>
      <w:r w:rsidRPr="00F90B6B">
        <w:rPr>
          <w:rFonts w:ascii="Times New Roman" w:hAnsi="Times New Roman"/>
          <w:sz w:val="28"/>
          <w:szCs w:val="28"/>
          <w:lang w:val="en-US"/>
        </w:rPr>
        <w:t>;</w:t>
      </w:r>
      <w:r w:rsidRPr="00F90B6B">
        <w:rPr>
          <w:rFonts w:ascii="Times New Roman" w:hAnsi="Times New Roman"/>
          <w:sz w:val="28"/>
          <w:szCs w:val="28"/>
        </w:rPr>
        <w:t xml:space="preserve"> 371</w:t>
      </w:r>
      <w:r w:rsidRPr="00F90B6B">
        <w:rPr>
          <w:rFonts w:ascii="Times New Roman" w:hAnsi="Times New Roman"/>
          <w:sz w:val="28"/>
          <w:szCs w:val="28"/>
          <w:lang w:val="en-US"/>
        </w:rPr>
        <w:t>:</w:t>
      </w:r>
      <w:r w:rsidRPr="00F90B6B">
        <w:rPr>
          <w:rFonts w:ascii="Times New Roman" w:hAnsi="Times New Roman"/>
          <w:sz w:val="28"/>
          <w:szCs w:val="28"/>
        </w:rPr>
        <w:t xml:space="preserve"> 993–1004.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lang w:val="en-US"/>
        </w:rPr>
        <w:t>McMurray J. V. Improving outcomes in heart failure: a personal perspective. Eur. Heart J. 2015; 36: 3467-70</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McMurray J.J., Pitt B., Latini R. et al. Effects of the Oral Direct Renin Inhibitor Aliskiren inPatients With Symptomatic Heart Failure</w:t>
      </w:r>
      <w:r w:rsidRPr="00F90B6B">
        <w:rPr>
          <w:rFonts w:ascii="Times New Roman" w:hAnsi="Times New Roman"/>
          <w:sz w:val="28"/>
          <w:szCs w:val="28"/>
          <w:lang w:val="en-US"/>
        </w:rPr>
        <w:t xml:space="preserve">. </w:t>
      </w:r>
      <w:r w:rsidRPr="00F90B6B">
        <w:rPr>
          <w:rFonts w:ascii="Times New Roman" w:hAnsi="Times New Roman"/>
          <w:sz w:val="28"/>
          <w:szCs w:val="28"/>
        </w:rPr>
        <w:t>Circ. HeartFail. 2008</w:t>
      </w:r>
      <w:r w:rsidRPr="00F90B6B">
        <w:rPr>
          <w:rFonts w:ascii="Times New Roman" w:hAnsi="Times New Roman"/>
          <w:sz w:val="28"/>
          <w:szCs w:val="28"/>
          <w:lang w:val="en-US"/>
        </w:rPr>
        <w:t>;</w:t>
      </w:r>
      <w:r w:rsidRPr="00F90B6B">
        <w:rPr>
          <w:rFonts w:ascii="Times New Roman" w:hAnsi="Times New Roman"/>
          <w:sz w:val="28"/>
          <w:szCs w:val="28"/>
        </w:rPr>
        <w:t xml:space="preserve"> 1</w:t>
      </w:r>
      <w:r w:rsidRPr="00F90B6B">
        <w:rPr>
          <w:rFonts w:ascii="Times New Roman" w:hAnsi="Times New Roman"/>
          <w:sz w:val="28"/>
          <w:szCs w:val="28"/>
          <w:lang w:val="en-US"/>
        </w:rPr>
        <w:t>:</w:t>
      </w:r>
      <w:r w:rsidRPr="00F90B6B">
        <w:rPr>
          <w:rFonts w:ascii="Times New Roman" w:hAnsi="Times New Roman"/>
          <w:sz w:val="28"/>
          <w:szCs w:val="28"/>
        </w:rPr>
        <w:t xml:space="preserve"> 17-24.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lastRenderedPageBreak/>
        <w:t xml:space="preserve">Melchio R, Rinaldi G, Testa E, </w:t>
      </w:r>
      <w:r w:rsidRPr="00F90B6B">
        <w:rPr>
          <w:rFonts w:ascii="Times New Roman" w:hAnsi="Times New Roman"/>
          <w:sz w:val="28"/>
          <w:szCs w:val="28"/>
          <w:lang w:val="en-US"/>
        </w:rPr>
        <w:t>et al.</w:t>
      </w:r>
      <w:r w:rsidRPr="00F90B6B">
        <w:rPr>
          <w:rFonts w:ascii="Times New Roman" w:hAnsi="Times New Roman"/>
          <w:sz w:val="28"/>
          <w:szCs w:val="28"/>
        </w:rPr>
        <w:t xml:space="preserve"> Red cell distribution width predicts mid-term prognosis in patients hospitalized with acute heart failure: the RDW in Acute Heart Failure (RE-AHF) study. Intern Emerg Med. 2018</w:t>
      </w:r>
      <w:r w:rsidRPr="00F90B6B">
        <w:rPr>
          <w:rFonts w:ascii="Times New Roman" w:hAnsi="Times New Roman"/>
          <w:sz w:val="28"/>
          <w:szCs w:val="28"/>
          <w:lang w:val="en-US"/>
        </w:rPr>
        <w:t>; 10: 39-58.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Méndez-Bailón M, Barba-Martín R, de Miguel-Yanes JM, Zapatero-Gaviria A, et al. Hyponatremia in hospitalised patients with heart failure in internal medicine: Analysis of the Spanish national minimum basic data set (MBDS) (2005-2011).</w:t>
      </w:r>
      <w:r w:rsidRPr="00F90B6B">
        <w:rPr>
          <w:rFonts w:ascii="Times New Roman" w:hAnsi="Times New Roman"/>
          <w:sz w:val="28"/>
          <w:szCs w:val="28"/>
        </w:rPr>
        <w:t xml:space="preserve"> </w:t>
      </w:r>
      <w:r w:rsidRPr="00F90B6B">
        <w:rPr>
          <w:rFonts w:ascii="Times New Roman" w:hAnsi="Times New Roman"/>
          <w:sz w:val="28"/>
          <w:szCs w:val="28"/>
          <w:lang w:val="en-US"/>
        </w:rPr>
        <w:t>Eur J Intern Med. 2015; 26(8): 603-6.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Moliner P, Jankowska EA, van Veldhuisen DJ, et al. Clinical correlates and prognostic impact of impaired iron storage versus impaired iron transport in an international cohort of 1821 patients with chronic heart failure. Int J Cardiol. 2017; 243: 360-366.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Morris JH, Bohm NM, Nemecek BD, et al. Rapidity of Correction of Hyponatremia Due to Syndrome of Inappropriate Secretion of Antidiuretic Hormone Following Tolvaptan. Am J Kidney Dis. 2018; 71(6): 772-782.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Myhre PL, Vaduganathan M, Claggett BL, et al. Association of Natriuretic Peptides With Cardiovascular Prognosis in Heart Failure With Preserved Ejection Fraction: Secondary Analysis of the TOPCAT Randomized Clinical Trial. JAMA Cardiol. 2018; 3(10): 1000-1005.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Nair A, Deswal A. Aldosterone Receptor Blockade in Heart Failure with Preserved Ejection Fraction. Heart Fail Clin. 2018; 14(4): 525-535.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Nishikido T</w:t>
      </w:r>
      <w:r w:rsidRPr="00F90B6B">
        <w:rPr>
          <w:rFonts w:ascii="Times New Roman" w:hAnsi="Times New Roman"/>
          <w:sz w:val="28"/>
          <w:szCs w:val="28"/>
          <w:lang w:val="en-US"/>
        </w:rPr>
        <w:t>.</w:t>
      </w:r>
      <w:r w:rsidRPr="00F90B6B">
        <w:rPr>
          <w:rFonts w:ascii="Times New Roman" w:hAnsi="Times New Roman"/>
          <w:sz w:val="28"/>
          <w:szCs w:val="28"/>
        </w:rPr>
        <w:t>, Oyama J</w:t>
      </w:r>
      <w:r w:rsidRPr="00F90B6B">
        <w:rPr>
          <w:rFonts w:ascii="Times New Roman" w:hAnsi="Times New Roman"/>
          <w:sz w:val="28"/>
          <w:szCs w:val="28"/>
          <w:lang w:val="en-US"/>
        </w:rPr>
        <w:t>.</w:t>
      </w:r>
      <w:r w:rsidRPr="00F90B6B">
        <w:rPr>
          <w:rFonts w:ascii="Times New Roman" w:hAnsi="Times New Roman"/>
          <w:sz w:val="28"/>
          <w:szCs w:val="28"/>
        </w:rPr>
        <w:t>I</w:t>
      </w:r>
      <w:r w:rsidRPr="00F90B6B">
        <w:rPr>
          <w:rFonts w:ascii="Times New Roman" w:hAnsi="Times New Roman"/>
          <w:sz w:val="28"/>
          <w:szCs w:val="28"/>
          <w:lang w:val="en-US"/>
        </w:rPr>
        <w:t>.</w:t>
      </w:r>
      <w:r w:rsidRPr="00F90B6B">
        <w:rPr>
          <w:rFonts w:ascii="Times New Roman" w:hAnsi="Times New Roman"/>
          <w:sz w:val="28"/>
          <w:szCs w:val="28"/>
        </w:rPr>
        <w:t>, Nagatomo D</w:t>
      </w:r>
      <w:r w:rsidRPr="00F90B6B">
        <w:rPr>
          <w:rFonts w:ascii="Times New Roman" w:hAnsi="Times New Roman"/>
          <w:sz w:val="28"/>
          <w:szCs w:val="28"/>
          <w:lang w:val="en-US"/>
        </w:rPr>
        <w:t>.</w:t>
      </w:r>
      <w:r w:rsidRPr="00F90B6B">
        <w:rPr>
          <w:rFonts w:ascii="Times New Roman" w:hAnsi="Times New Roman"/>
          <w:sz w:val="28"/>
          <w:szCs w:val="28"/>
        </w:rPr>
        <w:t>, Node K. A reduction of BMI predicts the risk of rehospitalization and cardiac death in non-obese patients with heart failure. Int J</w:t>
      </w:r>
      <w:r w:rsidRPr="00F90B6B">
        <w:rPr>
          <w:rFonts w:ascii="Times New Roman" w:hAnsi="Times New Roman"/>
          <w:sz w:val="28"/>
          <w:szCs w:val="28"/>
          <w:lang w:val="en-US"/>
        </w:rPr>
        <w:t>.</w:t>
      </w:r>
      <w:r w:rsidRPr="00F90B6B">
        <w:rPr>
          <w:rFonts w:ascii="Times New Roman" w:hAnsi="Times New Roman"/>
          <w:sz w:val="28"/>
          <w:szCs w:val="28"/>
        </w:rPr>
        <w:t xml:space="preserve"> Cardiol. 2018</w:t>
      </w:r>
      <w:r w:rsidRPr="00F90B6B">
        <w:rPr>
          <w:rFonts w:ascii="Times New Roman" w:hAnsi="Times New Roman"/>
          <w:sz w:val="28"/>
          <w:szCs w:val="28"/>
          <w:lang w:val="en-US"/>
        </w:rPr>
        <w:t xml:space="preserve">; </w:t>
      </w:r>
      <w:r w:rsidRPr="00F90B6B">
        <w:rPr>
          <w:rFonts w:ascii="Times New Roman" w:hAnsi="Times New Roman"/>
          <w:sz w:val="28"/>
          <w:szCs w:val="28"/>
        </w:rPr>
        <w:t>18: 32009-6.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Obrezan AG, Perutskiy DN. Structural and Functional Characteristics of the Heart in Patients With "Constrictive", "Pseudo-Normal" and "Restrictive" Types of the Left Ventricular Diastolic Dysfunction. Kardiologiia. 2018; (6): 13-19.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Oh J, Kang SM, Kim IC, et al. The beneficial prognostic value of hemoconcentration is negatively affected by hyponatremia in acute decompensated heart failure: Data from the Korean Heart Failure (KorHF) Registry. J Cardiol. 2017; 69(5): 790-796.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lastRenderedPageBreak/>
        <w:t>Olivier</w:t>
      </w:r>
      <w:r w:rsidRPr="00F90B6B">
        <w:rPr>
          <w:rFonts w:ascii="Times New Roman" w:hAnsi="Times New Roman"/>
          <w:sz w:val="28"/>
          <w:szCs w:val="28"/>
          <w:lang w:val="en-US"/>
        </w:rPr>
        <w:t xml:space="preserve"> </w:t>
      </w:r>
      <w:r w:rsidRPr="00F90B6B">
        <w:rPr>
          <w:rFonts w:ascii="Times New Roman" w:hAnsi="Times New Roman"/>
          <w:sz w:val="28"/>
          <w:szCs w:val="28"/>
        </w:rPr>
        <w:t>A., Girerd</w:t>
      </w:r>
      <w:r w:rsidRPr="00F90B6B">
        <w:rPr>
          <w:rFonts w:ascii="Times New Roman" w:hAnsi="Times New Roman"/>
          <w:sz w:val="28"/>
          <w:szCs w:val="28"/>
          <w:lang w:val="en-US"/>
        </w:rPr>
        <w:t xml:space="preserve"> </w:t>
      </w:r>
      <w:r w:rsidRPr="00F90B6B">
        <w:rPr>
          <w:rFonts w:ascii="Times New Roman" w:hAnsi="Times New Roman"/>
          <w:sz w:val="28"/>
          <w:szCs w:val="28"/>
        </w:rPr>
        <w:t>N.,</w:t>
      </w:r>
      <w:r w:rsidRPr="00F90B6B">
        <w:rPr>
          <w:rFonts w:ascii="Times New Roman" w:hAnsi="Times New Roman"/>
          <w:sz w:val="28"/>
          <w:szCs w:val="28"/>
          <w:lang w:val="en-US"/>
        </w:rPr>
        <w:t xml:space="preserve"> </w:t>
      </w:r>
      <w:r w:rsidRPr="00F90B6B">
        <w:rPr>
          <w:rFonts w:ascii="Times New Roman" w:hAnsi="Times New Roman"/>
          <w:sz w:val="28"/>
          <w:szCs w:val="28"/>
        </w:rPr>
        <w:t>Michel</w:t>
      </w:r>
      <w:r w:rsidRPr="00F90B6B">
        <w:rPr>
          <w:rFonts w:ascii="Times New Roman" w:hAnsi="Times New Roman"/>
          <w:sz w:val="28"/>
          <w:szCs w:val="28"/>
          <w:lang w:val="en-US"/>
        </w:rPr>
        <w:t xml:space="preserve"> </w:t>
      </w:r>
      <w:r w:rsidRPr="00F90B6B">
        <w:rPr>
          <w:rFonts w:ascii="Times New Roman" w:hAnsi="Times New Roman"/>
          <w:sz w:val="28"/>
          <w:szCs w:val="28"/>
        </w:rPr>
        <w:t>J. B.</w:t>
      </w:r>
      <w:r w:rsidRPr="00F90B6B">
        <w:rPr>
          <w:rFonts w:ascii="Times New Roman" w:hAnsi="Times New Roman"/>
          <w:sz w:val="28"/>
          <w:szCs w:val="28"/>
          <w:lang w:val="en-US"/>
        </w:rPr>
        <w:t xml:space="preserve"> </w:t>
      </w:r>
      <w:r w:rsidRPr="00F90B6B">
        <w:rPr>
          <w:rFonts w:ascii="Times New Roman" w:hAnsi="Times New Roman"/>
          <w:sz w:val="28"/>
          <w:szCs w:val="28"/>
        </w:rPr>
        <w:t>et al. Combined baseline and one-month changes in big endothelin-1 and brain natriuretic peptide plasma concentrations predict clinical outcomes in patients with left ventricular dysfunction after acute myocardial infarction: Insights from the Eplerenone Post-Acute Myocardial Infarction Heart Failure Efficacy and Survival Study (EPHESUS) study</w:t>
      </w:r>
      <w:r w:rsidRPr="00F90B6B">
        <w:rPr>
          <w:rFonts w:ascii="Times New Roman" w:hAnsi="Times New Roman"/>
          <w:sz w:val="28"/>
          <w:szCs w:val="28"/>
          <w:lang w:val="en-US"/>
        </w:rPr>
        <w:t>.</w:t>
      </w:r>
      <w:r w:rsidRPr="00F90B6B">
        <w:rPr>
          <w:rFonts w:ascii="Times New Roman" w:hAnsi="Times New Roman"/>
          <w:sz w:val="28"/>
          <w:szCs w:val="28"/>
        </w:rPr>
        <w:t xml:space="preserve"> Int. J. Cardiol. 2017</w:t>
      </w:r>
      <w:r w:rsidRPr="00F90B6B">
        <w:rPr>
          <w:rFonts w:ascii="Times New Roman" w:hAnsi="Times New Roman"/>
          <w:sz w:val="28"/>
          <w:szCs w:val="28"/>
          <w:lang w:val="en-US"/>
        </w:rPr>
        <w:t>;</w:t>
      </w:r>
      <w:r w:rsidRPr="00F90B6B">
        <w:rPr>
          <w:rFonts w:ascii="Times New Roman" w:hAnsi="Times New Roman"/>
          <w:sz w:val="28"/>
          <w:szCs w:val="28"/>
        </w:rPr>
        <w:t xml:space="preserve"> 241</w:t>
      </w:r>
      <w:r w:rsidRPr="00F90B6B">
        <w:rPr>
          <w:rFonts w:ascii="Times New Roman" w:hAnsi="Times New Roman"/>
          <w:sz w:val="28"/>
          <w:szCs w:val="28"/>
          <w:lang w:val="en-US"/>
        </w:rPr>
        <w:t>:</w:t>
      </w:r>
      <w:r w:rsidRPr="00F90B6B">
        <w:rPr>
          <w:rFonts w:ascii="Times New Roman" w:hAnsi="Times New Roman"/>
          <w:sz w:val="28"/>
          <w:szCs w:val="28"/>
        </w:rPr>
        <w:t xml:space="preserve"> 344-50.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Omar HR, Charnigo R, Guglin M. Prognostic Significance of Discharge Hyponatremia in Heart Failure Patients With Normal Admission Sodium (from the ESCAPE Trial). Am J Cardiol. 2017; 120(4): 607-615.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Omar HR, Guglin M. Community acquired versus hospital acquired hyponatremia in acute heart failure: Association with clinical characteristics and outcomes. Int J Cardiol. 2016; 225: 247-249.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Omar HR, Guglin M. Etiology of discharge hyponatremia in decompensated heart failure and normal admission Na+: Effect of diuretics. Eur J Intern Med. 2018; 48: e15-e17.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Omar HR, Guglin M. Rise of first follow-up sodium in patients hospitalized with acute heart failure is associated with better outcomes. Int J Cardiol. 2018;</w:t>
      </w:r>
      <w:r w:rsidRPr="00F90B6B">
        <w:rPr>
          <w:rFonts w:ascii="Times New Roman" w:hAnsi="Times New Roman"/>
          <w:sz w:val="28"/>
          <w:szCs w:val="28"/>
          <w:lang w:val="en-US"/>
        </w:rPr>
        <w:t xml:space="preserve"> </w:t>
      </w:r>
      <w:r w:rsidRPr="00F90B6B">
        <w:rPr>
          <w:rFonts w:ascii="Times New Roman" w:hAnsi="Times New Roman"/>
          <w:sz w:val="28"/>
          <w:szCs w:val="28"/>
        </w:rPr>
        <w:t>269:</w:t>
      </w:r>
      <w:r w:rsidRPr="00F90B6B">
        <w:rPr>
          <w:rFonts w:ascii="Times New Roman" w:hAnsi="Times New Roman"/>
          <w:sz w:val="28"/>
          <w:szCs w:val="28"/>
          <w:lang w:val="en-US"/>
        </w:rPr>
        <w:t xml:space="preserve"> </w:t>
      </w:r>
      <w:r w:rsidRPr="00F90B6B">
        <w:rPr>
          <w:rFonts w:ascii="Times New Roman" w:hAnsi="Times New Roman"/>
          <w:sz w:val="28"/>
          <w:szCs w:val="28"/>
        </w:rPr>
        <w:t>201-206.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Oreopoulos A, Padwal R, Kalantar-Zadeh K. Body mass index and mortality in heart failure: a meta - analysis. Am Heart J. 2008; 156</w:t>
      </w:r>
      <w:r w:rsidRPr="00F90B6B">
        <w:rPr>
          <w:rFonts w:ascii="Times New Roman" w:hAnsi="Times New Roman"/>
          <w:sz w:val="28"/>
          <w:szCs w:val="28"/>
          <w:lang w:val="en-US"/>
        </w:rPr>
        <w:t xml:space="preserve"> </w:t>
      </w:r>
      <w:r w:rsidRPr="00F90B6B">
        <w:rPr>
          <w:rFonts w:ascii="Times New Roman" w:hAnsi="Times New Roman"/>
          <w:sz w:val="28"/>
          <w:szCs w:val="28"/>
        </w:rPr>
        <w:t>(1): 13-22.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eastAsia="uk-UA"/>
        </w:rPr>
      </w:pPr>
      <w:r w:rsidRPr="00F90B6B">
        <w:rPr>
          <w:rFonts w:ascii="Times New Roman" w:hAnsi="Times New Roman"/>
          <w:sz w:val="28"/>
          <w:szCs w:val="28"/>
          <w:lang w:val="en-US" w:eastAsia="uk-UA"/>
        </w:rPr>
        <w:t>Ouwerkerk W., Voors A. A., Zwinderman A. H. Factors inﬂuencing the predictive power of models for predicting mortality and/or heart-failure hospitalization in patients with heart failure. JACC Heart Fail. 2014; 2: 429–36</w:t>
      </w:r>
      <w:r w:rsidRPr="00F90B6B">
        <w:rPr>
          <w:rFonts w:ascii="Times New Roman" w:hAnsi="Times New Roman"/>
          <w:sz w:val="28"/>
          <w:szCs w:val="28"/>
          <w:lang w:eastAsia="uk-UA"/>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Packer M. Effect of carvedilol on the morbidity of patients with severe chronic heart failure: results of the Carvedilol Prospective Randomized Cumulative Survival (COPERNICUS) Study</w:t>
      </w:r>
      <w:r w:rsidRPr="00F90B6B">
        <w:rPr>
          <w:rFonts w:ascii="Times New Roman" w:hAnsi="Times New Roman"/>
          <w:sz w:val="28"/>
          <w:szCs w:val="28"/>
          <w:lang w:val="en-US"/>
        </w:rPr>
        <w:t xml:space="preserve">. </w:t>
      </w:r>
      <w:r w:rsidRPr="00F90B6B">
        <w:rPr>
          <w:rFonts w:ascii="Times New Roman" w:hAnsi="Times New Roman"/>
          <w:sz w:val="28"/>
          <w:szCs w:val="28"/>
        </w:rPr>
        <w:t>Circulation</w:t>
      </w:r>
      <w:r w:rsidRPr="00F90B6B">
        <w:rPr>
          <w:rFonts w:ascii="Times New Roman" w:hAnsi="Times New Roman"/>
          <w:sz w:val="28"/>
          <w:szCs w:val="28"/>
          <w:lang w:val="en-US"/>
        </w:rPr>
        <w:t>.</w:t>
      </w:r>
      <w:r w:rsidRPr="00F90B6B">
        <w:rPr>
          <w:rFonts w:ascii="Times New Roman" w:hAnsi="Times New Roman"/>
          <w:sz w:val="28"/>
          <w:szCs w:val="28"/>
        </w:rPr>
        <w:t xml:space="preserve"> 2002</w:t>
      </w:r>
      <w:r w:rsidRPr="00F90B6B">
        <w:rPr>
          <w:rFonts w:ascii="Times New Roman" w:hAnsi="Times New Roman"/>
          <w:sz w:val="28"/>
          <w:szCs w:val="28"/>
          <w:lang w:val="en-US"/>
        </w:rPr>
        <w:t xml:space="preserve">; </w:t>
      </w:r>
      <w:r w:rsidRPr="00F90B6B">
        <w:rPr>
          <w:rFonts w:ascii="Times New Roman" w:hAnsi="Times New Roman"/>
          <w:sz w:val="28"/>
          <w:szCs w:val="28"/>
        </w:rPr>
        <w:t>106</w:t>
      </w:r>
      <w:r w:rsidRPr="00F90B6B">
        <w:rPr>
          <w:rFonts w:ascii="Times New Roman" w:hAnsi="Times New Roman"/>
          <w:sz w:val="28"/>
          <w:szCs w:val="28"/>
          <w:lang w:val="en-US"/>
        </w:rPr>
        <w:t xml:space="preserve">: </w:t>
      </w:r>
      <w:r w:rsidRPr="00F90B6B">
        <w:rPr>
          <w:rFonts w:ascii="Times New Roman" w:hAnsi="Times New Roman"/>
          <w:sz w:val="28"/>
          <w:szCs w:val="28"/>
        </w:rPr>
        <w:t>2194–99.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Packer M. Obesity-Associated Heart Failure as a Theoretical Target for Treatment With Mineralocorticoid Receptor Antagonists. JAMA Cardiol. 2018</w:t>
      </w:r>
      <w:r w:rsidRPr="00F90B6B">
        <w:rPr>
          <w:rFonts w:ascii="Times New Roman" w:hAnsi="Times New Roman"/>
          <w:sz w:val="28"/>
          <w:szCs w:val="28"/>
          <w:lang w:val="en-US"/>
        </w:rPr>
        <w:t>;</w:t>
      </w:r>
      <w:r w:rsidRPr="00F90B6B">
        <w:rPr>
          <w:rFonts w:ascii="Times New Roman" w:hAnsi="Times New Roman"/>
          <w:sz w:val="28"/>
          <w:szCs w:val="28"/>
        </w:rPr>
        <w:t xml:space="preserve"> 3</w:t>
      </w:r>
      <w:r w:rsidRPr="00F90B6B">
        <w:rPr>
          <w:rFonts w:ascii="Times New Roman" w:hAnsi="Times New Roman"/>
          <w:sz w:val="28"/>
          <w:szCs w:val="28"/>
          <w:lang w:val="en-US"/>
        </w:rPr>
        <w:t xml:space="preserve"> </w:t>
      </w:r>
      <w:r w:rsidRPr="00F90B6B">
        <w:rPr>
          <w:rFonts w:ascii="Times New Roman" w:hAnsi="Times New Roman"/>
          <w:sz w:val="28"/>
          <w:szCs w:val="28"/>
        </w:rPr>
        <w:t>(9):</w:t>
      </w:r>
      <w:r w:rsidRPr="00F90B6B">
        <w:rPr>
          <w:rFonts w:ascii="Times New Roman" w:hAnsi="Times New Roman"/>
          <w:sz w:val="28"/>
          <w:szCs w:val="28"/>
          <w:lang w:val="en-US"/>
        </w:rPr>
        <w:t xml:space="preserve"> </w:t>
      </w:r>
      <w:r w:rsidRPr="00F90B6B">
        <w:rPr>
          <w:rFonts w:ascii="Times New Roman" w:hAnsi="Times New Roman"/>
          <w:sz w:val="28"/>
          <w:szCs w:val="28"/>
        </w:rPr>
        <w:t>883-87.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Packer</w:t>
      </w:r>
      <w:r w:rsidRPr="00F90B6B">
        <w:rPr>
          <w:rFonts w:ascii="Times New Roman" w:hAnsi="Times New Roman"/>
          <w:sz w:val="28"/>
          <w:szCs w:val="28"/>
          <w:lang w:val="en-US"/>
        </w:rPr>
        <w:t xml:space="preserve"> </w:t>
      </w:r>
      <w:r w:rsidRPr="00F90B6B">
        <w:rPr>
          <w:rFonts w:ascii="Times New Roman" w:hAnsi="Times New Roman"/>
          <w:sz w:val="28"/>
          <w:szCs w:val="28"/>
        </w:rPr>
        <w:t>M., Coats</w:t>
      </w:r>
      <w:r w:rsidRPr="00F90B6B">
        <w:rPr>
          <w:rFonts w:ascii="Times New Roman" w:hAnsi="Times New Roman"/>
          <w:sz w:val="28"/>
          <w:szCs w:val="28"/>
          <w:lang w:val="en-US"/>
        </w:rPr>
        <w:t xml:space="preserve"> </w:t>
      </w:r>
      <w:r w:rsidRPr="00F90B6B">
        <w:rPr>
          <w:rFonts w:ascii="Times New Roman" w:hAnsi="Times New Roman"/>
          <w:sz w:val="28"/>
          <w:szCs w:val="28"/>
        </w:rPr>
        <w:t>A. J., Fowler</w:t>
      </w:r>
      <w:r w:rsidRPr="00F90B6B">
        <w:rPr>
          <w:rFonts w:ascii="Times New Roman" w:hAnsi="Times New Roman"/>
          <w:sz w:val="28"/>
          <w:szCs w:val="28"/>
          <w:lang w:val="en-US"/>
        </w:rPr>
        <w:t xml:space="preserve"> </w:t>
      </w:r>
      <w:r w:rsidRPr="00F90B6B">
        <w:rPr>
          <w:rFonts w:ascii="Times New Roman" w:hAnsi="Times New Roman"/>
          <w:sz w:val="28"/>
          <w:szCs w:val="28"/>
        </w:rPr>
        <w:t>M. B. et al. Effect of carvedilol on survival in severe chronic heart failure</w:t>
      </w:r>
      <w:r w:rsidRPr="00F90B6B">
        <w:rPr>
          <w:rFonts w:ascii="Times New Roman" w:hAnsi="Times New Roman"/>
          <w:sz w:val="28"/>
          <w:szCs w:val="28"/>
          <w:lang w:val="en-US"/>
        </w:rPr>
        <w:t>.</w:t>
      </w:r>
      <w:r w:rsidRPr="00F90B6B">
        <w:rPr>
          <w:rFonts w:ascii="Times New Roman" w:hAnsi="Times New Roman"/>
          <w:sz w:val="28"/>
          <w:szCs w:val="28"/>
        </w:rPr>
        <w:t xml:space="preserve"> New Engl. J. Med. 2001</w:t>
      </w:r>
      <w:r w:rsidRPr="00F90B6B">
        <w:rPr>
          <w:rFonts w:ascii="Times New Roman" w:hAnsi="Times New Roman"/>
          <w:sz w:val="28"/>
          <w:szCs w:val="28"/>
          <w:lang w:val="en-US"/>
        </w:rPr>
        <w:t xml:space="preserve">; </w:t>
      </w:r>
      <w:r w:rsidRPr="00F90B6B">
        <w:rPr>
          <w:rFonts w:ascii="Times New Roman" w:hAnsi="Times New Roman"/>
          <w:sz w:val="28"/>
          <w:szCs w:val="28"/>
        </w:rPr>
        <w:t>344</w:t>
      </w:r>
      <w:r w:rsidRPr="00F90B6B">
        <w:rPr>
          <w:rFonts w:ascii="Times New Roman" w:hAnsi="Times New Roman"/>
          <w:sz w:val="28"/>
          <w:szCs w:val="28"/>
          <w:lang w:val="en-US"/>
        </w:rPr>
        <w:t>:</w:t>
      </w:r>
      <w:r w:rsidRPr="00F90B6B">
        <w:rPr>
          <w:rFonts w:ascii="Times New Roman" w:hAnsi="Times New Roman"/>
          <w:sz w:val="28"/>
          <w:szCs w:val="28"/>
        </w:rPr>
        <w:t xml:space="preserve"> 1651–58.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Palazzuoli A, Ruocco G. Heart-Kidney Interactions in Cardiorenal Syndrome Type 1. Adv Chronic Kidney Dis. 2018; 25(5): 408-417.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Park JJ, Cho YJ, Oh IY, et al. Short and long-term prognostic value of hyponatremia in heart failure with preserved ejection fraction versus reduced ejection fraction: An analysis of the Korean Acute Heart Failure registry. Int J Cardiol. 2017; 248: 239-245.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Patel YR, Kurgansky KE, Imran TF, et al. Prognostic Significance of Baseline Serum Sodium in Heart Failure With Preserved Ejection Fraction. J Am Heart Assoc. 2018; 7(12): e007529.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Patton K.K., Sotoodehnia N., DeFilipp  C.</w:t>
      </w:r>
      <w:r w:rsidRPr="00F90B6B">
        <w:rPr>
          <w:rFonts w:ascii="Times New Roman" w:hAnsi="Times New Roman"/>
          <w:sz w:val="28"/>
          <w:szCs w:val="28"/>
          <w:lang w:val="en-US"/>
        </w:rPr>
        <w:t xml:space="preserve"> et al.</w:t>
      </w:r>
      <w:r w:rsidRPr="00F90B6B">
        <w:rPr>
          <w:rFonts w:ascii="Times New Roman" w:hAnsi="Times New Roman"/>
          <w:sz w:val="28"/>
          <w:szCs w:val="28"/>
        </w:rPr>
        <w:t xml:space="preserve"> N-terminal pro-B-type natriuretic peptide is associated with sudden cardiac death risk: the Cardiovascular  Health Study. Heart Rhythm</w:t>
      </w:r>
      <w:r w:rsidRPr="00F90B6B">
        <w:rPr>
          <w:rFonts w:ascii="Times New Roman" w:hAnsi="Times New Roman"/>
          <w:sz w:val="28"/>
          <w:szCs w:val="28"/>
          <w:lang w:val="en-US"/>
        </w:rPr>
        <w:t>.</w:t>
      </w:r>
      <w:r w:rsidRPr="00F90B6B">
        <w:rPr>
          <w:rFonts w:ascii="Times New Roman" w:hAnsi="Times New Roman"/>
          <w:sz w:val="28"/>
          <w:szCs w:val="28"/>
        </w:rPr>
        <w:t xml:space="preserve"> 2011; 8</w:t>
      </w:r>
      <w:r w:rsidRPr="00F90B6B">
        <w:rPr>
          <w:rFonts w:ascii="Times New Roman" w:hAnsi="Times New Roman"/>
          <w:sz w:val="28"/>
          <w:szCs w:val="28"/>
          <w:lang w:val="en-US"/>
        </w:rPr>
        <w:t xml:space="preserve"> </w:t>
      </w:r>
      <w:r w:rsidRPr="00F90B6B">
        <w:rPr>
          <w:rFonts w:ascii="Times New Roman" w:hAnsi="Times New Roman"/>
          <w:sz w:val="28"/>
          <w:szCs w:val="28"/>
        </w:rPr>
        <w:t>(2): 228–33.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Pellicori P, Cleland JG, Zhang J, et al. Cardiac Dysfunction, Congestion and Loop Diuretics: their Relationship to Prognosis in Heart Failure. Cardiovasc Drugs Ther. 2016; 30(6): 599-609.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Pfeffer</w:t>
      </w:r>
      <w:r w:rsidRPr="00F90B6B">
        <w:rPr>
          <w:rFonts w:ascii="Times New Roman" w:hAnsi="Times New Roman"/>
          <w:sz w:val="28"/>
          <w:szCs w:val="28"/>
          <w:lang w:val="en-US"/>
        </w:rPr>
        <w:t xml:space="preserve"> </w:t>
      </w:r>
      <w:r w:rsidRPr="00F90B6B">
        <w:rPr>
          <w:rFonts w:ascii="Times New Roman" w:hAnsi="Times New Roman"/>
          <w:sz w:val="28"/>
          <w:szCs w:val="28"/>
        </w:rPr>
        <w:t>M</w:t>
      </w:r>
      <w:r w:rsidRPr="00F90B6B">
        <w:rPr>
          <w:rFonts w:ascii="Times New Roman" w:hAnsi="Times New Roman"/>
          <w:sz w:val="28"/>
          <w:szCs w:val="28"/>
          <w:lang w:val="en-US"/>
        </w:rPr>
        <w:t xml:space="preserve">. </w:t>
      </w:r>
      <w:r w:rsidRPr="00F90B6B">
        <w:rPr>
          <w:rFonts w:ascii="Times New Roman" w:hAnsi="Times New Roman"/>
          <w:sz w:val="28"/>
          <w:szCs w:val="28"/>
        </w:rPr>
        <w:t>A</w:t>
      </w:r>
      <w:r w:rsidRPr="00F90B6B">
        <w:rPr>
          <w:rFonts w:ascii="Times New Roman" w:hAnsi="Times New Roman"/>
          <w:sz w:val="28"/>
          <w:szCs w:val="28"/>
          <w:lang w:val="en-US"/>
        </w:rPr>
        <w:t>.</w:t>
      </w:r>
      <w:r w:rsidRPr="00F90B6B">
        <w:rPr>
          <w:rFonts w:ascii="Times New Roman" w:hAnsi="Times New Roman"/>
          <w:sz w:val="28"/>
          <w:szCs w:val="28"/>
        </w:rPr>
        <w:t>, Domanski</w:t>
      </w:r>
      <w:r w:rsidRPr="00F90B6B">
        <w:rPr>
          <w:rFonts w:ascii="Times New Roman" w:hAnsi="Times New Roman"/>
          <w:sz w:val="28"/>
          <w:szCs w:val="28"/>
          <w:lang w:val="en-US"/>
        </w:rPr>
        <w:t xml:space="preserve"> M.</w:t>
      </w:r>
      <w:r w:rsidRPr="00F90B6B">
        <w:rPr>
          <w:rFonts w:ascii="Times New Roman" w:hAnsi="Times New Roman"/>
          <w:sz w:val="28"/>
          <w:szCs w:val="28"/>
        </w:rPr>
        <w:t>,Verter</w:t>
      </w:r>
      <w:r w:rsidRPr="00F90B6B">
        <w:rPr>
          <w:rFonts w:ascii="Times New Roman" w:hAnsi="Times New Roman"/>
          <w:sz w:val="28"/>
          <w:szCs w:val="28"/>
          <w:lang w:val="en-US"/>
        </w:rPr>
        <w:t xml:space="preserve"> J. et al.</w:t>
      </w:r>
      <w:r w:rsidRPr="00F90B6B">
        <w:rPr>
          <w:rFonts w:ascii="Times New Roman" w:hAnsi="Times New Roman"/>
          <w:sz w:val="28"/>
          <w:szCs w:val="28"/>
        </w:rPr>
        <w:t>; PEACE Investigators</w:t>
      </w:r>
      <w:r w:rsidRPr="00F90B6B">
        <w:rPr>
          <w:rFonts w:ascii="Times New Roman" w:hAnsi="Times New Roman"/>
          <w:sz w:val="28"/>
          <w:szCs w:val="28"/>
          <w:lang w:val="en-US"/>
        </w:rPr>
        <w:t xml:space="preserve">. </w:t>
      </w:r>
      <w:r w:rsidRPr="00F90B6B">
        <w:rPr>
          <w:rFonts w:ascii="Times New Roman" w:hAnsi="Times New Roman"/>
          <w:sz w:val="28"/>
          <w:szCs w:val="28"/>
        </w:rPr>
        <w:t>The continuation of the Prevention of Events With Angiotensin-Converting Enzyme Inhibition (PEACE) Trial</w:t>
      </w:r>
      <w:r w:rsidRPr="00F90B6B">
        <w:rPr>
          <w:rFonts w:ascii="Times New Roman" w:hAnsi="Times New Roman"/>
          <w:sz w:val="28"/>
          <w:szCs w:val="28"/>
          <w:lang w:val="en-US"/>
        </w:rPr>
        <w:t xml:space="preserve">. </w:t>
      </w:r>
      <w:r w:rsidRPr="00F90B6B">
        <w:rPr>
          <w:rFonts w:ascii="Times New Roman" w:hAnsi="Times New Roman"/>
          <w:sz w:val="28"/>
          <w:szCs w:val="28"/>
        </w:rPr>
        <w:t>Am</w:t>
      </w:r>
      <w:r w:rsidRPr="00F90B6B">
        <w:rPr>
          <w:rFonts w:ascii="Times New Roman" w:hAnsi="Times New Roman"/>
          <w:sz w:val="28"/>
          <w:szCs w:val="28"/>
          <w:lang w:val="en-US"/>
        </w:rPr>
        <w:t>.</w:t>
      </w:r>
      <w:r w:rsidRPr="00F90B6B">
        <w:rPr>
          <w:rFonts w:ascii="Times New Roman" w:hAnsi="Times New Roman"/>
          <w:sz w:val="28"/>
          <w:szCs w:val="28"/>
        </w:rPr>
        <w:t xml:space="preserve"> Heart J. 2001</w:t>
      </w:r>
      <w:r w:rsidRPr="00F90B6B">
        <w:rPr>
          <w:rFonts w:ascii="Times New Roman" w:hAnsi="Times New Roman"/>
          <w:sz w:val="28"/>
          <w:szCs w:val="28"/>
          <w:lang w:val="en-US"/>
        </w:rPr>
        <w:t xml:space="preserve">; </w:t>
      </w:r>
      <w:r w:rsidRPr="00F90B6B">
        <w:rPr>
          <w:rFonts w:ascii="Times New Roman" w:hAnsi="Times New Roman"/>
          <w:sz w:val="28"/>
          <w:szCs w:val="28"/>
        </w:rPr>
        <w:t>142</w:t>
      </w:r>
      <w:r w:rsidRPr="00F90B6B">
        <w:rPr>
          <w:rFonts w:ascii="Times New Roman" w:hAnsi="Times New Roman"/>
          <w:sz w:val="28"/>
          <w:szCs w:val="28"/>
          <w:lang w:val="en-US"/>
        </w:rPr>
        <w:t xml:space="preserve"> </w:t>
      </w:r>
      <w:r w:rsidRPr="00F90B6B">
        <w:rPr>
          <w:rFonts w:ascii="Times New Roman" w:hAnsi="Times New Roman"/>
          <w:sz w:val="28"/>
          <w:szCs w:val="28"/>
        </w:rPr>
        <w:t>(3)</w:t>
      </w:r>
      <w:r w:rsidRPr="00F90B6B">
        <w:rPr>
          <w:rFonts w:ascii="Times New Roman" w:hAnsi="Times New Roman"/>
          <w:sz w:val="28"/>
          <w:szCs w:val="28"/>
          <w:lang w:val="en-US"/>
        </w:rPr>
        <w:t xml:space="preserve">: </w:t>
      </w:r>
      <w:r w:rsidRPr="00F90B6B">
        <w:rPr>
          <w:rFonts w:ascii="Times New Roman" w:hAnsi="Times New Roman"/>
          <w:sz w:val="28"/>
          <w:szCs w:val="28"/>
        </w:rPr>
        <w:t>375-</w:t>
      </w:r>
      <w:r w:rsidRPr="00F90B6B">
        <w:rPr>
          <w:rFonts w:ascii="Times New Roman" w:hAnsi="Times New Roman"/>
          <w:sz w:val="28"/>
          <w:szCs w:val="28"/>
          <w:lang w:val="en-US"/>
        </w:rPr>
        <w:t>7</w:t>
      </w:r>
      <w:r w:rsidRPr="00F90B6B">
        <w:rPr>
          <w:rFonts w:ascii="Times New Roman" w:hAnsi="Times New Roman"/>
          <w:sz w:val="28"/>
          <w:szCs w:val="28"/>
        </w:rPr>
        <w:t>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Pitt B., Zannad F., Remme W. J. et al. The effect of spironolactone on morbidity and mortality in patients with severe heart failure. New Engl. J. Med. 1999; 341: 709–17</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Planelles-Herrero</w:t>
      </w:r>
      <w:r w:rsidRPr="00F90B6B">
        <w:rPr>
          <w:rFonts w:ascii="Times New Roman" w:hAnsi="Times New Roman"/>
          <w:sz w:val="28"/>
          <w:szCs w:val="28"/>
          <w:lang w:val="en-US"/>
        </w:rPr>
        <w:t xml:space="preserve"> </w:t>
      </w:r>
      <w:r w:rsidRPr="00F90B6B">
        <w:rPr>
          <w:rFonts w:ascii="Times New Roman" w:hAnsi="Times New Roman"/>
          <w:sz w:val="28"/>
          <w:szCs w:val="28"/>
        </w:rPr>
        <w:t>V</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Hartman</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Robert-Paganin</w:t>
      </w:r>
      <w:r w:rsidRPr="00F90B6B">
        <w:rPr>
          <w:rFonts w:ascii="Times New Roman" w:hAnsi="Times New Roman"/>
          <w:sz w:val="28"/>
          <w:szCs w:val="28"/>
          <w:lang w:val="en-US"/>
        </w:rPr>
        <w:t xml:space="preserve"> J. et al. </w:t>
      </w:r>
      <w:r w:rsidRPr="00F90B6B">
        <w:rPr>
          <w:rFonts w:ascii="Times New Roman" w:hAnsi="Times New Roman"/>
          <w:sz w:val="28"/>
          <w:szCs w:val="28"/>
        </w:rPr>
        <w:t>Mechanistic and structural basis for activation of cardiac myosin force production by omecamtiv mecarbil</w:t>
      </w:r>
      <w:r w:rsidRPr="00F90B6B">
        <w:rPr>
          <w:rFonts w:ascii="Times New Roman" w:hAnsi="Times New Roman"/>
          <w:sz w:val="28"/>
          <w:szCs w:val="28"/>
          <w:lang w:val="en-US"/>
        </w:rPr>
        <w:t xml:space="preserve">. </w:t>
      </w:r>
      <w:r w:rsidRPr="00F90B6B">
        <w:rPr>
          <w:rFonts w:ascii="Times New Roman" w:hAnsi="Times New Roman"/>
          <w:sz w:val="28"/>
          <w:szCs w:val="28"/>
        </w:rPr>
        <w:t>Nat</w:t>
      </w:r>
      <w:r w:rsidRPr="00F90B6B">
        <w:rPr>
          <w:rFonts w:ascii="Times New Roman" w:hAnsi="Times New Roman"/>
          <w:sz w:val="28"/>
          <w:szCs w:val="28"/>
          <w:lang w:val="en-US"/>
        </w:rPr>
        <w:t>.</w:t>
      </w:r>
      <w:r w:rsidRPr="00F90B6B">
        <w:rPr>
          <w:rFonts w:ascii="Times New Roman" w:hAnsi="Times New Roman"/>
          <w:sz w:val="28"/>
          <w:szCs w:val="28"/>
        </w:rPr>
        <w:t xml:space="preserve"> Commun.</w:t>
      </w:r>
      <w:r w:rsidRPr="00F90B6B">
        <w:rPr>
          <w:rFonts w:ascii="Times New Roman" w:hAnsi="Times New Roman"/>
          <w:sz w:val="28"/>
          <w:szCs w:val="28"/>
          <w:lang w:val="en-US"/>
        </w:rPr>
        <w:t xml:space="preserve"> </w:t>
      </w:r>
      <w:r w:rsidRPr="00F90B6B">
        <w:rPr>
          <w:rFonts w:ascii="Times New Roman" w:hAnsi="Times New Roman"/>
          <w:sz w:val="28"/>
          <w:szCs w:val="28"/>
        </w:rPr>
        <w:t>2017</w:t>
      </w:r>
      <w:r w:rsidRPr="00F90B6B">
        <w:rPr>
          <w:rFonts w:ascii="Times New Roman" w:hAnsi="Times New Roman"/>
          <w:sz w:val="28"/>
          <w:szCs w:val="28"/>
          <w:lang w:val="en-US"/>
        </w:rPr>
        <w:t xml:space="preserve">; </w:t>
      </w:r>
      <w:r w:rsidRPr="00F90B6B">
        <w:rPr>
          <w:rFonts w:ascii="Times New Roman" w:hAnsi="Times New Roman"/>
          <w:sz w:val="28"/>
          <w:szCs w:val="28"/>
        </w:rPr>
        <w:t>8</w:t>
      </w:r>
      <w:r w:rsidRPr="00F90B6B">
        <w:rPr>
          <w:rFonts w:ascii="Times New Roman" w:hAnsi="Times New Roman"/>
          <w:sz w:val="28"/>
          <w:szCs w:val="28"/>
          <w:lang w:val="en-US"/>
        </w:rPr>
        <w:t xml:space="preserve"> </w:t>
      </w:r>
      <w:r w:rsidRPr="00F90B6B">
        <w:rPr>
          <w:rFonts w:ascii="Times New Roman" w:hAnsi="Times New Roman"/>
          <w:sz w:val="28"/>
          <w:szCs w:val="28"/>
        </w:rPr>
        <w:t>(1)</w:t>
      </w:r>
      <w:r w:rsidRPr="00F90B6B">
        <w:rPr>
          <w:rFonts w:ascii="Times New Roman" w:hAnsi="Times New Roman"/>
          <w:sz w:val="28"/>
          <w:szCs w:val="28"/>
          <w:lang w:val="en-US"/>
        </w:rPr>
        <w:t xml:space="preserve">: </w:t>
      </w:r>
      <w:r w:rsidRPr="00F90B6B">
        <w:rPr>
          <w:rFonts w:ascii="Times New Roman" w:hAnsi="Times New Roman"/>
          <w:sz w:val="28"/>
          <w:szCs w:val="28"/>
        </w:rPr>
        <w:t>190.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Pocock</w:t>
      </w:r>
      <w:r w:rsidRPr="00F90B6B">
        <w:rPr>
          <w:rFonts w:ascii="Times New Roman" w:hAnsi="Times New Roman"/>
          <w:sz w:val="28"/>
          <w:szCs w:val="28"/>
          <w:lang w:val="en-US"/>
        </w:rPr>
        <w:t xml:space="preserve"> </w:t>
      </w:r>
      <w:r w:rsidRPr="00F90B6B">
        <w:rPr>
          <w:rFonts w:ascii="Times New Roman" w:hAnsi="Times New Roman"/>
          <w:sz w:val="28"/>
          <w:szCs w:val="28"/>
        </w:rPr>
        <w:t>S. J., Ariti</w:t>
      </w:r>
      <w:r w:rsidRPr="00F90B6B">
        <w:rPr>
          <w:rFonts w:ascii="Times New Roman" w:hAnsi="Times New Roman"/>
          <w:sz w:val="28"/>
          <w:szCs w:val="28"/>
          <w:lang w:val="en-US"/>
        </w:rPr>
        <w:t xml:space="preserve"> </w:t>
      </w:r>
      <w:r w:rsidRPr="00F90B6B">
        <w:rPr>
          <w:rFonts w:ascii="Times New Roman" w:hAnsi="Times New Roman"/>
          <w:sz w:val="28"/>
          <w:szCs w:val="28"/>
        </w:rPr>
        <w:t>C. A., McMurray</w:t>
      </w:r>
      <w:r w:rsidRPr="00F90B6B">
        <w:rPr>
          <w:rFonts w:ascii="Times New Roman" w:hAnsi="Times New Roman"/>
          <w:sz w:val="28"/>
          <w:szCs w:val="28"/>
          <w:lang w:val="en-US"/>
        </w:rPr>
        <w:t xml:space="preserve"> </w:t>
      </w:r>
      <w:r w:rsidRPr="00F90B6B">
        <w:rPr>
          <w:rFonts w:ascii="Times New Roman" w:hAnsi="Times New Roman"/>
          <w:sz w:val="28"/>
          <w:szCs w:val="28"/>
        </w:rPr>
        <w:t>J. J. V. et al. Predicting survival in heart failure: a risk score based on 39 372 patients from 30 studies</w:t>
      </w:r>
      <w:r w:rsidRPr="00F90B6B">
        <w:rPr>
          <w:rFonts w:ascii="Times New Roman" w:hAnsi="Times New Roman"/>
          <w:sz w:val="28"/>
          <w:szCs w:val="28"/>
          <w:lang w:val="en-US"/>
        </w:rPr>
        <w:t>.</w:t>
      </w:r>
      <w:r w:rsidRPr="00F90B6B">
        <w:rPr>
          <w:rFonts w:ascii="Times New Roman" w:hAnsi="Times New Roman"/>
          <w:sz w:val="28"/>
          <w:szCs w:val="28"/>
        </w:rPr>
        <w:t xml:space="preserve"> Eur. Heart J. 2013</w:t>
      </w:r>
      <w:r w:rsidRPr="00F90B6B">
        <w:rPr>
          <w:rFonts w:ascii="Times New Roman" w:hAnsi="Times New Roman"/>
          <w:sz w:val="28"/>
          <w:szCs w:val="28"/>
          <w:lang w:val="en-US"/>
        </w:rPr>
        <w:t xml:space="preserve">; </w:t>
      </w:r>
      <w:r w:rsidRPr="00F90B6B">
        <w:rPr>
          <w:rFonts w:ascii="Times New Roman" w:hAnsi="Times New Roman"/>
          <w:sz w:val="28"/>
          <w:szCs w:val="28"/>
        </w:rPr>
        <w:t>34</w:t>
      </w:r>
      <w:r w:rsidRPr="00F90B6B">
        <w:rPr>
          <w:rFonts w:ascii="Times New Roman" w:hAnsi="Times New Roman"/>
          <w:sz w:val="28"/>
          <w:szCs w:val="28"/>
          <w:lang w:val="en-US"/>
        </w:rPr>
        <w:t>:</w:t>
      </w:r>
      <w:r w:rsidRPr="00F90B6B">
        <w:rPr>
          <w:rFonts w:ascii="Times New Roman" w:hAnsi="Times New Roman"/>
          <w:sz w:val="28"/>
          <w:szCs w:val="28"/>
        </w:rPr>
        <w:t>1404–13.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Ponikowski</w:t>
      </w:r>
      <w:r w:rsidRPr="00F90B6B">
        <w:rPr>
          <w:rFonts w:ascii="Times New Roman" w:hAnsi="Times New Roman"/>
          <w:sz w:val="28"/>
          <w:szCs w:val="28"/>
          <w:lang w:val="en-US"/>
        </w:rPr>
        <w:t xml:space="preserve"> P.</w:t>
      </w:r>
      <w:r w:rsidRPr="00F90B6B">
        <w:rPr>
          <w:rFonts w:ascii="Times New Roman" w:hAnsi="Times New Roman"/>
          <w:sz w:val="28"/>
          <w:szCs w:val="28"/>
        </w:rPr>
        <w:t>, van Veldhuisen</w:t>
      </w:r>
      <w:r w:rsidRPr="00F90B6B">
        <w:rPr>
          <w:rFonts w:ascii="Times New Roman" w:hAnsi="Times New Roman"/>
          <w:sz w:val="28"/>
          <w:szCs w:val="28"/>
          <w:lang w:val="en-US"/>
        </w:rPr>
        <w:t xml:space="preserve"> </w:t>
      </w:r>
      <w:r w:rsidRPr="00F90B6B">
        <w:rPr>
          <w:rFonts w:ascii="Times New Roman" w:hAnsi="Times New Roman"/>
          <w:sz w:val="28"/>
          <w:szCs w:val="28"/>
        </w:rPr>
        <w:t>D</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w:t>
      </w:r>
      <w:r w:rsidRPr="00F90B6B">
        <w:rPr>
          <w:rFonts w:ascii="Times New Roman" w:hAnsi="Times New Roman"/>
          <w:sz w:val="28"/>
          <w:szCs w:val="28"/>
          <w:lang w:val="en-US"/>
        </w:rPr>
        <w:t xml:space="preserve"> </w:t>
      </w:r>
      <w:r w:rsidRPr="00F90B6B">
        <w:rPr>
          <w:rFonts w:ascii="Times New Roman" w:hAnsi="Times New Roman"/>
          <w:sz w:val="28"/>
          <w:szCs w:val="28"/>
        </w:rPr>
        <w:t>Comin-Colet</w:t>
      </w:r>
      <w:r w:rsidRPr="00F90B6B">
        <w:rPr>
          <w:rFonts w:ascii="Times New Roman" w:hAnsi="Times New Roman"/>
          <w:sz w:val="28"/>
          <w:szCs w:val="28"/>
          <w:lang w:val="en-US"/>
        </w:rPr>
        <w:t xml:space="preserve"> </w:t>
      </w:r>
      <w:r w:rsidRPr="00F90B6B">
        <w:rPr>
          <w:rFonts w:ascii="Times New Roman" w:hAnsi="Times New Roman"/>
          <w:sz w:val="28"/>
          <w:szCs w:val="28"/>
        </w:rPr>
        <w:t xml:space="preserve"> </w:t>
      </w:r>
      <w:r w:rsidRPr="00F90B6B">
        <w:rPr>
          <w:rFonts w:ascii="Times New Roman" w:hAnsi="Times New Roman"/>
          <w:sz w:val="28"/>
          <w:szCs w:val="28"/>
          <w:lang w:val="en-US"/>
        </w:rPr>
        <w:t xml:space="preserve">J. </w:t>
      </w:r>
      <w:r w:rsidRPr="00F90B6B">
        <w:rPr>
          <w:rFonts w:ascii="Times New Roman" w:hAnsi="Times New Roman"/>
          <w:sz w:val="28"/>
          <w:szCs w:val="28"/>
        </w:rPr>
        <w:t>et al.</w:t>
      </w:r>
      <w:r w:rsidRPr="00F90B6B">
        <w:rPr>
          <w:rFonts w:ascii="Times New Roman" w:hAnsi="Times New Roman"/>
          <w:sz w:val="28"/>
          <w:szCs w:val="28"/>
          <w:lang w:val="en-US"/>
        </w:rPr>
        <w:t xml:space="preserve"> </w:t>
      </w:r>
      <w:r w:rsidRPr="00F90B6B">
        <w:rPr>
          <w:rFonts w:ascii="Times New Roman" w:hAnsi="Times New Roman"/>
          <w:sz w:val="28"/>
          <w:szCs w:val="28"/>
        </w:rPr>
        <w:t>Beneﬁcial effects of long-term intravenous iron therapy with ferric carboxymaltose in patients with symptomatic heart failure and iron deﬁciency</w:t>
      </w:r>
      <w:r w:rsidRPr="00F90B6B">
        <w:rPr>
          <w:rFonts w:ascii="Times New Roman" w:hAnsi="Times New Roman"/>
          <w:sz w:val="28"/>
          <w:szCs w:val="28"/>
          <w:lang w:val="en-US"/>
        </w:rPr>
        <w:t>.</w:t>
      </w:r>
      <w:r w:rsidRPr="00F90B6B">
        <w:rPr>
          <w:rFonts w:ascii="Times New Roman" w:hAnsi="Times New Roman"/>
          <w:sz w:val="28"/>
          <w:szCs w:val="28"/>
        </w:rPr>
        <w:t xml:space="preserve"> Eur</w:t>
      </w:r>
      <w:r w:rsidRPr="00F90B6B">
        <w:rPr>
          <w:rFonts w:ascii="Times New Roman" w:hAnsi="Times New Roman"/>
          <w:sz w:val="28"/>
          <w:szCs w:val="28"/>
          <w:lang w:val="en-US"/>
        </w:rPr>
        <w:t>.</w:t>
      </w:r>
      <w:r w:rsidRPr="00F90B6B">
        <w:rPr>
          <w:rFonts w:ascii="Times New Roman" w:hAnsi="Times New Roman"/>
          <w:sz w:val="28"/>
          <w:szCs w:val="28"/>
        </w:rPr>
        <w:t xml:space="preserve"> Heart J</w:t>
      </w:r>
      <w:r w:rsidRPr="00F90B6B">
        <w:rPr>
          <w:rFonts w:ascii="Times New Roman" w:hAnsi="Times New Roman"/>
          <w:sz w:val="28"/>
          <w:szCs w:val="28"/>
          <w:lang w:val="en-US"/>
        </w:rPr>
        <w:t xml:space="preserve">. </w:t>
      </w:r>
      <w:r w:rsidRPr="00F90B6B">
        <w:rPr>
          <w:rFonts w:ascii="Times New Roman" w:hAnsi="Times New Roman"/>
          <w:sz w:val="28"/>
          <w:szCs w:val="28"/>
        </w:rPr>
        <w:t>2015</w:t>
      </w:r>
      <w:r w:rsidRPr="00F90B6B">
        <w:rPr>
          <w:rFonts w:ascii="Times New Roman" w:hAnsi="Times New Roman"/>
          <w:sz w:val="28"/>
          <w:szCs w:val="28"/>
          <w:lang w:val="en-US"/>
        </w:rPr>
        <w:t xml:space="preserve">; </w:t>
      </w:r>
      <w:r w:rsidRPr="00F90B6B">
        <w:rPr>
          <w:rFonts w:ascii="Times New Roman" w:hAnsi="Times New Roman"/>
          <w:sz w:val="28"/>
          <w:szCs w:val="28"/>
        </w:rPr>
        <w:t>36</w:t>
      </w:r>
      <w:r w:rsidRPr="00F90B6B">
        <w:rPr>
          <w:rFonts w:ascii="Times New Roman" w:hAnsi="Times New Roman"/>
          <w:sz w:val="28"/>
          <w:szCs w:val="28"/>
          <w:lang w:val="en-US"/>
        </w:rPr>
        <w:t xml:space="preserve">: </w:t>
      </w:r>
      <w:r w:rsidRPr="00F90B6B">
        <w:rPr>
          <w:rFonts w:ascii="Times New Roman" w:hAnsi="Times New Roman"/>
          <w:sz w:val="28"/>
          <w:szCs w:val="28"/>
        </w:rPr>
        <w:t>657–68.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Ponikowski</w:t>
      </w:r>
      <w:r w:rsidRPr="00F90B6B">
        <w:rPr>
          <w:rFonts w:ascii="Times New Roman" w:hAnsi="Times New Roman"/>
          <w:sz w:val="28"/>
          <w:szCs w:val="28"/>
          <w:lang w:val="en-US"/>
        </w:rPr>
        <w:t xml:space="preserve"> </w:t>
      </w:r>
      <w:r w:rsidRPr="00F90B6B">
        <w:rPr>
          <w:rFonts w:ascii="Times New Roman" w:hAnsi="Times New Roman"/>
          <w:sz w:val="28"/>
          <w:szCs w:val="28"/>
        </w:rPr>
        <w:t>P</w:t>
      </w:r>
      <w:r w:rsidRPr="00F90B6B">
        <w:rPr>
          <w:rFonts w:ascii="Times New Roman" w:hAnsi="Times New Roman"/>
          <w:sz w:val="28"/>
          <w:szCs w:val="28"/>
          <w:lang w:val="en-US"/>
        </w:rPr>
        <w:t>.,</w:t>
      </w:r>
      <w:r w:rsidRPr="00F90B6B">
        <w:rPr>
          <w:rFonts w:ascii="Times New Roman" w:hAnsi="Times New Roman"/>
          <w:sz w:val="28"/>
          <w:szCs w:val="28"/>
        </w:rPr>
        <w:t xml:space="preserve"> Voors</w:t>
      </w:r>
      <w:r w:rsidRPr="00F90B6B">
        <w:rPr>
          <w:rFonts w:ascii="Times New Roman" w:hAnsi="Times New Roman"/>
          <w:sz w:val="28"/>
          <w:szCs w:val="28"/>
          <w:lang w:val="en-US"/>
        </w:rPr>
        <w:t xml:space="preserve"> </w:t>
      </w:r>
      <w:r w:rsidRPr="00F90B6B">
        <w:rPr>
          <w:rFonts w:ascii="Times New Roman" w:hAnsi="Times New Roman"/>
          <w:sz w:val="28"/>
          <w:szCs w:val="28"/>
        </w:rPr>
        <w:t>A</w:t>
      </w:r>
      <w:r w:rsidRPr="00F90B6B">
        <w:rPr>
          <w:rFonts w:ascii="Times New Roman" w:hAnsi="Times New Roman"/>
          <w:sz w:val="28"/>
          <w:szCs w:val="28"/>
          <w:lang w:val="en-US"/>
        </w:rPr>
        <w:t>.</w:t>
      </w:r>
      <w:r w:rsidRPr="00F90B6B">
        <w:rPr>
          <w:rFonts w:ascii="Times New Roman" w:hAnsi="Times New Roman"/>
          <w:sz w:val="28"/>
          <w:szCs w:val="28"/>
        </w:rPr>
        <w:t xml:space="preserve"> A.</w:t>
      </w:r>
      <w:r w:rsidRPr="00F90B6B">
        <w:rPr>
          <w:rFonts w:ascii="Times New Roman" w:hAnsi="Times New Roman"/>
          <w:sz w:val="28"/>
          <w:szCs w:val="28"/>
          <w:lang w:val="en-US"/>
        </w:rPr>
        <w:t>,</w:t>
      </w:r>
      <w:r w:rsidRPr="00F90B6B">
        <w:rPr>
          <w:rFonts w:ascii="Times New Roman" w:hAnsi="Times New Roman"/>
          <w:sz w:val="28"/>
          <w:szCs w:val="28"/>
        </w:rPr>
        <w:t xml:space="preserve"> Anker S</w:t>
      </w:r>
      <w:r w:rsidRPr="00F90B6B">
        <w:rPr>
          <w:rFonts w:ascii="Times New Roman" w:hAnsi="Times New Roman"/>
          <w:sz w:val="28"/>
          <w:szCs w:val="28"/>
          <w:lang w:val="en-US"/>
        </w:rPr>
        <w:t>.</w:t>
      </w:r>
      <w:r w:rsidRPr="00F90B6B">
        <w:rPr>
          <w:rFonts w:ascii="Times New Roman" w:hAnsi="Times New Roman"/>
          <w:sz w:val="28"/>
          <w:szCs w:val="28"/>
        </w:rPr>
        <w:t xml:space="preserve"> D. </w:t>
      </w:r>
      <w:r w:rsidRPr="00F90B6B">
        <w:rPr>
          <w:rFonts w:ascii="Times New Roman" w:hAnsi="Times New Roman"/>
          <w:sz w:val="28"/>
          <w:szCs w:val="28"/>
          <w:lang w:val="en-US"/>
        </w:rPr>
        <w:t xml:space="preserve">et al. </w:t>
      </w:r>
      <w:r w:rsidRPr="00F90B6B">
        <w:rPr>
          <w:rFonts w:ascii="Times New Roman" w:hAnsi="Times New Roman"/>
          <w:sz w:val="28"/>
          <w:szCs w:val="28"/>
        </w:rPr>
        <w:t>2016 ESC Guidelines for the diagnosis and treatment of acute and chronic heart failure</w:t>
      </w:r>
      <w:r w:rsidRPr="00F90B6B">
        <w:rPr>
          <w:rFonts w:ascii="Times New Roman" w:hAnsi="Times New Roman"/>
          <w:sz w:val="28"/>
          <w:szCs w:val="28"/>
          <w:lang w:val="en-US"/>
        </w:rPr>
        <w:t>.</w:t>
      </w:r>
      <w:r w:rsidRPr="00F90B6B">
        <w:rPr>
          <w:rFonts w:ascii="Times New Roman" w:hAnsi="Times New Roman"/>
          <w:sz w:val="28"/>
          <w:szCs w:val="28"/>
        </w:rPr>
        <w:t xml:space="preserve"> The Task Force for the diagnosis and treatment of acute and chronic heart failure of the European Society of Cardiology (ESC)</w:t>
      </w:r>
      <w:r w:rsidRPr="00F90B6B">
        <w:rPr>
          <w:rFonts w:ascii="Times New Roman" w:hAnsi="Times New Roman"/>
          <w:sz w:val="28"/>
          <w:szCs w:val="28"/>
          <w:lang w:val="en-US"/>
        </w:rPr>
        <w:t>. Eur. Heart Jour. 2016; 37: 2129–200</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 xml:space="preserve">Pose A, Almenar L, Manzano L, Gavira JJ, et al. Hyponatraemia and congestive heart failure refractory to diuretic treatment. Utility of tolvaptan. Rev Clin Esp. 2017; 217(7): 398-404.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Rahimi K., Bennett D., Conrad N. et al. Risk prediction in patients with heart failure.  JACC Heart Fail. 2014; 2: 440–46</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Rangaswami J, Mathew RO. Pathophysiological Mechanisms in Cardiorenal Syndrome. Adv Chronic Kidney Dis. 2018; 25(5): 400-407.</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Rao VN, Zhao D, Allison MA, et al. Adiposity and Incident Heart Failure and its Subtypes: MESA (Multi-Ethnic Study of Atherosclerosis). JACC Heart Fail. 2018; 18: 30559-6.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Rauchhaus M, Koloczek V, Volk H et al. Inflammatory cytokines and the possible immunological role for lipoproteins in chronic heart failure. Int. J. Cardiol. 2000; 76 (2–3): 125-33.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Riegger G.A., Leibau G., Kochsiek, K. Antidiuretic hormone in congestive heart failure. Am</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w:t>
      </w:r>
      <w:r w:rsidRPr="00F90B6B">
        <w:rPr>
          <w:rFonts w:ascii="Times New Roman" w:hAnsi="Times New Roman"/>
          <w:sz w:val="28"/>
          <w:szCs w:val="28"/>
        </w:rPr>
        <w:t xml:space="preserve"> 1982;</w:t>
      </w:r>
      <w:r w:rsidRPr="00F90B6B">
        <w:rPr>
          <w:rFonts w:ascii="Times New Roman" w:hAnsi="Times New Roman"/>
          <w:sz w:val="28"/>
          <w:szCs w:val="28"/>
          <w:lang w:val="en-US"/>
        </w:rPr>
        <w:t xml:space="preserve"> </w:t>
      </w:r>
      <w:r w:rsidRPr="00F90B6B">
        <w:rPr>
          <w:rFonts w:ascii="Times New Roman" w:hAnsi="Times New Roman"/>
          <w:sz w:val="28"/>
          <w:szCs w:val="28"/>
        </w:rPr>
        <w:t>72: 49.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Ronco C, Bellasi A, Di Lullo L. Cardiorenal Syndrome: An Overview. Adv Chronic Kidney Dis. 2018; 25(5): 382-390.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Style w:val="ac"/>
          <w:rFonts w:ascii="Times New Roman" w:hAnsi="Times New Roman"/>
          <w:iCs/>
          <w:sz w:val="28"/>
          <w:szCs w:val="28"/>
          <w:lang w:val="en-US"/>
        </w:rPr>
        <w:t>Ronco C., Haapio M., House A.</w:t>
      </w:r>
      <w:r w:rsidRPr="00F90B6B">
        <w:rPr>
          <w:rFonts w:ascii="Times New Roman" w:hAnsi="Times New Roman"/>
          <w:i/>
          <w:sz w:val="28"/>
          <w:szCs w:val="28"/>
          <w:lang w:val="en-US"/>
        </w:rPr>
        <w:t xml:space="preserve"> </w:t>
      </w:r>
      <w:r w:rsidRPr="00F90B6B">
        <w:rPr>
          <w:rFonts w:ascii="Times New Roman" w:hAnsi="Times New Roman"/>
          <w:sz w:val="28"/>
          <w:szCs w:val="28"/>
          <w:lang w:val="en-US"/>
        </w:rPr>
        <w:t>et al. Cardiorenal syndrome. JACC. 2008; 52 (19): 1527–39</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Rossi J., Bayram M., Udelson J.E. et al. Improvement in hyponatremia during hospitalization for worsening heart failure is associated with improved outcomes: insights from the Acute and Chronic Therapeutic Impact of a Vasopressin Antagonist in Chronic Heart Failure (ACTIV in CHF) trial. Acute Cardiac Care. 2007; 9: 82–6</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Rozenbaum Z, Topilsky Y, Khoury S, Pereg D, Laufer-Perl M. Association of body mass index and diastolic function in metabolically healthy obese with preserved ejection fraction. Int J Cardiol. 2018; 4: 33591-5.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Ruocco G, Verbrugge FH, Nuti R, Palazzuoli A. Hyponatremia in Acute Heart Failure in Relation to Hematocrit Levels: Clinical Relevance and Prognostic Implication. Cardiorenal Med. 2018; 8(4): 259-270.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Sajeev CG, Rajan Nair S, George B, et al. Demographical and clinicopathological characteristics in heart failure and outcome predictors: a prospective, observational study. ESC Heart Fail. 2017; 4(1): 16-22.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Salleck D, John S.</w:t>
      </w:r>
      <w:r w:rsidRPr="00F90B6B">
        <w:rPr>
          <w:rFonts w:ascii="Times New Roman" w:hAnsi="Times New Roman"/>
          <w:sz w:val="28"/>
          <w:szCs w:val="28"/>
        </w:rPr>
        <w:t xml:space="preserve"> </w:t>
      </w:r>
      <w:r w:rsidRPr="00F90B6B">
        <w:rPr>
          <w:rFonts w:ascii="Times New Roman" w:hAnsi="Times New Roman"/>
          <w:sz w:val="28"/>
          <w:szCs w:val="28"/>
          <w:lang w:val="en-US"/>
        </w:rPr>
        <w:t>Organ Interactions: Heart and kidney.</w:t>
      </w:r>
      <w:r w:rsidRPr="00F90B6B">
        <w:rPr>
          <w:rFonts w:ascii="Times New Roman" w:hAnsi="Times New Roman"/>
          <w:sz w:val="28"/>
          <w:szCs w:val="28"/>
        </w:rPr>
        <w:t xml:space="preserve"> </w:t>
      </w:r>
      <w:r w:rsidRPr="00F90B6B">
        <w:rPr>
          <w:rFonts w:ascii="Times New Roman" w:hAnsi="Times New Roman"/>
          <w:sz w:val="28"/>
          <w:szCs w:val="28"/>
          <w:lang w:val="en-US"/>
        </w:rPr>
        <w:t xml:space="preserve">Dtsch Med Wochenschr. 2017; 142(18): 1348-1356.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Savji N</w:t>
      </w:r>
      <w:r w:rsidRPr="00F90B6B">
        <w:rPr>
          <w:rFonts w:ascii="Times New Roman" w:hAnsi="Times New Roman"/>
          <w:sz w:val="28"/>
          <w:szCs w:val="28"/>
          <w:lang w:val="en-US"/>
        </w:rPr>
        <w:t>.</w:t>
      </w:r>
      <w:r w:rsidRPr="00F90B6B">
        <w:rPr>
          <w:rFonts w:ascii="Times New Roman" w:hAnsi="Times New Roman"/>
          <w:sz w:val="28"/>
          <w:szCs w:val="28"/>
        </w:rPr>
        <w:t>, Meijers W</w:t>
      </w:r>
      <w:r w:rsidRPr="00F90B6B">
        <w:rPr>
          <w:rFonts w:ascii="Times New Roman" w:hAnsi="Times New Roman"/>
          <w:sz w:val="28"/>
          <w:szCs w:val="28"/>
          <w:lang w:val="en-US"/>
        </w:rPr>
        <w:t>.</w:t>
      </w:r>
      <w:r w:rsidRPr="00F90B6B">
        <w:rPr>
          <w:rFonts w:ascii="Times New Roman" w:hAnsi="Times New Roman"/>
          <w:sz w:val="28"/>
          <w:szCs w:val="28"/>
        </w:rPr>
        <w:t>C</w:t>
      </w:r>
      <w:r w:rsidRPr="00F90B6B">
        <w:rPr>
          <w:rFonts w:ascii="Times New Roman" w:hAnsi="Times New Roman"/>
          <w:sz w:val="28"/>
          <w:szCs w:val="28"/>
          <w:lang w:val="en-US"/>
        </w:rPr>
        <w:t>.</w:t>
      </w:r>
      <w:r w:rsidRPr="00F90B6B">
        <w:rPr>
          <w:rFonts w:ascii="Times New Roman" w:hAnsi="Times New Roman"/>
          <w:sz w:val="28"/>
          <w:szCs w:val="28"/>
        </w:rPr>
        <w:t>, Bartz T</w:t>
      </w:r>
      <w:r w:rsidRPr="00F90B6B">
        <w:rPr>
          <w:rFonts w:ascii="Times New Roman" w:hAnsi="Times New Roman"/>
          <w:sz w:val="28"/>
          <w:szCs w:val="28"/>
          <w:lang w:val="en-US"/>
        </w:rPr>
        <w:t>.</w:t>
      </w:r>
      <w:r w:rsidRPr="00F90B6B">
        <w:rPr>
          <w:rFonts w:ascii="Times New Roman" w:hAnsi="Times New Roman"/>
          <w:sz w:val="28"/>
          <w:szCs w:val="28"/>
        </w:rPr>
        <w:t>M</w:t>
      </w:r>
      <w:r w:rsidRPr="00F90B6B">
        <w:rPr>
          <w:rFonts w:ascii="Times New Roman" w:hAnsi="Times New Roman"/>
          <w:sz w:val="28"/>
          <w:szCs w:val="28"/>
          <w:lang w:val="en-US"/>
        </w:rPr>
        <w:t>. et al.</w:t>
      </w:r>
      <w:r w:rsidRPr="00F90B6B">
        <w:rPr>
          <w:rFonts w:ascii="Times New Roman" w:hAnsi="Times New Roman"/>
          <w:sz w:val="28"/>
          <w:szCs w:val="28"/>
        </w:rPr>
        <w:t xml:space="preserve"> The Association of Obesity and Cardiometabolic Traits With Incident HFpEF and HFrEF. JACC Heart Fail. 2018</w:t>
      </w:r>
      <w:r w:rsidRPr="00F90B6B">
        <w:rPr>
          <w:rFonts w:ascii="Times New Roman" w:hAnsi="Times New Roman"/>
          <w:sz w:val="28"/>
          <w:szCs w:val="28"/>
          <w:lang w:val="en-US"/>
        </w:rPr>
        <w:t>;</w:t>
      </w:r>
      <w:r w:rsidRPr="00F90B6B">
        <w:rPr>
          <w:rFonts w:ascii="Times New Roman" w:hAnsi="Times New Roman"/>
          <w:sz w:val="28"/>
          <w:szCs w:val="28"/>
        </w:rPr>
        <w:t xml:space="preserve"> 6</w:t>
      </w:r>
      <w:r w:rsidRPr="00F90B6B">
        <w:rPr>
          <w:rFonts w:ascii="Times New Roman" w:hAnsi="Times New Roman"/>
          <w:sz w:val="28"/>
          <w:szCs w:val="28"/>
          <w:lang w:val="en-US"/>
        </w:rPr>
        <w:t xml:space="preserve"> </w:t>
      </w:r>
      <w:r w:rsidRPr="00F90B6B">
        <w:rPr>
          <w:rFonts w:ascii="Times New Roman" w:hAnsi="Times New Roman"/>
          <w:sz w:val="28"/>
          <w:szCs w:val="28"/>
        </w:rPr>
        <w:t>(8):</w:t>
      </w:r>
      <w:r w:rsidRPr="00F90B6B">
        <w:rPr>
          <w:rFonts w:ascii="Times New Roman" w:hAnsi="Times New Roman"/>
          <w:sz w:val="28"/>
          <w:szCs w:val="28"/>
          <w:lang w:val="en-US"/>
        </w:rPr>
        <w:t xml:space="preserve"> </w:t>
      </w:r>
      <w:r w:rsidRPr="00F90B6B">
        <w:rPr>
          <w:rFonts w:ascii="Times New Roman" w:hAnsi="Times New Roman"/>
          <w:sz w:val="28"/>
          <w:szCs w:val="28"/>
        </w:rPr>
        <w:t>701-709.</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Schrier R.W. Body water homeostasis: clinical disorders of urinary dilution and concentration. J Am</w:t>
      </w:r>
      <w:r w:rsidRPr="00F90B6B">
        <w:rPr>
          <w:rFonts w:ascii="Times New Roman" w:hAnsi="Times New Roman"/>
          <w:sz w:val="28"/>
          <w:szCs w:val="28"/>
          <w:lang w:val="en-US"/>
        </w:rPr>
        <w:t>.</w:t>
      </w:r>
      <w:r w:rsidRPr="00F90B6B">
        <w:rPr>
          <w:rFonts w:ascii="Times New Roman" w:hAnsi="Times New Roman"/>
          <w:sz w:val="28"/>
          <w:szCs w:val="28"/>
        </w:rPr>
        <w:t xml:space="preserve"> Soc</w:t>
      </w:r>
      <w:r w:rsidRPr="00F90B6B">
        <w:rPr>
          <w:rFonts w:ascii="Times New Roman" w:hAnsi="Times New Roman"/>
          <w:sz w:val="28"/>
          <w:szCs w:val="28"/>
          <w:lang w:val="en-US"/>
        </w:rPr>
        <w:t>.</w:t>
      </w:r>
      <w:r w:rsidRPr="00F90B6B">
        <w:rPr>
          <w:rFonts w:ascii="Times New Roman" w:hAnsi="Times New Roman"/>
          <w:sz w:val="28"/>
          <w:szCs w:val="28"/>
        </w:rPr>
        <w:t xml:space="preserve"> Nephrol</w:t>
      </w:r>
      <w:r w:rsidRPr="00F90B6B">
        <w:rPr>
          <w:rFonts w:ascii="Times New Roman" w:hAnsi="Times New Roman"/>
          <w:sz w:val="28"/>
          <w:szCs w:val="28"/>
          <w:lang w:val="en-US"/>
        </w:rPr>
        <w:t>.</w:t>
      </w:r>
      <w:r w:rsidRPr="00F90B6B">
        <w:rPr>
          <w:rFonts w:ascii="Times New Roman" w:hAnsi="Times New Roman"/>
          <w:sz w:val="28"/>
          <w:szCs w:val="28"/>
        </w:rPr>
        <w:t xml:space="preserve"> 2006;</w:t>
      </w:r>
      <w:r w:rsidRPr="00F90B6B">
        <w:rPr>
          <w:rFonts w:ascii="Times New Roman" w:hAnsi="Times New Roman"/>
          <w:sz w:val="28"/>
          <w:szCs w:val="28"/>
          <w:lang w:val="en-US"/>
        </w:rPr>
        <w:t xml:space="preserve"> </w:t>
      </w:r>
      <w:r w:rsidRPr="00F90B6B">
        <w:rPr>
          <w:rFonts w:ascii="Times New Roman" w:hAnsi="Times New Roman"/>
          <w:sz w:val="28"/>
          <w:szCs w:val="28"/>
        </w:rPr>
        <w:t>17: 820-1832.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Schrier R.W., Abraham W.T. Hormones and hemodynamics in heart failure. N. Engl. J. Med. 1999; 341: 577–85</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Schrier R.W., Berl T., Anderson R.J. Osmotic and nonosmotic control of vasopressin release. Am</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Physiol</w:t>
      </w:r>
      <w:r w:rsidRPr="00F90B6B">
        <w:rPr>
          <w:rFonts w:ascii="Times New Roman" w:hAnsi="Times New Roman"/>
          <w:sz w:val="28"/>
          <w:szCs w:val="28"/>
          <w:lang w:val="en-US"/>
        </w:rPr>
        <w:t>.</w:t>
      </w:r>
      <w:r w:rsidRPr="00F90B6B">
        <w:rPr>
          <w:rFonts w:ascii="Times New Roman" w:hAnsi="Times New Roman"/>
          <w:sz w:val="28"/>
          <w:szCs w:val="28"/>
        </w:rPr>
        <w:t xml:space="preserve"> 1979;</w:t>
      </w:r>
      <w:r w:rsidRPr="00F90B6B">
        <w:rPr>
          <w:rFonts w:ascii="Times New Roman" w:hAnsi="Times New Roman"/>
          <w:sz w:val="28"/>
          <w:szCs w:val="28"/>
          <w:lang w:val="en-US"/>
        </w:rPr>
        <w:t xml:space="preserve"> </w:t>
      </w:r>
      <w:r w:rsidRPr="00F90B6B">
        <w:rPr>
          <w:rFonts w:ascii="Times New Roman" w:hAnsi="Times New Roman"/>
          <w:sz w:val="28"/>
          <w:szCs w:val="28"/>
        </w:rPr>
        <w:t>236: 321</w:t>
      </w:r>
      <w:r w:rsidRPr="00F90B6B">
        <w:rPr>
          <w:rFonts w:ascii="Times New Roman" w:hAnsi="Times New Roman"/>
          <w:sz w:val="28"/>
          <w:szCs w:val="28"/>
          <w:lang w:val="en-US"/>
        </w:rPr>
        <w:t>-</w:t>
      </w:r>
      <w:r w:rsidRPr="00F90B6B">
        <w:rPr>
          <w:rFonts w:ascii="Times New Roman" w:hAnsi="Times New Roman"/>
          <w:sz w:val="28"/>
          <w:szCs w:val="28"/>
        </w:rPr>
        <w:t>3.</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eastAsia="uk-UA"/>
        </w:rPr>
      </w:pPr>
      <w:r w:rsidRPr="00F90B6B">
        <w:rPr>
          <w:rFonts w:ascii="Times New Roman" w:hAnsi="Times New Roman"/>
          <w:sz w:val="28"/>
          <w:szCs w:val="28"/>
          <w:lang w:eastAsia="uk-UA"/>
        </w:rPr>
        <w:t>Schrier R.W., Sharma S., Shchekochikhin D. Hyponatraemia: more than just a marker of disease severity? Nat</w:t>
      </w:r>
      <w:r w:rsidRPr="00F90B6B">
        <w:rPr>
          <w:rFonts w:ascii="Times New Roman" w:hAnsi="Times New Roman"/>
          <w:sz w:val="28"/>
          <w:szCs w:val="28"/>
          <w:lang w:val="en-US" w:eastAsia="uk-UA"/>
        </w:rPr>
        <w:t>.</w:t>
      </w:r>
      <w:r w:rsidRPr="00F90B6B">
        <w:rPr>
          <w:rFonts w:ascii="Times New Roman" w:hAnsi="Times New Roman"/>
          <w:sz w:val="28"/>
          <w:szCs w:val="28"/>
          <w:lang w:eastAsia="uk-UA"/>
        </w:rPr>
        <w:t xml:space="preserve"> Rev</w:t>
      </w:r>
      <w:r w:rsidRPr="00F90B6B">
        <w:rPr>
          <w:rFonts w:ascii="Times New Roman" w:hAnsi="Times New Roman"/>
          <w:sz w:val="28"/>
          <w:szCs w:val="28"/>
          <w:lang w:val="en-US" w:eastAsia="uk-UA"/>
        </w:rPr>
        <w:t>.</w:t>
      </w:r>
      <w:r w:rsidRPr="00F90B6B">
        <w:rPr>
          <w:rFonts w:ascii="Times New Roman" w:hAnsi="Times New Roman"/>
          <w:sz w:val="28"/>
          <w:szCs w:val="28"/>
          <w:lang w:eastAsia="uk-UA"/>
        </w:rPr>
        <w:t xml:space="preserve"> Nephrol</w:t>
      </w:r>
      <w:r w:rsidRPr="00F90B6B">
        <w:rPr>
          <w:rFonts w:ascii="Times New Roman" w:hAnsi="Times New Roman"/>
          <w:sz w:val="28"/>
          <w:szCs w:val="28"/>
          <w:lang w:val="en-US" w:eastAsia="uk-UA"/>
        </w:rPr>
        <w:t>.</w:t>
      </w:r>
      <w:r w:rsidRPr="00F90B6B">
        <w:rPr>
          <w:rFonts w:ascii="Times New Roman" w:hAnsi="Times New Roman"/>
          <w:sz w:val="28"/>
          <w:szCs w:val="28"/>
          <w:lang w:eastAsia="uk-UA"/>
        </w:rPr>
        <w:t xml:space="preserve"> 2013;</w:t>
      </w:r>
      <w:r w:rsidRPr="00F90B6B">
        <w:rPr>
          <w:rFonts w:ascii="Times New Roman" w:hAnsi="Times New Roman"/>
          <w:sz w:val="28"/>
          <w:szCs w:val="28"/>
          <w:lang w:val="en-US" w:eastAsia="uk-UA"/>
        </w:rPr>
        <w:t xml:space="preserve"> </w:t>
      </w:r>
      <w:r w:rsidRPr="00F90B6B">
        <w:rPr>
          <w:rFonts w:ascii="Times New Roman" w:hAnsi="Times New Roman"/>
          <w:sz w:val="28"/>
          <w:szCs w:val="28"/>
          <w:lang w:eastAsia="uk-UA"/>
        </w:rPr>
        <w:t>9: 37-50.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Shah M.R., O'Connor C.M., Sopko G. et al. Evaluation Study of Congestive Heart Failure and Pulmonary Artery Catheterization Effectiveness(ESCAPE): design and rationale. Am</w:t>
      </w:r>
      <w:r w:rsidRPr="00F90B6B">
        <w:rPr>
          <w:rFonts w:ascii="Times New Roman" w:hAnsi="Times New Roman"/>
          <w:sz w:val="28"/>
          <w:szCs w:val="28"/>
          <w:lang w:val="en-US"/>
        </w:rPr>
        <w:t>.</w:t>
      </w:r>
      <w:r w:rsidRPr="00F90B6B">
        <w:rPr>
          <w:rFonts w:ascii="Times New Roman" w:hAnsi="Times New Roman"/>
          <w:sz w:val="28"/>
          <w:szCs w:val="28"/>
        </w:rPr>
        <w:t xml:space="preserve"> Heart J</w:t>
      </w:r>
      <w:r w:rsidRPr="00F90B6B">
        <w:rPr>
          <w:rFonts w:ascii="Times New Roman" w:hAnsi="Times New Roman"/>
          <w:sz w:val="28"/>
          <w:szCs w:val="28"/>
          <w:lang w:val="en-US"/>
        </w:rPr>
        <w:t>.</w:t>
      </w:r>
      <w:r w:rsidRPr="00F90B6B">
        <w:rPr>
          <w:rFonts w:ascii="Times New Roman" w:hAnsi="Times New Roman"/>
          <w:sz w:val="28"/>
          <w:szCs w:val="28"/>
        </w:rPr>
        <w:t xml:space="preserve"> 2001;</w:t>
      </w:r>
      <w:r w:rsidRPr="00F90B6B">
        <w:rPr>
          <w:rFonts w:ascii="Times New Roman" w:hAnsi="Times New Roman"/>
          <w:sz w:val="28"/>
          <w:szCs w:val="28"/>
          <w:lang w:val="en-US"/>
        </w:rPr>
        <w:t xml:space="preserve"> </w:t>
      </w:r>
      <w:r w:rsidRPr="00F90B6B">
        <w:rPr>
          <w:rFonts w:ascii="Times New Roman" w:hAnsi="Times New Roman"/>
          <w:sz w:val="28"/>
          <w:szCs w:val="28"/>
        </w:rPr>
        <w:t>141: 528-535.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Shchekochikhin D.Y., Schrier R.W., Lindenfeld J. et al. Outcome Differences in Community versus Hospital-Acquired Hyponatremia in Patients with a Diagnosis of Heart Failure. Circ Heart Fail</w:t>
      </w:r>
      <w:r w:rsidRPr="00F90B6B">
        <w:rPr>
          <w:rFonts w:ascii="Times New Roman" w:hAnsi="Times New Roman"/>
          <w:sz w:val="28"/>
          <w:szCs w:val="28"/>
          <w:lang w:val="en-US"/>
        </w:rPr>
        <w:t>.</w:t>
      </w:r>
      <w:r w:rsidRPr="00F90B6B">
        <w:rPr>
          <w:rFonts w:ascii="Times New Roman" w:hAnsi="Times New Roman"/>
          <w:sz w:val="28"/>
          <w:szCs w:val="28"/>
        </w:rPr>
        <w:t xml:space="preserve"> 2013</w:t>
      </w:r>
      <w:r w:rsidRPr="00F90B6B">
        <w:rPr>
          <w:rFonts w:ascii="Times New Roman" w:hAnsi="Times New Roman"/>
          <w:sz w:val="28"/>
          <w:szCs w:val="28"/>
          <w:lang w:val="en-US"/>
        </w:rPr>
        <w:t xml:space="preserve">; </w:t>
      </w:r>
      <w:r w:rsidRPr="00F90B6B">
        <w:rPr>
          <w:rFonts w:ascii="Times New Roman" w:hAnsi="Times New Roman"/>
          <w:sz w:val="28"/>
          <w:szCs w:val="28"/>
        </w:rPr>
        <w:t>6(3): 379-86.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lang w:val="en-US"/>
        </w:rPr>
        <w:t>Shlyakhto E. Gendered Innovations in the Study of Cardiovascular Diseases. Adv Exp Med Biol. 2018; 1065: 655-675.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 xml:space="preserve">Solomon SD, Rizkala AR, Lefkowitz MP, Shi VC, </w:t>
      </w:r>
      <w:r w:rsidRPr="00F90B6B">
        <w:rPr>
          <w:rFonts w:ascii="Times New Roman" w:hAnsi="Times New Roman"/>
          <w:sz w:val="28"/>
          <w:szCs w:val="28"/>
          <w:lang w:val="en-US"/>
        </w:rPr>
        <w:t xml:space="preserve">et al. </w:t>
      </w:r>
      <w:r w:rsidRPr="00F90B6B">
        <w:rPr>
          <w:rFonts w:ascii="Times New Roman" w:hAnsi="Times New Roman"/>
          <w:sz w:val="28"/>
          <w:szCs w:val="28"/>
        </w:rPr>
        <w:t>Baseline Characteristics of Patients With Heart Failure and Preserved Ejection Fraction in the PARAGON-HF Trial.</w:t>
      </w:r>
      <w:r w:rsidRPr="00F90B6B">
        <w:rPr>
          <w:rFonts w:ascii="Times New Roman" w:hAnsi="Times New Roman"/>
          <w:sz w:val="28"/>
          <w:szCs w:val="28"/>
          <w:lang w:val="en-US"/>
        </w:rPr>
        <w:t xml:space="preserve"> </w:t>
      </w:r>
      <w:r w:rsidRPr="00F90B6B">
        <w:rPr>
          <w:rFonts w:ascii="Times New Roman" w:hAnsi="Times New Roman"/>
          <w:sz w:val="28"/>
          <w:szCs w:val="28"/>
        </w:rPr>
        <w:t>Circ Heart Fail. 2018;</w:t>
      </w:r>
      <w:r w:rsidRPr="00F90B6B">
        <w:rPr>
          <w:rFonts w:ascii="Times New Roman" w:hAnsi="Times New Roman"/>
          <w:sz w:val="28"/>
          <w:szCs w:val="28"/>
          <w:lang w:val="en-US"/>
        </w:rPr>
        <w:t xml:space="preserve"> </w:t>
      </w:r>
      <w:r w:rsidRPr="00F90B6B">
        <w:rPr>
          <w:rFonts w:ascii="Times New Roman" w:hAnsi="Times New Roman"/>
          <w:sz w:val="28"/>
          <w:szCs w:val="28"/>
        </w:rPr>
        <w:t>11(7):</w:t>
      </w:r>
      <w:r w:rsidRPr="00F90B6B">
        <w:rPr>
          <w:rFonts w:ascii="Times New Roman" w:hAnsi="Times New Roman"/>
          <w:sz w:val="28"/>
          <w:szCs w:val="28"/>
          <w:lang w:val="en-US"/>
        </w:rPr>
        <w:t xml:space="preserve"> </w:t>
      </w:r>
      <w:r w:rsidRPr="00F90B6B">
        <w:rPr>
          <w:rFonts w:ascii="Times New Roman" w:hAnsi="Times New Roman"/>
          <w:sz w:val="28"/>
          <w:szCs w:val="28"/>
        </w:rPr>
        <w:t>e004962.</w:t>
      </w:r>
      <w:r w:rsidRPr="00F90B6B">
        <w:rPr>
          <w:rFonts w:ascii="Times New Roman" w:hAnsi="Times New Roman"/>
          <w:sz w:val="28"/>
          <w:szCs w:val="28"/>
          <w:lang w:val="en-US"/>
        </w:rPr>
        <w:t xml:space="preserve">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Swedberg</w:t>
      </w:r>
      <w:r w:rsidRPr="00F90B6B">
        <w:rPr>
          <w:rFonts w:ascii="Times New Roman" w:hAnsi="Times New Roman"/>
          <w:sz w:val="28"/>
          <w:szCs w:val="28"/>
          <w:lang w:val="en-US"/>
        </w:rPr>
        <w:t xml:space="preserve"> K.</w:t>
      </w:r>
      <w:r w:rsidRPr="00F90B6B">
        <w:rPr>
          <w:rFonts w:ascii="Times New Roman" w:hAnsi="Times New Roman"/>
          <w:sz w:val="28"/>
          <w:szCs w:val="28"/>
        </w:rPr>
        <w:t>, Komajda</w:t>
      </w:r>
      <w:r w:rsidRPr="00F90B6B">
        <w:rPr>
          <w:rFonts w:ascii="Times New Roman" w:hAnsi="Times New Roman"/>
          <w:sz w:val="28"/>
          <w:szCs w:val="28"/>
          <w:lang w:val="en-US"/>
        </w:rPr>
        <w:t xml:space="preserve"> M.</w:t>
      </w:r>
      <w:r w:rsidRPr="00F90B6B">
        <w:rPr>
          <w:rFonts w:ascii="Times New Roman" w:hAnsi="Times New Roman"/>
          <w:sz w:val="28"/>
          <w:szCs w:val="28"/>
        </w:rPr>
        <w:t>, Bohm</w:t>
      </w:r>
      <w:r w:rsidRPr="00F90B6B">
        <w:rPr>
          <w:rFonts w:ascii="Times New Roman" w:hAnsi="Times New Roman"/>
          <w:sz w:val="28"/>
          <w:szCs w:val="28"/>
          <w:lang w:val="en-US"/>
        </w:rPr>
        <w:t xml:space="preserve"> M. </w:t>
      </w:r>
      <w:r w:rsidRPr="00F90B6B">
        <w:rPr>
          <w:rFonts w:ascii="Times New Roman" w:hAnsi="Times New Roman"/>
          <w:sz w:val="28"/>
          <w:szCs w:val="28"/>
        </w:rPr>
        <w:t>et al.</w:t>
      </w:r>
      <w:r w:rsidRPr="00F90B6B">
        <w:rPr>
          <w:rFonts w:ascii="Times New Roman" w:hAnsi="Times New Roman"/>
          <w:sz w:val="28"/>
          <w:szCs w:val="28"/>
          <w:lang w:val="en-US"/>
        </w:rPr>
        <w:t xml:space="preserve"> </w:t>
      </w:r>
      <w:r w:rsidRPr="00F90B6B">
        <w:rPr>
          <w:rFonts w:ascii="Times New Roman" w:hAnsi="Times New Roman"/>
          <w:sz w:val="28"/>
          <w:szCs w:val="28"/>
        </w:rPr>
        <w:t xml:space="preserve">Effects on outcomes of heart rate reduction by ivabradine in patients with congestive heart failure: is there an inﬂuence of </w:t>
      </w:r>
      <w:r w:rsidRPr="00F90B6B">
        <w:rPr>
          <w:rFonts w:ascii="Times New Roman" w:hAnsi="Times New Roman"/>
          <w:sz w:val="28"/>
          <w:szCs w:val="28"/>
        </w:rPr>
        <w:lastRenderedPageBreak/>
        <w:t>beta-blocker dose?: ﬁndings from the SHIFT (Systolic Heart failure treatment with the I(f) inhibitor ivabradine Trial) study</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 xml:space="preserve"> Am</w:t>
      </w:r>
      <w:r w:rsidRPr="00F90B6B">
        <w:rPr>
          <w:rFonts w:ascii="Times New Roman" w:hAnsi="Times New Roman"/>
          <w:sz w:val="28"/>
          <w:szCs w:val="28"/>
          <w:lang w:val="en-US"/>
        </w:rPr>
        <w:t>.</w:t>
      </w:r>
      <w:r w:rsidRPr="00F90B6B">
        <w:rPr>
          <w:rFonts w:ascii="Times New Roman" w:hAnsi="Times New Roman"/>
          <w:sz w:val="28"/>
          <w:szCs w:val="28"/>
        </w:rPr>
        <w:t xml:space="preserve"> Coll</w:t>
      </w:r>
      <w:r w:rsidRPr="00F90B6B">
        <w:rPr>
          <w:rFonts w:ascii="Times New Roman" w:hAnsi="Times New Roman"/>
          <w:sz w:val="28"/>
          <w:szCs w:val="28"/>
          <w:lang w:val="en-US"/>
        </w:rPr>
        <w:t>.</w:t>
      </w:r>
      <w:r w:rsidRPr="00F90B6B">
        <w:rPr>
          <w:rFonts w:ascii="Times New Roman" w:hAnsi="Times New Roman"/>
          <w:sz w:val="28"/>
          <w:szCs w:val="28"/>
        </w:rPr>
        <w:t xml:space="preserve"> Cardiol</w:t>
      </w:r>
      <w:r w:rsidRPr="00F90B6B">
        <w:rPr>
          <w:rFonts w:ascii="Times New Roman" w:hAnsi="Times New Roman"/>
          <w:sz w:val="28"/>
          <w:szCs w:val="28"/>
          <w:lang w:val="en-US"/>
        </w:rPr>
        <w:t>.</w:t>
      </w:r>
      <w:r w:rsidRPr="00F90B6B">
        <w:rPr>
          <w:rFonts w:ascii="Times New Roman" w:hAnsi="Times New Roman"/>
          <w:sz w:val="28"/>
          <w:szCs w:val="28"/>
        </w:rPr>
        <w:t xml:space="preserve"> 2012</w:t>
      </w:r>
      <w:r w:rsidRPr="00F90B6B">
        <w:rPr>
          <w:rFonts w:ascii="Times New Roman" w:hAnsi="Times New Roman"/>
          <w:sz w:val="28"/>
          <w:szCs w:val="28"/>
          <w:lang w:val="en-US"/>
        </w:rPr>
        <w:t xml:space="preserve">; </w:t>
      </w:r>
      <w:r w:rsidRPr="00F90B6B">
        <w:rPr>
          <w:rFonts w:ascii="Times New Roman" w:hAnsi="Times New Roman"/>
          <w:sz w:val="28"/>
          <w:szCs w:val="28"/>
        </w:rPr>
        <w:t>59</w:t>
      </w:r>
      <w:r w:rsidRPr="00F90B6B">
        <w:rPr>
          <w:rFonts w:ascii="Times New Roman" w:hAnsi="Times New Roman"/>
          <w:sz w:val="28"/>
          <w:szCs w:val="28"/>
          <w:lang w:val="en-US"/>
        </w:rPr>
        <w:t xml:space="preserve">: </w:t>
      </w:r>
      <w:r w:rsidRPr="00F90B6B">
        <w:rPr>
          <w:rFonts w:ascii="Times New Roman" w:hAnsi="Times New Roman"/>
          <w:sz w:val="28"/>
          <w:szCs w:val="28"/>
        </w:rPr>
        <w:t>1938–45.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Swedberg</w:t>
      </w:r>
      <w:r w:rsidRPr="00F90B6B">
        <w:rPr>
          <w:rFonts w:ascii="Times New Roman" w:hAnsi="Times New Roman"/>
          <w:sz w:val="28"/>
          <w:szCs w:val="28"/>
          <w:lang w:val="en-US"/>
        </w:rPr>
        <w:t xml:space="preserve"> K.</w:t>
      </w:r>
      <w:r w:rsidRPr="00F90B6B">
        <w:rPr>
          <w:rFonts w:ascii="Times New Roman" w:hAnsi="Times New Roman"/>
          <w:sz w:val="28"/>
          <w:szCs w:val="28"/>
        </w:rPr>
        <w:t>, Komajda</w:t>
      </w:r>
      <w:r w:rsidRPr="00F90B6B">
        <w:rPr>
          <w:rFonts w:ascii="Times New Roman" w:hAnsi="Times New Roman"/>
          <w:sz w:val="28"/>
          <w:szCs w:val="28"/>
          <w:lang w:val="en-US"/>
        </w:rPr>
        <w:t xml:space="preserve"> M.</w:t>
      </w:r>
      <w:r w:rsidRPr="00F90B6B">
        <w:rPr>
          <w:rFonts w:ascii="Times New Roman" w:hAnsi="Times New Roman"/>
          <w:sz w:val="28"/>
          <w:szCs w:val="28"/>
        </w:rPr>
        <w:t>, Bohm</w:t>
      </w:r>
      <w:r w:rsidRPr="00F90B6B">
        <w:rPr>
          <w:rFonts w:ascii="Times New Roman" w:hAnsi="Times New Roman"/>
          <w:sz w:val="28"/>
          <w:szCs w:val="28"/>
          <w:lang w:val="en-US"/>
        </w:rPr>
        <w:t xml:space="preserve"> M. </w:t>
      </w:r>
      <w:r w:rsidRPr="00F90B6B">
        <w:rPr>
          <w:rFonts w:ascii="Times New Roman" w:hAnsi="Times New Roman"/>
          <w:sz w:val="28"/>
          <w:szCs w:val="28"/>
        </w:rPr>
        <w:t>et al.</w:t>
      </w:r>
      <w:r w:rsidRPr="00F90B6B">
        <w:rPr>
          <w:rFonts w:ascii="Times New Roman" w:hAnsi="Times New Roman"/>
          <w:sz w:val="28"/>
          <w:szCs w:val="28"/>
          <w:lang w:val="en-US"/>
        </w:rPr>
        <w:t xml:space="preserve"> </w:t>
      </w:r>
      <w:r w:rsidRPr="00F90B6B">
        <w:rPr>
          <w:rFonts w:ascii="Times New Roman" w:hAnsi="Times New Roman"/>
          <w:sz w:val="28"/>
          <w:szCs w:val="28"/>
        </w:rPr>
        <w:t>Ivabradine and outcomes in chronic heart failure (SHIFT): a randomised placebo-controlled study</w:t>
      </w:r>
      <w:r w:rsidRPr="00F90B6B">
        <w:rPr>
          <w:rFonts w:ascii="Times New Roman" w:hAnsi="Times New Roman"/>
          <w:sz w:val="28"/>
          <w:szCs w:val="28"/>
          <w:lang w:val="en-US"/>
        </w:rPr>
        <w:t>.</w:t>
      </w:r>
      <w:r w:rsidRPr="00F90B6B">
        <w:rPr>
          <w:rFonts w:ascii="Times New Roman" w:hAnsi="Times New Roman"/>
          <w:sz w:val="28"/>
          <w:szCs w:val="28"/>
        </w:rPr>
        <w:t xml:space="preserve"> Lancet</w:t>
      </w:r>
      <w:r w:rsidRPr="00F90B6B">
        <w:rPr>
          <w:rFonts w:ascii="Times New Roman" w:hAnsi="Times New Roman"/>
          <w:sz w:val="28"/>
          <w:szCs w:val="28"/>
          <w:lang w:val="en-US"/>
        </w:rPr>
        <w:t>.</w:t>
      </w:r>
      <w:r w:rsidRPr="00F90B6B">
        <w:rPr>
          <w:rFonts w:ascii="Times New Roman" w:hAnsi="Times New Roman"/>
          <w:sz w:val="28"/>
          <w:szCs w:val="28"/>
        </w:rPr>
        <w:t xml:space="preserve"> 2010</w:t>
      </w:r>
      <w:r w:rsidRPr="00F90B6B">
        <w:rPr>
          <w:rFonts w:ascii="Times New Roman" w:hAnsi="Times New Roman"/>
          <w:sz w:val="28"/>
          <w:szCs w:val="28"/>
          <w:lang w:val="en-US"/>
        </w:rPr>
        <w:t xml:space="preserve">; </w:t>
      </w:r>
      <w:r w:rsidRPr="00F90B6B">
        <w:rPr>
          <w:rFonts w:ascii="Times New Roman" w:hAnsi="Times New Roman"/>
          <w:sz w:val="28"/>
          <w:szCs w:val="28"/>
        </w:rPr>
        <w:t>376</w:t>
      </w:r>
      <w:r w:rsidRPr="00F90B6B">
        <w:rPr>
          <w:rFonts w:ascii="Times New Roman" w:hAnsi="Times New Roman"/>
          <w:sz w:val="28"/>
          <w:szCs w:val="28"/>
          <w:lang w:val="en-US"/>
        </w:rPr>
        <w:t xml:space="preserve">: </w:t>
      </w:r>
      <w:r w:rsidRPr="00F90B6B">
        <w:rPr>
          <w:rFonts w:ascii="Times New Roman" w:hAnsi="Times New Roman"/>
          <w:sz w:val="28"/>
          <w:szCs w:val="28"/>
        </w:rPr>
        <w:t>875–85.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Szatalowicz V.L., Arnold P.E., Chaimovitz C. et al. Radioimmunoassay of plasma arginine vasopressin in hyponatremic patients with congestive heart failure. N</w:t>
      </w:r>
      <w:r w:rsidRPr="00F90B6B">
        <w:rPr>
          <w:rFonts w:ascii="Times New Roman" w:hAnsi="Times New Roman"/>
          <w:sz w:val="28"/>
          <w:szCs w:val="28"/>
          <w:lang w:val="en-US"/>
        </w:rPr>
        <w:t>.</w:t>
      </w:r>
      <w:r w:rsidRPr="00F90B6B">
        <w:rPr>
          <w:rFonts w:ascii="Times New Roman" w:hAnsi="Times New Roman"/>
          <w:sz w:val="28"/>
          <w:szCs w:val="28"/>
        </w:rPr>
        <w:t xml:space="preserve"> Engl</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w:t>
      </w:r>
      <w:r w:rsidRPr="00F90B6B">
        <w:rPr>
          <w:rFonts w:ascii="Times New Roman" w:hAnsi="Times New Roman"/>
          <w:sz w:val="28"/>
          <w:szCs w:val="28"/>
        </w:rPr>
        <w:t xml:space="preserve"> 1981;</w:t>
      </w:r>
      <w:r w:rsidRPr="00F90B6B">
        <w:rPr>
          <w:rFonts w:ascii="Times New Roman" w:hAnsi="Times New Roman"/>
          <w:sz w:val="28"/>
          <w:szCs w:val="28"/>
          <w:lang w:val="en-US"/>
        </w:rPr>
        <w:t xml:space="preserve"> </w:t>
      </w:r>
      <w:r w:rsidRPr="00F90B6B">
        <w:rPr>
          <w:rFonts w:ascii="Times New Roman" w:hAnsi="Times New Roman"/>
          <w:sz w:val="28"/>
          <w:szCs w:val="28"/>
        </w:rPr>
        <w:t>305: 263-66.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Taylor J</w:t>
      </w:r>
      <w:r w:rsidRPr="00F90B6B">
        <w:rPr>
          <w:rFonts w:ascii="Times New Roman" w:hAnsi="Times New Roman"/>
          <w:sz w:val="28"/>
          <w:szCs w:val="28"/>
          <w:lang w:val="en-US"/>
        </w:rPr>
        <w:t>.</w:t>
      </w:r>
      <w:r w:rsidRPr="00F90B6B">
        <w:rPr>
          <w:rFonts w:ascii="Times New Roman" w:hAnsi="Times New Roman"/>
          <w:sz w:val="28"/>
          <w:szCs w:val="28"/>
        </w:rPr>
        <w:t>A</w:t>
      </w:r>
      <w:r w:rsidRPr="00F90B6B">
        <w:rPr>
          <w:rFonts w:ascii="Times New Roman" w:hAnsi="Times New Roman"/>
          <w:sz w:val="28"/>
          <w:szCs w:val="28"/>
          <w:lang w:val="en-US"/>
        </w:rPr>
        <w:t>.</w:t>
      </w:r>
      <w:r w:rsidRPr="00F90B6B">
        <w:rPr>
          <w:rFonts w:ascii="Times New Roman" w:hAnsi="Times New Roman"/>
          <w:sz w:val="28"/>
          <w:szCs w:val="28"/>
        </w:rPr>
        <w:t xml:space="preserve"> et al. B-type natriuretic peptide and N-terminal pro B-type natriuretic peptide are depressed in obesity despite higher left ventricular end diastolic pressures. Am</w:t>
      </w:r>
      <w:r w:rsidRPr="00F90B6B">
        <w:rPr>
          <w:rFonts w:ascii="Times New Roman" w:hAnsi="Times New Roman"/>
          <w:sz w:val="28"/>
          <w:szCs w:val="28"/>
          <w:lang w:val="en-US"/>
        </w:rPr>
        <w:t>.</w:t>
      </w:r>
      <w:r w:rsidRPr="00F90B6B">
        <w:rPr>
          <w:rFonts w:ascii="Times New Roman" w:hAnsi="Times New Roman"/>
          <w:sz w:val="28"/>
          <w:szCs w:val="28"/>
        </w:rPr>
        <w:t xml:space="preserve"> Heart</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 xml:space="preserve">. 2006; </w:t>
      </w:r>
      <w:r w:rsidRPr="00F90B6B">
        <w:rPr>
          <w:rFonts w:ascii="Times New Roman" w:hAnsi="Times New Roman"/>
          <w:sz w:val="28"/>
          <w:szCs w:val="28"/>
        </w:rPr>
        <w:t>152: 1071-76.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Taylor KS, Verbakel JY, Feakins BG, et al. Diagnostic accuracy of point-of-care natriuretic peptide testing for chronic heart failure in ambulatory care: systematic review and meta-analysis. BMJ. 2018; 361: k1450.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Tesař V. Current options of treatment of hyponatremia. Vnitr Lek. 2016; 62 (6): 97-101.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Testani J.M., Kimmel S.E., Dries D.L., Coca SG. Prognostic importance of early worsening renal function after initiation of angiotensin-converting enzyme inhibitor therapy in patients with cardiac dysfunction</w:t>
      </w:r>
      <w:r w:rsidRPr="00F90B6B">
        <w:rPr>
          <w:rFonts w:ascii="Times New Roman" w:hAnsi="Times New Roman"/>
          <w:sz w:val="28"/>
          <w:szCs w:val="28"/>
          <w:lang w:val="en-US"/>
        </w:rPr>
        <w:t>.</w:t>
      </w:r>
      <w:r w:rsidRPr="00F90B6B">
        <w:rPr>
          <w:rFonts w:ascii="Times New Roman" w:hAnsi="Times New Roman"/>
          <w:sz w:val="28"/>
          <w:szCs w:val="28"/>
        </w:rPr>
        <w:t xml:space="preserve"> Circul. Heart Failure. 2011</w:t>
      </w:r>
      <w:r w:rsidRPr="00F90B6B">
        <w:rPr>
          <w:rFonts w:ascii="Times New Roman" w:hAnsi="Times New Roman"/>
          <w:sz w:val="28"/>
          <w:szCs w:val="28"/>
          <w:lang w:val="en-US"/>
        </w:rPr>
        <w:t>;</w:t>
      </w:r>
      <w:r w:rsidRPr="00F90B6B">
        <w:rPr>
          <w:rFonts w:ascii="Times New Roman" w:hAnsi="Times New Roman"/>
          <w:sz w:val="28"/>
          <w:szCs w:val="28"/>
        </w:rPr>
        <w:t xml:space="preserve"> 4</w:t>
      </w:r>
      <w:r w:rsidRPr="00F90B6B">
        <w:rPr>
          <w:rFonts w:ascii="Times New Roman" w:hAnsi="Times New Roman"/>
          <w:sz w:val="28"/>
          <w:szCs w:val="28"/>
          <w:lang w:val="en-US"/>
        </w:rPr>
        <w:t>:</w:t>
      </w:r>
      <w:r w:rsidRPr="00F90B6B">
        <w:rPr>
          <w:rFonts w:ascii="Times New Roman" w:hAnsi="Times New Roman"/>
          <w:sz w:val="28"/>
          <w:szCs w:val="28"/>
        </w:rPr>
        <w:t xml:space="preserve"> 685.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The CONSENSUS Trial Study Group. Effects of enalapril on mortality in severe congestive heart failure. Results of the Cooperative North Scandinavian Enalapril Survival Study (CONSENSUS)</w:t>
      </w:r>
      <w:r w:rsidRPr="00F90B6B">
        <w:rPr>
          <w:rFonts w:ascii="Times New Roman" w:hAnsi="Times New Roman"/>
          <w:sz w:val="28"/>
          <w:szCs w:val="28"/>
          <w:lang w:val="en-US"/>
        </w:rPr>
        <w:t>.</w:t>
      </w:r>
      <w:r w:rsidRPr="00F90B6B">
        <w:rPr>
          <w:rFonts w:ascii="Times New Roman" w:hAnsi="Times New Roman"/>
          <w:sz w:val="28"/>
          <w:szCs w:val="28"/>
        </w:rPr>
        <w:t xml:space="preserve"> N</w:t>
      </w:r>
      <w:r w:rsidRPr="00F90B6B">
        <w:rPr>
          <w:rFonts w:ascii="Times New Roman" w:hAnsi="Times New Roman"/>
          <w:sz w:val="28"/>
          <w:szCs w:val="28"/>
          <w:lang w:val="en-US"/>
        </w:rPr>
        <w:t>.</w:t>
      </w:r>
      <w:r w:rsidRPr="00F90B6B">
        <w:rPr>
          <w:rFonts w:ascii="Times New Roman" w:hAnsi="Times New Roman"/>
          <w:sz w:val="28"/>
          <w:szCs w:val="28"/>
        </w:rPr>
        <w:t xml:space="preserve"> Engl</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w:t>
      </w:r>
      <w:r w:rsidRPr="00F90B6B">
        <w:rPr>
          <w:rFonts w:ascii="Times New Roman" w:hAnsi="Times New Roman"/>
          <w:sz w:val="28"/>
          <w:szCs w:val="28"/>
        </w:rPr>
        <w:t xml:space="preserve"> 1987</w:t>
      </w:r>
      <w:r w:rsidRPr="00F90B6B">
        <w:rPr>
          <w:rFonts w:ascii="Times New Roman" w:hAnsi="Times New Roman"/>
          <w:sz w:val="28"/>
          <w:szCs w:val="28"/>
          <w:lang w:val="en-US"/>
        </w:rPr>
        <w:t xml:space="preserve">; </w:t>
      </w:r>
      <w:r w:rsidRPr="00F90B6B">
        <w:rPr>
          <w:rFonts w:ascii="Times New Roman" w:hAnsi="Times New Roman"/>
          <w:sz w:val="28"/>
          <w:szCs w:val="28"/>
        </w:rPr>
        <w:t>316</w:t>
      </w:r>
      <w:r w:rsidRPr="00F90B6B">
        <w:rPr>
          <w:rFonts w:ascii="Times New Roman" w:hAnsi="Times New Roman"/>
          <w:sz w:val="28"/>
          <w:szCs w:val="28"/>
          <w:lang w:val="en-US"/>
        </w:rPr>
        <w:t xml:space="preserve">: </w:t>
      </w:r>
      <w:r w:rsidRPr="00F90B6B">
        <w:rPr>
          <w:rFonts w:ascii="Times New Roman" w:hAnsi="Times New Roman"/>
          <w:sz w:val="28"/>
          <w:szCs w:val="28"/>
        </w:rPr>
        <w:t>1429–35.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lang w:val="en-US"/>
        </w:rPr>
        <w:t>Tiller D., Russ M., Greiser K. H. et al. Prevalence of symptomatic heart failure with reduced and with normal ejection fraction in an elderly general population— the CARLA study. PLoS One. 2013; 8: 59225.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Timotin A, Cinato M, Boal F, et al. Differential protein profiling as a potential multi-marker approach for obese patients with heart failure: A retrospective study. Sci Rep. 2018; 8(1): 7894.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Tomcsányi J, Somlói M, Bózsik B, et al. The value of early repeated N-terminal pro-B-type natriuretic peptide measurement in acute heart failure. Orv Hetil. 2018; 159(25): 1009-1012.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eastAsia="uk-UA"/>
        </w:rPr>
      </w:pPr>
      <w:r w:rsidRPr="00F90B6B">
        <w:rPr>
          <w:rFonts w:ascii="Times New Roman" w:hAnsi="Times New Roman"/>
          <w:sz w:val="28"/>
          <w:szCs w:val="28"/>
          <w:lang w:eastAsia="uk-UA"/>
        </w:rPr>
        <w:lastRenderedPageBreak/>
        <w:t>Trayhurn P., Wood I. S. Signalling role of adipose tissue: adipokines and inflammation in obesity. Biochemical Society Transactions. 2005; 33: 1078-1081.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Uduman J. Epidemiology of Cardiorenal Syndrome. Adv Chronic Kidney Dis. 2018; 25(5): 391-399.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Vamos M., Erath J. W., Hohnloser S. H. Digoxin-associated mortality: a systematic review and meta-analysis of the literature. Eur. Heart J. 2015; 36: 1831–38</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Van Gaal L. F., Mertens I. L., De Block C. E. Mechanisms linking obesity with cardiovascular disease. Nature</w:t>
      </w:r>
      <w:r w:rsidRPr="00F90B6B">
        <w:rPr>
          <w:rFonts w:ascii="Times New Roman" w:hAnsi="Times New Roman"/>
          <w:sz w:val="28"/>
          <w:szCs w:val="28"/>
          <w:lang w:val="en-US"/>
        </w:rPr>
        <w:t>.</w:t>
      </w:r>
      <w:r w:rsidRPr="00F90B6B">
        <w:rPr>
          <w:rFonts w:ascii="Times New Roman" w:hAnsi="Times New Roman"/>
          <w:sz w:val="28"/>
          <w:szCs w:val="28"/>
        </w:rPr>
        <w:t xml:space="preserve"> 2006; 444: 875-80.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Van Iterson EH, Kim CH, Uithoven K, Olson TP. Obesity and hemoglobin content impact peak oxygen uptake in human heart failure. Eur J Prev Cardiol. 2018; 24: 95.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Vardeny O., Claggett B., Anand I. et al. Randomized Aldactone Evaluation Study (RALES) Investigators. Incidence, predictors, and outcomes related to hypo- and hyperkalemia in patients with severe heart failure treated with a mineralocorticoid receptor antagonist. Circ. Heart Fail. 2014; 7 (4): 573-79</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Verbalis J.G., Barsony J., Sugimura Y. et al. Hyponatremia - induced osteoporosis. J Bone Miner Res</w:t>
      </w:r>
      <w:r w:rsidRPr="00F90B6B">
        <w:rPr>
          <w:rFonts w:ascii="Times New Roman" w:hAnsi="Times New Roman"/>
          <w:sz w:val="28"/>
          <w:szCs w:val="28"/>
          <w:lang w:val="en-US"/>
        </w:rPr>
        <w:t>.</w:t>
      </w:r>
      <w:r w:rsidRPr="00F90B6B">
        <w:rPr>
          <w:rFonts w:ascii="Times New Roman" w:hAnsi="Times New Roman"/>
          <w:sz w:val="28"/>
          <w:szCs w:val="28"/>
        </w:rPr>
        <w:t xml:space="preserve"> 2010;</w:t>
      </w:r>
      <w:r w:rsidRPr="00F90B6B">
        <w:rPr>
          <w:rFonts w:ascii="Times New Roman" w:hAnsi="Times New Roman"/>
          <w:sz w:val="28"/>
          <w:szCs w:val="28"/>
          <w:lang w:val="en-US"/>
        </w:rPr>
        <w:t xml:space="preserve"> </w:t>
      </w:r>
      <w:r w:rsidRPr="00F90B6B">
        <w:rPr>
          <w:rFonts w:ascii="Times New Roman" w:hAnsi="Times New Roman"/>
          <w:sz w:val="28"/>
          <w:szCs w:val="28"/>
        </w:rPr>
        <w:t xml:space="preserve">25: 554-63.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Verbrugge F</w:t>
      </w:r>
      <w:r w:rsidRPr="00F90B6B">
        <w:rPr>
          <w:rFonts w:ascii="Times New Roman" w:hAnsi="Times New Roman"/>
          <w:sz w:val="28"/>
          <w:szCs w:val="28"/>
          <w:lang w:val="en-US"/>
        </w:rPr>
        <w:t>.</w:t>
      </w:r>
      <w:r w:rsidRPr="00F90B6B">
        <w:rPr>
          <w:rFonts w:ascii="Times New Roman" w:hAnsi="Times New Roman"/>
          <w:sz w:val="28"/>
          <w:szCs w:val="28"/>
        </w:rPr>
        <w:t>H</w:t>
      </w:r>
      <w:r w:rsidRPr="00F90B6B">
        <w:rPr>
          <w:rFonts w:ascii="Times New Roman" w:hAnsi="Times New Roman"/>
          <w:sz w:val="28"/>
          <w:szCs w:val="28"/>
          <w:lang w:val="en-US"/>
        </w:rPr>
        <w:t>.</w:t>
      </w:r>
      <w:r w:rsidRPr="00F90B6B">
        <w:rPr>
          <w:rFonts w:ascii="Times New Roman" w:hAnsi="Times New Roman"/>
          <w:sz w:val="28"/>
          <w:szCs w:val="28"/>
        </w:rPr>
        <w:t>, Steels P</w:t>
      </w:r>
      <w:r w:rsidRPr="00F90B6B">
        <w:rPr>
          <w:rFonts w:ascii="Times New Roman" w:hAnsi="Times New Roman"/>
          <w:sz w:val="28"/>
          <w:szCs w:val="28"/>
          <w:lang w:val="en-US"/>
        </w:rPr>
        <w:t>.</w:t>
      </w:r>
      <w:r w:rsidRPr="00F90B6B">
        <w:rPr>
          <w:rFonts w:ascii="Times New Roman" w:hAnsi="Times New Roman"/>
          <w:sz w:val="28"/>
          <w:szCs w:val="28"/>
        </w:rPr>
        <w:t>, Grieten L</w:t>
      </w:r>
      <w:r w:rsidRPr="00F90B6B">
        <w:rPr>
          <w:rFonts w:ascii="Times New Roman" w:hAnsi="Times New Roman"/>
          <w:sz w:val="28"/>
          <w:szCs w:val="28"/>
          <w:lang w:val="en-US"/>
        </w:rPr>
        <w:t>. et al.</w:t>
      </w:r>
      <w:r w:rsidRPr="00F90B6B">
        <w:rPr>
          <w:rFonts w:ascii="Times New Roman" w:hAnsi="Times New Roman"/>
          <w:sz w:val="28"/>
          <w:szCs w:val="28"/>
        </w:rPr>
        <w:t xml:space="preserve"> Hyponatremia in acute decompensated heart failure: depletion versus dilution. J</w:t>
      </w:r>
      <w:r w:rsidRPr="00F90B6B">
        <w:rPr>
          <w:rFonts w:ascii="Times New Roman" w:hAnsi="Times New Roman"/>
          <w:sz w:val="28"/>
          <w:szCs w:val="28"/>
          <w:lang w:val="en-US"/>
        </w:rPr>
        <w:t>.</w:t>
      </w:r>
      <w:r w:rsidRPr="00F90B6B">
        <w:rPr>
          <w:rFonts w:ascii="Times New Roman" w:hAnsi="Times New Roman"/>
          <w:sz w:val="28"/>
          <w:szCs w:val="28"/>
        </w:rPr>
        <w:t xml:space="preserve"> Am</w:t>
      </w:r>
      <w:r w:rsidRPr="00F90B6B">
        <w:rPr>
          <w:rFonts w:ascii="Times New Roman" w:hAnsi="Times New Roman"/>
          <w:sz w:val="28"/>
          <w:szCs w:val="28"/>
          <w:lang w:val="en-US"/>
        </w:rPr>
        <w:t>.</w:t>
      </w:r>
      <w:r w:rsidRPr="00F90B6B">
        <w:rPr>
          <w:rFonts w:ascii="Times New Roman" w:hAnsi="Times New Roman"/>
          <w:sz w:val="28"/>
          <w:szCs w:val="28"/>
        </w:rPr>
        <w:t xml:space="preserve"> Coll</w:t>
      </w:r>
      <w:r w:rsidRPr="00F90B6B">
        <w:rPr>
          <w:rFonts w:ascii="Times New Roman" w:hAnsi="Times New Roman"/>
          <w:sz w:val="28"/>
          <w:szCs w:val="28"/>
          <w:lang w:val="en-US"/>
        </w:rPr>
        <w:t>.</w:t>
      </w:r>
      <w:r w:rsidRPr="00F90B6B">
        <w:rPr>
          <w:rFonts w:ascii="Times New Roman" w:hAnsi="Times New Roman"/>
          <w:sz w:val="28"/>
          <w:szCs w:val="28"/>
        </w:rPr>
        <w:t xml:space="preserve"> Cardiol</w:t>
      </w:r>
      <w:r w:rsidRPr="00F90B6B">
        <w:rPr>
          <w:rFonts w:ascii="Times New Roman" w:hAnsi="Times New Roman"/>
          <w:sz w:val="28"/>
          <w:szCs w:val="28"/>
          <w:lang w:val="en-US"/>
        </w:rPr>
        <w:t>.</w:t>
      </w:r>
      <w:r w:rsidRPr="00F90B6B">
        <w:rPr>
          <w:rFonts w:ascii="Times New Roman" w:hAnsi="Times New Roman"/>
          <w:sz w:val="28"/>
          <w:szCs w:val="28"/>
        </w:rPr>
        <w:t xml:space="preserve"> 2015; 65: 480–92.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Verbrugge FH, Martens P, Ameloot K, et al. Spironolactone to increase natriuresis in congestive heart failure with cardiorenal syndrome. Acta Cardiol. 2018; 27: 1-8.</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Vinod P, Krishnappa V, Chauvin AM, et al. Cardiorenal Syndrome: Role of Arginine Vasopressin and Vaptans in Heart Failure. Cardiol Res. 2017; 8(3): 87-95.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Vodovar N., Paquet C., Mebazaa A. et al. Neprilysin, cardiovascular, and Alzheimer’s diseases: the therapeutic split? Eur. Heart J. 2015; 36: 902–5</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Wald R</w:t>
      </w:r>
      <w:r w:rsidRPr="00F90B6B">
        <w:rPr>
          <w:rFonts w:ascii="Times New Roman" w:hAnsi="Times New Roman"/>
          <w:sz w:val="28"/>
          <w:szCs w:val="28"/>
          <w:lang w:val="en-US"/>
        </w:rPr>
        <w:t>.</w:t>
      </w:r>
      <w:r w:rsidRPr="00F90B6B">
        <w:rPr>
          <w:rFonts w:ascii="Times New Roman" w:hAnsi="Times New Roman"/>
          <w:sz w:val="28"/>
          <w:szCs w:val="28"/>
        </w:rPr>
        <w:t>, Jaber B</w:t>
      </w:r>
      <w:r w:rsidRPr="00F90B6B">
        <w:rPr>
          <w:rFonts w:ascii="Times New Roman" w:hAnsi="Times New Roman"/>
          <w:sz w:val="28"/>
          <w:szCs w:val="28"/>
          <w:lang w:val="en-US"/>
        </w:rPr>
        <w:t>.</w:t>
      </w:r>
      <w:r w:rsidRPr="00F90B6B">
        <w:rPr>
          <w:rFonts w:ascii="Times New Roman" w:hAnsi="Times New Roman"/>
          <w:sz w:val="28"/>
          <w:szCs w:val="28"/>
        </w:rPr>
        <w:t>L</w:t>
      </w:r>
      <w:r w:rsidRPr="00F90B6B">
        <w:rPr>
          <w:rFonts w:ascii="Times New Roman" w:hAnsi="Times New Roman"/>
          <w:sz w:val="28"/>
          <w:szCs w:val="28"/>
          <w:lang w:val="en-US"/>
        </w:rPr>
        <w:t>.</w:t>
      </w:r>
      <w:r w:rsidRPr="00F90B6B">
        <w:rPr>
          <w:rFonts w:ascii="Times New Roman" w:hAnsi="Times New Roman"/>
          <w:sz w:val="28"/>
          <w:szCs w:val="28"/>
        </w:rPr>
        <w:t>, Price L</w:t>
      </w:r>
      <w:r w:rsidRPr="00F90B6B">
        <w:rPr>
          <w:rFonts w:ascii="Times New Roman" w:hAnsi="Times New Roman"/>
          <w:sz w:val="28"/>
          <w:szCs w:val="28"/>
          <w:lang w:val="en-US"/>
        </w:rPr>
        <w:t>.</w:t>
      </w:r>
      <w:r w:rsidRPr="00F90B6B">
        <w:rPr>
          <w:rFonts w:ascii="Times New Roman" w:hAnsi="Times New Roman"/>
          <w:sz w:val="28"/>
          <w:szCs w:val="28"/>
        </w:rPr>
        <w:t>, Upadhyay A</w:t>
      </w:r>
      <w:r w:rsidRPr="00F90B6B">
        <w:rPr>
          <w:rFonts w:ascii="Times New Roman" w:hAnsi="Times New Roman"/>
          <w:sz w:val="28"/>
          <w:szCs w:val="28"/>
          <w:lang w:val="en-US"/>
        </w:rPr>
        <w:t>.</w:t>
      </w:r>
      <w:r w:rsidRPr="00F90B6B">
        <w:rPr>
          <w:rFonts w:ascii="Times New Roman" w:hAnsi="Times New Roman"/>
          <w:sz w:val="28"/>
          <w:szCs w:val="28"/>
        </w:rPr>
        <w:t>, Madias N</w:t>
      </w:r>
      <w:r w:rsidRPr="00F90B6B">
        <w:rPr>
          <w:rFonts w:ascii="Times New Roman" w:hAnsi="Times New Roman"/>
          <w:sz w:val="28"/>
          <w:szCs w:val="28"/>
          <w:lang w:val="en-US"/>
        </w:rPr>
        <w:t>.</w:t>
      </w:r>
      <w:r w:rsidRPr="00F90B6B">
        <w:rPr>
          <w:rFonts w:ascii="Times New Roman" w:hAnsi="Times New Roman"/>
          <w:sz w:val="28"/>
          <w:szCs w:val="28"/>
        </w:rPr>
        <w:t>E</w:t>
      </w:r>
      <w:r w:rsidRPr="00F90B6B">
        <w:rPr>
          <w:rFonts w:ascii="Times New Roman" w:hAnsi="Times New Roman"/>
          <w:sz w:val="28"/>
          <w:szCs w:val="28"/>
          <w:lang w:val="en-US"/>
        </w:rPr>
        <w:t>.</w:t>
      </w:r>
      <w:r w:rsidRPr="00F90B6B">
        <w:rPr>
          <w:rFonts w:ascii="Times New Roman" w:hAnsi="Times New Roman"/>
          <w:sz w:val="28"/>
          <w:szCs w:val="28"/>
        </w:rPr>
        <w:t xml:space="preserve"> Impact of hospital-associated hyponatremia on selected outcomes. Arch</w:t>
      </w:r>
      <w:r w:rsidRPr="00F90B6B">
        <w:rPr>
          <w:rFonts w:ascii="Times New Roman" w:hAnsi="Times New Roman"/>
          <w:sz w:val="28"/>
          <w:szCs w:val="28"/>
          <w:lang w:val="en-US"/>
        </w:rPr>
        <w:t>.</w:t>
      </w:r>
      <w:r w:rsidRPr="00F90B6B">
        <w:rPr>
          <w:rFonts w:ascii="Times New Roman" w:hAnsi="Times New Roman"/>
          <w:sz w:val="28"/>
          <w:szCs w:val="28"/>
        </w:rPr>
        <w:t xml:space="preserve"> Intern</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w:t>
      </w:r>
      <w:r w:rsidRPr="00F90B6B">
        <w:rPr>
          <w:rFonts w:ascii="Times New Roman" w:hAnsi="Times New Roman"/>
          <w:sz w:val="28"/>
          <w:szCs w:val="28"/>
        </w:rPr>
        <w:t xml:space="preserve"> 2010; 170: 294–302.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Wang</w:t>
      </w:r>
      <w:r w:rsidRPr="00F90B6B">
        <w:rPr>
          <w:rFonts w:ascii="Times New Roman" w:hAnsi="Times New Roman"/>
          <w:sz w:val="28"/>
          <w:szCs w:val="28"/>
          <w:lang w:val="en-US"/>
        </w:rPr>
        <w:t xml:space="preserve"> </w:t>
      </w:r>
      <w:r w:rsidRPr="00F90B6B">
        <w:rPr>
          <w:rFonts w:ascii="Times New Roman" w:hAnsi="Times New Roman"/>
          <w:sz w:val="28"/>
          <w:szCs w:val="28"/>
        </w:rPr>
        <w:t>N.C., Maggioni</w:t>
      </w:r>
      <w:r w:rsidRPr="00F90B6B">
        <w:rPr>
          <w:rFonts w:ascii="Times New Roman" w:hAnsi="Times New Roman"/>
          <w:sz w:val="28"/>
          <w:szCs w:val="28"/>
          <w:lang w:val="en-US"/>
        </w:rPr>
        <w:t xml:space="preserve"> </w:t>
      </w:r>
      <w:r w:rsidRPr="00F90B6B">
        <w:rPr>
          <w:rFonts w:ascii="Times New Roman" w:hAnsi="Times New Roman"/>
          <w:sz w:val="28"/>
          <w:szCs w:val="28"/>
        </w:rPr>
        <w:t>A.P., Konstam M.A. et al. For the Efficacy of Vasopressin Antagonism in Heart Failure Outcome Study With Tolvaptan  (EVEREST) Investigators. Clinical Implications of QRS Duration in Patients Hospitalized With Worsening Heart Failure and Reduced Left Ventricular Ejection Fraction</w:t>
      </w:r>
      <w:r w:rsidRPr="00F90B6B">
        <w:rPr>
          <w:rFonts w:ascii="Times New Roman" w:hAnsi="Times New Roman"/>
          <w:sz w:val="28"/>
          <w:szCs w:val="28"/>
          <w:lang w:val="en-US"/>
        </w:rPr>
        <w:t>.</w:t>
      </w:r>
      <w:r w:rsidRPr="00F90B6B">
        <w:rPr>
          <w:rFonts w:ascii="Times New Roman" w:hAnsi="Times New Roman"/>
          <w:sz w:val="28"/>
          <w:szCs w:val="28"/>
        </w:rPr>
        <w:t xml:space="preserve"> JAMA. 2008</w:t>
      </w:r>
      <w:r w:rsidRPr="00F90B6B">
        <w:rPr>
          <w:rFonts w:ascii="Times New Roman" w:hAnsi="Times New Roman"/>
          <w:sz w:val="28"/>
          <w:szCs w:val="28"/>
          <w:lang w:val="en-US"/>
        </w:rPr>
        <w:t>;</w:t>
      </w:r>
      <w:r w:rsidRPr="00F90B6B">
        <w:rPr>
          <w:rFonts w:ascii="Times New Roman" w:hAnsi="Times New Roman"/>
          <w:sz w:val="28"/>
          <w:szCs w:val="28"/>
        </w:rPr>
        <w:t xml:space="preserve"> 299</w:t>
      </w:r>
      <w:r w:rsidRPr="00F90B6B">
        <w:rPr>
          <w:rFonts w:ascii="Times New Roman" w:hAnsi="Times New Roman"/>
          <w:sz w:val="28"/>
          <w:szCs w:val="28"/>
          <w:lang w:val="en-US"/>
        </w:rPr>
        <w:t xml:space="preserve"> (</w:t>
      </w:r>
      <w:r w:rsidRPr="00F90B6B">
        <w:rPr>
          <w:rFonts w:ascii="Times New Roman" w:hAnsi="Times New Roman"/>
          <w:sz w:val="28"/>
          <w:szCs w:val="28"/>
        </w:rPr>
        <w:t>22</w:t>
      </w:r>
      <w:r w:rsidRPr="00F90B6B">
        <w:rPr>
          <w:rFonts w:ascii="Times New Roman" w:hAnsi="Times New Roman"/>
          <w:sz w:val="28"/>
          <w:szCs w:val="28"/>
          <w:lang w:val="en-US"/>
        </w:rPr>
        <w:t xml:space="preserve">): </w:t>
      </w:r>
      <w:r w:rsidRPr="00F90B6B">
        <w:rPr>
          <w:rFonts w:ascii="Times New Roman" w:hAnsi="Times New Roman"/>
          <w:sz w:val="28"/>
          <w:szCs w:val="28"/>
        </w:rPr>
        <w:t>2656</w:t>
      </w:r>
      <w:r w:rsidRPr="00F90B6B">
        <w:rPr>
          <w:rFonts w:ascii="Times New Roman" w:hAnsi="Times New Roman"/>
          <w:sz w:val="28"/>
          <w:szCs w:val="28"/>
          <w:lang w:val="en-US"/>
        </w:rPr>
        <w:t>-</w:t>
      </w:r>
      <w:r w:rsidRPr="00F90B6B">
        <w:rPr>
          <w:rFonts w:ascii="Times New Roman" w:hAnsi="Times New Roman"/>
          <w:sz w:val="28"/>
          <w:szCs w:val="28"/>
        </w:rPr>
        <w:t>66.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Webb J, Draper J, Rua T, et al. A cost effectiveness study establishing the impact and accuracy of implementing the NICE guidelines lowering plasma NTproBNP threshold in patients with clinically suspected heart failure at our institution. Int J Cardiol. 2018; 257: 131-136.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Weir M. R., Mayo M. R., Garza D. et al. Effectiveness of patiromer in the treatment of hyperkalemia in chronic kidney disease patients with hypertension on diuretics. J. Hypertens. 2017; 35 (Suppl. 1): 57-63</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Willenheimer</w:t>
      </w:r>
      <w:r w:rsidRPr="00F90B6B">
        <w:rPr>
          <w:rFonts w:ascii="Times New Roman" w:hAnsi="Times New Roman"/>
          <w:sz w:val="28"/>
          <w:szCs w:val="28"/>
          <w:lang w:val="en-US"/>
        </w:rPr>
        <w:t xml:space="preserve"> </w:t>
      </w:r>
      <w:r w:rsidRPr="00F90B6B">
        <w:rPr>
          <w:rFonts w:ascii="Times New Roman" w:hAnsi="Times New Roman"/>
          <w:sz w:val="28"/>
          <w:szCs w:val="28"/>
        </w:rPr>
        <w:t>R</w:t>
      </w:r>
      <w:r w:rsidRPr="00F90B6B">
        <w:rPr>
          <w:rFonts w:ascii="Times New Roman" w:hAnsi="Times New Roman"/>
          <w:sz w:val="28"/>
          <w:szCs w:val="28"/>
          <w:lang w:val="en-US"/>
        </w:rPr>
        <w:t>.</w:t>
      </w:r>
      <w:r w:rsidRPr="00F90B6B">
        <w:rPr>
          <w:rFonts w:ascii="Times New Roman" w:hAnsi="Times New Roman"/>
          <w:sz w:val="28"/>
          <w:szCs w:val="28"/>
        </w:rPr>
        <w:t>,</w:t>
      </w:r>
      <w:r w:rsidRPr="00F90B6B">
        <w:rPr>
          <w:rFonts w:ascii="Times New Roman" w:hAnsi="Times New Roman"/>
          <w:sz w:val="28"/>
          <w:szCs w:val="28"/>
          <w:lang w:val="en-US"/>
        </w:rPr>
        <w:t xml:space="preserve"> </w:t>
      </w:r>
      <w:r w:rsidRPr="00F90B6B">
        <w:rPr>
          <w:rFonts w:ascii="Times New Roman" w:hAnsi="Times New Roman"/>
          <w:sz w:val="28"/>
          <w:szCs w:val="28"/>
        </w:rPr>
        <w:t>van Veldhuisen</w:t>
      </w:r>
      <w:r w:rsidRPr="00F90B6B">
        <w:rPr>
          <w:rFonts w:ascii="Times New Roman" w:hAnsi="Times New Roman"/>
          <w:sz w:val="28"/>
          <w:szCs w:val="28"/>
          <w:lang w:val="en-US"/>
        </w:rPr>
        <w:t xml:space="preserve"> </w:t>
      </w:r>
      <w:r w:rsidRPr="00F90B6B">
        <w:rPr>
          <w:rFonts w:ascii="Times New Roman" w:hAnsi="Times New Roman"/>
          <w:sz w:val="28"/>
          <w:szCs w:val="28"/>
        </w:rPr>
        <w:t>D</w:t>
      </w:r>
      <w:r w:rsidRPr="00F90B6B">
        <w:rPr>
          <w:rFonts w:ascii="Times New Roman" w:hAnsi="Times New Roman"/>
          <w:sz w:val="28"/>
          <w:szCs w:val="28"/>
          <w:lang w:val="en-US"/>
        </w:rPr>
        <w:t xml:space="preserve">. </w:t>
      </w:r>
      <w:r w:rsidRPr="00F90B6B">
        <w:rPr>
          <w:rFonts w:ascii="Times New Roman" w:hAnsi="Times New Roman"/>
          <w:sz w:val="28"/>
          <w:szCs w:val="28"/>
        </w:rPr>
        <w:t>J</w:t>
      </w:r>
      <w:r w:rsidRPr="00F90B6B">
        <w:rPr>
          <w:rFonts w:ascii="Times New Roman" w:hAnsi="Times New Roman"/>
          <w:sz w:val="28"/>
          <w:szCs w:val="28"/>
          <w:lang w:val="en-US"/>
        </w:rPr>
        <w:t>.</w:t>
      </w:r>
      <w:r w:rsidRPr="00F90B6B">
        <w:rPr>
          <w:rFonts w:ascii="Times New Roman" w:hAnsi="Times New Roman"/>
          <w:sz w:val="28"/>
          <w:szCs w:val="28"/>
        </w:rPr>
        <w:t>,Silke</w:t>
      </w:r>
      <w:r w:rsidRPr="00F90B6B">
        <w:rPr>
          <w:rFonts w:ascii="Times New Roman" w:hAnsi="Times New Roman"/>
          <w:sz w:val="28"/>
          <w:szCs w:val="28"/>
          <w:lang w:val="en-US"/>
        </w:rPr>
        <w:t xml:space="preserve"> </w:t>
      </w:r>
      <w:r w:rsidRPr="00F90B6B">
        <w:rPr>
          <w:rFonts w:ascii="Times New Roman" w:hAnsi="Times New Roman"/>
          <w:sz w:val="28"/>
          <w:szCs w:val="28"/>
        </w:rPr>
        <w:t xml:space="preserve"> B</w:t>
      </w:r>
      <w:r w:rsidRPr="00F90B6B">
        <w:rPr>
          <w:rFonts w:ascii="Times New Roman" w:hAnsi="Times New Roman"/>
          <w:sz w:val="28"/>
          <w:szCs w:val="28"/>
          <w:lang w:val="en-US"/>
        </w:rPr>
        <w:t>.</w:t>
      </w:r>
      <w:r w:rsidRPr="00F90B6B">
        <w:rPr>
          <w:rFonts w:ascii="Times New Roman" w:hAnsi="Times New Roman"/>
          <w:sz w:val="28"/>
          <w:szCs w:val="28"/>
        </w:rPr>
        <w:t xml:space="preserve"> et al.</w:t>
      </w:r>
      <w:r w:rsidRPr="00F90B6B">
        <w:rPr>
          <w:rFonts w:ascii="Times New Roman" w:hAnsi="Times New Roman"/>
          <w:sz w:val="28"/>
          <w:szCs w:val="28"/>
          <w:lang w:val="en-US"/>
        </w:rPr>
        <w:t xml:space="preserve"> </w:t>
      </w:r>
      <w:r w:rsidRPr="00F90B6B">
        <w:rPr>
          <w:rFonts w:ascii="Times New Roman" w:hAnsi="Times New Roman"/>
          <w:sz w:val="28"/>
          <w:szCs w:val="28"/>
        </w:rPr>
        <w:t>CIBIS III Investigators</w:t>
      </w:r>
      <w:r w:rsidRPr="00F90B6B">
        <w:rPr>
          <w:rFonts w:ascii="Times New Roman" w:hAnsi="Times New Roman"/>
          <w:sz w:val="28"/>
          <w:szCs w:val="28"/>
          <w:lang w:val="en-US"/>
        </w:rPr>
        <w:t xml:space="preserve">. </w:t>
      </w:r>
      <w:r w:rsidRPr="00F90B6B">
        <w:rPr>
          <w:rFonts w:ascii="Times New Roman" w:hAnsi="Times New Roman"/>
          <w:sz w:val="28"/>
          <w:szCs w:val="28"/>
        </w:rPr>
        <w:t>Effect on survival and hospitalization of initiating treatment for chronic heart failure with bisoprolol followed by enalapril, as compared with the opposite sequence: results of the randomized Cardiac Insufﬁciency Bisoprolol Study (CIBIS) III</w:t>
      </w:r>
      <w:r w:rsidRPr="00F90B6B">
        <w:rPr>
          <w:rFonts w:ascii="Times New Roman" w:hAnsi="Times New Roman"/>
          <w:sz w:val="28"/>
          <w:szCs w:val="28"/>
          <w:lang w:val="en-US"/>
        </w:rPr>
        <w:t xml:space="preserve">. </w:t>
      </w:r>
      <w:r w:rsidRPr="00F90B6B">
        <w:rPr>
          <w:rFonts w:ascii="Times New Roman" w:hAnsi="Times New Roman"/>
          <w:sz w:val="28"/>
          <w:szCs w:val="28"/>
        </w:rPr>
        <w:t>Circulation</w:t>
      </w:r>
      <w:r w:rsidRPr="00F90B6B">
        <w:rPr>
          <w:rFonts w:ascii="Times New Roman" w:hAnsi="Times New Roman"/>
          <w:sz w:val="28"/>
          <w:szCs w:val="28"/>
          <w:lang w:val="en-US"/>
        </w:rPr>
        <w:t>.</w:t>
      </w:r>
      <w:r w:rsidRPr="00F90B6B">
        <w:rPr>
          <w:rFonts w:ascii="Times New Roman" w:hAnsi="Times New Roman"/>
          <w:sz w:val="28"/>
          <w:szCs w:val="28"/>
        </w:rPr>
        <w:t xml:space="preserve"> 2005</w:t>
      </w:r>
      <w:r w:rsidRPr="00F90B6B">
        <w:rPr>
          <w:rFonts w:ascii="Times New Roman" w:hAnsi="Times New Roman"/>
          <w:sz w:val="28"/>
          <w:szCs w:val="28"/>
          <w:lang w:val="en-US"/>
        </w:rPr>
        <w:t xml:space="preserve">; </w:t>
      </w:r>
      <w:r w:rsidRPr="00F90B6B">
        <w:rPr>
          <w:rFonts w:ascii="Times New Roman" w:hAnsi="Times New Roman"/>
          <w:sz w:val="28"/>
          <w:szCs w:val="28"/>
        </w:rPr>
        <w:t>112</w:t>
      </w:r>
      <w:r w:rsidRPr="00F90B6B">
        <w:rPr>
          <w:rFonts w:ascii="Times New Roman" w:hAnsi="Times New Roman"/>
          <w:sz w:val="28"/>
          <w:szCs w:val="28"/>
          <w:lang w:val="en-US"/>
        </w:rPr>
        <w:t xml:space="preserve">: </w:t>
      </w:r>
      <w:r w:rsidRPr="00F90B6B">
        <w:rPr>
          <w:rFonts w:ascii="Times New Roman" w:hAnsi="Times New Roman"/>
          <w:sz w:val="28"/>
          <w:szCs w:val="28"/>
        </w:rPr>
        <w:t>2426–35.</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Wong C. M., Hawkins N. M., Jhund P. S. et al. Clinical characteristics and outcomes of young and very young adults with heart failure: the CHARM programme (Candesartan in Heart Failure Assessment of Reduction in Mortality and Morbidity). J. Am. Coll. Cardiol. 2013; 62: 1845–54</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rPr>
      </w:pPr>
      <w:r w:rsidRPr="00F90B6B">
        <w:rPr>
          <w:rFonts w:ascii="Times New Roman" w:hAnsi="Times New Roman"/>
          <w:sz w:val="28"/>
          <w:szCs w:val="28"/>
        </w:rPr>
        <w:t>World Health Organization. Obesity: preventing and managing the global epidemic. WHO Technical Report. Series 894. Geneva, WHO 2000.</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Yamazoe M, Mizuno A, Kohsaka S, et al. Incidence of hospital-acquired hyponatremia by the dose and type of diuretics among patients with acute heart failure and its association with long-term outcomes. West Tokyo Heart Failure Registry Investigators Tokyo, Japan. J Cardiol. 2018; 71(6): 550-556.</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eastAsia="uk-UA"/>
        </w:rPr>
      </w:pPr>
      <w:r w:rsidRPr="00F90B6B">
        <w:rPr>
          <w:rFonts w:ascii="Times New Roman" w:hAnsi="Times New Roman"/>
          <w:sz w:val="28"/>
          <w:szCs w:val="28"/>
          <w:lang w:eastAsia="uk-UA"/>
        </w:rPr>
        <w:t>Yancy</w:t>
      </w:r>
      <w:r w:rsidRPr="00F90B6B">
        <w:rPr>
          <w:rFonts w:ascii="Times New Roman" w:hAnsi="Times New Roman"/>
          <w:sz w:val="28"/>
          <w:szCs w:val="28"/>
          <w:lang w:val="en-US" w:eastAsia="uk-UA"/>
        </w:rPr>
        <w:t xml:space="preserve"> </w:t>
      </w:r>
      <w:r w:rsidRPr="00F90B6B">
        <w:rPr>
          <w:rFonts w:ascii="Times New Roman" w:hAnsi="Times New Roman"/>
          <w:sz w:val="28"/>
          <w:szCs w:val="28"/>
          <w:lang w:eastAsia="uk-UA"/>
        </w:rPr>
        <w:t>C. W., Jessup</w:t>
      </w:r>
      <w:r w:rsidRPr="00F90B6B">
        <w:rPr>
          <w:rFonts w:ascii="Times New Roman" w:hAnsi="Times New Roman"/>
          <w:sz w:val="28"/>
          <w:szCs w:val="28"/>
          <w:lang w:val="en-US" w:eastAsia="uk-UA"/>
        </w:rPr>
        <w:t xml:space="preserve"> </w:t>
      </w:r>
      <w:r w:rsidRPr="00F90B6B">
        <w:rPr>
          <w:rFonts w:ascii="Times New Roman" w:hAnsi="Times New Roman"/>
          <w:sz w:val="28"/>
          <w:szCs w:val="28"/>
          <w:lang w:eastAsia="uk-UA"/>
        </w:rPr>
        <w:t>M., Bozkurt</w:t>
      </w:r>
      <w:r w:rsidRPr="00F90B6B">
        <w:rPr>
          <w:rFonts w:ascii="Times New Roman" w:hAnsi="Times New Roman"/>
          <w:sz w:val="28"/>
          <w:szCs w:val="28"/>
          <w:lang w:val="en-US" w:eastAsia="uk-UA"/>
        </w:rPr>
        <w:t xml:space="preserve"> </w:t>
      </w:r>
      <w:r w:rsidRPr="00F90B6B">
        <w:rPr>
          <w:rFonts w:ascii="Times New Roman" w:hAnsi="Times New Roman"/>
          <w:sz w:val="28"/>
          <w:szCs w:val="28"/>
          <w:lang w:eastAsia="uk-UA"/>
        </w:rPr>
        <w:t>B. et al. 2013 ACCF/AHA Guideline for the Management of Heart Failure: executive summary: a report of the American College of Cardiology Foundation. American Heart Association Task Force on Practice Guidelines</w:t>
      </w:r>
      <w:r w:rsidRPr="00F90B6B">
        <w:rPr>
          <w:rFonts w:ascii="Times New Roman" w:hAnsi="Times New Roman"/>
          <w:sz w:val="28"/>
          <w:szCs w:val="28"/>
          <w:lang w:val="en-US" w:eastAsia="uk-UA"/>
        </w:rPr>
        <w:t>.</w:t>
      </w:r>
      <w:r w:rsidRPr="00F90B6B">
        <w:rPr>
          <w:rFonts w:ascii="Times New Roman" w:hAnsi="Times New Roman"/>
          <w:sz w:val="28"/>
          <w:szCs w:val="28"/>
          <w:lang w:eastAsia="uk-UA"/>
        </w:rPr>
        <w:t xml:space="preserve"> Circulation. 2013</w:t>
      </w:r>
      <w:r w:rsidRPr="00F90B6B">
        <w:rPr>
          <w:rFonts w:ascii="Times New Roman" w:hAnsi="Times New Roman"/>
          <w:sz w:val="28"/>
          <w:szCs w:val="28"/>
          <w:lang w:val="en-US" w:eastAsia="uk-UA"/>
        </w:rPr>
        <w:t xml:space="preserve">; </w:t>
      </w:r>
      <w:r w:rsidRPr="00F90B6B">
        <w:rPr>
          <w:rFonts w:ascii="Times New Roman" w:hAnsi="Times New Roman"/>
          <w:sz w:val="28"/>
          <w:szCs w:val="28"/>
          <w:lang w:eastAsia="uk-UA"/>
        </w:rPr>
        <w:t>Vol. 128</w:t>
      </w:r>
      <w:r w:rsidRPr="00F90B6B">
        <w:rPr>
          <w:rFonts w:ascii="Times New Roman" w:hAnsi="Times New Roman"/>
          <w:sz w:val="28"/>
          <w:szCs w:val="28"/>
          <w:lang w:val="en-US" w:eastAsia="uk-UA"/>
        </w:rPr>
        <w:t>:</w:t>
      </w:r>
      <w:r w:rsidRPr="00F90B6B">
        <w:rPr>
          <w:rFonts w:ascii="Times New Roman" w:hAnsi="Times New Roman"/>
          <w:sz w:val="28"/>
          <w:szCs w:val="28"/>
          <w:lang w:eastAsia="uk-UA"/>
        </w:rPr>
        <w:t xml:space="preserve"> 1810–52.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rPr>
        <w:t>Yasue S., Masuzaki H., Okada S., et al. Adipose tissue - specific regulation of angiotensinogen in obese humans and mice: impact of nutritional status and adipocyte hypertrophy. Am</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Hypertens. 2010; 23(4): 425-31.</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lastRenderedPageBreak/>
        <w:t xml:space="preserve">Yoshihisa A, Sato T, Kajimoto K, et al. Heterogeneous impact of body mass index on in-hospital mortality in acute heart failure syndromes: An analysis from the ATTEND Registry. Acute Decompensated Heart Failure Syndromes (ATTEND) investigators. Eur Heart J Acute Cardiovasc Care. 2017; 3: 61. </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 xml:space="preserve">Yusuf S., Pitt B., Davis C. E. </w:t>
      </w:r>
      <w:r w:rsidRPr="00F90B6B">
        <w:rPr>
          <w:rFonts w:ascii="Times New Roman" w:hAnsi="Times New Roman"/>
          <w:sz w:val="28"/>
          <w:szCs w:val="28"/>
        </w:rPr>
        <w:t>et al.</w:t>
      </w:r>
      <w:r w:rsidRPr="00F90B6B">
        <w:rPr>
          <w:rFonts w:ascii="Times New Roman" w:hAnsi="Times New Roman"/>
          <w:sz w:val="28"/>
          <w:szCs w:val="28"/>
          <w:lang w:val="en-US"/>
        </w:rPr>
        <w:t xml:space="preserve"> </w:t>
      </w:r>
      <w:r w:rsidRPr="00F90B6B">
        <w:rPr>
          <w:rFonts w:ascii="Times New Roman" w:hAnsi="Times New Roman"/>
          <w:sz w:val="28"/>
          <w:szCs w:val="28"/>
        </w:rPr>
        <w:t>SOLVD Investigattors</w:t>
      </w:r>
      <w:r w:rsidRPr="00F90B6B">
        <w:rPr>
          <w:rFonts w:ascii="Times New Roman" w:hAnsi="Times New Roman"/>
          <w:sz w:val="28"/>
          <w:szCs w:val="28"/>
          <w:lang w:val="en-US"/>
        </w:rPr>
        <w:t xml:space="preserve">. </w:t>
      </w:r>
      <w:r w:rsidRPr="00F90B6B">
        <w:rPr>
          <w:rFonts w:ascii="Times New Roman" w:hAnsi="Times New Roman"/>
          <w:sz w:val="28"/>
          <w:szCs w:val="28"/>
        </w:rPr>
        <w:t>Effect of enalapril on survival in patients with reduced left ventricular ejection fractions and congestive heart failure</w:t>
      </w:r>
      <w:r w:rsidRPr="00F90B6B">
        <w:rPr>
          <w:rFonts w:ascii="Times New Roman" w:hAnsi="Times New Roman"/>
          <w:sz w:val="28"/>
          <w:szCs w:val="28"/>
          <w:lang w:val="en-US"/>
        </w:rPr>
        <w:t>.</w:t>
      </w:r>
      <w:r w:rsidRPr="00F90B6B">
        <w:rPr>
          <w:rFonts w:ascii="Times New Roman" w:hAnsi="Times New Roman"/>
          <w:sz w:val="28"/>
          <w:szCs w:val="28"/>
        </w:rPr>
        <w:t xml:space="preserve"> N</w:t>
      </w:r>
      <w:r w:rsidRPr="00F90B6B">
        <w:rPr>
          <w:rFonts w:ascii="Times New Roman" w:hAnsi="Times New Roman"/>
          <w:sz w:val="28"/>
          <w:szCs w:val="28"/>
          <w:lang w:val="en-US"/>
        </w:rPr>
        <w:t>.</w:t>
      </w:r>
      <w:r w:rsidRPr="00F90B6B">
        <w:rPr>
          <w:rFonts w:ascii="Times New Roman" w:hAnsi="Times New Roman"/>
          <w:sz w:val="28"/>
          <w:szCs w:val="28"/>
        </w:rPr>
        <w:t xml:space="preserve"> Engl</w:t>
      </w:r>
      <w:r w:rsidRPr="00F90B6B">
        <w:rPr>
          <w:rFonts w:ascii="Times New Roman" w:hAnsi="Times New Roman"/>
          <w:sz w:val="28"/>
          <w:szCs w:val="28"/>
          <w:lang w:val="en-US"/>
        </w:rPr>
        <w:t>.</w:t>
      </w:r>
      <w:r w:rsidRPr="00F90B6B">
        <w:rPr>
          <w:rFonts w:ascii="Times New Roman" w:hAnsi="Times New Roman"/>
          <w:sz w:val="28"/>
          <w:szCs w:val="28"/>
        </w:rPr>
        <w:t xml:space="preserve"> J</w:t>
      </w:r>
      <w:r w:rsidRPr="00F90B6B">
        <w:rPr>
          <w:rFonts w:ascii="Times New Roman" w:hAnsi="Times New Roman"/>
          <w:sz w:val="28"/>
          <w:szCs w:val="28"/>
          <w:lang w:val="en-US"/>
        </w:rPr>
        <w:t>.</w:t>
      </w:r>
      <w:r w:rsidRPr="00F90B6B">
        <w:rPr>
          <w:rFonts w:ascii="Times New Roman" w:hAnsi="Times New Roman"/>
          <w:sz w:val="28"/>
          <w:szCs w:val="28"/>
        </w:rPr>
        <w:t xml:space="preserve"> Med</w:t>
      </w:r>
      <w:r w:rsidRPr="00F90B6B">
        <w:rPr>
          <w:rFonts w:ascii="Times New Roman" w:hAnsi="Times New Roman"/>
          <w:sz w:val="28"/>
          <w:szCs w:val="28"/>
          <w:lang w:val="en-US"/>
        </w:rPr>
        <w:t xml:space="preserve">. </w:t>
      </w:r>
      <w:r w:rsidRPr="00F90B6B">
        <w:rPr>
          <w:rFonts w:ascii="Times New Roman" w:hAnsi="Times New Roman"/>
          <w:sz w:val="28"/>
          <w:szCs w:val="28"/>
        </w:rPr>
        <w:t>1991</w:t>
      </w:r>
      <w:r w:rsidRPr="00F90B6B">
        <w:rPr>
          <w:rFonts w:ascii="Times New Roman" w:hAnsi="Times New Roman"/>
          <w:sz w:val="28"/>
          <w:szCs w:val="28"/>
          <w:lang w:val="en-US"/>
        </w:rPr>
        <w:t xml:space="preserve">; </w:t>
      </w:r>
      <w:r w:rsidRPr="00F90B6B">
        <w:rPr>
          <w:rFonts w:ascii="Times New Roman" w:hAnsi="Times New Roman"/>
          <w:sz w:val="28"/>
          <w:szCs w:val="28"/>
        </w:rPr>
        <w:t>325</w:t>
      </w:r>
      <w:r w:rsidRPr="00F90B6B">
        <w:rPr>
          <w:rFonts w:ascii="Times New Roman" w:hAnsi="Times New Roman"/>
          <w:sz w:val="28"/>
          <w:szCs w:val="28"/>
          <w:lang w:val="en-US"/>
        </w:rPr>
        <w:t xml:space="preserve">: </w:t>
      </w:r>
      <w:r w:rsidRPr="00F90B6B">
        <w:rPr>
          <w:rFonts w:ascii="Times New Roman" w:hAnsi="Times New Roman"/>
          <w:sz w:val="28"/>
          <w:szCs w:val="28"/>
        </w:rPr>
        <w:t>293–302.</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Zannad F, Rossignol P. Cardiorenal Syndrome Revisited. Circulation. 2018; 138(9): 929-944.</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val="en-US"/>
        </w:rPr>
      </w:pPr>
      <w:r w:rsidRPr="00F90B6B">
        <w:rPr>
          <w:rFonts w:ascii="Times New Roman" w:hAnsi="Times New Roman"/>
          <w:sz w:val="28"/>
          <w:szCs w:val="28"/>
          <w:lang w:val="en-US"/>
        </w:rPr>
        <w:t>Zannad F., McMurray J. J. V., Krum H. et al. Eplerenone in patients with systolic heart failure and mild symptoms. New Engl. J. Med. 2011; 364: 11–21</w:t>
      </w:r>
      <w:r w:rsidRPr="00F90B6B">
        <w:rPr>
          <w:rFonts w:ascii="Times New Roman" w:hAnsi="Times New Roman"/>
          <w:sz w:val="28"/>
          <w:szCs w:val="28"/>
        </w:rPr>
        <w:t>.</w:t>
      </w:r>
    </w:p>
    <w:p w:rsidR="00EF4063" w:rsidRPr="00F90B6B" w:rsidRDefault="00EF4063" w:rsidP="00F0048B">
      <w:pPr>
        <w:pStyle w:val="1"/>
        <w:numPr>
          <w:ilvl w:val="0"/>
          <w:numId w:val="34"/>
        </w:numPr>
        <w:spacing w:after="0" w:line="360" w:lineRule="auto"/>
        <w:ind w:left="0" w:firstLine="0"/>
        <w:jc w:val="both"/>
        <w:rPr>
          <w:rFonts w:ascii="Times New Roman" w:hAnsi="Times New Roman"/>
          <w:sz w:val="28"/>
          <w:szCs w:val="28"/>
          <w:lang w:eastAsia="ru-RU"/>
        </w:rPr>
      </w:pPr>
      <w:r w:rsidRPr="00F90B6B">
        <w:rPr>
          <w:rFonts w:ascii="Times New Roman" w:hAnsi="Times New Roman"/>
          <w:sz w:val="28"/>
          <w:szCs w:val="28"/>
          <w:lang w:val="en-US"/>
        </w:rPr>
        <w:t xml:space="preserve">Zhang Y, Peng R, Li X, et al. Serum chloride as a novel marker for adding prognostic information of mortality in chronic heart failure. Clin Chim Acta. 2018; 483: 112-118. </w:t>
      </w: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pStyle w:val="1"/>
        <w:spacing w:after="0" w:line="360" w:lineRule="auto"/>
        <w:ind w:left="0"/>
        <w:jc w:val="both"/>
        <w:rPr>
          <w:rFonts w:ascii="Times New Roman" w:hAnsi="Times New Roman"/>
          <w:sz w:val="28"/>
          <w:szCs w:val="28"/>
          <w:lang w:val="ru-RU"/>
        </w:rPr>
      </w:pPr>
    </w:p>
    <w:p w:rsidR="00EF4063" w:rsidRPr="00F90B6B" w:rsidRDefault="00EF4063" w:rsidP="00F0048B">
      <w:pPr>
        <w:spacing w:line="360" w:lineRule="auto"/>
        <w:ind w:left="2832" w:firstLine="708"/>
        <w:rPr>
          <w:rFonts w:ascii="Times New Roman" w:hAnsi="Times New Roman"/>
          <w:b/>
          <w:sz w:val="28"/>
          <w:szCs w:val="28"/>
        </w:rPr>
      </w:pPr>
      <w:r w:rsidRPr="00F90B6B">
        <w:rPr>
          <w:rFonts w:ascii="Times New Roman" w:hAnsi="Times New Roman"/>
          <w:b/>
          <w:sz w:val="28"/>
          <w:szCs w:val="28"/>
        </w:rPr>
        <w:lastRenderedPageBreak/>
        <w:t>Д</w:t>
      </w:r>
      <w:r w:rsidRPr="00F90B6B">
        <w:rPr>
          <w:rFonts w:ascii="Times New Roman" w:hAnsi="Times New Roman"/>
          <w:b/>
          <w:sz w:val="28"/>
          <w:szCs w:val="28"/>
          <w:lang w:val="ru-RU"/>
        </w:rPr>
        <w:t xml:space="preserve">ОДАТОК </w:t>
      </w:r>
      <w:r w:rsidRPr="00F90B6B">
        <w:rPr>
          <w:rFonts w:ascii="Times New Roman" w:hAnsi="Times New Roman"/>
          <w:b/>
          <w:sz w:val="28"/>
          <w:szCs w:val="28"/>
        </w:rPr>
        <w:t>А</w:t>
      </w:r>
    </w:p>
    <w:p w:rsidR="00EF4063" w:rsidRPr="00F90B6B" w:rsidRDefault="00EF4063" w:rsidP="00F0048B">
      <w:pPr>
        <w:spacing w:line="360" w:lineRule="auto"/>
        <w:ind w:left="708" w:firstLine="708"/>
        <w:rPr>
          <w:rFonts w:ascii="Times New Roman" w:hAnsi="Times New Roman"/>
          <w:sz w:val="28"/>
          <w:szCs w:val="28"/>
        </w:rPr>
      </w:pPr>
      <w:r w:rsidRPr="00F90B6B">
        <w:rPr>
          <w:rFonts w:ascii="Times New Roman" w:hAnsi="Times New Roman"/>
          <w:sz w:val="28"/>
          <w:szCs w:val="28"/>
        </w:rPr>
        <w:t>Шкала оцінки клінічного стану при СН (ШОКС)</w:t>
      </w:r>
    </w:p>
    <w:tbl>
      <w:tblPr>
        <w:tblW w:w="9407" w:type="dxa"/>
        <w:tblInd w:w="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20"/>
        <w:gridCol w:w="5387"/>
      </w:tblGrid>
      <w:tr w:rsidR="00EF4063" w:rsidRPr="00F90B6B" w:rsidTr="00D212DC">
        <w:trPr>
          <w:trHeight w:val="6922"/>
        </w:trPr>
        <w:tc>
          <w:tcPr>
            <w:tcW w:w="4020" w:type="dxa"/>
          </w:tcPr>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1.Задишка</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2.Зміна маси тіла у тиждень</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3.Перебої у роботі серця</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4.Положення хворого у ліжку</w:t>
            </w:r>
          </w:p>
          <w:p w:rsidR="00EF4063" w:rsidRPr="00F90B6B" w:rsidRDefault="00EF4063" w:rsidP="00F0048B">
            <w:pPr>
              <w:spacing w:line="360" w:lineRule="auto"/>
              <w:rPr>
                <w:rFonts w:ascii="Times New Roman" w:hAnsi="Times New Roman"/>
                <w:sz w:val="28"/>
                <w:szCs w:val="28"/>
              </w:rPr>
            </w:pP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5.Набряклі шийні вени</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6.Хрипи у легенях</w:t>
            </w:r>
          </w:p>
          <w:p w:rsidR="00EF4063" w:rsidRPr="00F90B6B" w:rsidRDefault="00EF4063" w:rsidP="00F0048B">
            <w:pPr>
              <w:spacing w:line="360" w:lineRule="auto"/>
              <w:rPr>
                <w:rFonts w:ascii="Times New Roman" w:hAnsi="Times New Roman"/>
                <w:sz w:val="28"/>
                <w:szCs w:val="28"/>
              </w:rPr>
            </w:pP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7. Ритм галопу</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8.Печінка</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9.Набряки</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10.Рівень САТ</w:t>
            </w:r>
          </w:p>
        </w:tc>
        <w:tc>
          <w:tcPr>
            <w:tcW w:w="5387" w:type="dxa"/>
          </w:tcPr>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0-ні, 1- при навантаженні, 2-у спокої</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0-ні, 1-збільшення</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0-ні,1-є</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0-горизонтально, 1-з підведеним головним кінцем, 2-прокидається від задухи, 3- сидячи</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0-ні, 1-лежачи, 2- стоячи</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0-ні, 1- нижні відділи, 2-до лопаток, 3- над усією поверхнею легенів</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0-ні, 1-є</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0-не збільшена,1-до 5 см, 2&gt;5см</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0-ні, 1-пастозність, 2-набряки, 3-анасарка</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0-&gt;120, 1-(100-120), 2˂100мм рт.ст.</w:t>
            </w:r>
          </w:p>
        </w:tc>
      </w:tr>
    </w:tbl>
    <w:p w:rsidR="00EF4063" w:rsidRPr="00F90B6B" w:rsidRDefault="00EF4063" w:rsidP="00F0048B">
      <w:pPr>
        <w:spacing w:line="360" w:lineRule="auto"/>
        <w:rPr>
          <w:rFonts w:ascii="Times New Roman" w:hAnsi="Times New Roman"/>
          <w:sz w:val="28"/>
          <w:szCs w:val="28"/>
        </w:rPr>
      </w:pPr>
    </w:p>
    <w:p w:rsidR="00EF4063" w:rsidRPr="00F90B6B" w:rsidRDefault="00EF4063" w:rsidP="00F0048B">
      <w:pPr>
        <w:spacing w:line="360" w:lineRule="auto"/>
        <w:rPr>
          <w:rFonts w:ascii="Times New Roman" w:hAnsi="Times New Roman"/>
          <w:sz w:val="28"/>
          <w:szCs w:val="28"/>
          <w:lang w:val="ru-RU"/>
        </w:rPr>
      </w:pPr>
      <w:r w:rsidRPr="00F90B6B">
        <w:rPr>
          <w:rFonts w:ascii="Times New Roman" w:hAnsi="Times New Roman"/>
          <w:sz w:val="28"/>
          <w:szCs w:val="28"/>
        </w:rPr>
        <w:t>Мінімально - 0 балів, максимально - 20 балів</w:t>
      </w:r>
    </w:p>
    <w:p w:rsidR="00EF4063" w:rsidRPr="00F90B6B" w:rsidRDefault="00EF4063" w:rsidP="00F0048B">
      <w:pPr>
        <w:spacing w:line="360" w:lineRule="auto"/>
        <w:ind w:left="3540" w:firstLine="708"/>
        <w:rPr>
          <w:rFonts w:ascii="Times New Roman" w:hAnsi="Times New Roman"/>
          <w:sz w:val="28"/>
          <w:szCs w:val="28"/>
          <w:lang w:val="ru-RU"/>
        </w:rPr>
      </w:pPr>
    </w:p>
    <w:p w:rsidR="00EF4063" w:rsidRPr="00F90B6B" w:rsidRDefault="00EF4063" w:rsidP="00F0048B">
      <w:pPr>
        <w:spacing w:line="360" w:lineRule="auto"/>
        <w:ind w:left="3540" w:firstLine="708"/>
        <w:rPr>
          <w:rFonts w:ascii="Times New Roman" w:hAnsi="Times New Roman"/>
          <w:sz w:val="28"/>
          <w:szCs w:val="28"/>
          <w:lang w:val="ru-RU"/>
        </w:rPr>
      </w:pPr>
    </w:p>
    <w:p w:rsidR="00EF4063" w:rsidRPr="00F90B6B" w:rsidRDefault="00EF4063" w:rsidP="00F0048B">
      <w:pPr>
        <w:spacing w:line="360" w:lineRule="auto"/>
        <w:ind w:left="3540" w:firstLine="708"/>
        <w:rPr>
          <w:rFonts w:ascii="Times New Roman" w:hAnsi="Times New Roman"/>
          <w:sz w:val="28"/>
          <w:szCs w:val="28"/>
          <w:lang w:val="ru-RU"/>
        </w:rPr>
      </w:pPr>
    </w:p>
    <w:p w:rsidR="00EF4063" w:rsidRPr="00F90B6B" w:rsidRDefault="00EF4063" w:rsidP="00F0048B">
      <w:pPr>
        <w:spacing w:line="360" w:lineRule="auto"/>
        <w:ind w:left="3540" w:firstLine="708"/>
        <w:rPr>
          <w:rFonts w:ascii="Times New Roman" w:hAnsi="Times New Roman"/>
          <w:sz w:val="28"/>
          <w:szCs w:val="28"/>
          <w:lang w:val="ru-RU"/>
        </w:rPr>
      </w:pPr>
    </w:p>
    <w:p w:rsidR="00EF4063" w:rsidRPr="00F90B6B" w:rsidRDefault="00EF4063" w:rsidP="00F0048B">
      <w:pPr>
        <w:spacing w:line="360" w:lineRule="auto"/>
        <w:ind w:left="3540" w:firstLine="708"/>
        <w:rPr>
          <w:rFonts w:ascii="Times New Roman" w:hAnsi="Times New Roman"/>
          <w:sz w:val="28"/>
          <w:szCs w:val="28"/>
          <w:lang w:val="ru-RU"/>
        </w:rPr>
      </w:pP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lastRenderedPageBreak/>
        <w:t>Мінесотський опитувальник якості життя у хворих з серцевою недостатністю</w:t>
      </w:r>
    </w:p>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Чи заважала Вам серцева недостатність жити так,</w:t>
      </w:r>
      <w:r w:rsidR="00021D22">
        <w:rPr>
          <w:rFonts w:ascii="Times New Roman" w:hAnsi="Times New Roman"/>
          <w:sz w:val="28"/>
          <w:szCs w:val="28"/>
          <w:lang w:val="ru-RU"/>
        </w:rPr>
        <w:t xml:space="preserve"> </w:t>
      </w:r>
      <w:r w:rsidRPr="00F90B6B">
        <w:rPr>
          <w:rFonts w:ascii="Times New Roman" w:hAnsi="Times New Roman"/>
          <w:sz w:val="28"/>
          <w:szCs w:val="28"/>
        </w:rPr>
        <w:t>як хотілося б протягом останнього місяця через: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21"/>
        <w:gridCol w:w="539"/>
        <w:gridCol w:w="957"/>
        <w:gridCol w:w="520"/>
        <w:gridCol w:w="520"/>
        <w:gridCol w:w="520"/>
        <w:gridCol w:w="1631"/>
      </w:tblGrid>
      <w:tr w:rsidR="00EF4063" w:rsidRPr="00F90B6B" w:rsidTr="00FB4A39">
        <w:trPr>
          <w:trHeight w:val="617"/>
        </w:trPr>
        <w:tc>
          <w:tcPr>
            <w:tcW w:w="5321" w:type="dxa"/>
            <w:vAlign w:val="center"/>
          </w:tcPr>
          <w:p w:rsidR="00EF4063" w:rsidRPr="00F90B6B" w:rsidRDefault="00EF4063" w:rsidP="00FB4A39">
            <w:pPr>
              <w:spacing w:after="0" w:line="360" w:lineRule="auto"/>
              <w:jc w:val="center"/>
              <w:rPr>
                <w:rFonts w:ascii="Times New Roman" w:hAnsi="Times New Roman"/>
                <w:sz w:val="28"/>
                <w:szCs w:val="28"/>
              </w:rPr>
            </w:pP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Ні</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Трохи</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Дуже сильно</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1.Набряклість стоп,гомілок і так далі?</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2.Необхідність відпочивати сидячи або лежачи протягом дня?</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3.Труднощі при ході або підйомі сходами?</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4.Обмеження при хатній роботі або на дачній ділянці?</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5.Неможливість далеких поїздок?</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6.Порушення повноцінного сну у нічний час?</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7.Труднощі у взаєминах з членами сім’ї і друзями?</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8.Обмеження можливості заробляти на життя?</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9.Неможливість повноцінного активного відпочинку, занять спортом?</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10.Неможливість повноцінного статевого життя?</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925"/>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11.Дотримування дієти, що обмежує кількість і різноманітність вживаних блюд?</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12.Відчуття нестачі повітря?</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13.Відчуття втоми, стомлення,відсутності енергії?</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lastRenderedPageBreak/>
              <w:t>14.Необхідність періодично знаходитись у лікарні?</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15.Витрачання грошей на ліки?</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16.Побічні дії ліків?</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17.Відчуття,що Ви тягар для сім’ї і друзів?</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292"/>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18.Відчуття безпорадності?</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08"/>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19.Відчуття занепокоєння?</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617"/>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20.Неможливість концентруватися та зниження пам’яті?</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r w:rsidR="00EF4063" w:rsidRPr="00F90B6B" w:rsidTr="00FB4A39">
        <w:trPr>
          <w:trHeight w:val="325"/>
        </w:trPr>
        <w:tc>
          <w:tcPr>
            <w:tcW w:w="5321" w:type="dxa"/>
          </w:tcPr>
          <w:p w:rsidR="00EF4063" w:rsidRPr="00F90B6B" w:rsidRDefault="00EF4063" w:rsidP="00F0048B">
            <w:pPr>
              <w:spacing w:after="0" w:line="360" w:lineRule="auto"/>
              <w:rPr>
                <w:rFonts w:ascii="Times New Roman" w:hAnsi="Times New Roman"/>
                <w:sz w:val="28"/>
                <w:szCs w:val="28"/>
              </w:rPr>
            </w:pPr>
            <w:r w:rsidRPr="00F90B6B">
              <w:rPr>
                <w:rFonts w:ascii="Times New Roman" w:hAnsi="Times New Roman"/>
                <w:sz w:val="28"/>
                <w:szCs w:val="28"/>
              </w:rPr>
              <w:t>21.Депрессію?</w:t>
            </w:r>
          </w:p>
        </w:tc>
        <w:tc>
          <w:tcPr>
            <w:tcW w:w="539"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0</w:t>
            </w:r>
          </w:p>
        </w:tc>
        <w:tc>
          <w:tcPr>
            <w:tcW w:w="957"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1</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2</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3</w:t>
            </w:r>
          </w:p>
        </w:tc>
        <w:tc>
          <w:tcPr>
            <w:tcW w:w="520"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4</w:t>
            </w:r>
          </w:p>
        </w:tc>
        <w:tc>
          <w:tcPr>
            <w:tcW w:w="1631" w:type="dxa"/>
            <w:vAlign w:val="center"/>
          </w:tcPr>
          <w:p w:rsidR="00EF4063" w:rsidRPr="00F90B6B" w:rsidRDefault="00EF4063" w:rsidP="00FB4A39">
            <w:pPr>
              <w:spacing w:after="0" w:line="360" w:lineRule="auto"/>
              <w:jc w:val="center"/>
              <w:rPr>
                <w:rFonts w:ascii="Times New Roman" w:hAnsi="Times New Roman"/>
                <w:sz w:val="28"/>
                <w:szCs w:val="28"/>
              </w:rPr>
            </w:pPr>
            <w:r w:rsidRPr="00F90B6B">
              <w:rPr>
                <w:rFonts w:ascii="Times New Roman" w:hAnsi="Times New Roman"/>
                <w:sz w:val="28"/>
                <w:szCs w:val="28"/>
              </w:rPr>
              <w:t>5</w:t>
            </w:r>
          </w:p>
        </w:tc>
      </w:tr>
    </w:tbl>
    <w:p w:rsidR="00EF4063" w:rsidRPr="00F90B6B" w:rsidRDefault="00EF4063" w:rsidP="00F0048B">
      <w:pPr>
        <w:spacing w:line="360" w:lineRule="auto"/>
        <w:rPr>
          <w:rFonts w:ascii="Times New Roman" w:hAnsi="Times New Roman"/>
          <w:sz w:val="28"/>
          <w:szCs w:val="28"/>
        </w:rPr>
      </w:pPr>
      <w:r w:rsidRPr="00F90B6B">
        <w:rPr>
          <w:rFonts w:ascii="Times New Roman" w:hAnsi="Times New Roman"/>
          <w:sz w:val="28"/>
          <w:szCs w:val="28"/>
        </w:rPr>
        <w:t>0 балів – відмінна якість життя, 105 балів – максимально погана якість життя.</w:t>
      </w: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EF4063" w:rsidRPr="00F90B6B" w:rsidRDefault="00EF4063" w:rsidP="00F0048B">
      <w:pPr>
        <w:pStyle w:val="1"/>
        <w:spacing w:after="0" w:line="360" w:lineRule="auto"/>
        <w:ind w:left="3540" w:firstLine="708"/>
        <w:jc w:val="both"/>
        <w:rPr>
          <w:rFonts w:ascii="Times New Roman" w:hAnsi="Times New Roman"/>
          <w:b/>
          <w:sz w:val="28"/>
          <w:szCs w:val="28"/>
          <w:lang w:val="ru-RU"/>
        </w:rPr>
      </w:pPr>
    </w:p>
    <w:p w:rsidR="008C3EA1" w:rsidRDefault="008C3EA1" w:rsidP="00F0048B">
      <w:pPr>
        <w:pStyle w:val="1"/>
        <w:spacing w:after="0" w:line="360" w:lineRule="auto"/>
        <w:ind w:left="3540" w:firstLine="708"/>
        <w:jc w:val="both"/>
        <w:rPr>
          <w:rFonts w:ascii="Times New Roman" w:hAnsi="Times New Roman"/>
          <w:b/>
          <w:sz w:val="28"/>
          <w:szCs w:val="28"/>
          <w:lang w:val="ru-RU"/>
        </w:rPr>
      </w:pPr>
    </w:p>
    <w:p w:rsidR="008C3EA1" w:rsidRDefault="008C3EA1" w:rsidP="00F0048B">
      <w:pPr>
        <w:pStyle w:val="1"/>
        <w:spacing w:after="0" w:line="360" w:lineRule="auto"/>
        <w:ind w:left="3540" w:firstLine="708"/>
        <w:jc w:val="both"/>
        <w:rPr>
          <w:rFonts w:ascii="Times New Roman" w:hAnsi="Times New Roman"/>
          <w:b/>
          <w:sz w:val="28"/>
          <w:szCs w:val="28"/>
          <w:lang w:val="ru-RU"/>
        </w:rPr>
      </w:pPr>
    </w:p>
    <w:p w:rsidR="00EF4063" w:rsidRPr="008C3EA1" w:rsidRDefault="008C3EA1" w:rsidP="00F0048B">
      <w:pPr>
        <w:pStyle w:val="1"/>
        <w:spacing w:after="0" w:line="360" w:lineRule="auto"/>
        <w:ind w:left="3540" w:firstLine="708"/>
        <w:jc w:val="both"/>
        <w:rPr>
          <w:rFonts w:ascii="Times New Roman" w:hAnsi="Times New Roman"/>
          <w:sz w:val="28"/>
          <w:szCs w:val="28"/>
          <w:lang w:val="ru-RU"/>
        </w:rPr>
      </w:pPr>
      <w:r w:rsidRPr="008C3EA1">
        <w:rPr>
          <w:rFonts w:ascii="Times New Roman" w:hAnsi="Times New Roman"/>
          <w:sz w:val="28"/>
          <w:szCs w:val="28"/>
          <w:lang w:val="ru-RU"/>
        </w:rPr>
        <w:lastRenderedPageBreak/>
        <w:t>ДОДАТОК Б</w:t>
      </w:r>
    </w:p>
    <w:p w:rsidR="00EF4063" w:rsidRPr="00F90B6B" w:rsidRDefault="00EF4063" w:rsidP="00F0048B">
      <w:pPr>
        <w:spacing w:after="0" w:line="360" w:lineRule="auto"/>
        <w:ind w:left="1416" w:firstLine="708"/>
        <w:jc w:val="both"/>
        <w:rPr>
          <w:rFonts w:ascii="Times New Roman" w:hAnsi="Times New Roman"/>
          <w:b/>
          <w:sz w:val="28"/>
          <w:szCs w:val="28"/>
          <w:lang w:val="ru-RU" w:eastAsia="ru-RU"/>
        </w:rPr>
      </w:pPr>
      <w:r w:rsidRPr="00F90B6B">
        <w:rPr>
          <w:rFonts w:ascii="Times New Roman" w:hAnsi="Times New Roman"/>
          <w:b/>
          <w:sz w:val="28"/>
          <w:szCs w:val="28"/>
          <w:lang w:val="ru-RU" w:eastAsia="ru-RU"/>
        </w:rPr>
        <w:t>Список публікацій за темою дисертації</w:t>
      </w:r>
    </w:p>
    <w:p w:rsidR="000272BC" w:rsidRPr="000272BC" w:rsidRDefault="000272BC" w:rsidP="000272BC">
      <w:pPr>
        <w:spacing w:after="0" w:line="360" w:lineRule="auto"/>
        <w:ind w:firstLine="709"/>
        <w:jc w:val="both"/>
        <w:rPr>
          <w:rFonts w:ascii="Times New Roman" w:hAnsi="Times New Roman"/>
          <w:b/>
          <w:i/>
          <w:sz w:val="28"/>
          <w:szCs w:val="28"/>
        </w:rPr>
      </w:pPr>
      <w:r w:rsidRPr="000272BC">
        <w:rPr>
          <w:rFonts w:ascii="Times New Roman" w:hAnsi="Times New Roman"/>
          <w:b/>
          <w:i/>
          <w:sz w:val="28"/>
          <w:szCs w:val="28"/>
        </w:rPr>
        <w:t>Наукові праці, в яких опубліковано основні результати дисертації:</w:t>
      </w:r>
    </w:p>
    <w:p w:rsidR="000272BC" w:rsidRPr="00F90B6B" w:rsidRDefault="000272BC" w:rsidP="000272BC">
      <w:pPr>
        <w:spacing w:after="0" w:line="360" w:lineRule="auto"/>
        <w:jc w:val="both"/>
        <w:rPr>
          <w:rFonts w:ascii="Times New Roman" w:hAnsi="Times New Roman"/>
          <w:sz w:val="28"/>
          <w:szCs w:val="28"/>
          <w:shd w:val="clear" w:color="auto" w:fill="FFFFFF"/>
          <w:lang w:val="ru-RU"/>
        </w:rPr>
      </w:pPr>
      <w:r w:rsidRPr="00F90B6B">
        <w:rPr>
          <w:rFonts w:ascii="Times New Roman" w:hAnsi="Times New Roman"/>
          <w:sz w:val="28"/>
          <w:szCs w:val="28"/>
        </w:rPr>
        <w:t xml:space="preserve">1.Лазиди Е.Л. Прогностичекое значение ожирения и гипонатриемии в прогрессировании хронической сердечной недостаточности: сердечно-сосудистая смертность и кардиоренальный синдром / Е.Л. Лазиди, Ю.С. Рудык // </w:t>
      </w:r>
      <w:r w:rsidRPr="00F90B6B">
        <w:rPr>
          <w:rFonts w:ascii="Times New Roman" w:hAnsi="Times New Roman"/>
          <w:sz w:val="28"/>
          <w:szCs w:val="28"/>
          <w:shd w:val="clear" w:color="auto" w:fill="FFFFFF"/>
          <w:lang w:val="en-US"/>
        </w:rPr>
        <w:t>Georgian</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medical</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news</w:t>
      </w:r>
      <w:r w:rsidRPr="00F90B6B">
        <w:rPr>
          <w:rFonts w:ascii="Times New Roman" w:hAnsi="Times New Roman"/>
          <w:sz w:val="28"/>
          <w:szCs w:val="28"/>
          <w:shd w:val="clear" w:color="auto" w:fill="FFFFFF"/>
        </w:rPr>
        <w:t xml:space="preserve">. – 2018. – Грузия, Тбилиси. - №9(282) . – Р.65-73. </w:t>
      </w:r>
      <w:r w:rsidRPr="00F90B6B">
        <w:rPr>
          <w:rFonts w:ascii="Times New Roman" w:hAnsi="Times New Roman"/>
          <w:i/>
          <w:iCs/>
          <w:color w:val="000000"/>
          <w:sz w:val="28"/>
          <w:szCs w:val="28"/>
          <w:lang w:eastAsia="uk-UA"/>
        </w:rPr>
        <w:t>(Здобувачем проведено обстеження хворих, оцінку та інтерпретацію отриманих результатів, написання статті та її підготовку до друку).</w:t>
      </w:r>
    </w:p>
    <w:p w:rsidR="000272BC" w:rsidRPr="00F90B6B" w:rsidRDefault="000272BC" w:rsidP="000272BC">
      <w:pPr>
        <w:spacing w:after="0" w:line="360" w:lineRule="auto"/>
        <w:jc w:val="both"/>
        <w:rPr>
          <w:rFonts w:ascii="Times New Roman" w:hAnsi="Times New Roman"/>
          <w:sz w:val="28"/>
          <w:szCs w:val="28"/>
          <w:shd w:val="clear" w:color="auto" w:fill="FFFFFF"/>
        </w:rPr>
      </w:pPr>
      <w:r w:rsidRPr="00F90B6B">
        <w:rPr>
          <w:rFonts w:ascii="Times New Roman" w:hAnsi="Times New Roman"/>
          <w:sz w:val="28"/>
          <w:szCs w:val="28"/>
          <w:shd w:val="clear" w:color="auto" w:fill="FFFFFF"/>
        </w:rPr>
        <w:t>2.Лазиди Е.Л. Связь уровня альдостерона с показателями ионного гомеостаза, мозгового натрийуретического пептида и параметрами кардиогемодинамики у пациентов с ХСН и сохраненной фракцией выброса левого желудочка / Е.Л. Лазиди, Ю.С. Рудык // Вісник Української медичної стоматологічної академії «Актуальні проблеми сучасної медицини» - 2017. -  Полтава – том 17 - №3(59). – С. 127-131.</w:t>
      </w:r>
      <w:r w:rsidRPr="00F90B6B">
        <w:rPr>
          <w:rFonts w:ascii="Times New Roman" w:hAnsi="Times New Roman"/>
          <w:i/>
          <w:iCs/>
          <w:color w:val="000000"/>
          <w:sz w:val="28"/>
          <w:szCs w:val="28"/>
        </w:rPr>
        <w:t xml:space="preserve"> (Здобувач</w:t>
      </w:r>
      <w:r w:rsidRPr="00F90B6B">
        <w:rPr>
          <w:rFonts w:ascii="Times New Roman" w:hAnsi="Times New Roman"/>
          <w:i/>
          <w:iCs/>
          <w:sz w:val="28"/>
          <w:szCs w:val="28"/>
        </w:rPr>
        <w:t xml:space="preserve"> сформувала групи хворих, здійснила аналіз отриманих результатів, підготувала статтю до друку</w:t>
      </w:r>
      <w:r w:rsidRPr="00F90B6B">
        <w:rPr>
          <w:rFonts w:ascii="Times New Roman" w:hAnsi="Times New Roman"/>
          <w:i/>
          <w:iCs/>
          <w:color w:val="000000"/>
          <w:sz w:val="28"/>
          <w:szCs w:val="28"/>
        </w:rPr>
        <w:t>).</w:t>
      </w:r>
    </w:p>
    <w:p w:rsidR="000272BC" w:rsidRPr="00F90B6B" w:rsidRDefault="000272BC" w:rsidP="000272BC">
      <w:pPr>
        <w:spacing w:after="0" w:line="360" w:lineRule="auto"/>
        <w:jc w:val="both"/>
        <w:rPr>
          <w:rFonts w:ascii="Times New Roman" w:hAnsi="Times New Roman"/>
          <w:color w:val="FF0000"/>
          <w:sz w:val="28"/>
          <w:szCs w:val="28"/>
          <w:shd w:val="clear" w:color="auto" w:fill="FFFFFF"/>
        </w:rPr>
      </w:pPr>
      <w:r w:rsidRPr="00F90B6B">
        <w:rPr>
          <w:rFonts w:ascii="Times New Roman" w:hAnsi="Times New Roman"/>
          <w:sz w:val="28"/>
          <w:szCs w:val="28"/>
        </w:rPr>
        <w:t xml:space="preserve">3.Лазиди Е.Л. Влияние ожирения на кардиогемодинамические и эхокардиографические показатели у пациентов с хронической сердечной недостаточностью и сохраненной фракцией выброса левого желудочка /   Е.Л. Лазиди  // </w:t>
      </w:r>
      <w:r w:rsidRPr="00F90B6B">
        <w:rPr>
          <w:rFonts w:ascii="Times New Roman" w:hAnsi="Times New Roman"/>
          <w:sz w:val="28"/>
          <w:szCs w:val="28"/>
          <w:shd w:val="clear" w:color="auto" w:fill="FFFFFF"/>
          <w:lang w:val="en-US"/>
        </w:rPr>
        <w:t>International</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Scientific</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and</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Practical</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Conference</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WORLD</w:t>
      </w:r>
      <w:r w:rsidRPr="00F90B6B">
        <w:rPr>
          <w:rFonts w:ascii="Times New Roman" w:hAnsi="Times New Roman"/>
          <w:sz w:val="28"/>
          <w:szCs w:val="28"/>
          <w:shd w:val="clear" w:color="auto" w:fill="FFFFFF"/>
        </w:rPr>
        <w:t xml:space="preserve"> </w:t>
      </w:r>
      <w:r w:rsidRPr="00F90B6B">
        <w:rPr>
          <w:rFonts w:ascii="Times New Roman" w:hAnsi="Times New Roman"/>
          <w:sz w:val="28"/>
          <w:szCs w:val="28"/>
          <w:shd w:val="clear" w:color="auto" w:fill="FFFFFF"/>
          <w:lang w:val="en-US"/>
        </w:rPr>
        <w:t>SCIENCE</w:t>
      </w:r>
      <w:r w:rsidRPr="00F90B6B">
        <w:rPr>
          <w:rFonts w:ascii="Times New Roman" w:hAnsi="Times New Roman"/>
          <w:sz w:val="28"/>
          <w:szCs w:val="28"/>
          <w:shd w:val="clear" w:color="auto" w:fill="FFFFFF"/>
        </w:rPr>
        <w:t>»  (</w:t>
      </w:r>
      <w:r w:rsidRPr="00F90B6B">
        <w:rPr>
          <w:rFonts w:ascii="Times New Roman" w:hAnsi="Times New Roman"/>
          <w:sz w:val="28"/>
          <w:szCs w:val="28"/>
          <w:shd w:val="clear" w:color="auto" w:fill="FFFFFF"/>
          <w:lang w:val="en-US"/>
        </w:rPr>
        <w:t>Ajman</w:t>
      </w:r>
      <w:r w:rsidRPr="00F90B6B">
        <w:rPr>
          <w:rFonts w:ascii="Times New Roman" w:hAnsi="Times New Roman"/>
          <w:sz w:val="28"/>
          <w:szCs w:val="28"/>
          <w:shd w:val="clear" w:color="auto" w:fill="FFFFFF"/>
        </w:rPr>
        <w:t>,</w:t>
      </w:r>
      <w:r w:rsidRPr="00F90B6B">
        <w:rPr>
          <w:rFonts w:ascii="Times New Roman" w:hAnsi="Times New Roman"/>
          <w:sz w:val="28"/>
          <w:szCs w:val="28"/>
          <w:shd w:val="clear" w:color="auto" w:fill="FFFFFF"/>
          <w:lang w:val="en-US"/>
        </w:rPr>
        <w:t>UAE</w:t>
      </w:r>
      <w:r w:rsidRPr="00F90B6B">
        <w:rPr>
          <w:rFonts w:ascii="Times New Roman" w:hAnsi="Times New Roman"/>
          <w:sz w:val="28"/>
          <w:szCs w:val="28"/>
          <w:shd w:val="clear" w:color="auto" w:fill="FFFFFF"/>
        </w:rPr>
        <w:t xml:space="preserve">). – 2017. - №8(24). - </w:t>
      </w:r>
      <w:r w:rsidRPr="00F90B6B">
        <w:rPr>
          <w:rFonts w:ascii="Times New Roman" w:hAnsi="Times New Roman"/>
          <w:sz w:val="28"/>
          <w:szCs w:val="28"/>
          <w:shd w:val="clear" w:color="auto" w:fill="FFFFFF"/>
          <w:lang w:val="en-US"/>
        </w:rPr>
        <w:t>Vol</w:t>
      </w:r>
      <w:r w:rsidRPr="00F90B6B">
        <w:rPr>
          <w:rFonts w:ascii="Times New Roman" w:hAnsi="Times New Roman"/>
          <w:sz w:val="28"/>
          <w:szCs w:val="28"/>
          <w:shd w:val="clear" w:color="auto" w:fill="FFFFFF"/>
        </w:rPr>
        <w:t>.3. – Р. 60-65.</w:t>
      </w:r>
      <w:r w:rsidRPr="00F90B6B">
        <w:rPr>
          <w:rFonts w:ascii="Times New Roman" w:hAnsi="Times New Roman"/>
          <w:i/>
          <w:iCs/>
          <w:color w:val="000000"/>
          <w:sz w:val="28"/>
          <w:szCs w:val="28"/>
          <w:lang w:eastAsia="uk-UA"/>
        </w:rPr>
        <w:t xml:space="preserve"> </w:t>
      </w:r>
    </w:p>
    <w:p w:rsidR="000272BC" w:rsidRPr="00F90B6B" w:rsidRDefault="000272BC" w:rsidP="000272BC">
      <w:pPr>
        <w:widowControl w:val="0"/>
        <w:spacing w:after="0" w:line="360" w:lineRule="auto"/>
        <w:jc w:val="both"/>
        <w:rPr>
          <w:rFonts w:ascii="Times New Roman" w:hAnsi="Times New Roman"/>
          <w:sz w:val="28"/>
          <w:szCs w:val="28"/>
          <w:shd w:val="clear" w:color="auto" w:fill="FFFFFF"/>
        </w:rPr>
      </w:pPr>
      <w:r w:rsidRPr="00F90B6B">
        <w:rPr>
          <w:rFonts w:ascii="Times New Roman" w:hAnsi="Times New Roman"/>
          <w:sz w:val="28"/>
          <w:szCs w:val="28"/>
          <w:shd w:val="clear" w:color="auto" w:fill="FFFFFF"/>
        </w:rPr>
        <w:t xml:space="preserve">4.Лазиди Е.Л. Связь диснатриемии  с показателями альдостерона, мозгового натрийуретического пептида и параметрами кардиогемодинамики у пациентов с хронической сердечной недостаточностью и сохраненной фракцией выброса левого желудочка / Е.Л. Лазиди., Ю.С. Рудык, Л.Л. Петенева  // Український терапевтичний журнал. – 2017. – №3. - С.38-44. </w:t>
      </w:r>
      <w:r w:rsidRPr="00F90B6B">
        <w:rPr>
          <w:rFonts w:ascii="Times New Roman" w:hAnsi="Times New Roman"/>
          <w:i/>
          <w:iCs/>
          <w:color w:val="000000"/>
          <w:sz w:val="28"/>
          <w:szCs w:val="28"/>
          <w:lang w:eastAsia="uk-UA"/>
        </w:rPr>
        <w:t>(Здобувачем проведено формування груп хворих, та їх обстеження, статистична обробка та інтерпретація результатів, написання та підготовка статті до друку).</w:t>
      </w:r>
    </w:p>
    <w:p w:rsidR="000272BC" w:rsidRPr="00F90B6B" w:rsidRDefault="000272BC" w:rsidP="000272BC">
      <w:pPr>
        <w:widowControl w:val="0"/>
        <w:spacing w:after="0" w:line="360" w:lineRule="auto"/>
        <w:jc w:val="both"/>
        <w:rPr>
          <w:rFonts w:ascii="Times New Roman" w:hAnsi="Times New Roman"/>
          <w:sz w:val="28"/>
          <w:szCs w:val="28"/>
          <w:shd w:val="clear" w:color="auto" w:fill="FFFFFF"/>
        </w:rPr>
      </w:pPr>
      <w:r w:rsidRPr="00F90B6B">
        <w:rPr>
          <w:rFonts w:ascii="Times New Roman" w:hAnsi="Times New Roman"/>
          <w:sz w:val="28"/>
          <w:szCs w:val="28"/>
          <w:shd w:val="clear" w:color="auto" w:fill="FFFFFF"/>
        </w:rPr>
        <w:t xml:space="preserve">5.Лазиди Е.Л. Роль уровня ионов натрия в сыворотке крови в прогнозе риска смерти у пациентов с хронической сердечной недостаточностью и сохраненной фракцией </w:t>
      </w:r>
      <w:r w:rsidRPr="00F90B6B">
        <w:rPr>
          <w:rFonts w:ascii="Times New Roman" w:hAnsi="Times New Roman"/>
          <w:sz w:val="28"/>
          <w:szCs w:val="28"/>
          <w:shd w:val="clear" w:color="auto" w:fill="FFFFFF"/>
        </w:rPr>
        <w:lastRenderedPageBreak/>
        <w:t>выброса левого желудочка. / Е.Л. Лазиди., Ю.С. Рудык // Експериментальна і клінічна медицина. – 2017. - №4(77). – С. 32-37.</w:t>
      </w:r>
      <w:r w:rsidRPr="00F90B6B">
        <w:rPr>
          <w:rFonts w:ascii="Times New Roman" w:hAnsi="Times New Roman"/>
          <w:i/>
          <w:iCs/>
          <w:color w:val="000000"/>
          <w:sz w:val="28"/>
          <w:szCs w:val="28"/>
        </w:rPr>
        <w:t xml:space="preserve"> (Здобувач</w:t>
      </w:r>
      <w:r w:rsidRPr="00F90B6B">
        <w:rPr>
          <w:rFonts w:ascii="Times New Roman" w:hAnsi="Times New Roman"/>
          <w:i/>
          <w:iCs/>
          <w:sz w:val="28"/>
          <w:szCs w:val="28"/>
        </w:rPr>
        <w:t xml:space="preserve"> сформувала групи хворих, здійснила статистичний аналіз результатів, підготувала статтю до друку</w:t>
      </w:r>
      <w:r w:rsidRPr="00F90B6B">
        <w:rPr>
          <w:rFonts w:ascii="Times New Roman" w:hAnsi="Times New Roman"/>
          <w:i/>
          <w:iCs/>
          <w:color w:val="000000"/>
          <w:sz w:val="28"/>
          <w:szCs w:val="28"/>
        </w:rPr>
        <w:t>).</w:t>
      </w:r>
    </w:p>
    <w:p w:rsidR="000272BC" w:rsidRDefault="000272BC" w:rsidP="000272BC">
      <w:pPr>
        <w:spacing w:after="0" w:line="360" w:lineRule="auto"/>
        <w:jc w:val="both"/>
        <w:rPr>
          <w:rFonts w:ascii="Times New Roman" w:hAnsi="Times New Roman"/>
          <w:i/>
          <w:iCs/>
          <w:color w:val="000000"/>
          <w:sz w:val="28"/>
          <w:szCs w:val="28"/>
          <w:lang w:eastAsia="uk-UA"/>
        </w:rPr>
      </w:pPr>
      <w:r w:rsidRPr="00F90B6B">
        <w:rPr>
          <w:rFonts w:ascii="Times New Roman" w:hAnsi="Times New Roman"/>
          <w:sz w:val="28"/>
          <w:szCs w:val="28"/>
        </w:rPr>
        <w:t>6.</w:t>
      </w:r>
      <w:r w:rsidRPr="00F90B6B">
        <w:rPr>
          <w:rFonts w:ascii="Times New Roman" w:hAnsi="Times New Roman"/>
          <w:sz w:val="28"/>
          <w:szCs w:val="28"/>
          <w:lang w:val="uz-Cyrl-UZ"/>
        </w:rPr>
        <w:t xml:space="preserve">Лазиди Е.Л. Гипонатриемия у пациентов с хронической сердечной недостаточностью и сохраненной фракцией выброса левого желудочка / Е.Л. Лазиди., Ю.С.  Рудык, Е.В. Высоцкая, А.И. Печерская, А.В. Болотских // </w:t>
      </w:r>
      <w:r w:rsidRPr="00F90B6B">
        <w:rPr>
          <w:rFonts w:ascii="Times New Roman" w:hAnsi="Times New Roman"/>
          <w:sz w:val="28"/>
          <w:szCs w:val="28"/>
          <w:shd w:val="clear" w:color="auto" w:fill="FFFFFF"/>
        </w:rPr>
        <w:t>«</w:t>
      </w:r>
      <w:r w:rsidRPr="00F90B6B">
        <w:rPr>
          <w:rFonts w:ascii="Times New Roman" w:hAnsi="Times New Roman"/>
          <w:sz w:val="28"/>
          <w:szCs w:val="28"/>
          <w:shd w:val="clear" w:color="auto" w:fill="FFFFFF"/>
          <w:lang w:val="uz-Cyrl-UZ"/>
        </w:rPr>
        <w:t xml:space="preserve">ScienceRise: Medical Science». – </w:t>
      </w:r>
      <w:r w:rsidRPr="00F90B6B">
        <w:rPr>
          <w:rFonts w:ascii="Times New Roman" w:hAnsi="Times New Roman"/>
          <w:sz w:val="28"/>
          <w:szCs w:val="28"/>
          <w:shd w:val="clear" w:color="auto" w:fill="FFFFFF"/>
        </w:rPr>
        <w:t xml:space="preserve">2018. – </w:t>
      </w:r>
      <w:r w:rsidRPr="00F90B6B">
        <w:rPr>
          <w:rFonts w:ascii="Times New Roman" w:hAnsi="Times New Roman"/>
          <w:sz w:val="28"/>
          <w:szCs w:val="28"/>
          <w:shd w:val="clear" w:color="auto" w:fill="FFFFFF"/>
          <w:lang w:val="uz-Cyrl-UZ"/>
        </w:rPr>
        <w:t>Vol.</w:t>
      </w:r>
      <w:r w:rsidRPr="00F90B6B">
        <w:rPr>
          <w:rFonts w:ascii="Times New Roman" w:hAnsi="Times New Roman"/>
          <w:sz w:val="28"/>
          <w:szCs w:val="28"/>
          <w:shd w:val="clear" w:color="auto" w:fill="FFFFFF"/>
        </w:rPr>
        <w:t xml:space="preserve"> 2(22). – Р.4-9.</w:t>
      </w:r>
      <w:r w:rsidRPr="00F90B6B">
        <w:rPr>
          <w:rFonts w:ascii="Times New Roman" w:hAnsi="Times New Roman"/>
          <w:i/>
          <w:iCs/>
          <w:color w:val="000000"/>
          <w:sz w:val="28"/>
          <w:szCs w:val="28"/>
          <w:lang w:val="uz-Cyrl-UZ" w:eastAsia="uk-UA"/>
        </w:rPr>
        <w:t xml:space="preserve"> </w:t>
      </w:r>
      <w:r w:rsidRPr="00F90B6B">
        <w:rPr>
          <w:rFonts w:ascii="Times New Roman" w:hAnsi="Times New Roman"/>
          <w:i/>
          <w:iCs/>
          <w:color w:val="000000"/>
          <w:sz w:val="28"/>
          <w:szCs w:val="28"/>
          <w:lang w:eastAsia="uk-UA"/>
        </w:rPr>
        <w:t xml:space="preserve">(Здобувачем проведено обстеження хворих, </w:t>
      </w:r>
      <w:r w:rsidRPr="00F90B6B">
        <w:rPr>
          <w:rFonts w:ascii="Times New Roman" w:hAnsi="Times New Roman"/>
          <w:i/>
          <w:iCs/>
          <w:color w:val="000000"/>
          <w:sz w:val="28"/>
          <w:szCs w:val="28"/>
        </w:rPr>
        <w:t>вивчення літератури,</w:t>
      </w:r>
      <w:r w:rsidRPr="00F90B6B">
        <w:rPr>
          <w:rFonts w:ascii="Times New Roman" w:hAnsi="Times New Roman"/>
          <w:i/>
          <w:iCs/>
          <w:color w:val="000000"/>
          <w:sz w:val="28"/>
          <w:szCs w:val="28"/>
          <w:lang w:val="ru-RU"/>
        </w:rPr>
        <w:t xml:space="preserve"> </w:t>
      </w:r>
      <w:r w:rsidRPr="00F90B6B">
        <w:rPr>
          <w:rFonts w:ascii="Times New Roman" w:hAnsi="Times New Roman"/>
          <w:i/>
          <w:iCs/>
          <w:color w:val="000000"/>
          <w:sz w:val="28"/>
          <w:szCs w:val="28"/>
        </w:rPr>
        <w:t xml:space="preserve">статистичний аналіз результатів, </w:t>
      </w:r>
      <w:r w:rsidRPr="00F90B6B">
        <w:rPr>
          <w:rFonts w:ascii="Times New Roman" w:hAnsi="Times New Roman"/>
          <w:i/>
          <w:iCs/>
          <w:color w:val="000000"/>
          <w:sz w:val="28"/>
          <w:szCs w:val="28"/>
          <w:lang w:eastAsia="uk-UA"/>
        </w:rPr>
        <w:t>написання та підготовка статті до друку).</w:t>
      </w:r>
    </w:p>
    <w:p w:rsidR="000272BC" w:rsidRDefault="000272BC" w:rsidP="000272BC">
      <w:pPr>
        <w:spacing w:after="0" w:line="360" w:lineRule="auto"/>
        <w:jc w:val="both"/>
        <w:rPr>
          <w:rFonts w:ascii="Times New Roman" w:hAnsi="Times New Roman"/>
          <w:i/>
          <w:iCs/>
          <w:color w:val="000000"/>
          <w:sz w:val="28"/>
          <w:szCs w:val="28"/>
        </w:rPr>
      </w:pPr>
      <w:r w:rsidRPr="00F90B6B">
        <w:rPr>
          <w:rFonts w:ascii="Times New Roman" w:hAnsi="Times New Roman"/>
          <w:sz w:val="28"/>
          <w:szCs w:val="28"/>
          <w:shd w:val="clear" w:color="auto" w:fill="FFFFFF"/>
        </w:rPr>
        <w:t>7.</w:t>
      </w:r>
      <w:r w:rsidRPr="00F90B6B">
        <w:rPr>
          <w:rFonts w:ascii="Times New Roman" w:hAnsi="Times New Roman"/>
          <w:sz w:val="28"/>
          <w:szCs w:val="28"/>
        </w:rPr>
        <w:t xml:space="preserve">Лазіді К.Л. Прогностична роль ожиріння при хронічній серцевій недостатності – якість життя та функціональний стан нирок / К.Л. Лазіді.,  Ю.С. Рудик // </w:t>
      </w:r>
      <w:r w:rsidRPr="00F90B6B">
        <w:rPr>
          <w:rFonts w:ascii="Times New Roman" w:hAnsi="Times New Roman"/>
          <w:sz w:val="28"/>
          <w:szCs w:val="28"/>
          <w:lang w:val="uz-Cyrl-UZ"/>
        </w:rPr>
        <w:t>S</w:t>
      </w:r>
      <w:r w:rsidRPr="00F90B6B">
        <w:rPr>
          <w:rFonts w:ascii="Times New Roman" w:hAnsi="Times New Roman"/>
          <w:sz w:val="28"/>
          <w:szCs w:val="28"/>
        </w:rPr>
        <w:t>С</w:t>
      </w:r>
      <w:r w:rsidRPr="00F90B6B">
        <w:rPr>
          <w:rFonts w:ascii="Times New Roman" w:hAnsi="Times New Roman"/>
          <w:sz w:val="28"/>
          <w:szCs w:val="28"/>
          <w:lang w:val="uz-Cyrl-UZ"/>
        </w:rPr>
        <w:t>IENCE</w:t>
      </w:r>
      <w:r w:rsidRPr="00F90B6B">
        <w:rPr>
          <w:rFonts w:ascii="Times New Roman" w:hAnsi="Times New Roman"/>
          <w:sz w:val="28"/>
          <w:szCs w:val="28"/>
        </w:rPr>
        <w:t xml:space="preserve"> </w:t>
      </w:r>
      <w:r w:rsidRPr="00F90B6B">
        <w:rPr>
          <w:rFonts w:ascii="Times New Roman" w:hAnsi="Times New Roman"/>
          <w:sz w:val="28"/>
          <w:szCs w:val="28"/>
          <w:lang w:val="uz-Cyrl-UZ"/>
        </w:rPr>
        <w:t>REVIEW</w:t>
      </w:r>
      <w:r w:rsidRPr="00F90B6B">
        <w:rPr>
          <w:rFonts w:ascii="Times New Roman" w:hAnsi="Times New Roman"/>
          <w:sz w:val="28"/>
          <w:szCs w:val="28"/>
        </w:rPr>
        <w:t xml:space="preserve">. – 2018. - </w:t>
      </w:r>
      <w:r w:rsidRPr="00F90B6B">
        <w:rPr>
          <w:rFonts w:ascii="Times New Roman" w:hAnsi="Times New Roman"/>
          <w:sz w:val="28"/>
          <w:szCs w:val="28"/>
          <w:lang w:val="uz-Cyrl-UZ"/>
        </w:rPr>
        <w:t>Warsaw</w:t>
      </w:r>
      <w:r w:rsidRPr="00F90B6B">
        <w:rPr>
          <w:rFonts w:ascii="Times New Roman" w:hAnsi="Times New Roman"/>
          <w:sz w:val="28"/>
          <w:szCs w:val="28"/>
        </w:rPr>
        <w:t xml:space="preserve"> . - №7(14). – С.3-10.</w:t>
      </w:r>
      <w:r w:rsidRPr="00F90B6B">
        <w:rPr>
          <w:rFonts w:ascii="Times New Roman" w:hAnsi="Times New Roman"/>
          <w:i/>
          <w:iCs/>
          <w:color w:val="000000"/>
          <w:sz w:val="28"/>
          <w:szCs w:val="28"/>
        </w:rPr>
        <w:t xml:space="preserve"> (Здобувач</w:t>
      </w:r>
      <w:r w:rsidRPr="00F90B6B">
        <w:rPr>
          <w:rFonts w:ascii="Times New Roman" w:hAnsi="Times New Roman"/>
          <w:i/>
          <w:iCs/>
          <w:sz w:val="28"/>
          <w:szCs w:val="28"/>
        </w:rPr>
        <w:t xml:space="preserve"> сформувала групи хворих, провела анкетування та обстеження хворих, підготувала статтю до друку</w:t>
      </w:r>
      <w:r w:rsidRPr="00F90B6B">
        <w:rPr>
          <w:rFonts w:ascii="Times New Roman" w:hAnsi="Times New Roman"/>
          <w:i/>
          <w:iCs/>
          <w:color w:val="000000"/>
          <w:sz w:val="28"/>
          <w:szCs w:val="28"/>
        </w:rPr>
        <w:t>).</w:t>
      </w:r>
    </w:p>
    <w:p w:rsidR="00056EB5" w:rsidRPr="00056EB5" w:rsidRDefault="00056EB5" w:rsidP="00056EB5">
      <w:pPr>
        <w:spacing w:after="0" w:line="360" w:lineRule="auto"/>
        <w:ind w:firstLine="709"/>
        <w:jc w:val="both"/>
        <w:rPr>
          <w:rFonts w:ascii="Times New Roman" w:hAnsi="Times New Roman"/>
          <w:b/>
          <w:bCs/>
          <w:i/>
          <w:iCs/>
          <w:sz w:val="28"/>
          <w:szCs w:val="28"/>
        </w:rPr>
      </w:pPr>
      <w:r w:rsidRPr="000272BC">
        <w:rPr>
          <w:rFonts w:ascii="Times New Roman" w:hAnsi="Times New Roman"/>
          <w:b/>
          <w:bCs/>
          <w:i/>
          <w:iCs/>
          <w:sz w:val="28"/>
          <w:szCs w:val="28"/>
        </w:rPr>
        <w:t>Опубліковані</w:t>
      </w:r>
      <w:r>
        <w:rPr>
          <w:rFonts w:ascii="Times New Roman" w:hAnsi="Times New Roman"/>
          <w:b/>
          <w:bCs/>
          <w:i/>
          <w:iCs/>
          <w:sz w:val="28"/>
          <w:szCs w:val="28"/>
        </w:rPr>
        <w:t xml:space="preserve"> праці апробаційного характеру:</w:t>
      </w:r>
    </w:p>
    <w:p w:rsidR="000272BC" w:rsidRPr="00F90B6B" w:rsidRDefault="000272BC" w:rsidP="000272BC">
      <w:pPr>
        <w:spacing w:after="0" w:line="360" w:lineRule="auto"/>
        <w:jc w:val="both"/>
        <w:rPr>
          <w:rFonts w:ascii="Times New Roman" w:hAnsi="Times New Roman"/>
          <w:sz w:val="28"/>
          <w:szCs w:val="28"/>
        </w:rPr>
      </w:pPr>
      <w:r w:rsidRPr="00F90B6B">
        <w:rPr>
          <w:rFonts w:ascii="Times New Roman" w:hAnsi="Times New Roman"/>
          <w:sz w:val="28"/>
          <w:szCs w:val="28"/>
        </w:rPr>
        <w:t>8.Лазіді К.Л. Гіпонатріємія і прогноз хворих із ХСН: чи існує зв'язок? / К.Л. Лазіді, Ю.С. Рудик  // Матеріали науково-практичної конференції за участю міжнародних спеціалістів</w:t>
      </w:r>
      <w:r w:rsidRPr="00F90B6B">
        <w:rPr>
          <w:rFonts w:ascii="Times New Roman" w:hAnsi="Times New Roman"/>
          <w:caps/>
          <w:sz w:val="28"/>
          <w:szCs w:val="28"/>
        </w:rPr>
        <w:t xml:space="preserve"> </w:t>
      </w:r>
      <w:r w:rsidRPr="00F90B6B">
        <w:rPr>
          <w:rFonts w:ascii="Times New Roman" w:hAnsi="Times New Roman"/>
          <w:sz w:val="28"/>
          <w:szCs w:val="28"/>
        </w:rPr>
        <w:t>«Щорічні терапевтичні читання: Профілактика неінфекційних захворювань на перехресті терапевтичних наук</w:t>
      </w:r>
      <w:r w:rsidRPr="00F90B6B">
        <w:rPr>
          <w:rFonts w:ascii="Times New Roman" w:hAnsi="Times New Roman"/>
          <w:caps/>
          <w:sz w:val="28"/>
          <w:szCs w:val="28"/>
        </w:rPr>
        <w:t>». 21</w:t>
      </w:r>
      <w:r w:rsidRPr="00F90B6B">
        <w:rPr>
          <w:rFonts w:ascii="Times New Roman" w:hAnsi="Times New Roman"/>
          <w:sz w:val="28"/>
          <w:szCs w:val="28"/>
        </w:rPr>
        <w:t xml:space="preserve"> квітня</w:t>
      </w:r>
      <w:r w:rsidRPr="00F90B6B">
        <w:rPr>
          <w:rFonts w:ascii="Times New Roman" w:hAnsi="Times New Roman"/>
          <w:caps/>
          <w:sz w:val="28"/>
          <w:szCs w:val="28"/>
        </w:rPr>
        <w:t xml:space="preserve"> </w:t>
      </w:r>
      <w:r w:rsidRPr="00F90B6B">
        <w:rPr>
          <w:rFonts w:ascii="Times New Roman" w:hAnsi="Times New Roman"/>
          <w:sz w:val="28"/>
          <w:szCs w:val="28"/>
        </w:rPr>
        <w:t>2016 р. Харків. С. 281.</w:t>
      </w:r>
    </w:p>
    <w:p w:rsidR="000272BC" w:rsidRPr="00F90B6B" w:rsidRDefault="000272BC" w:rsidP="000272BC">
      <w:pPr>
        <w:spacing w:after="0" w:line="360" w:lineRule="auto"/>
        <w:jc w:val="both"/>
        <w:rPr>
          <w:rFonts w:ascii="Times New Roman" w:hAnsi="Times New Roman"/>
          <w:sz w:val="28"/>
          <w:szCs w:val="28"/>
        </w:rPr>
      </w:pPr>
      <w:r>
        <w:rPr>
          <w:rFonts w:ascii="Times New Roman" w:hAnsi="Times New Roman"/>
          <w:sz w:val="28"/>
          <w:szCs w:val="28"/>
        </w:rPr>
        <w:t>9</w:t>
      </w:r>
      <w:r w:rsidRPr="00F90B6B">
        <w:rPr>
          <w:rFonts w:ascii="Times New Roman" w:hAnsi="Times New Roman"/>
          <w:sz w:val="28"/>
          <w:szCs w:val="28"/>
        </w:rPr>
        <w:t xml:space="preserve">.Лазіді К.Л. </w:t>
      </w:r>
      <w:r w:rsidRPr="00F90B6B">
        <w:rPr>
          <w:rStyle w:val="shorttext"/>
          <w:rFonts w:ascii="Times New Roman" w:hAnsi="Times New Roman"/>
          <w:sz w:val="28"/>
          <w:szCs w:val="28"/>
        </w:rPr>
        <w:t xml:space="preserve">Електролітні </w:t>
      </w:r>
      <w:r w:rsidRPr="00F90B6B">
        <w:rPr>
          <w:rFonts w:ascii="Times New Roman" w:hAnsi="Times New Roman"/>
          <w:sz w:val="28"/>
          <w:szCs w:val="28"/>
        </w:rPr>
        <w:t>порушення у хворих із хронічною серцевою недостатністю / К.Л. Лазіді, Ю.С. Рудик // Матеріали науково-практичної конференції молодих учених за участю міжнародних спеціалістів,</w:t>
      </w:r>
      <w:r w:rsidRPr="00F90B6B">
        <w:rPr>
          <w:rFonts w:ascii="Times New Roman" w:hAnsi="Times New Roman"/>
          <w:spacing w:val="8"/>
          <w:sz w:val="28"/>
          <w:szCs w:val="28"/>
        </w:rPr>
        <w:t xml:space="preserve"> присвячена Дню науки </w:t>
      </w:r>
      <w:r w:rsidRPr="00F90B6B">
        <w:rPr>
          <w:rFonts w:ascii="Times New Roman" w:hAnsi="Times New Roman"/>
          <w:sz w:val="28"/>
          <w:szCs w:val="28"/>
        </w:rPr>
        <w:t>«Медична наука та клінічна практика - 2016». 20 травня 2016 р. Харків. С. 56-57.</w:t>
      </w:r>
    </w:p>
    <w:p w:rsidR="000272BC" w:rsidRPr="00F90B6B" w:rsidRDefault="000272BC" w:rsidP="000272BC">
      <w:pPr>
        <w:spacing w:after="0" w:line="360" w:lineRule="auto"/>
        <w:jc w:val="both"/>
        <w:rPr>
          <w:rFonts w:ascii="Times New Roman" w:hAnsi="Times New Roman"/>
          <w:sz w:val="28"/>
          <w:szCs w:val="28"/>
        </w:rPr>
      </w:pPr>
      <w:r>
        <w:rPr>
          <w:rFonts w:ascii="Times New Roman" w:hAnsi="Times New Roman"/>
          <w:sz w:val="28"/>
          <w:szCs w:val="28"/>
        </w:rPr>
        <w:t>10</w:t>
      </w:r>
      <w:r w:rsidRPr="00F90B6B">
        <w:rPr>
          <w:rFonts w:ascii="Times New Roman" w:hAnsi="Times New Roman"/>
          <w:sz w:val="28"/>
          <w:szCs w:val="28"/>
        </w:rPr>
        <w:t>.Лазіді К.Л.</w:t>
      </w:r>
      <w:r w:rsidRPr="00F90B6B">
        <w:rPr>
          <w:rFonts w:ascii="Times New Roman" w:hAnsi="Times New Roman"/>
          <w:sz w:val="28"/>
          <w:szCs w:val="28"/>
          <w:shd w:val="clear" w:color="auto" w:fill="FFFFFF"/>
        </w:rPr>
        <w:t xml:space="preserve"> Предиктори розвитку ускладнень хронічної серцевої недостатності зі збереженою фракцією викиду у пацієнтів із супутнім ожирінням / </w:t>
      </w:r>
      <w:r w:rsidRPr="00F90B6B">
        <w:rPr>
          <w:rFonts w:ascii="Times New Roman" w:hAnsi="Times New Roman"/>
          <w:sz w:val="28"/>
          <w:szCs w:val="28"/>
        </w:rPr>
        <w:t>К.Л. Лазіді, Ю.С. Рудик // Матеріали науково-практичної конференції за участю міжнародних спеціалістів “Стратегії профілактики неінфекційних хвороб та шляхи їх реалізації: від постулатів минулого в майбутнє”. 4 листопада 2016 р. Харків. С. 182</w:t>
      </w:r>
    </w:p>
    <w:p w:rsidR="000272BC" w:rsidRPr="00F90B6B" w:rsidRDefault="000272BC" w:rsidP="000272BC">
      <w:pPr>
        <w:spacing w:after="0" w:line="360" w:lineRule="auto"/>
        <w:jc w:val="both"/>
        <w:rPr>
          <w:rFonts w:ascii="Times New Roman" w:hAnsi="Times New Roman"/>
          <w:sz w:val="28"/>
          <w:szCs w:val="28"/>
          <w:shd w:val="clear" w:color="auto" w:fill="FFFFFF"/>
        </w:rPr>
      </w:pPr>
      <w:r>
        <w:rPr>
          <w:rFonts w:ascii="Times New Roman" w:hAnsi="Times New Roman"/>
          <w:sz w:val="28"/>
          <w:szCs w:val="28"/>
        </w:rPr>
        <w:t>11</w:t>
      </w:r>
      <w:r w:rsidRPr="00F90B6B">
        <w:rPr>
          <w:rFonts w:ascii="Times New Roman" w:hAnsi="Times New Roman"/>
          <w:sz w:val="28"/>
          <w:szCs w:val="28"/>
        </w:rPr>
        <w:t>.Лазіді К.Л.</w:t>
      </w:r>
      <w:r w:rsidRPr="00F90B6B">
        <w:rPr>
          <w:rFonts w:ascii="Times New Roman" w:hAnsi="Times New Roman"/>
          <w:sz w:val="28"/>
          <w:szCs w:val="28"/>
          <w:shd w:val="clear" w:color="auto" w:fill="FFFFFF"/>
        </w:rPr>
        <w:t xml:space="preserve"> Які фактори впливають на клінічний перебіг у пацієнтів з хронічною серцевою недостатністю зі збереженою фракцією викиду лівого шлуночка? / </w:t>
      </w:r>
      <w:r w:rsidRPr="00F90B6B">
        <w:rPr>
          <w:rFonts w:ascii="Times New Roman" w:hAnsi="Times New Roman"/>
          <w:sz w:val="28"/>
          <w:szCs w:val="28"/>
        </w:rPr>
        <w:t xml:space="preserve">К.Л. </w:t>
      </w:r>
      <w:r w:rsidRPr="00F90B6B">
        <w:rPr>
          <w:rFonts w:ascii="Times New Roman" w:hAnsi="Times New Roman"/>
          <w:sz w:val="28"/>
          <w:szCs w:val="28"/>
        </w:rPr>
        <w:lastRenderedPageBreak/>
        <w:t xml:space="preserve">Лазіді, Ю.С. Рудик // Матеріали </w:t>
      </w:r>
      <w:r w:rsidRPr="00F90B6B">
        <w:rPr>
          <w:rFonts w:ascii="Times New Roman" w:hAnsi="Times New Roman"/>
          <w:sz w:val="28"/>
          <w:szCs w:val="28"/>
          <w:shd w:val="clear" w:color="auto" w:fill="FFFFFF"/>
        </w:rPr>
        <w:t>щорічної підсумкової науково-практичної конференції молодих вчених Харківської медичної академії післядипломної освіти «Медицина 21 століття». 24 листопада 2016 р. Харків. С.61.</w:t>
      </w:r>
    </w:p>
    <w:p w:rsidR="000272BC" w:rsidRPr="00F90B6B" w:rsidRDefault="000272BC" w:rsidP="000272BC">
      <w:pPr>
        <w:spacing w:after="0" w:line="360" w:lineRule="auto"/>
        <w:jc w:val="both"/>
        <w:rPr>
          <w:rFonts w:ascii="Times New Roman" w:hAnsi="Times New Roman"/>
          <w:sz w:val="28"/>
          <w:szCs w:val="28"/>
        </w:rPr>
      </w:pPr>
      <w:r>
        <w:rPr>
          <w:rFonts w:ascii="Times New Roman" w:hAnsi="Times New Roman"/>
          <w:sz w:val="28"/>
          <w:szCs w:val="28"/>
        </w:rPr>
        <w:t>12</w:t>
      </w:r>
      <w:r w:rsidRPr="00F90B6B">
        <w:rPr>
          <w:rFonts w:ascii="Times New Roman" w:hAnsi="Times New Roman"/>
          <w:sz w:val="28"/>
          <w:szCs w:val="28"/>
        </w:rPr>
        <w:t>.Лазіді К.Л.</w:t>
      </w:r>
      <w:r w:rsidRPr="00F90B6B">
        <w:rPr>
          <w:rFonts w:ascii="Times New Roman" w:hAnsi="Times New Roman"/>
          <w:sz w:val="28"/>
          <w:szCs w:val="28"/>
          <w:shd w:val="clear" w:color="auto" w:fill="FFFFFF"/>
        </w:rPr>
        <w:t xml:space="preserve"> </w:t>
      </w:r>
      <w:r w:rsidRPr="00F90B6B">
        <w:rPr>
          <w:rFonts w:ascii="Times New Roman" w:hAnsi="Times New Roman"/>
          <w:sz w:val="28"/>
          <w:szCs w:val="28"/>
        </w:rPr>
        <w:t>Чи  впливає дисбаланс електролітів на розвиток ускладнень у пацієнтів з хронічною серцевою недостатністю? / К.Л. Лазіді, Ю.С. Рудик // Матеріали Всеукраїнської науково-практичної конференції молодих учених «Медична наука в практику охорони здоров`я». 9 грудня  2016 р. Полтава. С. 39.</w:t>
      </w:r>
    </w:p>
    <w:p w:rsidR="000272BC" w:rsidRPr="00F90B6B" w:rsidRDefault="000272BC" w:rsidP="000272BC">
      <w:pPr>
        <w:widowControl w:val="0"/>
        <w:spacing w:after="0"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rPr>
        <w:t>13</w:t>
      </w:r>
      <w:r w:rsidRPr="00F90B6B">
        <w:rPr>
          <w:rFonts w:ascii="Times New Roman" w:hAnsi="Times New Roman"/>
          <w:sz w:val="28"/>
          <w:szCs w:val="28"/>
          <w:shd w:val="clear" w:color="auto" w:fill="FFFFFF"/>
        </w:rPr>
        <w:t>.</w:t>
      </w:r>
      <w:r w:rsidRPr="00F90B6B">
        <w:rPr>
          <w:rFonts w:ascii="Times New Roman" w:hAnsi="Times New Roman"/>
          <w:sz w:val="28"/>
          <w:szCs w:val="28"/>
        </w:rPr>
        <w:t>Лазіді К.Л.</w:t>
      </w:r>
      <w:r w:rsidRPr="00F90B6B">
        <w:rPr>
          <w:rFonts w:ascii="Times New Roman" w:hAnsi="Times New Roman"/>
          <w:sz w:val="28"/>
          <w:szCs w:val="28"/>
          <w:shd w:val="clear" w:color="auto" w:fill="FFFFFF"/>
        </w:rPr>
        <w:t xml:space="preserve"> Електролітні порушення  у пацієнтів з хронічною серцевою недостатністю зі збереженою фракцією викиду лівого шлуночка і супутнім ожирінням: чи  існує зв’язок? / </w:t>
      </w:r>
      <w:r w:rsidRPr="00F90B6B">
        <w:rPr>
          <w:rFonts w:ascii="Times New Roman" w:hAnsi="Times New Roman"/>
          <w:sz w:val="28"/>
          <w:szCs w:val="28"/>
        </w:rPr>
        <w:t>К.Л. Лазіді, Ю.С. Рудик // Матеріали</w:t>
      </w:r>
      <w:r w:rsidRPr="00F90B6B">
        <w:rPr>
          <w:rFonts w:ascii="Times New Roman" w:hAnsi="Times New Roman"/>
          <w:sz w:val="28"/>
          <w:szCs w:val="28"/>
          <w:shd w:val="clear" w:color="auto" w:fill="FFFFFF"/>
        </w:rPr>
        <w:t xml:space="preserve"> </w:t>
      </w:r>
      <w:r w:rsidRPr="00F90B6B">
        <w:rPr>
          <w:rFonts w:ascii="Times New Roman" w:hAnsi="Times New Roman"/>
          <w:sz w:val="28"/>
          <w:szCs w:val="28"/>
        </w:rPr>
        <w:t>міжнародної науково-практичної конференції «Світова медицина: сучасні тенденції та фактори розвитку». 27-28 січня 2017 р. Львів. С. 22-23.</w:t>
      </w:r>
    </w:p>
    <w:p w:rsidR="000272BC" w:rsidRPr="00F90B6B" w:rsidRDefault="000272BC" w:rsidP="000272BC">
      <w:pPr>
        <w:spacing w:after="0" w:line="360" w:lineRule="auto"/>
        <w:jc w:val="both"/>
        <w:rPr>
          <w:rFonts w:ascii="Times New Roman" w:hAnsi="Times New Roman"/>
          <w:sz w:val="28"/>
          <w:szCs w:val="28"/>
        </w:rPr>
      </w:pPr>
      <w:r>
        <w:rPr>
          <w:rFonts w:ascii="Times New Roman" w:hAnsi="Times New Roman"/>
          <w:sz w:val="28"/>
          <w:szCs w:val="28"/>
        </w:rPr>
        <w:t>14</w:t>
      </w:r>
      <w:r w:rsidRPr="00F90B6B">
        <w:rPr>
          <w:rFonts w:ascii="Times New Roman" w:hAnsi="Times New Roman"/>
          <w:sz w:val="28"/>
          <w:szCs w:val="28"/>
        </w:rPr>
        <w:t>.Лазіді К.Л. Чи впливає рівень альдостерону на зміну рівнів іонів калію та натрію у пацієнтів із хронічною серцевою недостатністю зі збереженою фракцією викиду лівого шлуночка із супутнім ожирінням?</w:t>
      </w:r>
      <w:r w:rsidRPr="00F90B6B">
        <w:rPr>
          <w:rFonts w:ascii="Times New Roman" w:hAnsi="Times New Roman"/>
          <w:sz w:val="28"/>
          <w:szCs w:val="28"/>
          <w:shd w:val="clear" w:color="auto" w:fill="FFFFFF"/>
        </w:rPr>
        <w:t>/</w:t>
      </w:r>
      <w:r w:rsidRPr="00F90B6B">
        <w:rPr>
          <w:rFonts w:ascii="Times New Roman" w:hAnsi="Times New Roman"/>
          <w:sz w:val="28"/>
          <w:szCs w:val="28"/>
        </w:rPr>
        <w:t xml:space="preserve"> К.Л. Лазіді, Ю.С. Рудик // Матеріали</w:t>
      </w:r>
      <w:r w:rsidRPr="00F90B6B">
        <w:rPr>
          <w:rFonts w:ascii="Times New Roman" w:hAnsi="Times New Roman"/>
          <w:sz w:val="28"/>
          <w:szCs w:val="28"/>
          <w:lang w:val="uz-Cyrl-UZ"/>
        </w:rPr>
        <w:t xml:space="preserve"> науково-практичн</w:t>
      </w:r>
      <w:r w:rsidRPr="00F90B6B">
        <w:rPr>
          <w:rFonts w:ascii="Times New Roman" w:hAnsi="Times New Roman"/>
          <w:sz w:val="28"/>
          <w:szCs w:val="28"/>
        </w:rPr>
        <w:t>ої</w:t>
      </w:r>
      <w:r w:rsidRPr="00F90B6B">
        <w:rPr>
          <w:rFonts w:ascii="Times New Roman" w:hAnsi="Times New Roman"/>
          <w:sz w:val="28"/>
          <w:szCs w:val="28"/>
          <w:lang w:val="uz-Cyrl-UZ"/>
        </w:rPr>
        <w:t xml:space="preserve"> конференці</w:t>
      </w:r>
      <w:r w:rsidRPr="00F90B6B">
        <w:rPr>
          <w:rFonts w:ascii="Times New Roman" w:hAnsi="Times New Roman"/>
          <w:sz w:val="28"/>
          <w:szCs w:val="28"/>
        </w:rPr>
        <w:t>ї</w:t>
      </w:r>
      <w:r w:rsidRPr="00F90B6B">
        <w:rPr>
          <w:rFonts w:ascii="Times New Roman" w:hAnsi="Times New Roman"/>
          <w:sz w:val="28"/>
          <w:szCs w:val="28"/>
          <w:lang w:val="uz-Cyrl-UZ"/>
        </w:rPr>
        <w:t xml:space="preserve"> з міжнародною участю «Щорічні терапевтичні читання: медикаментозна та немедикаментозна пофілактика неінфекційних захворювань: погляд в майбутнє»</w:t>
      </w:r>
      <w:r w:rsidRPr="00F90B6B">
        <w:rPr>
          <w:rFonts w:ascii="Times New Roman" w:hAnsi="Times New Roman"/>
          <w:sz w:val="28"/>
          <w:szCs w:val="28"/>
        </w:rPr>
        <w:t>.</w:t>
      </w:r>
      <w:r w:rsidRPr="00F90B6B">
        <w:rPr>
          <w:rFonts w:ascii="Times New Roman" w:hAnsi="Times New Roman"/>
          <w:sz w:val="28"/>
          <w:szCs w:val="28"/>
          <w:lang w:val="uz-Cyrl-UZ"/>
        </w:rPr>
        <w:t xml:space="preserve"> 20 квітня 2017 р</w:t>
      </w:r>
      <w:r w:rsidRPr="00F90B6B">
        <w:rPr>
          <w:rFonts w:ascii="Times New Roman" w:hAnsi="Times New Roman"/>
          <w:sz w:val="28"/>
          <w:szCs w:val="28"/>
        </w:rPr>
        <w:t xml:space="preserve">. </w:t>
      </w:r>
      <w:r w:rsidRPr="00F90B6B">
        <w:rPr>
          <w:rFonts w:ascii="Times New Roman" w:hAnsi="Times New Roman"/>
          <w:sz w:val="28"/>
          <w:szCs w:val="28"/>
          <w:lang w:val="uz-Cyrl-UZ"/>
        </w:rPr>
        <w:t>Харків</w:t>
      </w:r>
      <w:r w:rsidRPr="00F90B6B">
        <w:rPr>
          <w:rFonts w:ascii="Times New Roman" w:hAnsi="Times New Roman"/>
          <w:sz w:val="28"/>
          <w:szCs w:val="28"/>
        </w:rPr>
        <w:t xml:space="preserve">. С. 164.  </w:t>
      </w:r>
    </w:p>
    <w:p w:rsidR="000272BC" w:rsidRPr="00F90B6B" w:rsidRDefault="000272BC" w:rsidP="000272BC">
      <w:pPr>
        <w:spacing w:after="0" w:line="360" w:lineRule="auto"/>
        <w:jc w:val="both"/>
        <w:rPr>
          <w:rFonts w:ascii="Times New Roman" w:hAnsi="Times New Roman"/>
          <w:sz w:val="28"/>
          <w:szCs w:val="28"/>
        </w:rPr>
      </w:pPr>
      <w:r>
        <w:rPr>
          <w:rFonts w:ascii="Times New Roman" w:hAnsi="Times New Roman"/>
          <w:sz w:val="28"/>
          <w:szCs w:val="28"/>
        </w:rPr>
        <w:t>15</w:t>
      </w:r>
      <w:r w:rsidRPr="00F90B6B">
        <w:rPr>
          <w:rFonts w:ascii="Times New Roman" w:hAnsi="Times New Roman"/>
          <w:sz w:val="28"/>
          <w:szCs w:val="28"/>
        </w:rPr>
        <w:t xml:space="preserve">.Лазиди Е.Л. </w:t>
      </w:r>
      <w:r w:rsidRPr="00F90B6B">
        <w:rPr>
          <w:rFonts w:ascii="Times New Roman" w:hAnsi="Times New Roman"/>
          <w:sz w:val="28"/>
          <w:szCs w:val="28"/>
          <w:shd w:val="clear" w:color="auto" w:fill="FFFFFF"/>
        </w:rPr>
        <w:t xml:space="preserve">Связь ожирения и избыточной массы тела с показателями эхокардиографии у пациентов с хронической сердечной недостаточностью / </w:t>
      </w:r>
      <w:r w:rsidRPr="00F90B6B">
        <w:rPr>
          <w:rFonts w:ascii="Times New Roman" w:hAnsi="Times New Roman"/>
          <w:sz w:val="28"/>
          <w:szCs w:val="28"/>
          <w:shd w:val="clear" w:color="auto" w:fill="FFFFFF"/>
          <w:lang w:val="ru-RU"/>
        </w:rPr>
        <w:br/>
      </w:r>
      <w:r w:rsidRPr="00F90B6B">
        <w:rPr>
          <w:rFonts w:ascii="Times New Roman" w:hAnsi="Times New Roman"/>
          <w:sz w:val="28"/>
          <w:szCs w:val="28"/>
        </w:rPr>
        <w:t>Е.Л. Лазиди //Матеріали науково-практичної конференції з участю міжнародних спеціалістів, присвяченої Дню науки «Медична наука на перетині спеціальностей: сьогодення і майбутнє».19 травня 2017</w:t>
      </w:r>
      <w:r w:rsidRPr="00F90B6B">
        <w:rPr>
          <w:rFonts w:ascii="Times New Roman" w:hAnsi="Times New Roman"/>
          <w:sz w:val="28"/>
          <w:szCs w:val="28"/>
          <w:lang w:val="ru-RU"/>
        </w:rPr>
        <w:t>р</w:t>
      </w:r>
      <w:r w:rsidRPr="00F90B6B">
        <w:rPr>
          <w:rFonts w:ascii="Times New Roman" w:hAnsi="Times New Roman"/>
          <w:sz w:val="28"/>
          <w:szCs w:val="28"/>
        </w:rPr>
        <w:t>. Харків. С.62</w:t>
      </w:r>
    </w:p>
    <w:p w:rsidR="000272BC" w:rsidRPr="00F90B6B" w:rsidRDefault="000272BC" w:rsidP="000272BC">
      <w:pPr>
        <w:spacing w:after="0" w:line="360" w:lineRule="auto"/>
        <w:jc w:val="both"/>
        <w:rPr>
          <w:rFonts w:ascii="Times New Roman" w:hAnsi="Times New Roman"/>
          <w:sz w:val="28"/>
          <w:szCs w:val="28"/>
          <w:lang w:val="ru-RU"/>
        </w:rPr>
      </w:pPr>
      <w:r>
        <w:rPr>
          <w:rFonts w:ascii="Times New Roman" w:hAnsi="Times New Roman"/>
          <w:sz w:val="28"/>
          <w:szCs w:val="28"/>
        </w:rPr>
        <w:t>16</w:t>
      </w:r>
      <w:r w:rsidRPr="00F90B6B">
        <w:rPr>
          <w:rFonts w:ascii="Times New Roman" w:hAnsi="Times New Roman"/>
          <w:sz w:val="28"/>
          <w:szCs w:val="28"/>
        </w:rPr>
        <w:t>.Лазіді К.Л.</w:t>
      </w:r>
      <w:r w:rsidRPr="00F90B6B">
        <w:rPr>
          <w:rFonts w:ascii="Times New Roman" w:hAnsi="Times New Roman"/>
          <w:sz w:val="28"/>
          <w:szCs w:val="28"/>
          <w:shd w:val="clear" w:color="auto" w:fill="FFFFFF"/>
        </w:rPr>
        <w:t xml:space="preserve"> Гіпонатріємія у пацієнтів з хронічною серцевою недостатністю і супутнім ожирінням: чи змінюється прогноз? / </w:t>
      </w:r>
      <w:r w:rsidRPr="00F90B6B">
        <w:rPr>
          <w:rFonts w:ascii="Times New Roman" w:hAnsi="Times New Roman"/>
          <w:sz w:val="28"/>
          <w:szCs w:val="28"/>
        </w:rPr>
        <w:t>К.Л. Лазіді  // Матеріали</w:t>
      </w:r>
      <w:r w:rsidRPr="00F90B6B">
        <w:rPr>
          <w:rFonts w:ascii="Times New Roman" w:hAnsi="Times New Roman"/>
          <w:sz w:val="28"/>
          <w:szCs w:val="28"/>
          <w:lang w:val="uz-Cyrl-UZ"/>
        </w:rPr>
        <w:t xml:space="preserve"> міжнародн</w:t>
      </w:r>
      <w:r w:rsidRPr="00F90B6B">
        <w:rPr>
          <w:rFonts w:ascii="Times New Roman" w:hAnsi="Times New Roman"/>
          <w:sz w:val="28"/>
          <w:szCs w:val="28"/>
        </w:rPr>
        <w:t>ої</w:t>
      </w:r>
      <w:r w:rsidRPr="00F90B6B">
        <w:rPr>
          <w:rFonts w:ascii="Times New Roman" w:hAnsi="Times New Roman"/>
          <w:sz w:val="28"/>
          <w:szCs w:val="28"/>
          <w:lang w:val="uz-Cyrl-UZ"/>
        </w:rPr>
        <w:t xml:space="preserve"> науково-практичн</w:t>
      </w:r>
      <w:r w:rsidRPr="00F90B6B">
        <w:rPr>
          <w:rFonts w:ascii="Times New Roman" w:hAnsi="Times New Roman"/>
          <w:sz w:val="28"/>
          <w:szCs w:val="28"/>
        </w:rPr>
        <w:t>ої</w:t>
      </w:r>
      <w:r w:rsidRPr="00F90B6B">
        <w:rPr>
          <w:rFonts w:ascii="Times New Roman" w:hAnsi="Times New Roman"/>
          <w:sz w:val="28"/>
          <w:szCs w:val="28"/>
          <w:lang w:val="uz-Cyrl-UZ"/>
        </w:rPr>
        <w:t xml:space="preserve"> конференці</w:t>
      </w:r>
      <w:r w:rsidRPr="00F90B6B">
        <w:rPr>
          <w:rFonts w:ascii="Times New Roman" w:hAnsi="Times New Roman"/>
          <w:sz w:val="28"/>
          <w:szCs w:val="28"/>
        </w:rPr>
        <w:t xml:space="preserve">ї </w:t>
      </w:r>
      <w:r w:rsidRPr="00F90B6B">
        <w:rPr>
          <w:rFonts w:ascii="Times New Roman" w:hAnsi="Times New Roman"/>
          <w:sz w:val="28"/>
          <w:szCs w:val="28"/>
          <w:lang w:val="uz-Cyrl-UZ"/>
        </w:rPr>
        <w:t>«Сучасні тенденції розвитку медичної науки та медичної практики»</w:t>
      </w:r>
      <w:r w:rsidRPr="00F90B6B">
        <w:rPr>
          <w:rFonts w:ascii="Times New Roman" w:hAnsi="Times New Roman"/>
          <w:sz w:val="28"/>
          <w:szCs w:val="28"/>
        </w:rPr>
        <w:t xml:space="preserve">. </w:t>
      </w:r>
      <w:r w:rsidRPr="00F90B6B">
        <w:rPr>
          <w:rFonts w:ascii="Times New Roman" w:hAnsi="Times New Roman"/>
          <w:sz w:val="28"/>
          <w:szCs w:val="28"/>
          <w:lang w:val="uz-Cyrl-UZ"/>
        </w:rPr>
        <w:t>22-23 грудня 2017 р</w:t>
      </w:r>
      <w:r w:rsidRPr="00F90B6B">
        <w:rPr>
          <w:rFonts w:ascii="Times New Roman" w:hAnsi="Times New Roman"/>
          <w:sz w:val="28"/>
          <w:szCs w:val="28"/>
        </w:rPr>
        <w:t>.</w:t>
      </w:r>
      <w:r w:rsidRPr="00F90B6B">
        <w:rPr>
          <w:rFonts w:ascii="Times New Roman" w:hAnsi="Times New Roman"/>
          <w:sz w:val="28"/>
          <w:szCs w:val="28"/>
          <w:lang w:val="uz-Cyrl-UZ"/>
        </w:rPr>
        <w:t xml:space="preserve"> Львів</w:t>
      </w:r>
      <w:r w:rsidRPr="00F90B6B">
        <w:rPr>
          <w:rFonts w:ascii="Times New Roman" w:hAnsi="Times New Roman"/>
          <w:sz w:val="28"/>
          <w:szCs w:val="28"/>
        </w:rPr>
        <w:t>. С. 23.</w:t>
      </w:r>
    </w:p>
    <w:p w:rsidR="000272BC" w:rsidRPr="00F90B6B" w:rsidRDefault="000272BC" w:rsidP="000272BC">
      <w:pPr>
        <w:spacing w:after="0" w:line="360" w:lineRule="auto"/>
        <w:jc w:val="both"/>
        <w:rPr>
          <w:rFonts w:ascii="Times New Roman" w:hAnsi="Times New Roman"/>
          <w:sz w:val="28"/>
          <w:szCs w:val="28"/>
        </w:rPr>
      </w:pPr>
      <w:r>
        <w:rPr>
          <w:rFonts w:ascii="Times New Roman" w:hAnsi="Times New Roman"/>
          <w:sz w:val="28"/>
          <w:szCs w:val="28"/>
        </w:rPr>
        <w:t>17</w:t>
      </w:r>
      <w:r w:rsidRPr="00F90B6B">
        <w:rPr>
          <w:rFonts w:ascii="Times New Roman" w:hAnsi="Times New Roman"/>
          <w:sz w:val="28"/>
          <w:szCs w:val="28"/>
        </w:rPr>
        <w:t>.</w:t>
      </w:r>
      <w:r w:rsidRPr="00F90B6B">
        <w:rPr>
          <w:rFonts w:ascii="Times New Roman" w:hAnsi="Times New Roman"/>
          <w:sz w:val="28"/>
          <w:szCs w:val="28"/>
          <w:shd w:val="clear" w:color="auto" w:fill="FFFFFF"/>
        </w:rPr>
        <w:t>Лазиди Е.Л.</w:t>
      </w:r>
      <w:r w:rsidRPr="00F90B6B">
        <w:rPr>
          <w:rFonts w:ascii="Times New Roman" w:hAnsi="Times New Roman"/>
          <w:b/>
          <w:bCs/>
          <w:sz w:val="28"/>
          <w:szCs w:val="28"/>
        </w:rPr>
        <w:t xml:space="preserve"> </w:t>
      </w:r>
      <w:r w:rsidRPr="00F90B6B">
        <w:rPr>
          <w:rFonts w:ascii="Times New Roman" w:hAnsi="Times New Roman"/>
          <w:sz w:val="28"/>
          <w:szCs w:val="28"/>
        </w:rPr>
        <w:t>Связь ожирения и избыточной массы тела с показателями кардиогемодинамики у пациентов с хронической сердечной недостаточностью.</w:t>
      </w:r>
      <w:r w:rsidRPr="00F90B6B">
        <w:rPr>
          <w:rFonts w:ascii="Times New Roman" w:hAnsi="Times New Roman"/>
          <w:b/>
          <w:bCs/>
          <w:sz w:val="28"/>
          <w:szCs w:val="28"/>
        </w:rPr>
        <w:t xml:space="preserve"> / </w:t>
      </w:r>
      <w:r w:rsidRPr="00F90B6B">
        <w:rPr>
          <w:rFonts w:ascii="Times New Roman" w:hAnsi="Times New Roman"/>
          <w:sz w:val="28"/>
          <w:szCs w:val="28"/>
        </w:rPr>
        <w:t xml:space="preserve">Е.Л. Лазиди </w:t>
      </w:r>
      <w:r w:rsidRPr="00F90B6B">
        <w:rPr>
          <w:rFonts w:ascii="Times New Roman" w:hAnsi="Times New Roman"/>
          <w:b/>
          <w:bCs/>
          <w:sz w:val="28"/>
          <w:szCs w:val="28"/>
        </w:rPr>
        <w:t xml:space="preserve">// </w:t>
      </w:r>
      <w:r w:rsidRPr="00F90B6B">
        <w:rPr>
          <w:rFonts w:ascii="Times New Roman" w:hAnsi="Times New Roman"/>
          <w:sz w:val="28"/>
          <w:szCs w:val="28"/>
        </w:rPr>
        <w:t>Матеріали</w:t>
      </w:r>
      <w:r w:rsidRPr="00F90B6B">
        <w:rPr>
          <w:rFonts w:ascii="Times New Roman" w:hAnsi="Times New Roman"/>
          <w:sz w:val="28"/>
          <w:szCs w:val="28"/>
          <w:shd w:val="clear" w:color="auto" w:fill="FFFFFF"/>
        </w:rPr>
        <w:t xml:space="preserve"> </w:t>
      </w:r>
      <w:r w:rsidRPr="00F90B6B">
        <w:rPr>
          <w:rFonts w:ascii="Times New Roman" w:hAnsi="Times New Roman"/>
          <w:sz w:val="28"/>
          <w:szCs w:val="28"/>
          <w:lang w:val="uz-Cyrl-UZ"/>
        </w:rPr>
        <w:t>науково-практичн</w:t>
      </w:r>
      <w:r w:rsidRPr="00F90B6B">
        <w:rPr>
          <w:rFonts w:ascii="Times New Roman" w:hAnsi="Times New Roman"/>
          <w:sz w:val="28"/>
          <w:szCs w:val="28"/>
        </w:rPr>
        <w:t xml:space="preserve">ої </w:t>
      </w:r>
      <w:r w:rsidRPr="00F90B6B">
        <w:rPr>
          <w:rFonts w:ascii="Times New Roman" w:hAnsi="Times New Roman"/>
          <w:sz w:val="28"/>
          <w:szCs w:val="28"/>
          <w:lang w:val="uz-Cyrl-UZ"/>
        </w:rPr>
        <w:t>конференці</w:t>
      </w:r>
      <w:r w:rsidRPr="00F90B6B">
        <w:rPr>
          <w:rFonts w:ascii="Times New Roman" w:hAnsi="Times New Roman"/>
          <w:sz w:val="28"/>
          <w:szCs w:val="28"/>
        </w:rPr>
        <w:t>ї</w:t>
      </w:r>
      <w:r w:rsidRPr="00F90B6B">
        <w:rPr>
          <w:rFonts w:ascii="Times New Roman" w:hAnsi="Times New Roman"/>
          <w:sz w:val="28"/>
          <w:szCs w:val="28"/>
          <w:lang w:val="uz-Cyrl-UZ"/>
        </w:rPr>
        <w:t xml:space="preserve"> за участю міжнародних </w:t>
      </w:r>
      <w:r w:rsidRPr="00F90B6B">
        <w:rPr>
          <w:rFonts w:ascii="Times New Roman" w:hAnsi="Times New Roman"/>
          <w:sz w:val="28"/>
          <w:szCs w:val="28"/>
          <w:lang w:val="uz-Cyrl-UZ"/>
        </w:rPr>
        <w:lastRenderedPageBreak/>
        <w:t>спеціалістів “Щорічні терапевтичні читання. Профілактика неінфекційних захворювань –</w:t>
      </w:r>
      <w:r w:rsidRPr="00F90B6B">
        <w:rPr>
          <w:rFonts w:ascii="Times New Roman" w:hAnsi="Times New Roman"/>
          <w:sz w:val="28"/>
          <w:szCs w:val="28"/>
        </w:rPr>
        <w:t xml:space="preserve"> </w:t>
      </w:r>
      <w:r w:rsidRPr="00F90B6B">
        <w:rPr>
          <w:rFonts w:ascii="Times New Roman" w:hAnsi="Times New Roman"/>
          <w:sz w:val="28"/>
          <w:szCs w:val="28"/>
          <w:lang w:val="uz-Cyrl-UZ"/>
        </w:rPr>
        <w:t>пріоритет сучасної науки та практики”</w:t>
      </w:r>
      <w:r w:rsidRPr="00F90B6B">
        <w:rPr>
          <w:rFonts w:ascii="Times New Roman" w:hAnsi="Times New Roman"/>
          <w:sz w:val="28"/>
          <w:szCs w:val="28"/>
        </w:rPr>
        <w:t xml:space="preserve">.  </w:t>
      </w:r>
      <w:r w:rsidRPr="00F90B6B">
        <w:rPr>
          <w:rFonts w:ascii="Times New Roman" w:hAnsi="Times New Roman"/>
          <w:sz w:val="28"/>
          <w:szCs w:val="28"/>
          <w:lang w:val="uz-Cyrl-UZ"/>
        </w:rPr>
        <w:t>20 квітня 2018</w:t>
      </w:r>
      <w:r w:rsidRPr="00F90B6B">
        <w:rPr>
          <w:rFonts w:ascii="Times New Roman" w:hAnsi="Times New Roman"/>
          <w:sz w:val="28"/>
          <w:szCs w:val="28"/>
        </w:rPr>
        <w:t xml:space="preserve">р. Харків. </w:t>
      </w:r>
      <w:r w:rsidR="001D598C">
        <w:rPr>
          <w:rFonts w:ascii="Times New Roman" w:hAnsi="Times New Roman"/>
          <w:sz w:val="28"/>
          <w:szCs w:val="28"/>
          <w:lang w:val="ru-RU"/>
        </w:rPr>
        <w:br/>
      </w:r>
      <w:r w:rsidRPr="00F90B6B">
        <w:rPr>
          <w:rFonts w:ascii="Times New Roman" w:hAnsi="Times New Roman"/>
          <w:sz w:val="28"/>
          <w:szCs w:val="28"/>
        </w:rPr>
        <w:t>С. 127.</w:t>
      </w:r>
    </w:p>
    <w:p w:rsidR="000272BC" w:rsidRPr="00F90B6B" w:rsidRDefault="000272BC" w:rsidP="000272BC">
      <w:pPr>
        <w:widowControl w:val="0"/>
        <w:spacing w:after="0" w:line="360" w:lineRule="auto"/>
        <w:jc w:val="both"/>
        <w:rPr>
          <w:rFonts w:ascii="Times New Roman" w:hAnsi="Times New Roman"/>
          <w:sz w:val="28"/>
          <w:szCs w:val="28"/>
        </w:rPr>
      </w:pPr>
      <w:r>
        <w:rPr>
          <w:rFonts w:ascii="Times New Roman" w:hAnsi="Times New Roman"/>
          <w:sz w:val="28"/>
          <w:szCs w:val="28"/>
        </w:rPr>
        <w:t>18</w:t>
      </w:r>
      <w:r w:rsidRPr="00F90B6B">
        <w:rPr>
          <w:rFonts w:ascii="Times New Roman" w:hAnsi="Times New Roman"/>
          <w:sz w:val="28"/>
          <w:szCs w:val="28"/>
        </w:rPr>
        <w:t>.Лазиди Е.Л.</w:t>
      </w:r>
      <w:r w:rsidRPr="00F90B6B">
        <w:rPr>
          <w:rFonts w:ascii="Times New Roman" w:hAnsi="Times New Roman"/>
          <w:sz w:val="28"/>
          <w:szCs w:val="28"/>
          <w:shd w:val="clear" w:color="auto" w:fill="FFFFFF"/>
        </w:rPr>
        <w:t xml:space="preserve">  Гипонатриемия у пациентов с хронической сердечной недостаточностью и сохраненной фракцией выброса левого желудочка </w:t>
      </w:r>
      <w:r w:rsidRPr="00F90B6B">
        <w:rPr>
          <w:rFonts w:ascii="Times New Roman" w:hAnsi="Times New Roman"/>
          <w:b/>
          <w:bCs/>
          <w:sz w:val="28"/>
          <w:szCs w:val="28"/>
        </w:rPr>
        <w:t xml:space="preserve">/ </w:t>
      </w:r>
      <w:r w:rsidR="001D598C">
        <w:rPr>
          <w:rFonts w:ascii="Times New Roman" w:hAnsi="Times New Roman"/>
          <w:b/>
          <w:bCs/>
          <w:sz w:val="28"/>
          <w:szCs w:val="28"/>
          <w:lang w:val="ru-RU"/>
        </w:rPr>
        <w:br/>
      </w:r>
      <w:r w:rsidRPr="00F90B6B">
        <w:rPr>
          <w:rFonts w:ascii="Times New Roman" w:hAnsi="Times New Roman"/>
          <w:sz w:val="28"/>
          <w:szCs w:val="28"/>
        </w:rPr>
        <w:t>Е.Л. Лазиди, Ю.С. Рудык // Матеріали</w:t>
      </w:r>
      <w:r w:rsidRPr="00F90B6B">
        <w:rPr>
          <w:rFonts w:ascii="Times New Roman" w:hAnsi="Times New Roman"/>
          <w:b/>
          <w:bCs/>
          <w:sz w:val="28"/>
          <w:szCs w:val="28"/>
        </w:rPr>
        <w:t xml:space="preserve"> </w:t>
      </w:r>
      <w:r w:rsidRPr="00F90B6B">
        <w:rPr>
          <w:rFonts w:ascii="Times New Roman" w:hAnsi="Times New Roman"/>
          <w:sz w:val="28"/>
          <w:szCs w:val="28"/>
        </w:rPr>
        <w:t>науково-практичної конференції молодих вчених з міжнародною участю присвяченої 25-річному ювілею НАМН України та  Дню науки «Профілактична медицина сьогодні: внесок молодих спеціалістів». 24 травня 2018 р. Харків. С. 33.</w:t>
      </w:r>
    </w:p>
    <w:p w:rsidR="000272BC" w:rsidRDefault="000272BC" w:rsidP="000272BC">
      <w:pPr>
        <w:spacing w:after="0" w:line="360" w:lineRule="auto"/>
        <w:jc w:val="both"/>
        <w:rPr>
          <w:rFonts w:ascii="Times New Roman" w:hAnsi="Times New Roman"/>
          <w:sz w:val="28"/>
          <w:szCs w:val="28"/>
        </w:rPr>
      </w:pPr>
      <w:r>
        <w:rPr>
          <w:rFonts w:ascii="Times New Roman" w:hAnsi="Times New Roman"/>
          <w:sz w:val="28"/>
          <w:szCs w:val="28"/>
        </w:rPr>
        <w:t>19</w:t>
      </w:r>
      <w:r w:rsidRPr="00F90B6B">
        <w:rPr>
          <w:rFonts w:ascii="Times New Roman" w:hAnsi="Times New Roman"/>
          <w:sz w:val="28"/>
          <w:szCs w:val="28"/>
        </w:rPr>
        <w:t xml:space="preserve">.Лазиди Е.Л. Встречаемость гипонатриемии у пациентов с хронической сердечной недостаточностью и сохраненной фракцией выброса левого желудочка / </w:t>
      </w:r>
      <w:r w:rsidRPr="00F90B6B">
        <w:rPr>
          <w:rFonts w:ascii="Times New Roman" w:hAnsi="Times New Roman"/>
          <w:sz w:val="28"/>
          <w:szCs w:val="28"/>
          <w:lang w:val="ru-RU"/>
        </w:rPr>
        <w:br/>
      </w:r>
      <w:r w:rsidRPr="00F90B6B">
        <w:rPr>
          <w:rFonts w:ascii="Times New Roman" w:hAnsi="Times New Roman"/>
          <w:sz w:val="28"/>
          <w:szCs w:val="28"/>
        </w:rPr>
        <w:t>Е.Л. Лазиди, Ю.С. Рудык // Матеріали Х</w:t>
      </w:r>
      <w:r w:rsidRPr="00F90B6B">
        <w:rPr>
          <w:rFonts w:ascii="Times New Roman" w:hAnsi="Times New Roman"/>
          <w:sz w:val="28"/>
          <w:szCs w:val="28"/>
          <w:lang w:val="en-US"/>
        </w:rPr>
        <w:t>I</w:t>
      </w:r>
      <w:r w:rsidRPr="00F90B6B">
        <w:rPr>
          <w:rFonts w:ascii="Times New Roman" w:hAnsi="Times New Roman"/>
          <w:sz w:val="28"/>
          <w:szCs w:val="28"/>
        </w:rPr>
        <w:t>Х національного конгресу кардіологів України. 26-28 вересня 2018 р. Київ. С.166</w:t>
      </w:r>
    </w:p>
    <w:p w:rsidR="000272BC" w:rsidRPr="000272BC" w:rsidRDefault="000272BC" w:rsidP="000272BC">
      <w:pPr>
        <w:spacing w:after="0" w:line="360" w:lineRule="auto"/>
        <w:ind w:firstLine="709"/>
        <w:contextualSpacing/>
        <w:jc w:val="both"/>
        <w:rPr>
          <w:rFonts w:ascii="Times New Roman" w:hAnsi="Times New Roman"/>
          <w:b/>
          <w:i/>
          <w:iCs/>
          <w:sz w:val="28"/>
          <w:szCs w:val="28"/>
        </w:rPr>
      </w:pPr>
      <w:r w:rsidRPr="000272BC">
        <w:rPr>
          <w:rFonts w:ascii="Times New Roman" w:hAnsi="Times New Roman"/>
          <w:b/>
          <w:i/>
          <w:iCs/>
          <w:sz w:val="28"/>
          <w:szCs w:val="28"/>
        </w:rPr>
        <w:t>Опубліковані праці, що додатково відображають наукові результати дослідження:</w:t>
      </w:r>
    </w:p>
    <w:p w:rsidR="000272BC" w:rsidRPr="00F90B6B" w:rsidRDefault="000272BC" w:rsidP="000272BC">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t>20.</w:t>
      </w:r>
      <w:r w:rsidRPr="00F90B6B">
        <w:rPr>
          <w:rFonts w:ascii="Times New Roman" w:hAnsi="Times New Roman"/>
          <w:sz w:val="28"/>
          <w:szCs w:val="28"/>
          <w:lang w:eastAsia="ru-RU"/>
        </w:rPr>
        <w:t xml:space="preserve">Лазіді К.Л. «Спосіб прогнозування прогресування хронічної серцевої недостатності у хворих зі збереженою фракцією викиду лівого шлуночка, гіпонатріємією та супутнім ожирінням»/ К.Л. Лазіді, Ю.С. Рудик // Патент </w:t>
      </w:r>
      <w:r w:rsidR="001D598C" w:rsidRPr="001D598C">
        <w:rPr>
          <w:rFonts w:ascii="Times New Roman" w:hAnsi="Times New Roman"/>
          <w:sz w:val="28"/>
          <w:szCs w:val="28"/>
          <w:lang w:eastAsia="ru-RU"/>
        </w:rPr>
        <w:br/>
      </w:r>
      <w:r w:rsidRPr="00F90B6B">
        <w:rPr>
          <w:rFonts w:ascii="Times New Roman" w:hAnsi="Times New Roman"/>
          <w:sz w:val="28"/>
          <w:szCs w:val="28"/>
          <w:lang w:eastAsia="ru-RU"/>
        </w:rPr>
        <w:t xml:space="preserve">№ 129891, UA, МПК:G01N 33/48.; Державна установа «Національний інститут терапії імені Л.Т.Малої НАМН України». – опубл. 12.11.2018, Бюл. № 21. </w:t>
      </w:r>
      <w:r w:rsidRPr="00F90B6B">
        <w:rPr>
          <w:rFonts w:ascii="Times New Roman" w:hAnsi="Times New Roman"/>
          <w:sz w:val="28"/>
          <w:szCs w:val="28"/>
        </w:rPr>
        <w:t>(</w:t>
      </w:r>
      <w:r w:rsidRPr="00F90B6B">
        <w:rPr>
          <w:rFonts w:ascii="Times New Roman" w:hAnsi="Times New Roman"/>
          <w:i/>
          <w:iCs/>
          <w:sz w:val="28"/>
          <w:szCs w:val="28"/>
        </w:rPr>
        <w:t>Здобувачем проведено клінічне обстеження пацієнтів, статистичний аналіз і узагальнення результатів, розроблено та оформлено заявку до розгляду БРіВ</w:t>
      </w:r>
      <w:r w:rsidRPr="00F90B6B">
        <w:rPr>
          <w:rFonts w:ascii="Times New Roman" w:hAnsi="Times New Roman"/>
          <w:sz w:val="28"/>
          <w:szCs w:val="28"/>
        </w:rPr>
        <w:t>).</w:t>
      </w:r>
    </w:p>
    <w:p w:rsidR="00EF4063" w:rsidRPr="000272BC" w:rsidRDefault="00EF4063" w:rsidP="000272BC">
      <w:pPr>
        <w:spacing w:line="360" w:lineRule="auto"/>
        <w:rPr>
          <w:rFonts w:ascii="Times New Roman" w:hAnsi="Times New Roman"/>
          <w:b/>
          <w:sz w:val="28"/>
          <w:szCs w:val="28"/>
          <w:lang w:val="ru-RU"/>
        </w:rPr>
      </w:pPr>
    </w:p>
    <w:p w:rsidR="00EF4063" w:rsidRPr="00F90B6B" w:rsidRDefault="00EF4063" w:rsidP="00F0048B">
      <w:pPr>
        <w:spacing w:line="360" w:lineRule="auto"/>
        <w:jc w:val="center"/>
        <w:rPr>
          <w:rFonts w:ascii="Times New Roman" w:hAnsi="Times New Roman"/>
          <w:b/>
          <w:sz w:val="28"/>
          <w:szCs w:val="28"/>
        </w:rPr>
      </w:pPr>
    </w:p>
    <w:p w:rsidR="00EF4063" w:rsidRPr="00F90B6B" w:rsidRDefault="00EF4063" w:rsidP="0005069C">
      <w:pPr>
        <w:spacing w:line="360" w:lineRule="auto"/>
        <w:rPr>
          <w:rFonts w:ascii="Times New Roman" w:hAnsi="Times New Roman"/>
          <w:lang w:val="ru-RU"/>
        </w:rPr>
      </w:pPr>
    </w:p>
    <w:p w:rsidR="00EF4063" w:rsidRDefault="00EF4063" w:rsidP="00972EF7">
      <w:pPr>
        <w:spacing w:line="360" w:lineRule="auto"/>
        <w:ind w:left="2836" w:firstLine="709"/>
        <w:rPr>
          <w:rFonts w:ascii="Times New Roman" w:hAnsi="Times New Roman"/>
          <w:b/>
          <w:sz w:val="28"/>
          <w:szCs w:val="28"/>
          <w:lang w:val="ru-RU"/>
        </w:rPr>
      </w:pPr>
    </w:p>
    <w:p w:rsidR="000272BC" w:rsidRDefault="000272BC" w:rsidP="00972EF7">
      <w:pPr>
        <w:spacing w:line="360" w:lineRule="auto"/>
        <w:ind w:left="2836" w:firstLine="709"/>
        <w:rPr>
          <w:rFonts w:ascii="Times New Roman" w:hAnsi="Times New Roman"/>
          <w:b/>
          <w:sz w:val="28"/>
          <w:szCs w:val="28"/>
          <w:lang w:val="ru-RU"/>
        </w:rPr>
      </w:pPr>
    </w:p>
    <w:p w:rsidR="000272BC" w:rsidRPr="00F90B6B" w:rsidRDefault="000272BC" w:rsidP="00972EF7">
      <w:pPr>
        <w:spacing w:line="360" w:lineRule="auto"/>
        <w:ind w:left="2836" w:firstLine="709"/>
        <w:rPr>
          <w:rFonts w:ascii="Times New Roman" w:hAnsi="Times New Roman"/>
          <w:b/>
          <w:sz w:val="28"/>
          <w:szCs w:val="28"/>
          <w:lang w:val="ru-RU"/>
        </w:rPr>
      </w:pPr>
    </w:p>
    <w:p w:rsidR="00EF4063" w:rsidRPr="008C3EA1" w:rsidRDefault="00EF4063" w:rsidP="001D598C">
      <w:pPr>
        <w:spacing w:line="360" w:lineRule="auto"/>
        <w:jc w:val="center"/>
        <w:rPr>
          <w:rFonts w:ascii="Times New Roman" w:hAnsi="Times New Roman"/>
          <w:sz w:val="28"/>
          <w:szCs w:val="28"/>
          <w:lang w:val="ru-RU"/>
        </w:rPr>
      </w:pPr>
      <w:r w:rsidRPr="008C3EA1">
        <w:rPr>
          <w:rFonts w:ascii="Times New Roman" w:hAnsi="Times New Roman"/>
          <w:sz w:val="28"/>
          <w:szCs w:val="28"/>
        </w:rPr>
        <w:lastRenderedPageBreak/>
        <w:t xml:space="preserve">ДОДАТОК </w:t>
      </w:r>
      <w:r w:rsidR="008C3EA1" w:rsidRPr="008C3EA1">
        <w:rPr>
          <w:rFonts w:ascii="Times New Roman" w:hAnsi="Times New Roman"/>
          <w:sz w:val="28"/>
          <w:szCs w:val="28"/>
          <w:lang w:val="ru-RU"/>
        </w:rPr>
        <w:t>В</w:t>
      </w:r>
    </w:p>
    <w:p w:rsidR="00EF4063" w:rsidRPr="00F90B6B" w:rsidRDefault="00EF4063" w:rsidP="008C3EA1">
      <w:pPr>
        <w:spacing w:line="360" w:lineRule="auto"/>
        <w:ind w:left="709" w:firstLine="709"/>
        <w:rPr>
          <w:rFonts w:ascii="Times New Roman" w:hAnsi="Times New Roman"/>
          <w:b/>
          <w:sz w:val="28"/>
          <w:szCs w:val="28"/>
        </w:rPr>
      </w:pPr>
      <w:r w:rsidRPr="00F90B6B">
        <w:rPr>
          <w:rFonts w:ascii="Times New Roman" w:hAnsi="Times New Roman"/>
          <w:b/>
          <w:sz w:val="28"/>
          <w:szCs w:val="28"/>
        </w:rPr>
        <w:t>Відомості про апробацію</w:t>
      </w:r>
      <w:r w:rsidR="008C3EA1">
        <w:rPr>
          <w:rFonts w:ascii="Times New Roman" w:hAnsi="Times New Roman"/>
          <w:b/>
          <w:sz w:val="28"/>
          <w:szCs w:val="28"/>
        </w:rPr>
        <w:t xml:space="preserve"> результатів дисертації</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rPr>
        <w:t>Всеукраїнська науково-практична конференція молодих учених «Медична наука в практику охорони здоров я» (9 грудня 2016 р., м. Полтава)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lang w:val="uz-Cyrl-UZ"/>
        </w:rPr>
        <w:t>Н</w:t>
      </w:r>
      <w:r w:rsidRPr="00F90B6B">
        <w:rPr>
          <w:rFonts w:ascii="Times New Roman" w:hAnsi="Times New Roman"/>
          <w:sz w:val="28"/>
          <w:szCs w:val="28"/>
        </w:rPr>
        <w:t xml:space="preserve">ауково-практична конференція за участю міжнародних спеціалістів «Стратегії профілактики неінфекційних хвороб та шляхи їх реалізації: від постулатів минулого в </w:t>
      </w:r>
      <w:r w:rsidR="00056EB5">
        <w:rPr>
          <w:rFonts w:ascii="Times New Roman" w:hAnsi="Times New Roman"/>
          <w:sz w:val="28"/>
          <w:szCs w:val="28"/>
        </w:rPr>
        <w:t xml:space="preserve">майбутнє» (4 листопада 2016р., </w:t>
      </w:r>
      <w:r w:rsidRPr="00F90B6B">
        <w:rPr>
          <w:rFonts w:ascii="Times New Roman" w:hAnsi="Times New Roman"/>
          <w:sz w:val="28"/>
          <w:szCs w:val="28"/>
        </w:rPr>
        <w:t>м. Харків) (постерна доповідь,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shd w:val="clear" w:color="auto" w:fill="FFFFFF"/>
          <w:lang w:val="uz-Cyrl-UZ"/>
        </w:rPr>
        <w:t>Щ</w:t>
      </w:r>
      <w:r w:rsidRPr="00F90B6B">
        <w:rPr>
          <w:rFonts w:ascii="Times New Roman" w:hAnsi="Times New Roman"/>
          <w:sz w:val="28"/>
          <w:szCs w:val="28"/>
          <w:shd w:val="clear" w:color="auto" w:fill="FFFFFF"/>
        </w:rPr>
        <w:t>орічна підсумкова науково-практична конференція молодих вчених Харківської медичної академії післядипломної освіти «Медицина 21 століття» (24 листопада 2016р., м. Харків)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rPr>
        <w:t xml:space="preserve"> Міжнародна науково-практична конференція «Світова медицина: сучасні тенденції та фактори розвитку» (27-28 січня 2017 р., м. Львів)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lang w:val="uz-Cyrl-UZ"/>
        </w:rPr>
        <w:t>Науково-практична конференція з міжнародною участю «Щорічні терапевтичні читання: медикаментозна та немедикаментозна пофілактика неінфекційних захворювань: погляд в майбутнє» ДУ «Національний інститут терапії ім. Л.Т. Малої НАМН України» (20 квітня 2017 р., м. Харків) (постерна доповідь,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lang w:val="uz-Cyrl-UZ"/>
        </w:rPr>
        <w:t>Науково-практична конференція молодих вчених за участю міжнародних спеціалістів «Медична наука на перетині спеціальностей: сьогодення і майбутнє», присвячену дню науки, ДУ «Національний інститут терапії ім. Л.Т. Малої НАМН України» (19 травня 2017р., м. Харків ) (усна доповідь,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lang w:val="uz-Cyrl-UZ"/>
        </w:rPr>
        <w:t>Міжнародна науково-практична конференція «Сучасні тенденції розвитку медичної науки та медичної практики» (22-23 грудня 2017 р., м. Львів)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lang w:val="uz-Cyrl-UZ"/>
        </w:rPr>
        <w:t xml:space="preserve"> Науково-практична конференція за участю міжнародних спеціалістів “Щорічні терапевтичні читання. Профілактика неінфекційних захворювань – пріоритет сучасної науки та практики”, </w:t>
      </w:r>
      <w:r w:rsidRPr="00F90B6B">
        <w:rPr>
          <w:rFonts w:ascii="Times New Roman" w:hAnsi="Times New Roman"/>
          <w:caps/>
          <w:snapToGrid w:val="0"/>
          <w:sz w:val="28"/>
          <w:szCs w:val="28"/>
          <w:lang w:val="uz-Cyrl-UZ"/>
        </w:rPr>
        <w:t>ДУ «</w:t>
      </w:r>
      <w:r w:rsidRPr="00F90B6B">
        <w:rPr>
          <w:rFonts w:ascii="Times New Roman" w:hAnsi="Times New Roman"/>
          <w:snapToGrid w:val="0"/>
          <w:sz w:val="28"/>
          <w:szCs w:val="28"/>
          <w:lang w:val="uz-Cyrl-UZ"/>
        </w:rPr>
        <w:t>Національний і</w:t>
      </w:r>
      <w:r w:rsidRPr="00F90B6B">
        <w:rPr>
          <w:rFonts w:ascii="Times New Roman" w:hAnsi="Times New Roman"/>
          <w:sz w:val="28"/>
          <w:szCs w:val="28"/>
          <w:lang w:val="uz-Cyrl-UZ"/>
        </w:rPr>
        <w:t>нститут терапії імені Л.Т. Малої Національної академії медичних наук України»</w:t>
      </w:r>
      <w:r w:rsidRPr="00F90B6B">
        <w:rPr>
          <w:rFonts w:ascii="Times New Roman" w:hAnsi="Times New Roman"/>
          <w:snapToGrid w:val="0"/>
          <w:sz w:val="28"/>
          <w:szCs w:val="28"/>
          <w:lang w:val="uz-Cyrl-UZ"/>
        </w:rPr>
        <w:t xml:space="preserve"> </w:t>
      </w:r>
      <w:r w:rsidRPr="00F90B6B">
        <w:rPr>
          <w:rFonts w:ascii="Times New Roman" w:hAnsi="Times New Roman"/>
          <w:sz w:val="28"/>
          <w:szCs w:val="28"/>
          <w:lang w:val="uz-Cyrl-UZ"/>
        </w:rPr>
        <w:t>(20 квітня 2018 р., м. Харків)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lang w:val="uz-Cyrl-UZ"/>
        </w:rPr>
        <w:lastRenderedPageBreak/>
        <w:t xml:space="preserve"> Науково-практична конференція молодих вчених з міжнародною участю присвяченої 25-річному ювілею НАМН України та Дню науки «Профілактична медицина сьогодні:внесок молодих спеціалістів» </w:t>
      </w:r>
      <w:r w:rsidRPr="00F90B6B">
        <w:rPr>
          <w:rFonts w:ascii="Times New Roman" w:hAnsi="Times New Roman"/>
          <w:caps/>
          <w:snapToGrid w:val="0"/>
          <w:sz w:val="28"/>
          <w:szCs w:val="28"/>
          <w:lang w:val="uz-Cyrl-UZ"/>
        </w:rPr>
        <w:t>ДУ «</w:t>
      </w:r>
      <w:r w:rsidRPr="00F90B6B">
        <w:rPr>
          <w:rFonts w:ascii="Times New Roman" w:hAnsi="Times New Roman"/>
          <w:snapToGrid w:val="0"/>
          <w:sz w:val="28"/>
          <w:szCs w:val="28"/>
          <w:lang w:val="uz-Cyrl-UZ"/>
        </w:rPr>
        <w:t>Національний і</w:t>
      </w:r>
      <w:r w:rsidRPr="00F90B6B">
        <w:rPr>
          <w:rFonts w:ascii="Times New Roman" w:hAnsi="Times New Roman"/>
          <w:sz w:val="28"/>
          <w:szCs w:val="28"/>
          <w:lang w:val="uz-Cyrl-UZ"/>
        </w:rPr>
        <w:t>нститут терапії імені Л.Т. Малої Національної академії медичних наук України”, ДУ «Інститут медичної радіології ім. С.П.Григор’єва НАМН України, Харківський національний медичний університет (24 травня 2018 р., м. Харків) (тези).</w:t>
      </w:r>
    </w:p>
    <w:p w:rsidR="00EF4063" w:rsidRPr="00F90B6B" w:rsidRDefault="00EF4063" w:rsidP="00F0048B">
      <w:pPr>
        <w:pStyle w:val="1"/>
        <w:numPr>
          <w:ilvl w:val="0"/>
          <w:numId w:val="35"/>
        </w:numPr>
        <w:spacing w:after="0" w:line="360" w:lineRule="auto"/>
        <w:jc w:val="both"/>
        <w:rPr>
          <w:rFonts w:ascii="Times New Roman" w:hAnsi="Times New Roman"/>
          <w:sz w:val="28"/>
          <w:szCs w:val="28"/>
          <w:lang w:val="uz-Cyrl-UZ"/>
        </w:rPr>
      </w:pPr>
      <w:r w:rsidRPr="00F90B6B">
        <w:rPr>
          <w:rFonts w:ascii="Times New Roman" w:hAnsi="Times New Roman"/>
          <w:sz w:val="28"/>
          <w:szCs w:val="28"/>
          <w:lang w:val="uz-Cyrl-UZ"/>
        </w:rPr>
        <w:t xml:space="preserve"> ХIХ національний конгрес кардіологів України, ДУ «Національний науковий центр «Інститут кардіології імені академіка М.Д.Стражеска» НАМН України» (26-28 вересня 2018 р., м. Київ) (тези).</w:t>
      </w:r>
    </w:p>
    <w:p w:rsidR="00EF4063" w:rsidRPr="00F90B6B" w:rsidRDefault="00EF4063" w:rsidP="00F0048B">
      <w:pPr>
        <w:spacing w:line="360" w:lineRule="auto"/>
        <w:rPr>
          <w:rFonts w:ascii="Times New Roman" w:hAnsi="Times New Roman"/>
          <w:b/>
          <w:sz w:val="28"/>
          <w:szCs w:val="28"/>
          <w:lang w:val="uz-Cyrl-UZ"/>
        </w:rPr>
      </w:pPr>
    </w:p>
    <w:p w:rsidR="00EF4063" w:rsidRPr="00F90B6B" w:rsidRDefault="00EF4063" w:rsidP="00F0048B">
      <w:pPr>
        <w:spacing w:line="360" w:lineRule="auto"/>
        <w:rPr>
          <w:rFonts w:ascii="Times New Roman" w:hAnsi="Times New Roman"/>
          <w:b/>
          <w:sz w:val="28"/>
          <w:szCs w:val="28"/>
          <w:lang w:val="uz-Cyrl-UZ"/>
        </w:rPr>
      </w:pPr>
    </w:p>
    <w:p w:rsidR="00EF4063" w:rsidRPr="00F90B6B" w:rsidRDefault="00EF4063" w:rsidP="00F0048B">
      <w:pPr>
        <w:spacing w:line="360" w:lineRule="auto"/>
        <w:rPr>
          <w:rFonts w:ascii="Times New Roman" w:hAnsi="Times New Roman"/>
          <w:b/>
          <w:sz w:val="28"/>
          <w:szCs w:val="28"/>
          <w:lang w:val="uz-Cyrl-UZ"/>
        </w:rPr>
      </w:pPr>
    </w:p>
    <w:p w:rsidR="002E5F6B" w:rsidRDefault="002E5F6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Default="00B4210B" w:rsidP="00B4210B">
      <w:pPr>
        <w:spacing w:after="0" w:line="360" w:lineRule="auto"/>
        <w:rPr>
          <w:rFonts w:ascii="Times New Roman" w:hAnsi="Times New Roman"/>
          <w:sz w:val="28"/>
          <w:szCs w:val="28"/>
          <w:lang w:val="uz-Cyrl-UZ" w:eastAsia="ru-RU"/>
        </w:rPr>
      </w:pPr>
    </w:p>
    <w:p w:rsidR="00B4210B" w:rsidRPr="00B4210B" w:rsidRDefault="00B4210B" w:rsidP="00B4210B">
      <w:pPr>
        <w:spacing w:after="0" w:line="360" w:lineRule="auto"/>
        <w:rPr>
          <w:rFonts w:ascii="Times New Roman" w:hAnsi="Times New Roman"/>
          <w:sz w:val="28"/>
          <w:szCs w:val="28"/>
          <w:lang w:val="uz-Cyrl-UZ" w:eastAsia="ru-RU"/>
        </w:rPr>
      </w:pPr>
    </w:p>
    <w:p w:rsidR="002E5F6B" w:rsidRPr="00B4210B" w:rsidRDefault="002E5F6B" w:rsidP="002E5F6B">
      <w:pPr>
        <w:spacing w:after="0" w:line="360" w:lineRule="auto"/>
        <w:jc w:val="center"/>
        <w:rPr>
          <w:rFonts w:ascii="Times New Roman" w:hAnsi="Times New Roman"/>
          <w:sz w:val="28"/>
          <w:szCs w:val="28"/>
          <w:lang w:val="uz-Cyrl-UZ" w:eastAsia="ru-RU"/>
        </w:rPr>
      </w:pPr>
    </w:p>
    <w:p w:rsidR="002E5F6B" w:rsidRPr="00B4210B" w:rsidRDefault="002E5F6B" w:rsidP="002E5F6B">
      <w:pPr>
        <w:spacing w:after="0" w:line="360" w:lineRule="auto"/>
        <w:jc w:val="center"/>
        <w:rPr>
          <w:rFonts w:ascii="Times New Roman" w:hAnsi="Times New Roman"/>
          <w:sz w:val="28"/>
          <w:szCs w:val="28"/>
          <w:lang w:val="uz-Cyrl-UZ" w:eastAsia="ru-RU"/>
        </w:rPr>
      </w:pPr>
    </w:p>
    <w:p w:rsidR="002E5F6B" w:rsidRPr="00B4210B" w:rsidRDefault="002E5F6B" w:rsidP="002E5F6B">
      <w:pPr>
        <w:spacing w:after="0" w:line="360" w:lineRule="auto"/>
        <w:jc w:val="center"/>
        <w:rPr>
          <w:rFonts w:ascii="Times New Roman" w:hAnsi="Times New Roman"/>
          <w:sz w:val="28"/>
          <w:szCs w:val="28"/>
          <w:lang w:val="uz-Cyrl-UZ" w:eastAsia="ru-RU"/>
        </w:rPr>
      </w:pPr>
      <w:r>
        <w:rPr>
          <w:rFonts w:ascii="Times New Roman" w:hAnsi="Times New Roman"/>
          <w:sz w:val="28"/>
          <w:szCs w:val="28"/>
          <w:lang w:val="uz-Cyrl-UZ" w:eastAsia="ru-RU"/>
        </w:rPr>
        <w:br w:type="page"/>
      </w:r>
      <w:r w:rsidR="00B4210B" w:rsidRPr="00B4210B">
        <w:rPr>
          <w:rFonts w:ascii="Times New Roman" w:hAnsi="Times New Roman"/>
          <w:sz w:val="28"/>
          <w:szCs w:val="28"/>
          <w:lang w:val="uz-Cyrl-UZ" w:eastAsia="ru-RU"/>
        </w:rPr>
        <w:lastRenderedPageBreak/>
        <w:t xml:space="preserve"> ДОДАТОК Г</w:t>
      </w:r>
      <w:r w:rsidRPr="002E5F6B">
        <w:rPr>
          <w:rFonts w:ascii="Times New Roman" w:hAnsi="Times New Roman"/>
          <w:sz w:val="28"/>
          <w:szCs w:val="28"/>
          <w:lang w:val="uz-Cyrl-UZ" w:eastAsia="ru-RU"/>
        </w:rPr>
        <w:t xml:space="preserve"> </w:t>
      </w:r>
      <w:r w:rsidR="006F7754" w:rsidRPr="00BD2F09">
        <w:rPr>
          <w:rFonts w:ascii="Times New Roman" w:hAnsi="Times New Roman"/>
          <w:noProof/>
          <w:sz w:val="28"/>
          <w:szCs w:val="28"/>
          <w:lang w:val="ru-RU" w:eastAsia="ru-RU"/>
        </w:rPr>
        <w:drawing>
          <wp:inline distT="0" distB="0" distL="0" distR="0">
            <wp:extent cx="6134100" cy="8458200"/>
            <wp:effectExtent l="0" t="0" r="0" b="0"/>
            <wp:docPr id="143" name="Рисунок 152" descr="1 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2" descr="1 001"/>
                    <pic:cNvPicPr>
                      <a:picLocks noChangeAspect="1" noChangeArrowheads="1"/>
                    </pic:cNvPicPr>
                  </pic:nvPicPr>
                  <pic:blipFill>
                    <a:blip r:embed="rId271" cstate="print">
                      <a:lum bright="-6000" contrast="12000"/>
                      <a:extLst>
                        <a:ext uri="{28A0092B-C50C-407E-A947-70E740481C1C}">
                          <a14:useLocalDpi xmlns:a14="http://schemas.microsoft.com/office/drawing/2010/main" val="0"/>
                        </a:ext>
                      </a:extLst>
                    </a:blip>
                    <a:srcRect l="5235" t="2522" b="2502"/>
                    <a:stretch>
                      <a:fillRect/>
                    </a:stretch>
                  </pic:blipFill>
                  <pic:spPr bwMode="auto">
                    <a:xfrm>
                      <a:off x="0" y="0"/>
                      <a:ext cx="6134100" cy="8458200"/>
                    </a:xfrm>
                    <a:prstGeom prst="rect">
                      <a:avLst/>
                    </a:prstGeom>
                    <a:noFill/>
                    <a:ln>
                      <a:noFill/>
                    </a:ln>
                  </pic:spPr>
                </pic:pic>
              </a:graphicData>
            </a:graphic>
          </wp:inline>
        </w:drawing>
      </w:r>
    </w:p>
    <w:p w:rsidR="002E5F6B" w:rsidRPr="00B4210B" w:rsidRDefault="002E5F6B" w:rsidP="002E5F6B">
      <w:pPr>
        <w:spacing w:after="0" w:line="360" w:lineRule="auto"/>
        <w:jc w:val="center"/>
        <w:rPr>
          <w:rFonts w:ascii="Times New Roman" w:hAnsi="Times New Roman"/>
          <w:sz w:val="28"/>
          <w:szCs w:val="28"/>
          <w:lang w:val="uz-Cyrl-UZ" w:eastAsia="ru-RU"/>
        </w:rPr>
      </w:pPr>
    </w:p>
    <w:p w:rsidR="002E5F6B" w:rsidRPr="00B4210B" w:rsidRDefault="00B4210B" w:rsidP="002E5F6B">
      <w:pPr>
        <w:spacing w:after="0" w:line="360" w:lineRule="auto"/>
        <w:jc w:val="center"/>
        <w:rPr>
          <w:rFonts w:ascii="Times New Roman" w:hAnsi="Times New Roman"/>
          <w:sz w:val="28"/>
          <w:szCs w:val="28"/>
          <w:lang w:val="uz-Cyrl-UZ" w:eastAsia="ru-RU"/>
        </w:rPr>
      </w:pPr>
      <w:r w:rsidRPr="00B4210B">
        <w:rPr>
          <w:rFonts w:ascii="Times New Roman" w:hAnsi="Times New Roman"/>
          <w:sz w:val="28"/>
          <w:szCs w:val="28"/>
          <w:lang w:val="uz-Cyrl-UZ" w:eastAsia="ru-RU"/>
        </w:rPr>
        <w:lastRenderedPageBreak/>
        <w:t>ДОДАТОК</w:t>
      </w:r>
      <w:r w:rsidR="00E36B36">
        <w:rPr>
          <w:lang w:val="ru-RU"/>
        </w:rPr>
        <w:t> </w:t>
      </w:r>
      <w:r w:rsidRPr="00B4210B">
        <w:rPr>
          <w:rFonts w:ascii="Times New Roman" w:hAnsi="Times New Roman"/>
          <w:sz w:val="28"/>
          <w:szCs w:val="28"/>
          <w:lang w:val="uz-Cyrl-UZ" w:eastAsia="ru-RU"/>
        </w:rPr>
        <w:t>Д</w:t>
      </w:r>
      <w:r w:rsidR="006F7754" w:rsidRPr="00BD2F09">
        <w:rPr>
          <w:rFonts w:ascii="Times New Roman" w:hAnsi="Times New Roman"/>
          <w:noProof/>
          <w:sz w:val="28"/>
          <w:szCs w:val="28"/>
          <w:lang w:val="ru-RU" w:eastAsia="ru-RU"/>
        </w:rPr>
        <w:drawing>
          <wp:inline distT="0" distB="0" distL="0" distR="0">
            <wp:extent cx="6286500" cy="8810625"/>
            <wp:effectExtent l="0" t="0" r="0" b="9525"/>
            <wp:docPr id="144" name="Рисунок 153" descr="1%2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3" descr="1%20002"/>
                    <pic:cNvPicPr>
                      <a:picLocks noChangeAspect="1" noChangeArrowheads="1"/>
                    </pic:cNvPicPr>
                  </pic:nvPicPr>
                  <pic:blipFill>
                    <a:blip r:embed="rId272" cstate="print">
                      <a:extLst>
                        <a:ext uri="{28A0092B-C50C-407E-A947-70E740481C1C}">
                          <a14:useLocalDpi xmlns:a14="http://schemas.microsoft.com/office/drawing/2010/main" val="0"/>
                        </a:ext>
                      </a:extLst>
                    </a:blip>
                    <a:srcRect l="7001" t="3520" r="3186" b="5069"/>
                    <a:stretch>
                      <a:fillRect/>
                    </a:stretch>
                  </pic:blipFill>
                  <pic:spPr bwMode="auto">
                    <a:xfrm>
                      <a:off x="0" y="0"/>
                      <a:ext cx="6286500" cy="8810625"/>
                    </a:xfrm>
                    <a:prstGeom prst="rect">
                      <a:avLst/>
                    </a:prstGeom>
                    <a:noFill/>
                    <a:ln>
                      <a:noFill/>
                    </a:ln>
                  </pic:spPr>
                </pic:pic>
              </a:graphicData>
            </a:graphic>
          </wp:inline>
        </w:drawing>
      </w:r>
    </w:p>
    <w:p w:rsidR="002E5F6B" w:rsidRPr="00B4210B" w:rsidRDefault="00B4210B" w:rsidP="002E5F6B">
      <w:pPr>
        <w:spacing w:after="0" w:line="360" w:lineRule="auto"/>
        <w:jc w:val="center"/>
        <w:rPr>
          <w:rFonts w:ascii="Times New Roman" w:hAnsi="Times New Roman"/>
          <w:sz w:val="28"/>
          <w:szCs w:val="28"/>
          <w:lang w:val="uz-Cyrl-UZ" w:eastAsia="ru-RU"/>
        </w:rPr>
      </w:pPr>
      <w:r w:rsidRPr="00B4210B">
        <w:rPr>
          <w:rFonts w:ascii="Times New Roman" w:hAnsi="Times New Roman"/>
          <w:sz w:val="28"/>
          <w:szCs w:val="28"/>
          <w:lang w:val="uz-Cyrl-UZ" w:eastAsia="ru-RU"/>
        </w:rPr>
        <w:lastRenderedPageBreak/>
        <w:t>ДОДАТОК Е</w:t>
      </w:r>
      <w:r w:rsidR="006F7754" w:rsidRPr="00BD2F09">
        <w:rPr>
          <w:rFonts w:ascii="Times New Roman" w:hAnsi="Times New Roman"/>
          <w:noProof/>
          <w:sz w:val="28"/>
          <w:szCs w:val="28"/>
          <w:lang w:val="ru-RU" w:eastAsia="ru-RU"/>
        </w:rPr>
        <w:drawing>
          <wp:inline distT="0" distB="0" distL="0" distR="0">
            <wp:extent cx="5905500" cy="8448675"/>
            <wp:effectExtent l="0" t="0" r="0" b="9525"/>
            <wp:docPr id="145" name="Рисунок 154" descr="1%2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descr="1%20003"/>
                    <pic:cNvPicPr>
                      <a:picLocks noChangeAspect="1" noChangeArrowheads="1"/>
                    </pic:cNvPicPr>
                  </pic:nvPicPr>
                  <pic:blipFill>
                    <a:blip r:embed="rId273" cstate="print">
                      <a:extLst>
                        <a:ext uri="{28A0092B-C50C-407E-A947-70E740481C1C}">
                          <a14:useLocalDpi xmlns:a14="http://schemas.microsoft.com/office/drawing/2010/main" val="0"/>
                        </a:ext>
                      </a:extLst>
                    </a:blip>
                    <a:srcRect l="8765" b="5069"/>
                    <a:stretch>
                      <a:fillRect/>
                    </a:stretch>
                  </pic:blipFill>
                  <pic:spPr bwMode="auto">
                    <a:xfrm>
                      <a:off x="0" y="0"/>
                      <a:ext cx="5905500" cy="8448675"/>
                    </a:xfrm>
                    <a:prstGeom prst="rect">
                      <a:avLst/>
                    </a:prstGeom>
                    <a:noFill/>
                    <a:ln>
                      <a:noFill/>
                    </a:ln>
                  </pic:spPr>
                </pic:pic>
              </a:graphicData>
            </a:graphic>
          </wp:inline>
        </w:drawing>
      </w:r>
      <w:r w:rsidR="002E5F6B" w:rsidRPr="00B4210B">
        <w:rPr>
          <w:rFonts w:ascii="Times New Roman" w:hAnsi="Times New Roman"/>
          <w:sz w:val="28"/>
          <w:szCs w:val="28"/>
          <w:lang w:val="uz-Cyrl-UZ" w:eastAsia="ru-RU"/>
        </w:rPr>
        <w:t xml:space="preserve"> </w:t>
      </w:r>
    </w:p>
    <w:p w:rsidR="002E5F6B" w:rsidRPr="00B4210B" w:rsidRDefault="002E5F6B" w:rsidP="002E5F6B">
      <w:pPr>
        <w:spacing w:after="0" w:line="360" w:lineRule="auto"/>
        <w:jc w:val="center"/>
        <w:rPr>
          <w:rFonts w:ascii="Times New Roman" w:hAnsi="Times New Roman"/>
          <w:sz w:val="28"/>
          <w:szCs w:val="28"/>
          <w:lang w:val="uz-Cyrl-UZ" w:eastAsia="ru-RU"/>
        </w:rPr>
      </w:pPr>
    </w:p>
    <w:p w:rsidR="002E5F6B" w:rsidRPr="00B4210B" w:rsidRDefault="00B4210B" w:rsidP="002E5F6B">
      <w:pPr>
        <w:spacing w:after="0" w:line="360" w:lineRule="auto"/>
        <w:jc w:val="center"/>
        <w:rPr>
          <w:rFonts w:ascii="Times New Roman" w:hAnsi="Times New Roman"/>
          <w:sz w:val="28"/>
          <w:szCs w:val="28"/>
          <w:lang w:val="uz-Cyrl-UZ" w:eastAsia="ru-RU"/>
        </w:rPr>
      </w:pPr>
      <w:r>
        <w:rPr>
          <w:rFonts w:ascii="Times New Roman" w:hAnsi="Times New Roman"/>
          <w:sz w:val="28"/>
          <w:szCs w:val="28"/>
          <w:lang w:val="uz-Cyrl-UZ" w:eastAsia="ru-RU"/>
        </w:rPr>
        <w:lastRenderedPageBreak/>
        <w:t>ДОДАТОК Ж</w:t>
      </w:r>
      <w:r w:rsidR="006F7754" w:rsidRPr="00BD2F09">
        <w:rPr>
          <w:rFonts w:ascii="Times New Roman" w:hAnsi="Times New Roman"/>
          <w:noProof/>
          <w:sz w:val="28"/>
          <w:szCs w:val="28"/>
          <w:lang w:val="ru-RU" w:eastAsia="ru-RU"/>
        </w:rPr>
        <w:drawing>
          <wp:inline distT="0" distB="0" distL="0" distR="0">
            <wp:extent cx="6019800" cy="8448675"/>
            <wp:effectExtent l="0" t="0" r="0" b="9525"/>
            <wp:docPr id="146" name="Рисунок 155" descr="1%2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 descr="1%20004"/>
                    <pic:cNvPicPr>
                      <a:picLocks noChangeAspect="1" noChangeArrowheads="1"/>
                    </pic:cNvPicPr>
                  </pic:nvPicPr>
                  <pic:blipFill>
                    <a:blip r:embed="rId274" cstate="print">
                      <a:extLst>
                        <a:ext uri="{28A0092B-C50C-407E-A947-70E740481C1C}">
                          <a14:useLocalDpi xmlns:a14="http://schemas.microsoft.com/office/drawing/2010/main" val="0"/>
                        </a:ext>
                      </a:extLst>
                    </a:blip>
                    <a:srcRect l="7001" b="5069"/>
                    <a:stretch>
                      <a:fillRect/>
                    </a:stretch>
                  </pic:blipFill>
                  <pic:spPr bwMode="auto">
                    <a:xfrm>
                      <a:off x="0" y="0"/>
                      <a:ext cx="6019800" cy="8448675"/>
                    </a:xfrm>
                    <a:prstGeom prst="rect">
                      <a:avLst/>
                    </a:prstGeom>
                    <a:noFill/>
                    <a:ln>
                      <a:noFill/>
                    </a:ln>
                  </pic:spPr>
                </pic:pic>
              </a:graphicData>
            </a:graphic>
          </wp:inline>
        </w:drawing>
      </w:r>
    </w:p>
    <w:p w:rsidR="00015A7D" w:rsidRPr="00B4210B" w:rsidRDefault="00B4210B" w:rsidP="002E5F6B">
      <w:pPr>
        <w:spacing w:after="0" w:line="360" w:lineRule="auto"/>
        <w:jc w:val="center"/>
        <w:rPr>
          <w:rFonts w:ascii="Times New Roman" w:hAnsi="Times New Roman"/>
          <w:sz w:val="28"/>
          <w:szCs w:val="28"/>
          <w:lang w:val="uz-Cyrl-UZ" w:eastAsia="ru-RU"/>
        </w:rPr>
      </w:pPr>
      <w:r>
        <w:rPr>
          <w:rFonts w:ascii="Times New Roman" w:hAnsi="Times New Roman"/>
          <w:sz w:val="28"/>
          <w:szCs w:val="28"/>
          <w:lang w:val="uz-Cyrl-UZ" w:eastAsia="ru-RU"/>
        </w:rPr>
        <w:lastRenderedPageBreak/>
        <w:t>ДОДАТОК З</w:t>
      </w:r>
      <w:r w:rsidR="002E5F6B" w:rsidRPr="002E5F6B">
        <w:rPr>
          <w:rFonts w:ascii="Times New Roman" w:hAnsi="Times New Roman"/>
          <w:sz w:val="28"/>
          <w:szCs w:val="28"/>
          <w:lang w:val="uz-Cyrl-UZ" w:eastAsia="ru-RU"/>
        </w:rPr>
        <w:t xml:space="preserve"> </w:t>
      </w:r>
      <w:r w:rsidR="006F7754" w:rsidRPr="00BD2F09">
        <w:rPr>
          <w:rFonts w:ascii="Times New Roman" w:hAnsi="Times New Roman"/>
          <w:noProof/>
          <w:sz w:val="28"/>
          <w:szCs w:val="28"/>
          <w:lang w:val="ru-RU" w:eastAsia="ru-RU"/>
        </w:rPr>
        <w:drawing>
          <wp:inline distT="0" distB="0" distL="0" distR="0">
            <wp:extent cx="6134100" cy="8496300"/>
            <wp:effectExtent l="0" t="0" r="0" b="0"/>
            <wp:docPr id="147" name="Рисунок 156" descr="1%2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6" descr="1%20005"/>
                    <pic:cNvPicPr>
                      <a:picLocks noChangeAspect="1" noChangeArrowheads="1"/>
                    </pic:cNvPicPr>
                  </pic:nvPicPr>
                  <pic:blipFill>
                    <a:blip r:embed="rId275" cstate="print">
                      <a:extLst>
                        <a:ext uri="{28A0092B-C50C-407E-A947-70E740481C1C}">
                          <a14:useLocalDpi xmlns:a14="http://schemas.microsoft.com/office/drawing/2010/main" val="0"/>
                        </a:ext>
                      </a:extLst>
                    </a:blip>
                    <a:srcRect l="5235" t="2524" b="2180"/>
                    <a:stretch>
                      <a:fillRect/>
                    </a:stretch>
                  </pic:blipFill>
                  <pic:spPr bwMode="auto">
                    <a:xfrm>
                      <a:off x="0" y="0"/>
                      <a:ext cx="6134100" cy="8496300"/>
                    </a:xfrm>
                    <a:prstGeom prst="rect">
                      <a:avLst/>
                    </a:prstGeom>
                    <a:noFill/>
                    <a:ln>
                      <a:noFill/>
                    </a:ln>
                  </pic:spPr>
                </pic:pic>
              </a:graphicData>
            </a:graphic>
          </wp:inline>
        </w:drawing>
      </w:r>
    </w:p>
    <w:p w:rsidR="00015A7D" w:rsidRPr="00B4210B" w:rsidRDefault="00B4210B" w:rsidP="002E5F6B">
      <w:pPr>
        <w:spacing w:after="0" w:line="360" w:lineRule="auto"/>
        <w:jc w:val="center"/>
        <w:rPr>
          <w:rFonts w:ascii="Times New Roman" w:hAnsi="Times New Roman"/>
          <w:sz w:val="28"/>
          <w:szCs w:val="28"/>
          <w:lang w:val="uz-Cyrl-UZ" w:eastAsia="ru-RU"/>
        </w:rPr>
      </w:pPr>
      <w:r>
        <w:rPr>
          <w:rFonts w:ascii="Times New Roman" w:hAnsi="Times New Roman"/>
          <w:sz w:val="28"/>
          <w:szCs w:val="28"/>
          <w:lang w:val="uz-Cyrl-UZ" w:eastAsia="ru-RU"/>
        </w:rPr>
        <w:lastRenderedPageBreak/>
        <w:t>ДОДАТОК И</w:t>
      </w:r>
      <w:r w:rsidR="00015A7D" w:rsidRPr="002E5F6B">
        <w:rPr>
          <w:rFonts w:ascii="Times New Roman" w:hAnsi="Times New Roman"/>
          <w:sz w:val="28"/>
          <w:szCs w:val="28"/>
          <w:lang w:val="uz-Cyrl-UZ" w:eastAsia="ru-RU"/>
        </w:rPr>
        <w:t xml:space="preserve"> </w:t>
      </w:r>
      <w:r w:rsidR="006F7754" w:rsidRPr="00BD2F09">
        <w:rPr>
          <w:rFonts w:ascii="Times New Roman" w:hAnsi="Times New Roman"/>
          <w:noProof/>
          <w:sz w:val="28"/>
          <w:szCs w:val="28"/>
          <w:lang w:val="ru-RU" w:eastAsia="ru-RU"/>
        </w:rPr>
        <w:drawing>
          <wp:inline distT="0" distB="0" distL="0" distR="0">
            <wp:extent cx="6134100" cy="8572500"/>
            <wp:effectExtent l="0" t="0" r="0" b="0"/>
            <wp:docPr id="148" name="Рисунок 157" descr="1%2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7" descr="1%20006"/>
                    <pic:cNvPicPr>
                      <a:picLocks noChangeAspect="1" noChangeArrowheads="1"/>
                    </pic:cNvPicPr>
                  </pic:nvPicPr>
                  <pic:blipFill>
                    <a:blip r:embed="rId276" cstate="print">
                      <a:extLst>
                        <a:ext uri="{28A0092B-C50C-407E-A947-70E740481C1C}">
                          <a14:useLocalDpi xmlns:a14="http://schemas.microsoft.com/office/drawing/2010/main" val="0"/>
                        </a:ext>
                      </a:extLst>
                    </a:blip>
                    <a:srcRect l="5235" b="3786"/>
                    <a:stretch>
                      <a:fillRect/>
                    </a:stretch>
                  </pic:blipFill>
                  <pic:spPr bwMode="auto">
                    <a:xfrm>
                      <a:off x="0" y="0"/>
                      <a:ext cx="6134100" cy="8572500"/>
                    </a:xfrm>
                    <a:prstGeom prst="rect">
                      <a:avLst/>
                    </a:prstGeom>
                    <a:noFill/>
                    <a:ln>
                      <a:noFill/>
                    </a:ln>
                  </pic:spPr>
                </pic:pic>
              </a:graphicData>
            </a:graphic>
          </wp:inline>
        </w:drawing>
      </w:r>
    </w:p>
    <w:p w:rsidR="00015A7D" w:rsidRPr="00B4210B" w:rsidRDefault="00B4210B" w:rsidP="002E5F6B">
      <w:pPr>
        <w:spacing w:after="0" w:line="360" w:lineRule="auto"/>
        <w:jc w:val="center"/>
        <w:rPr>
          <w:rFonts w:ascii="Times New Roman" w:hAnsi="Times New Roman"/>
          <w:sz w:val="28"/>
          <w:szCs w:val="28"/>
          <w:lang w:val="uz-Cyrl-UZ" w:eastAsia="ru-RU"/>
        </w:rPr>
      </w:pPr>
      <w:r>
        <w:rPr>
          <w:rFonts w:ascii="Times New Roman" w:hAnsi="Times New Roman"/>
          <w:sz w:val="28"/>
          <w:szCs w:val="28"/>
          <w:lang w:val="uz-Cyrl-UZ" w:eastAsia="ru-RU"/>
        </w:rPr>
        <w:lastRenderedPageBreak/>
        <w:t>ДОДАТОК </w:t>
      </w:r>
      <w:r>
        <w:rPr>
          <w:rFonts w:ascii="Times New Roman" w:hAnsi="Times New Roman"/>
          <w:sz w:val="28"/>
          <w:szCs w:val="28"/>
          <w:lang w:eastAsia="ru-RU"/>
        </w:rPr>
        <w:t>І</w:t>
      </w:r>
      <w:r w:rsidR="00015A7D" w:rsidRPr="002E5F6B">
        <w:rPr>
          <w:rFonts w:ascii="Times New Roman" w:hAnsi="Times New Roman"/>
          <w:sz w:val="28"/>
          <w:szCs w:val="28"/>
          <w:lang w:val="uz-Cyrl-UZ" w:eastAsia="ru-RU"/>
        </w:rPr>
        <w:t xml:space="preserve"> </w:t>
      </w:r>
      <w:r w:rsidR="006F7754" w:rsidRPr="00BD2F09">
        <w:rPr>
          <w:rFonts w:ascii="Times New Roman" w:hAnsi="Times New Roman"/>
          <w:noProof/>
          <w:sz w:val="28"/>
          <w:szCs w:val="28"/>
          <w:lang w:val="ru-RU" w:eastAsia="ru-RU"/>
        </w:rPr>
        <w:drawing>
          <wp:inline distT="0" distB="0" distL="0" distR="0">
            <wp:extent cx="6238875" cy="8820150"/>
            <wp:effectExtent l="0" t="0" r="9525" b="0"/>
            <wp:docPr id="149" name="Рисунок 158" descr="Патент_Страница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 descr="Патент_Страница_1"/>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6238875" cy="8820150"/>
                    </a:xfrm>
                    <a:prstGeom prst="rect">
                      <a:avLst/>
                    </a:prstGeom>
                    <a:noFill/>
                    <a:ln>
                      <a:noFill/>
                    </a:ln>
                  </pic:spPr>
                </pic:pic>
              </a:graphicData>
            </a:graphic>
          </wp:inline>
        </w:drawing>
      </w:r>
    </w:p>
    <w:p w:rsidR="00015A7D" w:rsidRPr="00B4210B" w:rsidRDefault="00B4210B" w:rsidP="002E5F6B">
      <w:pPr>
        <w:spacing w:after="0" w:line="360" w:lineRule="auto"/>
        <w:jc w:val="center"/>
        <w:rPr>
          <w:rFonts w:ascii="Times New Roman" w:hAnsi="Times New Roman"/>
          <w:sz w:val="28"/>
          <w:szCs w:val="28"/>
          <w:lang w:val="uz-Cyrl-UZ" w:eastAsia="ru-RU"/>
        </w:rPr>
      </w:pPr>
      <w:r>
        <w:rPr>
          <w:rFonts w:ascii="Times New Roman" w:hAnsi="Times New Roman"/>
          <w:sz w:val="28"/>
          <w:szCs w:val="28"/>
          <w:lang w:val="uz-Cyrl-UZ" w:eastAsia="ru-RU"/>
        </w:rPr>
        <w:lastRenderedPageBreak/>
        <w:t>ДОДАТОК І</w:t>
      </w:r>
      <w:r w:rsidR="00015A7D">
        <w:rPr>
          <w:rFonts w:ascii="Times New Roman" w:hAnsi="Times New Roman"/>
          <w:sz w:val="28"/>
          <w:szCs w:val="28"/>
          <w:lang w:val="uz-Cyrl-UZ" w:eastAsia="ru-RU"/>
        </w:rPr>
        <w:t> </w:t>
      </w:r>
      <w:r w:rsidR="00015A7D" w:rsidRPr="00B4210B">
        <w:rPr>
          <w:rFonts w:ascii="Times New Roman" w:hAnsi="Times New Roman"/>
          <w:sz w:val="28"/>
          <w:szCs w:val="28"/>
          <w:lang w:val="uz-Cyrl-UZ" w:eastAsia="ru-RU"/>
        </w:rPr>
        <w:t>(продовження)</w:t>
      </w:r>
      <w:r w:rsidR="00015A7D">
        <w:rPr>
          <w:rFonts w:ascii="Times New Roman" w:hAnsi="Times New Roman"/>
          <w:sz w:val="28"/>
          <w:szCs w:val="28"/>
          <w:lang w:val="uz-Cyrl-UZ" w:eastAsia="ru-RU"/>
        </w:rPr>
        <w:t>   </w:t>
      </w:r>
      <w:r w:rsidR="006F7754" w:rsidRPr="00BD2F09">
        <w:rPr>
          <w:rFonts w:ascii="Times New Roman" w:hAnsi="Times New Roman"/>
          <w:noProof/>
          <w:sz w:val="28"/>
          <w:szCs w:val="28"/>
          <w:lang w:val="ru-RU" w:eastAsia="ru-RU"/>
        </w:rPr>
        <w:drawing>
          <wp:inline distT="0" distB="0" distL="0" distR="0">
            <wp:extent cx="6029325" cy="8924925"/>
            <wp:effectExtent l="0" t="0" r="9525" b="9525"/>
            <wp:docPr id="150" name="Рисунок 159" descr="Патент_Страница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9" descr="Патент_Страница_2"/>
                    <pic:cNvPicPr>
                      <a:picLocks noChangeAspect="1" noChangeArrowheads="1"/>
                    </pic:cNvPicPr>
                  </pic:nvPicPr>
                  <pic:blipFill>
                    <a:blip r:embed="rId278" cstate="print">
                      <a:extLst>
                        <a:ext uri="{28A0092B-C50C-407E-A947-70E740481C1C}">
                          <a14:useLocalDpi xmlns:a14="http://schemas.microsoft.com/office/drawing/2010/main" val="0"/>
                        </a:ext>
                      </a:extLst>
                    </a:blip>
                    <a:srcRect l="7001" t="2455"/>
                    <a:stretch>
                      <a:fillRect/>
                    </a:stretch>
                  </pic:blipFill>
                  <pic:spPr bwMode="auto">
                    <a:xfrm>
                      <a:off x="0" y="0"/>
                      <a:ext cx="6029325" cy="8924925"/>
                    </a:xfrm>
                    <a:prstGeom prst="rect">
                      <a:avLst/>
                    </a:prstGeom>
                    <a:noFill/>
                    <a:ln>
                      <a:noFill/>
                    </a:ln>
                  </pic:spPr>
                </pic:pic>
              </a:graphicData>
            </a:graphic>
          </wp:inline>
        </w:drawing>
      </w:r>
    </w:p>
    <w:p w:rsidR="00EF4063" w:rsidRPr="002E5F6B" w:rsidRDefault="00B4210B" w:rsidP="002E5F6B">
      <w:pPr>
        <w:spacing w:after="0" w:line="360" w:lineRule="auto"/>
        <w:jc w:val="center"/>
        <w:rPr>
          <w:rFonts w:ascii="Times New Roman" w:hAnsi="Times New Roman"/>
          <w:sz w:val="28"/>
          <w:szCs w:val="28"/>
          <w:lang w:val="uz-Cyrl-UZ" w:eastAsia="ru-RU"/>
        </w:rPr>
      </w:pPr>
      <w:r>
        <w:rPr>
          <w:rFonts w:ascii="Times New Roman" w:hAnsi="Times New Roman"/>
          <w:sz w:val="28"/>
          <w:szCs w:val="28"/>
          <w:lang w:val="uz-Cyrl-UZ" w:eastAsia="ru-RU"/>
        </w:rPr>
        <w:lastRenderedPageBreak/>
        <w:t>ДОДАТОК І</w:t>
      </w:r>
      <w:r w:rsidR="00015A7D">
        <w:rPr>
          <w:rFonts w:ascii="Times New Roman" w:hAnsi="Times New Roman"/>
          <w:sz w:val="28"/>
          <w:szCs w:val="28"/>
          <w:lang w:val="uz-Cyrl-UZ" w:eastAsia="ru-RU"/>
        </w:rPr>
        <w:t> </w:t>
      </w:r>
      <w:r w:rsidR="00015A7D" w:rsidRPr="00B4210B">
        <w:rPr>
          <w:rFonts w:ascii="Times New Roman" w:hAnsi="Times New Roman"/>
          <w:sz w:val="28"/>
          <w:szCs w:val="28"/>
          <w:lang w:val="uz-Cyrl-UZ" w:eastAsia="ru-RU"/>
        </w:rPr>
        <w:t>(продовження)</w:t>
      </w:r>
      <w:r w:rsidR="006F7754" w:rsidRPr="00BD2F09">
        <w:rPr>
          <w:rFonts w:ascii="Times New Roman" w:hAnsi="Times New Roman"/>
          <w:noProof/>
          <w:sz w:val="28"/>
          <w:szCs w:val="28"/>
          <w:lang w:val="ru-RU" w:eastAsia="ru-RU"/>
        </w:rPr>
        <w:drawing>
          <wp:inline distT="0" distB="0" distL="0" distR="0">
            <wp:extent cx="6143625" cy="8915400"/>
            <wp:effectExtent l="0" t="0" r="9525" b="0"/>
            <wp:docPr id="151" name="Рисунок 160" descr="Патент_Страница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descr="Патент_Страница_3"/>
                    <pic:cNvPicPr>
                      <a:picLocks noChangeAspect="1" noChangeArrowheads="1"/>
                    </pic:cNvPicPr>
                  </pic:nvPicPr>
                  <pic:blipFill>
                    <a:blip r:embed="rId279" cstate="print">
                      <a:extLst>
                        <a:ext uri="{28A0092B-C50C-407E-A947-70E740481C1C}">
                          <a14:useLocalDpi xmlns:a14="http://schemas.microsoft.com/office/drawing/2010/main" val="0"/>
                        </a:ext>
                      </a:extLst>
                    </a:blip>
                    <a:srcRect l="5235" b="2539"/>
                    <a:stretch>
                      <a:fillRect/>
                    </a:stretch>
                  </pic:blipFill>
                  <pic:spPr bwMode="auto">
                    <a:xfrm>
                      <a:off x="0" y="0"/>
                      <a:ext cx="6143625" cy="8915400"/>
                    </a:xfrm>
                    <a:prstGeom prst="rect">
                      <a:avLst/>
                    </a:prstGeom>
                    <a:noFill/>
                    <a:ln>
                      <a:noFill/>
                    </a:ln>
                  </pic:spPr>
                </pic:pic>
              </a:graphicData>
            </a:graphic>
          </wp:inline>
        </w:drawing>
      </w:r>
    </w:p>
    <w:sectPr w:rsidR="00EF4063" w:rsidRPr="002E5F6B" w:rsidSect="00D40A8E">
      <w:headerReference w:type="even" r:id="rId280"/>
      <w:headerReference w:type="default" r:id="rId281"/>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56ED" w:rsidRDefault="007056ED" w:rsidP="00112B01">
      <w:pPr>
        <w:spacing w:after="0" w:line="240" w:lineRule="auto"/>
      </w:pPr>
      <w:r>
        <w:separator/>
      </w:r>
    </w:p>
  </w:endnote>
  <w:endnote w:type="continuationSeparator" w:id="0">
    <w:p w:rsidR="007056ED" w:rsidRDefault="007056ED" w:rsidP="00112B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2AFF" w:usb1="4000ACFF"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56ED" w:rsidRDefault="007056ED" w:rsidP="00112B01">
      <w:pPr>
        <w:spacing w:after="0" w:line="240" w:lineRule="auto"/>
      </w:pPr>
      <w:r>
        <w:separator/>
      </w:r>
    </w:p>
  </w:footnote>
  <w:footnote w:type="continuationSeparator" w:id="0">
    <w:p w:rsidR="007056ED" w:rsidRDefault="007056ED" w:rsidP="00112B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5F0B" w:rsidRDefault="00FD5F0B" w:rsidP="00D40A8E">
    <w:pPr>
      <w:pStyle w:val="ad"/>
      <w:framePr w:wrap="around" w:vAnchor="text" w:hAnchor="margin" w:xAlign="right" w:y="1"/>
      <w:rPr>
        <w:rStyle w:val="af2"/>
        <w:rFonts w:cs="Calibri"/>
      </w:rPr>
    </w:pPr>
    <w:r>
      <w:rPr>
        <w:rStyle w:val="af2"/>
        <w:rFonts w:cs="Calibri"/>
      </w:rPr>
      <w:fldChar w:fldCharType="begin"/>
    </w:r>
    <w:r>
      <w:rPr>
        <w:rStyle w:val="af2"/>
        <w:rFonts w:cs="Calibri"/>
      </w:rPr>
      <w:instrText xml:space="preserve">PAGE  </w:instrText>
    </w:r>
    <w:r>
      <w:rPr>
        <w:rStyle w:val="af2"/>
        <w:rFonts w:cs="Calibri"/>
      </w:rPr>
      <w:fldChar w:fldCharType="end"/>
    </w:r>
  </w:p>
  <w:p w:rsidR="00FD5F0B" w:rsidRDefault="00FD5F0B" w:rsidP="00D40A8E">
    <w:pPr>
      <w:pStyle w:val="ad"/>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5F0B" w:rsidRPr="00F0048B" w:rsidRDefault="00FD5F0B" w:rsidP="00D40A8E">
    <w:pPr>
      <w:pStyle w:val="ad"/>
      <w:framePr w:wrap="around" w:vAnchor="text" w:hAnchor="margin" w:xAlign="right" w:y="1"/>
      <w:rPr>
        <w:rStyle w:val="af2"/>
        <w:rFonts w:ascii="Times New Roman" w:hAnsi="Times New Roman"/>
        <w:sz w:val="24"/>
        <w:szCs w:val="24"/>
      </w:rPr>
    </w:pPr>
    <w:r w:rsidRPr="00F0048B">
      <w:rPr>
        <w:rStyle w:val="af2"/>
        <w:rFonts w:ascii="Times New Roman" w:hAnsi="Times New Roman"/>
        <w:sz w:val="24"/>
        <w:szCs w:val="24"/>
      </w:rPr>
      <w:fldChar w:fldCharType="begin"/>
    </w:r>
    <w:r w:rsidRPr="00F0048B">
      <w:rPr>
        <w:rStyle w:val="af2"/>
        <w:rFonts w:ascii="Times New Roman" w:hAnsi="Times New Roman"/>
        <w:sz w:val="24"/>
        <w:szCs w:val="24"/>
      </w:rPr>
      <w:instrText xml:space="preserve">PAGE  </w:instrText>
    </w:r>
    <w:r w:rsidRPr="00F0048B">
      <w:rPr>
        <w:rStyle w:val="af2"/>
        <w:rFonts w:ascii="Times New Roman" w:hAnsi="Times New Roman"/>
        <w:sz w:val="24"/>
        <w:szCs w:val="24"/>
      </w:rPr>
      <w:fldChar w:fldCharType="separate"/>
    </w:r>
    <w:r w:rsidR="006F7754">
      <w:rPr>
        <w:rStyle w:val="af2"/>
        <w:rFonts w:ascii="Times New Roman" w:hAnsi="Times New Roman"/>
        <w:noProof/>
        <w:sz w:val="24"/>
        <w:szCs w:val="24"/>
      </w:rPr>
      <w:t>82</w:t>
    </w:r>
    <w:r w:rsidRPr="00F0048B">
      <w:rPr>
        <w:rStyle w:val="af2"/>
        <w:rFonts w:ascii="Times New Roman" w:hAnsi="Times New Roman"/>
        <w:sz w:val="24"/>
        <w:szCs w:val="24"/>
      </w:rPr>
      <w:fldChar w:fldCharType="end"/>
    </w:r>
  </w:p>
  <w:p w:rsidR="00FD5F0B" w:rsidRDefault="00FD5F0B" w:rsidP="00D40A8E">
    <w:pPr>
      <w:pStyle w:val="ad"/>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F18F4"/>
    <w:multiLevelType w:val="hybridMultilevel"/>
    <w:tmpl w:val="E8A8F5B2"/>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 w15:restartNumberingAfterBreak="0">
    <w:nsid w:val="0625739B"/>
    <w:multiLevelType w:val="hybridMultilevel"/>
    <w:tmpl w:val="88C8CC3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 w15:restartNumberingAfterBreak="0">
    <w:nsid w:val="078A5CA2"/>
    <w:multiLevelType w:val="hybridMultilevel"/>
    <w:tmpl w:val="157459B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7B447FC"/>
    <w:multiLevelType w:val="hybridMultilevel"/>
    <w:tmpl w:val="DF9ABAE6"/>
    <w:lvl w:ilvl="0" w:tplc="B6CEACB6">
      <w:start w:val="1"/>
      <w:numFmt w:val="decimal"/>
      <w:lvlText w:val="%1."/>
      <w:lvlJc w:val="left"/>
      <w:pPr>
        <w:ind w:left="1353" w:hanging="360"/>
      </w:pPr>
      <w:rPr>
        <w:rFonts w:cs="Times New Roman" w:hint="default"/>
        <w:b w:val="0"/>
        <w:color w:val="auto"/>
        <w:sz w:val="28"/>
        <w:szCs w:val="28"/>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4" w15:restartNumberingAfterBreak="0">
    <w:nsid w:val="0E230A65"/>
    <w:multiLevelType w:val="hybridMultilevel"/>
    <w:tmpl w:val="0EFA0CEA"/>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hint="default"/>
      </w:rPr>
    </w:lvl>
    <w:lvl w:ilvl="8" w:tplc="04220005">
      <w:start w:val="1"/>
      <w:numFmt w:val="bullet"/>
      <w:lvlText w:val=""/>
      <w:lvlJc w:val="left"/>
      <w:pPr>
        <w:ind w:left="7188" w:hanging="360"/>
      </w:pPr>
      <w:rPr>
        <w:rFonts w:ascii="Wingdings" w:hAnsi="Wingdings" w:hint="default"/>
      </w:rPr>
    </w:lvl>
  </w:abstractNum>
  <w:abstractNum w:abstractNumId="5" w15:restartNumberingAfterBreak="0">
    <w:nsid w:val="113A07F5"/>
    <w:multiLevelType w:val="hybridMultilevel"/>
    <w:tmpl w:val="064AB9C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 w15:restartNumberingAfterBreak="0">
    <w:nsid w:val="15C67650"/>
    <w:multiLevelType w:val="hybridMultilevel"/>
    <w:tmpl w:val="713C6C8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7" w15:restartNumberingAfterBreak="0">
    <w:nsid w:val="176D623F"/>
    <w:multiLevelType w:val="hybridMultilevel"/>
    <w:tmpl w:val="0D5028F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1E891BD4"/>
    <w:multiLevelType w:val="hybridMultilevel"/>
    <w:tmpl w:val="3E3602F4"/>
    <w:lvl w:ilvl="0" w:tplc="7B7226E4">
      <w:start w:val="1"/>
      <w:numFmt w:val="decimal"/>
      <w:lvlText w:val="%1)"/>
      <w:lvlJc w:val="left"/>
      <w:pPr>
        <w:ind w:left="720" w:hanging="360"/>
      </w:pPr>
      <w:rPr>
        <w:rFonts w:ascii="Arial" w:eastAsia="Times New Roman" w:hAnsi="Arial" w:cs="Arial" w:hint="default"/>
        <w:color w:val="000000"/>
        <w:sz w:val="1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15:restartNumberingAfterBreak="0">
    <w:nsid w:val="26084724"/>
    <w:multiLevelType w:val="hybridMultilevel"/>
    <w:tmpl w:val="D0FE2F9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15:restartNumberingAfterBreak="0">
    <w:nsid w:val="34A61141"/>
    <w:multiLevelType w:val="hybridMultilevel"/>
    <w:tmpl w:val="19728B2C"/>
    <w:lvl w:ilvl="0" w:tplc="AE708536">
      <w:start w:val="1"/>
      <w:numFmt w:val="decimal"/>
      <w:lvlText w:val="%1."/>
      <w:lvlJc w:val="left"/>
      <w:pPr>
        <w:ind w:left="720" w:hanging="360"/>
      </w:pPr>
      <w:rPr>
        <w:rFonts w:cs="Times New Roman"/>
        <w:i w:val="0"/>
        <w:color w:val="auto"/>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 w15:restartNumberingAfterBreak="0">
    <w:nsid w:val="380028E6"/>
    <w:multiLevelType w:val="hybridMultilevel"/>
    <w:tmpl w:val="4378B0A6"/>
    <w:lvl w:ilvl="0" w:tplc="7CAA2C0E">
      <w:start w:val="1"/>
      <w:numFmt w:val="decimal"/>
      <w:lvlText w:val="%1."/>
      <w:lvlJc w:val="left"/>
      <w:pPr>
        <w:ind w:left="720" w:hanging="360"/>
      </w:pPr>
      <w:rPr>
        <w:rFonts w:ascii="Times New Roman" w:eastAsia="Times New Roman" w:hAnsi="Times New Roman" w:cs="Times New Roman"/>
        <w:i w:val="0"/>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3BDD5C6D"/>
    <w:multiLevelType w:val="hybridMultilevel"/>
    <w:tmpl w:val="EEF49A22"/>
    <w:lvl w:ilvl="0" w:tplc="8E5246D6">
      <w:numFmt w:val="bullet"/>
      <w:lvlText w:val="-"/>
      <w:lvlJc w:val="left"/>
      <w:pPr>
        <w:ind w:left="1669" w:hanging="360"/>
      </w:pPr>
      <w:rPr>
        <w:rFonts w:ascii="Times New Roman" w:eastAsia="Times New Roman" w:hAnsi="Times New Roman" w:hint="default"/>
      </w:rPr>
    </w:lvl>
    <w:lvl w:ilvl="1" w:tplc="04220003">
      <w:start w:val="1"/>
      <w:numFmt w:val="bullet"/>
      <w:lvlText w:val="o"/>
      <w:lvlJc w:val="left"/>
      <w:pPr>
        <w:ind w:left="2389" w:hanging="360"/>
      </w:pPr>
      <w:rPr>
        <w:rFonts w:ascii="Courier New" w:hAnsi="Courier New" w:hint="default"/>
      </w:rPr>
    </w:lvl>
    <w:lvl w:ilvl="2" w:tplc="04220005">
      <w:start w:val="1"/>
      <w:numFmt w:val="bullet"/>
      <w:lvlText w:val=""/>
      <w:lvlJc w:val="left"/>
      <w:pPr>
        <w:ind w:left="3109" w:hanging="360"/>
      </w:pPr>
      <w:rPr>
        <w:rFonts w:ascii="Wingdings" w:hAnsi="Wingdings" w:hint="default"/>
      </w:rPr>
    </w:lvl>
    <w:lvl w:ilvl="3" w:tplc="04220001">
      <w:start w:val="1"/>
      <w:numFmt w:val="bullet"/>
      <w:lvlText w:val=""/>
      <w:lvlJc w:val="left"/>
      <w:pPr>
        <w:ind w:left="3829" w:hanging="360"/>
      </w:pPr>
      <w:rPr>
        <w:rFonts w:ascii="Symbol" w:hAnsi="Symbol" w:hint="default"/>
      </w:rPr>
    </w:lvl>
    <w:lvl w:ilvl="4" w:tplc="04220003">
      <w:start w:val="1"/>
      <w:numFmt w:val="bullet"/>
      <w:lvlText w:val="o"/>
      <w:lvlJc w:val="left"/>
      <w:pPr>
        <w:ind w:left="4549" w:hanging="360"/>
      </w:pPr>
      <w:rPr>
        <w:rFonts w:ascii="Courier New" w:hAnsi="Courier New" w:hint="default"/>
      </w:rPr>
    </w:lvl>
    <w:lvl w:ilvl="5" w:tplc="04220005">
      <w:start w:val="1"/>
      <w:numFmt w:val="bullet"/>
      <w:lvlText w:val=""/>
      <w:lvlJc w:val="left"/>
      <w:pPr>
        <w:ind w:left="5269" w:hanging="360"/>
      </w:pPr>
      <w:rPr>
        <w:rFonts w:ascii="Wingdings" w:hAnsi="Wingdings" w:hint="default"/>
      </w:rPr>
    </w:lvl>
    <w:lvl w:ilvl="6" w:tplc="04220001">
      <w:start w:val="1"/>
      <w:numFmt w:val="bullet"/>
      <w:lvlText w:val=""/>
      <w:lvlJc w:val="left"/>
      <w:pPr>
        <w:ind w:left="5989" w:hanging="360"/>
      </w:pPr>
      <w:rPr>
        <w:rFonts w:ascii="Symbol" w:hAnsi="Symbol" w:hint="default"/>
      </w:rPr>
    </w:lvl>
    <w:lvl w:ilvl="7" w:tplc="04220003">
      <w:start w:val="1"/>
      <w:numFmt w:val="bullet"/>
      <w:lvlText w:val="o"/>
      <w:lvlJc w:val="left"/>
      <w:pPr>
        <w:ind w:left="6709" w:hanging="360"/>
      </w:pPr>
      <w:rPr>
        <w:rFonts w:ascii="Courier New" w:hAnsi="Courier New" w:hint="default"/>
      </w:rPr>
    </w:lvl>
    <w:lvl w:ilvl="8" w:tplc="04220005">
      <w:start w:val="1"/>
      <w:numFmt w:val="bullet"/>
      <w:lvlText w:val=""/>
      <w:lvlJc w:val="left"/>
      <w:pPr>
        <w:ind w:left="7429" w:hanging="360"/>
      </w:pPr>
      <w:rPr>
        <w:rFonts w:ascii="Wingdings" w:hAnsi="Wingdings" w:hint="default"/>
      </w:rPr>
    </w:lvl>
  </w:abstractNum>
  <w:abstractNum w:abstractNumId="13" w15:restartNumberingAfterBreak="0">
    <w:nsid w:val="3C26392E"/>
    <w:multiLevelType w:val="multilevel"/>
    <w:tmpl w:val="E7681BF6"/>
    <w:lvl w:ilvl="0">
      <w:start w:val="1"/>
      <w:numFmt w:val="decimal"/>
      <w:lvlText w:val="%1."/>
      <w:lvlJc w:val="left"/>
      <w:pPr>
        <w:ind w:left="450" w:hanging="45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4" w15:restartNumberingAfterBreak="0">
    <w:nsid w:val="3C54219D"/>
    <w:multiLevelType w:val="hybridMultilevel"/>
    <w:tmpl w:val="6EB204E8"/>
    <w:lvl w:ilvl="0" w:tplc="AE708536">
      <w:start w:val="1"/>
      <w:numFmt w:val="decimal"/>
      <w:lvlText w:val="%1."/>
      <w:lvlJc w:val="left"/>
      <w:pPr>
        <w:ind w:left="720" w:hanging="360"/>
      </w:pPr>
      <w:rPr>
        <w:rFonts w:cs="Times New Roman"/>
        <w:i w:val="0"/>
        <w:color w:val="auto"/>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15:restartNumberingAfterBreak="0">
    <w:nsid w:val="3C6D6881"/>
    <w:multiLevelType w:val="hybridMultilevel"/>
    <w:tmpl w:val="E702E54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16" w15:restartNumberingAfterBreak="0">
    <w:nsid w:val="41080621"/>
    <w:multiLevelType w:val="hybridMultilevel"/>
    <w:tmpl w:val="A7A27886"/>
    <w:lvl w:ilvl="0" w:tplc="7C0440F6">
      <w:numFmt w:val="bullet"/>
      <w:lvlText w:val="-"/>
      <w:lvlJc w:val="left"/>
      <w:pPr>
        <w:ind w:left="1369" w:hanging="360"/>
      </w:pPr>
      <w:rPr>
        <w:rFonts w:ascii="Times New Roman" w:eastAsia="Times New Roman" w:hAnsi="Times New Roman" w:hint="default"/>
      </w:rPr>
    </w:lvl>
    <w:lvl w:ilvl="1" w:tplc="04220003" w:tentative="1">
      <w:start w:val="1"/>
      <w:numFmt w:val="bullet"/>
      <w:lvlText w:val="o"/>
      <w:lvlJc w:val="left"/>
      <w:pPr>
        <w:ind w:left="2089" w:hanging="360"/>
      </w:pPr>
      <w:rPr>
        <w:rFonts w:ascii="Courier New" w:hAnsi="Courier New" w:hint="default"/>
      </w:rPr>
    </w:lvl>
    <w:lvl w:ilvl="2" w:tplc="04220005" w:tentative="1">
      <w:start w:val="1"/>
      <w:numFmt w:val="bullet"/>
      <w:lvlText w:val=""/>
      <w:lvlJc w:val="left"/>
      <w:pPr>
        <w:ind w:left="2809" w:hanging="360"/>
      </w:pPr>
      <w:rPr>
        <w:rFonts w:ascii="Wingdings" w:hAnsi="Wingdings" w:hint="default"/>
      </w:rPr>
    </w:lvl>
    <w:lvl w:ilvl="3" w:tplc="04220001" w:tentative="1">
      <w:start w:val="1"/>
      <w:numFmt w:val="bullet"/>
      <w:lvlText w:val=""/>
      <w:lvlJc w:val="left"/>
      <w:pPr>
        <w:ind w:left="3529" w:hanging="360"/>
      </w:pPr>
      <w:rPr>
        <w:rFonts w:ascii="Symbol" w:hAnsi="Symbol" w:hint="default"/>
      </w:rPr>
    </w:lvl>
    <w:lvl w:ilvl="4" w:tplc="04220003" w:tentative="1">
      <w:start w:val="1"/>
      <w:numFmt w:val="bullet"/>
      <w:lvlText w:val="o"/>
      <w:lvlJc w:val="left"/>
      <w:pPr>
        <w:ind w:left="4249" w:hanging="360"/>
      </w:pPr>
      <w:rPr>
        <w:rFonts w:ascii="Courier New" w:hAnsi="Courier New" w:hint="default"/>
      </w:rPr>
    </w:lvl>
    <w:lvl w:ilvl="5" w:tplc="04220005" w:tentative="1">
      <w:start w:val="1"/>
      <w:numFmt w:val="bullet"/>
      <w:lvlText w:val=""/>
      <w:lvlJc w:val="left"/>
      <w:pPr>
        <w:ind w:left="4969" w:hanging="360"/>
      </w:pPr>
      <w:rPr>
        <w:rFonts w:ascii="Wingdings" w:hAnsi="Wingdings" w:hint="default"/>
      </w:rPr>
    </w:lvl>
    <w:lvl w:ilvl="6" w:tplc="04220001" w:tentative="1">
      <w:start w:val="1"/>
      <w:numFmt w:val="bullet"/>
      <w:lvlText w:val=""/>
      <w:lvlJc w:val="left"/>
      <w:pPr>
        <w:ind w:left="5689" w:hanging="360"/>
      </w:pPr>
      <w:rPr>
        <w:rFonts w:ascii="Symbol" w:hAnsi="Symbol" w:hint="default"/>
      </w:rPr>
    </w:lvl>
    <w:lvl w:ilvl="7" w:tplc="04220003" w:tentative="1">
      <w:start w:val="1"/>
      <w:numFmt w:val="bullet"/>
      <w:lvlText w:val="o"/>
      <w:lvlJc w:val="left"/>
      <w:pPr>
        <w:ind w:left="6409" w:hanging="360"/>
      </w:pPr>
      <w:rPr>
        <w:rFonts w:ascii="Courier New" w:hAnsi="Courier New" w:hint="default"/>
      </w:rPr>
    </w:lvl>
    <w:lvl w:ilvl="8" w:tplc="04220005" w:tentative="1">
      <w:start w:val="1"/>
      <w:numFmt w:val="bullet"/>
      <w:lvlText w:val=""/>
      <w:lvlJc w:val="left"/>
      <w:pPr>
        <w:ind w:left="7129" w:hanging="360"/>
      </w:pPr>
      <w:rPr>
        <w:rFonts w:ascii="Wingdings" w:hAnsi="Wingdings" w:hint="default"/>
      </w:rPr>
    </w:lvl>
  </w:abstractNum>
  <w:abstractNum w:abstractNumId="17" w15:restartNumberingAfterBreak="0">
    <w:nsid w:val="42976276"/>
    <w:multiLevelType w:val="hybridMultilevel"/>
    <w:tmpl w:val="312815B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15:restartNumberingAfterBreak="0">
    <w:nsid w:val="44566BD6"/>
    <w:multiLevelType w:val="hybridMultilevel"/>
    <w:tmpl w:val="6DF26BD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15:restartNumberingAfterBreak="0">
    <w:nsid w:val="4BEA0879"/>
    <w:multiLevelType w:val="hybridMultilevel"/>
    <w:tmpl w:val="92125BE8"/>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20" w15:restartNumberingAfterBreak="0">
    <w:nsid w:val="535E04E1"/>
    <w:multiLevelType w:val="hybridMultilevel"/>
    <w:tmpl w:val="9C1EC8AA"/>
    <w:lvl w:ilvl="0" w:tplc="AE708536">
      <w:start w:val="1"/>
      <w:numFmt w:val="decimal"/>
      <w:lvlText w:val="%1."/>
      <w:lvlJc w:val="left"/>
      <w:pPr>
        <w:ind w:left="720" w:hanging="360"/>
      </w:pPr>
      <w:rPr>
        <w:rFonts w:cs="Times New Roman"/>
        <w:i w:val="0"/>
        <w:color w:val="auto"/>
        <w:sz w:val="28"/>
        <w:szCs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15:restartNumberingAfterBreak="0">
    <w:nsid w:val="55BD68A8"/>
    <w:multiLevelType w:val="hybridMultilevel"/>
    <w:tmpl w:val="7626087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2" w15:restartNumberingAfterBreak="0">
    <w:nsid w:val="677719CD"/>
    <w:multiLevelType w:val="hybridMultilevel"/>
    <w:tmpl w:val="106662E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15:restartNumberingAfterBreak="0">
    <w:nsid w:val="68DE478E"/>
    <w:multiLevelType w:val="hybridMultilevel"/>
    <w:tmpl w:val="2B34B52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4" w15:restartNumberingAfterBreak="0">
    <w:nsid w:val="6B46247E"/>
    <w:multiLevelType w:val="hybridMultilevel"/>
    <w:tmpl w:val="7778B2C0"/>
    <w:lvl w:ilvl="0" w:tplc="F0E65488">
      <w:start w:val="1"/>
      <w:numFmt w:val="decimal"/>
      <w:lvlText w:val="%1."/>
      <w:lvlJc w:val="left"/>
      <w:pPr>
        <w:tabs>
          <w:tab w:val="num" w:pos="720"/>
        </w:tabs>
        <w:ind w:left="720" w:hanging="360"/>
      </w:pPr>
      <w:rPr>
        <w:rFonts w:cs="Times New Roman"/>
      </w:rPr>
    </w:lvl>
    <w:lvl w:ilvl="1" w:tplc="572A617C" w:tentative="1">
      <w:start w:val="1"/>
      <w:numFmt w:val="decimal"/>
      <w:lvlText w:val="%2."/>
      <w:lvlJc w:val="left"/>
      <w:pPr>
        <w:tabs>
          <w:tab w:val="num" w:pos="1440"/>
        </w:tabs>
        <w:ind w:left="1440" w:hanging="360"/>
      </w:pPr>
      <w:rPr>
        <w:rFonts w:cs="Times New Roman"/>
      </w:rPr>
    </w:lvl>
    <w:lvl w:ilvl="2" w:tplc="49F0E440" w:tentative="1">
      <w:start w:val="1"/>
      <w:numFmt w:val="decimal"/>
      <w:lvlText w:val="%3."/>
      <w:lvlJc w:val="left"/>
      <w:pPr>
        <w:tabs>
          <w:tab w:val="num" w:pos="2160"/>
        </w:tabs>
        <w:ind w:left="2160" w:hanging="360"/>
      </w:pPr>
      <w:rPr>
        <w:rFonts w:cs="Times New Roman"/>
      </w:rPr>
    </w:lvl>
    <w:lvl w:ilvl="3" w:tplc="F836EF52" w:tentative="1">
      <w:start w:val="1"/>
      <w:numFmt w:val="decimal"/>
      <w:lvlText w:val="%4."/>
      <w:lvlJc w:val="left"/>
      <w:pPr>
        <w:tabs>
          <w:tab w:val="num" w:pos="2880"/>
        </w:tabs>
        <w:ind w:left="2880" w:hanging="360"/>
      </w:pPr>
      <w:rPr>
        <w:rFonts w:cs="Times New Roman"/>
      </w:rPr>
    </w:lvl>
    <w:lvl w:ilvl="4" w:tplc="E4C645F0" w:tentative="1">
      <w:start w:val="1"/>
      <w:numFmt w:val="decimal"/>
      <w:lvlText w:val="%5."/>
      <w:lvlJc w:val="left"/>
      <w:pPr>
        <w:tabs>
          <w:tab w:val="num" w:pos="3600"/>
        </w:tabs>
        <w:ind w:left="3600" w:hanging="360"/>
      </w:pPr>
      <w:rPr>
        <w:rFonts w:cs="Times New Roman"/>
      </w:rPr>
    </w:lvl>
    <w:lvl w:ilvl="5" w:tplc="80ACB8E2" w:tentative="1">
      <w:start w:val="1"/>
      <w:numFmt w:val="decimal"/>
      <w:lvlText w:val="%6."/>
      <w:lvlJc w:val="left"/>
      <w:pPr>
        <w:tabs>
          <w:tab w:val="num" w:pos="4320"/>
        </w:tabs>
        <w:ind w:left="4320" w:hanging="360"/>
      </w:pPr>
      <w:rPr>
        <w:rFonts w:cs="Times New Roman"/>
      </w:rPr>
    </w:lvl>
    <w:lvl w:ilvl="6" w:tplc="5D4C8624" w:tentative="1">
      <w:start w:val="1"/>
      <w:numFmt w:val="decimal"/>
      <w:lvlText w:val="%7."/>
      <w:lvlJc w:val="left"/>
      <w:pPr>
        <w:tabs>
          <w:tab w:val="num" w:pos="5040"/>
        </w:tabs>
        <w:ind w:left="5040" w:hanging="360"/>
      </w:pPr>
      <w:rPr>
        <w:rFonts w:cs="Times New Roman"/>
      </w:rPr>
    </w:lvl>
    <w:lvl w:ilvl="7" w:tplc="9A506088" w:tentative="1">
      <w:start w:val="1"/>
      <w:numFmt w:val="decimal"/>
      <w:lvlText w:val="%8."/>
      <w:lvlJc w:val="left"/>
      <w:pPr>
        <w:tabs>
          <w:tab w:val="num" w:pos="5760"/>
        </w:tabs>
        <w:ind w:left="5760" w:hanging="360"/>
      </w:pPr>
      <w:rPr>
        <w:rFonts w:cs="Times New Roman"/>
      </w:rPr>
    </w:lvl>
    <w:lvl w:ilvl="8" w:tplc="DC74012E" w:tentative="1">
      <w:start w:val="1"/>
      <w:numFmt w:val="decimal"/>
      <w:lvlText w:val="%9."/>
      <w:lvlJc w:val="left"/>
      <w:pPr>
        <w:tabs>
          <w:tab w:val="num" w:pos="6480"/>
        </w:tabs>
        <w:ind w:left="6480" w:hanging="360"/>
      </w:pPr>
      <w:rPr>
        <w:rFonts w:cs="Times New Roman"/>
      </w:rPr>
    </w:lvl>
  </w:abstractNum>
  <w:abstractNum w:abstractNumId="25" w15:restartNumberingAfterBreak="0">
    <w:nsid w:val="6F3A5D4D"/>
    <w:multiLevelType w:val="hybridMultilevel"/>
    <w:tmpl w:val="26D03C2C"/>
    <w:lvl w:ilvl="0" w:tplc="04220001">
      <w:start w:val="1"/>
      <w:numFmt w:val="bullet"/>
      <w:lvlText w:val=""/>
      <w:lvlJc w:val="left"/>
      <w:pPr>
        <w:ind w:left="720" w:hanging="360"/>
      </w:pPr>
      <w:rPr>
        <w:rFonts w:ascii="Symbol" w:hAnsi="Symbol" w:hint="default"/>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26" w15:restartNumberingAfterBreak="0">
    <w:nsid w:val="74954692"/>
    <w:multiLevelType w:val="hybridMultilevel"/>
    <w:tmpl w:val="E68E9BD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7" w15:restartNumberingAfterBreak="0">
    <w:nsid w:val="75C67300"/>
    <w:multiLevelType w:val="hybridMultilevel"/>
    <w:tmpl w:val="0D943F4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8" w15:restartNumberingAfterBreak="0">
    <w:nsid w:val="786925AE"/>
    <w:multiLevelType w:val="hybridMultilevel"/>
    <w:tmpl w:val="67C6739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9" w15:restartNumberingAfterBreak="0">
    <w:nsid w:val="795A3A5B"/>
    <w:multiLevelType w:val="hybridMultilevel"/>
    <w:tmpl w:val="D0BC7C8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3"/>
  </w:num>
  <w:num w:numId="5">
    <w:abstractNumId w:val="4"/>
  </w:num>
  <w:num w:numId="6">
    <w:abstractNumId w:val="27"/>
  </w:num>
  <w:num w:numId="7">
    <w:abstractNumId w:val="19"/>
  </w:num>
  <w:num w:numId="8">
    <w:abstractNumId w:val="6"/>
  </w:num>
  <w:num w:numId="9">
    <w:abstractNumId w:val="6"/>
  </w:num>
  <w:num w:numId="10">
    <w:abstractNumId w:val="15"/>
  </w:num>
  <w:num w:numId="11">
    <w:abstractNumId w:val="15"/>
  </w:num>
  <w:num w:numId="12">
    <w:abstractNumId w:val="12"/>
  </w:num>
  <w:num w:numId="13">
    <w:abstractNumId w:val="0"/>
  </w:num>
  <w:num w:numId="14">
    <w:abstractNumId w:val="28"/>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5"/>
  </w:num>
  <w:num w:numId="20">
    <w:abstractNumId w:val="17"/>
  </w:num>
  <w:num w:numId="21">
    <w:abstractNumId w:val="18"/>
  </w:num>
  <w:num w:numId="22">
    <w:abstractNumId w:val="3"/>
  </w:num>
  <w:num w:numId="23">
    <w:abstractNumId w:val="2"/>
  </w:num>
  <w:num w:numId="24">
    <w:abstractNumId w:val="9"/>
  </w:num>
  <w:num w:numId="25">
    <w:abstractNumId w:val="21"/>
  </w:num>
  <w:num w:numId="26">
    <w:abstractNumId w:val="29"/>
  </w:num>
  <w:num w:numId="27">
    <w:abstractNumId w:val="22"/>
  </w:num>
  <w:num w:numId="28">
    <w:abstractNumId w:val="14"/>
  </w:num>
  <w:num w:numId="29">
    <w:abstractNumId w:val="20"/>
  </w:num>
  <w:num w:numId="30">
    <w:abstractNumId w:val="10"/>
  </w:num>
  <w:num w:numId="31">
    <w:abstractNumId w:val="24"/>
  </w:num>
  <w:num w:numId="32">
    <w:abstractNumId w:val="11"/>
  </w:num>
  <w:num w:numId="3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353"/>
    <w:rsid w:val="0000362C"/>
    <w:rsid w:val="0000636C"/>
    <w:rsid w:val="00006D9B"/>
    <w:rsid w:val="00007B12"/>
    <w:rsid w:val="00010CDF"/>
    <w:rsid w:val="00013824"/>
    <w:rsid w:val="00015A7D"/>
    <w:rsid w:val="00015B11"/>
    <w:rsid w:val="0002037E"/>
    <w:rsid w:val="00021D22"/>
    <w:rsid w:val="000226EF"/>
    <w:rsid w:val="000272BC"/>
    <w:rsid w:val="00035C2C"/>
    <w:rsid w:val="00040D58"/>
    <w:rsid w:val="000413EB"/>
    <w:rsid w:val="0005069C"/>
    <w:rsid w:val="000512E1"/>
    <w:rsid w:val="0005408B"/>
    <w:rsid w:val="00056EB5"/>
    <w:rsid w:val="000607B5"/>
    <w:rsid w:val="00064693"/>
    <w:rsid w:val="000658B4"/>
    <w:rsid w:val="00066BE7"/>
    <w:rsid w:val="000702E0"/>
    <w:rsid w:val="00071A5C"/>
    <w:rsid w:val="00073BC0"/>
    <w:rsid w:val="00083875"/>
    <w:rsid w:val="00085D6D"/>
    <w:rsid w:val="0008672E"/>
    <w:rsid w:val="00090DE8"/>
    <w:rsid w:val="0009223D"/>
    <w:rsid w:val="00094317"/>
    <w:rsid w:val="00095FED"/>
    <w:rsid w:val="000A2895"/>
    <w:rsid w:val="000A5A22"/>
    <w:rsid w:val="000B31C3"/>
    <w:rsid w:val="000B328D"/>
    <w:rsid w:val="000B40F0"/>
    <w:rsid w:val="000B53DA"/>
    <w:rsid w:val="000C5CAC"/>
    <w:rsid w:val="000C66C8"/>
    <w:rsid w:val="000C6CF7"/>
    <w:rsid w:val="000D1EFA"/>
    <w:rsid w:val="000D3F57"/>
    <w:rsid w:val="000D4D8A"/>
    <w:rsid w:val="000D6B78"/>
    <w:rsid w:val="000E272C"/>
    <w:rsid w:val="000F1153"/>
    <w:rsid w:val="00101F86"/>
    <w:rsid w:val="00112B01"/>
    <w:rsid w:val="0011371A"/>
    <w:rsid w:val="001157D4"/>
    <w:rsid w:val="001214DD"/>
    <w:rsid w:val="00122A7C"/>
    <w:rsid w:val="00123BE2"/>
    <w:rsid w:val="00123F68"/>
    <w:rsid w:val="00143AEC"/>
    <w:rsid w:val="00143F60"/>
    <w:rsid w:val="00161492"/>
    <w:rsid w:val="00174636"/>
    <w:rsid w:val="00176165"/>
    <w:rsid w:val="001801C9"/>
    <w:rsid w:val="001825D3"/>
    <w:rsid w:val="001900F2"/>
    <w:rsid w:val="00192F47"/>
    <w:rsid w:val="00197A2E"/>
    <w:rsid w:val="001A3E34"/>
    <w:rsid w:val="001A6F12"/>
    <w:rsid w:val="001B5A57"/>
    <w:rsid w:val="001B6B2E"/>
    <w:rsid w:val="001C0A6A"/>
    <w:rsid w:val="001D17B8"/>
    <w:rsid w:val="001D598C"/>
    <w:rsid w:val="001E12AD"/>
    <w:rsid w:val="001E167D"/>
    <w:rsid w:val="001E1B80"/>
    <w:rsid w:val="001E2ED0"/>
    <w:rsid w:val="001F462E"/>
    <w:rsid w:val="00200DD5"/>
    <w:rsid w:val="00203238"/>
    <w:rsid w:val="0020395A"/>
    <w:rsid w:val="00207801"/>
    <w:rsid w:val="00210769"/>
    <w:rsid w:val="002119ED"/>
    <w:rsid w:val="0021436A"/>
    <w:rsid w:val="00215A75"/>
    <w:rsid w:val="00221F11"/>
    <w:rsid w:val="00224E15"/>
    <w:rsid w:val="002306C2"/>
    <w:rsid w:val="00245AD9"/>
    <w:rsid w:val="002517C4"/>
    <w:rsid w:val="00251B10"/>
    <w:rsid w:val="0025362F"/>
    <w:rsid w:val="00255D85"/>
    <w:rsid w:val="00260647"/>
    <w:rsid w:val="00260CA2"/>
    <w:rsid w:val="00260FC7"/>
    <w:rsid w:val="00265A5E"/>
    <w:rsid w:val="00273D79"/>
    <w:rsid w:val="00274BB9"/>
    <w:rsid w:val="002802E5"/>
    <w:rsid w:val="0028126F"/>
    <w:rsid w:val="002820CE"/>
    <w:rsid w:val="002846BF"/>
    <w:rsid w:val="002865B7"/>
    <w:rsid w:val="0029015D"/>
    <w:rsid w:val="00294A2F"/>
    <w:rsid w:val="002951AF"/>
    <w:rsid w:val="00297EF8"/>
    <w:rsid w:val="002A16D7"/>
    <w:rsid w:val="002A1B99"/>
    <w:rsid w:val="002A26B5"/>
    <w:rsid w:val="002A273E"/>
    <w:rsid w:val="002A2D50"/>
    <w:rsid w:val="002A3672"/>
    <w:rsid w:val="002B2ADA"/>
    <w:rsid w:val="002B6A9E"/>
    <w:rsid w:val="002B7906"/>
    <w:rsid w:val="002B7F42"/>
    <w:rsid w:val="002C1C66"/>
    <w:rsid w:val="002C7ADA"/>
    <w:rsid w:val="002D2234"/>
    <w:rsid w:val="002D7439"/>
    <w:rsid w:val="002E15D1"/>
    <w:rsid w:val="002E1AB5"/>
    <w:rsid w:val="002E5B0D"/>
    <w:rsid w:val="002E5F6B"/>
    <w:rsid w:val="002E6E46"/>
    <w:rsid w:val="002F376A"/>
    <w:rsid w:val="002F4B5D"/>
    <w:rsid w:val="00303CE4"/>
    <w:rsid w:val="0030449D"/>
    <w:rsid w:val="00305D76"/>
    <w:rsid w:val="00307FEE"/>
    <w:rsid w:val="003138BC"/>
    <w:rsid w:val="0031483C"/>
    <w:rsid w:val="00314DDE"/>
    <w:rsid w:val="003156DB"/>
    <w:rsid w:val="00315E6F"/>
    <w:rsid w:val="00321090"/>
    <w:rsid w:val="00324EEB"/>
    <w:rsid w:val="00325970"/>
    <w:rsid w:val="00331F99"/>
    <w:rsid w:val="00332840"/>
    <w:rsid w:val="003329CC"/>
    <w:rsid w:val="00333A40"/>
    <w:rsid w:val="00333CF3"/>
    <w:rsid w:val="003413B9"/>
    <w:rsid w:val="00341FA6"/>
    <w:rsid w:val="00360674"/>
    <w:rsid w:val="0036210F"/>
    <w:rsid w:val="00370469"/>
    <w:rsid w:val="003745FB"/>
    <w:rsid w:val="00376FBF"/>
    <w:rsid w:val="00382C00"/>
    <w:rsid w:val="0038542E"/>
    <w:rsid w:val="00390F8E"/>
    <w:rsid w:val="0039569E"/>
    <w:rsid w:val="0039703F"/>
    <w:rsid w:val="003A19D1"/>
    <w:rsid w:val="003A3893"/>
    <w:rsid w:val="003A3F20"/>
    <w:rsid w:val="003A7988"/>
    <w:rsid w:val="003B0996"/>
    <w:rsid w:val="003B2D0A"/>
    <w:rsid w:val="003B365B"/>
    <w:rsid w:val="003B4ACC"/>
    <w:rsid w:val="003B5F55"/>
    <w:rsid w:val="003B6406"/>
    <w:rsid w:val="003C1AF7"/>
    <w:rsid w:val="003C1DBA"/>
    <w:rsid w:val="003D3D45"/>
    <w:rsid w:val="003D46E5"/>
    <w:rsid w:val="003E0253"/>
    <w:rsid w:val="003E65DA"/>
    <w:rsid w:val="003F1EB9"/>
    <w:rsid w:val="00403080"/>
    <w:rsid w:val="00403A35"/>
    <w:rsid w:val="00423361"/>
    <w:rsid w:val="00433C66"/>
    <w:rsid w:val="0043550D"/>
    <w:rsid w:val="004408CB"/>
    <w:rsid w:val="004409AB"/>
    <w:rsid w:val="00444CFE"/>
    <w:rsid w:val="0044561F"/>
    <w:rsid w:val="004503E3"/>
    <w:rsid w:val="004505A3"/>
    <w:rsid w:val="00455412"/>
    <w:rsid w:val="00462949"/>
    <w:rsid w:val="004719C7"/>
    <w:rsid w:val="00476577"/>
    <w:rsid w:val="00476958"/>
    <w:rsid w:val="00480604"/>
    <w:rsid w:val="0048083F"/>
    <w:rsid w:val="004870DF"/>
    <w:rsid w:val="00497033"/>
    <w:rsid w:val="004A4B66"/>
    <w:rsid w:val="004A617C"/>
    <w:rsid w:val="004A7057"/>
    <w:rsid w:val="004B7A52"/>
    <w:rsid w:val="004C5BF8"/>
    <w:rsid w:val="004D1E45"/>
    <w:rsid w:val="004D477E"/>
    <w:rsid w:val="004D7F7C"/>
    <w:rsid w:val="004E0113"/>
    <w:rsid w:val="004E3781"/>
    <w:rsid w:val="004E5841"/>
    <w:rsid w:val="004E75C9"/>
    <w:rsid w:val="004F0309"/>
    <w:rsid w:val="004F2A2F"/>
    <w:rsid w:val="005023A3"/>
    <w:rsid w:val="00504DCB"/>
    <w:rsid w:val="005071F1"/>
    <w:rsid w:val="0051211A"/>
    <w:rsid w:val="0051339F"/>
    <w:rsid w:val="0051570D"/>
    <w:rsid w:val="005179D8"/>
    <w:rsid w:val="00520CA0"/>
    <w:rsid w:val="00530412"/>
    <w:rsid w:val="00533766"/>
    <w:rsid w:val="005414CB"/>
    <w:rsid w:val="00541C7B"/>
    <w:rsid w:val="00542FA5"/>
    <w:rsid w:val="005529BB"/>
    <w:rsid w:val="0056119F"/>
    <w:rsid w:val="00563E5B"/>
    <w:rsid w:val="00565AA2"/>
    <w:rsid w:val="00565CA5"/>
    <w:rsid w:val="005716F5"/>
    <w:rsid w:val="00572B52"/>
    <w:rsid w:val="00573D10"/>
    <w:rsid w:val="00575748"/>
    <w:rsid w:val="005826A6"/>
    <w:rsid w:val="00590C2E"/>
    <w:rsid w:val="005A262B"/>
    <w:rsid w:val="005A4775"/>
    <w:rsid w:val="005B19C9"/>
    <w:rsid w:val="005B31EC"/>
    <w:rsid w:val="005B7C2F"/>
    <w:rsid w:val="005B7E6F"/>
    <w:rsid w:val="005C313C"/>
    <w:rsid w:val="005C325F"/>
    <w:rsid w:val="005D1FA3"/>
    <w:rsid w:val="005E04AE"/>
    <w:rsid w:val="005E1BA3"/>
    <w:rsid w:val="005E3D6B"/>
    <w:rsid w:val="005F3E6B"/>
    <w:rsid w:val="005F42FA"/>
    <w:rsid w:val="005F7D84"/>
    <w:rsid w:val="0060466F"/>
    <w:rsid w:val="00606133"/>
    <w:rsid w:val="00611EFE"/>
    <w:rsid w:val="00614AA9"/>
    <w:rsid w:val="00615716"/>
    <w:rsid w:val="0062084D"/>
    <w:rsid w:val="00626353"/>
    <w:rsid w:val="00634277"/>
    <w:rsid w:val="0064022C"/>
    <w:rsid w:val="00641A22"/>
    <w:rsid w:val="006428B8"/>
    <w:rsid w:val="006432F5"/>
    <w:rsid w:val="00647D65"/>
    <w:rsid w:val="0065556B"/>
    <w:rsid w:val="00660D1E"/>
    <w:rsid w:val="006662BC"/>
    <w:rsid w:val="006707D5"/>
    <w:rsid w:val="006709F5"/>
    <w:rsid w:val="00671EAD"/>
    <w:rsid w:val="0068030C"/>
    <w:rsid w:val="006A159A"/>
    <w:rsid w:val="006A67A8"/>
    <w:rsid w:val="006A7A13"/>
    <w:rsid w:val="006B2589"/>
    <w:rsid w:val="006B3AD4"/>
    <w:rsid w:val="006C4E17"/>
    <w:rsid w:val="006C6842"/>
    <w:rsid w:val="006D008A"/>
    <w:rsid w:val="006D3FBE"/>
    <w:rsid w:val="006E139B"/>
    <w:rsid w:val="006E2CB4"/>
    <w:rsid w:val="006E4B37"/>
    <w:rsid w:val="006E62DF"/>
    <w:rsid w:val="006F0569"/>
    <w:rsid w:val="006F7754"/>
    <w:rsid w:val="00702465"/>
    <w:rsid w:val="00702DF9"/>
    <w:rsid w:val="007056ED"/>
    <w:rsid w:val="007159B1"/>
    <w:rsid w:val="00717FA4"/>
    <w:rsid w:val="0072168A"/>
    <w:rsid w:val="0072199A"/>
    <w:rsid w:val="007238AF"/>
    <w:rsid w:val="00725C24"/>
    <w:rsid w:val="00726AC4"/>
    <w:rsid w:val="00726C54"/>
    <w:rsid w:val="0073074D"/>
    <w:rsid w:val="00731633"/>
    <w:rsid w:val="00732840"/>
    <w:rsid w:val="00736611"/>
    <w:rsid w:val="00737108"/>
    <w:rsid w:val="0074408D"/>
    <w:rsid w:val="007447FB"/>
    <w:rsid w:val="00745152"/>
    <w:rsid w:val="007459F0"/>
    <w:rsid w:val="0074740D"/>
    <w:rsid w:val="00751A62"/>
    <w:rsid w:val="0075353E"/>
    <w:rsid w:val="00753FB6"/>
    <w:rsid w:val="00754DC3"/>
    <w:rsid w:val="0075751C"/>
    <w:rsid w:val="0076299F"/>
    <w:rsid w:val="0076514A"/>
    <w:rsid w:val="0077589D"/>
    <w:rsid w:val="00780EB1"/>
    <w:rsid w:val="00786148"/>
    <w:rsid w:val="007912AB"/>
    <w:rsid w:val="007918D7"/>
    <w:rsid w:val="007968B3"/>
    <w:rsid w:val="00797322"/>
    <w:rsid w:val="007A357C"/>
    <w:rsid w:val="007A559A"/>
    <w:rsid w:val="007B185C"/>
    <w:rsid w:val="007B3655"/>
    <w:rsid w:val="007B5258"/>
    <w:rsid w:val="007C1874"/>
    <w:rsid w:val="007C200D"/>
    <w:rsid w:val="007C3512"/>
    <w:rsid w:val="007C514C"/>
    <w:rsid w:val="007D1D7D"/>
    <w:rsid w:val="007D4858"/>
    <w:rsid w:val="007E0E4D"/>
    <w:rsid w:val="007E5224"/>
    <w:rsid w:val="007E5F7E"/>
    <w:rsid w:val="007E797D"/>
    <w:rsid w:val="007F242B"/>
    <w:rsid w:val="007F4B9D"/>
    <w:rsid w:val="007F55B2"/>
    <w:rsid w:val="008003FD"/>
    <w:rsid w:val="00822DD1"/>
    <w:rsid w:val="008326EA"/>
    <w:rsid w:val="008348E0"/>
    <w:rsid w:val="00835735"/>
    <w:rsid w:val="0084348D"/>
    <w:rsid w:val="00865CCA"/>
    <w:rsid w:val="00872CD4"/>
    <w:rsid w:val="008773E2"/>
    <w:rsid w:val="00877CC7"/>
    <w:rsid w:val="00880FD9"/>
    <w:rsid w:val="008813B4"/>
    <w:rsid w:val="008877FC"/>
    <w:rsid w:val="00890B07"/>
    <w:rsid w:val="00894358"/>
    <w:rsid w:val="00895201"/>
    <w:rsid w:val="00896795"/>
    <w:rsid w:val="008A74AD"/>
    <w:rsid w:val="008B0677"/>
    <w:rsid w:val="008B15FB"/>
    <w:rsid w:val="008B2BE5"/>
    <w:rsid w:val="008C1B4E"/>
    <w:rsid w:val="008C3DF4"/>
    <w:rsid w:val="008C3EA1"/>
    <w:rsid w:val="008D0CBD"/>
    <w:rsid w:val="008D0D3C"/>
    <w:rsid w:val="008E24E5"/>
    <w:rsid w:val="008E3D17"/>
    <w:rsid w:val="008E68C8"/>
    <w:rsid w:val="008F08A2"/>
    <w:rsid w:val="008F1C59"/>
    <w:rsid w:val="008F54E3"/>
    <w:rsid w:val="008F6195"/>
    <w:rsid w:val="008F7948"/>
    <w:rsid w:val="009038CB"/>
    <w:rsid w:val="00904D17"/>
    <w:rsid w:val="009058AD"/>
    <w:rsid w:val="009143BB"/>
    <w:rsid w:val="00915E33"/>
    <w:rsid w:val="00917011"/>
    <w:rsid w:val="0091753F"/>
    <w:rsid w:val="00920138"/>
    <w:rsid w:val="009225F9"/>
    <w:rsid w:val="0092269B"/>
    <w:rsid w:val="009271B2"/>
    <w:rsid w:val="0093290F"/>
    <w:rsid w:val="00935D27"/>
    <w:rsid w:val="00940B8A"/>
    <w:rsid w:val="00947C10"/>
    <w:rsid w:val="00954C64"/>
    <w:rsid w:val="00955EF7"/>
    <w:rsid w:val="00956D87"/>
    <w:rsid w:val="00957C7F"/>
    <w:rsid w:val="00967228"/>
    <w:rsid w:val="00972947"/>
    <w:rsid w:val="00972EF7"/>
    <w:rsid w:val="009750CB"/>
    <w:rsid w:val="00976E59"/>
    <w:rsid w:val="0098257C"/>
    <w:rsid w:val="00984293"/>
    <w:rsid w:val="0099484C"/>
    <w:rsid w:val="009B1F7C"/>
    <w:rsid w:val="009B6470"/>
    <w:rsid w:val="009C0311"/>
    <w:rsid w:val="009C2C50"/>
    <w:rsid w:val="009C2D56"/>
    <w:rsid w:val="009D2D12"/>
    <w:rsid w:val="009D3674"/>
    <w:rsid w:val="009D7D9D"/>
    <w:rsid w:val="009F1C3F"/>
    <w:rsid w:val="00A0219E"/>
    <w:rsid w:val="00A05DC6"/>
    <w:rsid w:val="00A06CC4"/>
    <w:rsid w:val="00A07335"/>
    <w:rsid w:val="00A147FC"/>
    <w:rsid w:val="00A15F3D"/>
    <w:rsid w:val="00A20B28"/>
    <w:rsid w:val="00A23300"/>
    <w:rsid w:val="00A2678E"/>
    <w:rsid w:val="00A3306F"/>
    <w:rsid w:val="00A43D8F"/>
    <w:rsid w:val="00A50725"/>
    <w:rsid w:val="00A66845"/>
    <w:rsid w:val="00A76454"/>
    <w:rsid w:val="00A84D06"/>
    <w:rsid w:val="00A864BC"/>
    <w:rsid w:val="00A92F9B"/>
    <w:rsid w:val="00A93877"/>
    <w:rsid w:val="00A938F7"/>
    <w:rsid w:val="00AA2406"/>
    <w:rsid w:val="00AA363F"/>
    <w:rsid w:val="00AB4762"/>
    <w:rsid w:val="00AD08E6"/>
    <w:rsid w:val="00AD350D"/>
    <w:rsid w:val="00AD4367"/>
    <w:rsid w:val="00AE1A35"/>
    <w:rsid w:val="00AE27C2"/>
    <w:rsid w:val="00AE6EAB"/>
    <w:rsid w:val="00B03A78"/>
    <w:rsid w:val="00B05E61"/>
    <w:rsid w:val="00B112E9"/>
    <w:rsid w:val="00B1542E"/>
    <w:rsid w:val="00B15498"/>
    <w:rsid w:val="00B162F9"/>
    <w:rsid w:val="00B17781"/>
    <w:rsid w:val="00B17A72"/>
    <w:rsid w:val="00B21303"/>
    <w:rsid w:val="00B21F2C"/>
    <w:rsid w:val="00B226F5"/>
    <w:rsid w:val="00B22AD1"/>
    <w:rsid w:val="00B24217"/>
    <w:rsid w:val="00B27C14"/>
    <w:rsid w:val="00B30F4B"/>
    <w:rsid w:val="00B32506"/>
    <w:rsid w:val="00B37EFB"/>
    <w:rsid w:val="00B4210B"/>
    <w:rsid w:val="00B43754"/>
    <w:rsid w:val="00B471ED"/>
    <w:rsid w:val="00B54A2B"/>
    <w:rsid w:val="00B608F7"/>
    <w:rsid w:val="00B61B92"/>
    <w:rsid w:val="00B722F5"/>
    <w:rsid w:val="00B82916"/>
    <w:rsid w:val="00B83D2F"/>
    <w:rsid w:val="00B86712"/>
    <w:rsid w:val="00B8785A"/>
    <w:rsid w:val="00B930C7"/>
    <w:rsid w:val="00B95886"/>
    <w:rsid w:val="00BB09BF"/>
    <w:rsid w:val="00BB305F"/>
    <w:rsid w:val="00BB4866"/>
    <w:rsid w:val="00BC32C6"/>
    <w:rsid w:val="00BC619F"/>
    <w:rsid w:val="00BD2F09"/>
    <w:rsid w:val="00BD7632"/>
    <w:rsid w:val="00BE035F"/>
    <w:rsid w:val="00BE666F"/>
    <w:rsid w:val="00BE733F"/>
    <w:rsid w:val="00BE7A43"/>
    <w:rsid w:val="00C0621A"/>
    <w:rsid w:val="00C0710F"/>
    <w:rsid w:val="00C14753"/>
    <w:rsid w:val="00C14DF8"/>
    <w:rsid w:val="00C172B4"/>
    <w:rsid w:val="00C2187E"/>
    <w:rsid w:val="00C23A01"/>
    <w:rsid w:val="00C34136"/>
    <w:rsid w:val="00C36322"/>
    <w:rsid w:val="00C43200"/>
    <w:rsid w:val="00C44FA1"/>
    <w:rsid w:val="00C45A18"/>
    <w:rsid w:val="00C468F9"/>
    <w:rsid w:val="00C50ACB"/>
    <w:rsid w:val="00C50FCF"/>
    <w:rsid w:val="00C556E1"/>
    <w:rsid w:val="00C602FF"/>
    <w:rsid w:val="00C61B17"/>
    <w:rsid w:val="00C61C38"/>
    <w:rsid w:val="00C62A37"/>
    <w:rsid w:val="00C65F7D"/>
    <w:rsid w:val="00C711CE"/>
    <w:rsid w:val="00C7135E"/>
    <w:rsid w:val="00C7159B"/>
    <w:rsid w:val="00C72EB4"/>
    <w:rsid w:val="00C8032F"/>
    <w:rsid w:val="00C932EA"/>
    <w:rsid w:val="00C94440"/>
    <w:rsid w:val="00CA01F3"/>
    <w:rsid w:val="00CB1534"/>
    <w:rsid w:val="00CC222C"/>
    <w:rsid w:val="00CC4ED1"/>
    <w:rsid w:val="00CD1606"/>
    <w:rsid w:val="00CE7B32"/>
    <w:rsid w:val="00CF2808"/>
    <w:rsid w:val="00CF7142"/>
    <w:rsid w:val="00D0397B"/>
    <w:rsid w:val="00D051EC"/>
    <w:rsid w:val="00D06FFE"/>
    <w:rsid w:val="00D10264"/>
    <w:rsid w:val="00D201ED"/>
    <w:rsid w:val="00D212DC"/>
    <w:rsid w:val="00D23807"/>
    <w:rsid w:val="00D23990"/>
    <w:rsid w:val="00D24AE7"/>
    <w:rsid w:val="00D25DD7"/>
    <w:rsid w:val="00D26ECB"/>
    <w:rsid w:val="00D31B8A"/>
    <w:rsid w:val="00D3292E"/>
    <w:rsid w:val="00D40A8E"/>
    <w:rsid w:val="00D43608"/>
    <w:rsid w:val="00D57CF9"/>
    <w:rsid w:val="00D637BA"/>
    <w:rsid w:val="00D64F68"/>
    <w:rsid w:val="00D73950"/>
    <w:rsid w:val="00D752DC"/>
    <w:rsid w:val="00D75613"/>
    <w:rsid w:val="00D82913"/>
    <w:rsid w:val="00D90AC1"/>
    <w:rsid w:val="00DA342C"/>
    <w:rsid w:val="00DA35AC"/>
    <w:rsid w:val="00DA36B0"/>
    <w:rsid w:val="00DA3AB0"/>
    <w:rsid w:val="00DB1030"/>
    <w:rsid w:val="00DB573F"/>
    <w:rsid w:val="00DB5EDA"/>
    <w:rsid w:val="00DB7BD9"/>
    <w:rsid w:val="00DC7AC3"/>
    <w:rsid w:val="00DD13E3"/>
    <w:rsid w:val="00DD2313"/>
    <w:rsid w:val="00DD32FC"/>
    <w:rsid w:val="00DF1766"/>
    <w:rsid w:val="00DF2A65"/>
    <w:rsid w:val="00DF5A11"/>
    <w:rsid w:val="00E0045E"/>
    <w:rsid w:val="00E00DE6"/>
    <w:rsid w:val="00E01091"/>
    <w:rsid w:val="00E041A6"/>
    <w:rsid w:val="00E21F7D"/>
    <w:rsid w:val="00E2499F"/>
    <w:rsid w:val="00E34920"/>
    <w:rsid w:val="00E361AE"/>
    <w:rsid w:val="00E36B36"/>
    <w:rsid w:val="00E422F1"/>
    <w:rsid w:val="00E43810"/>
    <w:rsid w:val="00E44202"/>
    <w:rsid w:val="00E53B86"/>
    <w:rsid w:val="00E54FB7"/>
    <w:rsid w:val="00E600EE"/>
    <w:rsid w:val="00E701AE"/>
    <w:rsid w:val="00E72FD9"/>
    <w:rsid w:val="00E73308"/>
    <w:rsid w:val="00E76EAB"/>
    <w:rsid w:val="00E87A7B"/>
    <w:rsid w:val="00E90CEF"/>
    <w:rsid w:val="00E9293D"/>
    <w:rsid w:val="00E972C8"/>
    <w:rsid w:val="00EA4E77"/>
    <w:rsid w:val="00EA6ABE"/>
    <w:rsid w:val="00EB0C6D"/>
    <w:rsid w:val="00EC20A8"/>
    <w:rsid w:val="00EC35AF"/>
    <w:rsid w:val="00EC54E8"/>
    <w:rsid w:val="00EC60FA"/>
    <w:rsid w:val="00ED57DF"/>
    <w:rsid w:val="00ED6686"/>
    <w:rsid w:val="00ED6E8A"/>
    <w:rsid w:val="00EE4302"/>
    <w:rsid w:val="00EF0220"/>
    <w:rsid w:val="00EF1CD1"/>
    <w:rsid w:val="00EF3F4A"/>
    <w:rsid w:val="00EF4063"/>
    <w:rsid w:val="00F0048B"/>
    <w:rsid w:val="00F05FFB"/>
    <w:rsid w:val="00F06391"/>
    <w:rsid w:val="00F11053"/>
    <w:rsid w:val="00F11063"/>
    <w:rsid w:val="00F11179"/>
    <w:rsid w:val="00F1273D"/>
    <w:rsid w:val="00F13E59"/>
    <w:rsid w:val="00F279D9"/>
    <w:rsid w:val="00F3298B"/>
    <w:rsid w:val="00F41BAD"/>
    <w:rsid w:val="00F4264F"/>
    <w:rsid w:val="00F431D1"/>
    <w:rsid w:val="00F43F34"/>
    <w:rsid w:val="00F50B31"/>
    <w:rsid w:val="00F65AA5"/>
    <w:rsid w:val="00F67823"/>
    <w:rsid w:val="00F84DA9"/>
    <w:rsid w:val="00F87969"/>
    <w:rsid w:val="00F9001E"/>
    <w:rsid w:val="00F90B6B"/>
    <w:rsid w:val="00FA13B9"/>
    <w:rsid w:val="00FA1E21"/>
    <w:rsid w:val="00FA71CD"/>
    <w:rsid w:val="00FB48C6"/>
    <w:rsid w:val="00FB4A39"/>
    <w:rsid w:val="00FC02B2"/>
    <w:rsid w:val="00FC49EA"/>
    <w:rsid w:val="00FC5165"/>
    <w:rsid w:val="00FD595D"/>
    <w:rsid w:val="00FD5F0B"/>
    <w:rsid w:val="00FD78F1"/>
    <w:rsid w:val="00FE37C6"/>
    <w:rsid w:val="00FE4D84"/>
    <w:rsid w:val="00FF1C3E"/>
    <w:rsid w:val="00FF2DF3"/>
    <w:rsid w:val="00FF31EA"/>
    <w:rsid w:val="00FF381C"/>
    <w:rsid w:val="00FF53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E3F5FDC7-FC20-4022-A231-8CF29E1352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6353"/>
    <w:pPr>
      <w:spacing w:after="200" w:line="276" w:lineRule="auto"/>
    </w:pPr>
    <w:rPr>
      <w:rFonts w:eastAsia="Times New Roman"/>
      <w:sz w:val="22"/>
      <w:szCs w:val="22"/>
      <w:lang w:val="uk-UA" w:eastAsia="en-US"/>
    </w:rPr>
  </w:style>
  <w:style w:type="paragraph" w:styleId="4">
    <w:name w:val="heading 4"/>
    <w:basedOn w:val="a"/>
    <w:next w:val="a"/>
    <w:link w:val="40"/>
    <w:qFormat/>
    <w:rsid w:val="00626353"/>
    <w:pPr>
      <w:keepNext/>
      <w:spacing w:after="0" w:line="240" w:lineRule="auto"/>
      <w:outlineLvl w:val="3"/>
    </w:pPr>
    <w:rPr>
      <w:rFonts w:ascii="Times New Roman" w:eastAsia="Calibri" w:hAnsi="Times New Roman"/>
      <w:b/>
      <w:color w:val="000000"/>
      <w:position w:val="-33"/>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locked/>
    <w:rsid w:val="00626353"/>
    <w:rPr>
      <w:rFonts w:ascii="Times New Roman" w:hAnsi="Times New Roman"/>
      <w:b/>
      <w:color w:val="000000"/>
      <w:position w:val="-33"/>
      <w:sz w:val="20"/>
      <w:lang w:eastAsia="ru-RU"/>
    </w:rPr>
  </w:style>
  <w:style w:type="paragraph" w:styleId="a3">
    <w:name w:val="Normal (Web)"/>
    <w:basedOn w:val="a"/>
    <w:rsid w:val="00626353"/>
    <w:pPr>
      <w:spacing w:before="100" w:beforeAutospacing="1" w:after="100" w:afterAutospacing="1" w:line="240" w:lineRule="auto"/>
    </w:pPr>
    <w:rPr>
      <w:rFonts w:ascii="Times New Roman" w:eastAsia="Calibri" w:hAnsi="Times New Roman"/>
      <w:sz w:val="24"/>
      <w:szCs w:val="24"/>
      <w:lang w:eastAsia="uk-UA"/>
    </w:rPr>
  </w:style>
  <w:style w:type="paragraph" w:customStyle="1" w:styleId="1">
    <w:name w:val="Абзац списка1"/>
    <w:basedOn w:val="a"/>
    <w:rsid w:val="00626353"/>
    <w:pPr>
      <w:ind w:left="720"/>
      <w:contextualSpacing/>
    </w:pPr>
  </w:style>
  <w:style w:type="paragraph" w:styleId="a4">
    <w:name w:val="Body Text"/>
    <w:basedOn w:val="a"/>
    <w:link w:val="a5"/>
    <w:semiHidden/>
    <w:rsid w:val="00626353"/>
    <w:pPr>
      <w:spacing w:after="120" w:line="240" w:lineRule="auto"/>
    </w:pPr>
    <w:rPr>
      <w:rFonts w:ascii="Times New Roman" w:eastAsia="Calibri" w:hAnsi="Times New Roman"/>
      <w:sz w:val="24"/>
      <w:szCs w:val="20"/>
      <w:lang w:eastAsia="ru-RU"/>
    </w:rPr>
  </w:style>
  <w:style w:type="character" w:customStyle="1" w:styleId="a5">
    <w:name w:val="Основной текст Знак"/>
    <w:link w:val="a4"/>
    <w:semiHidden/>
    <w:locked/>
    <w:rsid w:val="00626353"/>
    <w:rPr>
      <w:rFonts w:ascii="Times New Roman" w:hAnsi="Times New Roman"/>
      <w:sz w:val="24"/>
      <w:lang w:eastAsia="ru-RU"/>
    </w:rPr>
  </w:style>
  <w:style w:type="paragraph" w:styleId="a6">
    <w:name w:val="Body Text Indent"/>
    <w:basedOn w:val="a"/>
    <w:link w:val="a7"/>
    <w:semiHidden/>
    <w:rsid w:val="00626353"/>
    <w:pPr>
      <w:spacing w:after="120" w:line="240" w:lineRule="auto"/>
      <w:ind w:left="283"/>
    </w:pPr>
    <w:rPr>
      <w:rFonts w:ascii="Times New Roman" w:eastAsia="Calibri" w:hAnsi="Times New Roman"/>
      <w:sz w:val="24"/>
      <w:szCs w:val="20"/>
      <w:lang w:eastAsia="ru-RU"/>
    </w:rPr>
  </w:style>
  <w:style w:type="character" w:customStyle="1" w:styleId="a7">
    <w:name w:val="Основной текст с отступом Знак"/>
    <w:link w:val="a6"/>
    <w:semiHidden/>
    <w:locked/>
    <w:rsid w:val="00626353"/>
    <w:rPr>
      <w:rFonts w:ascii="Times New Roman" w:hAnsi="Times New Roman"/>
      <w:sz w:val="24"/>
      <w:lang w:eastAsia="ru-RU"/>
    </w:rPr>
  </w:style>
  <w:style w:type="paragraph" w:styleId="2">
    <w:name w:val="Body Text 2"/>
    <w:basedOn w:val="a"/>
    <w:link w:val="20"/>
    <w:semiHidden/>
    <w:rsid w:val="00626353"/>
    <w:pPr>
      <w:spacing w:after="120" w:line="480" w:lineRule="auto"/>
    </w:pPr>
    <w:rPr>
      <w:rFonts w:ascii="Times New Roman" w:eastAsia="Calibri" w:hAnsi="Times New Roman"/>
      <w:sz w:val="24"/>
      <w:szCs w:val="20"/>
      <w:lang w:eastAsia="ru-RU"/>
    </w:rPr>
  </w:style>
  <w:style w:type="character" w:customStyle="1" w:styleId="20">
    <w:name w:val="Основной текст 2 Знак"/>
    <w:link w:val="2"/>
    <w:semiHidden/>
    <w:locked/>
    <w:rsid w:val="00626353"/>
    <w:rPr>
      <w:rFonts w:ascii="Times New Roman" w:hAnsi="Times New Roman"/>
      <w:sz w:val="24"/>
      <w:lang w:eastAsia="ru-RU"/>
    </w:rPr>
  </w:style>
  <w:style w:type="paragraph" w:styleId="21">
    <w:name w:val="Body Text Indent 2"/>
    <w:basedOn w:val="a"/>
    <w:link w:val="22"/>
    <w:semiHidden/>
    <w:rsid w:val="00626353"/>
    <w:pPr>
      <w:spacing w:after="120" w:line="480" w:lineRule="auto"/>
      <w:ind w:left="283"/>
    </w:pPr>
    <w:rPr>
      <w:rFonts w:ascii="Times New Roman" w:eastAsia="Calibri" w:hAnsi="Times New Roman"/>
      <w:sz w:val="24"/>
      <w:szCs w:val="20"/>
      <w:lang w:eastAsia="ru-RU"/>
    </w:rPr>
  </w:style>
  <w:style w:type="character" w:customStyle="1" w:styleId="22">
    <w:name w:val="Основной текст с отступом 2 Знак"/>
    <w:link w:val="21"/>
    <w:semiHidden/>
    <w:locked/>
    <w:rsid w:val="00626353"/>
    <w:rPr>
      <w:rFonts w:ascii="Times New Roman" w:hAnsi="Times New Roman"/>
      <w:sz w:val="24"/>
      <w:lang w:eastAsia="ru-RU"/>
    </w:rPr>
  </w:style>
  <w:style w:type="paragraph" w:customStyle="1" w:styleId="10">
    <w:name w:val="Обычный1"/>
    <w:rsid w:val="00626353"/>
    <w:pPr>
      <w:widowControl w:val="0"/>
      <w:snapToGrid w:val="0"/>
      <w:spacing w:line="420" w:lineRule="auto"/>
      <w:ind w:firstLine="500"/>
      <w:jc w:val="both"/>
    </w:pPr>
    <w:rPr>
      <w:rFonts w:ascii="Times New Roman" w:hAnsi="Times New Roman"/>
      <w:sz w:val="16"/>
    </w:rPr>
  </w:style>
  <w:style w:type="character" w:customStyle="1" w:styleId="FontStyle45">
    <w:name w:val="Font Style45"/>
    <w:rsid w:val="00626353"/>
    <w:rPr>
      <w:rFonts w:ascii="Times New Roman" w:hAnsi="Times New Roman"/>
      <w:sz w:val="26"/>
    </w:rPr>
  </w:style>
  <w:style w:type="character" w:customStyle="1" w:styleId="ebooks-italic">
    <w:name w:val="ebooks-italic"/>
    <w:rsid w:val="00626353"/>
    <w:rPr>
      <w:rFonts w:cs="Times New Roman"/>
    </w:rPr>
  </w:style>
  <w:style w:type="table" w:styleId="a8">
    <w:name w:val="Table Grid"/>
    <w:basedOn w:val="a1"/>
    <w:rsid w:val="00626353"/>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semiHidden/>
    <w:rsid w:val="00626353"/>
    <w:pPr>
      <w:spacing w:after="0" w:line="240" w:lineRule="auto"/>
    </w:pPr>
    <w:rPr>
      <w:rFonts w:ascii="Tahoma" w:eastAsia="Calibri" w:hAnsi="Tahoma"/>
      <w:sz w:val="16"/>
      <w:szCs w:val="20"/>
    </w:rPr>
  </w:style>
  <w:style w:type="character" w:customStyle="1" w:styleId="aa">
    <w:name w:val="Текст выноски Знак"/>
    <w:link w:val="a9"/>
    <w:semiHidden/>
    <w:locked/>
    <w:rsid w:val="00626353"/>
    <w:rPr>
      <w:rFonts w:ascii="Tahoma" w:hAnsi="Tahoma"/>
      <w:sz w:val="16"/>
    </w:rPr>
  </w:style>
  <w:style w:type="character" w:styleId="ab">
    <w:name w:val="Hyperlink"/>
    <w:semiHidden/>
    <w:rsid w:val="00634277"/>
    <w:rPr>
      <w:color w:val="0000FF"/>
      <w:u w:val="single"/>
    </w:rPr>
  </w:style>
  <w:style w:type="character" w:customStyle="1" w:styleId="apple-converted-space">
    <w:name w:val="apple-converted-space"/>
    <w:rsid w:val="00634277"/>
    <w:rPr>
      <w:rFonts w:cs="Times New Roman"/>
    </w:rPr>
  </w:style>
  <w:style w:type="character" w:customStyle="1" w:styleId="st">
    <w:name w:val="st"/>
    <w:rsid w:val="00634277"/>
    <w:rPr>
      <w:rFonts w:cs="Times New Roman"/>
    </w:rPr>
  </w:style>
  <w:style w:type="character" w:styleId="ac">
    <w:name w:val="Emphasis"/>
    <w:qFormat/>
    <w:rsid w:val="00634277"/>
    <w:rPr>
      <w:i/>
    </w:rPr>
  </w:style>
  <w:style w:type="paragraph" w:customStyle="1" w:styleId="Style78">
    <w:name w:val="Style78"/>
    <w:basedOn w:val="a"/>
    <w:rsid w:val="00634277"/>
    <w:pPr>
      <w:widowControl w:val="0"/>
      <w:autoSpaceDE w:val="0"/>
      <w:autoSpaceDN w:val="0"/>
      <w:adjustRightInd w:val="0"/>
      <w:spacing w:after="0" w:line="499" w:lineRule="exact"/>
      <w:ind w:firstLine="1934"/>
    </w:pPr>
    <w:rPr>
      <w:rFonts w:ascii="Times New Roman" w:eastAsia="Calibri" w:hAnsi="Times New Roman"/>
      <w:sz w:val="24"/>
      <w:szCs w:val="24"/>
      <w:lang w:val="ru-RU" w:eastAsia="ru-RU"/>
    </w:rPr>
  </w:style>
  <w:style w:type="character" w:customStyle="1" w:styleId="6">
    <w:name w:val="Подпись к таблице (6)_"/>
    <w:link w:val="60"/>
    <w:locked/>
    <w:rsid w:val="00634277"/>
    <w:rPr>
      <w:rFonts w:ascii="Times New Roman" w:hAnsi="Times New Roman"/>
      <w:b/>
      <w:sz w:val="28"/>
      <w:shd w:val="clear" w:color="auto" w:fill="FFFFFF"/>
    </w:rPr>
  </w:style>
  <w:style w:type="paragraph" w:customStyle="1" w:styleId="60">
    <w:name w:val="Подпись к таблице (6)"/>
    <w:basedOn w:val="a"/>
    <w:link w:val="6"/>
    <w:rsid w:val="00634277"/>
    <w:pPr>
      <w:widowControl w:val="0"/>
      <w:shd w:val="clear" w:color="auto" w:fill="FFFFFF"/>
      <w:spacing w:after="0" w:line="480" w:lineRule="exact"/>
      <w:ind w:hanging="1400"/>
    </w:pPr>
    <w:rPr>
      <w:rFonts w:ascii="Times New Roman" w:eastAsia="Calibri" w:hAnsi="Times New Roman"/>
      <w:b/>
      <w:sz w:val="28"/>
      <w:szCs w:val="20"/>
    </w:rPr>
  </w:style>
  <w:style w:type="character" w:customStyle="1" w:styleId="FontStyle86">
    <w:name w:val="Font Style86"/>
    <w:rsid w:val="00634277"/>
    <w:rPr>
      <w:rFonts w:ascii="Times New Roman" w:hAnsi="Times New Roman"/>
      <w:color w:val="000000"/>
      <w:sz w:val="24"/>
    </w:rPr>
  </w:style>
  <w:style w:type="paragraph" w:styleId="ad">
    <w:name w:val="header"/>
    <w:basedOn w:val="a"/>
    <w:link w:val="ae"/>
    <w:rsid w:val="00143AEC"/>
    <w:pPr>
      <w:tabs>
        <w:tab w:val="center" w:pos="4819"/>
        <w:tab w:val="right" w:pos="9639"/>
      </w:tabs>
      <w:spacing w:after="0" w:line="240" w:lineRule="auto"/>
    </w:pPr>
    <w:rPr>
      <w:rFonts w:eastAsia="Calibri"/>
      <w:sz w:val="20"/>
      <w:szCs w:val="20"/>
    </w:rPr>
  </w:style>
  <w:style w:type="character" w:customStyle="1" w:styleId="ae">
    <w:name w:val="Верхний колонтитул Знак"/>
    <w:link w:val="ad"/>
    <w:locked/>
    <w:rsid w:val="00143AEC"/>
    <w:rPr>
      <w:rFonts w:ascii="Calibri" w:hAnsi="Calibri"/>
    </w:rPr>
  </w:style>
  <w:style w:type="paragraph" w:styleId="af">
    <w:name w:val="footer"/>
    <w:basedOn w:val="a"/>
    <w:link w:val="af0"/>
    <w:rsid w:val="00143AEC"/>
    <w:pPr>
      <w:tabs>
        <w:tab w:val="center" w:pos="4819"/>
        <w:tab w:val="right" w:pos="9639"/>
      </w:tabs>
      <w:spacing w:after="0" w:line="240" w:lineRule="auto"/>
    </w:pPr>
    <w:rPr>
      <w:rFonts w:eastAsia="Calibri"/>
      <w:sz w:val="20"/>
      <w:szCs w:val="20"/>
    </w:rPr>
  </w:style>
  <w:style w:type="character" w:customStyle="1" w:styleId="af0">
    <w:name w:val="Нижний колонтитул Знак"/>
    <w:link w:val="af"/>
    <w:locked/>
    <w:rsid w:val="00143AEC"/>
    <w:rPr>
      <w:rFonts w:ascii="Calibri" w:hAnsi="Calibri"/>
    </w:rPr>
  </w:style>
  <w:style w:type="character" w:styleId="af1">
    <w:name w:val="Strong"/>
    <w:qFormat/>
    <w:rsid w:val="00215A75"/>
    <w:rPr>
      <w:b/>
    </w:rPr>
  </w:style>
  <w:style w:type="character" w:customStyle="1" w:styleId="rvts8">
    <w:name w:val="rvts8"/>
    <w:rsid w:val="00215A75"/>
    <w:rPr>
      <w:rFonts w:ascii="Times New Roman" w:hAnsi="Times New Roman"/>
      <w:sz w:val="28"/>
    </w:rPr>
  </w:style>
  <w:style w:type="character" w:customStyle="1" w:styleId="rvts7">
    <w:name w:val="rvts7"/>
    <w:rsid w:val="00215A75"/>
    <w:rPr>
      <w:rFonts w:ascii="Times New Roman" w:hAnsi="Times New Roman"/>
      <w:b/>
      <w:sz w:val="28"/>
    </w:rPr>
  </w:style>
  <w:style w:type="character" w:customStyle="1" w:styleId="rvts19">
    <w:name w:val="rvts19"/>
    <w:rsid w:val="00215A75"/>
    <w:rPr>
      <w:rFonts w:ascii="Times New Roman" w:hAnsi="Times New Roman"/>
      <w:color w:val="FF0000"/>
      <w:sz w:val="28"/>
    </w:rPr>
  </w:style>
  <w:style w:type="character" w:customStyle="1" w:styleId="23">
    <w:name w:val="Основной текст (2)_"/>
    <w:link w:val="24"/>
    <w:locked/>
    <w:rsid w:val="00215A75"/>
    <w:rPr>
      <w:rFonts w:ascii="Times New Roman" w:hAnsi="Times New Roman"/>
      <w:sz w:val="28"/>
      <w:shd w:val="clear" w:color="auto" w:fill="FFFFFF"/>
    </w:rPr>
  </w:style>
  <w:style w:type="paragraph" w:customStyle="1" w:styleId="24">
    <w:name w:val="Основной текст (2)"/>
    <w:basedOn w:val="a"/>
    <w:link w:val="23"/>
    <w:rsid w:val="00215A75"/>
    <w:pPr>
      <w:widowControl w:val="0"/>
      <w:shd w:val="clear" w:color="auto" w:fill="FFFFFF"/>
      <w:spacing w:after="0" w:line="480" w:lineRule="exact"/>
      <w:jc w:val="both"/>
    </w:pPr>
    <w:rPr>
      <w:rFonts w:ascii="Times New Roman" w:eastAsia="Calibri" w:hAnsi="Times New Roman"/>
      <w:sz w:val="28"/>
      <w:szCs w:val="20"/>
    </w:rPr>
  </w:style>
  <w:style w:type="character" w:customStyle="1" w:styleId="shorttext">
    <w:name w:val="short_text"/>
    <w:rsid w:val="00112B01"/>
  </w:style>
  <w:style w:type="character" w:customStyle="1" w:styleId="m3447035630945935303xfmc1">
    <w:name w:val="m_3447035630945935303xfmc1"/>
    <w:rsid w:val="000B40F0"/>
    <w:rPr>
      <w:rFonts w:cs="Times New Roman"/>
    </w:rPr>
  </w:style>
  <w:style w:type="character" w:customStyle="1" w:styleId="FontStyle142">
    <w:name w:val="Font Style142"/>
    <w:rsid w:val="00B21303"/>
    <w:rPr>
      <w:rFonts w:ascii="Times New Roman" w:hAnsi="Times New Roman"/>
      <w:sz w:val="26"/>
    </w:rPr>
  </w:style>
  <w:style w:type="paragraph" w:customStyle="1" w:styleId="Style60">
    <w:name w:val="Style60"/>
    <w:basedOn w:val="a"/>
    <w:rsid w:val="00B21303"/>
    <w:pPr>
      <w:widowControl w:val="0"/>
      <w:autoSpaceDE w:val="0"/>
      <w:autoSpaceDN w:val="0"/>
      <w:adjustRightInd w:val="0"/>
      <w:spacing w:after="0" w:line="494" w:lineRule="exact"/>
      <w:ind w:firstLine="806"/>
      <w:jc w:val="both"/>
    </w:pPr>
    <w:rPr>
      <w:rFonts w:ascii="Times New Roman" w:eastAsia="Calibri" w:hAnsi="Times New Roman"/>
      <w:sz w:val="24"/>
      <w:szCs w:val="24"/>
      <w:lang w:val="ru-RU" w:eastAsia="ru-RU"/>
    </w:rPr>
  </w:style>
  <w:style w:type="character" w:styleId="af2">
    <w:name w:val="page number"/>
    <w:rsid w:val="00D40A8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5.bin"/><Relationship Id="rId21" Type="http://schemas.openxmlformats.org/officeDocument/2006/relationships/oleObject" Target="embeddings/oleObject5.bin"/><Relationship Id="rId42" Type="http://schemas.openxmlformats.org/officeDocument/2006/relationships/oleObject" Target="embeddings/oleObject14.bin"/><Relationship Id="rId63" Type="http://schemas.openxmlformats.org/officeDocument/2006/relationships/image" Target="media/image25.emf"/><Relationship Id="rId84" Type="http://schemas.openxmlformats.org/officeDocument/2006/relationships/chart" Target="charts/chart18.xml"/><Relationship Id="rId138" Type="http://schemas.openxmlformats.org/officeDocument/2006/relationships/oleObject" Target="embeddings/oleObject55.bin"/><Relationship Id="rId159" Type="http://schemas.openxmlformats.org/officeDocument/2006/relationships/image" Target="media/image66.emf"/><Relationship Id="rId170" Type="http://schemas.openxmlformats.org/officeDocument/2006/relationships/oleObject" Target="embeddings/oleObject71.bin"/><Relationship Id="rId191" Type="http://schemas.openxmlformats.org/officeDocument/2006/relationships/image" Target="media/image82.emf"/><Relationship Id="rId205" Type="http://schemas.openxmlformats.org/officeDocument/2006/relationships/image" Target="media/image89.emf"/><Relationship Id="rId226" Type="http://schemas.openxmlformats.org/officeDocument/2006/relationships/image" Target="media/image98.emf"/><Relationship Id="rId247" Type="http://schemas.openxmlformats.org/officeDocument/2006/relationships/image" Target="media/image108.emf"/><Relationship Id="rId107" Type="http://schemas.openxmlformats.org/officeDocument/2006/relationships/image" Target="media/image41.emf"/><Relationship Id="rId268" Type="http://schemas.openxmlformats.org/officeDocument/2006/relationships/image" Target="media/image115.emf"/><Relationship Id="rId11" Type="http://schemas.openxmlformats.org/officeDocument/2006/relationships/chart" Target="charts/chart5.xml"/><Relationship Id="rId32" Type="http://schemas.openxmlformats.org/officeDocument/2006/relationships/image" Target="media/image11.emf"/><Relationship Id="rId53" Type="http://schemas.openxmlformats.org/officeDocument/2006/relationships/image" Target="media/image20.emf"/><Relationship Id="rId74" Type="http://schemas.openxmlformats.org/officeDocument/2006/relationships/image" Target="media/image29.emf"/><Relationship Id="rId128" Type="http://schemas.openxmlformats.org/officeDocument/2006/relationships/oleObject" Target="embeddings/oleObject50.bin"/><Relationship Id="rId149" Type="http://schemas.openxmlformats.org/officeDocument/2006/relationships/image" Target="media/image61.emf"/><Relationship Id="rId5" Type="http://schemas.openxmlformats.org/officeDocument/2006/relationships/footnotes" Target="footnotes.xml"/><Relationship Id="rId95" Type="http://schemas.openxmlformats.org/officeDocument/2006/relationships/image" Target="media/image35.emf"/><Relationship Id="rId160" Type="http://schemas.openxmlformats.org/officeDocument/2006/relationships/oleObject" Target="embeddings/oleObject66.bin"/><Relationship Id="rId181" Type="http://schemas.openxmlformats.org/officeDocument/2006/relationships/image" Target="media/image77.emf"/><Relationship Id="rId216" Type="http://schemas.openxmlformats.org/officeDocument/2006/relationships/oleObject" Target="embeddings/oleObject94.bin"/><Relationship Id="rId237" Type="http://schemas.openxmlformats.org/officeDocument/2006/relationships/image" Target="media/image103.emf"/><Relationship Id="rId258" Type="http://schemas.openxmlformats.org/officeDocument/2006/relationships/chart" Target="charts/chart30.xml"/><Relationship Id="rId279" Type="http://schemas.openxmlformats.org/officeDocument/2006/relationships/image" Target="media/image124.jpeg"/><Relationship Id="rId22" Type="http://schemas.openxmlformats.org/officeDocument/2006/relationships/image" Target="media/image6.emf"/><Relationship Id="rId43" Type="http://schemas.openxmlformats.org/officeDocument/2006/relationships/image" Target="media/image15.emf"/><Relationship Id="rId64" Type="http://schemas.openxmlformats.org/officeDocument/2006/relationships/oleObject" Target="embeddings/oleObject25.bin"/><Relationship Id="rId118" Type="http://schemas.openxmlformats.org/officeDocument/2006/relationships/chart" Target="charts/chart22.xml"/><Relationship Id="rId139" Type="http://schemas.openxmlformats.org/officeDocument/2006/relationships/image" Target="media/image56.emf"/><Relationship Id="rId85" Type="http://schemas.openxmlformats.org/officeDocument/2006/relationships/image" Target="media/image31.emf"/><Relationship Id="rId150" Type="http://schemas.openxmlformats.org/officeDocument/2006/relationships/oleObject" Target="embeddings/oleObject61.bin"/><Relationship Id="rId171" Type="http://schemas.openxmlformats.org/officeDocument/2006/relationships/image" Target="media/image72.emf"/><Relationship Id="rId192" Type="http://schemas.openxmlformats.org/officeDocument/2006/relationships/oleObject" Target="embeddings/oleObject82.bin"/><Relationship Id="rId206" Type="http://schemas.openxmlformats.org/officeDocument/2006/relationships/oleObject" Target="embeddings/oleObject89.bin"/><Relationship Id="rId227" Type="http://schemas.openxmlformats.org/officeDocument/2006/relationships/oleObject" Target="embeddings/oleObject98.bin"/><Relationship Id="rId248" Type="http://schemas.openxmlformats.org/officeDocument/2006/relationships/oleObject" Target="embeddings/oleObject108.bin"/><Relationship Id="rId269" Type="http://schemas.openxmlformats.org/officeDocument/2006/relationships/oleObject" Target="embeddings/oleObject114.bin"/><Relationship Id="rId12" Type="http://schemas.openxmlformats.org/officeDocument/2006/relationships/image" Target="media/image1.emf"/><Relationship Id="rId33" Type="http://schemas.openxmlformats.org/officeDocument/2006/relationships/oleObject" Target="embeddings/oleObject11.bin"/><Relationship Id="rId108" Type="http://schemas.openxmlformats.org/officeDocument/2006/relationships/oleObject" Target="embeddings/oleObject41.bin"/><Relationship Id="rId129" Type="http://schemas.openxmlformats.org/officeDocument/2006/relationships/image" Target="media/image51.emf"/><Relationship Id="rId280" Type="http://schemas.openxmlformats.org/officeDocument/2006/relationships/header" Target="header1.xml"/><Relationship Id="rId54" Type="http://schemas.openxmlformats.org/officeDocument/2006/relationships/oleObject" Target="embeddings/oleObject20.bin"/><Relationship Id="rId75" Type="http://schemas.openxmlformats.org/officeDocument/2006/relationships/oleObject" Target="embeddings/oleObject29.bin"/><Relationship Id="rId96" Type="http://schemas.openxmlformats.org/officeDocument/2006/relationships/oleObject" Target="embeddings/oleObject35.bin"/><Relationship Id="rId140" Type="http://schemas.openxmlformats.org/officeDocument/2006/relationships/oleObject" Target="embeddings/oleObject56.bin"/><Relationship Id="rId161" Type="http://schemas.openxmlformats.org/officeDocument/2006/relationships/image" Target="media/image67.emf"/><Relationship Id="rId182" Type="http://schemas.openxmlformats.org/officeDocument/2006/relationships/oleObject" Target="embeddings/oleObject77.bin"/><Relationship Id="rId217" Type="http://schemas.openxmlformats.org/officeDocument/2006/relationships/chart" Target="charts/chart23.xml"/><Relationship Id="rId6" Type="http://schemas.openxmlformats.org/officeDocument/2006/relationships/endnotes" Target="endnotes.xml"/><Relationship Id="rId238" Type="http://schemas.openxmlformats.org/officeDocument/2006/relationships/oleObject" Target="embeddings/oleObject103.bin"/><Relationship Id="rId259" Type="http://schemas.openxmlformats.org/officeDocument/2006/relationships/chart" Target="charts/chart31.xml"/><Relationship Id="rId23" Type="http://schemas.openxmlformats.org/officeDocument/2006/relationships/oleObject" Target="embeddings/oleObject6.bin"/><Relationship Id="rId119" Type="http://schemas.openxmlformats.org/officeDocument/2006/relationships/image" Target="media/image46.emf"/><Relationship Id="rId270" Type="http://schemas.openxmlformats.org/officeDocument/2006/relationships/chart" Target="charts/chart35.xml"/><Relationship Id="rId44" Type="http://schemas.openxmlformats.org/officeDocument/2006/relationships/oleObject" Target="embeddings/oleObject15.bin"/><Relationship Id="rId65" Type="http://schemas.openxmlformats.org/officeDocument/2006/relationships/chart" Target="charts/chart9.xml"/><Relationship Id="rId86" Type="http://schemas.openxmlformats.org/officeDocument/2006/relationships/oleObject" Target="embeddings/oleObject31.bin"/><Relationship Id="rId130" Type="http://schemas.openxmlformats.org/officeDocument/2006/relationships/oleObject" Target="embeddings/oleObject51.bin"/><Relationship Id="rId151" Type="http://schemas.openxmlformats.org/officeDocument/2006/relationships/image" Target="media/image62.emf"/><Relationship Id="rId172" Type="http://schemas.openxmlformats.org/officeDocument/2006/relationships/oleObject" Target="embeddings/oleObject72.bin"/><Relationship Id="rId193" Type="http://schemas.openxmlformats.org/officeDocument/2006/relationships/image" Target="media/image83.emf"/><Relationship Id="rId207" Type="http://schemas.openxmlformats.org/officeDocument/2006/relationships/image" Target="media/image90.emf"/><Relationship Id="rId228" Type="http://schemas.openxmlformats.org/officeDocument/2006/relationships/image" Target="media/image99.emf"/><Relationship Id="rId249" Type="http://schemas.openxmlformats.org/officeDocument/2006/relationships/image" Target="media/image109.emf"/><Relationship Id="rId13" Type="http://schemas.openxmlformats.org/officeDocument/2006/relationships/oleObject" Target="embeddings/oleObject1.bin"/><Relationship Id="rId18" Type="http://schemas.openxmlformats.org/officeDocument/2006/relationships/image" Target="media/image4.emf"/><Relationship Id="rId39" Type="http://schemas.openxmlformats.org/officeDocument/2006/relationships/oleObject" Target="embeddings/oleObject13.bin"/><Relationship Id="rId109" Type="http://schemas.openxmlformats.org/officeDocument/2006/relationships/chart" Target="charts/chart21.xml"/><Relationship Id="rId260" Type="http://schemas.openxmlformats.org/officeDocument/2006/relationships/chart" Target="charts/chart32.xml"/><Relationship Id="rId265" Type="http://schemas.openxmlformats.org/officeDocument/2006/relationships/image" Target="media/image113.png"/><Relationship Id="rId281" Type="http://schemas.openxmlformats.org/officeDocument/2006/relationships/header" Target="header2.xml"/><Relationship Id="rId34" Type="http://schemas.openxmlformats.org/officeDocument/2006/relationships/image" Target="media/image12.emf"/><Relationship Id="rId50" Type="http://schemas.openxmlformats.org/officeDocument/2006/relationships/oleObject" Target="embeddings/oleObject18.bin"/><Relationship Id="rId55" Type="http://schemas.openxmlformats.org/officeDocument/2006/relationships/image" Target="media/image21.emf"/><Relationship Id="rId76" Type="http://schemas.openxmlformats.org/officeDocument/2006/relationships/chart" Target="charts/chart12.xml"/><Relationship Id="rId97" Type="http://schemas.openxmlformats.org/officeDocument/2006/relationships/image" Target="media/image36.emf"/><Relationship Id="rId104" Type="http://schemas.openxmlformats.org/officeDocument/2006/relationships/oleObject" Target="embeddings/oleObject39.bin"/><Relationship Id="rId120" Type="http://schemas.openxmlformats.org/officeDocument/2006/relationships/oleObject" Target="embeddings/oleObject46.bin"/><Relationship Id="rId125" Type="http://schemas.openxmlformats.org/officeDocument/2006/relationships/image" Target="media/image49.emf"/><Relationship Id="rId141" Type="http://schemas.openxmlformats.org/officeDocument/2006/relationships/image" Target="media/image57.emf"/><Relationship Id="rId146" Type="http://schemas.openxmlformats.org/officeDocument/2006/relationships/oleObject" Target="embeddings/oleObject59.bin"/><Relationship Id="rId167" Type="http://schemas.openxmlformats.org/officeDocument/2006/relationships/image" Target="media/image70.emf"/><Relationship Id="rId188" Type="http://schemas.openxmlformats.org/officeDocument/2006/relationships/oleObject" Target="embeddings/oleObject80.bin"/><Relationship Id="rId7" Type="http://schemas.openxmlformats.org/officeDocument/2006/relationships/chart" Target="charts/chart1.xml"/><Relationship Id="rId71" Type="http://schemas.openxmlformats.org/officeDocument/2006/relationships/image" Target="media/image28.emf"/><Relationship Id="rId92" Type="http://schemas.openxmlformats.org/officeDocument/2006/relationships/chart" Target="charts/chart20.xml"/><Relationship Id="rId162" Type="http://schemas.openxmlformats.org/officeDocument/2006/relationships/oleObject" Target="embeddings/oleObject67.bin"/><Relationship Id="rId183" Type="http://schemas.openxmlformats.org/officeDocument/2006/relationships/image" Target="media/image78.emf"/><Relationship Id="rId213" Type="http://schemas.openxmlformats.org/officeDocument/2006/relationships/image" Target="media/image93.emf"/><Relationship Id="rId218" Type="http://schemas.openxmlformats.org/officeDocument/2006/relationships/image" Target="media/image95.emf"/><Relationship Id="rId234" Type="http://schemas.openxmlformats.org/officeDocument/2006/relationships/oleObject" Target="embeddings/oleObject101.bin"/><Relationship Id="rId239" Type="http://schemas.openxmlformats.org/officeDocument/2006/relationships/image" Target="media/image104.emf"/><Relationship Id="rId2" Type="http://schemas.openxmlformats.org/officeDocument/2006/relationships/styles" Target="styles.xml"/><Relationship Id="rId29" Type="http://schemas.openxmlformats.org/officeDocument/2006/relationships/oleObject" Target="embeddings/oleObject9.bin"/><Relationship Id="rId250" Type="http://schemas.openxmlformats.org/officeDocument/2006/relationships/oleObject" Target="embeddings/oleObject109.bin"/><Relationship Id="rId255" Type="http://schemas.openxmlformats.org/officeDocument/2006/relationships/chart" Target="charts/chart27.xml"/><Relationship Id="rId271" Type="http://schemas.openxmlformats.org/officeDocument/2006/relationships/image" Target="media/image116.jpeg"/><Relationship Id="rId276" Type="http://schemas.openxmlformats.org/officeDocument/2006/relationships/image" Target="media/image121.jpeg"/><Relationship Id="rId24" Type="http://schemas.openxmlformats.org/officeDocument/2006/relationships/image" Target="media/image7.emf"/><Relationship Id="rId40" Type="http://schemas.openxmlformats.org/officeDocument/2006/relationships/chart" Target="charts/chart8.xml"/><Relationship Id="rId45" Type="http://schemas.openxmlformats.org/officeDocument/2006/relationships/image" Target="media/image16.emf"/><Relationship Id="rId66" Type="http://schemas.openxmlformats.org/officeDocument/2006/relationships/chart" Target="charts/chart10.xml"/><Relationship Id="rId87" Type="http://schemas.openxmlformats.org/officeDocument/2006/relationships/chart" Target="charts/chart19.xml"/><Relationship Id="rId110" Type="http://schemas.openxmlformats.org/officeDocument/2006/relationships/image" Target="media/image42.emf"/><Relationship Id="rId115" Type="http://schemas.openxmlformats.org/officeDocument/2006/relationships/oleObject" Target="embeddings/oleObject44.bin"/><Relationship Id="rId131" Type="http://schemas.openxmlformats.org/officeDocument/2006/relationships/image" Target="media/image52.emf"/><Relationship Id="rId136" Type="http://schemas.openxmlformats.org/officeDocument/2006/relationships/oleObject" Target="embeddings/oleObject54.bin"/><Relationship Id="rId157" Type="http://schemas.openxmlformats.org/officeDocument/2006/relationships/image" Target="media/image65.emf"/><Relationship Id="rId178" Type="http://schemas.openxmlformats.org/officeDocument/2006/relationships/oleObject" Target="embeddings/oleObject75.bin"/><Relationship Id="rId61" Type="http://schemas.openxmlformats.org/officeDocument/2006/relationships/image" Target="media/image24.emf"/><Relationship Id="rId82" Type="http://schemas.openxmlformats.org/officeDocument/2006/relationships/chart" Target="charts/chart16.xml"/><Relationship Id="rId152" Type="http://schemas.openxmlformats.org/officeDocument/2006/relationships/oleObject" Target="embeddings/oleObject62.bin"/><Relationship Id="rId173" Type="http://schemas.openxmlformats.org/officeDocument/2006/relationships/image" Target="media/image73.emf"/><Relationship Id="rId194" Type="http://schemas.openxmlformats.org/officeDocument/2006/relationships/oleObject" Target="embeddings/oleObject83.bin"/><Relationship Id="rId199" Type="http://schemas.openxmlformats.org/officeDocument/2006/relationships/image" Target="media/image86.emf"/><Relationship Id="rId203" Type="http://schemas.openxmlformats.org/officeDocument/2006/relationships/image" Target="media/image88.emf"/><Relationship Id="rId208" Type="http://schemas.openxmlformats.org/officeDocument/2006/relationships/oleObject" Target="embeddings/oleObject90.bin"/><Relationship Id="rId229" Type="http://schemas.openxmlformats.org/officeDocument/2006/relationships/oleObject" Target="embeddings/oleObject99.bin"/><Relationship Id="rId19" Type="http://schemas.openxmlformats.org/officeDocument/2006/relationships/oleObject" Target="embeddings/oleObject4.bin"/><Relationship Id="rId224" Type="http://schemas.openxmlformats.org/officeDocument/2006/relationships/image" Target="media/image97.emf"/><Relationship Id="rId240" Type="http://schemas.openxmlformats.org/officeDocument/2006/relationships/oleObject" Target="embeddings/oleObject104.bin"/><Relationship Id="rId245" Type="http://schemas.openxmlformats.org/officeDocument/2006/relationships/image" Target="media/image107.emf"/><Relationship Id="rId261" Type="http://schemas.openxmlformats.org/officeDocument/2006/relationships/chart" Target="charts/chart33.xml"/><Relationship Id="rId266" Type="http://schemas.openxmlformats.org/officeDocument/2006/relationships/image" Target="media/image114.emf"/><Relationship Id="rId14" Type="http://schemas.openxmlformats.org/officeDocument/2006/relationships/image" Target="media/image2.emf"/><Relationship Id="rId30" Type="http://schemas.openxmlformats.org/officeDocument/2006/relationships/image" Target="media/image10.emf"/><Relationship Id="rId35" Type="http://schemas.openxmlformats.org/officeDocument/2006/relationships/oleObject" Target="embeddings/oleObject12.bin"/><Relationship Id="rId56" Type="http://schemas.openxmlformats.org/officeDocument/2006/relationships/oleObject" Target="embeddings/oleObject21.bin"/><Relationship Id="rId77" Type="http://schemas.openxmlformats.org/officeDocument/2006/relationships/chart" Target="charts/chart13.xml"/><Relationship Id="rId100" Type="http://schemas.openxmlformats.org/officeDocument/2006/relationships/oleObject" Target="embeddings/oleObject37.bin"/><Relationship Id="rId105" Type="http://schemas.openxmlformats.org/officeDocument/2006/relationships/image" Target="media/image40.emf"/><Relationship Id="rId126" Type="http://schemas.openxmlformats.org/officeDocument/2006/relationships/oleObject" Target="embeddings/oleObject49.bin"/><Relationship Id="rId147" Type="http://schemas.openxmlformats.org/officeDocument/2006/relationships/image" Target="media/image60.emf"/><Relationship Id="rId168" Type="http://schemas.openxmlformats.org/officeDocument/2006/relationships/oleObject" Target="embeddings/oleObject70.bin"/><Relationship Id="rId282" Type="http://schemas.openxmlformats.org/officeDocument/2006/relationships/fontTable" Target="fontTable.xml"/><Relationship Id="rId8" Type="http://schemas.openxmlformats.org/officeDocument/2006/relationships/chart" Target="charts/chart2.xml"/><Relationship Id="rId51" Type="http://schemas.openxmlformats.org/officeDocument/2006/relationships/image" Target="media/image19.emf"/><Relationship Id="rId72" Type="http://schemas.openxmlformats.org/officeDocument/2006/relationships/oleObject" Target="embeddings/oleObject28.bin"/><Relationship Id="rId93" Type="http://schemas.openxmlformats.org/officeDocument/2006/relationships/image" Target="media/image34.emf"/><Relationship Id="rId98" Type="http://schemas.openxmlformats.org/officeDocument/2006/relationships/oleObject" Target="embeddings/oleObject36.bin"/><Relationship Id="rId121" Type="http://schemas.openxmlformats.org/officeDocument/2006/relationships/image" Target="media/image47.emf"/><Relationship Id="rId142" Type="http://schemas.openxmlformats.org/officeDocument/2006/relationships/oleObject" Target="embeddings/oleObject57.bin"/><Relationship Id="rId163" Type="http://schemas.openxmlformats.org/officeDocument/2006/relationships/image" Target="media/image68.emf"/><Relationship Id="rId184" Type="http://schemas.openxmlformats.org/officeDocument/2006/relationships/oleObject" Target="embeddings/oleObject78.bin"/><Relationship Id="rId189" Type="http://schemas.openxmlformats.org/officeDocument/2006/relationships/image" Target="media/image81.emf"/><Relationship Id="rId219" Type="http://schemas.openxmlformats.org/officeDocument/2006/relationships/oleObject" Target="embeddings/oleObject95.bin"/><Relationship Id="rId3" Type="http://schemas.openxmlformats.org/officeDocument/2006/relationships/settings" Target="settings.xml"/><Relationship Id="rId214" Type="http://schemas.openxmlformats.org/officeDocument/2006/relationships/oleObject" Target="embeddings/oleObject93.bin"/><Relationship Id="rId230" Type="http://schemas.openxmlformats.org/officeDocument/2006/relationships/image" Target="media/image100.emf"/><Relationship Id="rId235" Type="http://schemas.openxmlformats.org/officeDocument/2006/relationships/image" Target="media/image102.emf"/><Relationship Id="rId251" Type="http://schemas.openxmlformats.org/officeDocument/2006/relationships/image" Target="media/image110.emf"/><Relationship Id="rId256" Type="http://schemas.openxmlformats.org/officeDocument/2006/relationships/chart" Target="charts/chart28.xml"/><Relationship Id="rId277" Type="http://schemas.openxmlformats.org/officeDocument/2006/relationships/image" Target="media/image122.jpeg"/><Relationship Id="rId25" Type="http://schemas.openxmlformats.org/officeDocument/2006/relationships/oleObject" Target="embeddings/oleObject7.bin"/><Relationship Id="rId46" Type="http://schemas.openxmlformats.org/officeDocument/2006/relationships/oleObject" Target="embeddings/oleObject16.bin"/><Relationship Id="rId67" Type="http://schemas.openxmlformats.org/officeDocument/2006/relationships/image" Target="media/image26.emf"/><Relationship Id="rId116" Type="http://schemas.openxmlformats.org/officeDocument/2006/relationships/image" Target="media/image45.emf"/><Relationship Id="rId137" Type="http://schemas.openxmlformats.org/officeDocument/2006/relationships/image" Target="media/image55.emf"/><Relationship Id="rId158" Type="http://schemas.openxmlformats.org/officeDocument/2006/relationships/oleObject" Target="embeddings/oleObject65.bin"/><Relationship Id="rId272" Type="http://schemas.openxmlformats.org/officeDocument/2006/relationships/image" Target="media/image117.jpeg"/><Relationship Id="rId20" Type="http://schemas.openxmlformats.org/officeDocument/2006/relationships/image" Target="media/image5.emf"/><Relationship Id="rId41" Type="http://schemas.openxmlformats.org/officeDocument/2006/relationships/image" Target="media/image14.emf"/><Relationship Id="rId62" Type="http://schemas.openxmlformats.org/officeDocument/2006/relationships/oleObject" Target="embeddings/oleObject24.bin"/><Relationship Id="rId83" Type="http://schemas.openxmlformats.org/officeDocument/2006/relationships/chart" Target="charts/chart17.xml"/><Relationship Id="rId88" Type="http://schemas.openxmlformats.org/officeDocument/2006/relationships/image" Target="media/image32.emf"/><Relationship Id="rId111" Type="http://schemas.openxmlformats.org/officeDocument/2006/relationships/oleObject" Target="embeddings/oleObject42.bin"/><Relationship Id="rId132" Type="http://schemas.openxmlformats.org/officeDocument/2006/relationships/oleObject" Target="embeddings/oleObject52.bin"/><Relationship Id="rId153" Type="http://schemas.openxmlformats.org/officeDocument/2006/relationships/image" Target="media/image63.emf"/><Relationship Id="rId174" Type="http://schemas.openxmlformats.org/officeDocument/2006/relationships/oleObject" Target="embeddings/oleObject73.bin"/><Relationship Id="rId179" Type="http://schemas.openxmlformats.org/officeDocument/2006/relationships/image" Target="media/image76.emf"/><Relationship Id="rId195" Type="http://schemas.openxmlformats.org/officeDocument/2006/relationships/image" Target="media/image84.emf"/><Relationship Id="rId209" Type="http://schemas.openxmlformats.org/officeDocument/2006/relationships/image" Target="media/image91.emf"/><Relationship Id="rId190" Type="http://schemas.openxmlformats.org/officeDocument/2006/relationships/oleObject" Target="embeddings/oleObject81.bin"/><Relationship Id="rId204" Type="http://schemas.openxmlformats.org/officeDocument/2006/relationships/oleObject" Target="embeddings/oleObject88.bin"/><Relationship Id="rId220" Type="http://schemas.openxmlformats.org/officeDocument/2006/relationships/image" Target="media/image96.emf"/><Relationship Id="rId225" Type="http://schemas.openxmlformats.org/officeDocument/2006/relationships/oleObject" Target="embeddings/oleObject97.bin"/><Relationship Id="rId241" Type="http://schemas.openxmlformats.org/officeDocument/2006/relationships/image" Target="media/image105.emf"/><Relationship Id="rId246" Type="http://schemas.openxmlformats.org/officeDocument/2006/relationships/oleObject" Target="embeddings/oleObject107.bin"/><Relationship Id="rId267" Type="http://schemas.openxmlformats.org/officeDocument/2006/relationships/oleObject" Target="embeddings/oleObject113.bin"/><Relationship Id="rId15" Type="http://schemas.openxmlformats.org/officeDocument/2006/relationships/oleObject" Target="embeddings/oleObject2.bin"/><Relationship Id="rId36" Type="http://schemas.openxmlformats.org/officeDocument/2006/relationships/chart" Target="charts/chart6.xml"/><Relationship Id="rId57" Type="http://schemas.openxmlformats.org/officeDocument/2006/relationships/image" Target="media/image22.emf"/><Relationship Id="rId106" Type="http://schemas.openxmlformats.org/officeDocument/2006/relationships/oleObject" Target="embeddings/oleObject40.bin"/><Relationship Id="rId127" Type="http://schemas.openxmlformats.org/officeDocument/2006/relationships/image" Target="media/image50.emf"/><Relationship Id="rId262" Type="http://schemas.openxmlformats.org/officeDocument/2006/relationships/chart" Target="charts/chart34.xml"/><Relationship Id="rId283" Type="http://schemas.openxmlformats.org/officeDocument/2006/relationships/theme" Target="theme/theme1.xml"/><Relationship Id="rId10" Type="http://schemas.openxmlformats.org/officeDocument/2006/relationships/chart" Target="charts/chart4.xml"/><Relationship Id="rId31" Type="http://schemas.openxmlformats.org/officeDocument/2006/relationships/oleObject" Target="embeddings/oleObject10.bin"/><Relationship Id="rId52" Type="http://schemas.openxmlformats.org/officeDocument/2006/relationships/oleObject" Target="embeddings/oleObject19.bin"/><Relationship Id="rId73" Type="http://schemas.openxmlformats.org/officeDocument/2006/relationships/chart" Target="charts/chart11.xml"/><Relationship Id="rId78" Type="http://schemas.openxmlformats.org/officeDocument/2006/relationships/image" Target="media/image30.emf"/><Relationship Id="rId94" Type="http://schemas.openxmlformats.org/officeDocument/2006/relationships/oleObject" Target="embeddings/oleObject34.bin"/><Relationship Id="rId99" Type="http://schemas.openxmlformats.org/officeDocument/2006/relationships/image" Target="media/image37.emf"/><Relationship Id="rId101" Type="http://schemas.openxmlformats.org/officeDocument/2006/relationships/image" Target="media/image38.emf"/><Relationship Id="rId122" Type="http://schemas.openxmlformats.org/officeDocument/2006/relationships/oleObject" Target="embeddings/oleObject47.bin"/><Relationship Id="rId143" Type="http://schemas.openxmlformats.org/officeDocument/2006/relationships/image" Target="media/image58.emf"/><Relationship Id="rId148" Type="http://schemas.openxmlformats.org/officeDocument/2006/relationships/oleObject" Target="embeddings/oleObject60.bin"/><Relationship Id="rId164" Type="http://schemas.openxmlformats.org/officeDocument/2006/relationships/oleObject" Target="embeddings/oleObject68.bin"/><Relationship Id="rId169" Type="http://schemas.openxmlformats.org/officeDocument/2006/relationships/image" Target="media/image71.emf"/><Relationship Id="rId185" Type="http://schemas.openxmlformats.org/officeDocument/2006/relationships/image" Target="media/image79.emf"/><Relationship Id="rId4" Type="http://schemas.openxmlformats.org/officeDocument/2006/relationships/webSettings" Target="webSettings.xml"/><Relationship Id="rId9" Type="http://schemas.openxmlformats.org/officeDocument/2006/relationships/chart" Target="charts/chart3.xml"/><Relationship Id="rId180" Type="http://schemas.openxmlformats.org/officeDocument/2006/relationships/oleObject" Target="embeddings/oleObject76.bin"/><Relationship Id="rId210" Type="http://schemas.openxmlformats.org/officeDocument/2006/relationships/oleObject" Target="embeddings/oleObject91.bin"/><Relationship Id="rId215" Type="http://schemas.openxmlformats.org/officeDocument/2006/relationships/image" Target="media/image94.emf"/><Relationship Id="rId236" Type="http://schemas.openxmlformats.org/officeDocument/2006/relationships/oleObject" Target="embeddings/oleObject102.bin"/><Relationship Id="rId257" Type="http://schemas.openxmlformats.org/officeDocument/2006/relationships/chart" Target="charts/chart29.xml"/><Relationship Id="rId278" Type="http://schemas.openxmlformats.org/officeDocument/2006/relationships/image" Target="media/image123.jpeg"/><Relationship Id="rId26" Type="http://schemas.openxmlformats.org/officeDocument/2006/relationships/image" Target="media/image8.emf"/><Relationship Id="rId231" Type="http://schemas.openxmlformats.org/officeDocument/2006/relationships/oleObject" Target="embeddings/oleObject100.bin"/><Relationship Id="rId252" Type="http://schemas.openxmlformats.org/officeDocument/2006/relationships/oleObject" Target="embeddings/oleObject110.bin"/><Relationship Id="rId273" Type="http://schemas.openxmlformats.org/officeDocument/2006/relationships/image" Target="media/image118.jpeg"/><Relationship Id="rId47" Type="http://schemas.openxmlformats.org/officeDocument/2006/relationships/image" Target="media/image17.emf"/><Relationship Id="rId68" Type="http://schemas.openxmlformats.org/officeDocument/2006/relationships/oleObject" Target="embeddings/oleObject26.bin"/><Relationship Id="rId89" Type="http://schemas.openxmlformats.org/officeDocument/2006/relationships/oleObject" Target="embeddings/oleObject32.bin"/><Relationship Id="rId112" Type="http://schemas.openxmlformats.org/officeDocument/2006/relationships/image" Target="media/image43.emf"/><Relationship Id="rId133" Type="http://schemas.openxmlformats.org/officeDocument/2006/relationships/image" Target="media/image53.emf"/><Relationship Id="rId154" Type="http://schemas.openxmlformats.org/officeDocument/2006/relationships/oleObject" Target="embeddings/oleObject63.bin"/><Relationship Id="rId175" Type="http://schemas.openxmlformats.org/officeDocument/2006/relationships/image" Target="media/image74.emf"/><Relationship Id="rId196" Type="http://schemas.openxmlformats.org/officeDocument/2006/relationships/oleObject" Target="embeddings/oleObject84.bin"/><Relationship Id="rId200" Type="http://schemas.openxmlformats.org/officeDocument/2006/relationships/oleObject" Target="embeddings/oleObject86.bin"/><Relationship Id="rId16" Type="http://schemas.openxmlformats.org/officeDocument/2006/relationships/image" Target="media/image3.emf"/><Relationship Id="rId221" Type="http://schemas.openxmlformats.org/officeDocument/2006/relationships/oleObject" Target="embeddings/oleObject96.bin"/><Relationship Id="rId242" Type="http://schemas.openxmlformats.org/officeDocument/2006/relationships/oleObject" Target="embeddings/oleObject105.bin"/><Relationship Id="rId263" Type="http://schemas.openxmlformats.org/officeDocument/2006/relationships/image" Target="media/image112.emf"/><Relationship Id="rId37" Type="http://schemas.openxmlformats.org/officeDocument/2006/relationships/chart" Target="charts/chart7.xml"/><Relationship Id="rId58" Type="http://schemas.openxmlformats.org/officeDocument/2006/relationships/oleObject" Target="embeddings/oleObject22.bin"/><Relationship Id="rId79" Type="http://schemas.openxmlformats.org/officeDocument/2006/relationships/oleObject" Target="embeddings/oleObject30.bin"/><Relationship Id="rId102" Type="http://schemas.openxmlformats.org/officeDocument/2006/relationships/oleObject" Target="embeddings/oleObject38.bin"/><Relationship Id="rId123" Type="http://schemas.openxmlformats.org/officeDocument/2006/relationships/image" Target="media/image48.emf"/><Relationship Id="rId144" Type="http://schemas.openxmlformats.org/officeDocument/2006/relationships/oleObject" Target="embeddings/oleObject58.bin"/><Relationship Id="rId90" Type="http://schemas.openxmlformats.org/officeDocument/2006/relationships/image" Target="media/image33.emf"/><Relationship Id="rId165" Type="http://schemas.openxmlformats.org/officeDocument/2006/relationships/image" Target="media/image69.emf"/><Relationship Id="rId186" Type="http://schemas.openxmlformats.org/officeDocument/2006/relationships/oleObject" Target="embeddings/oleObject79.bin"/><Relationship Id="rId211" Type="http://schemas.openxmlformats.org/officeDocument/2006/relationships/image" Target="media/image92.emf"/><Relationship Id="rId232" Type="http://schemas.openxmlformats.org/officeDocument/2006/relationships/chart" Target="charts/chart26.xml"/><Relationship Id="rId253" Type="http://schemas.openxmlformats.org/officeDocument/2006/relationships/image" Target="media/image111.emf"/><Relationship Id="rId274" Type="http://schemas.openxmlformats.org/officeDocument/2006/relationships/image" Target="media/image119.jpeg"/><Relationship Id="rId27" Type="http://schemas.openxmlformats.org/officeDocument/2006/relationships/oleObject" Target="embeddings/oleObject8.bin"/><Relationship Id="rId48" Type="http://schemas.openxmlformats.org/officeDocument/2006/relationships/oleObject" Target="embeddings/oleObject17.bin"/><Relationship Id="rId69" Type="http://schemas.openxmlformats.org/officeDocument/2006/relationships/image" Target="media/image27.emf"/><Relationship Id="rId113" Type="http://schemas.openxmlformats.org/officeDocument/2006/relationships/oleObject" Target="embeddings/oleObject43.bin"/><Relationship Id="rId134" Type="http://schemas.openxmlformats.org/officeDocument/2006/relationships/oleObject" Target="embeddings/oleObject53.bin"/><Relationship Id="rId80" Type="http://schemas.openxmlformats.org/officeDocument/2006/relationships/chart" Target="charts/chart14.xml"/><Relationship Id="rId155" Type="http://schemas.openxmlformats.org/officeDocument/2006/relationships/image" Target="media/image64.emf"/><Relationship Id="rId176" Type="http://schemas.openxmlformats.org/officeDocument/2006/relationships/oleObject" Target="embeddings/oleObject74.bin"/><Relationship Id="rId197" Type="http://schemas.openxmlformats.org/officeDocument/2006/relationships/image" Target="media/image85.emf"/><Relationship Id="rId201" Type="http://schemas.openxmlformats.org/officeDocument/2006/relationships/image" Target="media/image87.emf"/><Relationship Id="rId222" Type="http://schemas.openxmlformats.org/officeDocument/2006/relationships/chart" Target="charts/chart24.xml"/><Relationship Id="rId243" Type="http://schemas.openxmlformats.org/officeDocument/2006/relationships/image" Target="media/image106.emf"/><Relationship Id="rId264" Type="http://schemas.openxmlformats.org/officeDocument/2006/relationships/oleObject" Target="embeddings/oleObject112.bin"/><Relationship Id="rId17" Type="http://schemas.openxmlformats.org/officeDocument/2006/relationships/oleObject" Target="embeddings/oleObject3.bin"/><Relationship Id="rId38" Type="http://schemas.openxmlformats.org/officeDocument/2006/relationships/image" Target="media/image13.emf"/><Relationship Id="rId59" Type="http://schemas.openxmlformats.org/officeDocument/2006/relationships/image" Target="media/image23.emf"/><Relationship Id="rId103" Type="http://schemas.openxmlformats.org/officeDocument/2006/relationships/image" Target="media/image39.emf"/><Relationship Id="rId124" Type="http://schemas.openxmlformats.org/officeDocument/2006/relationships/oleObject" Target="embeddings/oleObject48.bin"/><Relationship Id="rId70" Type="http://schemas.openxmlformats.org/officeDocument/2006/relationships/oleObject" Target="embeddings/oleObject27.bin"/><Relationship Id="rId91" Type="http://schemas.openxmlformats.org/officeDocument/2006/relationships/oleObject" Target="embeddings/oleObject33.bin"/><Relationship Id="rId145" Type="http://schemas.openxmlformats.org/officeDocument/2006/relationships/image" Target="media/image59.emf"/><Relationship Id="rId166" Type="http://schemas.openxmlformats.org/officeDocument/2006/relationships/oleObject" Target="embeddings/oleObject69.bin"/><Relationship Id="rId187" Type="http://schemas.openxmlformats.org/officeDocument/2006/relationships/image" Target="media/image80.emf"/><Relationship Id="rId1" Type="http://schemas.openxmlformats.org/officeDocument/2006/relationships/numbering" Target="numbering.xml"/><Relationship Id="rId212" Type="http://schemas.openxmlformats.org/officeDocument/2006/relationships/oleObject" Target="embeddings/oleObject92.bin"/><Relationship Id="rId233" Type="http://schemas.openxmlformats.org/officeDocument/2006/relationships/image" Target="media/image101.emf"/><Relationship Id="rId254" Type="http://schemas.openxmlformats.org/officeDocument/2006/relationships/oleObject" Target="embeddings/oleObject111.bin"/><Relationship Id="rId28" Type="http://schemas.openxmlformats.org/officeDocument/2006/relationships/image" Target="media/image9.emf"/><Relationship Id="rId49" Type="http://schemas.openxmlformats.org/officeDocument/2006/relationships/image" Target="media/image18.emf"/><Relationship Id="rId114" Type="http://schemas.openxmlformats.org/officeDocument/2006/relationships/image" Target="media/image44.emf"/><Relationship Id="rId275" Type="http://schemas.openxmlformats.org/officeDocument/2006/relationships/image" Target="media/image120.jpeg"/><Relationship Id="rId60" Type="http://schemas.openxmlformats.org/officeDocument/2006/relationships/oleObject" Target="embeddings/oleObject23.bin"/><Relationship Id="rId81" Type="http://schemas.openxmlformats.org/officeDocument/2006/relationships/chart" Target="charts/chart15.xml"/><Relationship Id="rId135" Type="http://schemas.openxmlformats.org/officeDocument/2006/relationships/image" Target="media/image54.emf"/><Relationship Id="rId156" Type="http://schemas.openxmlformats.org/officeDocument/2006/relationships/oleObject" Target="embeddings/oleObject64.bin"/><Relationship Id="rId177" Type="http://schemas.openxmlformats.org/officeDocument/2006/relationships/image" Target="media/image75.emf"/><Relationship Id="rId198" Type="http://schemas.openxmlformats.org/officeDocument/2006/relationships/oleObject" Target="embeddings/oleObject85.bin"/><Relationship Id="rId202" Type="http://schemas.openxmlformats.org/officeDocument/2006/relationships/oleObject" Target="embeddings/oleObject87.bin"/><Relationship Id="rId223" Type="http://schemas.openxmlformats.org/officeDocument/2006/relationships/chart" Target="charts/chart25.xml"/><Relationship Id="rId244" Type="http://schemas.openxmlformats.org/officeDocument/2006/relationships/oleObject" Target="embeddings/oleObject106.bin"/></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package" Target="../embeddings/_____Microsoft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package" Target="../embeddings/_____Microsoft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package" Target="../embeddings/_____Microsoft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package" Target="../embeddings/_____Microsoft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package" Target="../embeddings/_____Microsoft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3" Type="http://schemas.openxmlformats.org/officeDocument/2006/relationships/chartUserShapes" Target="../drawings/drawing11.xml"/><Relationship Id="rId2" Type="http://schemas.openxmlformats.org/officeDocument/2006/relationships/package" Target="../embeddings/_____Microsoft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package" Target="../embeddings/_____Microsoft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Microsoft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_____Microsoft_Excel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package" Target="../embeddings/_____Microsoft_Excel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3" Type="http://schemas.openxmlformats.org/officeDocument/2006/relationships/chartUserShapes" Target="../drawings/drawing14.xml"/><Relationship Id="rId2" Type="http://schemas.openxmlformats.org/officeDocument/2006/relationships/package" Target="../embeddings/_____Microsoft_Excel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3" Type="http://schemas.openxmlformats.org/officeDocument/2006/relationships/chartUserShapes" Target="../drawings/drawing15.xml"/><Relationship Id="rId2" Type="http://schemas.openxmlformats.org/officeDocument/2006/relationships/package" Target="../embeddings/_____Microsoft_Excel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3" Type="http://schemas.openxmlformats.org/officeDocument/2006/relationships/chartUserShapes" Target="../drawings/drawing16.xml"/><Relationship Id="rId2" Type="http://schemas.openxmlformats.org/officeDocument/2006/relationships/package" Target="../embeddings/_____Microsoft_Excel24.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3" Type="http://schemas.openxmlformats.org/officeDocument/2006/relationships/chartUserShapes" Target="../drawings/drawing17.xml"/><Relationship Id="rId2" Type="http://schemas.openxmlformats.org/officeDocument/2006/relationships/package" Target="../embeddings/_____Microsoft_Excel25.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_____Microsoft_Excel26.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_____Microsoft_Excel27.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_____Microsoft_Excel2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_____Microsoft_Excel29.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_____Microsoft_Excel30.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_____Microsoft_Excel31.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2" Type="http://schemas.openxmlformats.org/officeDocument/2006/relationships/package" Target="../embeddings/_____Microsoft_Excel32.xlsx"/><Relationship Id="rId1" Type="http://schemas.openxmlformats.org/officeDocument/2006/relationships/themeOverride" Target="../theme/themeOverride32.xml"/></Relationships>
</file>

<file path=word/charts/_rels/chart33.xml.rels><?xml version="1.0" encoding="UTF-8" standalone="yes"?>
<Relationships xmlns="http://schemas.openxmlformats.org/package/2006/relationships"><Relationship Id="rId2" Type="http://schemas.openxmlformats.org/officeDocument/2006/relationships/package" Target="../embeddings/_____Microsoft_Excel33.xlsx"/><Relationship Id="rId1" Type="http://schemas.openxmlformats.org/officeDocument/2006/relationships/themeOverride" Target="../theme/themeOverride33.xml"/></Relationships>
</file>

<file path=word/charts/_rels/chart34.xml.rels><?xml version="1.0" encoding="UTF-8" standalone="yes"?>
<Relationships xmlns="http://schemas.openxmlformats.org/package/2006/relationships"><Relationship Id="rId2" Type="http://schemas.openxmlformats.org/officeDocument/2006/relationships/package" Target="../embeddings/_____Microsoft_Excel34.xlsx"/><Relationship Id="rId1" Type="http://schemas.openxmlformats.org/officeDocument/2006/relationships/themeOverride" Target="../theme/themeOverride34.xml"/></Relationships>
</file>

<file path=word/charts/_rels/chart35.xml.rels><?xml version="1.0" encoding="UTF-8" standalone="yes"?>
<Relationships xmlns="http://schemas.openxmlformats.org/package/2006/relationships"><Relationship Id="rId2" Type="http://schemas.openxmlformats.org/officeDocument/2006/relationships/package" Target="../embeddings/_____Microsoft_Excel35.xlsx"/><Relationship Id="rId1" Type="http://schemas.openxmlformats.org/officeDocument/2006/relationships/themeOverride" Target="../theme/themeOverride35.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2.0833333333333506E-2"/>
          <c:y val="5.7690756581276724E-2"/>
          <c:w val="0.95138888888888884"/>
          <c:h val="0.88972552673340632"/>
        </c:manualLayout>
      </c:layout>
      <c:pie3DChart>
        <c:varyColors val="1"/>
        <c:ser>
          <c:idx val="0"/>
          <c:order val="0"/>
          <c:tx>
            <c:strRef>
              <c:f>Лист1!$B$1</c:f>
              <c:strCache>
                <c:ptCount val="1"/>
                <c:pt idx="0">
                  <c:v>Групи</c:v>
                </c:pt>
              </c:strCache>
            </c:strRef>
          </c:tx>
          <c:explosion val="25"/>
          <c:dPt>
            <c:idx val="0"/>
            <c:bubble3D val="0"/>
          </c:dPt>
          <c:dPt>
            <c:idx val="1"/>
            <c:bubble3D val="0"/>
          </c:dPt>
          <c:dPt>
            <c:idx val="2"/>
            <c:bubble3D val="0"/>
          </c:dPt>
          <c:dLbls>
            <c:spPr>
              <a:noFill/>
              <a:ln w="25395">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Лист1!$A$2:$A$4</c:f>
              <c:strCache>
                <c:ptCount val="3"/>
                <c:pt idx="0">
                  <c:v>Група 1</c:v>
                </c:pt>
                <c:pt idx="1">
                  <c:v>Група 2</c:v>
                </c:pt>
                <c:pt idx="2">
                  <c:v>Група 3</c:v>
                </c:pt>
              </c:strCache>
            </c:strRef>
          </c:cat>
          <c:val>
            <c:numRef>
              <c:f>Лист1!$B$2:$B$4</c:f>
              <c:numCache>
                <c:formatCode>General</c:formatCode>
                <c:ptCount val="3"/>
                <c:pt idx="0">
                  <c:v>27.4</c:v>
                </c:pt>
                <c:pt idx="1">
                  <c:v>24</c:v>
                </c:pt>
                <c:pt idx="2">
                  <c:v>48.6</c:v>
                </c:pt>
              </c:numCache>
            </c:numRef>
          </c:val>
        </c:ser>
        <c:dLbls>
          <c:showLegendKey val="0"/>
          <c:showVal val="0"/>
          <c:showCatName val="0"/>
          <c:showSerName val="0"/>
          <c:showPercent val="0"/>
          <c:showBubbleSize val="0"/>
          <c:showLeaderLines val="1"/>
        </c:dLbls>
      </c:pie3DChart>
      <c:spPr>
        <a:noFill/>
        <a:ln w="25380">
          <a:noFill/>
        </a:ln>
      </c:spPr>
    </c:plotArea>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NT-proBNP</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396.9</c:v>
                </c:pt>
                <c:pt idx="1">
                  <c:v>180.9</c:v>
                </c:pt>
                <c:pt idx="2">
                  <c:v>232.3</c:v>
                </c:pt>
              </c:numCache>
            </c:numRef>
          </c:val>
        </c:ser>
        <c:dLbls>
          <c:showLegendKey val="0"/>
          <c:showVal val="0"/>
          <c:showCatName val="0"/>
          <c:showSerName val="0"/>
          <c:showPercent val="0"/>
          <c:showBubbleSize val="0"/>
        </c:dLbls>
        <c:gapWidth val="150"/>
        <c:shape val="pyramid"/>
        <c:axId val="738253792"/>
        <c:axId val="738254184"/>
        <c:axId val="0"/>
      </c:bar3DChart>
      <c:catAx>
        <c:axId val="738253792"/>
        <c:scaling>
          <c:orientation val="minMax"/>
        </c:scaling>
        <c:delete val="0"/>
        <c:axPos val="b"/>
        <c:numFmt formatCode="General" sourceLinked="0"/>
        <c:majorTickMark val="none"/>
        <c:minorTickMark val="none"/>
        <c:tickLblPos val="nextTo"/>
        <c:crossAx val="738254184"/>
        <c:crosses val="autoZero"/>
        <c:auto val="1"/>
        <c:lblAlgn val="ctr"/>
        <c:lblOffset val="100"/>
        <c:noMultiLvlLbl val="0"/>
      </c:catAx>
      <c:valAx>
        <c:axId val="738254184"/>
        <c:scaling>
          <c:orientation val="minMax"/>
          <c:min val="150"/>
        </c:scaling>
        <c:delete val="0"/>
        <c:axPos val="l"/>
        <c:majorGridlines/>
        <c:numFmt formatCode="General" sourceLinked="1"/>
        <c:majorTickMark val="none"/>
        <c:minorTickMark val="none"/>
        <c:tickLblPos val="nextTo"/>
        <c:crossAx val="738253792"/>
        <c:crosses val="autoZero"/>
        <c:crossBetween val="between"/>
      </c:valAx>
      <c:dTable>
        <c:showHorzBorder val="1"/>
        <c:showVertBorder val="1"/>
        <c:showOutline val="1"/>
        <c:showKeys val="1"/>
      </c:dTable>
      <c:spPr>
        <a:noFill/>
        <a:ln w="25363">
          <a:noFill/>
        </a:ln>
      </c:spPr>
    </c:plotArea>
    <c:plotVisOnly val="1"/>
    <c:dispBlanksAs val="gap"/>
    <c:showDLblsOverMax val="0"/>
  </c:chart>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NT-proBNP</c:v>
                </c:pt>
              </c:strCache>
            </c:strRef>
          </c:tx>
          <c:invertIfNegative val="0"/>
          <c:cat>
            <c:strRef>
              <c:f>Лист1!$A$2:$A$4</c:f>
              <c:strCache>
                <c:ptCount val="3"/>
                <c:pt idx="0">
                  <c:v>Гіпернатріємія</c:v>
                </c:pt>
                <c:pt idx="1">
                  <c:v>Нормонатріємія</c:v>
                </c:pt>
                <c:pt idx="2">
                  <c:v>Гіпонатріємія</c:v>
                </c:pt>
              </c:strCache>
            </c:strRef>
          </c:cat>
          <c:val>
            <c:numRef>
              <c:f>Лист1!$B$2:$B$4</c:f>
              <c:numCache>
                <c:formatCode>General</c:formatCode>
                <c:ptCount val="3"/>
                <c:pt idx="0">
                  <c:v>101.2</c:v>
                </c:pt>
                <c:pt idx="1">
                  <c:v>294</c:v>
                </c:pt>
                <c:pt idx="2">
                  <c:v>351.8</c:v>
                </c:pt>
              </c:numCache>
            </c:numRef>
          </c:val>
        </c:ser>
        <c:dLbls>
          <c:showLegendKey val="0"/>
          <c:showVal val="0"/>
          <c:showCatName val="0"/>
          <c:showSerName val="0"/>
          <c:showPercent val="0"/>
          <c:showBubbleSize val="0"/>
        </c:dLbls>
        <c:gapWidth val="150"/>
        <c:shape val="cylinder"/>
        <c:axId val="738255360"/>
        <c:axId val="738255752"/>
        <c:axId val="0"/>
      </c:bar3DChart>
      <c:catAx>
        <c:axId val="738255360"/>
        <c:scaling>
          <c:orientation val="minMax"/>
        </c:scaling>
        <c:delete val="0"/>
        <c:axPos val="b"/>
        <c:numFmt formatCode="General" sourceLinked="0"/>
        <c:majorTickMark val="none"/>
        <c:minorTickMark val="none"/>
        <c:tickLblPos val="nextTo"/>
        <c:crossAx val="738255752"/>
        <c:crosses val="autoZero"/>
        <c:auto val="1"/>
        <c:lblAlgn val="ctr"/>
        <c:lblOffset val="100"/>
        <c:noMultiLvlLbl val="0"/>
      </c:catAx>
      <c:valAx>
        <c:axId val="738255752"/>
        <c:scaling>
          <c:orientation val="minMax"/>
          <c:min val="70"/>
        </c:scaling>
        <c:delete val="0"/>
        <c:axPos val="l"/>
        <c:majorGridlines/>
        <c:numFmt formatCode="General" sourceLinked="1"/>
        <c:majorTickMark val="none"/>
        <c:minorTickMark val="none"/>
        <c:tickLblPos val="nextTo"/>
        <c:crossAx val="738255360"/>
        <c:crosses val="autoZero"/>
        <c:crossBetween val="between"/>
      </c:valAx>
      <c:dTable>
        <c:showHorzBorder val="1"/>
        <c:showVertBorder val="1"/>
        <c:showOutline val="1"/>
        <c:showKeys val="1"/>
      </c:dTable>
      <c:spPr>
        <a:noFill/>
        <a:ln w="25363">
          <a:noFill/>
        </a:ln>
      </c:spPr>
    </c:plotArea>
    <c:plotVisOnly val="1"/>
    <c:dispBlanksAs val="gap"/>
    <c:showDLblsOverMax val="0"/>
  </c:chart>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ЧСС</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72.400000000000006</c:v>
                </c:pt>
                <c:pt idx="1">
                  <c:v>73.099999999999994</c:v>
                </c:pt>
                <c:pt idx="2">
                  <c:v>77.7</c:v>
                </c:pt>
              </c:numCache>
            </c:numRef>
          </c:val>
        </c:ser>
        <c:dLbls>
          <c:showLegendKey val="0"/>
          <c:showVal val="0"/>
          <c:showCatName val="0"/>
          <c:showSerName val="0"/>
          <c:showPercent val="0"/>
          <c:showBubbleSize val="0"/>
        </c:dLbls>
        <c:gapWidth val="150"/>
        <c:shape val="pyramid"/>
        <c:axId val="738256928"/>
        <c:axId val="738257320"/>
        <c:axId val="0"/>
      </c:bar3DChart>
      <c:catAx>
        <c:axId val="738256928"/>
        <c:scaling>
          <c:orientation val="minMax"/>
        </c:scaling>
        <c:delete val="0"/>
        <c:axPos val="b"/>
        <c:numFmt formatCode="General" sourceLinked="0"/>
        <c:majorTickMark val="none"/>
        <c:minorTickMark val="none"/>
        <c:tickLblPos val="nextTo"/>
        <c:crossAx val="738257320"/>
        <c:crosses val="autoZero"/>
        <c:auto val="1"/>
        <c:lblAlgn val="ctr"/>
        <c:lblOffset val="100"/>
        <c:noMultiLvlLbl val="0"/>
      </c:catAx>
      <c:valAx>
        <c:axId val="738257320"/>
        <c:scaling>
          <c:orientation val="minMax"/>
        </c:scaling>
        <c:delete val="0"/>
        <c:axPos val="l"/>
        <c:majorGridlines/>
        <c:numFmt formatCode="General" sourceLinked="1"/>
        <c:majorTickMark val="none"/>
        <c:minorTickMark val="none"/>
        <c:tickLblPos val="nextTo"/>
        <c:crossAx val="738256928"/>
        <c:crosses val="autoZero"/>
        <c:crossBetween val="between"/>
      </c:valAx>
      <c:dTable>
        <c:showHorzBorder val="1"/>
        <c:showVertBorder val="1"/>
        <c:showOutline val="1"/>
        <c:showKeys val="1"/>
      </c:dTable>
      <c:spPr>
        <a:noFill/>
        <a:ln w="25372">
          <a:noFill/>
        </a:ln>
      </c:spPr>
    </c:plotArea>
    <c:plotVisOnly val="1"/>
    <c:dispBlanksAs val="gap"/>
    <c:showDLblsOverMax val="0"/>
  </c:chart>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САТ</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127.6</c:v>
                </c:pt>
                <c:pt idx="1">
                  <c:v>140.1</c:v>
                </c:pt>
                <c:pt idx="2">
                  <c:v>145.30000000000001</c:v>
                </c:pt>
              </c:numCache>
            </c:numRef>
          </c:val>
        </c:ser>
        <c:ser>
          <c:idx val="1"/>
          <c:order val="1"/>
          <c:tx>
            <c:strRef>
              <c:f>Лист1!$C$1</c:f>
              <c:strCache>
                <c:ptCount val="1"/>
                <c:pt idx="0">
                  <c:v>ДАТ</c:v>
                </c:pt>
              </c:strCache>
            </c:strRef>
          </c:tx>
          <c:invertIfNegative val="0"/>
          <c:cat>
            <c:strRef>
              <c:f>Лист1!$A$2:$A$4</c:f>
              <c:strCache>
                <c:ptCount val="3"/>
                <c:pt idx="0">
                  <c:v>ІМТ 18,5-24,9</c:v>
                </c:pt>
                <c:pt idx="1">
                  <c:v>ІМТ 25-30</c:v>
                </c:pt>
                <c:pt idx="2">
                  <c:v>ІМТ більше 30</c:v>
                </c:pt>
              </c:strCache>
            </c:strRef>
          </c:cat>
          <c:val>
            <c:numRef>
              <c:f>Лист1!$C$2:$C$4</c:f>
              <c:numCache>
                <c:formatCode>General</c:formatCode>
                <c:ptCount val="3"/>
                <c:pt idx="0">
                  <c:v>81.2</c:v>
                </c:pt>
                <c:pt idx="1">
                  <c:v>88.4</c:v>
                </c:pt>
                <c:pt idx="2">
                  <c:v>91.2</c:v>
                </c:pt>
              </c:numCache>
            </c:numRef>
          </c:val>
        </c:ser>
        <c:dLbls>
          <c:showLegendKey val="0"/>
          <c:showVal val="0"/>
          <c:showCatName val="0"/>
          <c:showSerName val="0"/>
          <c:showPercent val="0"/>
          <c:showBubbleSize val="0"/>
        </c:dLbls>
        <c:gapWidth val="150"/>
        <c:shape val="cone"/>
        <c:axId val="738258496"/>
        <c:axId val="738258888"/>
        <c:axId val="0"/>
      </c:bar3DChart>
      <c:catAx>
        <c:axId val="738258496"/>
        <c:scaling>
          <c:orientation val="minMax"/>
        </c:scaling>
        <c:delete val="0"/>
        <c:axPos val="b"/>
        <c:numFmt formatCode="General" sourceLinked="0"/>
        <c:majorTickMark val="none"/>
        <c:minorTickMark val="none"/>
        <c:tickLblPos val="nextTo"/>
        <c:crossAx val="738258888"/>
        <c:crosses val="autoZero"/>
        <c:auto val="1"/>
        <c:lblAlgn val="ctr"/>
        <c:lblOffset val="100"/>
        <c:noMultiLvlLbl val="0"/>
      </c:catAx>
      <c:valAx>
        <c:axId val="738258888"/>
        <c:scaling>
          <c:orientation val="minMax"/>
          <c:min val="70"/>
        </c:scaling>
        <c:delete val="0"/>
        <c:axPos val="l"/>
        <c:majorGridlines/>
        <c:numFmt formatCode="General" sourceLinked="1"/>
        <c:majorTickMark val="none"/>
        <c:minorTickMark val="none"/>
        <c:tickLblPos val="nextTo"/>
        <c:crossAx val="738258496"/>
        <c:crosses val="autoZero"/>
        <c:crossBetween val="between"/>
      </c:valAx>
      <c:dTable>
        <c:showHorzBorder val="1"/>
        <c:showVertBorder val="1"/>
        <c:showOutline val="1"/>
        <c:showKeys val="1"/>
      </c:dTable>
      <c:spPr>
        <a:noFill/>
        <a:ln w="25370">
          <a:noFill/>
        </a:ln>
      </c:spPr>
    </c:plotArea>
    <c:plotVisOnly val="1"/>
    <c:dispBlanksAs val="gap"/>
    <c:showDLblsOverMax val="0"/>
  </c:chart>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4.8416265675123964E-2"/>
          <c:y val="4.4057617797775513E-2"/>
          <c:w val="0.95158373432487664"/>
          <c:h val="0.87637232845894253"/>
        </c:manualLayout>
      </c:layout>
      <c:bar3DChart>
        <c:barDir val="col"/>
        <c:grouping val="clustered"/>
        <c:varyColors val="0"/>
        <c:ser>
          <c:idx val="0"/>
          <c:order val="0"/>
          <c:tx>
            <c:strRef>
              <c:f>Лист1!$B$1</c:f>
              <c:strCache>
                <c:ptCount val="1"/>
                <c:pt idx="0">
                  <c:v>УО</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70</c:v>
                </c:pt>
                <c:pt idx="1">
                  <c:v>82.8</c:v>
                </c:pt>
                <c:pt idx="2">
                  <c:v>81.7</c:v>
                </c:pt>
              </c:numCache>
            </c:numRef>
          </c:val>
        </c:ser>
        <c:dLbls>
          <c:showLegendKey val="0"/>
          <c:showVal val="0"/>
          <c:showCatName val="0"/>
          <c:showSerName val="0"/>
          <c:showPercent val="0"/>
          <c:showBubbleSize val="0"/>
        </c:dLbls>
        <c:gapWidth val="150"/>
        <c:shape val="cone"/>
        <c:axId val="738260456"/>
        <c:axId val="738260848"/>
        <c:axId val="0"/>
      </c:bar3DChart>
      <c:catAx>
        <c:axId val="738260456"/>
        <c:scaling>
          <c:orientation val="minMax"/>
        </c:scaling>
        <c:delete val="0"/>
        <c:axPos val="b"/>
        <c:numFmt formatCode="General" sourceLinked="0"/>
        <c:majorTickMark val="out"/>
        <c:minorTickMark val="none"/>
        <c:tickLblPos val="nextTo"/>
        <c:crossAx val="738260848"/>
        <c:crosses val="autoZero"/>
        <c:auto val="1"/>
        <c:lblAlgn val="ctr"/>
        <c:lblOffset val="100"/>
        <c:noMultiLvlLbl val="0"/>
      </c:catAx>
      <c:valAx>
        <c:axId val="738260848"/>
        <c:scaling>
          <c:orientation val="minMax"/>
        </c:scaling>
        <c:delete val="0"/>
        <c:axPos val="l"/>
        <c:majorGridlines/>
        <c:numFmt formatCode="General" sourceLinked="1"/>
        <c:majorTickMark val="out"/>
        <c:minorTickMark val="none"/>
        <c:tickLblPos val="nextTo"/>
        <c:crossAx val="738260456"/>
        <c:crosses val="autoZero"/>
        <c:crossBetween val="between"/>
      </c:valAx>
      <c:spPr>
        <a:noFill/>
        <a:ln w="25367">
          <a:noFill/>
        </a:ln>
      </c:spPr>
    </c:plotArea>
    <c:plotVisOnly val="1"/>
    <c:dispBlanksAs val="gap"/>
    <c:showDLblsOverMax val="0"/>
  </c:chart>
  <c:externalData r:id="rId2">
    <c:autoUpdate val="0"/>
  </c:externalData>
  <c:userShapes r:id="rId3"/>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4.8416265675123964E-2"/>
          <c:y val="4.4057617797775513E-2"/>
          <c:w val="0.95158373432487664"/>
          <c:h val="0.87637232845894253"/>
        </c:manualLayout>
      </c:layout>
      <c:bar3DChart>
        <c:barDir val="col"/>
        <c:grouping val="clustered"/>
        <c:varyColors val="0"/>
        <c:ser>
          <c:idx val="0"/>
          <c:order val="0"/>
          <c:tx>
            <c:strRef>
              <c:f>Лист1!$B$1</c:f>
              <c:strCache>
                <c:ptCount val="1"/>
                <c:pt idx="0">
                  <c:v>УІ</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40.299999999999997</c:v>
                </c:pt>
                <c:pt idx="1">
                  <c:v>47.2</c:v>
                </c:pt>
                <c:pt idx="2">
                  <c:v>41.2</c:v>
                </c:pt>
              </c:numCache>
            </c:numRef>
          </c:val>
        </c:ser>
        <c:dLbls>
          <c:showLegendKey val="0"/>
          <c:showVal val="0"/>
          <c:showCatName val="0"/>
          <c:showSerName val="0"/>
          <c:showPercent val="0"/>
          <c:showBubbleSize val="0"/>
        </c:dLbls>
        <c:gapWidth val="150"/>
        <c:shape val="cylinder"/>
        <c:axId val="738261632"/>
        <c:axId val="738262024"/>
        <c:axId val="0"/>
      </c:bar3DChart>
      <c:catAx>
        <c:axId val="738261632"/>
        <c:scaling>
          <c:orientation val="minMax"/>
        </c:scaling>
        <c:delete val="0"/>
        <c:axPos val="b"/>
        <c:numFmt formatCode="General" sourceLinked="0"/>
        <c:majorTickMark val="out"/>
        <c:minorTickMark val="none"/>
        <c:tickLblPos val="nextTo"/>
        <c:crossAx val="738262024"/>
        <c:crosses val="autoZero"/>
        <c:auto val="1"/>
        <c:lblAlgn val="ctr"/>
        <c:lblOffset val="100"/>
        <c:noMultiLvlLbl val="0"/>
      </c:catAx>
      <c:valAx>
        <c:axId val="738262024"/>
        <c:scaling>
          <c:orientation val="minMax"/>
        </c:scaling>
        <c:delete val="0"/>
        <c:axPos val="l"/>
        <c:majorGridlines/>
        <c:numFmt formatCode="General" sourceLinked="1"/>
        <c:majorTickMark val="out"/>
        <c:minorTickMark val="none"/>
        <c:tickLblPos val="nextTo"/>
        <c:crossAx val="738261632"/>
        <c:crosses val="autoZero"/>
        <c:crossBetween val="between"/>
      </c:valAx>
      <c:spPr>
        <a:noFill/>
        <a:ln w="25367">
          <a:noFill/>
        </a:ln>
      </c:spPr>
    </c:plotArea>
    <c:plotVisOnly val="1"/>
    <c:dispBlanksAs val="gap"/>
    <c:showDLblsOverMax val="0"/>
  </c:chart>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7.1888487897346948E-2"/>
          <c:y val="4.4057617797775513E-2"/>
          <c:w val="0.91653743802858412"/>
          <c:h val="0.87637232845894253"/>
        </c:manualLayout>
      </c:layout>
      <c:bar3DChart>
        <c:barDir val="col"/>
        <c:grouping val="clustered"/>
        <c:varyColors val="0"/>
        <c:ser>
          <c:idx val="0"/>
          <c:order val="0"/>
          <c:tx>
            <c:strRef>
              <c:f>Лист1!$B$1</c:f>
              <c:strCache>
                <c:ptCount val="1"/>
                <c:pt idx="0">
                  <c:v>ХОК</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5116</c:v>
                </c:pt>
                <c:pt idx="1">
                  <c:v>6361</c:v>
                </c:pt>
                <c:pt idx="2">
                  <c:v>6329</c:v>
                </c:pt>
              </c:numCache>
            </c:numRef>
          </c:val>
        </c:ser>
        <c:dLbls>
          <c:showLegendKey val="0"/>
          <c:showVal val="0"/>
          <c:showCatName val="0"/>
          <c:showSerName val="0"/>
          <c:showPercent val="0"/>
          <c:showBubbleSize val="0"/>
        </c:dLbls>
        <c:gapWidth val="150"/>
        <c:shape val="cylinder"/>
        <c:axId val="738262808"/>
        <c:axId val="738263200"/>
        <c:axId val="0"/>
      </c:bar3DChart>
      <c:catAx>
        <c:axId val="738262808"/>
        <c:scaling>
          <c:orientation val="minMax"/>
        </c:scaling>
        <c:delete val="0"/>
        <c:axPos val="b"/>
        <c:numFmt formatCode="General" sourceLinked="0"/>
        <c:majorTickMark val="out"/>
        <c:minorTickMark val="none"/>
        <c:tickLblPos val="nextTo"/>
        <c:crossAx val="738263200"/>
        <c:crosses val="autoZero"/>
        <c:auto val="1"/>
        <c:lblAlgn val="ctr"/>
        <c:lblOffset val="100"/>
        <c:noMultiLvlLbl val="0"/>
      </c:catAx>
      <c:valAx>
        <c:axId val="738263200"/>
        <c:scaling>
          <c:orientation val="minMax"/>
          <c:min val="4000"/>
        </c:scaling>
        <c:delete val="0"/>
        <c:axPos val="l"/>
        <c:majorGridlines/>
        <c:numFmt formatCode="General" sourceLinked="1"/>
        <c:majorTickMark val="out"/>
        <c:minorTickMark val="none"/>
        <c:tickLblPos val="nextTo"/>
        <c:crossAx val="738262808"/>
        <c:crosses val="autoZero"/>
        <c:crossBetween val="between"/>
      </c:valAx>
      <c:spPr>
        <a:noFill/>
        <a:ln w="25436">
          <a:noFill/>
        </a:ln>
      </c:spPr>
    </c:plotArea>
    <c:plotVisOnly val="1"/>
    <c:dispBlanksAs val="gap"/>
    <c:showDLblsOverMax val="0"/>
  </c:chart>
  <c:externalData r:id="rId2">
    <c:autoUpdate val="0"/>
  </c:externalData>
  <c:userShapes r:id="rId3"/>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6.0152376786235064E-2"/>
          <c:y val="4.4057617797775513E-2"/>
          <c:w val="0.92827354913969051"/>
          <c:h val="0.87637232845894253"/>
        </c:manualLayout>
      </c:layout>
      <c:bar3DChart>
        <c:barDir val="col"/>
        <c:grouping val="clustered"/>
        <c:varyColors val="0"/>
        <c:ser>
          <c:idx val="0"/>
          <c:order val="0"/>
          <c:tx>
            <c:strRef>
              <c:f>Лист1!$B$1</c:f>
              <c:strCache>
                <c:ptCount val="1"/>
                <c:pt idx="0">
                  <c:v>ХОК/сек.</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85.5</c:v>
                </c:pt>
                <c:pt idx="1">
                  <c:v>101.3</c:v>
                </c:pt>
                <c:pt idx="2">
                  <c:v>105.1</c:v>
                </c:pt>
              </c:numCache>
            </c:numRef>
          </c:val>
        </c:ser>
        <c:dLbls>
          <c:showLegendKey val="0"/>
          <c:showVal val="0"/>
          <c:showCatName val="0"/>
          <c:showSerName val="0"/>
          <c:showPercent val="0"/>
          <c:showBubbleSize val="0"/>
        </c:dLbls>
        <c:gapWidth val="150"/>
        <c:shape val="pyramid"/>
        <c:axId val="738263984"/>
        <c:axId val="738264376"/>
        <c:axId val="0"/>
      </c:bar3DChart>
      <c:catAx>
        <c:axId val="738263984"/>
        <c:scaling>
          <c:orientation val="minMax"/>
        </c:scaling>
        <c:delete val="0"/>
        <c:axPos val="b"/>
        <c:numFmt formatCode="General" sourceLinked="0"/>
        <c:majorTickMark val="out"/>
        <c:minorTickMark val="none"/>
        <c:tickLblPos val="nextTo"/>
        <c:crossAx val="738264376"/>
        <c:crosses val="autoZero"/>
        <c:auto val="1"/>
        <c:lblAlgn val="ctr"/>
        <c:lblOffset val="100"/>
        <c:noMultiLvlLbl val="0"/>
      </c:catAx>
      <c:valAx>
        <c:axId val="738264376"/>
        <c:scaling>
          <c:orientation val="minMax"/>
          <c:min val="50"/>
        </c:scaling>
        <c:delete val="0"/>
        <c:axPos val="l"/>
        <c:majorGridlines/>
        <c:numFmt formatCode="General" sourceLinked="1"/>
        <c:majorTickMark val="out"/>
        <c:minorTickMark val="none"/>
        <c:tickLblPos val="nextTo"/>
        <c:crossAx val="738263984"/>
        <c:crosses val="autoZero"/>
        <c:crossBetween val="between"/>
      </c:valAx>
      <c:spPr>
        <a:noFill/>
        <a:ln w="25363">
          <a:noFill/>
        </a:ln>
      </c:spPr>
    </c:plotArea>
    <c:plotVisOnly val="1"/>
    <c:dispBlanksAs val="gap"/>
    <c:showDLblsOverMax val="0"/>
  </c:chart>
  <c:externalData r:id="rId2">
    <c:autoUpdate val="0"/>
  </c:externalData>
  <c:userShapes r:id="rId3"/>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manualLayout>
          <c:layoutTarget val="inner"/>
          <c:xMode val="edge"/>
          <c:yMode val="edge"/>
          <c:x val="7.1888487897346948E-2"/>
          <c:y val="4.4057617797775513E-2"/>
          <c:w val="0.92811151210265386"/>
          <c:h val="0.87637232845894253"/>
        </c:manualLayout>
      </c:layout>
      <c:bar3DChart>
        <c:barDir val="col"/>
        <c:grouping val="clustered"/>
        <c:varyColors val="0"/>
        <c:ser>
          <c:idx val="0"/>
          <c:order val="0"/>
          <c:tx>
            <c:strRef>
              <c:f>Лист1!$B$1</c:f>
              <c:strCache>
                <c:ptCount val="1"/>
                <c:pt idx="0">
                  <c:v>СІ</c:v>
                </c:pt>
              </c:strCache>
            </c:strRef>
          </c:tx>
          <c:invertIfNegative val="0"/>
          <c:cat>
            <c:strRef>
              <c:f>Лист1!$A$2:$A$4</c:f>
              <c:strCache>
                <c:ptCount val="3"/>
                <c:pt idx="0">
                  <c:v>ІМТ 18,5-24,9</c:v>
                </c:pt>
                <c:pt idx="1">
                  <c:v>ІМТ 25-30</c:v>
                </c:pt>
                <c:pt idx="2">
                  <c:v>ІМТ більше 30</c:v>
                </c:pt>
              </c:strCache>
            </c:strRef>
          </c:cat>
          <c:val>
            <c:numRef>
              <c:f>Лист1!$B$2:$B$4</c:f>
              <c:numCache>
                <c:formatCode>General</c:formatCode>
                <c:ptCount val="3"/>
                <c:pt idx="0">
                  <c:v>2908</c:v>
                </c:pt>
                <c:pt idx="1">
                  <c:v>3306.3</c:v>
                </c:pt>
                <c:pt idx="2">
                  <c:v>3175.6</c:v>
                </c:pt>
              </c:numCache>
            </c:numRef>
          </c:val>
        </c:ser>
        <c:dLbls>
          <c:showLegendKey val="0"/>
          <c:showVal val="0"/>
          <c:showCatName val="0"/>
          <c:showSerName val="0"/>
          <c:showPercent val="0"/>
          <c:showBubbleSize val="0"/>
        </c:dLbls>
        <c:gapWidth val="150"/>
        <c:shape val="cylinder"/>
        <c:axId val="738265160"/>
        <c:axId val="738265552"/>
        <c:axId val="0"/>
      </c:bar3DChart>
      <c:catAx>
        <c:axId val="738265160"/>
        <c:scaling>
          <c:orientation val="minMax"/>
        </c:scaling>
        <c:delete val="0"/>
        <c:axPos val="b"/>
        <c:numFmt formatCode="General" sourceLinked="0"/>
        <c:majorTickMark val="out"/>
        <c:minorTickMark val="none"/>
        <c:tickLblPos val="nextTo"/>
        <c:crossAx val="738265552"/>
        <c:crosses val="autoZero"/>
        <c:auto val="1"/>
        <c:lblAlgn val="ctr"/>
        <c:lblOffset val="100"/>
        <c:noMultiLvlLbl val="0"/>
      </c:catAx>
      <c:valAx>
        <c:axId val="738265552"/>
        <c:scaling>
          <c:orientation val="minMax"/>
        </c:scaling>
        <c:delete val="0"/>
        <c:axPos val="l"/>
        <c:majorGridlines/>
        <c:numFmt formatCode="General" sourceLinked="1"/>
        <c:majorTickMark val="out"/>
        <c:minorTickMark val="none"/>
        <c:tickLblPos val="nextTo"/>
        <c:crossAx val="738265160"/>
        <c:crosses val="autoZero"/>
        <c:crossBetween val="between"/>
      </c:valAx>
      <c:spPr>
        <a:noFill/>
        <a:ln w="25383">
          <a:noFill/>
        </a:ln>
      </c:spPr>
    </c:plotArea>
    <c:plotVisOnly val="1"/>
    <c:dispBlanksAs val="gap"/>
    <c:showDLblsOverMax val="0"/>
  </c:chart>
  <c:externalData r:id="rId2">
    <c:autoUpdate val="0"/>
  </c:externalData>
  <c:userShapes r:id="rId3"/>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0"/>
          <c:y val="2.2817460317460406E-2"/>
          <c:w val="1"/>
          <c:h val="0.96626984126984161"/>
        </c:manualLayout>
      </c:layout>
      <c:pie3DChart>
        <c:varyColors val="1"/>
        <c:ser>
          <c:idx val="0"/>
          <c:order val="0"/>
          <c:tx>
            <c:strRef>
              <c:f>Лист1!$B$1</c:f>
              <c:strCache>
                <c:ptCount val="1"/>
                <c:pt idx="0">
                  <c:v>%</c:v>
                </c:pt>
              </c:strCache>
            </c:strRef>
          </c:tx>
          <c:explosion val="25"/>
          <c:dPt>
            <c:idx val="0"/>
            <c:bubble3D val="0"/>
          </c:dPt>
          <c:dPt>
            <c:idx val="1"/>
            <c:bubble3D val="0"/>
          </c:dPt>
          <c:dLbls>
            <c:spPr>
              <a:noFill/>
              <a:ln w="25351">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Е/А 1,0-2,0</c:v>
                </c:pt>
                <c:pt idx="1">
                  <c:v>Е/А менше 1,0</c:v>
                </c:pt>
              </c:strCache>
            </c:strRef>
          </c:cat>
          <c:val>
            <c:numRef>
              <c:f>Лист1!$B$2:$B$3</c:f>
              <c:numCache>
                <c:formatCode>General</c:formatCode>
                <c:ptCount val="2"/>
                <c:pt idx="0">
                  <c:v>25.6</c:v>
                </c:pt>
                <c:pt idx="1">
                  <c:v>74.400000000000006</c:v>
                </c:pt>
              </c:numCache>
            </c:numRef>
          </c:val>
        </c:ser>
        <c:dLbls>
          <c:showLegendKey val="0"/>
          <c:showVal val="0"/>
          <c:showCatName val="0"/>
          <c:showSerName val="0"/>
          <c:showPercent val="0"/>
          <c:showBubbleSize val="0"/>
          <c:showLeaderLines val="1"/>
        </c:dLbls>
      </c:pie3DChart>
      <c:spPr>
        <a:noFill/>
        <a:ln w="25354">
          <a:noFill/>
        </a:ln>
      </c:spPr>
    </c:plotArea>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1.3888888888889023E-2"/>
          <c:y val="4.1393176800940831E-2"/>
          <c:w val="0.98611111111111116"/>
          <c:h val="0.90668024016786819"/>
        </c:manualLayout>
      </c:layout>
      <c:pie3DChart>
        <c:varyColors val="1"/>
        <c:ser>
          <c:idx val="0"/>
          <c:order val="0"/>
          <c:tx>
            <c:strRef>
              <c:f>Лист1!$B$1</c:f>
              <c:strCache>
                <c:ptCount val="1"/>
                <c:pt idx="0">
                  <c:v>ФК</c:v>
                </c:pt>
              </c:strCache>
            </c:strRef>
          </c:tx>
          <c:explosion val="25"/>
          <c:dPt>
            <c:idx val="0"/>
            <c:bubble3D val="0"/>
          </c:dPt>
          <c:dPt>
            <c:idx val="1"/>
            <c:bubble3D val="0"/>
          </c:dPt>
          <c:dPt>
            <c:idx val="2"/>
            <c:bubble3D val="0"/>
          </c:dPt>
          <c:dLbls>
            <c:spPr>
              <a:noFill/>
              <a:ln w="25399">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Лист1!$A$2:$A$4</c:f>
              <c:strCache>
                <c:ptCount val="3"/>
                <c:pt idx="0">
                  <c:v>ФКІ</c:v>
                </c:pt>
                <c:pt idx="1">
                  <c:v>ФКІІ</c:v>
                </c:pt>
                <c:pt idx="2">
                  <c:v>ФКІІІ</c:v>
                </c:pt>
              </c:strCache>
            </c:strRef>
          </c:cat>
          <c:val>
            <c:numRef>
              <c:f>Лист1!$B$2:$B$4</c:f>
              <c:numCache>
                <c:formatCode>General</c:formatCode>
                <c:ptCount val="3"/>
                <c:pt idx="0">
                  <c:v>14.4</c:v>
                </c:pt>
                <c:pt idx="1">
                  <c:v>61.6</c:v>
                </c:pt>
                <c:pt idx="2">
                  <c:v>24</c:v>
                </c:pt>
              </c:numCache>
            </c:numRef>
          </c:val>
        </c:ser>
        <c:dLbls>
          <c:showLegendKey val="0"/>
          <c:showVal val="0"/>
          <c:showCatName val="0"/>
          <c:showSerName val="0"/>
          <c:showPercent val="0"/>
          <c:showBubbleSize val="0"/>
          <c:showLeaderLines val="1"/>
        </c:dLbls>
      </c:pie3DChart>
      <c:spPr>
        <a:noFill/>
        <a:ln w="25380">
          <a:noFill/>
        </a:ln>
      </c:spPr>
    </c:plotArea>
    <c:plotVisOnly val="1"/>
    <c:dispBlanksAs val="zero"/>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Тип ДД</c:v>
                </c:pt>
              </c:strCache>
            </c:strRef>
          </c:tx>
          <c:explosion val="25"/>
          <c:dPt>
            <c:idx val="0"/>
            <c:bubble3D val="0"/>
          </c:dPt>
          <c:dPt>
            <c:idx val="1"/>
            <c:bubble3D val="0"/>
          </c:dPt>
          <c:dPt>
            <c:idx val="2"/>
            <c:bubble3D val="0"/>
          </c:dPt>
          <c:dLbls>
            <c:dLbl>
              <c:idx val="0"/>
              <c:layout>
                <c:manualLayout>
                  <c:x val="8.9973388743073798E-2"/>
                  <c:y val="-6.511217347831523E-2"/>
                </c:manualLayout>
              </c:layout>
              <c:spPr>
                <a:noFill/>
                <a:ln w="25380">
                  <a:noFill/>
                </a:ln>
              </c:spPr>
              <c:txPr>
                <a:bodyPr wrap="square" lIns="38100" tIns="19050" rIns="38100" bIns="19050" anchor="ctr">
                  <a:spAutoFit/>
                </a:bodyPr>
                <a:lstStyle/>
                <a:p>
                  <a:pPr>
                    <a:defRPr/>
                  </a:pPr>
                  <a:endParaRPr lang="ru-RU"/>
                </a:p>
              </c:txPr>
              <c:dLblPos val="bestFit"/>
              <c:showLegendKey val="0"/>
              <c:showVal val="1"/>
              <c:showCatName val="1"/>
              <c:showSerName val="0"/>
              <c:showPercent val="0"/>
              <c:showBubbleSize val="0"/>
              <c:extLst>
                <c:ext xmlns:c15="http://schemas.microsoft.com/office/drawing/2012/chart" uri="{CE6537A1-D6FC-4f65-9D91-7224C49458BB}"/>
              </c:extLst>
            </c:dLbl>
            <c:dLbl>
              <c:idx val="1"/>
              <c:layout>
                <c:manualLayout>
                  <c:x val="2.8838582677165412E-2"/>
                  <c:y val="-6.8366454193226843E-4"/>
                </c:manualLayout>
              </c:layout>
              <c:spPr>
                <a:noFill/>
                <a:ln w="25380">
                  <a:noFill/>
                </a:ln>
              </c:spPr>
              <c:txPr>
                <a:bodyPr wrap="square" lIns="38100" tIns="19050" rIns="38100" bIns="19050" anchor="ctr">
                  <a:spAutoFit/>
                </a:bodyPr>
                <a:lstStyle/>
                <a:p>
                  <a:pPr>
                    <a:defRPr/>
                  </a:pPr>
                  <a:endParaRPr lang="ru-RU"/>
                </a:p>
              </c:txPr>
              <c:dLblPos val="bestFit"/>
              <c:showLegendKey val="0"/>
              <c:showVal val="1"/>
              <c:showCatName val="1"/>
              <c:showSerName val="0"/>
              <c:showPercent val="0"/>
              <c:showBubbleSize val="0"/>
              <c:extLst>
                <c:ext xmlns:c15="http://schemas.microsoft.com/office/drawing/2012/chart" uri="{CE6537A1-D6FC-4f65-9D91-7224C49458BB}"/>
              </c:extLst>
            </c:dLbl>
            <c:dLbl>
              <c:idx val="2"/>
              <c:layout>
                <c:manualLayout>
                  <c:x val="8.6629210411198601E-2"/>
                  <c:y val="-1.7746844144481945E-2"/>
                </c:manualLayout>
              </c:layout>
              <c:spPr>
                <a:noFill/>
                <a:ln w="25380">
                  <a:noFill/>
                </a:ln>
              </c:spPr>
              <c:txPr>
                <a:bodyPr wrap="square" lIns="38100" tIns="19050" rIns="38100" bIns="19050" anchor="ctr">
                  <a:spAutoFit/>
                </a:bodyPr>
                <a:lstStyle/>
                <a:p>
                  <a:pPr>
                    <a:defRPr/>
                  </a:pPr>
                  <a:endParaRPr lang="ru-RU"/>
                </a:p>
              </c:txPr>
              <c:dLblPos val="bestFit"/>
              <c:showLegendKey val="0"/>
              <c:showVal val="1"/>
              <c:showCatName val="1"/>
              <c:showSerName val="0"/>
              <c:showPercent val="0"/>
              <c:showBubbleSize val="0"/>
              <c:extLst>
                <c:ext xmlns:c15="http://schemas.microsoft.com/office/drawing/2012/chart" uri="{CE6537A1-D6FC-4f65-9D91-7224C49458BB}"/>
              </c:extLst>
            </c:dLbl>
            <c:spPr>
              <a:noFill/>
              <a:ln w="25380">
                <a:noFill/>
              </a:ln>
            </c:spPr>
            <c:showLegendKey val="0"/>
            <c:showVal val="1"/>
            <c:showCatName val="1"/>
            <c:showSerName val="0"/>
            <c:showPercent val="0"/>
            <c:showBubbleSize val="0"/>
            <c:showLeaderLines val="1"/>
            <c:extLst>
              <c:ext xmlns:c15="http://schemas.microsoft.com/office/drawing/2012/chart" uri="{CE6537A1-D6FC-4f65-9D91-7224C49458BB}"/>
            </c:extLst>
          </c:dLbls>
          <c:cat>
            <c:strRef>
              <c:f>Лист1!$A$2:$A$4</c:f>
              <c:strCache>
                <c:ptCount val="3"/>
                <c:pt idx="0">
                  <c:v>І тип</c:v>
                </c:pt>
                <c:pt idx="1">
                  <c:v>ІІ тип</c:v>
                </c:pt>
                <c:pt idx="2">
                  <c:v>ІІІ тип</c:v>
                </c:pt>
              </c:strCache>
            </c:strRef>
          </c:cat>
          <c:val>
            <c:numRef>
              <c:f>Лист1!$B$2:$B$4</c:f>
              <c:numCache>
                <c:formatCode>General</c:formatCode>
                <c:ptCount val="3"/>
                <c:pt idx="0">
                  <c:v>85.1</c:v>
                </c:pt>
                <c:pt idx="1">
                  <c:v>6.4</c:v>
                </c:pt>
                <c:pt idx="2">
                  <c:v>8.5</c:v>
                </c:pt>
              </c:numCache>
            </c:numRef>
          </c:val>
        </c:ser>
        <c:dLbls>
          <c:showLegendKey val="0"/>
          <c:showVal val="0"/>
          <c:showCatName val="0"/>
          <c:showSerName val="0"/>
          <c:showPercent val="0"/>
          <c:showBubbleSize val="0"/>
          <c:showLeaderLines val="1"/>
        </c:dLbls>
      </c:pie3DChart>
      <c:spPr>
        <a:noFill/>
        <a:ln w="25380">
          <a:noFill/>
        </a:ln>
      </c:spPr>
    </c:plotArea>
    <c:plotVisOnly val="1"/>
    <c:dispBlanksAs val="zero"/>
    <c:showDLblsOverMax val="0"/>
  </c:chart>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ІМТ</c:v>
                </c:pt>
              </c:strCache>
            </c:strRef>
          </c:tx>
          <c:invertIfNegative val="0"/>
          <c:cat>
            <c:strRef>
              <c:f>Лист1!$A$2:$A$3</c:f>
              <c:strCache>
                <c:ptCount val="2"/>
                <c:pt idx="0">
                  <c:v>"Високий" синтез</c:v>
                </c:pt>
                <c:pt idx="1">
                  <c:v>"Низький" синтез</c:v>
                </c:pt>
              </c:strCache>
            </c:strRef>
          </c:cat>
          <c:val>
            <c:numRef>
              <c:f>Лист1!$B$2:$B$3</c:f>
              <c:numCache>
                <c:formatCode>General</c:formatCode>
                <c:ptCount val="2"/>
                <c:pt idx="0">
                  <c:v>27.8</c:v>
                </c:pt>
                <c:pt idx="1">
                  <c:v>31.7</c:v>
                </c:pt>
              </c:numCache>
            </c:numRef>
          </c:val>
        </c:ser>
        <c:dLbls>
          <c:showLegendKey val="0"/>
          <c:showVal val="0"/>
          <c:showCatName val="0"/>
          <c:showSerName val="0"/>
          <c:showPercent val="0"/>
          <c:showBubbleSize val="0"/>
        </c:dLbls>
        <c:gapWidth val="150"/>
        <c:shape val="cylinder"/>
        <c:axId val="737465920"/>
        <c:axId val="737466312"/>
        <c:axId val="0"/>
      </c:bar3DChart>
      <c:catAx>
        <c:axId val="737465920"/>
        <c:scaling>
          <c:orientation val="minMax"/>
        </c:scaling>
        <c:delete val="0"/>
        <c:axPos val="b"/>
        <c:numFmt formatCode="General" sourceLinked="0"/>
        <c:majorTickMark val="out"/>
        <c:minorTickMark val="none"/>
        <c:tickLblPos val="nextTo"/>
        <c:crossAx val="737466312"/>
        <c:crosses val="autoZero"/>
        <c:auto val="1"/>
        <c:lblAlgn val="ctr"/>
        <c:lblOffset val="100"/>
        <c:noMultiLvlLbl val="0"/>
      </c:catAx>
      <c:valAx>
        <c:axId val="737466312"/>
        <c:scaling>
          <c:orientation val="minMax"/>
        </c:scaling>
        <c:delete val="0"/>
        <c:axPos val="l"/>
        <c:majorGridlines/>
        <c:numFmt formatCode="General" sourceLinked="1"/>
        <c:majorTickMark val="out"/>
        <c:minorTickMark val="none"/>
        <c:tickLblPos val="nextTo"/>
        <c:crossAx val="737465920"/>
        <c:crosses val="autoZero"/>
        <c:crossBetween val="between"/>
      </c:valAx>
      <c:spPr>
        <a:noFill/>
        <a:ln w="25380">
          <a:noFill/>
        </a:ln>
      </c:spPr>
    </c:plotArea>
    <c:legend>
      <c:legendPos val="r"/>
      <c:overlay val="0"/>
    </c:legend>
    <c:plotVisOnly val="1"/>
    <c:dispBlanksAs val="gap"/>
    <c:showDLblsOverMax val="0"/>
  </c:chart>
  <c:externalData r:id="rId2">
    <c:autoUpdate val="0"/>
  </c:externalData>
  <c:userShapes r:id="rId3"/>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Дистанція (м)</c:v>
                </c:pt>
              </c:strCache>
            </c:strRef>
          </c:tx>
          <c:invertIfNegative val="0"/>
          <c:cat>
            <c:strRef>
              <c:f>Лист1!$A$2:$A$3</c:f>
              <c:strCache>
                <c:ptCount val="2"/>
                <c:pt idx="0">
                  <c:v>"Високий" синтез</c:v>
                </c:pt>
                <c:pt idx="1">
                  <c:v>"Низький" синтез</c:v>
                </c:pt>
              </c:strCache>
            </c:strRef>
          </c:cat>
          <c:val>
            <c:numRef>
              <c:f>Лист1!$B$2:$B$3</c:f>
              <c:numCache>
                <c:formatCode>General</c:formatCode>
                <c:ptCount val="2"/>
                <c:pt idx="0">
                  <c:v>405.7</c:v>
                </c:pt>
                <c:pt idx="1">
                  <c:v>472.8</c:v>
                </c:pt>
              </c:numCache>
            </c:numRef>
          </c:val>
        </c:ser>
        <c:dLbls>
          <c:showLegendKey val="0"/>
          <c:showVal val="0"/>
          <c:showCatName val="0"/>
          <c:showSerName val="0"/>
          <c:showPercent val="0"/>
          <c:showBubbleSize val="0"/>
        </c:dLbls>
        <c:gapWidth val="150"/>
        <c:shape val="cone"/>
        <c:axId val="737467096"/>
        <c:axId val="737467488"/>
        <c:axId val="0"/>
      </c:bar3DChart>
      <c:catAx>
        <c:axId val="737467096"/>
        <c:scaling>
          <c:orientation val="minMax"/>
        </c:scaling>
        <c:delete val="0"/>
        <c:axPos val="b"/>
        <c:numFmt formatCode="General" sourceLinked="0"/>
        <c:majorTickMark val="none"/>
        <c:minorTickMark val="none"/>
        <c:tickLblPos val="nextTo"/>
        <c:crossAx val="737467488"/>
        <c:crosses val="autoZero"/>
        <c:auto val="1"/>
        <c:lblAlgn val="ctr"/>
        <c:lblOffset val="100"/>
        <c:noMultiLvlLbl val="0"/>
      </c:catAx>
      <c:valAx>
        <c:axId val="737467488"/>
        <c:scaling>
          <c:orientation val="minMax"/>
        </c:scaling>
        <c:delete val="0"/>
        <c:axPos val="l"/>
        <c:majorGridlines/>
        <c:numFmt formatCode="General" sourceLinked="1"/>
        <c:majorTickMark val="none"/>
        <c:minorTickMark val="none"/>
        <c:tickLblPos val="nextTo"/>
        <c:crossAx val="737467096"/>
        <c:crosses val="autoZero"/>
        <c:crossBetween val="between"/>
      </c:valAx>
      <c:dTable>
        <c:showHorzBorder val="1"/>
        <c:showVertBorder val="1"/>
        <c:showOutline val="1"/>
        <c:showKeys val="1"/>
      </c:dTable>
      <c:spPr>
        <a:noFill/>
        <a:ln w="25380">
          <a:noFill/>
        </a:ln>
      </c:spPr>
    </c:plotArea>
    <c:plotVisOnly val="1"/>
    <c:dispBlanksAs val="gap"/>
    <c:showDLblsOverMax val="0"/>
  </c:chart>
  <c:externalData r:id="rId2">
    <c:autoUpdate val="0"/>
  </c:externalData>
  <c:userShapes r:id="rId3"/>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Глікемія</c:v>
                </c:pt>
              </c:strCache>
            </c:strRef>
          </c:tx>
          <c:invertIfNegative val="0"/>
          <c:cat>
            <c:strRef>
              <c:f>Лист1!$A$2:$A$3</c:f>
              <c:strCache>
                <c:ptCount val="2"/>
                <c:pt idx="0">
                  <c:v>Кластер 1</c:v>
                </c:pt>
                <c:pt idx="1">
                  <c:v>Кластер 2</c:v>
                </c:pt>
              </c:strCache>
            </c:strRef>
          </c:cat>
          <c:val>
            <c:numRef>
              <c:f>Лист1!$B$2:$B$3</c:f>
              <c:numCache>
                <c:formatCode>General</c:formatCode>
                <c:ptCount val="2"/>
                <c:pt idx="0">
                  <c:v>5.74</c:v>
                </c:pt>
                <c:pt idx="1">
                  <c:v>5.32</c:v>
                </c:pt>
              </c:numCache>
            </c:numRef>
          </c:val>
        </c:ser>
        <c:dLbls>
          <c:showLegendKey val="0"/>
          <c:showVal val="0"/>
          <c:showCatName val="0"/>
          <c:showSerName val="0"/>
          <c:showPercent val="0"/>
          <c:showBubbleSize val="0"/>
        </c:dLbls>
        <c:gapWidth val="150"/>
        <c:shape val="cylinder"/>
        <c:axId val="737468664"/>
        <c:axId val="737469056"/>
        <c:axId val="0"/>
      </c:bar3DChart>
      <c:catAx>
        <c:axId val="737468664"/>
        <c:scaling>
          <c:orientation val="minMax"/>
        </c:scaling>
        <c:delete val="0"/>
        <c:axPos val="b"/>
        <c:numFmt formatCode="General" sourceLinked="0"/>
        <c:majorTickMark val="none"/>
        <c:minorTickMark val="none"/>
        <c:tickLblPos val="nextTo"/>
        <c:crossAx val="737469056"/>
        <c:crosses val="autoZero"/>
        <c:auto val="1"/>
        <c:lblAlgn val="ctr"/>
        <c:lblOffset val="100"/>
        <c:noMultiLvlLbl val="0"/>
      </c:catAx>
      <c:valAx>
        <c:axId val="737469056"/>
        <c:scaling>
          <c:orientation val="minMax"/>
        </c:scaling>
        <c:delete val="0"/>
        <c:axPos val="l"/>
        <c:majorGridlines/>
        <c:numFmt formatCode="General" sourceLinked="1"/>
        <c:majorTickMark val="none"/>
        <c:minorTickMark val="none"/>
        <c:tickLblPos val="nextTo"/>
        <c:crossAx val="737468664"/>
        <c:crosses val="autoZero"/>
        <c:crossBetween val="between"/>
      </c:valAx>
      <c:dTable>
        <c:showHorzBorder val="1"/>
        <c:showVertBorder val="1"/>
        <c:showOutline val="1"/>
        <c:showKeys val="1"/>
      </c:dTable>
      <c:spPr>
        <a:noFill/>
        <a:ln w="25359">
          <a:noFill/>
        </a:ln>
      </c:spPr>
    </c:plotArea>
    <c:plotVisOnly val="1"/>
    <c:dispBlanksAs val="gap"/>
    <c:showDLblsOverMax val="0"/>
  </c:chart>
  <c:externalData r:id="rId2">
    <c:autoUpdate val="0"/>
  </c:externalData>
  <c:userShapes r:id="rId3"/>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Креатинін</c:v>
                </c:pt>
              </c:strCache>
            </c:strRef>
          </c:tx>
          <c:invertIfNegative val="0"/>
          <c:cat>
            <c:strRef>
              <c:f>Лист1!$A$2:$A$3</c:f>
              <c:strCache>
                <c:ptCount val="2"/>
                <c:pt idx="0">
                  <c:v>Кластер 1</c:v>
                </c:pt>
                <c:pt idx="1">
                  <c:v>Кластер 2</c:v>
                </c:pt>
              </c:strCache>
            </c:strRef>
          </c:cat>
          <c:val>
            <c:numRef>
              <c:f>Лист1!$B$2:$B$3</c:f>
              <c:numCache>
                <c:formatCode>General</c:formatCode>
                <c:ptCount val="2"/>
                <c:pt idx="0">
                  <c:v>104</c:v>
                </c:pt>
                <c:pt idx="1">
                  <c:v>80.5</c:v>
                </c:pt>
              </c:numCache>
            </c:numRef>
          </c:val>
        </c:ser>
        <c:dLbls>
          <c:showLegendKey val="0"/>
          <c:showVal val="0"/>
          <c:showCatName val="0"/>
          <c:showSerName val="0"/>
          <c:showPercent val="0"/>
          <c:showBubbleSize val="0"/>
        </c:dLbls>
        <c:gapWidth val="150"/>
        <c:axId val="737470232"/>
        <c:axId val="737470624"/>
      </c:barChart>
      <c:catAx>
        <c:axId val="737470232"/>
        <c:scaling>
          <c:orientation val="minMax"/>
        </c:scaling>
        <c:delete val="0"/>
        <c:axPos val="b"/>
        <c:numFmt formatCode="General" sourceLinked="0"/>
        <c:majorTickMark val="none"/>
        <c:minorTickMark val="none"/>
        <c:tickLblPos val="nextTo"/>
        <c:crossAx val="737470624"/>
        <c:crosses val="autoZero"/>
        <c:auto val="1"/>
        <c:lblAlgn val="ctr"/>
        <c:lblOffset val="100"/>
        <c:noMultiLvlLbl val="0"/>
      </c:catAx>
      <c:valAx>
        <c:axId val="737470624"/>
        <c:scaling>
          <c:orientation val="minMax"/>
          <c:min val="50"/>
        </c:scaling>
        <c:delete val="0"/>
        <c:axPos val="l"/>
        <c:majorGridlines/>
        <c:numFmt formatCode="General" sourceLinked="1"/>
        <c:majorTickMark val="none"/>
        <c:minorTickMark val="none"/>
        <c:tickLblPos val="nextTo"/>
        <c:crossAx val="737470232"/>
        <c:crosses val="autoZero"/>
        <c:crossBetween val="between"/>
      </c:valAx>
    </c:plotArea>
    <c:plotVisOnly val="1"/>
    <c:dispBlanksAs val="gap"/>
    <c:showDLblsOverMax val="0"/>
  </c:chart>
  <c:externalData r:id="rId2">
    <c:autoUpdate val="0"/>
  </c:externalData>
  <c:userShapes r:id="rId3"/>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ШКФ</c:v>
                </c:pt>
              </c:strCache>
            </c:strRef>
          </c:tx>
          <c:invertIfNegative val="0"/>
          <c:cat>
            <c:strRef>
              <c:f>Лист1!$A$2:$A$3</c:f>
              <c:strCache>
                <c:ptCount val="2"/>
                <c:pt idx="0">
                  <c:v>Кластер 1</c:v>
                </c:pt>
                <c:pt idx="1">
                  <c:v>Кластер 2</c:v>
                </c:pt>
              </c:strCache>
            </c:strRef>
          </c:cat>
          <c:val>
            <c:numRef>
              <c:f>Лист1!$B$2:$B$3</c:f>
              <c:numCache>
                <c:formatCode>General</c:formatCode>
                <c:ptCount val="2"/>
                <c:pt idx="0">
                  <c:v>93</c:v>
                </c:pt>
                <c:pt idx="1">
                  <c:v>76.8</c:v>
                </c:pt>
              </c:numCache>
            </c:numRef>
          </c:val>
        </c:ser>
        <c:dLbls>
          <c:showLegendKey val="0"/>
          <c:showVal val="0"/>
          <c:showCatName val="0"/>
          <c:showSerName val="0"/>
          <c:showPercent val="0"/>
          <c:showBubbleSize val="0"/>
        </c:dLbls>
        <c:gapWidth val="150"/>
        <c:axId val="737471408"/>
        <c:axId val="737471800"/>
      </c:barChart>
      <c:catAx>
        <c:axId val="737471408"/>
        <c:scaling>
          <c:orientation val="minMax"/>
        </c:scaling>
        <c:delete val="0"/>
        <c:axPos val="b"/>
        <c:numFmt formatCode="General" sourceLinked="0"/>
        <c:majorTickMark val="none"/>
        <c:minorTickMark val="none"/>
        <c:tickLblPos val="nextTo"/>
        <c:crossAx val="737471800"/>
        <c:crosses val="autoZero"/>
        <c:auto val="1"/>
        <c:lblAlgn val="ctr"/>
        <c:lblOffset val="100"/>
        <c:noMultiLvlLbl val="0"/>
      </c:catAx>
      <c:valAx>
        <c:axId val="737471800"/>
        <c:scaling>
          <c:orientation val="minMax"/>
          <c:min val="50"/>
        </c:scaling>
        <c:delete val="0"/>
        <c:axPos val="l"/>
        <c:majorGridlines/>
        <c:numFmt formatCode="General" sourceLinked="1"/>
        <c:majorTickMark val="none"/>
        <c:minorTickMark val="none"/>
        <c:tickLblPos val="nextTo"/>
        <c:crossAx val="737471408"/>
        <c:crosses val="autoZero"/>
        <c:crossBetween val="between"/>
      </c:valAx>
    </c:plotArea>
    <c:plotVisOnly val="1"/>
    <c:dispBlanksAs val="gap"/>
    <c:showDLblsOverMax val="0"/>
  </c:chart>
  <c:externalData r:id="rId2">
    <c:autoUpdate val="0"/>
  </c:externalData>
  <c:userShapes r:id="rId3"/>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Hb</c:v>
                </c:pt>
              </c:strCache>
            </c:strRef>
          </c:tx>
          <c:invertIfNegative val="0"/>
          <c:cat>
            <c:strRef>
              <c:f>Лист1!$A$2:$A$3</c:f>
              <c:strCache>
                <c:ptCount val="2"/>
                <c:pt idx="0">
                  <c:v>Кластер 1</c:v>
                </c:pt>
                <c:pt idx="1">
                  <c:v>Кластер 2</c:v>
                </c:pt>
              </c:strCache>
            </c:strRef>
          </c:cat>
          <c:val>
            <c:numRef>
              <c:f>Лист1!$B$2:$B$3</c:f>
              <c:numCache>
                <c:formatCode>General</c:formatCode>
                <c:ptCount val="2"/>
                <c:pt idx="0">
                  <c:v>121.8</c:v>
                </c:pt>
                <c:pt idx="1">
                  <c:v>139</c:v>
                </c:pt>
              </c:numCache>
            </c:numRef>
          </c:val>
        </c:ser>
        <c:dLbls>
          <c:showLegendKey val="0"/>
          <c:showVal val="0"/>
          <c:showCatName val="0"/>
          <c:showSerName val="0"/>
          <c:showPercent val="0"/>
          <c:showBubbleSize val="0"/>
        </c:dLbls>
        <c:gapWidth val="150"/>
        <c:shape val="cylinder"/>
        <c:axId val="737472584"/>
        <c:axId val="737472976"/>
        <c:axId val="0"/>
      </c:bar3DChart>
      <c:catAx>
        <c:axId val="737472584"/>
        <c:scaling>
          <c:orientation val="minMax"/>
        </c:scaling>
        <c:delete val="0"/>
        <c:axPos val="b"/>
        <c:numFmt formatCode="General" sourceLinked="0"/>
        <c:majorTickMark val="out"/>
        <c:minorTickMark val="none"/>
        <c:tickLblPos val="nextTo"/>
        <c:crossAx val="737472976"/>
        <c:crosses val="autoZero"/>
        <c:auto val="1"/>
        <c:lblAlgn val="ctr"/>
        <c:lblOffset val="100"/>
        <c:noMultiLvlLbl val="0"/>
      </c:catAx>
      <c:valAx>
        <c:axId val="737472976"/>
        <c:scaling>
          <c:orientation val="minMax"/>
        </c:scaling>
        <c:delete val="0"/>
        <c:axPos val="l"/>
        <c:majorGridlines/>
        <c:numFmt formatCode="General" sourceLinked="1"/>
        <c:majorTickMark val="out"/>
        <c:minorTickMark val="none"/>
        <c:tickLblPos val="nextTo"/>
        <c:crossAx val="737472584"/>
        <c:crosses val="autoZero"/>
        <c:crossBetween val="between"/>
      </c:valAx>
      <c:spPr>
        <a:noFill/>
        <a:ln w="25380">
          <a:noFill/>
        </a:ln>
      </c:spPr>
    </c:plotArea>
    <c:plotVisOnly val="1"/>
    <c:dispBlanksAs val="gap"/>
    <c:showDLblsOverMax val="0"/>
  </c:chart>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пг/мл</c:v>
                </c:pt>
              </c:strCache>
            </c:strRef>
          </c:tx>
          <c:invertIfNegative val="0"/>
          <c:cat>
            <c:strRef>
              <c:f>Лист1!$A$2:$A$3</c:f>
              <c:strCache>
                <c:ptCount val="2"/>
                <c:pt idx="0">
                  <c:v>Легка гіпонатріємія</c:v>
                </c:pt>
                <c:pt idx="1">
                  <c:v>Важка гіпонатріємія</c:v>
                </c:pt>
              </c:strCache>
            </c:strRef>
          </c:cat>
          <c:val>
            <c:numRef>
              <c:f>Лист1!$B$2:$B$3</c:f>
              <c:numCache>
                <c:formatCode>General</c:formatCode>
                <c:ptCount val="2"/>
                <c:pt idx="0">
                  <c:v>63.2</c:v>
                </c:pt>
                <c:pt idx="1">
                  <c:v>130.19999999999999</c:v>
                </c:pt>
              </c:numCache>
            </c:numRef>
          </c:val>
        </c:ser>
        <c:dLbls>
          <c:showLegendKey val="0"/>
          <c:showVal val="0"/>
          <c:showCatName val="0"/>
          <c:showSerName val="0"/>
          <c:showPercent val="0"/>
          <c:showBubbleSize val="0"/>
        </c:dLbls>
        <c:gapWidth val="150"/>
        <c:shape val="cylinder"/>
        <c:axId val="737895552"/>
        <c:axId val="737895944"/>
        <c:axId val="0"/>
      </c:bar3DChart>
      <c:catAx>
        <c:axId val="737895552"/>
        <c:scaling>
          <c:orientation val="minMax"/>
        </c:scaling>
        <c:delete val="0"/>
        <c:axPos val="b"/>
        <c:numFmt formatCode="General" sourceLinked="1"/>
        <c:majorTickMark val="none"/>
        <c:minorTickMark val="none"/>
        <c:tickLblPos val="nextTo"/>
        <c:crossAx val="737895944"/>
        <c:crosses val="autoZero"/>
        <c:auto val="1"/>
        <c:lblAlgn val="ctr"/>
        <c:lblOffset val="100"/>
        <c:noMultiLvlLbl val="0"/>
      </c:catAx>
      <c:valAx>
        <c:axId val="737895944"/>
        <c:scaling>
          <c:orientation val="minMax"/>
        </c:scaling>
        <c:delete val="0"/>
        <c:axPos val="l"/>
        <c:majorGridlines/>
        <c:numFmt formatCode="General" sourceLinked="1"/>
        <c:majorTickMark val="none"/>
        <c:minorTickMark val="none"/>
        <c:tickLblPos val="nextTo"/>
        <c:crossAx val="737895552"/>
        <c:crosses val="autoZero"/>
        <c:crossBetween val="between"/>
      </c:valAx>
      <c:dTable>
        <c:showHorzBorder val="1"/>
        <c:showVertBorder val="1"/>
        <c:showOutline val="1"/>
        <c:showKeys val="1"/>
      </c:dTable>
      <c:spPr>
        <a:noFill/>
        <a:ln w="25359">
          <a:noFill/>
        </a:ln>
      </c:spPr>
    </c:plotArea>
    <c:plotVisOnly val="1"/>
    <c:dispBlanksAs val="gap"/>
    <c:showDLblsOverMax val="0"/>
  </c:chart>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пг/мл</c:v>
                </c:pt>
              </c:strCache>
            </c:strRef>
          </c:tx>
          <c:invertIfNegative val="0"/>
          <c:cat>
            <c:strRef>
              <c:f>Лист1!$A$2:$A$3</c:f>
              <c:strCache>
                <c:ptCount val="2"/>
                <c:pt idx="0">
                  <c:v>Легка гіпонатріємія</c:v>
                </c:pt>
                <c:pt idx="1">
                  <c:v>Важка гіпонатріємія</c:v>
                </c:pt>
              </c:strCache>
            </c:strRef>
          </c:cat>
          <c:val>
            <c:numRef>
              <c:f>Лист1!$B$2:$B$3</c:f>
              <c:numCache>
                <c:formatCode>General</c:formatCode>
                <c:ptCount val="2"/>
                <c:pt idx="0">
                  <c:v>142.1</c:v>
                </c:pt>
                <c:pt idx="1">
                  <c:v>247.9</c:v>
                </c:pt>
              </c:numCache>
            </c:numRef>
          </c:val>
        </c:ser>
        <c:dLbls>
          <c:showLegendKey val="0"/>
          <c:showVal val="0"/>
          <c:showCatName val="0"/>
          <c:showSerName val="0"/>
          <c:showPercent val="0"/>
          <c:showBubbleSize val="0"/>
        </c:dLbls>
        <c:gapWidth val="150"/>
        <c:shape val="cone"/>
        <c:axId val="737897120"/>
        <c:axId val="737897512"/>
        <c:axId val="0"/>
      </c:bar3DChart>
      <c:catAx>
        <c:axId val="737897120"/>
        <c:scaling>
          <c:orientation val="minMax"/>
        </c:scaling>
        <c:delete val="0"/>
        <c:axPos val="b"/>
        <c:numFmt formatCode="General" sourceLinked="1"/>
        <c:majorTickMark val="none"/>
        <c:minorTickMark val="none"/>
        <c:tickLblPos val="nextTo"/>
        <c:crossAx val="737897512"/>
        <c:crosses val="autoZero"/>
        <c:auto val="1"/>
        <c:lblAlgn val="ctr"/>
        <c:lblOffset val="100"/>
        <c:noMultiLvlLbl val="0"/>
      </c:catAx>
      <c:valAx>
        <c:axId val="737897512"/>
        <c:scaling>
          <c:orientation val="minMax"/>
        </c:scaling>
        <c:delete val="0"/>
        <c:axPos val="l"/>
        <c:majorGridlines/>
        <c:numFmt formatCode="General" sourceLinked="1"/>
        <c:majorTickMark val="none"/>
        <c:minorTickMark val="none"/>
        <c:tickLblPos val="nextTo"/>
        <c:crossAx val="737897120"/>
        <c:crosses val="autoZero"/>
        <c:crossBetween val="between"/>
      </c:valAx>
      <c:dTable>
        <c:showHorzBorder val="1"/>
        <c:showVertBorder val="1"/>
        <c:showOutline val="1"/>
        <c:showKeys val="1"/>
      </c:dTable>
      <c:spPr>
        <a:noFill/>
        <a:ln w="25351">
          <a:noFill/>
        </a:ln>
      </c:spPr>
    </c:plotArea>
    <c:plotVisOnly val="1"/>
    <c:dispBlanksAs val="gap"/>
    <c:showDLblsOverMax val="0"/>
  </c:chart>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overlay val="0"/>
      <c:spPr>
        <a:noFill/>
        <a:ln w="25363">
          <a:noFill/>
        </a:ln>
      </c:spPr>
    </c:title>
    <c:autoTitleDeleted val="0"/>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c:v>
                </c:pt>
              </c:strCache>
            </c:strRef>
          </c:tx>
          <c:explosion val="25"/>
          <c:dPt>
            <c:idx val="0"/>
            <c:bubble3D val="0"/>
          </c:dPt>
          <c:dPt>
            <c:idx val="1"/>
            <c:bubble3D val="0"/>
          </c:dPt>
          <c:cat>
            <c:strRef>
              <c:f>Лист1!$A$2:$A$3</c:f>
              <c:strCache>
                <c:ptCount val="2"/>
                <c:pt idx="0">
                  <c:v>ІАПФ</c:v>
                </c:pt>
                <c:pt idx="1">
                  <c:v>АРА ІІ</c:v>
                </c:pt>
              </c:strCache>
            </c:strRef>
          </c:cat>
          <c:val>
            <c:numRef>
              <c:f>Лист1!$B$2:$B$3</c:f>
              <c:numCache>
                <c:formatCode>General</c:formatCode>
                <c:ptCount val="2"/>
                <c:pt idx="0">
                  <c:v>58.5</c:v>
                </c:pt>
                <c:pt idx="1">
                  <c:v>41.5</c:v>
                </c:pt>
              </c:numCache>
            </c:numRef>
          </c:val>
        </c:ser>
        <c:dLbls>
          <c:showLegendKey val="0"/>
          <c:showVal val="0"/>
          <c:showCatName val="0"/>
          <c:showSerName val="0"/>
          <c:showPercent val="0"/>
          <c:showBubbleSize val="0"/>
          <c:showLeaderLines val="1"/>
        </c:dLbls>
      </c:pie3DChart>
      <c:spPr>
        <a:noFill/>
        <a:ln w="25377">
          <a:noFill/>
        </a:ln>
      </c:spPr>
    </c:plotArea>
    <c:legend>
      <c:legendPos val="r"/>
      <c:overlay val="0"/>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2.3148148148148147E-3"/>
          <c:y val="7.4559742532183462E-2"/>
          <c:w val="0.99768518518518523"/>
          <c:h val="0.89840051243594554"/>
        </c:manualLayout>
      </c:layout>
      <c:pie3DChart>
        <c:varyColors val="1"/>
        <c:ser>
          <c:idx val="0"/>
          <c:order val="0"/>
          <c:tx>
            <c:strRef>
              <c:f>Лист1!$B$1</c:f>
              <c:strCache>
                <c:ptCount val="1"/>
                <c:pt idx="0">
                  <c:v>%</c:v>
                </c:pt>
              </c:strCache>
            </c:strRef>
          </c:tx>
          <c:explosion val="25"/>
          <c:dPt>
            <c:idx val="0"/>
            <c:bubble3D val="0"/>
          </c:dPt>
          <c:dPt>
            <c:idx val="1"/>
            <c:bubble3D val="0"/>
          </c:dPt>
          <c:dPt>
            <c:idx val="2"/>
            <c:bubble3D val="0"/>
          </c:dPt>
          <c:dLbls>
            <c:dLbl>
              <c:idx val="0"/>
              <c:layout>
                <c:manualLayout>
                  <c:x val="2.3583588509769611E-2"/>
                  <c:y val="-5.6855705536807875E-2"/>
                </c:manualLayout>
              </c:layout>
              <c:spPr>
                <a:noFill/>
                <a:ln w="25355">
                  <a:noFill/>
                </a:ln>
              </c:spPr>
              <c:txPr>
                <a:bodyPr wrap="square" lIns="38100" tIns="19050" rIns="38100" bIns="19050" anchor="ctr">
                  <a:spAutoFit/>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0614820282881322"/>
                  <c:y val="-0.51330458692662917"/>
                </c:manualLayout>
              </c:layout>
              <c:spPr>
                <a:noFill/>
                <a:ln w="25355">
                  <a:noFill/>
                </a:ln>
              </c:spPr>
              <c:txPr>
                <a:bodyPr wrap="square" lIns="38100" tIns="19050" rIns="38100" bIns="19050" anchor="ctr">
                  <a:spAutoFit/>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7394739720035596E-2"/>
                  <c:y val="-6.7105674290713804E-2"/>
                </c:manualLayout>
              </c:layout>
              <c:spPr>
                <a:noFill/>
                <a:ln w="25355">
                  <a:noFill/>
                </a:ln>
              </c:spPr>
              <c:txPr>
                <a:bodyPr wrap="square" lIns="38100" tIns="19050" rIns="38100" bIns="19050" anchor="ctr">
                  <a:spAutoFit/>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spPr>
              <a:noFill/>
              <a:ln w="25355">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Лист1!$A$2:$A$4</c:f>
              <c:strCache>
                <c:ptCount val="3"/>
                <c:pt idx="0">
                  <c:v>Гіпонатріемія</c:v>
                </c:pt>
                <c:pt idx="1">
                  <c:v>Нормонатріемія</c:v>
                </c:pt>
                <c:pt idx="2">
                  <c:v>Гіпернатріемія</c:v>
                </c:pt>
              </c:strCache>
            </c:strRef>
          </c:cat>
          <c:val>
            <c:numRef>
              <c:f>Лист1!$B$2:$B$4</c:f>
              <c:numCache>
                <c:formatCode>General</c:formatCode>
                <c:ptCount val="3"/>
                <c:pt idx="0">
                  <c:v>33.5</c:v>
                </c:pt>
                <c:pt idx="1">
                  <c:v>51.3</c:v>
                </c:pt>
                <c:pt idx="2">
                  <c:v>15.1</c:v>
                </c:pt>
              </c:numCache>
            </c:numRef>
          </c:val>
        </c:ser>
        <c:dLbls>
          <c:showLegendKey val="0"/>
          <c:showVal val="0"/>
          <c:showCatName val="0"/>
          <c:showSerName val="0"/>
          <c:showPercent val="0"/>
          <c:showBubbleSize val="0"/>
          <c:showLeaderLines val="1"/>
        </c:dLbls>
      </c:pie3DChart>
      <c:spPr>
        <a:noFill/>
        <a:ln w="25372">
          <a:noFill/>
        </a:ln>
      </c:spPr>
    </c:plotArea>
    <c:plotVisOnly val="1"/>
    <c:dispBlanksAs val="zero"/>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0"/>
          <c:y val="2.2817460317460406E-2"/>
          <c:w val="1"/>
          <c:h val="0.96177168930178514"/>
        </c:manualLayout>
      </c:layout>
      <c:pie3DChart>
        <c:varyColors val="1"/>
        <c:ser>
          <c:idx val="0"/>
          <c:order val="0"/>
          <c:tx>
            <c:strRef>
              <c:f>Лист1!$B$1</c:f>
              <c:strCache>
                <c:ptCount val="1"/>
                <c:pt idx="0">
                  <c:v>%</c:v>
                </c:pt>
              </c:strCache>
            </c:strRef>
          </c:tx>
          <c:explosion val="25"/>
          <c:dPt>
            <c:idx val="0"/>
            <c:bubble3D val="0"/>
          </c:dPt>
          <c:dPt>
            <c:idx val="1"/>
            <c:bubble3D val="0"/>
          </c:dPt>
          <c:dLbls>
            <c:dLbl>
              <c:idx val="0"/>
              <c:layout>
                <c:manualLayout>
                  <c:x val="-0.18195787946647637"/>
                  <c:y val="-0.37750214107893282"/>
                </c:manualLayout>
              </c:layout>
              <c:spPr>
                <a:noFill/>
                <a:ln w="25371">
                  <a:noFill/>
                </a:ln>
              </c:spPr>
              <c:txPr>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0298185761514728"/>
                  <c:y val="0.12460113300317169"/>
                </c:manualLayout>
              </c:layout>
              <c:spPr>
                <a:noFill/>
                <a:ln w="25371">
                  <a:noFill/>
                </a:ln>
              </c:spPr>
              <c:txPr>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spPr>
              <a:noFill/>
              <a:ln w="25371">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БАБ призначались</c:v>
                </c:pt>
                <c:pt idx="1">
                  <c:v>БАБ не призначались</c:v>
                </c:pt>
              </c:strCache>
            </c:strRef>
          </c:cat>
          <c:val>
            <c:numRef>
              <c:f>Лист1!$B$2:$B$3</c:f>
              <c:numCache>
                <c:formatCode>General</c:formatCode>
                <c:ptCount val="2"/>
                <c:pt idx="0">
                  <c:v>70.5</c:v>
                </c:pt>
                <c:pt idx="1">
                  <c:v>29.5</c:v>
                </c:pt>
              </c:numCache>
            </c:numRef>
          </c:val>
        </c:ser>
        <c:dLbls>
          <c:showLegendKey val="0"/>
          <c:showVal val="0"/>
          <c:showCatName val="0"/>
          <c:showSerName val="0"/>
          <c:showPercent val="0"/>
          <c:showBubbleSize val="0"/>
          <c:showLeaderLines val="1"/>
        </c:dLbls>
      </c:pie3DChart>
      <c:spPr>
        <a:noFill/>
        <a:ln w="25377">
          <a:noFill/>
        </a:ln>
      </c:spPr>
    </c:plotArea>
    <c:plotVisOnly val="1"/>
    <c:dispBlanksAs val="zero"/>
    <c:showDLblsOverMax val="0"/>
  </c:chart>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4.6296296296296719E-3"/>
          <c:y val="3.8553639846743294E-2"/>
          <c:w val="0.97685185185185264"/>
          <c:h val="0.90852490421455923"/>
        </c:manualLayout>
      </c:layout>
      <c:pie3DChart>
        <c:varyColors val="1"/>
        <c:ser>
          <c:idx val="0"/>
          <c:order val="0"/>
          <c:tx>
            <c:strRef>
              <c:f>Лист1!$B$1</c:f>
              <c:strCache>
                <c:ptCount val="1"/>
                <c:pt idx="0">
                  <c:v>%</c:v>
                </c:pt>
              </c:strCache>
            </c:strRef>
          </c:tx>
          <c:explosion val="25"/>
          <c:dPt>
            <c:idx val="0"/>
            <c:bubble3D val="0"/>
          </c:dPt>
          <c:dPt>
            <c:idx val="1"/>
            <c:bubble3D val="0"/>
          </c:dPt>
          <c:dPt>
            <c:idx val="2"/>
            <c:bubble3D val="0"/>
          </c:dPt>
          <c:dLbls>
            <c:spPr>
              <a:noFill/>
              <a:ln w="23234">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Лист1!$A$2:$A$4</c:f>
              <c:strCache>
                <c:ptCount val="3"/>
                <c:pt idx="0">
                  <c:v>Бісопролол</c:v>
                </c:pt>
                <c:pt idx="1">
                  <c:v>Карведілол</c:v>
                </c:pt>
                <c:pt idx="2">
                  <c:v>Небіволол</c:v>
                </c:pt>
              </c:strCache>
            </c:strRef>
          </c:cat>
          <c:val>
            <c:numRef>
              <c:f>Лист1!$B$2:$B$4</c:f>
              <c:numCache>
                <c:formatCode>General</c:formatCode>
                <c:ptCount val="3"/>
                <c:pt idx="0">
                  <c:v>65</c:v>
                </c:pt>
                <c:pt idx="1">
                  <c:v>21.4</c:v>
                </c:pt>
                <c:pt idx="2">
                  <c:v>13.6</c:v>
                </c:pt>
              </c:numCache>
            </c:numRef>
          </c:val>
        </c:ser>
        <c:dLbls>
          <c:showLegendKey val="0"/>
          <c:showVal val="0"/>
          <c:showCatName val="0"/>
          <c:showSerName val="0"/>
          <c:showPercent val="0"/>
          <c:showBubbleSize val="0"/>
          <c:showLeaderLines val="1"/>
        </c:dLbls>
      </c:pie3DChart>
      <c:spPr>
        <a:noFill/>
        <a:ln w="25356">
          <a:noFill/>
        </a:ln>
      </c:spPr>
    </c:plotArea>
    <c:plotVisOnly val="1"/>
    <c:dispBlanksAs val="zero"/>
    <c:showDLblsOverMax val="0"/>
  </c:chart>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2.3148148148148147E-3"/>
          <c:y val="3.4722222222222224E-2"/>
          <c:w val="0.98611111111111116"/>
          <c:h val="0.94246031746031744"/>
        </c:manualLayout>
      </c:layout>
      <c:pie3DChart>
        <c:varyColors val="1"/>
        <c:ser>
          <c:idx val="0"/>
          <c:order val="0"/>
          <c:tx>
            <c:strRef>
              <c:f>Лист1!$B$1</c:f>
              <c:strCache>
                <c:ptCount val="1"/>
                <c:pt idx="0">
                  <c:v>%</c:v>
                </c:pt>
              </c:strCache>
            </c:strRef>
          </c:tx>
          <c:explosion val="25"/>
          <c:dPt>
            <c:idx val="0"/>
            <c:bubble3D val="0"/>
          </c:dPt>
          <c:dPt>
            <c:idx val="1"/>
            <c:bubble3D val="0"/>
          </c:dPt>
          <c:dLbls>
            <c:dLbl>
              <c:idx val="0"/>
              <c:layout>
                <c:manualLayout>
                  <c:x val="-8.9395197182450814E-2"/>
                  <c:y val="-0.41554231207635967"/>
                </c:manualLayout>
              </c:layout>
              <c:spPr>
                <a:noFill/>
                <a:ln w="25401">
                  <a:noFill/>
                </a:ln>
              </c:spPr>
              <c:txPr>
                <a:bodyPr wrap="square" lIns="38100" tIns="19050" rIns="38100" bIns="19050" anchor="ctr">
                  <a:spAutoFit/>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5497034616458291"/>
                  <c:y val="3.2241770874752058E-2"/>
                </c:manualLayout>
              </c:layout>
              <c:spPr>
                <a:noFill/>
                <a:ln w="25401">
                  <a:noFill/>
                </a:ln>
              </c:spPr>
              <c:txPr>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spPr>
              <a:noFill/>
              <a:ln w="25401">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Спіронолактон призначався</c:v>
                </c:pt>
                <c:pt idx="1">
                  <c:v>Спіронолактон не призначався</c:v>
                </c:pt>
              </c:strCache>
            </c:strRef>
          </c:cat>
          <c:val>
            <c:numRef>
              <c:f>Лист1!$B$2:$B$3</c:f>
              <c:numCache>
                <c:formatCode>General</c:formatCode>
                <c:ptCount val="2"/>
                <c:pt idx="0">
                  <c:v>84.2</c:v>
                </c:pt>
                <c:pt idx="1">
                  <c:v>15.8</c:v>
                </c:pt>
              </c:numCache>
            </c:numRef>
          </c:val>
        </c:ser>
        <c:dLbls>
          <c:showLegendKey val="0"/>
          <c:showVal val="0"/>
          <c:showCatName val="0"/>
          <c:showSerName val="0"/>
          <c:showPercent val="0"/>
          <c:showBubbleSize val="0"/>
          <c:showLeaderLines val="1"/>
        </c:dLbls>
      </c:pie3DChart>
      <c:spPr>
        <a:noFill/>
        <a:ln w="25390">
          <a:noFill/>
        </a:ln>
      </c:spPr>
    </c:plotArea>
    <c:plotVisOnly val="1"/>
    <c:dispBlanksAs val="zero"/>
    <c:showDLblsOverMax val="0"/>
  </c:chart>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2.3148148148148147E-3"/>
          <c:y val="3.4722222222222224E-2"/>
          <c:w val="0.98611111111111116"/>
          <c:h val="0.94246031746031744"/>
        </c:manualLayout>
      </c:layout>
      <c:pie3DChart>
        <c:varyColors val="1"/>
        <c:ser>
          <c:idx val="0"/>
          <c:order val="0"/>
          <c:tx>
            <c:strRef>
              <c:f>Лист1!$B$1</c:f>
              <c:strCache>
                <c:ptCount val="1"/>
                <c:pt idx="0">
                  <c:v>%</c:v>
                </c:pt>
              </c:strCache>
            </c:strRef>
          </c:tx>
          <c:explosion val="25"/>
          <c:dPt>
            <c:idx val="0"/>
            <c:bubble3D val="0"/>
          </c:dPt>
          <c:dPt>
            <c:idx val="1"/>
            <c:bubble3D val="0"/>
          </c:dPt>
          <c:dLbls>
            <c:spPr>
              <a:noFill/>
              <a:ln w="25317">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Спіронолактон призначався</c:v>
                </c:pt>
                <c:pt idx="1">
                  <c:v>Спіронолактон не призначався</c:v>
                </c:pt>
              </c:strCache>
            </c:strRef>
          </c:cat>
          <c:val>
            <c:numRef>
              <c:f>Лист1!$B$2:$B$3</c:f>
              <c:numCache>
                <c:formatCode>General</c:formatCode>
                <c:ptCount val="2"/>
                <c:pt idx="0">
                  <c:v>71.400000000000006</c:v>
                </c:pt>
                <c:pt idx="1">
                  <c:v>28.6</c:v>
                </c:pt>
              </c:numCache>
            </c:numRef>
          </c:val>
        </c:ser>
        <c:dLbls>
          <c:showLegendKey val="0"/>
          <c:showVal val="0"/>
          <c:showCatName val="0"/>
          <c:showSerName val="0"/>
          <c:showPercent val="0"/>
          <c:showBubbleSize val="0"/>
          <c:showLeaderLines val="1"/>
        </c:dLbls>
      </c:pie3DChart>
      <c:spPr>
        <a:noFill/>
        <a:ln w="25384">
          <a:noFill/>
        </a:ln>
      </c:spPr>
    </c:plotArea>
    <c:plotVisOnly val="1"/>
    <c:dispBlanksAs val="zero"/>
    <c:showDLblsOverMax val="0"/>
  </c:chart>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0"/>
          <c:y val="7.8550836883094586E-3"/>
          <c:w val="0.9881863026883948"/>
          <c:h val="0.91871606213157864"/>
        </c:manualLayout>
      </c:layout>
      <c:pie3DChart>
        <c:varyColors val="1"/>
        <c:ser>
          <c:idx val="0"/>
          <c:order val="0"/>
          <c:tx>
            <c:strRef>
              <c:f>Лист1!$B$1</c:f>
              <c:strCache>
                <c:ptCount val="1"/>
                <c:pt idx="0">
                  <c:v>%</c:v>
                </c:pt>
              </c:strCache>
            </c:strRef>
          </c:tx>
          <c:explosion val="25"/>
          <c:dPt>
            <c:idx val="0"/>
            <c:bubble3D val="0"/>
          </c:dPt>
          <c:dPt>
            <c:idx val="1"/>
            <c:bubble3D val="0"/>
          </c:dPt>
          <c:dLbls>
            <c:spPr>
              <a:noFill/>
              <a:ln w="25354">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Петльові діуретики призначались</c:v>
                </c:pt>
                <c:pt idx="1">
                  <c:v>Петльові діуретики не призначались</c:v>
                </c:pt>
              </c:strCache>
            </c:strRef>
          </c:cat>
          <c:val>
            <c:numRef>
              <c:f>Лист1!$B$2:$B$3</c:f>
              <c:numCache>
                <c:formatCode>General</c:formatCode>
                <c:ptCount val="2"/>
                <c:pt idx="0">
                  <c:v>42.6</c:v>
                </c:pt>
                <c:pt idx="1">
                  <c:v>57.4</c:v>
                </c:pt>
              </c:numCache>
            </c:numRef>
          </c:val>
        </c:ser>
        <c:dLbls>
          <c:showLegendKey val="0"/>
          <c:showVal val="0"/>
          <c:showCatName val="0"/>
          <c:showSerName val="0"/>
          <c:showPercent val="0"/>
          <c:showBubbleSize val="0"/>
          <c:showLeaderLines val="1"/>
        </c:dLbls>
      </c:pie3DChart>
      <c:spPr>
        <a:noFill/>
        <a:ln w="25365">
          <a:noFill/>
        </a:ln>
      </c:spPr>
    </c:plotArea>
    <c:plotVisOnly val="1"/>
    <c:dispBlanksAs val="zero"/>
    <c:showDLblsOverMax val="0"/>
  </c:chart>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Na, ммоль/л</c:v>
                </c:pt>
              </c:strCache>
            </c:strRef>
          </c:tx>
          <c:invertIfNegative val="0"/>
          <c:cat>
            <c:strRef>
              <c:f>Лист1!$A$2:$A$3</c:f>
              <c:strCache>
                <c:ptCount val="2"/>
                <c:pt idx="0">
                  <c:v>ШКФ&gt;60 мл/хв/м2</c:v>
                </c:pt>
                <c:pt idx="1">
                  <c:v>ШКФ&lt;60 мл/хв/м2</c:v>
                </c:pt>
              </c:strCache>
            </c:strRef>
          </c:cat>
          <c:val>
            <c:numRef>
              <c:f>Лист1!$B$2:$B$3</c:f>
              <c:numCache>
                <c:formatCode>General</c:formatCode>
                <c:ptCount val="2"/>
                <c:pt idx="0">
                  <c:v>134.30000000000001</c:v>
                </c:pt>
                <c:pt idx="1">
                  <c:v>131.80000000000001</c:v>
                </c:pt>
              </c:numCache>
            </c:numRef>
          </c:val>
        </c:ser>
        <c:dLbls>
          <c:showLegendKey val="0"/>
          <c:showVal val="0"/>
          <c:showCatName val="0"/>
          <c:showSerName val="0"/>
          <c:showPercent val="0"/>
          <c:showBubbleSize val="0"/>
        </c:dLbls>
        <c:gapWidth val="150"/>
        <c:shape val="cone"/>
        <c:axId val="737901040"/>
        <c:axId val="737901432"/>
        <c:axId val="0"/>
      </c:bar3DChart>
      <c:catAx>
        <c:axId val="737901040"/>
        <c:scaling>
          <c:orientation val="minMax"/>
        </c:scaling>
        <c:delete val="0"/>
        <c:axPos val="b"/>
        <c:numFmt formatCode="General" sourceLinked="0"/>
        <c:majorTickMark val="none"/>
        <c:minorTickMark val="none"/>
        <c:tickLblPos val="nextTo"/>
        <c:crossAx val="737901432"/>
        <c:crosses val="autoZero"/>
        <c:auto val="1"/>
        <c:lblAlgn val="ctr"/>
        <c:lblOffset val="100"/>
        <c:noMultiLvlLbl val="0"/>
      </c:catAx>
      <c:valAx>
        <c:axId val="737901432"/>
        <c:scaling>
          <c:orientation val="minMax"/>
        </c:scaling>
        <c:delete val="0"/>
        <c:axPos val="l"/>
        <c:majorGridlines/>
        <c:numFmt formatCode="General" sourceLinked="1"/>
        <c:majorTickMark val="none"/>
        <c:minorTickMark val="none"/>
        <c:tickLblPos val="nextTo"/>
        <c:crossAx val="737901040"/>
        <c:crosses val="autoZero"/>
        <c:crossBetween val="between"/>
      </c:valAx>
      <c:dTable>
        <c:showHorzBorder val="1"/>
        <c:showVertBorder val="1"/>
        <c:showOutline val="1"/>
        <c:showKeys val="1"/>
      </c:dTable>
      <c:spPr>
        <a:noFill/>
        <a:ln w="25380">
          <a:noFill/>
        </a:ln>
      </c:spPr>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ВІК</c:v>
                </c:pt>
              </c:strCache>
            </c:strRef>
          </c:tx>
          <c:invertIfNegative val="0"/>
          <c:cat>
            <c:strRef>
              <c:f>Лист1!$A$2:$A$4</c:f>
              <c:strCache>
                <c:ptCount val="3"/>
                <c:pt idx="0">
                  <c:v>Гіпонатріемія</c:v>
                </c:pt>
                <c:pt idx="1">
                  <c:v>Гіпернатріемія</c:v>
                </c:pt>
                <c:pt idx="2">
                  <c:v>Нормонатріемія</c:v>
                </c:pt>
              </c:strCache>
            </c:strRef>
          </c:cat>
          <c:val>
            <c:numRef>
              <c:f>Лист1!$B$2:$B$4</c:f>
              <c:numCache>
                <c:formatCode>General</c:formatCode>
                <c:ptCount val="3"/>
                <c:pt idx="0">
                  <c:v>65.900000000000006</c:v>
                </c:pt>
                <c:pt idx="1">
                  <c:v>63.6</c:v>
                </c:pt>
                <c:pt idx="2">
                  <c:v>59.8</c:v>
                </c:pt>
              </c:numCache>
            </c:numRef>
          </c:val>
        </c:ser>
        <c:dLbls>
          <c:showLegendKey val="0"/>
          <c:showVal val="0"/>
          <c:showCatName val="0"/>
          <c:showSerName val="0"/>
          <c:showPercent val="0"/>
          <c:showBubbleSize val="0"/>
        </c:dLbls>
        <c:gapWidth val="150"/>
        <c:shape val="cylinder"/>
        <c:axId val="735705416"/>
        <c:axId val="735705808"/>
        <c:axId val="0"/>
      </c:bar3DChart>
      <c:catAx>
        <c:axId val="735705416"/>
        <c:scaling>
          <c:orientation val="minMax"/>
        </c:scaling>
        <c:delete val="0"/>
        <c:axPos val="b"/>
        <c:numFmt formatCode="General" sourceLinked="0"/>
        <c:majorTickMark val="none"/>
        <c:minorTickMark val="none"/>
        <c:tickLblPos val="nextTo"/>
        <c:crossAx val="735705808"/>
        <c:crosses val="autoZero"/>
        <c:auto val="1"/>
        <c:lblAlgn val="ctr"/>
        <c:lblOffset val="100"/>
        <c:noMultiLvlLbl val="0"/>
      </c:catAx>
      <c:valAx>
        <c:axId val="735705808"/>
        <c:scaling>
          <c:orientation val="minMax"/>
        </c:scaling>
        <c:delete val="0"/>
        <c:axPos val="l"/>
        <c:majorGridlines/>
        <c:numFmt formatCode="General" sourceLinked="1"/>
        <c:majorTickMark val="none"/>
        <c:minorTickMark val="none"/>
        <c:tickLblPos val="nextTo"/>
        <c:crossAx val="735705416"/>
        <c:crosses val="autoZero"/>
        <c:crossBetween val="between"/>
      </c:valAx>
      <c:dTable>
        <c:showHorzBorder val="1"/>
        <c:showVertBorder val="1"/>
        <c:showOutline val="1"/>
        <c:showKeys val="1"/>
      </c:dTable>
      <c:spPr>
        <a:noFill/>
        <a:ln w="25401">
          <a:noFill/>
        </a:ln>
      </c:spPr>
    </c:plotArea>
    <c:plotVisOnly val="1"/>
    <c:dispBlanksAs val="gap"/>
    <c:showDLblsOverMax val="0"/>
  </c:chart>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ІМТ</c:v>
                </c:pt>
              </c:strCache>
            </c:strRef>
          </c:tx>
          <c:invertIfNegative val="0"/>
          <c:cat>
            <c:strRef>
              <c:f>Лист1!$A$2:$A$4</c:f>
              <c:strCache>
                <c:ptCount val="3"/>
                <c:pt idx="0">
                  <c:v>Гіпонатріемія</c:v>
                </c:pt>
                <c:pt idx="1">
                  <c:v>Нормонатріемія</c:v>
                </c:pt>
                <c:pt idx="2">
                  <c:v>Гіпернатріемія</c:v>
                </c:pt>
              </c:strCache>
            </c:strRef>
          </c:cat>
          <c:val>
            <c:numRef>
              <c:f>Лист1!$B$2:$B$4</c:f>
              <c:numCache>
                <c:formatCode>General</c:formatCode>
                <c:ptCount val="3"/>
                <c:pt idx="0">
                  <c:v>32.299999999999997</c:v>
                </c:pt>
                <c:pt idx="1">
                  <c:v>28.7</c:v>
                </c:pt>
                <c:pt idx="2">
                  <c:v>27.3</c:v>
                </c:pt>
              </c:numCache>
            </c:numRef>
          </c:val>
        </c:ser>
        <c:dLbls>
          <c:showLegendKey val="0"/>
          <c:showVal val="0"/>
          <c:showCatName val="0"/>
          <c:showSerName val="0"/>
          <c:showPercent val="0"/>
          <c:showBubbleSize val="0"/>
        </c:dLbls>
        <c:gapWidth val="150"/>
        <c:shape val="cylinder"/>
        <c:axId val="544179880"/>
        <c:axId val="544177528"/>
        <c:axId val="0"/>
      </c:bar3DChart>
      <c:catAx>
        <c:axId val="544179880"/>
        <c:scaling>
          <c:orientation val="minMax"/>
        </c:scaling>
        <c:delete val="0"/>
        <c:axPos val="b"/>
        <c:numFmt formatCode="General" sourceLinked="0"/>
        <c:majorTickMark val="none"/>
        <c:minorTickMark val="none"/>
        <c:tickLblPos val="nextTo"/>
        <c:crossAx val="544177528"/>
        <c:crosses val="autoZero"/>
        <c:auto val="1"/>
        <c:lblAlgn val="ctr"/>
        <c:lblOffset val="100"/>
        <c:noMultiLvlLbl val="0"/>
      </c:catAx>
      <c:valAx>
        <c:axId val="544177528"/>
        <c:scaling>
          <c:orientation val="minMax"/>
        </c:scaling>
        <c:delete val="0"/>
        <c:axPos val="l"/>
        <c:majorGridlines/>
        <c:numFmt formatCode="General" sourceLinked="1"/>
        <c:majorTickMark val="none"/>
        <c:minorTickMark val="none"/>
        <c:tickLblPos val="nextTo"/>
        <c:crossAx val="544179880"/>
        <c:crosses val="autoZero"/>
        <c:crossBetween val="between"/>
      </c:valAx>
      <c:dTable>
        <c:showHorzBorder val="1"/>
        <c:showVertBorder val="1"/>
        <c:showOutline val="1"/>
        <c:showKeys val="1"/>
      </c:dTable>
      <c:spPr>
        <a:noFill/>
        <a:ln w="25401">
          <a:noFill/>
        </a:ln>
      </c:spPr>
    </c:plotArea>
    <c:plotVisOnly val="1"/>
    <c:dispBlanksAs val="gap"/>
    <c:showDLblsOverMax val="0"/>
  </c:chart>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пмоль/мл</c:v>
                </c:pt>
              </c:strCache>
            </c:strRef>
          </c:tx>
          <c:invertIfNegative val="0"/>
          <c:cat>
            <c:strRef>
              <c:f>Лист1!$A$2:$A$4</c:f>
              <c:strCache>
                <c:ptCount val="3"/>
                <c:pt idx="0">
                  <c:v>Нормонатріемія</c:v>
                </c:pt>
                <c:pt idx="1">
                  <c:v>Гіпернатріемія</c:v>
                </c:pt>
                <c:pt idx="2">
                  <c:v>Гіпонатріемія</c:v>
                </c:pt>
              </c:strCache>
            </c:strRef>
          </c:cat>
          <c:val>
            <c:numRef>
              <c:f>Лист1!$B$2:$B$4</c:f>
              <c:numCache>
                <c:formatCode>General</c:formatCode>
                <c:ptCount val="3"/>
                <c:pt idx="0">
                  <c:v>229.1</c:v>
                </c:pt>
                <c:pt idx="1">
                  <c:v>192.5</c:v>
                </c:pt>
                <c:pt idx="2">
                  <c:v>188.9</c:v>
                </c:pt>
              </c:numCache>
            </c:numRef>
          </c:val>
        </c:ser>
        <c:dLbls>
          <c:showLegendKey val="0"/>
          <c:showVal val="0"/>
          <c:showCatName val="0"/>
          <c:showSerName val="0"/>
          <c:showPercent val="0"/>
          <c:showBubbleSize val="0"/>
        </c:dLbls>
        <c:gapWidth val="150"/>
        <c:shape val="cylinder"/>
        <c:axId val="544865464"/>
        <c:axId val="385950800"/>
        <c:axId val="0"/>
      </c:bar3DChart>
      <c:catAx>
        <c:axId val="544865464"/>
        <c:scaling>
          <c:orientation val="minMax"/>
        </c:scaling>
        <c:delete val="0"/>
        <c:axPos val="b"/>
        <c:numFmt formatCode="General" sourceLinked="0"/>
        <c:majorTickMark val="none"/>
        <c:minorTickMark val="none"/>
        <c:tickLblPos val="nextTo"/>
        <c:crossAx val="385950800"/>
        <c:crosses val="autoZero"/>
        <c:auto val="1"/>
        <c:lblAlgn val="ctr"/>
        <c:lblOffset val="100"/>
        <c:noMultiLvlLbl val="0"/>
      </c:catAx>
      <c:valAx>
        <c:axId val="385950800"/>
        <c:scaling>
          <c:orientation val="minMax"/>
          <c:min val="150"/>
        </c:scaling>
        <c:delete val="0"/>
        <c:axPos val="l"/>
        <c:majorGridlines/>
        <c:numFmt formatCode="General" sourceLinked="1"/>
        <c:majorTickMark val="none"/>
        <c:minorTickMark val="none"/>
        <c:tickLblPos val="nextTo"/>
        <c:crossAx val="544865464"/>
        <c:crosses val="autoZero"/>
        <c:crossBetween val="between"/>
      </c:valAx>
      <c:dTable>
        <c:showHorzBorder val="1"/>
        <c:showVertBorder val="1"/>
        <c:showOutline val="1"/>
        <c:showKeys val="1"/>
      </c:dTable>
      <c:spPr>
        <a:noFill/>
        <a:ln w="25399">
          <a:noFill/>
        </a:ln>
      </c:spPr>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пмоль/мл</c:v>
                </c:pt>
              </c:strCache>
            </c:strRef>
          </c:tx>
          <c:invertIfNegative val="0"/>
          <c:cat>
            <c:strRef>
              <c:f>Лист1!$A$2:$A$4</c:f>
              <c:strCache>
                <c:ptCount val="3"/>
                <c:pt idx="0">
                  <c:v>Нормонатріемія</c:v>
                </c:pt>
                <c:pt idx="1">
                  <c:v>Гіпернатріемія</c:v>
                </c:pt>
                <c:pt idx="2">
                  <c:v>Гіпонатріемія</c:v>
                </c:pt>
              </c:strCache>
            </c:strRef>
          </c:cat>
          <c:val>
            <c:numRef>
              <c:f>Лист1!$B$2:$B$4</c:f>
              <c:numCache>
                <c:formatCode>General</c:formatCode>
                <c:ptCount val="3"/>
                <c:pt idx="0">
                  <c:v>90.6</c:v>
                </c:pt>
                <c:pt idx="1">
                  <c:v>118.2</c:v>
                </c:pt>
                <c:pt idx="2">
                  <c:v>75.5</c:v>
                </c:pt>
              </c:numCache>
            </c:numRef>
          </c:val>
        </c:ser>
        <c:dLbls>
          <c:showLegendKey val="0"/>
          <c:showVal val="0"/>
          <c:showCatName val="0"/>
          <c:showSerName val="0"/>
          <c:showPercent val="0"/>
          <c:showBubbleSize val="0"/>
        </c:dLbls>
        <c:gapWidth val="150"/>
        <c:shape val="box"/>
        <c:axId val="738251440"/>
        <c:axId val="738251832"/>
        <c:axId val="0"/>
      </c:bar3DChart>
      <c:catAx>
        <c:axId val="738251440"/>
        <c:scaling>
          <c:orientation val="minMax"/>
        </c:scaling>
        <c:delete val="0"/>
        <c:axPos val="b"/>
        <c:numFmt formatCode="General" sourceLinked="0"/>
        <c:majorTickMark val="none"/>
        <c:minorTickMark val="none"/>
        <c:tickLblPos val="nextTo"/>
        <c:crossAx val="738251832"/>
        <c:crosses val="autoZero"/>
        <c:auto val="1"/>
        <c:lblAlgn val="ctr"/>
        <c:lblOffset val="100"/>
        <c:noMultiLvlLbl val="0"/>
      </c:catAx>
      <c:valAx>
        <c:axId val="738251832"/>
        <c:scaling>
          <c:orientation val="minMax"/>
          <c:min val="50"/>
        </c:scaling>
        <c:delete val="0"/>
        <c:axPos val="l"/>
        <c:majorGridlines/>
        <c:numFmt formatCode="General" sourceLinked="1"/>
        <c:majorTickMark val="none"/>
        <c:minorTickMark val="none"/>
        <c:tickLblPos val="nextTo"/>
        <c:crossAx val="738251440"/>
        <c:crosses val="autoZero"/>
        <c:crossBetween val="between"/>
      </c:valAx>
      <c:dTable>
        <c:showHorzBorder val="1"/>
        <c:showVertBorder val="1"/>
        <c:showOutline val="1"/>
        <c:showKeys val="1"/>
      </c:dTable>
      <c:spPr>
        <a:noFill/>
        <a:ln w="25400">
          <a:noFill/>
        </a:ln>
      </c:spPr>
    </c:plotArea>
    <c:plotVisOnly val="1"/>
    <c:dispBlanksAs val="gap"/>
    <c:showDLblsOverMax val="0"/>
  </c:chart>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c:v>
                </c:pt>
              </c:strCache>
            </c:strRef>
          </c:tx>
          <c:explosion val="25"/>
          <c:dPt>
            <c:idx val="0"/>
            <c:bubble3D val="0"/>
          </c:dPt>
          <c:dPt>
            <c:idx val="1"/>
            <c:bubble3D val="0"/>
          </c:dPt>
          <c:dPt>
            <c:idx val="2"/>
            <c:bubble3D val="0"/>
          </c:dPt>
          <c:dLbls>
            <c:dLbl>
              <c:idx val="0"/>
              <c:layout>
                <c:manualLayout>
                  <c:x val="8.0932473646979794E-2"/>
                  <c:y val="3.8352925431063355E-2"/>
                </c:manualLayout>
              </c:layout>
              <c:spPr>
                <a:noFill/>
                <a:ln w="25357">
                  <a:noFill/>
                </a:ln>
              </c:spPr>
              <c:txPr>
                <a:bodyPr wrap="square" lIns="38100" tIns="19050" rIns="38100" bIns="19050" anchor="ctr">
                  <a:spAutoFit/>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1304264199350612"/>
                  <c:y val="-0.24711867795769199"/>
                </c:manualLayout>
              </c:layout>
              <c:spPr>
                <a:noFill/>
                <a:ln w="25357">
                  <a:noFill/>
                </a:ln>
              </c:spPr>
              <c:txPr>
                <a:bodyPr wrap="square" lIns="38100" tIns="19050" rIns="38100" bIns="19050" anchor="ctr">
                  <a:spAutoFit/>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2.6064944201562436E-2"/>
                  <c:y val="-0.1323046552608686"/>
                </c:manualLayout>
              </c:layout>
              <c:spPr>
                <a:noFill/>
                <a:ln w="25357">
                  <a:noFill/>
                </a:ln>
              </c:spPr>
              <c:txPr>
                <a:bodyPr wrap="square" lIns="38100" tIns="19050" rIns="38100" bIns="19050" anchor="ctr">
                  <a:spAutoFit/>
                </a:bodyPr>
                <a:lstStyle/>
                <a:p>
                  <a:pPr>
                    <a:defRPr/>
                  </a:pPr>
                  <a:endParaRPr lang="ru-RU"/>
                </a:p>
              </c:txPr>
              <c:dLblPos val="bestFit"/>
              <c:showLegendKey val="0"/>
              <c:showVal val="0"/>
              <c:showCatName val="1"/>
              <c:showSerName val="0"/>
              <c:showPercent val="1"/>
              <c:showBubbleSize val="0"/>
              <c:extLst>
                <c:ext xmlns:c15="http://schemas.microsoft.com/office/drawing/2012/chart" uri="{CE6537A1-D6FC-4f65-9D91-7224C49458BB}"/>
              </c:extLst>
            </c:dLbl>
            <c:spPr>
              <a:noFill/>
              <a:ln w="25357">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Лист1!$A$2:$A$4</c:f>
              <c:strCache>
                <c:ptCount val="3"/>
                <c:pt idx="0">
                  <c:v>ІМТ 18,5-24,9</c:v>
                </c:pt>
                <c:pt idx="1">
                  <c:v>ІМТ 25-30</c:v>
                </c:pt>
                <c:pt idx="2">
                  <c:v>ІМТ &gt; 30</c:v>
                </c:pt>
              </c:strCache>
            </c:strRef>
          </c:cat>
          <c:val>
            <c:numRef>
              <c:f>Лист1!$B$2:$B$4</c:f>
              <c:numCache>
                <c:formatCode>General</c:formatCode>
                <c:ptCount val="3"/>
                <c:pt idx="0">
                  <c:v>27.4</c:v>
                </c:pt>
                <c:pt idx="1">
                  <c:v>24</c:v>
                </c:pt>
                <c:pt idx="2">
                  <c:v>48.6</c:v>
                </c:pt>
              </c:numCache>
            </c:numRef>
          </c:val>
        </c:ser>
        <c:dLbls>
          <c:showLegendKey val="0"/>
          <c:showVal val="0"/>
          <c:showCatName val="0"/>
          <c:showSerName val="0"/>
          <c:showPercent val="0"/>
          <c:showBubbleSize val="0"/>
          <c:showLeaderLines val="1"/>
        </c:dLbls>
      </c:pie3DChart>
      <c:spPr>
        <a:noFill/>
        <a:ln w="25366">
          <a:noFill/>
        </a:ln>
      </c:spPr>
    </c:plotArea>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rAngAx val="0"/>
      <c:perspective val="0"/>
    </c:view3D>
    <c:floor>
      <c:thickness val="0"/>
    </c:floor>
    <c:sideWall>
      <c:thickness val="0"/>
    </c:sideWall>
    <c:backWall>
      <c:thickness val="0"/>
    </c:backWall>
    <c:plotArea>
      <c:layout>
        <c:manualLayout>
          <c:layoutTarget val="inner"/>
          <c:xMode val="edge"/>
          <c:yMode val="edge"/>
          <c:x val="2.3148148148148147E-2"/>
          <c:y val="0.10615079365079365"/>
          <c:w val="0.97685185185185264"/>
          <c:h val="0.89384920634921194"/>
        </c:manualLayout>
      </c:layout>
      <c:pie3DChart>
        <c:varyColors val="1"/>
        <c:ser>
          <c:idx val="0"/>
          <c:order val="0"/>
          <c:tx>
            <c:strRef>
              <c:f>Лист1!$B$1</c:f>
              <c:strCache>
                <c:ptCount val="1"/>
                <c:pt idx="0">
                  <c:v>%</c:v>
                </c:pt>
              </c:strCache>
            </c:strRef>
          </c:tx>
          <c:explosion val="25"/>
          <c:dPt>
            <c:idx val="0"/>
            <c:bubble3D val="0"/>
          </c:dPt>
          <c:dPt>
            <c:idx val="1"/>
            <c:bubble3D val="0"/>
          </c:dPt>
          <c:dLbls>
            <c:spPr>
              <a:noFill/>
              <a:ln w="25337">
                <a:noFill/>
              </a:ln>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Лист1!$A$2:$A$3</c:f>
              <c:strCache>
                <c:ptCount val="2"/>
                <c:pt idx="0">
                  <c:v>ШКФ &lt;60 мл/хв/м2</c:v>
                </c:pt>
                <c:pt idx="1">
                  <c:v>ШКФ &gt;60 мл/хв/м2</c:v>
                </c:pt>
              </c:strCache>
            </c:strRef>
          </c:cat>
          <c:val>
            <c:numRef>
              <c:f>Лист1!$B$2:$B$3</c:f>
              <c:numCache>
                <c:formatCode>General</c:formatCode>
                <c:ptCount val="2"/>
                <c:pt idx="0">
                  <c:v>25.6</c:v>
                </c:pt>
                <c:pt idx="1">
                  <c:v>74.400000000000006</c:v>
                </c:pt>
              </c:numCache>
            </c:numRef>
          </c:val>
        </c:ser>
        <c:dLbls>
          <c:showLegendKey val="0"/>
          <c:showVal val="0"/>
          <c:showCatName val="0"/>
          <c:showSerName val="0"/>
          <c:showPercent val="0"/>
          <c:showBubbleSize val="0"/>
          <c:showLeaderLines val="1"/>
        </c:dLbls>
      </c:pie3DChart>
      <c:spPr>
        <a:noFill/>
        <a:ln w="25373">
          <a:noFill/>
        </a:ln>
      </c:spPr>
    </c:plotArea>
    <c:plotVisOnly val="1"/>
    <c:dispBlanksAs val="zero"/>
    <c:showDLblsOverMax val="0"/>
  </c:chart>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0.28472</cdr:x>
      <cdr:y>0</cdr:y>
    </cdr:from>
    <cdr:to>
      <cdr:x>0.32361</cdr:x>
      <cdr:y>0.07357</cdr:y>
    </cdr:to>
    <cdr:sp macro="" textlink="">
      <cdr:nvSpPr>
        <cdr:cNvPr id="2" name="5-конечная звезда 1"/>
        <cdr:cNvSpPr/>
      </cdr:nvSpPr>
      <cdr:spPr>
        <a:xfrm xmlns:a="http://schemas.openxmlformats.org/drawingml/2006/main">
          <a:off x="1562100" y="0"/>
          <a:ext cx="213360" cy="20574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0.xml><?xml version="1.0" encoding="utf-8"?>
<c:userShapes xmlns:c="http://schemas.openxmlformats.org/drawingml/2006/chart">
  <cdr:relSizeAnchor xmlns:cdr="http://schemas.openxmlformats.org/drawingml/2006/chartDrawing">
    <cdr:from>
      <cdr:x>0.5168</cdr:x>
      <cdr:y>0.0202</cdr:y>
    </cdr:from>
    <cdr:to>
      <cdr:x>0.58915</cdr:x>
      <cdr:y>0.11448</cdr:y>
    </cdr:to>
    <cdr:sp macro="" textlink="">
      <cdr:nvSpPr>
        <cdr:cNvPr id="2" name="5-конечная звезда 1"/>
        <cdr:cNvSpPr/>
      </cdr:nvSpPr>
      <cdr:spPr>
        <a:xfrm xmlns:a="http://schemas.openxmlformats.org/drawingml/2006/main">
          <a:off x="1524000" y="45720"/>
          <a:ext cx="213360" cy="21336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0.76916</cdr:x>
      <cdr:y>0.02918</cdr:y>
    </cdr:from>
    <cdr:to>
      <cdr:x>0.84152</cdr:x>
      <cdr:y>0.12346</cdr:y>
    </cdr:to>
    <cdr:sp macro="" textlink="">
      <cdr:nvSpPr>
        <cdr:cNvPr id="3" name="5-конечная звезда 2"/>
        <cdr:cNvSpPr/>
      </cdr:nvSpPr>
      <cdr:spPr>
        <a:xfrm xmlns:a="http://schemas.openxmlformats.org/drawingml/2006/main">
          <a:off x="2268220" y="66040"/>
          <a:ext cx="213360" cy="21336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11.xml><?xml version="1.0" encoding="utf-8"?>
<c:userShapes xmlns:c="http://schemas.openxmlformats.org/drawingml/2006/chart">
  <cdr:relSizeAnchor xmlns:cdr="http://schemas.openxmlformats.org/drawingml/2006/chartDrawing">
    <cdr:from>
      <cdr:x>0.51532</cdr:x>
      <cdr:y>0.06441</cdr:y>
    </cdr:from>
    <cdr:to>
      <cdr:x>0.5961</cdr:x>
      <cdr:y>0.17966</cdr:y>
    </cdr:to>
    <cdr:sp macro="" textlink="">
      <cdr:nvSpPr>
        <cdr:cNvPr id="2" name="5-конечная звезда 1"/>
        <cdr:cNvSpPr/>
      </cdr:nvSpPr>
      <cdr:spPr>
        <a:xfrm xmlns:a="http://schemas.openxmlformats.org/drawingml/2006/main">
          <a:off x="1409700" y="144780"/>
          <a:ext cx="220980" cy="25908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0.76509</cdr:x>
      <cdr:y>0.02599</cdr:y>
    </cdr:from>
    <cdr:to>
      <cdr:x>0.84587</cdr:x>
      <cdr:y>0.14124</cdr:y>
    </cdr:to>
    <cdr:sp macro="" textlink="">
      <cdr:nvSpPr>
        <cdr:cNvPr id="3" name="5-конечная звезда 2"/>
        <cdr:cNvSpPr/>
      </cdr:nvSpPr>
      <cdr:spPr>
        <a:xfrm xmlns:a="http://schemas.openxmlformats.org/drawingml/2006/main">
          <a:off x="2092960" y="58420"/>
          <a:ext cx="220980" cy="25908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12.xml><?xml version="1.0" encoding="utf-8"?>
<c:userShapes xmlns:c="http://schemas.openxmlformats.org/drawingml/2006/chart">
  <cdr:relSizeAnchor xmlns:cdr="http://schemas.openxmlformats.org/drawingml/2006/chartDrawing">
    <cdr:from>
      <cdr:x>0.50254</cdr:x>
      <cdr:y>0.03989</cdr:y>
    </cdr:from>
    <cdr:to>
      <cdr:x>0.59391</cdr:x>
      <cdr:y>0.1396</cdr:y>
    </cdr:to>
    <cdr:sp macro="" textlink="">
      <cdr:nvSpPr>
        <cdr:cNvPr id="2" name="5-конечная звезда 1"/>
        <cdr:cNvSpPr/>
      </cdr:nvSpPr>
      <cdr:spPr>
        <a:xfrm xmlns:a="http://schemas.openxmlformats.org/drawingml/2006/main">
          <a:off x="1508760" y="106680"/>
          <a:ext cx="274320" cy="26670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0.76819</cdr:x>
      <cdr:y>0.18993</cdr:y>
    </cdr:from>
    <cdr:to>
      <cdr:x>0.85956</cdr:x>
      <cdr:y>0.28965</cdr:y>
    </cdr:to>
    <cdr:sp macro="" textlink="">
      <cdr:nvSpPr>
        <cdr:cNvPr id="3" name="5-конечная звезда 2"/>
        <cdr:cNvSpPr/>
      </cdr:nvSpPr>
      <cdr:spPr>
        <a:xfrm xmlns:a="http://schemas.openxmlformats.org/drawingml/2006/main">
          <a:off x="2306320" y="508000"/>
          <a:ext cx="274320" cy="26670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13.xml><?xml version="1.0" encoding="utf-8"?>
<c:userShapes xmlns:c="http://schemas.openxmlformats.org/drawingml/2006/chart">
  <cdr:relSizeAnchor xmlns:cdr="http://schemas.openxmlformats.org/drawingml/2006/chartDrawing">
    <cdr:from>
      <cdr:x>0.3</cdr:x>
      <cdr:y>0.35621</cdr:y>
    </cdr:from>
    <cdr:to>
      <cdr:x>0.34444</cdr:x>
      <cdr:y>0.46732</cdr:y>
    </cdr:to>
    <cdr:sp macro="" textlink="">
      <cdr:nvSpPr>
        <cdr:cNvPr id="2" name="5-конечная звезда 1"/>
        <cdr:cNvSpPr/>
      </cdr:nvSpPr>
      <cdr:spPr>
        <a:xfrm xmlns:a="http://schemas.openxmlformats.org/drawingml/2006/main">
          <a:off x="1645920" y="830580"/>
          <a:ext cx="243840" cy="25908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4.xml><?xml version="1.0" encoding="utf-8"?>
<c:userShapes xmlns:c="http://schemas.openxmlformats.org/drawingml/2006/chart">
  <cdr:relSizeAnchor xmlns:cdr="http://schemas.openxmlformats.org/drawingml/2006/chartDrawing">
    <cdr:from>
      <cdr:x>0.42639</cdr:x>
      <cdr:y>0.38562</cdr:y>
    </cdr:from>
    <cdr:to>
      <cdr:x>0.47083</cdr:x>
      <cdr:y>0.49673</cdr:y>
    </cdr:to>
    <cdr:sp macro="" textlink="">
      <cdr:nvSpPr>
        <cdr:cNvPr id="2" name="5-конечная звезда 1"/>
        <cdr:cNvSpPr/>
      </cdr:nvSpPr>
      <cdr:spPr>
        <a:xfrm xmlns:a="http://schemas.openxmlformats.org/drawingml/2006/main">
          <a:off x="2339340" y="899162"/>
          <a:ext cx="243816" cy="259077"/>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5.xml><?xml version="1.0" encoding="utf-8"?>
<c:userShapes xmlns:c="http://schemas.openxmlformats.org/drawingml/2006/chart">
  <cdr:relSizeAnchor xmlns:cdr="http://schemas.openxmlformats.org/drawingml/2006/chartDrawing">
    <cdr:from>
      <cdr:x>0.39861</cdr:x>
      <cdr:y>0.05453</cdr:y>
    </cdr:from>
    <cdr:to>
      <cdr:x>0.45694</cdr:x>
      <cdr:y>0.17917</cdr:y>
    </cdr:to>
    <cdr:sp macro="" textlink="">
      <cdr:nvSpPr>
        <cdr:cNvPr id="2" name="5-конечная звезда 1"/>
        <cdr:cNvSpPr/>
      </cdr:nvSpPr>
      <cdr:spPr>
        <a:xfrm xmlns:a="http://schemas.openxmlformats.org/drawingml/2006/main">
          <a:off x="2186940" y="99722"/>
          <a:ext cx="320040" cy="227938"/>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6.xml><?xml version="1.0" encoding="utf-8"?>
<c:userShapes xmlns:c="http://schemas.openxmlformats.org/drawingml/2006/chart">
  <cdr:relSizeAnchor xmlns:cdr="http://schemas.openxmlformats.org/drawingml/2006/chartDrawing">
    <cdr:from>
      <cdr:x>0.28249</cdr:x>
      <cdr:y>0.02294</cdr:y>
    </cdr:from>
    <cdr:to>
      <cdr:x>0.34082</cdr:x>
      <cdr:y>0.14758</cdr:y>
    </cdr:to>
    <cdr:sp macro="" textlink="">
      <cdr:nvSpPr>
        <cdr:cNvPr id="2" name="5-конечная звезда 1"/>
        <cdr:cNvSpPr/>
      </cdr:nvSpPr>
      <cdr:spPr>
        <a:xfrm xmlns:a="http://schemas.openxmlformats.org/drawingml/2006/main">
          <a:off x="815827" y="38100"/>
          <a:ext cx="168456" cy="207047"/>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17.xml><?xml version="1.0" encoding="utf-8"?>
<c:userShapes xmlns:c="http://schemas.openxmlformats.org/drawingml/2006/chart">
  <cdr:relSizeAnchor xmlns:cdr="http://schemas.openxmlformats.org/drawingml/2006/chartDrawing">
    <cdr:from>
      <cdr:x>0.3129</cdr:x>
      <cdr:y>0.02995</cdr:y>
    </cdr:from>
    <cdr:to>
      <cdr:x>0.37123</cdr:x>
      <cdr:y>0.15459</cdr:y>
    </cdr:to>
    <cdr:sp macro="" textlink="">
      <cdr:nvSpPr>
        <cdr:cNvPr id="2" name="5-конечная звезда 1"/>
        <cdr:cNvSpPr/>
      </cdr:nvSpPr>
      <cdr:spPr>
        <a:xfrm xmlns:a="http://schemas.openxmlformats.org/drawingml/2006/main">
          <a:off x="979950" y="49754"/>
          <a:ext cx="182679" cy="207047"/>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2.xml><?xml version="1.0" encoding="utf-8"?>
<c:userShapes xmlns:c="http://schemas.openxmlformats.org/drawingml/2006/chart">
  <cdr:relSizeAnchor xmlns:cdr="http://schemas.openxmlformats.org/drawingml/2006/chartDrawing">
    <cdr:from>
      <cdr:x>0.28333</cdr:x>
      <cdr:y>0.03542</cdr:y>
    </cdr:from>
    <cdr:to>
      <cdr:x>0.32222</cdr:x>
      <cdr:y>0.10899</cdr:y>
    </cdr:to>
    <cdr:sp macro="" textlink="">
      <cdr:nvSpPr>
        <cdr:cNvPr id="2" name="5-конечная звезда 1"/>
        <cdr:cNvSpPr/>
      </cdr:nvSpPr>
      <cdr:spPr>
        <a:xfrm xmlns:a="http://schemas.openxmlformats.org/drawingml/2006/main">
          <a:off x="1554468" y="99060"/>
          <a:ext cx="213366" cy="205741"/>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3.xml><?xml version="1.0" encoding="utf-8"?>
<c:userShapes xmlns:c="http://schemas.openxmlformats.org/drawingml/2006/chart">
  <cdr:relSizeAnchor xmlns:cdr="http://schemas.openxmlformats.org/drawingml/2006/chartDrawing">
    <cdr:from>
      <cdr:x>0.74306</cdr:x>
      <cdr:y>0.38024</cdr:y>
    </cdr:from>
    <cdr:to>
      <cdr:x>0.79444</cdr:x>
      <cdr:y>0.47904</cdr:y>
    </cdr:to>
    <cdr:sp macro="" textlink="">
      <cdr:nvSpPr>
        <cdr:cNvPr id="2" name="5-конечная звезда 1"/>
        <cdr:cNvSpPr/>
      </cdr:nvSpPr>
      <cdr:spPr>
        <a:xfrm xmlns:a="http://schemas.openxmlformats.org/drawingml/2006/main">
          <a:off x="4076700" y="967740"/>
          <a:ext cx="281940" cy="25146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0.80972</cdr:x>
      <cdr:y>0.4012</cdr:y>
    </cdr:from>
    <cdr:to>
      <cdr:x>0.84861</cdr:x>
      <cdr:y>0.48503</cdr:y>
    </cdr:to>
    <cdr:sp macro="" textlink="">
      <cdr:nvSpPr>
        <cdr:cNvPr id="3" name="Равнобедренный треугольник 2"/>
        <cdr:cNvSpPr/>
      </cdr:nvSpPr>
      <cdr:spPr>
        <a:xfrm xmlns:a="http://schemas.openxmlformats.org/drawingml/2006/main">
          <a:off x="4442460" y="1021080"/>
          <a:ext cx="213360" cy="213360"/>
        </a:xfrm>
        <a:prstGeom xmlns:a="http://schemas.openxmlformats.org/drawingml/2006/main" prst="triangle">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0.33408</cdr:x>
      <cdr:y>0.24675</cdr:y>
    </cdr:from>
    <cdr:to>
      <cdr:x>0.38547</cdr:x>
      <cdr:y>0.34406</cdr:y>
    </cdr:to>
    <cdr:sp macro="" textlink="">
      <cdr:nvSpPr>
        <cdr:cNvPr id="5" name="5-конечная звезда 4"/>
        <cdr:cNvSpPr/>
      </cdr:nvSpPr>
      <cdr:spPr>
        <a:xfrm xmlns:a="http://schemas.openxmlformats.org/drawingml/2006/main">
          <a:off x="1828800" y="632460"/>
          <a:ext cx="281940" cy="24384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4.xml><?xml version="1.0" encoding="utf-8"?>
<c:userShapes xmlns:c="http://schemas.openxmlformats.org/drawingml/2006/chart">
  <cdr:relSizeAnchor xmlns:cdr="http://schemas.openxmlformats.org/drawingml/2006/chartDrawing">
    <cdr:from>
      <cdr:x>0.55833</cdr:x>
      <cdr:y>0.6087</cdr:y>
    </cdr:from>
    <cdr:to>
      <cdr:x>0.6</cdr:x>
      <cdr:y>0.69054</cdr:y>
    </cdr:to>
    <cdr:sp macro="" textlink="">
      <cdr:nvSpPr>
        <cdr:cNvPr id="2" name="5-конечная звезда 1"/>
        <cdr:cNvSpPr/>
      </cdr:nvSpPr>
      <cdr:spPr>
        <a:xfrm xmlns:a="http://schemas.openxmlformats.org/drawingml/2006/main">
          <a:off x="3063240" y="1813560"/>
          <a:ext cx="228600" cy="24384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0.77731</cdr:x>
      <cdr:y>0.48764</cdr:y>
    </cdr:from>
    <cdr:to>
      <cdr:x>0.81898</cdr:x>
      <cdr:y>0.56948</cdr:y>
    </cdr:to>
    <cdr:sp macro="" textlink="">
      <cdr:nvSpPr>
        <cdr:cNvPr id="3" name="5-конечная звезда 2"/>
        <cdr:cNvSpPr/>
      </cdr:nvSpPr>
      <cdr:spPr>
        <a:xfrm xmlns:a="http://schemas.openxmlformats.org/drawingml/2006/main">
          <a:off x="4264660" y="1452880"/>
          <a:ext cx="228600" cy="24384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5.xml><?xml version="1.0" encoding="utf-8"?>
<c:userShapes xmlns:c="http://schemas.openxmlformats.org/drawingml/2006/chart">
  <cdr:relSizeAnchor xmlns:cdr="http://schemas.openxmlformats.org/drawingml/2006/chartDrawing">
    <cdr:from>
      <cdr:x>0.33203</cdr:x>
      <cdr:y>0.59802</cdr:y>
    </cdr:from>
    <cdr:to>
      <cdr:x>0.3737</cdr:x>
      <cdr:y>0.67986</cdr:y>
    </cdr:to>
    <cdr:sp macro="" textlink="">
      <cdr:nvSpPr>
        <cdr:cNvPr id="2" name="5-конечная звезда 1"/>
        <cdr:cNvSpPr/>
      </cdr:nvSpPr>
      <cdr:spPr>
        <a:xfrm xmlns:a="http://schemas.openxmlformats.org/drawingml/2006/main">
          <a:off x="1825240" y="1786701"/>
          <a:ext cx="229068" cy="244511"/>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0.7541</cdr:x>
      <cdr:y>0.04626</cdr:y>
    </cdr:from>
    <cdr:to>
      <cdr:x>0.79577</cdr:x>
      <cdr:y>0.1281</cdr:y>
    </cdr:to>
    <cdr:sp macro="" textlink="">
      <cdr:nvSpPr>
        <cdr:cNvPr id="3" name="5-конечная звезда 2"/>
        <cdr:cNvSpPr/>
      </cdr:nvSpPr>
      <cdr:spPr>
        <a:xfrm xmlns:a="http://schemas.openxmlformats.org/drawingml/2006/main">
          <a:off x="4145433" y="138224"/>
          <a:ext cx="229068" cy="244511"/>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0.80268</cdr:x>
      <cdr:y>0.03915</cdr:y>
    </cdr:from>
    <cdr:to>
      <cdr:x>0.83363</cdr:x>
      <cdr:y>0.121</cdr:y>
    </cdr:to>
    <cdr:sp macro="" textlink="">
      <cdr:nvSpPr>
        <cdr:cNvPr id="4" name="Равнобедренный треугольник 3"/>
        <cdr:cNvSpPr/>
      </cdr:nvSpPr>
      <cdr:spPr>
        <a:xfrm xmlns:a="http://schemas.openxmlformats.org/drawingml/2006/main">
          <a:off x="4412512" y="116959"/>
          <a:ext cx="170121" cy="244548"/>
        </a:xfrm>
        <a:prstGeom xmlns:a="http://schemas.openxmlformats.org/drawingml/2006/main" prst="triangle">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6.xml><?xml version="1.0" encoding="utf-8"?>
<c:userShapes xmlns:c="http://schemas.openxmlformats.org/drawingml/2006/chart">
  <cdr:relSizeAnchor xmlns:cdr="http://schemas.openxmlformats.org/drawingml/2006/chartDrawing">
    <cdr:from>
      <cdr:x>0.75139</cdr:x>
      <cdr:y>0.04286</cdr:y>
    </cdr:from>
    <cdr:to>
      <cdr:x>0.8125</cdr:x>
      <cdr:y>0.12857</cdr:y>
    </cdr:to>
    <cdr:sp macro="" textlink="">
      <cdr:nvSpPr>
        <cdr:cNvPr id="2" name="5-конечная звезда 1"/>
        <cdr:cNvSpPr/>
      </cdr:nvSpPr>
      <cdr:spPr>
        <a:xfrm xmlns:a="http://schemas.openxmlformats.org/drawingml/2006/main">
          <a:off x="4122420" y="137160"/>
          <a:ext cx="335280" cy="27432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7.xml><?xml version="1.0" encoding="utf-8"?>
<c:userShapes xmlns:c="http://schemas.openxmlformats.org/drawingml/2006/chart">
  <cdr:relSizeAnchor xmlns:cdr="http://schemas.openxmlformats.org/drawingml/2006/chartDrawing">
    <cdr:from>
      <cdr:x>0.48889</cdr:x>
      <cdr:y>0.05769</cdr:y>
    </cdr:from>
    <cdr:to>
      <cdr:x>0.52361</cdr:x>
      <cdr:y>0.15385</cdr:y>
    </cdr:to>
    <cdr:sp macro="" textlink="">
      <cdr:nvSpPr>
        <cdr:cNvPr id="2" name="5-конечная звезда 1"/>
        <cdr:cNvSpPr/>
      </cdr:nvSpPr>
      <cdr:spPr>
        <a:xfrm xmlns:a="http://schemas.openxmlformats.org/drawingml/2006/main">
          <a:off x="2682240" y="160020"/>
          <a:ext cx="190500" cy="26670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0.55139</cdr:x>
      <cdr:y>0.48077</cdr:y>
    </cdr:from>
    <cdr:to>
      <cdr:x>0.59306</cdr:x>
      <cdr:y>0.54396</cdr:y>
    </cdr:to>
    <cdr:sp macro="" textlink="">
      <cdr:nvSpPr>
        <cdr:cNvPr id="4" name="5-конечная звезда 3"/>
        <cdr:cNvSpPr/>
      </cdr:nvSpPr>
      <cdr:spPr>
        <a:xfrm xmlns:a="http://schemas.openxmlformats.org/drawingml/2006/main">
          <a:off x="3025140" y="1333500"/>
          <a:ext cx="228600" cy="17526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0.73333</cdr:x>
      <cdr:y>0.03022</cdr:y>
    </cdr:from>
    <cdr:to>
      <cdr:x>0.77917</cdr:x>
      <cdr:y>0.14011</cdr:y>
    </cdr:to>
    <cdr:sp macro="" textlink="">
      <cdr:nvSpPr>
        <cdr:cNvPr id="5" name="5-конечная звезда 4"/>
        <cdr:cNvSpPr/>
      </cdr:nvSpPr>
      <cdr:spPr>
        <a:xfrm xmlns:a="http://schemas.openxmlformats.org/drawingml/2006/main">
          <a:off x="4023360" y="83820"/>
          <a:ext cx="251460" cy="30480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0.79861</cdr:x>
      <cdr:y>0.45604</cdr:y>
    </cdr:from>
    <cdr:to>
      <cdr:x>0.84861</cdr:x>
      <cdr:y>0.54121</cdr:y>
    </cdr:to>
    <cdr:sp macro="" textlink="">
      <cdr:nvSpPr>
        <cdr:cNvPr id="6" name="5-конечная звезда 5"/>
        <cdr:cNvSpPr/>
      </cdr:nvSpPr>
      <cdr:spPr>
        <a:xfrm xmlns:a="http://schemas.openxmlformats.org/drawingml/2006/main">
          <a:off x="4381500" y="1264920"/>
          <a:ext cx="274320" cy="23622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drawings/drawing8.xml><?xml version="1.0" encoding="utf-8"?>
<c:userShapes xmlns:c="http://schemas.openxmlformats.org/drawingml/2006/chart">
  <cdr:relSizeAnchor xmlns:cdr="http://schemas.openxmlformats.org/drawingml/2006/chartDrawing">
    <cdr:from>
      <cdr:x>0.495</cdr:x>
      <cdr:y>0.02846</cdr:y>
    </cdr:from>
    <cdr:to>
      <cdr:x>0.565</cdr:x>
      <cdr:y>0.14634</cdr:y>
    </cdr:to>
    <cdr:sp macro="" textlink="">
      <cdr:nvSpPr>
        <cdr:cNvPr id="2" name="5-конечная звезда 1"/>
        <cdr:cNvSpPr/>
      </cdr:nvSpPr>
      <cdr:spPr>
        <a:xfrm xmlns:a="http://schemas.openxmlformats.org/drawingml/2006/main">
          <a:off x="1508760" y="53340"/>
          <a:ext cx="213360" cy="22098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0.75167</cdr:x>
      <cdr:y>0.06369</cdr:y>
    </cdr:from>
    <cdr:to>
      <cdr:x>0.82167</cdr:x>
      <cdr:y>0.18157</cdr:y>
    </cdr:to>
    <cdr:sp macro="" textlink="">
      <cdr:nvSpPr>
        <cdr:cNvPr id="3" name="5-конечная звезда 2"/>
        <cdr:cNvSpPr/>
      </cdr:nvSpPr>
      <cdr:spPr>
        <a:xfrm xmlns:a="http://schemas.openxmlformats.org/drawingml/2006/main">
          <a:off x="2291080" y="119380"/>
          <a:ext cx="213360" cy="22098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ru-RU"/>
        </a:p>
      </cdr:txBody>
    </cdr:sp>
  </cdr:relSizeAnchor>
</c:userShapes>
</file>

<file path=word/drawings/drawing9.xml><?xml version="1.0" encoding="utf-8"?>
<c:userShapes xmlns:c="http://schemas.openxmlformats.org/drawingml/2006/chart">
  <cdr:relSizeAnchor xmlns:cdr="http://schemas.openxmlformats.org/drawingml/2006/chartDrawing">
    <cdr:from>
      <cdr:x>0.495</cdr:x>
      <cdr:y>0.01587</cdr:y>
    </cdr:from>
    <cdr:to>
      <cdr:x>0.575</cdr:x>
      <cdr:y>0.13889</cdr:y>
    </cdr:to>
    <cdr:sp macro="" textlink="">
      <cdr:nvSpPr>
        <cdr:cNvPr id="2" name="5-конечная звезда 1"/>
        <cdr:cNvSpPr/>
      </cdr:nvSpPr>
      <cdr:spPr>
        <a:xfrm xmlns:a="http://schemas.openxmlformats.org/drawingml/2006/main">
          <a:off x="1508760" y="30480"/>
          <a:ext cx="243840" cy="236220"/>
        </a:xfrm>
        <a:prstGeom xmlns:a="http://schemas.openxmlformats.org/drawingml/2006/main" prst="star5">
          <a:avLst/>
        </a:pr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274</Pages>
  <Words>60498</Words>
  <Characters>344840</Characters>
  <Application>Microsoft Office Word</Application>
  <DocSecurity>0</DocSecurity>
  <Lines>2873</Lines>
  <Paragraphs>809</Paragraphs>
  <ScaleCrop>false</ScaleCrop>
  <HeadingPairs>
    <vt:vector size="2" baseType="variant">
      <vt:variant>
        <vt:lpstr>Название</vt:lpstr>
      </vt:variant>
      <vt:variant>
        <vt:i4>1</vt:i4>
      </vt:variant>
    </vt:vector>
  </HeadingPairs>
  <TitlesOfParts>
    <vt:vector size="1" baseType="lpstr">
      <vt:lpstr>НАЦІОНАЛЬНА АКАДЕМІЯ МЕДИЧНИХ НАУК УКРАЇНИ</vt:lpstr>
    </vt:vector>
  </TitlesOfParts>
  <Company>SPecialiST RePack</Company>
  <LinksUpToDate>false</LinksUpToDate>
  <CharactersWithSpaces>404529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НАЦІОНАЛЬНА АКАДЕМІЯ МЕДИЧНИХ НАУК УКРАЇНИ</dc:title>
  <dc:subject/>
  <dc:creator>Eugene</dc:creator>
  <cp:keywords/>
  <cp:lastModifiedBy>VAL</cp:lastModifiedBy>
  <cp:revision>2</cp:revision>
  <cp:lastPrinted>2019-07-12T06:53:00Z</cp:lastPrinted>
  <dcterms:created xsi:type="dcterms:W3CDTF">2019-07-12T15:19:00Z</dcterms:created>
  <dcterms:modified xsi:type="dcterms:W3CDTF">2019-07-12T15:19:00Z</dcterms:modified>
</cp:coreProperties>
</file>