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FBF" w:rsidRDefault="003F55C6" w:rsidP="00780C14">
      <w:pPr>
        <w:tabs>
          <w:tab w:val="left" w:pos="1320"/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</w:pPr>
      <w:r w:rsidRPr="003F55C6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drawing>
          <wp:inline distT="0" distB="0" distL="0" distR="0">
            <wp:extent cx="6099175" cy="9021696"/>
            <wp:effectExtent l="19050" t="0" r="0" b="0"/>
            <wp:docPr id="5" name="Рисунок 3" descr="F:\New folder\Scan 16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New folder\Scan 160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9175" cy="9021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6FBF" w:rsidRDefault="008A6FBF" w:rsidP="00780C14">
      <w:pPr>
        <w:tabs>
          <w:tab w:val="left" w:pos="1320"/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</w:pPr>
      <w:r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</w:rPr>
        <w:lastRenderedPageBreak/>
        <w:drawing>
          <wp:inline distT="0" distB="0" distL="0" distR="0">
            <wp:extent cx="6099175" cy="9365795"/>
            <wp:effectExtent l="19050" t="0" r="0" b="0"/>
            <wp:docPr id="1" name="Рисунок 1" descr="F:\New folder\Scan 16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New folder\Scan 160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9175" cy="936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6FBF" w:rsidRDefault="008A6FBF" w:rsidP="00780C14">
      <w:pPr>
        <w:tabs>
          <w:tab w:val="left" w:pos="1320"/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</w:pPr>
    </w:p>
    <w:p w:rsidR="00783B8B" w:rsidRPr="00D73339" w:rsidRDefault="00A72377" w:rsidP="00780C14">
      <w:pPr>
        <w:tabs>
          <w:tab w:val="left" w:pos="1320"/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 xml:space="preserve">ПАТОГЕНЕТИЧЕСКОЕ ОБОСНОВАНИЕ ДИАГНОСТИКИ </w:t>
      </w:r>
      <w:r w:rsidR="00D7333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КАРДИ</w:t>
      </w:r>
      <w:r w:rsidR="00BD7FD2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ОМЕТАБОЛИЧЕСКИ</w:t>
      </w:r>
      <w:r w:rsidR="00D7333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 xml:space="preserve">Х НАРУШЕНИЙ У ПАЦИЕНТОВ С АРТЕРИАЛЬНОЙ ГИПЕРТЕНЗИЕЙ И САХАРНЫМ </w:t>
      </w:r>
      <w:r w:rsidR="00BD7FD2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ДИАБЕТОМ 2 ТИПА</w:t>
      </w:r>
    </w:p>
    <w:p w:rsidR="00304F49" w:rsidRPr="00A15BC2" w:rsidRDefault="00BD7FD2" w:rsidP="00304F49">
      <w:pPr>
        <w:spacing w:after="0" w:line="360" w:lineRule="auto"/>
        <w:ind w:left="-567" w:right="-1"/>
        <w:contextualSpacing/>
        <w:jc w:val="center"/>
        <w:rPr>
          <w:rFonts w:ascii="Times New Roman" w:hAnsi="Times New Roman" w:cs="Times New Roman"/>
          <w:b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Cs/>
          <w:sz w:val="28"/>
          <w:szCs w:val="28"/>
          <w:lang w:val="ru-RU"/>
        </w:rPr>
        <w:t xml:space="preserve">           </w:t>
      </w:r>
      <w:proofErr w:type="spellStart"/>
      <w:r w:rsidR="00304F49" w:rsidRPr="00A15BC2">
        <w:rPr>
          <w:rFonts w:ascii="Times New Roman" w:hAnsi="Times New Roman" w:cs="Times New Roman"/>
          <w:b/>
          <w:iCs/>
          <w:sz w:val="28"/>
          <w:szCs w:val="28"/>
          <w:lang w:val="ru-RU"/>
        </w:rPr>
        <w:t>Бобронникова</w:t>
      </w:r>
      <w:proofErr w:type="spellEnd"/>
      <w:r w:rsidR="00304F49" w:rsidRPr="00A15BC2">
        <w:rPr>
          <w:rFonts w:ascii="Times New Roman" w:hAnsi="Times New Roman" w:cs="Times New Roman"/>
          <w:b/>
          <w:iCs/>
          <w:sz w:val="28"/>
          <w:szCs w:val="28"/>
          <w:lang w:val="ru-RU"/>
        </w:rPr>
        <w:t xml:space="preserve"> Л.Р.</w:t>
      </w:r>
    </w:p>
    <w:p w:rsidR="00304F49" w:rsidRPr="00A15BC2" w:rsidRDefault="00304F49" w:rsidP="00304F49">
      <w:pPr>
        <w:spacing w:after="0" w:line="360" w:lineRule="auto"/>
        <w:ind w:left="-567" w:right="-1"/>
        <w:contextualSpacing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A15BC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               Харьковский национальный медицинский университет, Харьков</w:t>
      </w:r>
    </w:p>
    <w:p w:rsidR="00304F49" w:rsidRPr="00F82271" w:rsidRDefault="19F662DC" w:rsidP="00400B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19F662DC">
        <w:rPr>
          <w:rFonts w:asciiTheme="majorBidi" w:eastAsia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Актуальность. 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Сочетанное течение артериальной гипертензии (АГ) и сахарного диабета (СД) 2 типа, </w:t>
      </w:r>
      <w:r w:rsidR="00400B1F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часто протекае</w:t>
      </w: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т на фоне повышенной массы тела или ожирения.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последних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лет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подтвердили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что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прогрессирование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ожирения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может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быть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следствием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снижения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секреции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цинк-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α2-гликопротеина (ЦА2Г),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который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относят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адипокинам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 Установлено, что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уровни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ЦА2Г в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сыворотке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крови и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жировой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ткани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пациентов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ожирением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значительно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ниже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отношению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пациентам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 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нормальным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весом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тела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однако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эти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противоречивы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требует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уг</w:t>
      </w:r>
      <w:r w:rsidR="00296ED4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>убленного</w:t>
      </w:r>
      <w:proofErr w:type="spellEnd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>рассмотрения</w:t>
      </w:r>
      <w:proofErr w:type="spellEnd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>этого</w:t>
      </w:r>
      <w:proofErr w:type="spellEnd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0B1F">
        <w:rPr>
          <w:rFonts w:ascii="Times New Roman" w:eastAsia="Times New Roman" w:hAnsi="Times New Roman" w:cs="Times New Roman"/>
          <w:sz w:val="28"/>
          <w:szCs w:val="28"/>
          <w:lang w:val="uk-UA"/>
        </w:rPr>
        <w:t>воп</w:t>
      </w:r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роса</w:t>
      </w:r>
      <w:proofErr w:type="spellEnd"/>
      <w:r w:rsidRPr="19F662D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bookmarkStart w:id="0" w:name="_GoBack"/>
      <w:bookmarkEnd w:id="0"/>
    </w:p>
    <w:p w:rsidR="00304F49" w:rsidRPr="00882409" w:rsidRDefault="19F662DC" w:rsidP="009F3DC0">
      <w:pPr>
        <w:pStyle w:val="ad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19F662DC">
        <w:rPr>
          <w:b/>
          <w:bCs/>
          <w:sz w:val="28"/>
          <w:szCs w:val="28"/>
        </w:rPr>
        <w:t>Цель исследования</w:t>
      </w:r>
      <w:r w:rsidR="009F3DC0">
        <w:rPr>
          <w:sz w:val="28"/>
          <w:szCs w:val="28"/>
        </w:rPr>
        <w:t xml:space="preserve"> – изучить роль ЦА</w:t>
      </w:r>
      <w:r w:rsidRPr="19F662DC">
        <w:rPr>
          <w:sz w:val="28"/>
          <w:szCs w:val="28"/>
        </w:rPr>
        <w:t>2</w:t>
      </w:r>
      <w:r w:rsidR="009F3DC0">
        <w:rPr>
          <w:sz w:val="28"/>
          <w:szCs w:val="28"/>
        </w:rPr>
        <w:t>Г</w:t>
      </w:r>
      <w:r w:rsidRPr="19F662DC">
        <w:rPr>
          <w:sz w:val="28"/>
          <w:szCs w:val="28"/>
        </w:rPr>
        <w:t xml:space="preserve"> в  течении </w:t>
      </w:r>
      <w:r w:rsidR="009F3DC0">
        <w:rPr>
          <w:sz w:val="28"/>
          <w:szCs w:val="28"/>
        </w:rPr>
        <w:t>АГ и СД</w:t>
      </w:r>
      <w:r w:rsidRPr="19F662DC">
        <w:rPr>
          <w:sz w:val="28"/>
          <w:szCs w:val="28"/>
        </w:rPr>
        <w:t xml:space="preserve"> 2 типа с различной массой тела.</w:t>
      </w:r>
    </w:p>
    <w:p w:rsidR="00304F49" w:rsidRPr="00BD7FD2" w:rsidRDefault="00304F49" w:rsidP="003A53DC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A15BC2">
        <w:rPr>
          <w:rFonts w:asciiTheme="majorBidi" w:hAnsiTheme="majorBidi" w:cstheme="majorBidi"/>
          <w:b/>
          <w:sz w:val="28"/>
          <w:szCs w:val="28"/>
          <w:lang w:val="ru-RU"/>
        </w:rPr>
        <w:t>Материалы и методы.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877964">
        <w:rPr>
          <w:rFonts w:asciiTheme="majorBidi" w:hAnsiTheme="majorBidi" w:cstheme="majorBidi"/>
          <w:sz w:val="28"/>
          <w:szCs w:val="28"/>
          <w:lang w:val="ru-RU"/>
        </w:rPr>
        <w:t>Обследовано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9F3DC0">
        <w:rPr>
          <w:rFonts w:asciiTheme="majorBidi" w:hAnsiTheme="majorBidi" w:cstheme="majorBidi"/>
          <w:sz w:val="28"/>
          <w:szCs w:val="28"/>
          <w:lang w:val="ru-RU"/>
        </w:rPr>
        <w:t>62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 xml:space="preserve"> пациента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с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АГ 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</w:rPr>
        <w:t>II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стадии 2-й степени</w:t>
      </w:r>
      <w:r w:rsidR="0087796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877964">
        <w:rPr>
          <w:rFonts w:asciiTheme="majorBidi" w:hAnsiTheme="majorBidi" w:cstheme="majorBidi"/>
          <w:sz w:val="28"/>
          <w:szCs w:val="28"/>
          <w:lang w:val="ru-RU"/>
        </w:rPr>
        <w:t>С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редний возраст пациентов составил 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52,6±4,4 года</w:t>
      </w:r>
      <w:r w:rsidR="008A62F1" w:rsidRPr="00A15BC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. Пациенты разделены на группы: 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1-ю группу составили 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>33 пациента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с АГ</w:t>
      </w:r>
      <w:r w:rsidR="003A53DC" w:rsidRPr="00A15BC2">
        <w:rPr>
          <w:rFonts w:asciiTheme="majorBidi" w:hAnsiTheme="majorBidi" w:cstheme="majorBidi"/>
          <w:sz w:val="28"/>
          <w:szCs w:val="28"/>
          <w:lang w:val="ru-RU"/>
        </w:rPr>
        <w:t xml:space="preserve"> и СД 2 типа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>, 2-ю группу-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>31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>пациент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с  АГ </w:t>
      </w:r>
      <w:r w:rsidR="003A53DC" w:rsidRPr="00A15BC2">
        <w:rPr>
          <w:rFonts w:asciiTheme="majorBidi" w:hAnsiTheme="majorBidi" w:cstheme="majorBidi"/>
          <w:sz w:val="28"/>
          <w:szCs w:val="28"/>
          <w:lang w:val="ru-RU"/>
        </w:rPr>
        <w:t>без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 СД   2 типа.  Контрольная группа (</w:t>
      </w:r>
      <w:r w:rsidRPr="00A15BC2">
        <w:rPr>
          <w:rFonts w:asciiTheme="majorBidi" w:hAnsiTheme="majorBidi" w:cstheme="majorBidi"/>
          <w:sz w:val="28"/>
          <w:szCs w:val="28"/>
        </w:rPr>
        <w:t>n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>=20) была максимально сопоставима по  возраст</w:t>
      </w:r>
      <w:r w:rsidR="008A62F1" w:rsidRPr="00A15BC2">
        <w:rPr>
          <w:rFonts w:asciiTheme="majorBidi" w:hAnsiTheme="majorBidi" w:cstheme="majorBidi"/>
          <w:sz w:val="28"/>
          <w:szCs w:val="28"/>
          <w:lang w:val="ru-RU"/>
        </w:rPr>
        <w:t>у и полу к  обследуемым больным</w:t>
      </w:r>
      <w:r w:rsidRPr="00A15BC2">
        <w:rPr>
          <w:rFonts w:asciiTheme="majorBidi" w:hAnsiTheme="majorBidi" w:cstheme="majorBidi"/>
          <w:sz w:val="28"/>
          <w:szCs w:val="28"/>
          <w:lang w:val="ru-RU"/>
        </w:rPr>
        <w:t xml:space="preserve">. </w:t>
      </w:r>
    </w:p>
    <w:p w:rsidR="00877964" w:rsidRDefault="00304F49" w:rsidP="008A62F1">
      <w:pPr>
        <w:pStyle w:val="ad"/>
        <w:spacing w:before="0" w:beforeAutospacing="0" w:after="0" w:afterAutospacing="0" w:line="360" w:lineRule="auto"/>
        <w:ind w:firstLine="708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 w:rsidRPr="00A15BC2">
        <w:rPr>
          <w:rFonts w:asciiTheme="majorBidi" w:hAnsiTheme="majorBidi" w:cstheme="majorBidi"/>
          <w:color w:val="000000"/>
          <w:sz w:val="28"/>
          <w:szCs w:val="28"/>
        </w:rPr>
        <w:t xml:space="preserve">Диагностику АГ проводили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</w:t>
      </w:r>
      <w:r w:rsidR="00877964" w:rsidRPr="00A15BC2">
        <w:rPr>
          <w:rFonts w:asciiTheme="majorBidi" w:hAnsiTheme="majorBidi" w:cstheme="majorBidi"/>
          <w:sz w:val="28"/>
          <w:szCs w:val="28"/>
        </w:rPr>
        <w:t>Диагностику  СД 2 типа пр</w:t>
      </w:r>
      <w:r w:rsidR="00877964" w:rsidRPr="00882409">
        <w:rPr>
          <w:sz w:val="28"/>
          <w:szCs w:val="28"/>
        </w:rPr>
        <w:t>оводили согласно критериям Междунаро</w:t>
      </w:r>
      <w:r w:rsidR="00877964">
        <w:rPr>
          <w:sz w:val="28"/>
          <w:szCs w:val="28"/>
        </w:rPr>
        <w:t>дной Федерации Диабета (IDF, 201</w:t>
      </w:r>
      <w:r w:rsidR="00877964" w:rsidRPr="00882409">
        <w:rPr>
          <w:sz w:val="28"/>
          <w:szCs w:val="28"/>
        </w:rPr>
        <w:t>5).</w:t>
      </w:r>
    </w:p>
    <w:p w:rsidR="00304F49" w:rsidRDefault="00944D98" w:rsidP="00962CD5">
      <w:pPr>
        <w:pStyle w:val="ad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И</w:t>
      </w:r>
      <w:r w:rsidR="00877964">
        <w:rPr>
          <w:rFonts w:asciiTheme="majorBidi" w:hAnsiTheme="majorBidi" w:cstheme="majorBidi"/>
          <w:sz w:val="28"/>
          <w:szCs w:val="28"/>
        </w:rPr>
        <w:t>ндекс</w:t>
      </w:r>
      <w:r w:rsidR="00877964" w:rsidRPr="00A15BC2">
        <w:rPr>
          <w:rFonts w:asciiTheme="majorBidi" w:hAnsiTheme="majorBidi" w:cstheme="majorBidi"/>
          <w:sz w:val="28"/>
          <w:szCs w:val="28"/>
        </w:rPr>
        <w:t xml:space="preserve"> массы тела (ИМТ)</w:t>
      </w:r>
      <w:r>
        <w:rPr>
          <w:rFonts w:asciiTheme="majorBidi" w:hAnsiTheme="majorBidi" w:cstheme="majorBidi"/>
          <w:sz w:val="28"/>
          <w:szCs w:val="28"/>
        </w:rPr>
        <w:t xml:space="preserve"> определяли согласно классификации </w:t>
      </w:r>
      <w:r>
        <w:rPr>
          <w:rFonts w:asciiTheme="majorBidi" w:hAnsiTheme="majorBidi" w:cstheme="majorBidi"/>
          <w:sz w:val="28"/>
          <w:szCs w:val="28"/>
          <w:lang w:val="en-US"/>
        </w:rPr>
        <w:t>IDF</w:t>
      </w:r>
      <w:r w:rsidRPr="00944D98">
        <w:rPr>
          <w:rFonts w:asciiTheme="majorBidi" w:hAnsiTheme="majorBidi" w:cstheme="majorBidi"/>
          <w:sz w:val="28"/>
          <w:szCs w:val="28"/>
        </w:rPr>
        <w:t xml:space="preserve"> (2005)</w:t>
      </w:r>
      <w:r>
        <w:rPr>
          <w:rFonts w:asciiTheme="majorBidi" w:hAnsiTheme="majorBidi" w:cstheme="majorBidi"/>
          <w:sz w:val="28"/>
          <w:szCs w:val="28"/>
        </w:rPr>
        <w:t xml:space="preserve">. </w:t>
      </w:r>
      <w:r w:rsidR="00877964">
        <w:rPr>
          <w:sz w:val="28"/>
          <w:szCs w:val="28"/>
        </w:rPr>
        <w:t>П</w:t>
      </w:r>
      <w:r w:rsidR="00304F49" w:rsidRPr="00882409">
        <w:rPr>
          <w:sz w:val="28"/>
          <w:szCs w:val="28"/>
        </w:rPr>
        <w:t>оказатели липидного спектра</w:t>
      </w:r>
      <w:r w:rsidR="008A62F1">
        <w:rPr>
          <w:sz w:val="28"/>
          <w:szCs w:val="28"/>
        </w:rPr>
        <w:t xml:space="preserve">: </w:t>
      </w:r>
      <w:r w:rsidR="00877964">
        <w:rPr>
          <w:sz w:val="28"/>
          <w:szCs w:val="28"/>
        </w:rPr>
        <w:t xml:space="preserve">содержание </w:t>
      </w:r>
      <w:r w:rsidR="00304F49" w:rsidRPr="00882409">
        <w:rPr>
          <w:sz w:val="28"/>
          <w:szCs w:val="28"/>
        </w:rPr>
        <w:t>общ</w:t>
      </w:r>
      <w:r w:rsidR="00877964">
        <w:rPr>
          <w:sz w:val="28"/>
          <w:szCs w:val="28"/>
        </w:rPr>
        <w:t>его</w:t>
      </w:r>
      <w:r w:rsidR="00304F49" w:rsidRPr="00882409">
        <w:rPr>
          <w:sz w:val="28"/>
          <w:szCs w:val="28"/>
        </w:rPr>
        <w:t xml:space="preserve"> холестерин</w:t>
      </w:r>
      <w:r w:rsidR="00877964">
        <w:rPr>
          <w:sz w:val="28"/>
          <w:szCs w:val="28"/>
        </w:rPr>
        <w:t>а</w:t>
      </w:r>
      <w:r w:rsidR="00304F49" w:rsidRPr="00882409">
        <w:rPr>
          <w:sz w:val="28"/>
          <w:szCs w:val="28"/>
        </w:rPr>
        <w:t xml:space="preserve"> (ОХС)</w:t>
      </w:r>
      <w:r w:rsidR="00877964">
        <w:rPr>
          <w:sz w:val="28"/>
          <w:szCs w:val="28"/>
        </w:rPr>
        <w:t xml:space="preserve"> </w:t>
      </w:r>
      <w:r w:rsidR="00877964">
        <w:rPr>
          <w:sz w:val="28"/>
          <w:szCs w:val="28"/>
        </w:rPr>
        <w:lastRenderedPageBreak/>
        <w:t>в сыворотке крови</w:t>
      </w:r>
      <w:r w:rsidR="00304F49" w:rsidRPr="00882409">
        <w:rPr>
          <w:sz w:val="28"/>
          <w:szCs w:val="28"/>
        </w:rPr>
        <w:t>, триглицерид</w:t>
      </w:r>
      <w:r w:rsidR="00877964">
        <w:rPr>
          <w:sz w:val="28"/>
          <w:szCs w:val="28"/>
        </w:rPr>
        <w:t>ов</w:t>
      </w:r>
      <w:r w:rsidR="00304F49" w:rsidRPr="00882409">
        <w:rPr>
          <w:sz w:val="28"/>
          <w:szCs w:val="28"/>
        </w:rPr>
        <w:t xml:space="preserve"> (ТГ),  холестерин</w:t>
      </w:r>
      <w:r w:rsidR="00877964">
        <w:rPr>
          <w:sz w:val="28"/>
          <w:szCs w:val="28"/>
        </w:rPr>
        <w:t>а</w:t>
      </w:r>
      <w:r w:rsidR="00304F49" w:rsidRPr="00882409">
        <w:rPr>
          <w:sz w:val="28"/>
          <w:szCs w:val="28"/>
        </w:rPr>
        <w:t xml:space="preserve"> </w:t>
      </w:r>
      <w:r w:rsidR="00D73339" w:rsidRPr="00882409">
        <w:rPr>
          <w:sz w:val="28"/>
          <w:szCs w:val="28"/>
        </w:rPr>
        <w:t>липопротеидов</w:t>
      </w:r>
      <w:r w:rsidR="00304F49" w:rsidRPr="00882409">
        <w:rPr>
          <w:sz w:val="28"/>
          <w:szCs w:val="28"/>
        </w:rPr>
        <w:t xml:space="preserve"> высокой плотности (ХСЛПВП), холестерин</w:t>
      </w:r>
      <w:r w:rsidR="00877964">
        <w:rPr>
          <w:sz w:val="28"/>
          <w:szCs w:val="28"/>
        </w:rPr>
        <w:t>а</w:t>
      </w:r>
      <w:r w:rsidR="00304F49" w:rsidRPr="00882409">
        <w:rPr>
          <w:sz w:val="28"/>
          <w:szCs w:val="28"/>
        </w:rPr>
        <w:t xml:space="preserve"> </w:t>
      </w:r>
      <w:r w:rsidR="00D73339" w:rsidRPr="00882409">
        <w:rPr>
          <w:sz w:val="28"/>
          <w:szCs w:val="28"/>
        </w:rPr>
        <w:t>липопро</w:t>
      </w:r>
      <w:r w:rsidR="00D73339">
        <w:rPr>
          <w:sz w:val="28"/>
          <w:szCs w:val="28"/>
        </w:rPr>
        <w:t>теидов</w:t>
      </w:r>
      <w:r w:rsidR="00F658EE">
        <w:rPr>
          <w:sz w:val="28"/>
          <w:szCs w:val="28"/>
        </w:rPr>
        <w:t xml:space="preserve"> низкой плотности (ХЛПНП).</w:t>
      </w:r>
      <w:r w:rsidR="00304F49" w:rsidRPr="00882409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Конценртацию</w:t>
      </w:r>
      <w:proofErr w:type="spellEnd"/>
      <w:r>
        <w:rPr>
          <w:sz w:val="28"/>
          <w:szCs w:val="28"/>
        </w:rPr>
        <w:t xml:space="preserve"> </w:t>
      </w:r>
      <w:r w:rsidR="008A62F1">
        <w:rPr>
          <w:sz w:val="28"/>
          <w:szCs w:val="28"/>
        </w:rPr>
        <w:t>инсулина</w:t>
      </w:r>
      <w:r>
        <w:rPr>
          <w:sz w:val="28"/>
          <w:szCs w:val="28"/>
        </w:rPr>
        <w:t xml:space="preserve"> определяли с использованием наборов «</w:t>
      </w:r>
      <w:r>
        <w:rPr>
          <w:sz w:val="28"/>
          <w:szCs w:val="28"/>
          <w:lang w:val="en-US"/>
        </w:rPr>
        <w:t>Insulin</w:t>
      </w:r>
      <w:r w:rsidRPr="00944D9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ELISA</w:t>
      </w:r>
      <w:r>
        <w:rPr>
          <w:sz w:val="28"/>
          <w:szCs w:val="28"/>
        </w:rPr>
        <w:t>» («</w:t>
      </w:r>
      <w:r>
        <w:rPr>
          <w:sz w:val="28"/>
          <w:szCs w:val="28"/>
          <w:lang w:val="en-US"/>
        </w:rPr>
        <w:t>DRG</w:t>
      </w:r>
      <w:r>
        <w:rPr>
          <w:sz w:val="28"/>
          <w:szCs w:val="28"/>
        </w:rPr>
        <w:t>», Германия) твердофазным иммунологическим анализом.</w:t>
      </w:r>
      <w:r w:rsidR="003A53DC">
        <w:rPr>
          <w:sz w:val="28"/>
          <w:szCs w:val="28"/>
        </w:rPr>
        <w:t xml:space="preserve"> </w:t>
      </w:r>
      <w:r>
        <w:rPr>
          <w:sz w:val="28"/>
          <w:szCs w:val="28"/>
        </w:rPr>
        <w:t>Концентрацию г</w:t>
      </w:r>
      <w:r w:rsidR="003A53DC">
        <w:rPr>
          <w:sz w:val="28"/>
          <w:szCs w:val="28"/>
        </w:rPr>
        <w:t>люкоз</w:t>
      </w:r>
      <w:r>
        <w:rPr>
          <w:sz w:val="28"/>
          <w:szCs w:val="28"/>
        </w:rPr>
        <w:t>ы</w:t>
      </w:r>
      <w:r w:rsidR="003A53D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венозной </w:t>
      </w:r>
      <w:r w:rsidR="003A53DC">
        <w:rPr>
          <w:sz w:val="28"/>
          <w:szCs w:val="28"/>
        </w:rPr>
        <w:t>крови натощак (ГКН)</w:t>
      </w:r>
      <w:r>
        <w:rPr>
          <w:sz w:val="28"/>
          <w:szCs w:val="28"/>
        </w:rPr>
        <w:t xml:space="preserve"> определяли по </w:t>
      </w:r>
      <w:proofErr w:type="gramStart"/>
      <w:r>
        <w:rPr>
          <w:sz w:val="28"/>
          <w:szCs w:val="28"/>
        </w:rPr>
        <w:t>стандартным</w:t>
      </w:r>
      <w:proofErr w:type="gramEnd"/>
      <w:r>
        <w:rPr>
          <w:sz w:val="28"/>
          <w:szCs w:val="28"/>
        </w:rPr>
        <w:t xml:space="preserve"> биохимическими методам</w:t>
      </w:r>
      <w:r w:rsidRPr="00A72377">
        <w:rPr>
          <w:sz w:val="28"/>
          <w:szCs w:val="28"/>
        </w:rPr>
        <w:t>и</w:t>
      </w:r>
      <w:r w:rsidR="004510E4" w:rsidRPr="00A72377">
        <w:rPr>
          <w:sz w:val="28"/>
          <w:szCs w:val="28"/>
        </w:rPr>
        <w:t>.</w:t>
      </w:r>
      <w:r w:rsidR="003A53DC" w:rsidRPr="00A72377">
        <w:rPr>
          <w:sz w:val="28"/>
          <w:szCs w:val="28"/>
        </w:rPr>
        <w:t xml:space="preserve"> </w:t>
      </w:r>
      <w:r w:rsidR="004510E4" w:rsidRPr="00A72377">
        <w:rPr>
          <w:sz w:val="28"/>
          <w:szCs w:val="28"/>
        </w:rPr>
        <w:t>У</w:t>
      </w:r>
      <w:r w:rsidR="007B165F" w:rsidRPr="00A72377">
        <w:rPr>
          <w:sz w:val="28"/>
          <w:szCs w:val="28"/>
        </w:rPr>
        <w:t xml:space="preserve">ровень </w:t>
      </w:r>
      <w:proofErr w:type="spellStart"/>
      <w:r w:rsidR="007B165F" w:rsidRPr="00A72377">
        <w:rPr>
          <w:sz w:val="28"/>
          <w:szCs w:val="28"/>
        </w:rPr>
        <w:t>гликозилированного</w:t>
      </w:r>
      <w:proofErr w:type="spellEnd"/>
      <w:r w:rsidR="007B165F" w:rsidRPr="00A72377">
        <w:rPr>
          <w:sz w:val="28"/>
          <w:szCs w:val="28"/>
        </w:rPr>
        <w:t xml:space="preserve"> гемоглобина</w:t>
      </w:r>
      <w:r w:rsidR="007B165F" w:rsidRPr="00A72377">
        <w:t xml:space="preserve"> (</w:t>
      </w:r>
      <w:r w:rsidR="007B165F" w:rsidRPr="00A72377">
        <w:rPr>
          <w:sz w:val="28"/>
          <w:szCs w:val="28"/>
        </w:rPr>
        <w:t>НbA1c)</w:t>
      </w:r>
      <w:r w:rsidR="004510E4" w:rsidRPr="00A72377">
        <w:rPr>
          <w:sz w:val="28"/>
          <w:szCs w:val="28"/>
        </w:rPr>
        <w:t xml:space="preserve"> </w:t>
      </w:r>
      <w:r w:rsidR="00A72377" w:rsidRPr="00A72377">
        <w:rPr>
          <w:sz w:val="28"/>
          <w:szCs w:val="28"/>
        </w:rPr>
        <w:t>определялся турбидиметрическим методом (</w:t>
      </w:r>
      <w:r w:rsidR="00A72377" w:rsidRPr="00A72377">
        <w:rPr>
          <w:sz w:val="28"/>
          <w:szCs w:val="28"/>
          <w:lang w:val="en-US"/>
        </w:rPr>
        <w:t>Human</w:t>
      </w:r>
      <w:r w:rsidR="00A72377" w:rsidRPr="00A72377">
        <w:rPr>
          <w:sz w:val="28"/>
          <w:szCs w:val="28"/>
        </w:rPr>
        <w:t xml:space="preserve">, </w:t>
      </w:r>
      <w:r w:rsidR="00A72377" w:rsidRPr="00A72377">
        <w:rPr>
          <w:sz w:val="28"/>
          <w:szCs w:val="28"/>
          <w:lang w:val="en-US"/>
        </w:rPr>
        <w:t>GmbH</w:t>
      </w:r>
      <w:r w:rsidR="00A72377" w:rsidRPr="00A72377">
        <w:rPr>
          <w:sz w:val="28"/>
          <w:szCs w:val="28"/>
        </w:rPr>
        <w:t>, Германия)</w:t>
      </w:r>
      <w:r w:rsidR="009411C3" w:rsidRPr="00A72377">
        <w:rPr>
          <w:sz w:val="28"/>
          <w:szCs w:val="28"/>
        </w:rPr>
        <w:t>.</w:t>
      </w:r>
      <w:r w:rsidR="009411C3" w:rsidRPr="00944D98">
        <w:rPr>
          <w:color w:val="FF0000"/>
          <w:sz w:val="28"/>
          <w:szCs w:val="28"/>
        </w:rPr>
        <w:t xml:space="preserve"> </w:t>
      </w:r>
      <w:proofErr w:type="spellStart"/>
      <w:r w:rsidR="009411C3">
        <w:rPr>
          <w:sz w:val="28"/>
          <w:szCs w:val="28"/>
        </w:rPr>
        <w:t>И</w:t>
      </w:r>
      <w:r w:rsidR="003A53DC">
        <w:rPr>
          <w:sz w:val="28"/>
          <w:szCs w:val="28"/>
        </w:rPr>
        <w:t>нсулинорезистентност</w:t>
      </w:r>
      <w:r w:rsidR="009411C3">
        <w:rPr>
          <w:sz w:val="28"/>
          <w:szCs w:val="28"/>
        </w:rPr>
        <w:t>ь</w:t>
      </w:r>
      <w:proofErr w:type="spellEnd"/>
      <w:r w:rsidR="009411C3">
        <w:rPr>
          <w:sz w:val="28"/>
          <w:szCs w:val="28"/>
        </w:rPr>
        <w:t xml:space="preserve"> (ИР) оценивали по модели </w:t>
      </w:r>
      <w:r w:rsidR="003A53DC">
        <w:rPr>
          <w:sz w:val="28"/>
          <w:szCs w:val="28"/>
        </w:rPr>
        <w:t>НОМА</w:t>
      </w:r>
      <w:r w:rsidR="009411C3">
        <w:rPr>
          <w:sz w:val="28"/>
          <w:szCs w:val="28"/>
        </w:rPr>
        <w:t>.</w:t>
      </w:r>
      <w:r w:rsidR="009411C3">
        <w:rPr>
          <w:sz w:val="28"/>
          <w:szCs w:val="28"/>
          <w:lang w:bidi="ar-LB"/>
        </w:rPr>
        <w:t xml:space="preserve"> </w:t>
      </w:r>
      <w:r>
        <w:rPr>
          <w:sz w:val="28"/>
          <w:szCs w:val="28"/>
          <w:lang w:bidi="ar-LB"/>
        </w:rPr>
        <w:t xml:space="preserve">Для исследования </w:t>
      </w:r>
      <w:proofErr w:type="gramStart"/>
      <w:r>
        <w:rPr>
          <w:sz w:val="28"/>
          <w:szCs w:val="28"/>
          <w:lang w:bidi="ar-LB"/>
        </w:rPr>
        <w:t>морфо-функциональных</w:t>
      </w:r>
      <w:proofErr w:type="gramEnd"/>
      <w:r>
        <w:rPr>
          <w:sz w:val="28"/>
          <w:szCs w:val="28"/>
          <w:lang w:bidi="ar-LB"/>
        </w:rPr>
        <w:t xml:space="preserve"> особенностей миокарда проводили электрокардиографию на ультразвуковом сканере «</w:t>
      </w:r>
      <w:r>
        <w:rPr>
          <w:sz w:val="28"/>
          <w:szCs w:val="28"/>
          <w:lang w:val="en-US" w:bidi="ar-LB"/>
        </w:rPr>
        <w:t>Siemens</w:t>
      </w:r>
      <w:r>
        <w:rPr>
          <w:sz w:val="28"/>
          <w:szCs w:val="28"/>
          <w:lang w:bidi="ar-LB"/>
        </w:rPr>
        <w:t xml:space="preserve">», Германия. </w:t>
      </w:r>
      <w:r w:rsidR="00A15BC2">
        <w:rPr>
          <w:rFonts w:asciiTheme="majorBidi" w:hAnsiTheme="majorBidi" w:cstheme="majorBidi"/>
          <w:color w:val="000000" w:themeColor="text1"/>
          <w:sz w:val="28"/>
          <w:szCs w:val="28"/>
        </w:rPr>
        <w:t>Показатели ЦА2Г определяли методом  иммуноферментного анализа</w:t>
      </w:r>
      <w:r w:rsidR="00A845D8">
        <w:rPr>
          <w:rFonts w:asciiTheme="majorBidi" w:hAnsiTheme="majorBidi" w:cstheme="majorBidi"/>
          <w:color w:val="000000" w:themeColor="text1"/>
          <w:sz w:val="28"/>
          <w:szCs w:val="28"/>
        </w:rPr>
        <w:t>.</w:t>
      </w:r>
      <w:r w:rsidR="00A15BC2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</w:t>
      </w:r>
      <w:proofErr w:type="spellStart"/>
      <w:r w:rsidR="00F658EE">
        <w:rPr>
          <w:sz w:val="28"/>
          <w:szCs w:val="28"/>
        </w:rPr>
        <w:t>Эхокардиографию</w:t>
      </w:r>
      <w:proofErr w:type="spellEnd"/>
      <w:r w:rsidR="00F658EE">
        <w:rPr>
          <w:sz w:val="28"/>
          <w:szCs w:val="28"/>
        </w:rPr>
        <w:t xml:space="preserve"> проводили по стандартным методикам согласно рекомендациям Американского  общества </w:t>
      </w:r>
      <w:proofErr w:type="spellStart"/>
      <w:r w:rsidR="00F658EE">
        <w:rPr>
          <w:sz w:val="28"/>
          <w:szCs w:val="28"/>
        </w:rPr>
        <w:t>эхокардиографии</w:t>
      </w:r>
      <w:proofErr w:type="spellEnd"/>
      <w:r w:rsidR="00F658EE">
        <w:rPr>
          <w:sz w:val="28"/>
          <w:szCs w:val="28"/>
        </w:rPr>
        <w:t xml:space="preserve"> (2015) </w:t>
      </w:r>
      <w:r w:rsidR="007B165F">
        <w:rPr>
          <w:sz w:val="28"/>
          <w:szCs w:val="28"/>
        </w:rPr>
        <w:t xml:space="preserve">с определением </w:t>
      </w:r>
      <w:r w:rsidR="00F658EE">
        <w:rPr>
          <w:sz w:val="28"/>
          <w:szCs w:val="28"/>
        </w:rPr>
        <w:t>масс</w:t>
      </w:r>
      <w:r w:rsidR="007B165F">
        <w:rPr>
          <w:sz w:val="28"/>
          <w:szCs w:val="28"/>
        </w:rPr>
        <w:t>ы</w:t>
      </w:r>
      <w:r w:rsidR="00F658EE">
        <w:rPr>
          <w:sz w:val="28"/>
          <w:szCs w:val="28"/>
        </w:rPr>
        <w:t xml:space="preserve"> миокарда ЛЖ (ММЛЖ) </w:t>
      </w:r>
      <w:r w:rsidR="007B165F">
        <w:rPr>
          <w:sz w:val="28"/>
          <w:szCs w:val="28"/>
        </w:rPr>
        <w:t xml:space="preserve">с </w:t>
      </w:r>
      <w:r w:rsidR="00F658EE">
        <w:rPr>
          <w:sz w:val="28"/>
          <w:szCs w:val="28"/>
        </w:rPr>
        <w:t>расч</w:t>
      </w:r>
      <w:r w:rsidR="007B165F">
        <w:rPr>
          <w:sz w:val="28"/>
          <w:szCs w:val="28"/>
        </w:rPr>
        <w:t>етом</w:t>
      </w:r>
      <w:r w:rsidR="00F658EE">
        <w:rPr>
          <w:sz w:val="28"/>
          <w:szCs w:val="28"/>
        </w:rPr>
        <w:t xml:space="preserve"> формул</w:t>
      </w:r>
      <w:r w:rsidR="007B165F">
        <w:rPr>
          <w:sz w:val="28"/>
          <w:szCs w:val="28"/>
        </w:rPr>
        <w:t>ы</w:t>
      </w:r>
      <w:r w:rsidR="00F658EE">
        <w:rPr>
          <w:sz w:val="28"/>
          <w:szCs w:val="28"/>
        </w:rPr>
        <w:t xml:space="preserve"> </w:t>
      </w:r>
      <w:proofErr w:type="spellStart"/>
      <w:r w:rsidR="00F658EE">
        <w:rPr>
          <w:sz w:val="28"/>
          <w:szCs w:val="28"/>
          <w:lang w:bidi="ar-LB"/>
        </w:rPr>
        <w:t>Devereux</w:t>
      </w:r>
      <w:proofErr w:type="spellEnd"/>
      <w:r w:rsidR="00F658EE" w:rsidRPr="008C6D65">
        <w:rPr>
          <w:sz w:val="28"/>
          <w:szCs w:val="28"/>
          <w:lang w:bidi="ar-LB"/>
        </w:rPr>
        <w:t xml:space="preserve"> </w:t>
      </w:r>
      <w:r w:rsidR="00F658EE">
        <w:rPr>
          <w:sz w:val="28"/>
          <w:szCs w:val="28"/>
          <w:lang w:bidi="ar-LB"/>
        </w:rPr>
        <w:t>R</w:t>
      </w:r>
      <w:r w:rsidR="00F658EE" w:rsidRPr="008C6D65">
        <w:rPr>
          <w:sz w:val="28"/>
          <w:szCs w:val="28"/>
          <w:lang w:bidi="ar-LB"/>
        </w:rPr>
        <w:t>.</w:t>
      </w:r>
      <w:r w:rsidR="00F658EE">
        <w:rPr>
          <w:sz w:val="28"/>
          <w:szCs w:val="28"/>
          <w:lang w:bidi="ar-LB"/>
        </w:rPr>
        <w:t>B. (1986)</w:t>
      </w:r>
      <w:r w:rsidR="00F658EE" w:rsidRPr="008C6D65">
        <w:rPr>
          <w:sz w:val="28"/>
          <w:szCs w:val="28"/>
          <w:lang w:bidi="ar-LB"/>
        </w:rPr>
        <w:t xml:space="preserve">, </w:t>
      </w:r>
      <w:r w:rsidR="00F658EE">
        <w:rPr>
          <w:sz w:val="28"/>
          <w:szCs w:val="28"/>
          <w:lang w:bidi="ar-LB"/>
        </w:rPr>
        <w:t>индекс</w:t>
      </w:r>
      <w:r w:rsidR="007B165F">
        <w:rPr>
          <w:sz w:val="28"/>
          <w:szCs w:val="28"/>
          <w:lang w:bidi="ar-LB"/>
        </w:rPr>
        <w:t>а</w:t>
      </w:r>
      <w:r w:rsidR="00F658EE">
        <w:rPr>
          <w:sz w:val="28"/>
          <w:szCs w:val="28"/>
          <w:lang w:bidi="ar-LB"/>
        </w:rPr>
        <w:t xml:space="preserve"> ММЛЖ (ИММЛЖ) как отношение ММЛЖ к площади поверхности тела </w:t>
      </w:r>
      <w:proofErr w:type="spellStart"/>
      <w:r w:rsidR="00F658EE" w:rsidRPr="000375D0">
        <w:rPr>
          <w:rStyle w:val="a8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</w:rPr>
        <w:t>Brown</w:t>
      </w:r>
      <w:proofErr w:type="spellEnd"/>
      <w:r w:rsidR="00F658EE" w:rsidRPr="000375D0">
        <w:rPr>
          <w:rStyle w:val="a8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</w:rPr>
        <w:t xml:space="preserve"> </w:t>
      </w:r>
      <w:r w:rsidR="00F658EE" w:rsidRPr="000375D0">
        <w:rPr>
          <w:rFonts w:asciiTheme="majorBidi" w:hAnsiTheme="majorBidi" w:cstheme="majorBidi"/>
          <w:sz w:val="28"/>
          <w:szCs w:val="28"/>
          <w:shd w:val="clear" w:color="auto" w:fill="FFFFFF"/>
        </w:rPr>
        <w:t>D.W</w:t>
      </w:r>
      <w:r w:rsidR="00F658EE" w:rsidRPr="000375D0">
        <w:rPr>
          <w:rFonts w:asciiTheme="majorBidi" w:hAnsiTheme="majorBidi" w:cstheme="majorBidi"/>
          <w:color w:val="545454"/>
          <w:sz w:val="28"/>
          <w:szCs w:val="28"/>
          <w:shd w:val="clear" w:color="auto" w:fill="FFFFFF"/>
        </w:rPr>
        <w:t>.</w:t>
      </w:r>
      <w:r w:rsidR="00826835" w:rsidRPr="00826835">
        <w:rPr>
          <w:rFonts w:asciiTheme="majorBidi" w:hAnsiTheme="majorBidi" w:cstheme="majorBidi"/>
          <w:color w:val="545454"/>
          <w:sz w:val="28"/>
          <w:szCs w:val="28"/>
          <w:shd w:val="clear" w:color="auto" w:fill="FFFFFF"/>
        </w:rPr>
        <w:t xml:space="preserve"> </w:t>
      </w:r>
      <w:r w:rsidR="00F658EE" w:rsidRPr="000375D0">
        <w:rPr>
          <w:rFonts w:asciiTheme="majorBidi" w:hAnsiTheme="majorBidi" w:cstheme="majorBidi"/>
          <w:color w:val="545454"/>
          <w:sz w:val="28"/>
          <w:szCs w:val="28"/>
          <w:shd w:val="clear" w:color="auto" w:fill="FFFFFF"/>
        </w:rPr>
        <w:t>(</w:t>
      </w:r>
      <w:r w:rsidR="00F658EE" w:rsidRPr="00A25696">
        <w:rPr>
          <w:rFonts w:asciiTheme="majorBidi" w:hAnsiTheme="majorBidi" w:cstheme="majorBidi"/>
          <w:sz w:val="28"/>
          <w:szCs w:val="28"/>
          <w:lang w:bidi="ar-LB"/>
        </w:rPr>
        <w:t>2000</w:t>
      </w:r>
      <w:r w:rsidR="00F658EE" w:rsidRPr="00A25696">
        <w:rPr>
          <w:sz w:val="28"/>
          <w:szCs w:val="28"/>
          <w:lang w:bidi="ar-LB"/>
        </w:rPr>
        <w:t>)</w:t>
      </w:r>
      <w:r w:rsidR="00962CD5">
        <w:rPr>
          <w:sz w:val="28"/>
          <w:szCs w:val="28"/>
        </w:rPr>
        <w:t>.</w:t>
      </w:r>
      <w:r w:rsidR="007B165F">
        <w:rPr>
          <w:sz w:val="28"/>
          <w:szCs w:val="28"/>
        </w:rPr>
        <w:t xml:space="preserve"> </w:t>
      </w:r>
    </w:p>
    <w:p w:rsidR="00304F49" w:rsidRDefault="19F662DC" w:rsidP="19F662DC">
      <w:pPr>
        <w:pStyle w:val="ad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19F662DC">
        <w:rPr>
          <w:sz w:val="28"/>
          <w:szCs w:val="28"/>
        </w:rPr>
        <w:t xml:space="preserve">Полученные результаты обрабатывались методом вариационной статистики  с использованием компьютерной программы </w:t>
      </w:r>
      <w:proofErr w:type="spellStart"/>
      <w:r w:rsidRPr="19F662DC">
        <w:rPr>
          <w:sz w:val="28"/>
          <w:szCs w:val="28"/>
        </w:rPr>
        <w:t>Statistica</w:t>
      </w:r>
      <w:proofErr w:type="spellEnd"/>
      <w:r w:rsidRPr="19F662DC">
        <w:rPr>
          <w:sz w:val="28"/>
          <w:szCs w:val="28"/>
        </w:rPr>
        <w:t xml:space="preserve">.  </w:t>
      </w:r>
    </w:p>
    <w:p w:rsidR="006434D9" w:rsidRDefault="19F662DC" w:rsidP="009F3DC0">
      <w:pPr>
        <w:tabs>
          <w:tab w:val="left" w:pos="3225"/>
        </w:tabs>
        <w:spacing w:after="0" w:line="360" w:lineRule="auto"/>
        <w:ind w:firstLine="720"/>
        <w:jc w:val="both"/>
        <w:rPr>
          <w:rFonts w:asciiTheme="majorBidi" w:eastAsiaTheme="majorBidi" w:hAnsiTheme="majorBidi" w:cstheme="majorBidi"/>
          <w:sz w:val="28"/>
          <w:szCs w:val="28"/>
          <w:lang w:val="ru-RU"/>
        </w:rPr>
      </w:pPr>
      <w:r w:rsidRPr="19F662DC">
        <w:rPr>
          <w:rFonts w:asciiTheme="majorBidi" w:eastAsia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Результаты.</w:t>
      </w: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Увелич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ение массы тела наблюдалось у 73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,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5 % пациентов 1-й группы и у 48,9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% пациентов 2-й группы. Уровень ОХС у пациентов с сочетанным течением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в 2,4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раза превышал показатели у пациентов 1-й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группы (</w:t>
      </w:r>
      <w:proofErr w:type="gramStart"/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р</w:t>
      </w:r>
      <w:proofErr w:type="gramEnd"/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&lt;0,05), а ЛПВП – в 1,3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раза были достоверно ниже в сравнении с пациентами 2-й группы (1,07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4</w:t>
      </w:r>
      <w:r w:rsidRPr="19F662DC">
        <w:rPr>
          <w:rFonts w:asciiTheme="majorBidi" w:eastAsiaTheme="majorBidi" w:hAnsiTheme="majorBidi" w:cstheme="majorBidi"/>
          <w:sz w:val="28"/>
          <w:szCs w:val="28"/>
          <w:u w:val="single"/>
          <w:lang w:val="ru-RU"/>
        </w:rPr>
        <w:t>+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0,016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 против 1,10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4</w:t>
      </w:r>
      <w:r w:rsidRPr="19F662DC">
        <w:rPr>
          <w:rFonts w:asciiTheme="majorBidi" w:eastAsiaTheme="majorBidi" w:hAnsiTheme="majorBidi" w:cstheme="majorBidi"/>
          <w:sz w:val="28"/>
          <w:szCs w:val="28"/>
          <w:u w:val="single"/>
          <w:lang w:val="ru-RU"/>
        </w:rPr>
        <w:t>+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0,015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, </w:t>
      </w:r>
      <w:proofErr w:type="spellStart"/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р</w:t>
      </w:r>
      <w:proofErr w:type="spellEnd"/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&lt;0,001).  При оценке показателей липидного спектра дислипидемия достоверно чаще встречалась у больных с сочетанным течением АГ и СД 2 типа, в сравн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ении с пациентами 2-й группы (87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,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6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% и 4</w:t>
      </w:r>
      <w:r w:rsidR="009F3DC0">
        <w:rPr>
          <w:rFonts w:asciiTheme="majorBidi" w:eastAsiaTheme="majorBidi" w:hAnsiTheme="majorBidi" w:cstheme="majorBidi"/>
          <w:sz w:val="28"/>
          <w:szCs w:val="28"/>
          <w:lang w:val="ru-RU"/>
        </w:rPr>
        <w:t>5,2</w:t>
      </w:r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% соответственно; </w:t>
      </w:r>
      <w:proofErr w:type="spellStart"/>
      <w:proofErr w:type="gramStart"/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19F662DC">
        <w:rPr>
          <w:rFonts w:asciiTheme="majorBidi" w:eastAsiaTheme="majorBidi" w:hAnsiTheme="majorBidi" w:cstheme="majorBidi"/>
          <w:sz w:val="28"/>
          <w:szCs w:val="28"/>
          <w:lang w:val="ru-RU"/>
        </w:rPr>
        <w:t xml:space="preserve">&lt;0,05). </w:t>
      </w:r>
    </w:p>
    <w:p w:rsidR="00962CD5" w:rsidRDefault="00DF2804" w:rsidP="008A6FB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 Гипертрофия миокарда лево</w:t>
      </w:r>
      <w:r w:rsidR="009F3DC0">
        <w:rPr>
          <w:rFonts w:asciiTheme="majorBidi" w:hAnsiTheme="majorBidi" w:cstheme="majorBidi"/>
          <w:sz w:val="28"/>
          <w:szCs w:val="28"/>
          <w:lang w:val="ru-RU"/>
        </w:rPr>
        <w:t>го желудочка (ГЛЖ) выявлена у 66,7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% пациентов 1</w:t>
      </w:r>
      <w:r w:rsidR="009F3DC0">
        <w:rPr>
          <w:rFonts w:asciiTheme="majorBidi" w:hAnsiTheme="majorBidi" w:cstheme="majorBidi"/>
          <w:sz w:val="28"/>
          <w:szCs w:val="28"/>
          <w:lang w:val="ru-RU"/>
        </w:rPr>
        <w:t>-й группы и у 36,5</w:t>
      </w:r>
      <w:r>
        <w:rPr>
          <w:rFonts w:asciiTheme="majorBidi" w:hAnsiTheme="majorBidi" w:cstheme="majorBidi"/>
          <w:sz w:val="28"/>
          <w:szCs w:val="28"/>
          <w:lang w:val="ru-RU"/>
        </w:rPr>
        <w:t>% пациентов 2-й группы (</w:t>
      </w:r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&lt;0,05).</w:t>
      </w:r>
      <w:r w:rsidR="00481432">
        <w:rPr>
          <w:rFonts w:asciiTheme="majorBidi" w:hAnsiTheme="majorBidi" w:cstheme="majorBidi"/>
          <w:sz w:val="28"/>
          <w:szCs w:val="28"/>
          <w:lang w:val="ru-RU"/>
        </w:rPr>
        <w:t xml:space="preserve"> У пациентов с АГ и СД 2 типа доминировала ко</w:t>
      </w:r>
      <w:r w:rsidR="009F3DC0">
        <w:rPr>
          <w:rFonts w:asciiTheme="majorBidi" w:hAnsiTheme="majorBidi" w:cstheme="majorBidi"/>
          <w:sz w:val="28"/>
          <w:szCs w:val="28"/>
          <w:lang w:val="ru-RU"/>
        </w:rPr>
        <w:t>нцентрическая гипертрофия ЛЖ (68</w:t>
      </w:r>
      <w:r w:rsidR="00481432">
        <w:rPr>
          <w:rFonts w:asciiTheme="majorBidi" w:hAnsiTheme="majorBidi" w:cstheme="majorBidi"/>
          <w:sz w:val="28"/>
          <w:szCs w:val="28"/>
          <w:lang w:val="ru-RU"/>
        </w:rPr>
        <w:t xml:space="preserve">%), также </w:t>
      </w:r>
      <w:r w:rsidR="00481432">
        <w:rPr>
          <w:rFonts w:asciiTheme="majorBidi" w:hAnsiTheme="majorBidi" w:cstheme="majorBidi"/>
          <w:sz w:val="28"/>
          <w:szCs w:val="28"/>
          <w:lang w:val="ru-RU"/>
        </w:rPr>
        <w:lastRenderedPageBreak/>
        <w:t>характерно увеличение средних значений ММЛЖ (</w:t>
      </w:r>
      <w:proofErr w:type="gramStart"/>
      <w:r w:rsidR="00481432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gramEnd"/>
      <w:r w:rsidR="00481432">
        <w:rPr>
          <w:rFonts w:asciiTheme="majorBidi" w:hAnsiTheme="majorBidi" w:cstheme="majorBidi"/>
          <w:sz w:val="28"/>
          <w:szCs w:val="28"/>
          <w:lang w:val="ru-RU"/>
        </w:rPr>
        <w:t>&lt;0,05) и ИММЛЖ (р&lt;0,05) по сравнению с пациентами с АГ без СД 2 типа</w:t>
      </w:r>
      <w:r w:rsidR="002A66D4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F020FB" w:rsidRDefault="00ED6E28" w:rsidP="008A6FB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Оценка углеводного профиля и уровня ЦА2Г у пациентов обеих групп показала, что все показател</w:t>
      </w:r>
      <w:r w:rsidR="00F020FB">
        <w:rPr>
          <w:rFonts w:asciiTheme="majorBidi" w:hAnsiTheme="majorBidi" w:cstheme="majorBidi"/>
          <w:sz w:val="28"/>
          <w:szCs w:val="28"/>
          <w:lang w:val="ru-RU"/>
        </w:rPr>
        <w:t>и углеводного обмена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достоверно (</w:t>
      </w:r>
      <w:proofErr w:type="gramStart"/>
      <w:r w:rsidRPr="00ED6E28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gramEnd"/>
      <w:r w:rsidRPr="00ED6E28">
        <w:rPr>
          <w:rFonts w:asciiTheme="majorBidi" w:hAnsiTheme="majorBidi" w:cstheme="majorBidi"/>
          <w:sz w:val="28"/>
          <w:szCs w:val="28"/>
          <w:lang w:val="ru-RU"/>
        </w:rPr>
        <w:t>&lt;0,001</w:t>
      </w:r>
      <w:r>
        <w:rPr>
          <w:rFonts w:asciiTheme="majorBidi" w:hAnsiTheme="majorBidi" w:cstheme="majorBidi"/>
          <w:sz w:val="28"/>
          <w:szCs w:val="28"/>
          <w:lang w:val="ru-RU"/>
        </w:rPr>
        <w:t>) отличались от контрольн</w:t>
      </w:r>
      <w:r w:rsidR="004510E4">
        <w:rPr>
          <w:rFonts w:asciiTheme="majorBidi" w:hAnsiTheme="majorBidi" w:cstheme="majorBidi"/>
          <w:sz w:val="28"/>
          <w:szCs w:val="28"/>
          <w:lang w:val="ru-RU"/>
        </w:rPr>
        <w:t>ых значений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. </w:t>
      </w:r>
      <w:r w:rsidR="00F020FB">
        <w:rPr>
          <w:rFonts w:asciiTheme="majorBidi" w:hAnsiTheme="majorBidi" w:cstheme="majorBidi"/>
          <w:sz w:val="28"/>
          <w:szCs w:val="28"/>
          <w:lang w:val="ru-RU"/>
        </w:rPr>
        <w:t xml:space="preserve">При этом </w:t>
      </w:r>
      <w:r w:rsidR="004510E4">
        <w:rPr>
          <w:rFonts w:asciiTheme="majorBidi" w:hAnsiTheme="majorBidi" w:cstheme="majorBidi"/>
          <w:sz w:val="28"/>
          <w:szCs w:val="28"/>
          <w:lang w:val="ru-RU"/>
        </w:rPr>
        <w:t>концентрация</w:t>
      </w:r>
      <w:r w:rsidR="00F020FB">
        <w:rPr>
          <w:rFonts w:asciiTheme="majorBidi" w:hAnsiTheme="majorBidi" w:cstheme="majorBidi"/>
          <w:sz w:val="28"/>
          <w:szCs w:val="28"/>
          <w:lang w:val="ru-RU"/>
        </w:rPr>
        <w:t xml:space="preserve"> ЦА2Г был</w:t>
      </w:r>
      <w:r w:rsidR="004510E4">
        <w:rPr>
          <w:rFonts w:asciiTheme="majorBidi" w:hAnsiTheme="majorBidi" w:cstheme="majorBidi"/>
          <w:sz w:val="28"/>
          <w:szCs w:val="28"/>
          <w:lang w:val="ru-RU"/>
        </w:rPr>
        <w:t>а</w:t>
      </w:r>
      <w:r w:rsidR="00F020FB">
        <w:rPr>
          <w:rFonts w:asciiTheme="majorBidi" w:hAnsiTheme="majorBidi" w:cstheme="majorBidi"/>
          <w:sz w:val="28"/>
          <w:szCs w:val="28"/>
          <w:lang w:val="ru-RU"/>
        </w:rPr>
        <w:t xml:space="preserve"> достоверно выше у пациентов с сочетанным течением заболевания в сравнении с пациентами 2-й группы</w:t>
      </w:r>
      <w:r w:rsidR="004510E4">
        <w:rPr>
          <w:rFonts w:asciiTheme="majorBidi" w:hAnsiTheme="majorBidi" w:cstheme="majorBidi"/>
          <w:sz w:val="28"/>
          <w:szCs w:val="28"/>
          <w:lang w:val="ru-RU"/>
        </w:rPr>
        <w:t xml:space="preserve"> (</w:t>
      </w:r>
      <w:r w:rsidR="004510E4" w:rsidRPr="004510E4">
        <w:rPr>
          <w:rFonts w:asciiTheme="majorBidi" w:hAnsiTheme="majorBidi" w:cstheme="majorBidi"/>
          <w:sz w:val="28"/>
          <w:szCs w:val="28"/>
          <w:lang w:val="ru-RU"/>
        </w:rPr>
        <w:t>p&lt;0,01)</w:t>
      </w:r>
      <w:r w:rsidR="00F020FB">
        <w:rPr>
          <w:rFonts w:asciiTheme="majorBidi" w:hAnsiTheme="majorBidi" w:cstheme="majorBidi"/>
          <w:sz w:val="28"/>
          <w:szCs w:val="28"/>
          <w:lang w:val="ru-RU"/>
        </w:rPr>
        <w:t xml:space="preserve">. </w:t>
      </w:r>
    </w:p>
    <w:p w:rsidR="000E2DCC" w:rsidRPr="00F020FB" w:rsidRDefault="004510E4" w:rsidP="008A6FB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Установлена</w:t>
      </w:r>
      <w:r w:rsidR="00962CD5">
        <w:rPr>
          <w:rFonts w:asciiTheme="majorBidi" w:hAnsiTheme="majorBidi" w:cstheme="majorBidi"/>
          <w:sz w:val="28"/>
          <w:szCs w:val="28"/>
          <w:lang w:val="ru-RU"/>
        </w:rPr>
        <w:t xml:space="preserve"> отрицательная корреляционная зависимость </w:t>
      </w:r>
      <w:r w:rsidR="000E2DCC">
        <w:rPr>
          <w:rFonts w:ascii="Times New Roman" w:hAnsi="Times New Roman"/>
          <w:sz w:val="28"/>
          <w:szCs w:val="28"/>
          <w:lang w:val="uk-UA"/>
        </w:rPr>
        <w:t>ЦА2Г</w:t>
      </w:r>
      <w:r w:rsidR="00962CD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962CD5">
        <w:rPr>
          <w:rFonts w:ascii="Times New Roman" w:hAnsi="Times New Roman"/>
          <w:sz w:val="28"/>
          <w:szCs w:val="28"/>
          <w:lang w:val="uk-UA"/>
        </w:rPr>
        <w:t xml:space="preserve"> с 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HOMA-IR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(r=-</w:t>
      </w:r>
      <w:r w:rsidR="00962CD5">
        <w:rPr>
          <w:rFonts w:ascii="Times New Roman" w:hAnsi="Times New Roman"/>
          <w:sz w:val="28"/>
          <w:szCs w:val="28"/>
          <w:lang w:val="uk-UA" w:eastAsia="uk-UA"/>
        </w:rPr>
        <w:t>0,54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>; p&lt;0,05),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 xml:space="preserve"> содержанием ТГ (r=-0,5</w:t>
      </w:r>
      <w:r w:rsidR="00962CD5">
        <w:rPr>
          <w:rFonts w:ascii="Times New Roman" w:hAnsi="Times New Roman"/>
          <w:sz w:val="28"/>
          <w:szCs w:val="28"/>
          <w:lang w:val="uk-UA"/>
        </w:rPr>
        <w:t>2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; p&lt;0,05),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>уровнем</w:t>
      </w:r>
      <w:proofErr w:type="spellEnd"/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>глюкозы</w:t>
      </w:r>
      <w:proofErr w:type="spellEnd"/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(r=-0,4</w:t>
      </w:r>
      <w:r w:rsidR="00962CD5">
        <w:rPr>
          <w:rFonts w:ascii="Times New Roman" w:hAnsi="Times New Roman"/>
          <w:sz w:val="28"/>
          <w:szCs w:val="28"/>
          <w:lang w:val="uk-UA"/>
        </w:rPr>
        <w:t>6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;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p&lt;0,05)</w:t>
      </w:r>
      <w:r>
        <w:rPr>
          <w:rFonts w:ascii="Times New Roman" w:hAnsi="Times New Roman"/>
          <w:sz w:val="28"/>
          <w:szCs w:val="28"/>
          <w:lang w:val="uk-UA" w:eastAsia="uk-UA"/>
        </w:rPr>
        <w:t>,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4510E4">
        <w:rPr>
          <w:rFonts w:ascii="Times New Roman" w:hAnsi="Times New Roman"/>
          <w:sz w:val="28"/>
          <w:szCs w:val="28"/>
          <w:lang w:val="uk-UA" w:eastAsia="uk-UA"/>
        </w:rPr>
        <w:t>ИМТ</w:t>
      </w:r>
      <w:r w:rsidRPr="00F020FB">
        <w:rPr>
          <w:rFonts w:ascii="Times New Roman" w:hAnsi="Times New Roman"/>
          <w:sz w:val="28"/>
          <w:szCs w:val="28"/>
          <w:lang w:val="uk-UA"/>
        </w:rPr>
        <w:t>(r=-0,52; p&lt;0,05)</w:t>
      </w:r>
      <w:r w:rsidRPr="004510E4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 xml:space="preserve">и 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НbA</w:t>
      </w:r>
      <w:r w:rsidR="003A53DC" w:rsidRPr="003B7E6D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c (r=-</w:t>
      </w:r>
      <w:r w:rsidR="00962CD5">
        <w:rPr>
          <w:rFonts w:ascii="Times New Roman" w:hAnsi="Times New Roman"/>
          <w:sz w:val="28"/>
          <w:szCs w:val="28"/>
          <w:lang w:val="uk-UA" w:eastAsia="uk-UA"/>
        </w:rPr>
        <w:t>0,58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3A53DC" w:rsidRPr="003B7E6D">
        <w:rPr>
          <w:rFonts w:ascii="Times New Roman" w:hAnsi="Times New Roman"/>
          <w:sz w:val="28"/>
          <w:szCs w:val="28"/>
          <w:lang w:val="uk-UA" w:eastAsia="uk-UA"/>
        </w:rPr>
        <w:t>p&lt;</w:t>
      </w:r>
      <w:r w:rsidR="003A53DC" w:rsidRPr="003B7E6D">
        <w:rPr>
          <w:rFonts w:ascii="Times New Roman" w:hAnsi="Times New Roman"/>
          <w:sz w:val="28"/>
          <w:szCs w:val="28"/>
          <w:lang w:val="uk-UA"/>
        </w:rPr>
        <w:t>0,01)</w:t>
      </w:r>
      <w:r w:rsidR="00F020F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Определена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тесная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ассоциация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изменений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показателей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ЦА2Г при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увеличении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20FB" w:rsidRPr="00F020FB">
        <w:rPr>
          <w:rFonts w:ascii="Times New Roman" w:hAnsi="Times New Roman"/>
          <w:sz w:val="28"/>
          <w:szCs w:val="28"/>
          <w:lang w:val="uk-UA"/>
        </w:rPr>
        <w:t>ИМТ</w:t>
      </w:r>
      <w:r w:rsidR="00F020FB">
        <w:rPr>
          <w:rFonts w:ascii="Times New Roman" w:hAnsi="Times New Roman"/>
          <w:sz w:val="28"/>
          <w:szCs w:val="28"/>
          <w:lang w:val="uk-UA"/>
        </w:rPr>
        <w:t>, а именно достоверное (</w:t>
      </w:r>
      <w:r w:rsidR="00F020FB">
        <w:rPr>
          <w:rFonts w:ascii="Times New Roman" w:hAnsi="Times New Roman"/>
          <w:sz w:val="28"/>
          <w:szCs w:val="28"/>
          <w:lang w:val="uk-UA" w:eastAsia="uk-UA"/>
        </w:rPr>
        <w:t>p&lt;0,001)</w:t>
      </w:r>
      <w:r w:rsidR="00F020FB" w:rsidRPr="00F020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20FB">
        <w:rPr>
          <w:rFonts w:ascii="Times New Roman" w:hAnsi="Times New Roman"/>
          <w:sz w:val="28"/>
          <w:szCs w:val="28"/>
          <w:lang w:val="uk-UA"/>
        </w:rPr>
        <w:t xml:space="preserve"> увеличения уровня </w:t>
      </w:r>
      <w:proofErr w:type="spellStart"/>
      <w:r w:rsidR="00F020FB">
        <w:rPr>
          <w:rFonts w:ascii="Times New Roman" w:hAnsi="Times New Roman"/>
          <w:sz w:val="28"/>
          <w:szCs w:val="28"/>
          <w:lang w:val="uk-UA"/>
        </w:rPr>
        <w:t>глюкозы</w:t>
      </w:r>
      <w:proofErr w:type="spellEnd"/>
      <w:r w:rsidR="00F020F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020FB" w:rsidRPr="00F020FB">
        <w:rPr>
          <w:rFonts w:ascii="Times New Roman" w:hAnsi="Times New Roman"/>
          <w:sz w:val="28"/>
          <w:szCs w:val="28"/>
          <w:lang w:val="uk-UA"/>
        </w:rPr>
        <w:t>НbA1c</w:t>
      </w:r>
      <w:r w:rsidR="00F020FB">
        <w:rPr>
          <w:rFonts w:ascii="Times New Roman" w:hAnsi="Times New Roman"/>
          <w:sz w:val="28"/>
          <w:szCs w:val="28"/>
          <w:lang w:val="uk-UA"/>
        </w:rPr>
        <w:t xml:space="preserve">, инсулина и </w:t>
      </w:r>
      <w:r w:rsidR="00F020FB">
        <w:rPr>
          <w:rFonts w:ascii="Times New Roman" w:hAnsi="Times New Roman"/>
          <w:sz w:val="28"/>
          <w:szCs w:val="28"/>
        </w:rPr>
        <w:t>HOMA</w:t>
      </w:r>
      <w:r w:rsidR="00F020FB" w:rsidRPr="00F020FB">
        <w:rPr>
          <w:rFonts w:ascii="Times New Roman" w:hAnsi="Times New Roman"/>
          <w:sz w:val="28"/>
          <w:szCs w:val="28"/>
          <w:lang w:val="ru-RU"/>
        </w:rPr>
        <w:t>-</w:t>
      </w:r>
      <w:r w:rsidR="00F020FB">
        <w:rPr>
          <w:rFonts w:ascii="Times New Roman" w:hAnsi="Times New Roman"/>
          <w:sz w:val="28"/>
          <w:szCs w:val="28"/>
        </w:rPr>
        <w:t>IR</w:t>
      </w:r>
      <w:r w:rsidR="00F020FB" w:rsidRPr="00F020FB">
        <w:rPr>
          <w:rFonts w:ascii="Times New Roman" w:hAnsi="Times New Roman"/>
          <w:sz w:val="28"/>
          <w:szCs w:val="28"/>
          <w:lang w:val="ru-RU"/>
        </w:rPr>
        <w:t>.</w:t>
      </w:r>
      <w:r w:rsidR="00F020FB" w:rsidRPr="00F020F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658EE" w:rsidRDefault="0026188F" w:rsidP="008A6FB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Также, отмечены отрицательные корелляцонные святи </w:t>
      </w:r>
      <w:r w:rsidR="000E2DCC">
        <w:rPr>
          <w:rFonts w:ascii="Times New Roman" w:hAnsi="Times New Roman"/>
          <w:sz w:val="28"/>
          <w:szCs w:val="28"/>
          <w:lang w:val="uk-UA"/>
        </w:rPr>
        <w:t>ЦА2Г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0E2D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E2DCC">
        <w:rPr>
          <w:rFonts w:ascii="Times New Roman" w:hAnsi="Times New Roman"/>
          <w:sz w:val="28"/>
          <w:szCs w:val="28"/>
          <w:lang w:val="uk-UA"/>
        </w:rPr>
        <w:t>ЛЖ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2DCC">
        <w:rPr>
          <w:rFonts w:ascii="Times New Roman" w:hAnsi="Times New Roman"/>
          <w:sz w:val="28"/>
          <w:szCs w:val="28"/>
          <w:lang w:val="uk-UA"/>
        </w:rPr>
        <w:t>(r=-0,48</w:t>
      </w:r>
      <w:r w:rsidRPr="003B7E6D">
        <w:rPr>
          <w:rFonts w:ascii="Times New Roman" w:hAnsi="Times New Roman"/>
          <w:sz w:val="28"/>
          <w:szCs w:val="28"/>
          <w:lang w:val="uk-UA"/>
        </w:rPr>
        <w:t>; p&lt;0,05)</w:t>
      </w:r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r w:rsidR="000E2DCC">
        <w:rPr>
          <w:rFonts w:ascii="Times New Roman" w:hAnsi="Times New Roman"/>
          <w:sz w:val="28"/>
          <w:szCs w:val="28"/>
          <w:lang w:val="uk-UA"/>
        </w:rPr>
        <w:t>ИММЛЖ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2DCC">
        <w:rPr>
          <w:rFonts w:ascii="Times New Roman" w:hAnsi="Times New Roman"/>
          <w:sz w:val="28"/>
          <w:szCs w:val="28"/>
          <w:lang w:val="uk-UA"/>
        </w:rPr>
        <w:t>(r=-0,52</w:t>
      </w:r>
      <w:r w:rsidRPr="003B7E6D">
        <w:rPr>
          <w:rFonts w:ascii="Times New Roman" w:hAnsi="Times New Roman"/>
          <w:sz w:val="28"/>
          <w:szCs w:val="28"/>
          <w:lang w:val="uk-UA"/>
        </w:rPr>
        <w:t>; p&lt;0,05)</w:t>
      </w:r>
      <w:r w:rsidR="000E2DCC">
        <w:rPr>
          <w:rFonts w:ascii="Times New Roman" w:hAnsi="Times New Roman"/>
          <w:sz w:val="28"/>
          <w:szCs w:val="28"/>
          <w:lang w:val="uk-UA"/>
        </w:rPr>
        <w:t xml:space="preserve">, что </w:t>
      </w:r>
      <w:r w:rsidR="00D73339">
        <w:rPr>
          <w:rFonts w:ascii="Times New Roman" w:hAnsi="Times New Roman"/>
          <w:sz w:val="28"/>
          <w:szCs w:val="28"/>
          <w:lang w:val="uk-UA"/>
        </w:rPr>
        <w:t xml:space="preserve">подтверждает </w:t>
      </w:r>
      <w:r w:rsidR="000E2DCC">
        <w:rPr>
          <w:rFonts w:ascii="Times New Roman" w:hAnsi="Times New Roman"/>
          <w:sz w:val="28"/>
          <w:szCs w:val="28"/>
          <w:lang w:val="uk-UA"/>
        </w:rPr>
        <w:t xml:space="preserve"> кардиопротективны</w:t>
      </w:r>
      <w:r w:rsidR="00D73339">
        <w:rPr>
          <w:rFonts w:ascii="Times New Roman" w:hAnsi="Times New Roman"/>
          <w:sz w:val="28"/>
          <w:szCs w:val="28"/>
          <w:lang w:val="uk-UA"/>
        </w:rPr>
        <w:t>е</w:t>
      </w:r>
      <w:r w:rsidR="000E2DCC">
        <w:rPr>
          <w:rFonts w:ascii="Times New Roman" w:hAnsi="Times New Roman"/>
          <w:sz w:val="28"/>
          <w:szCs w:val="28"/>
          <w:lang w:val="uk-UA"/>
        </w:rPr>
        <w:t xml:space="preserve"> свойства ЦА2Г</w:t>
      </w:r>
      <w:r w:rsidR="00552194">
        <w:rPr>
          <w:rFonts w:ascii="Times New Roman" w:hAnsi="Times New Roman"/>
          <w:sz w:val="28"/>
          <w:szCs w:val="28"/>
          <w:lang w:val="uk-UA"/>
        </w:rPr>
        <w:t>.</w:t>
      </w:r>
      <w:r w:rsidR="000375D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510E4" w:rsidRDefault="00DF2804" w:rsidP="008A6FBF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26188F">
        <w:rPr>
          <w:rFonts w:asciiTheme="majorBidi" w:hAnsiTheme="majorBidi" w:cstheme="majorBidi"/>
          <w:b/>
          <w:bCs/>
          <w:sz w:val="28"/>
          <w:szCs w:val="28"/>
          <w:lang w:val="ru-RU"/>
        </w:rPr>
        <w:t>В</w:t>
      </w:r>
      <w:r w:rsidRPr="0026188F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ыводы.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</w:p>
    <w:p w:rsidR="004510E4" w:rsidRDefault="19F662DC" w:rsidP="008A6FBF">
      <w:pPr>
        <w:spacing w:after="0" w:line="360" w:lineRule="auto"/>
        <w:ind w:firstLine="720"/>
        <w:jc w:val="both"/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</w:pP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Сочетанное течение АГ и СД сопровождается </w:t>
      </w:r>
      <w:proofErr w:type="spellStart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кардиометаболическими</w:t>
      </w:r>
      <w:proofErr w:type="spellEnd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и </w:t>
      </w:r>
      <w:proofErr w:type="spellStart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глюкометаболическими</w:t>
      </w:r>
      <w:proofErr w:type="spellEnd"/>
      <w:r w:rsidR="009F3DC0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нарушениями. Установлено, что с</w:t>
      </w: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ни</w:t>
      </w:r>
      <w:r w:rsidR="00296ED4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жение концентрации ЦА2Г ухудшает</w:t>
      </w: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показатели углеводного обмена, структурно-функциональные</w:t>
      </w:r>
      <w:r w:rsidR="00296ED4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показатели сердца, способствует</w:t>
      </w:r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гипертрофии левого желудочка</w:t>
      </w:r>
      <w:r w:rsidR="00296ED4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и прогрессированию </w:t>
      </w:r>
      <w:proofErr w:type="spellStart"/>
      <w:r w:rsidR="00296ED4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атерогенеза</w:t>
      </w:r>
      <w:proofErr w:type="spellEnd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, что можно расценивать как </w:t>
      </w:r>
      <w:proofErr w:type="spellStart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>биомаркер</w:t>
      </w:r>
      <w:proofErr w:type="spellEnd"/>
      <w:r w:rsidRPr="19F662DC">
        <w:rPr>
          <w:rFonts w:asciiTheme="majorBidi" w:eastAsiaTheme="majorBidi" w:hAnsiTheme="majorBidi" w:cstheme="majorBidi"/>
          <w:color w:val="000000" w:themeColor="text1"/>
          <w:sz w:val="28"/>
          <w:szCs w:val="28"/>
          <w:lang w:val="ru-RU"/>
        </w:rPr>
        <w:t xml:space="preserve"> неблагоприятного течения АГ и СД 2 типа. </w:t>
      </w:r>
    </w:p>
    <w:sectPr w:rsidR="004510E4" w:rsidSect="000E2DCC">
      <w:pgSz w:w="11909" w:h="16834" w:code="9"/>
      <w:pgMar w:top="1152" w:right="1152" w:bottom="1152" w:left="1152" w:header="706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F75" w:rsidRDefault="00D72F75" w:rsidP="00B73EB2">
      <w:pPr>
        <w:spacing w:after="0" w:line="240" w:lineRule="auto"/>
      </w:pPr>
      <w:r>
        <w:separator/>
      </w:r>
    </w:p>
  </w:endnote>
  <w:endnote w:type="continuationSeparator" w:id="0">
    <w:p w:rsidR="00D72F75" w:rsidRDefault="00D72F75" w:rsidP="00B73E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F75" w:rsidRDefault="00D72F75" w:rsidP="00B73EB2">
      <w:pPr>
        <w:spacing w:after="0" w:line="240" w:lineRule="auto"/>
      </w:pPr>
      <w:r>
        <w:separator/>
      </w:r>
    </w:p>
  </w:footnote>
  <w:footnote w:type="continuationSeparator" w:id="0">
    <w:p w:rsidR="00D72F75" w:rsidRDefault="00D72F75" w:rsidP="00B73E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B4528"/>
    <w:multiLevelType w:val="multilevel"/>
    <w:tmpl w:val="B3F08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AB428C3"/>
    <w:multiLevelType w:val="hybridMultilevel"/>
    <w:tmpl w:val="C26A101E"/>
    <w:lvl w:ilvl="0" w:tplc="C59A43EA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705A34"/>
    <w:multiLevelType w:val="multilevel"/>
    <w:tmpl w:val="CCF6B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2804"/>
    <w:rsid w:val="000050E1"/>
    <w:rsid w:val="0001098B"/>
    <w:rsid w:val="000375D0"/>
    <w:rsid w:val="000505AA"/>
    <w:rsid w:val="00085ECF"/>
    <w:rsid w:val="00096318"/>
    <w:rsid w:val="000D2AD8"/>
    <w:rsid w:val="000D33F1"/>
    <w:rsid w:val="000E2DCC"/>
    <w:rsid w:val="00170452"/>
    <w:rsid w:val="00174BF8"/>
    <w:rsid w:val="00187ABD"/>
    <w:rsid w:val="001B064A"/>
    <w:rsid w:val="001D0E02"/>
    <w:rsid w:val="001E6BD5"/>
    <w:rsid w:val="00214769"/>
    <w:rsid w:val="00221036"/>
    <w:rsid w:val="00231651"/>
    <w:rsid w:val="0024790B"/>
    <w:rsid w:val="0026188F"/>
    <w:rsid w:val="0027019E"/>
    <w:rsid w:val="002740E0"/>
    <w:rsid w:val="00296ED4"/>
    <w:rsid w:val="002A0F91"/>
    <w:rsid w:val="002A4009"/>
    <w:rsid w:val="002A66D4"/>
    <w:rsid w:val="002C0035"/>
    <w:rsid w:val="002D4AE6"/>
    <w:rsid w:val="00304F49"/>
    <w:rsid w:val="003176AE"/>
    <w:rsid w:val="00331418"/>
    <w:rsid w:val="00366C75"/>
    <w:rsid w:val="00371B8E"/>
    <w:rsid w:val="003A1BA9"/>
    <w:rsid w:val="003A53DC"/>
    <w:rsid w:val="003E0926"/>
    <w:rsid w:val="003F55C6"/>
    <w:rsid w:val="00400B1F"/>
    <w:rsid w:val="00405676"/>
    <w:rsid w:val="00414C6D"/>
    <w:rsid w:val="004220D1"/>
    <w:rsid w:val="004324C8"/>
    <w:rsid w:val="00441AF9"/>
    <w:rsid w:val="004510E4"/>
    <w:rsid w:val="00481432"/>
    <w:rsid w:val="004A18A9"/>
    <w:rsid w:val="004C7C1D"/>
    <w:rsid w:val="004D04EF"/>
    <w:rsid w:val="004D1498"/>
    <w:rsid w:val="004F087C"/>
    <w:rsid w:val="00505D88"/>
    <w:rsid w:val="00513031"/>
    <w:rsid w:val="005308A8"/>
    <w:rsid w:val="00534E97"/>
    <w:rsid w:val="00534FF1"/>
    <w:rsid w:val="00552194"/>
    <w:rsid w:val="005554BE"/>
    <w:rsid w:val="00557C72"/>
    <w:rsid w:val="00570239"/>
    <w:rsid w:val="00572C12"/>
    <w:rsid w:val="00593B8E"/>
    <w:rsid w:val="005B518A"/>
    <w:rsid w:val="005C20AB"/>
    <w:rsid w:val="00602692"/>
    <w:rsid w:val="00610C9D"/>
    <w:rsid w:val="00617EF7"/>
    <w:rsid w:val="006434D9"/>
    <w:rsid w:val="00644E36"/>
    <w:rsid w:val="00663810"/>
    <w:rsid w:val="0069588F"/>
    <w:rsid w:val="006B1FC6"/>
    <w:rsid w:val="006E1EB9"/>
    <w:rsid w:val="006F02B9"/>
    <w:rsid w:val="006F4037"/>
    <w:rsid w:val="006F536F"/>
    <w:rsid w:val="00724C67"/>
    <w:rsid w:val="0073657D"/>
    <w:rsid w:val="00750804"/>
    <w:rsid w:val="0075540A"/>
    <w:rsid w:val="007669C2"/>
    <w:rsid w:val="00774983"/>
    <w:rsid w:val="00780C14"/>
    <w:rsid w:val="00783B8B"/>
    <w:rsid w:val="00784B73"/>
    <w:rsid w:val="0079442D"/>
    <w:rsid w:val="00795462"/>
    <w:rsid w:val="007B165F"/>
    <w:rsid w:val="007B30D7"/>
    <w:rsid w:val="007D32B8"/>
    <w:rsid w:val="007F07D8"/>
    <w:rsid w:val="007F07F4"/>
    <w:rsid w:val="00826835"/>
    <w:rsid w:val="008701FC"/>
    <w:rsid w:val="00872F09"/>
    <w:rsid w:val="00877964"/>
    <w:rsid w:val="0088424B"/>
    <w:rsid w:val="0089001A"/>
    <w:rsid w:val="008A62F1"/>
    <w:rsid w:val="008A6FBF"/>
    <w:rsid w:val="008C3669"/>
    <w:rsid w:val="008C6D65"/>
    <w:rsid w:val="008D63B5"/>
    <w:rsid w:val="00901C31"/>
    <w:rsid w:val="009170F8"/>
    <w:rsid w:val="009411C3"/>
    <w:rsid w:val="00944D98"/>
    <w:rsid w:val="00962CD5"/>
    <w:rsid w:val="0096332C"/>
    <w:rsid w:val="00964AFE"/>
    <w:rsid w:val="00977ACD"/>
    <w:rsid w:val="009900A2"/>
    <w:rsid w:val="009B5F1E"/>
    <w:rsid w:val="009E7964"/>
    <w:rsid w:val="009F3DC0"/>
    <w:rsid w:val="009F4E06"/>
    <w:rsid w:val="009F7AB9"/>
    <w:rsid w:val="00A07A6B"/>
    <w:rsid w:val="00A12B13"/>
    <w:rsid w:val="00A12D53"/>
    <w:rsid w:val="00A13CB4"/>
    <w:rsid w:val="00A15BC2"/>
    <w:rsid w:val="00A440F0"/>
    <w:rsid w:val="00A72377"/>
    <w:rsid w:val="00A733BF"/>
    <w:rsid w:val="00A7401C"/>
    <w:rsid w:val="00A8085C"/>
    <w:rsid w:val="00A845D8"/>
    <w:rsid w:val="00A96F4C"/>
    <w:rsid w:val="00AA27EA"/>
    <w:rsid w:val="00AD7627"/>
    <w:rsid w:val="00B10490"/>
    <w:rsid w:val="00B12A94"/>
    <w:rsid w:val="00B73EB2"/>
    <w:rsid w:val="00B8621C"/>
    <w:rsid w:val="00B96140"/>
    <w:rsid w:val="00BC0D77"/>
    <w:rsid w:val="00BD14D8"/>
    <w:rsid w:val="00BD7FD2"/>
    <w:rsid w:val="00BE54B3"/>
    <w:rsid w:val="00BF0545"/>
    <w:rsid w:val="00BF16A3"/>
    <w:rsid w:val="00C00907"/>
    <w:rsid w:val="00C23EEB"/>
    <w:rsid w:val="00C54866"/>
    <w:rsid w:val="00C7456D"/>
    <w:rsid w:val="00CA1330"/>
    <w:rsid w:val="00CA6296"/>
    <w:rsid w:val="00CB7A99"/>
    <w:rsid w:val="00CC3EB4"/>
    <w:rsid w:val="00CF115E"/>
    <w:rsid w:val="00CF5423"/>
    <w:rsid w:val="00D13EEC"/>
    <w:rsid w:val="00D20091"/>
    <w:rsid w:val="00D45E83"/>
    <w:rsid w:val="00D45EB7"/>
    <w:rsid w:val="00D51D22"/>
    <w:rsid w:val="00D72F75"/>
    <w:rsid w:val="00D73339"/>
    <w:rsid w:val="00D75719"/>
    <w:rsid w:val="00D8347A"/>
    <w:rsid w:val="00DD78FD"/>
    <w:rsid w:val="00DE42C5"/>
    <w:rsid w:val="00DF2804"/>
    <w:rsid w:val="00DF5A96"/>
    <w:rsid w:val="00E10FE7"/>
    <w:rsid w:val="00E709F2"/>
    <w:rsid w:val="00E8091C"/>
    <w:rsid w:val="00E83FF8"/>
    <w:rsid w:val="00ED6E28"/>
    <w:rsid w:val="00F020FB"/>
    <w:rsid w:val="00F102D3"/>
    <w:rsid w:val="00F159C9"/>
    <w:rsid w:val="00F31B73"/>
    <w:rsid w:val="00F3237C"/>
    <w:rsid w:val="00F60125"/>
    <w:rsid w:val="00F658EE"/>
    <w:rsid w:val="00F96C9F"/>
    <w:rsid w:val="19F662DC"/>
    <w:rsid w:val="520925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804"/>
  </w:style>
  <w:style w:type="paragraph" w:styleId="1">
    <w:name w:val="heading 1"/>
    <w:basedOn w:val="a"/>
    <w:link w:val="10"/>
    <w:uiPriority w:val="9"/>
    <w:qFormat/>
    <w:rsid w:val="003314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2B13"/>
    <w:pPr>
      <w:ind w:left="720"/>
      <w:contextualSpacing/>
    </w:pPr>
  </w:style>
  <w:style w:type="character" w:customStyle="1" w:styleId="authorname">
    <w:name w:val="authorname"/>
    <w:basedOn w:val="a0"/>
    <w:rsid w:val="00331418"/>
  </w:style>
  <w:style w:type="character" w:customStyle="1" w:styleId="apple-converted-space">
    <w:name w:val="apple-converted-space"/>
    <w:basedOn w:val="a0"/>
    <w:rsid w:val="00331418"/>
  </w:style>
  <w:style w:type="character" w:customStyle="1" w:styleId="10">
    <w:name w:val="Заголовок 1 Знак"/>
    <w:basedOn w:val="a0"/>
    <w:link w:val="1"/>
    <w:uiPriority w:val="9"/>
    <w:rsid w:val="0033141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journaltitle">
    <w:name w:val="journaltitle"/>
    <w:basedOn w:val="a0"/>
    <w:rsid w:val="00A440F0"/>
  </w:style>
  <w:style w:type="character" w:customStyle="1" w:styleId="articlecitationyear">
    <w:name w:val="articlecitation_year"/>
    <w:basedOn w:val="a0"/>
    <w:rsid w:val="00A440F0"/>
  </w:style>
  <w:style w:type="character" w:styleId="a4">
    <w:name w:val="Hyperlink"/>
    <w:basedOn w:val="a0"/>
    <w:uiPriority w:val="99"/>
    <w:semiHidden/>
    <w:unhideWhenUsed/>
    <w:rsid w:val="00E709F2"/>
    <w:rPr>
      <w:color w:val="0000FF"/>
      <w:u w:val="single"/>
    </w:rPr>
  </w:style>
  <w:style w:type="paragraph" w:customStyle="1" w:styleId="volissue">
    <w:name w:val="volissue"/>
    <w:basedOn w:val="a"/>
    <w:rsid w:val="00E709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Revision"/>
    <w:hidden/>
    <w:uiPriority w:val="99"/>
    <w:semiHidden/>
    <w:rsid w:val="00977ACD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977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7ACD"/>
    <w:rPr>
      <w:rFonts w:ascii="Tahoma" w:hAnsi="Tahoma" w:cs="Tahoma"/>
      <w:sz w:val="16"/>
      <w:szCs w:val="16"/>
    </w:rPr>
  </w:style>
  <w:style w:type="character" w:styleId="a8">
    <w:name w:val="Emphasis"/>
    <w:basedOn w:val="a0"/>
    <w:uiPriority w:val="20"/>
    <w:qFormat/>
    <w:rsid w:val="002A0F91"/>
    <w:rPr>
      <w:i/>
      <w:iCs/>
    </w:rPr>
  </w:style>
  <w:style w:type="paragraph" w:styleId="a9">
    <w:name w:val="header"/>
    <w:basedOn w:val="a"/>
    <w:link w:val="aa"/>
    <w:uiPriority w:val="99"/>
    <w:semiHidden/>
    <w:unhideWhenUsed/>
    <w:rsid w:val="00B73E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B73EB2"/>
  </w:style>
  <w:style w:type="paragraph" w:styleId="ab">
    <w:name w:val="footer"/>
    <w:basedOn w:val="a"/>
    <w:link w:val="ac"/>
    <w:uiPriority w:val="99"/>
    <w:semiHidden/>
    <w:unhideWhenUsed/>
    <w:rsid w:val="00B73E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B73EB2"/>
  </w:style>
  <w:style w:type="paragraph" w:styleId="ad">
    <w:name w:val="Normal (Web)"/>
    <w:aliases w:val="Обычный (Web)"/>
    <w:basedOn w:val="a"/>
    <w:rsid w:val="00304F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e">
    <w:name w:val="footnote reference"/>
    <w:basedOn w:val="a0"/>
    <w:semiHidden/>
    <w:rsid w:val="0022103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3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34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7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7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19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73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4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2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9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7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35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AE5041-8681-4B66-8ED6-B01E1B440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739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2017-04-19T09:14:00Z</dcterms:created>
  <dcterms:modified xsi:type="dcterms:W3CDTF">2017-04-19T09:14:00Z</dcterms:modified>
</cp:coreProperties>
</file>