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43ADD" w:rsidRPr="00960229" w:rsidRDefault="00D43ADD" w:rsidP="00D43ADD">
      <w:pPr>
        <w:suppressAutoHyphens/>
        <w:jc w:val="center"/>
        <w:rPr>
          <w:b/>
          <w:i/>
          <w:sz w:val="20"/>
          <w:lang w:val="uk-UA"/>
        </w:rPr>
      </w:pPr>
      <w:r>
        <w:rPr>
          <w:b/>
          <w:sz w:val="20"/>
          <w:lang w:val="uk-UA"/>
        </w:rPr>
        <w:t>γ</w:t>
      </w:r>
      <w:r w:rsidRPr="00960229">
        <w:rPr>
          <w:b/>
          <w:bCs/>
          <w:sz w:val="20"/>
          <w:shd w:val="clear" w:color="auto" w:fill="FFFFFF"/>
          <w:lang w:val="uk-UA"/>
        </w:rPr>
        <w:t>-ІНТЕРФЕРОН, ЯК МАРКЕР ХРОНІЧНОГО ЗАПАЛЕННЯ У ДІТЕЙ З БРОНХООБСТРУКТИВНИМ СИНДРОМОМ</w:t>
      </w:r>
      <w:r w:rsidRPr="00960229">
        <w:rPr>
          <w:b/>
          <w:i/>
          <w:sz w:val="20"/>
          <w:lang w:val="uk-UA"/>
        </w:rPr>
        <w:t xml:space="preserve"> </w:t>
      </w:r>
    </w:p>
    <w:p w:rsidR="00D43ADD" w:rsidRPr="00960229" w:rsidRDefault="00D43ADD" w:rsidP="00D43ADD">
      <w:pPr>
        <w:suppressAutoHyphens/>
        <w:jc w:val="center"/>
        <w:rPr>
          <w:i/>
          <w:sz w:val="20"/>
          <w:vertAlign w:val="superscript"/>
          <w:lang w:val="uk-UA"/>
        </w:rPr>
      </w:pPr>
      <w:r w:rsidRPr="00960229">
        <w:rPr>
          <w:i/>
          <w:sz w:val="20"/>
          <w:lang w:val="uk-UA"/>
        </w:rPr>
        <w:t>Макєєва Н.І.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Малахова В.М.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Васильченко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Костіна М.Ю.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Бойко О.М.</w:t>
      </w:r>
      <w:r w:rsidRPr="00960229">
        <w:rPr>
          <w:i/>
          <w:sz w:val="20"/>
          <w:vertAlign w:val="superscript"/>
          <w:lang w:val="uk-UA"/>
        </w:rPr>
        <w:t>2</w:t>
      </w:r>
    </w:p>
    <w:p w:rsidR="00D43ADD" w:rsidRPr="00960229" w:rsidRDefault="00D43ADD" w:rsidP="00D43ADD">
      <w:pPr>
        <w:suppressAutoHyphens/>
        <w:jc w:val="center"/>
        <w:rPr>
          <w:sz w:val="20"/>
        </w:rPr>
      </w:pPr>
      <w:r w:rsidRPr="00960229">
        <w:rPr>
          <w:sz w:val="20"/>
          <w:vertAlign w:val="superscript"/>
          <w:lang w:val="uk-UA"/>
        </w:rPr>
        <w:t>1</w:t>
      </w:r>
      <w:r w:rsidRPr="00960229">
        <w:rPr>
          <w:sz w:val="20"/>
        </w:rPr>
        <w:t>Харківський національний медичний університет</w:t>
      </w:r>
    </w:p>
    <w:p w:rsidR="00D43ADD" w:rsidRPr="00960229" w:rsidRDefault="00D43ADD" w:rsidP="00D43ADD">
      <w:pPr>
        <w:suppressAutoHyphens/>
        <w:jc w:val="center"/>
        <w:rPr>
          <w:sz w:val="20"/>
        </w:rPr>
      </w:pPr>
      <w:r w:rsidRPr="00960229">
        <w:rPr>
          <w:sz w:val="20"/>
        </w:rPr>
        <w:t>Кафедра педіатрії № 2</w:t>
      </w:r>
    </w:p>
    <w:p w:rsidR="00D43ADD" w:rsidRPr="00960229" w:rsidRDefault="00D43ADD" w:rsidP="00D43ADD">
      <w:pPr>
        <w:suppressAutoHyphens/>
        <w:jc w:val="center"/>
        <w:rPr>
          <w:sz w:val="20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</w:rPr>
        <w:t>КНП  «Міська клінічна дитяча лікарня №16» Харківської міської ради</w:t>
      </w:r>
    </w:p>
    <w:p w:rsidR="00D43ADD" w:rsidRPr="00960229" w:rsidRDefault="00D43ADD" w:rsidP="00D43ADD">
      <w:pPr>
        <w:suppressAutoHyphens/>
        <w:ind w:firstLine="709"/>
        <w:jc w:val="center"/>
        <w:rPr>
          <w:sz w:val="20"/>
        </w:rPr>
      </w:pPr>
    </w:p>
    <w:p w:rsidR="00D43ADD" w:rsidRPr="00960229" w:rsidRDefault="00D43ADD" w:rsidP="00D43AD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Актуальність. Глобальну проблему сьогодення по всьому світі становить бронхіальна астма (БА). </w:t>
      </w:r>
      <w:r w:rsidRPr="00960229">
        <w:rPr>
          <w:sz w:val="20"/>
          <w:lang w:val="uk-UA" w:eastAsia="uk-UA"/>
        </w:rPr>
        <w:t xml:space="preserve">Незважаючи на всі зусилля, що вживаються для досягнення контролю над БА, її поширеність у всьому світі зростає. За даними Глобальної стратегії по управлінню і профілактиці БА (Global Strategy for Asthma Management and Prevention, GINA), в даний час в світі від астми страждають 300 млн. осіб. Така ситуація сприяє </w:t>
      </w:r>
      <w:r w:rsidRPr="00960229">
        <w:rPr>
          <w:sz w:val="20"/>
          <w:lang w:val="uk-UA"/>
        </w:rPr>
        <w:t>підвищенню витрат національних систем охорони здоров'я. Тому є висока необхідність розробки нових методів ефективного контролю над астмою, а також оптимізації менеджменту астми і підвищення доступності сучасної терапії.</w:t>
      </w:r>
    </w:p>
    <w:p w:rsidR="00D43ADD" w:rsidRPr="00960229" w:rsidRDefault="00D43ADD" w:rsidP="00D43AD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Мета дослідження: оцінити клінічне значення γ</w:t>
      </w:r>
      <w:r w:rsidRPr="00960229">
        <w:rPr>
          <w:bCs/>
          <w:sz w:val="20"/>
          <w:shd w:val="clear" w:color="auto" w:fill="FFFFFF"/>
          <w:lang w:val="uk-UA"/>
        </w:rPr>
        <w:t>-інтерферону</w:t>
      </w:r>
      <w:r w:rsidRPr="00960229">
        <w:rPr>
          <w:sz w:val="20"/>
          <w:lang w:val="uk-UA"/>
        </w:rPr>
        <w:t xml:space="preserve"> у сироватці крові дітей з повторними епізодами брнхообструктивного синдрому (БОС).</w:t>
      </w:r>
    </w:p>
    <w:p w:rsidR="00D43ADD" w:rsidRPr="00960229" w:rsidRDefault="00D43ADD" w:rsidP="00D43ADD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Матеріали та методи: Обстежено 90 дітей (51 хлопчик та 39 дівчат), хворих на гострий обструктивний бронхіт із повторними епізодами БОС та БА, у віці від 1 до 7 років, які проходили лікування у КЗОЗ «ХМКДЛ № 16». Усім дітям проведено повне обстеження згідно протоколу лікування дітей з БОС №18 від 13.01.2005 та протоколу лікування дітей з БА № 868 від 08.10.2013. Обстеження проводилося в перші 2 дні БОС та загострення БА. </w:t>
      </w:r>
      <w:r w:rsidRPr="00960229">
        <w:rPr>
          <w:rFonts w:eastAsia="Calibri"/>
          <w:sz w:val="20"/>
          <w:lang w:val="uk-UA" w:eastAsia="en-US"/>
        </w:rPr>
        <w:t>Проводили статистичний аналіз даних з використанням статистичних пакетів „EXCELL FOR WINDOWS” та „STATISTICA 8.0. FOR WINDOWS”.</w:t>
      </w:r>
    </w:p>
    <w:p w:rsidR="00D43ADD" w:rsidRPr="00960229" w:rsidRDefault="00D43ADD" w:rsidP="00D43ADD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Результати. В залежності від нозологічної форми та кількості повторних епізодів БОС хворі були розділені на групи. До 1-ої групи – 18 пацієнтів (</w:t>
      </w:r>
      <w:r w:rsidRPr="00960229">
        <w:rPr>
          <w:sz w:val="20"/>
          <w:lang w:val="en-US"/>
        </w:rPr>
        <w:t>n</w:t>
      </w:r>
      <w:r w:rsidRPr="00960229">
        <w:rPr>
          <w:sz w:val="20"/>
          <w:lang w:val="uk-UA"/>
        </w:rPr>
        <w:t xml:space="preserve"> = 18, середній вік 3,27 ± 1,15 років), у яких епізоди БОС спостерігалися не більше двох за життя; до 2-ої групи – 32 дитини (</w:t>
      </w:r>
      <w:r w:rsidRPr="00960229">
        <w:rPr>
          <w:sz w:val="20"/>
          <w:lang w:val="en-US"/>
        </w:rPr>
        <w:t>n</w:t>
      </w:r>
      <w:r w:rsidRPr="00960229">
        <w:rPr>
          <w:sz w:val="20"/>
          <w:lang w:val="uk-UA"/>
        </w:rPr>
        <w:t xml:space="preserve"> = 32, середній вік 3,47 ± 1,12 років), у яких відмічалися 3 та більше епізодів БОС; до 3-ої групи – 31 хворий (</w:t>
      </w:r>
      <w:r w:rsidRPr="00960229">
        <w:rPr>
          <w:sz w:val="20"/>
          <w:lang w:val="en-US"/>
        </w:rPr>
        <w:t>n</w:t>
      </w:r>
      <w:r w:rsidRPr="00960229">
        <w:rPr>
          <w:sz w:val="20"/>
          <w:lang w:val="uk-UA"/>
        </w:rPr>
        <w:t xml:space="preserve"> = 31, середній вік 3,57 ±1,43) із легким та середньо – тяжким персистуючим перебігом БА, та кількістю повторних епізодів бронхообструкції 5 та більше. До групи контролю включено соматично здорові діти (</w:t>
      </w:r>
      <w:r w:rsidRPr="00960229">
        <w:rPr>
          <w:sz w:val="20"/>
          <w:lang w:val="en-US"/>
        </w:rPr>
        <w:t>n</w:t>
      </w:r>
      <w:r w:rsidRPr="00960229">
        <w:rPr>
          <w:sz w:val="20"/>
          <w:lang w:val="uk-UA"/>
        </w:rPr>
        <w:t xml:space="preserve"> = 15, середній вік 3,67 ±1,47). Згідно отриманих результатів у хворих 2-ої та 3-ої груп було виявлено зниження показників 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-інтерферону </w:t>
      </w:r>
      <w:r w:rsidRPr="00960229">
        <w:rPr>
          <w:sz w:val="20"/>
          <w:lang w:val="uk-UA"/>
        </w:rPr>
        <w:t xml:space="preserve"> у порівнянні з контрольною групою на початку розвитку БОС (γ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 </w:t>
      </w:r>
      <w:r w:rsidRPr="00960229">
        <w:rPr>
          <w:sz w:val="20"/>
          <w:lang w:val="uk-UA"/>
        </w:rPr>
        <w:t xml:space="preserve"> р </w:t>
      </w:r>
      <w:r w:rsidRPr="00960229">
        <w:rPr>
          <w:sz w:val="20"/>
          <w:vertAlign w:val="subscript"/>
          <w:lang w:val="uk-UA"/>
        </w:rPr>
        <w:t>2-контроль</w:t>
      </w:r>
      <w:r w:rsidRPr="00960229">
        <w:rPr>
          <w:sz w:val="20"/>
          <w:lang w:val="uk-UA"/>
        </w:rPr>
        <w:t xml:space="preserve"> = 0.0023; р </w:t>
      </w:r>
      <w:r w:rsidRPr="00960229">
        <w:rPr>
          <w:sz w:val="20"/>
          <w:vertAlign w:val="subscript"/>
          <w:lang w:val="uk-UA"/>
        </w:rPr>
        <w:t>3-контроль</w:t>
      </w:r>
      <w:r w:rsidRPr="00960229">
        <w:rPr>
          <w:sz w:val="20"/>
          <w:lang w:val="uk-UA"/>
        </w:rPr>
        <w:t xml:space="preserve"> = </w:t>
      </w:r>
      <w:r w:rsidRPr="00960229">
        <w:rPr>
          <w:sz w:val="20"/>
        </w:rPr>
        <w:t>0.00</w:t>
      </w:r>
      <w:r w:rsidRPr="00960229">
        <w:rPr>
          <w:sz w:val="20"/>
          <w:lang w:val="uk-UA"/>
        </w:rPr>
        <w:t>00), у пацієнтів 1-ої групи показники рівнів 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-інтерферону </w:t>
      </w:r>
      <w:r w:rsidRPr="00960229">
        <w:rPr>
          <w:sz w:val="20"/>
          <w:lang w:val="uk-UA"/>
        </w:rPr>
        <w:t>не мали статистично значимих відмінностей із групою контролю (γ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 </w:t>
      </w:r>
      <w:r w:rsidRPr="00960229">
        <w:rPr>
          <w:sz w:val="20"/>
          <w:lang w:val="uk-UA"/>
        </w:rPr>
        <w:t xml:space="preserve">р </w:t>
      </w:r>
      <w:r w:rsidRPr="00960229">
        <w:rPr>
          <w:sz w:val="20"/>
          <w:vertAlign w:val="subscript"/>
          <w:lang w:val="uk-UA"/>
        </w:rPr>
        <w:t>1-контроль</w:t>
      </w:r>
      <w:r w:rsidRPr="00960229">
        <w:rPr>
          <w:sz w:val="20"/>
          <w:lang w:val="uk-UA"/>
        </w:rPr>
        <w:t xml:space="preserve"> = 0,0589). Найбільш значні зниження рівнів 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-інтерферону </w:t>
      </w:r>
      <w:r w:rsidRPr="00960229">
        <w:rPr>
          <w:sz w:val="20"/>
          <w:lang w:val="uk-UA"/>
        </w:rPr>
        <w:t>зафіксовані у дітей 3-ої групи, в порівнянні з показниками дітей 1-ої  та 2-ої груп (</w:t>
      </w:r>
      <w:r w:rsidRPr="00960229">
        <w:rPr>
          <w:sz w:val="20"/>
        </w:rPr>
        <w:t>Me</w:t>
      </w:r>
      <w:r w:rsidRPr="00960229">
        <w:rPr>
          <w:sz w:val="20"/>
          <w:lang w:val="uk-UA"/>
        </w:rPr>
        <w:t xml:space="preserve"> (</w:t>
      </w:r>
      <w:r w:rsidRPr="00960229">
        <w:rPr>
          <w:sz w:val="20"/>
        </w:rPr>
        <w:t>Lq</w:t>
      </w:r>
      <w:r w:rsidRPr="00960229">
        <w:rPr>
          <w:sz w:val="20"/>
          <w:lang w:val="uk-UA"/>
        </w:rPr>
        <w:t>;</w:t>
      </w:r>
      <w:r w:rsidRPr="00960229">
        <w:rPr>
          <w:sz w:val="20"/>
        </w:rPr>
        <w:t>Uq</w:t>
      </w:r>
      <w:r w:rsidRPr="00960229">
        <w:rPr>
          <w:sz w:val="20"/>
          <w:lang w:val="uk-UA"/>
        </w:rPr>
        <w:t>): γ</w:t>
      </w:r>
      <w:r w:rsidRPr="00960229">
        <w:rPr>
          <w:bCs/>
          <w:sz w:val="20"/>
          <w:shd w:val="clear" w:color="auto" w:fill="FFFFFF"/>
          <w:lang w:val="uk-UA"/>
        </w:rPr>
        <w:t xml:space="preserve">-інтерферон </w:t>
      </w:r>
      <w:r w:rsidRPr="00960229">
        <w:rPr>
          <w:sz w:val="20"/>
          <w:lang w:val="uk-UA"/>
        </w:rPr>
        <w:t>(1-ша гр. 129,8 (131,4; 127,6); 2-а група 113.97 (106.48;120.09); 3-я група 81.42 (78.26;89.63)). При множинному зрівнянні встановило, що є статистично значущі відмінності при зрівнянні показників усіх груп (γ</w:t>
      </w:r>
      <w:r w:rsidRPr="00960229">
        <w:rPr>
          <w:bCs/>
          <w:sz w:val="20"/>
          <w:shd w:val="clear" w:color="auto" w:fill="FFFFFF"/>
          <w:lang w:val="uk-UA"/>
        </w:rPr>
        <w:t>-інтерферон</w:t>
      </w:r>
      <w:r w:rsidRPr="00960229">
        <w:rPr>
          <w:sz w:val="20"/>
          <w:lang w:val="uk-UA"/>
        </w:rPr>
        <w:t xml:space="preserve"> Н=69,9710; р=0,0000). </w:t>
      </w:r>
    </w:p>
    <w:p w:rsidR="00D43ADD" w:rsidRPr="00960229" w:rsidRDefault="00D43ADD" w:rsidP="00D43ADD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>Висновки. 1. Зниження показників γ</w:t>
      </w:r>
      <w:r w:rsidRPr="00960229">
        <w:rPr>
          <w:bCs/>
          <w:sz w:val="20"/>
          <w:shd w:val="clear" w:color="auto" w:fill="FFFFFF"/>
          <w:lang w:val="uk-UA"/>
        </w:rPr>
        <w:t>-інтерферону</w:t>
      </w:r>
      <w:r w:rsidRPr="00960229">
        <w:rPr>
          <w:sz w:val="20"/>
          <w:lang w:val="uk-UA"/>
        </w:rPr>
        <w:t xml:space="preserve"> в сироватці крові опосередковано вказує на наявність алергійного запалення, та найнижчі показники спостерігаються у пацієнтів з БА. 2. Стійкі зниження рівнів γ</w:t>
      </w:r>
      <w:r w:rsidRPr="00960229">
        <w:rPr>
          <w:bCs/>
          <w:sz w:val="20"/>
          <w:shd w:val="clear" w:color="auto" w:fill="FFFFFF"/>
          <w:lang w:val="uk-UA"/>
        </w:rPr>
        <w:t>-інтерферону</w:t>
      </w:r>
      <w:r w:rsidRPr="00960229">
        <w:rPr>
          <w:sz w:val="20"/>
          <w:lang w:val="uk-UA"/>
        </w:rPr>
        <w:t xml:space="preserve"> в сироватці крові можуть вказувати на наявність хронічного запалення бронхо-легеневої системи. 3. Визначення рівнів γ</w:t>
      </w:r>
      <w:r w:rsidRPr="00960229">
        <w:rPr>
          <w:bCs/>
          <w:sz w:val="20"/>
          <w:shd w:val="clear" w:color="auto" w:fill="FFFFFF"/>
          <w:lang w:val="uk-UA"/>
        </w:rPr>
        <w:t>-інтерферону</w:t>
      </w:r>
      <w:r w:rsidRPr="00960229">
        <w:rPr>
          <w:sz w:val="20"/>
          <w:lang w:val="uk-UA"/>
        </w:rPr>
        <w:t xml:space="preserve"> в сироватці крові може надати додаткову інформацію, щодо формування хронічного западення, що може бути використано для прогнозування прогресування запалення в бронхо-легеневій системі.</w:t>
      </w:r>
    </w:p>
    <w:p w:rsidR="00D43ADD" w:rsidRPr="00960229" w:rsidRDefault="00D43ADD" w:rsidP="00D43ADD">
      <w:pPr>
        <w:suppressAutoHyphens/>
        <w:jc w:val="center"/>
        <w:rPr>
          <w:b/>
          <w:sz w:val="20"/>
          <w:lang w:val="uk-UA"/>
        </w:rPr>
      </w:pPr>
    </w:p>
    <w:p w:rsidR="00D43ADD" w:rsidRPr="00D43ADD" w:rsidRDefault="00D43ADD">
      <w:pPr>
        <w:rPr>
          <w:lang w:val="uk-UA"/>
        </w:rPr>
      </w:pPr>
    </w:p>
    <w:sectPr w:rsidR="00D43ADD" w:rsidRPr="00D43A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ADD"/>
    <w:rsid w:val="00D43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7A9012-CB7B-D248-B547-F9410A1311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3ADD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521</Words>
  <Characters>3038</Characters>
  <Application>Microsoft Office Word</Application>
  <DocSecurity>0</DocSecurity>
  <Lines>63</Lines>
  <Paragraphs>29</Paragraphs>
  <ScaleCrop>false</ScaleCrop>
  <Company/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2020-11-15T17:43:00Z</dcterms:created>
  <dcterms:modified xsi:type="dcterms:W3CDTF">2020-11-15T17:44:00Z</dcterms:modified>
</cp:coreProperties>
</file>