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380" w:rsidRPr="00A17380" w:rsidRDefault="00A17380" w:rsidP="00A17380">
      <w:pPr>
        <w:pStyle w:val="ab"/>
        <w:spacing w:after="0" w:line="360" w:lineRule="auto"/>
        <w:rPr>
          <w:rFonts w:ascii="Times New Roman" w:hAnsi="Times New Roman" w:cs="Times New Roman"/>
          <w:i/>
          <w:sz w:val="28"/>
          <w:szCs w:val="28"/>
        </w:rPr>
      </w:pPr>
      <w:proofErr w:type="spellStart"/>
      <w:r w:rsidRPr="00A17380">
        <w:rPr>
          <w:rFonts w:ascii="Times New Roman" w:hAnsi="Times New Roman" w:cs="Times New Roman"/>
          <w:i/>
          <w:sz w:val="28"/>
          <w:szCs w:val="28"/>
          <w:lang w:val="uk-UA"/>
        </w:rPr>
        <w:t>Контактное</w:t>
      </w:r>
      <w:proofErr w:type="spellEnd"/>
      <w:r w:rsidRPr="00A17380">
        <w:rPr>
          <w:rFonts w:ascii="Times New Roman" w:hAnsi="Times New Roman" w:cs="Times New Roman"/>
          <w:i/>
          <w:sz w:val="28"/>
          <w:szCs w:val="28"/>
          <w:lang w:val="uk-UA"/>
        </w:rPr>
        <w:t xml:space="preserve"> </w:t>
      </w:r>
      <w:proofErr w:type="spellStart"/>
      <w:r w:rsidRPr="00A17380">
        <w:rPr>
          <w:rFonts w:ascii="Times New Roman" w:hAnsi="Times New Roman" w:cs="Times New Roman"/>
          <w:i/>
          <w:sz w:val="28"/>
          <w:szCs w:val="28"/>
          <w:lang w:val="uk-UA"/>
        </w:rPr>
        <w:t>лицо</w:t>
      </w:r>
      <w:proofErr w:type="spellEnd"/>
      <w:r>
        <w:rPr>
          <w:rFonts w:ascii="Times New Roman" w:hAnsi="Times New Roman" w:cs="Times New Roman"/>
          <w:i/>
          <w:sz w:val="28"/>
          <w:szCs w:val="28"/>
          <w:lang w:val="uk-UA"/>
        </w:rPr>
        <w:t xml:space="preserve">: </w:t>
      </w:r>
      <w:r w:rsidRPr="00A17380">
        <w:rPr>
          <w:rFonts w:ascii="Times New Roman" w:hAnsi="Times New Roman" w:cs="Times New Roman"/>
          <w:i/>
          <w:sz w:val="28"/>
          <w:szCs w:val="28"/>
          <w:lang w:val="uk-UA"/>
        </w:rPr>
        <w:t xml:space="preserve"> </w:t>
      </w:r>
      <w:proofErr w:type="spellStart"/>
      <w:r w:rsidRPr="00A17380">
        <w:rPr>
          <w:rFonts w:ascii="Times New Roman" w:hAnsi="Times New Roman" w:cs="Times New Roman"/>
          <w:i/>
          <w:sz w:val="28"/>
          <w:szCs w:val="28"/>
        </w:rPr>
        <w:t>Логвинова</w:t>
      </w:r>
      <w:proofErr w:type="spellEnd"/>
      <w:r w:rsidRPr="00A17380">
        <w:rPr>
          <w:rFonts w:ascii="Times New Roman" w:hAnsi="Times New Roman" w:cs="Times New Roman"/>
          <w:i/>
          <w:sz w:val="28"/>
          <w:szCs w:val="28"/>
        </w:rPr>
        <w:t xml:space="preserve"> Ольга Леонидовна</w:t>
      </w:r>
    </w:p>
    <w:p w:rsidR="00A17380" w:rsidRPr="00A17380" w:rsidRDefault="00A17380" w:rsidP="00A17380">
      <w:pPr>
        <w:pStyle w:val="ab"/>
        <w:spacing w:after="0" w:line="360" w:lineRule="auto"/>
        <w:rPr>
          <w:rFonts w:ascii="Times New Roman" w:hAnsi="Times New Roman" w:cs="Times New Roman"/>
          <w:i/>
          <w:sz w:val="28"/>
          <w:szCs w:val="28"/>
        </w:rPr>
      </w:pPr>
      <w:r w:rsidRPr="00A17380">
        <w:rPr>
          <w:rFonts w:ascii="Times New Roman" w:hAnsi="Times New Roman" w:cs="Times New Roman"/>
          <w:i/>
          <w:sz w:val="28"/>
          <w:szCs w:val="28"/>
        </w:rPr>
        <w:t>Моб телефон  097 378 33 44</w:t>
      </w:r>
    </w:p>
    <w:p w:rsidR="00A17380" w:rsidRPr="00F84B48" w:rsidRDefault="00A17380" w:rsidP="00A17380">
      <w:pPr>
        <w:pStyle w:val="ab"/>
        <w:spacing w:after="0" w:line="360" w:lineRule="auto"/>
        <w:rPr>
          <w:rFonts w:ascii="Times New Roman" w:hAnsi="Times New Roman" w:cs="Times New Roman"/>
          <w:i/>
          <w:sz w:val="28"/>
          <w:szCs w:val="28"/>
          <w:lang w:val="de-DE"/>
        </w:rPr>
      </w:pPr>
      <w:proofErr w:type="spellStart"/>
      <w:r w:rsidRPr="00F84B48">
        <w:rPr>
          <w:rFonts w:ascii="Times New Roman" w:hAnsi="Times New Roman" w:cs="Times New Roman"/>
          <w:i/>
          <w:sz w:val="28"/>
          <w:szCs w:val="28"/>
          <w:lang w:val="de-DE"/>
        </w:rPr>
        <w:t>E-mail</w:t>
      </w:r>
      <w:proofErr w:type="spellEnd"/>
      <w:r w:rsidRPr="00F84B48">
        <w:rPr>
          <w:rFonts w:ascii="Times New Roman" w:hAnsi="Times New Roman" w:cs="Times New Roman"/>
          <w:i/>
          <w:sz w:val="28"/>
          <w:szCs w:val="28"/>
          <w:lang w:val="de-DE"/>
        </w:rPr>
        <w:t>: ologvinova76@mail.ru</w:t>
      </w:r>
    </w:p>
    <w:p w:rsidR="00B32238" w:rsidRDefault="00B32238" w:rsidP="00B32238">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УДК</w:t>
      </w:r>
      <w:r w:rsidR="00D40DB3">
        <w:rPr>
          <w:rFonts w:ascii="Times New Roman" w:hAnsi="Times New Roman" w:cs="Times New Roman"/>
          <w:b/>
          <w:sz w:val="28"/>
          <w:szCs w:val="28"/>
          <w:lang w:val="uk-UA"/>
        </w:rPr>
        <w:t xml:space="preserve"> 616.233/.24-007.17. – 053.2:612.017.1</w:t>
      </w:r>
    </w:p>
    <w:p w:rsidR="00A31076" w:rsidRPr="001430FA" w:rsidRDefault="008D2162" w:rsidP="00B745E4">
      <w:pPr>
        <w:spacing w:after="0" w:line="360" w:lineRule="auto"/>
        <w:jc w:val="center"/>
        <w:rPr>
          <w:rFonts w:ascii="Times New Roman" w:hAnsi="Times New Roman" w:cs="Times New Roman"/>
          <w:b/>
          <w:sz w:val="28"/>
          <w:szCs w:val="28"/>
          <w:lang w:val="uk-UA"/>
        </w:rPr>
      </w:pPr>
      <w:r w:rsidRPr="001430FA">
        <w:rPr>
          <w:rFonts w:ascii="Times New Roman" w:hAnsi="Times New Roman" w:cs="Times New Roman"/>
          <w:b/>
          <w:sz w:val="28"/>
          <w:szCs w:val="28"/>
          <w:lang w:val="uk-UA"/>
        </w:rPr>
        <w:t xml:space="preserve">Особливості </w:t>
      </w:r>
      <w:r w:rsidR="00B32238">
        <w:rPr>
          <w:rFonts w:ascii="Times New Roman" w:hAnsi="Times New Roman" w:cs="Times New Roman"/>
          <w:b/>
          <w:sz w:val="28"/>
          <w:szCs w:val="28"/>
          <w:lang w:val="uk-UA"/>
        </w:rPr>
        <w:t>імунітету у</w:t>
      </w:r>
      <w:r w:rsidR="001430FA" w:rsidRPr="001430FA">
        <w:rPr>
          <w:rFonts w:ascii="Times New Roman" w:hAnsi="Times New Roman" w:cs="Times New Roman"/>
          <w:b/>
          <w:sz w:val="28"/>
          <w:szCs w:val="28"/>
          <w:lang w:val="uk-UA"/>
        </w:rPr>
        <w:t xml:space="preserve"> </w:t>
      </w:r>
      <w:r w:rsidRPr="001430FA">
        <w:rPr>
          <w:rFonts w:ascii="Times New Roman" w:hAnsi="Times New Roman" w:cs="Times New Roman"/>
          <w:b/>
          <w:sz w:val="28"/>
          <w:szCs w:val="28"/>
          <w:lang w:val="uk-UA"/>
        </w:rPr>
        <w:t>діте</w:t>
      </w:r>
      <w:r w:rsidR="00B32238">
        <w:rPr>
          <w:rFonts w:ascii="Times New Roman" w:hAnsi="Times New Roman" w:cs="Times New Roman"/>
          <w:b/>
          <w:sz w:val="28"/>
          <w:szCs w:val="28"/>
          <w:lang w:val="uk-UA"/>
        </w:rPr>
        <w:t>й з бронхолегеневою дисплазією</w:t>
      </w:r>
    </w:p>
    <w:p w:rsidR="00B745E4" w:rsidRPr="001430FA" w:rsidRDefault="008D2162" w:rsidP="00B745E4">
      <w:pPr>
        <w:spacing w:after="0" w:line="360" w:lineRule="auto"/>
        <w:jc w:val="both"/>
        <w:rPr>
          <w:rFonts w:ascii="Times New Roman" w:hAnsi="Times New Roman" w:cs="Times New Roman"/>
          <w:sz w:val="28"/>
          <w:szCs w:val="28"/>
          <w:lang w:val="uk-UA"/>
        </w:rPr>
      </w:pPr>
      <w:bookmarkStart w:id="0" w:name="_GoBack"/>
      <w:r w:rsidRPr="001430FA">
        <w:rPr>
          <w:rFonts w:ascii="Times New Roman" w:hAnsi="Times New Roman" w:cs="Times New Roman"/>
          <w:sz w:val="28"/>
          <w:szCs w:val="28"/>
          <w:lang w:val="uk-UA"/>
        </w:rPr>
        <w:t xml:space="preserve">Г.С. </w:t>
      </w:r>
      <w:proofErr w:type="spellStart"/>
      <w:r w:rsidRPr="001430FA">
        <w:rPr>
          <w:rFonts w:ascii="Times New Roman" w:hAnsi="Times New Roman" w:cs="Times New Roman"/>
          <w:sz w:val="28"/>
          <w:szCs w:val="28"/>
          <w:lang w:val="uk-UA"/>
        </w:rPr>
        <w:t>Сенаторова</w:t>
      </w:r>
      <w:proofErr w:type="spellEnd"/>
      <w:r w:rsidRPr="001430FA">
        <w:rPr>
          <w:rFonts w:ascii="Times New Roman" w:hAnsi="Times New Roman" w:cs="Times New Roman"/>
          <w:sz w:val="28"/>
          <w:szCs w:val="28"/>
          <w:lang w:val="uk-UA"/>
        </w:rPr>
        <w:t xml:space="preserve">, О.Л. </w:t>
      </w:r>
      <w:proofErr w:type="spellStart"/>
      <w:r w:rsidRPr="001430FA">
        <w:rPr>
          <w:rFonts w:ascii="Times New Roman" w:hAnsi="Times New Roman" w:cs="Times New Roman"/>
          <w:sz w:val="28"/>
          <w:szCs w:val="28"/>
          <w:lang w:val="uk-UA"/>
        </w:rPr>
        <w:t>Логвінова</w:t>
      </w:r>
      <w:proofErr w:type="spellEnd"/>
    </w:p>
    <w:bookmarkEnd w:id="0"/>
    <w:p w:rsidR="00EA6D1F" w:rsidRDefault="00EA6D1F" w:rsidP="00E8776D">
      <w:pPr>
        <w:pStyle w:val="ab"/>
        <w:spacing w:after="0" w:line="360" w:lineRule="auto"/>
        <w:rPr>
          <w:rFonts w:ascii="Times New Roman" w:hAnsi="Times New Roman" w:cs="Times New Roman"/>
          <w:sz w:val="28"/>
          <w:szCs w:val="28"/>
          <w:lang w:val="uk-UA"/>
        </w:rPr>
      </w:pPr>
      <w:r w:rsidRPr="00E8776D">
        <w:rPr>
          <w:rFonts w:ascii="Times New Roman" w:hAnsi="Times New Roman" w:cs="Times New Roman"/>
          <w:sz w:val="28"/>
          <w:szCs w:val="28"/>
          <w:lang w:val="uk-UA"/>
        </w:rPr>
        <w:t>Кафедра педіатрії №1 та неонатології Харківський національний медичний університет</w:t>
      </w:r>
    </w:p>
    <w:p w:rsidR="00EA6D1F" w:rsidRPr="00E8776D" w:rsidRDefault="00EA6D1F" w:rsidP="00E8776D">
      <w:pPr>
        <w:spacing w:after="0" w:line="360" w:lineRule="auto"/>
        <w:jc w:val="both"/>
        <w:rPr>
          <w:rFonts w:ascii="Times New Roman" w:hAnsi="Times New Roman" w:cs="Times New Roman"/>
          <w:sz w:val="28"/>
          <w:szCs w:val="28"/>
          <w:lang w:val="uk-UA"/>
        </w:rPr>
      </w:pPr>
      <w:r w:rsidRPr="00E8776D">
        <w:rPr>
          <w:rFonts w:ascii="Times New Roman" w:hAnsi="Times New Roman" w:cs="Times New Roman"/>
          <w:b/>
          <w:sz w:val="28"/>
          <w:szCs w:val="28"/>
          <w:lang w:val="uk-UA"/>
        </w:rPr>
        <w:t>Ключові слова:</w:t>
      </w:r>
      <w:r w:rsidRPr="00E8776D">
        <w:rPr>
          <w:rFonts w:ascii="Times New Roman" w:hAnsi="Times New Roman" w:cs="Times New Roman"/>
          <w:sz w:val="28"/>
          <w:szCs w:val="28"/>
          <w:lang w:val="uk-UA"/>
        </w:rPr>
        <w:t xml:space="preserve"> бронхолегенева дисплазія, діти, імунітет </w:t>
      </w:r>
    </w:p>
    <w:p w:rsidR="00E8776D" w:rsidRPr="00A265CB" w:rsidRDefault="00E8776D" w:rsidP="00E8776D">
      <w:pPr>
        <w:spacing w:after="0" w:line="360" w:lineRule="auto"/>
        <w:jc w:val="both"/>
        <w:rPr>
          <w:rFonts w:ascii="Times New Roman" w:hAnsi="Times New Roman" w:cs="Times New Roman"/>
          <w:sz w:val="28"/>
          <w:szCs w:val="28"/>
          <w:lang w:val="uk-UA"/>
        </w:rPr>
      </w:pPr>
      <w:r w:rsidRPr="00E8776D">
        <w:rPr>
          <w:rFonts w:ascii="Times New Roman" w:hAnsi="Times New Roman" w:cs="Times New Roman"/>
          <w:b/>
          <w:sz w:val="28"/>
          <w:szCs w:val="28"/>
          <w:lang w:val="uk-UA"/>
        </w:rPr>
        <w:t>Резюме:</w:t>
      </w:r>
      <w:r w:rsidRPr="00E8776D">
        <w:rPr>
          <w:rFonts w:ascii="Times New Roman" w:hAnsi="Times New Roman" w:cs="Times New Roman"/>
          <w:sz w:val="28"/>
          <w:szCs w:val="28"/>
          <w:lang w:val="uk-UA"/>
        </w:rPr>
        <w:t xml:space="preserve"> Обстежений стан імунної системи у 131 дитина з бронхолегеневою дисплазією під час ремісії і загострення захворювання. Виявлено, що для дітей з бронхолегеневою дисплазією притаманний низький рівень абсолютної кількості лімфоцитів, на тлі підвищення цитотоксичних лімфоцитів (</w:t>
      </w:r>
      <w:r w:rsidRPr="00E8776D">
        <w:rPr>
          <w:rFonts w:ascii="Times New Roman" w:eastAsia="Times New Roman" w:hAnsi="Times New Roman" w:cs="Times New Roman"/>
          <w:color w:val="000000"/>
          <w:sz w:val="28"/>
          <w:szCs w:val="28"/>
          <w:lang w:eastAsia="ru-RU"/>
        </w:rPr>
        <w:t>CD</w:t>
      </w:r>
      <w:r w:rsidRPr="00E8776D">
        <w:rPr>
          <w:rFonts w:ascii="Times New Roman" w:eastAsia="Times New Roman" w:hAnsi="Times New Roman" w:cs="Times New Roman"/>
          <w:color w:val="000000"/>
          <w:sz w:val="28"/>
          <w:szCs w:val="28"/>
          <w:lang w:val="uk-UA" w:eastAsia="ru-RU"/>
        </w:rPr>
        <w:t xml:space="preserve">8, </w:t>
      </w:r>
      <w:r w:rsidRPr="00E8776D">
        <w:rPr>
          <w:rFonts w:ascii="Times New Roman" w:eastAsia="Times New Roman" w:hAnsi="Times New Roman" w:cs="Times New Roman"/>
          <w:color w:val="000000"/>
          <w:sz w:val="28"/>
          <w:szCs w:val="28"/>
          <w:lang w:eastAsia="ru-RU"/>
        </w:rPr>
        <w:t>CD</w:t>
      </w:r>
      <w:r w:rsidRPr="00E8776D">
        <w:rPr>
          <w:rFonts w:ascii="Times New Roman" w:eastAsia="Times New Roman" w:hAnsi="Times New Roman" w:cs="Times New Roman"/>
          <w:color w:val="000000"/>
          <w:sz w:val="28"/>
          <w:szCs w:val="28"/>
          <w:lang w:val="uk-UA" w:eastAsia="ru-RU"/>
        </w:rPr>
        <w:t xml:space="preserve">16), </w:t>
      </w:r>
      <w:proofErr w:type="spellStart"/>
      <w:r w:rsidRPr="00E8776D">
        <w:rPr>
          <w:rFonts w:ascii="Times New Roman" w:eastAsia="Times New Roman" w:hAnsi="Times New Roman" w:cs="Times New Roman"/>
          <w:color w:val="000000"/>
          <w:sz w:val="28"/>
          <w:szCs w:val="28"/>
          <w:lang w:val="uk-UA" w:eastAsia="ru-RU"/>
        </w:rPr>
        <w:t>киснезалежної</w:t>
      </w:r>
      <w:proofErr w:type="spellEnd"/>
      <w:r w:rsidRPr="00E8776D">
        <w:rPr>
          <w:rFonts w:ascii="Times New Roman" w:eastAsia="Times New Roman" w:hAnsi="Times New Roman" w:cs="Times New Roman"/>
          <w:color w:val="000000"/>
          <w:sz w:val="28"/>
          <w:szCs w:val="28"/>
          <w:lang w:val="uk-UA" w:eastAsia="ru-RU"/>
        </w:rPr>
        <w:t xml:space="preserve"> здатності гранулоцитів, та  </w:t>
      </w:r>
      <w:r w:rsidRPr="00E8776D">
        <w:rPr>
          <w:rFonts w:ascii="Times New Roman" w:hAnsi="Times New Roman" w:cs="Times New Roman"/>
          <w:sz w:val="28"/>
          <w:szCs w:val="28"/>
          <w:lang w:val="uk-UA"/>
        </w:rPr>
        <w:t>активації імуноглобулінів гострої фази (</w:t>
      </w:r>
      <w:proofErr w:type="spellStart"/>
      <w:r w:rsidRPr="00E8776D">
        <w:rPr>
          <w:rFonts w:ascii="Times New Roman" w:hAnsi="Times New Roman" w:cs="Times New Roman"/>
          <w:sz w:val="28"/>
          <w:szCs w:val="28"/>
          <w:lang w:val="uk-UA"/>
        </w:rPr>
        <w:t>Ig</w:t>
      </w:r>
      <w:proofErr w:type="spellEnd"/>
      <w:r w:rsidRPr="00E8776D">
        <w:rPr>
          <w:rFonts w:ascii="Times New Roman" w:hAnsi="Times New Roman" w:cs="Times New Roman"/>
          <w:sz w:val="28"/>
          <w:szCs w:val="28"/>
          <w:lang w:val="uk-UA"/>
        </w:rPr>
        <w:t xml:space="preserve"> M), при відсутності клінічних ознак загострення захворювання. При </w:t>
      </w:r>
      <w:r w:rsidR="00A265CB">
        <w:rPr>
          <w:rFonts w:ascii="Times New Roman" w:hAnsi="Times New Roman" w:cs="Times New Roman"/>
          <w:sz w:val="28"/>
          <w:szCs w:val="28"/>
          <w:lang w:val="uk-UA"/>
        </w:rPr>
        <w:t>гострої респіраторної інфекції</w:t>
      </w:r>
      <w:r w:rsidRPr="00E8776D">
        <w:rPr>
          <w:rFonts w:ascii="Times New Roman" w:hAnsi="Times New Roman" w:cs="Times New Roman"/>
          <w:sz w:val="28"/>
          <w:szCs w:val="28"/>
          <w:lang w:val="uk-UA"/>
        </w:rPr>
        <w:t xml:space="preserve"> виникає парадоксальна реакція клітинного імунітету зі зниженням лімфоцитів на тлі активації цитотоксичних клітин. Нарівні з тим динаміка збільшення цитотоксичних маркерів при </w:t>
      </w:r>
      <w:r w:rsidR="00A265CB">
        <w:rPr>
          <w:rFonts w:ascii="Times New Roman" w:hAnsi="Times New Roman" w:cs="Times New Roman"/>
          <w:sz w:val="28"/>
          <w:szCs w:val="28"/>
          <w:lang w:val="uk-UA"/>
        </w:rPr>
        <w:t>гострої респіраторної інфекції</w:t>
      </w:r>
      <w:r w:rsidR="00A265CB" w:rsidRPr="00E8776D">
        <w:rPr>
          <w:rFonts w:ascii="Times New Roman" w:hAnsi="Times New Roman" w:cs="Times New Roman"/>
          <w:sz w:val="28"/>
          <w:szCs w:val="28"/>
          <w:lang w:val="uk-UA"/>
        </w:rPr>
        <w:t xml:space="preserve"> </w:t>
      </w:r>
      <w:r w:rsidRPr="00E8776D">
        <w:rPr>
          <w:rFonts w:ascii="Times New Roman" w:hAnsi="Times New Roman" w:cs="Times New Roman"/>
          <w:sz w:val="28"/>
          <w:szCs w:val="28"/>
          <w:lang w:val="uk-UA"/>
        </w:rPr>
        <w:t xml:space="preserve">незадовільна, що свідчить про виснаження реактивності </w:t>
      </w:r>
      <w:r w:rsidRPr="00A265CB">
        <w:rPr>
          <w:rFonts w:ascii="Times New Roman" w:hAnsi="Times New Roman" w:cs="Times New Roman"/>
          <w:sz w:val="28"/>
          <w:szCs w:val="28"/>
          <w:lang w:val="uk-UA"/>
        </w:rPr>
        <w:t xml:space="preserve">клітинного ланцюга імунітету.  </w:t>
      </w:r>
    </w:p>
    <w:p w:rsidR="00CC0D57" w:rsidRPr="00CC0D57" w:rsidRDefault="00CC0D57" w:rsidP="00CC0D57">
      <w:pPr>
        <w:spacing w:after="0" w:line="360" w:lineRule="auto"/>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Особенности</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иммунитета</w:t>
      </w:r>
      <w:proofErr w:type="spellEnd"/>
      <w:r>
        <w:rPr>
          <w:rFonts w:ascii="Times New Roman" w:hAnsi="Times New Roman" w:cs="Times New Roman"/>
          <w:b/>
          <w:sz w:val="28"/>
          <w:szCs w:val="28"/>
          <w:lang w:val="uk-UA"/>
        </w:rPr>
        <w:t xml:space="preserve"> у </w:t>
      </w:r>
      <w:proofErr w:type="spellStart"/>
      <w:r>
        <w:rPr>
          <w:rFonts w:ascii="Times New Roman" w:hAnsi="Times New Roman" w:cs="Times New Roman"/>
          <w:b/>
          <w:sz w:val="28"/>
          <w:szCs w:val="28"/>
          <w:lang w:val="uk-UA"/>
        </w:rPr>
        <w:t>детей</w:t>
      </w:r>
      <w:proofErr w:type="spellEnd"/>
      <w:r>
        <w:rPr>
          <w:rFonts w:ascii="Times New Roman" w:hAnsi="Times New Roman" w:cs="Times New Roman"/>
          <w:b/>
          <w:sz w:val="28"/>
          <w:szCs w:val="28"/>
          <w:lang w:val="uk-UA"/>
        </w:rPr>
        <w:t xml:space="preserve"> с </w:t>
      </w:r>
      <w:proofErr w:type="spellStart"/>
      <w:r>
        <w:rPr>
          <w:rFonts w:ascii="Times New Roman" w:hAnsi="Times New Roman" w:cs="Times New Roman"/>
          <w:b/>
          <w:sz w:val="28"/>
          <w:szCs w:val="28"/>
          <w:lang w:val="uk-UA"/>
        </w:rPr>
        <w:t>бронхолегочной</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дисплазией</w:t>
      </w:r>
      <w:proofErr w:type="spellEnd"/>
    </w:p>
    <w:p w:rsidR="00E8776D" w:rsidRPr="00A265CB" w:rsidRDefault="00E8776D" w:rsidP="00E8776D">
      <w:pPr>
        <w:spacing w:after="0" w:line="360" w:lineRule="auto"/>
        <w:jc w:val="both"/>
        <w:rPr>
          <w:rFonts w:ascii="Times New Roman" w:hAnsi="Times New Roman" w:cs="Times New Roman"/>
          <w:sz w:val="28"/>
          <w:szCs w:val="28"/>
        </w:rPr>
      </w:pPr>
      <w:r w:rsidRPr="00A265CB">
        <w:rPr>
          <w:rFonts w:ascii="Times New Roman" w:hAnsi="Times New Roman" w:cs="Times New Roman"/>
          <w:b/>
          <w:sz w:val="28"/>
          <w:szCs w:val="28"/>
        </w:rPr>
        <w:t>Ключевые слова:</w:t>
      </w:r>
      <w:r w:rsidRPr="00A265CB">
        <w:rPr>
          <w:rFonts w:ascii="Times New Roman" w:hAnsi="Times New Roman" w:cs="Times New Roman"/>
          <w:sz w:val="28"/>
          <w:szCs w:val="28"/>
        </w:rPr>
        <w:t xml:space="preserve"> бронхолегочная дисплазия, дети, иммунитет</w:t>
      </w:r>
      <w:r w:rsidRPr="00A265CB">
        <w:rPr>
          <w:rFonts w:ascii="Times New Roman" w:hAnsi="Times New Roman" w:cs="Times New Roman"/>
          <w:sz w:val="28"/>
          <w:szCs w:val="28"/>
        </w:rPr>
        <w:br/>
      </w:r>
      <w:r w:rsidRPr="00A265CB">
        <w:rPr>
          <w:rFonts w:ascii="Times New Roman" w:hAnsi="Times New Roman" w:cs="Times New Roman"/>
          <w:b/>
          <w:sz w:val="28"/>
          <w:szCs w:val="28"/>
        </w:rPr>
        <w:t>Резюме:</w:t>
      </w:r>
      <w:r w:rsidRPr="00A265CB">
        <w:rPr>
          <w:rFonts w:ascii="Times New Roman" w:hAnsi="Times New Roman" w:cs="Times New Roman"/>
          <w:sz w:val="28"/>
          <w:szCs w:val="28"/>
        </w:rPr>
        <w:t xml:space="preserve"> Обследовано состояние иммунной системы у 131 ребен</w:t>
      </w:r>
      <w:r w:rsidR="00A265CB" w:rsidRPr="00A265CB">
        <w:rPr>
          <w:rFonts w:ascii="Times New Roman" w:hAnsi="Times New Roman" w:cs="Times New Roman"/>
          <w:sz w:val="28"/>
          <w:szCs w:val="28"/>
        </w:rPr>
        <w:t>ка</w:t>
      </w:r>
      <w:r w:rsidRPr="00A265CB">
        <w:rPr>
          <w:rFonts w:ascii="Times New Roman" w:hAnsi="Times New Roman" w:cs="Times New Roman"/>
          <w:sz w:val="28"/>
          <w:szCs w:val="28"/>
        </w:rPr>
        <w:t xml:space="preserve"> с бронхолегочной дисплазией во время ремиссии и обострения заболевания. Установлено, что для детей с бронхолегочной дисплазией присущ низкий уровень абсолютного количества лимфоцитов, на фоне повышения цитотоксических лимфоцитов (CD8, CD16), </w:t>
      </w:r>
      <w:proofErr w:type="spellStart"/>
      <w:r w:rsidRPr="00A265CB">
        <w:rPr>
          <w:rFonts w:ascii="Times New Roman" w:hAnsi="Times New Roman" w:cs="Times New Roman"/>
          <w:sz w:val="28"/>
          <w:szCs w:val="28"/>
        </w:rPr>
        <w:t>кислородозависимого</w:t>
      </w:r>
      <w:proofErr w:type="spellEnd"/>
      <w:r w:rsidRPr="00A265CB">
        <w:rPr>
          <w:rFonts w:ascii="Times New Roman" w:hAnsi="Times New Roman" w:cs="Times New Roman"/>
          <w:sz w:val="28"/>
          <w:szCs w:val="28"/>
        </w:rPr>
        <w:t xml:space="preserve"> способности гранулоцитов, и активации иммуноглобулинов острой фазы (</w:t>
      </w:r>
      <w:proofErr w:type="spellStart"/>
      <w:r w:rsidRPr="00A265CB">
        <w:rPr>
          <w:rFonts w:ascii="Times New Roman" w:hAnsi="Times New Roman" w:cs="Times New Roman"/>
          <w:sz w:val="28"/>
          <w:szCs w:val="28"/>
        </w:rPr>
        <w:t>Ig</w:t>
      </w:r>
      <w:proofErr w:type="spellEnd"/>
      <w:r w:rsidRPr="00A265CB">
        <w:rPr>
          <w:rFonts w:ascii="Times New Roman" w:hAnsi="Times New Roman" w:cs="Times New Roman"/>
          <w:sz w:val="28"/>
          <w:szCs w:val="28"/>
        </w:rPr>
        <w:t xml:space="preserve"> M), при отсутствии клинических признаков обострения заболевания. При </w:t>
      </w:r>
      <w:r w:rsidR="00A265CB" w:rsidRPr="00A265CB">
        <w:rPr>
          <w:rFonts w:ascii="Times New Roman" w:hAnsi="Times New Roman" w:cs="Times New Roman"/>
          <w:sz w:val="28"/>
          <w:szCs w:val="28"/>
        </w:rPr>
        <w:t xml:space="preserve">остром респираторном заболевании </w:t>
      </w:r>
      <w:r w:rsidRPr="00A265CB">
        <w:rPr>
          <w:rFonts w:ascii="Times New Roman" w:hAnsi="Times New Roman" w:cs="Times New Roman"/>
          <w:sz w:val="28"/>
          <w:szCs w:val="28"/>
        </w:rPr>
        <w:t xml:space="preserve"> возникает парадоксальная реакция </w:t>
      </w:r>
      <w:r w:rsidRPr="00A265CB">
        <w:rPr>
          <w:rFonts w:ascii="Times New Roman" w:hAnsi="Times New Roman" w:cs="Times New Roman"/>
          <w:sz w:val="28"/>
          <w:szCs w:val="28"/>
        </w:rPr>
        <w:lastRenderedPageBreak/>
        <w:t xml:space="preserve">клеточного иммунитета со снижением лимфоцитов на фоне активации цитотоксических клеток. Наряду с тем динамика увеличения цитотоксических маркеров при </w:t>
      </w:r>
      <w:r w:rsidR="00A265CB" w:rsidRPr="00A265CB">
        <w:rPr>
          <w:rFonts w:ascii="Times New Roman" w:hAnsi="Times New Roman" w:cs="Times New Roman"/>
          <w:sz w:val="28"/>
          <w:szCs w:val="28"/>
        </w:rPr>
        <w:t xml:space="preserve">остром респираторном заболевании  </w:t>
      </w:r>
      <w:r w:rsidRPr="00A265CB">
        <w:rPr>
          <w:rFonts w:ascii="Times New Roman" w:hAnsi="Times New Roman" w:cs="Times New Roman"/>
          <w:sz w:val="28"/>
          <w:szCs w:val="28"/>
        </w:rPr>
        <w:t>неудовлетворительная, что свидетельствует об истощении реактивности клеточного цепи иммунитета.</w:t>
      </w:r>
    </w:p>
    <w:p w:rsidR="00CC0D57" w:rsidRPr="003201FE" w:rsidRDefault="003201FE" w:rsidP="003201FE">
      <w:pPr>
        <w:spacing w:after="0" w:line="360" w:lineRule="auto"/>
        <w:jc w:val="center"/>
        <w:rPr>
          <w:rFonts w:ascii="Times New Roman" w:hAnsi="Times New Roman" w:cs="Times New Roman"/>
          <w:b/>
          <w:sz w:val="28"/>
          <w:szCs w:val="28"/>
          <w:lang w:val="en-US"/>
        </w:rPr>
      </w:pPr>
      <w:r w:rsidRPr="003201FE">
        <w:rPr>
          <w:rStyle w:val="hps"/>
          <w:rFonts w:ascii="Times New Roman" w:hAnsi="Times New Roman" w:cs="Times New Roman"/>
          <w:b/>
          <w:color w:val="333333"/>
          <w:sz w:val="28"/>
          <w:szCs w:val="28"/>
          <w:lang w:val="en"/>
        </w:rPr>
        <w:t>Features</w:t>
      </w:r>
      <w:r w:rsidRPr="003201FE">
        <w:rPr>
          <w:rFonts w:ascii="Times New Roman" w:hAnsi="Times New Roman" w:cs="Times New Roman"/>
          <w:b/>
          <w:color w:val="333333"/>
          <w:sz w:val="28"/>
          <w:szCs w:val="28"/>
          <w:lang w:val="en"/>
        </w:rPr>
        <w:t xml:space="preserve"> </w:t>
      </w:r>
      <w:r w:rsidRPr="003201FE">
        <w:rPr>
          <w:rStyle w:val="hps"/>
          <w:rFonts w:ascii="Times New Roman" w:hAnsi="Times New Roman" w:cs="Times New Roman"/>
          <w:b/>
          <w:color w:val="333333"/>
          <w:sz w:val="28"/>
          <w:szCs w:val="28"/>
          <w:lang w:val="en"/>
        </w:rPr>
        <w:t>immunity in children</w:t>
      </w:r>
      <w:r w:rsidRPr="003201FE">
        <w:rPr>
          <w:rFonts w:ascii="Times New Roman" w:hAnsi="Times New Roman" w:cs="Times New Roman"/>
          <w:b/>
          <w:color w:val="333333"/>
          <w:sz w:val="28"/>
          <w:szCs w:val="28"/>
          <w:lang w:val="en"/>
        </w:rPr>
        <w:t xml:space="preserve"> </w:t>
      </w:r>
      <w:r w:rsidRPr="003201FE">
        <w:rPr>
          <w:rStyle w:val="hps"/>
          <w:rFonts w:ascii="Times New Roman" w:hAnsi="Times New Roman" w:cs="Times New Roman"/>
          <w:b/>
          <w:color w:val="333333"/>
          <w:sz w:val="28"/>
          <w:szCs w:val="28"/>
          <w:lang w:val="en"/>
        </w:rPr>
        <w:t>with bronchopulmonary dysplasia</w:t>
      </w:r>
    </w:p>
    <w:p w:rsidR="00A265CB" w:rsidRDefault="00A265CB" w:rsidP="00A265CB">
      <w:pPr>
        <w:spacing w:after="0" w:line="360" w:lineRule="auto"/>
        <w:jc w:val="both"/>
        <w:rPr>
          <w:rFonts w:ascii="Times New Roman" w:hAnsi="Times New Roman" w:cs="Times New Roman"/>
          <w:sz w:val="28"/>
          <w:szCs w:val="28"/>
          <w:lang w:val="uk-UA"/>
        </w:rPr>
      </w:pPr>
      <w:r w:rsidRPr="00A265CB">
        <w:rPr>
          <w:rFonts w:ascii="Times New Roman" w:hAnsi="Times New Roman" w:cs="Times New Roman"/>
          <w:b/>
          <w:sz w:val="28"/>
          <w:szCs w:val="28"/>
          <w:lang w:val="en-GB"/>
        </w:rPr>
        <w:t>Keywords:</w:t>
      </w:r>
      <w:r w:rsidRPr="00A50562">
        <w:rPr>
          <w:rFonts w:ascii="Times New Roman" w:hAnsi="Times New Roman" w:cs="Times New Roman"/>
          <w:sz w:val="28"/>
          <w:szCs w:val="28"/>
          <w:lang w:val="en-GB"/>
        </w:rPr>
        <w:t xml:space="preserve"> bronchopulmonary dysplasia, children, immunity</w:t>
      </w:r>
    </w:p>
    <w:p w:rsidR="00A265CB" w:rsidRPr="00A265CB" w:rsidRDefault="00A265CB" w:rsidP="00A265CB">
      <w:pPr>
        <w:spacing w:after="0" w:line="360" w:lineRule="auto"/>
        <w:jc w:val="both"/>
        <w:rPr>
          <w:rFonts w:ascii="Times New Roman" w:hAnsi="Times New Roman" w:cs="Times New Roman"/>
          <w:sz w:val="28"/>
          <w:szCs w:val="28"/>
          <w:lang w:val="uk-UA"/>
        </w:rPr>
      </w:pPr>
      <w:r w:rsidRPr="00A265CB">
        <w:rPr>
          <w:rFonts w:ascii="Times New Roman" w:hAnsi="Times New Roman" w:cs="Times New Roman"/>
          <w:b/>
          <w:sz w:val="28"/>
          <w:szCs w:val="28"/>
          <w:lang w:val="en-GB"/>
        </w:rPr>
        <w:t>Summary:</w:t>
      </w:r>
      <w:r w:rsidRPr="00A50562">
        <w:rPr>
          <w:rFonts w:ascii="Times New Roman" w:hAnsi="Times New Roman" w:cs="Times New Roman"/>
          <w:sz w:val="28"/>
          <w:szCs w:val="28"/>
          <w:lang w:val="en-GB"/>
        </w:rPr>
        <w:t xml:space="preserve"> The study of the immune system in 131 children with bronchopulmonary dysplasia at the time of remission and exacerbation. Found that children with bronchopulmonary dysplasia inherent low absolute number of lymphocytes, accompanied by increased cytotoxic lymphocytes (CD8, CD16), </w:t>
      </w:r>
      <w:r>
        <w:rPr>
          <w:rFonts w:ascii="Times New Roman" w:hAnsi="Times New Roman" w:cs="Times New Roman"/>
          <w:sz w:val="28"/>
          <w:szCs w:val="28"/>
          <w:lang w:val="uk-UA"/>
        </w:rPr>
        <w:t>о</w:t>
      </w:r>
      <w:proofErr w:type="spellStart"/>
      <w:r w:rsidRPr="00A50562">
        <w:rPr>
          <w:rFonts w:ascii="Times New Roman" w:hAnsi="Times New Roman" w:cs="Times New Roman"/>
          <w:sz w:val="28"/>
          <w:szCs w:val="28"/>
          <w:lang w:val="en-US"/>
        </w:rPr>
        <w:t>xygen</w:t>
      </w:r>
      <w:proofErr w:type="spellEnd"/>
      <w:r w:rsidRPr="00A50562">
        <w:rPr>
          <w:rFonts w:ascii="Times New Roman" w:hAnsi="Times New Roman" w:cs="Times New Roman"/>
          <w:sz w:val="28"/>
          <w:szCs w:val="28"/>
          <w:lang w:val="en-US"/>
        </w:rPr>
        <w:t xml:space="preserve"> </w:t>
      </w:r>
      <w:proofErr w:type="gramStart"/>
      <w:r w:rsidRPr="00A50562">
        <w:rPr>
          <w:rFonts w:ascii="Times New Roman" w:hAnsi="Times New Roman" w:cs="Times New Roman"/>
          <w:sz w:val="28"/>
          <w:szCs w:val="28"/>
          <w:lang w:val="en-US"/>
        </w:rPr>
        <w:t xml:space="preserve">dependence </w:t>
      </w:r>
      <w:r w:rsidRPr="00A50562">
        <w:rPr>
          <w:rFonts w:ascii="Times New Roman" w:hAnsi="Times New Roman" w:cs="Times New Roman"/>
          <w:sz w:val="28"/>
          <w:szCs w:val="28"/>
          <w:lang w:val="en-GB"/>
        </w:rPr>
        <w:t xml:space="preserve"> ability</w:t>
      </w:r>
      <w:proofErr w:type="gramEnd"/>
      <w:r w:rsidRPr="00A50562">
        <w:rPr>
          <w:rFonts w:ascii="Times New Roman" w:hAnsi="Times New Roman" w:cs="Times New Roman"/>
          <w:sz w:val="28"/>
          <w:szCs w:val="28"/>
          <w:lang w:val="en-GB"/>
        </w:rPr>
        <w:t xml:space="preserve"> of granulocytes, and activation of the acute phase of immunoglobulin (Ig M), in the absence of clinical signs of exacerbation. </w:t>
      </w:r>
      <w:proofErr w:type="gramStart"/>
      <w:r w:rsidRPr="00A50562">
        <w:rPr>
          <w:rFonts w:ascii="Times New Roman" w:hAnsi="Times New Roman" w:cs="Times New Roman"/>
          <w:sz w:val="28"/>
          <w:szCs w:val="28"/>
          <w:lang w:val="en-GB"/>
        </w:rPr>
        <w:t>In acute respiratory disease, a somewhat paradoxical cellular immune response with decreased lymphocyte activation against cytotoxic cells.</w:t>
      </w:r>
      <w:proofErr w:type="gramEnd"/>
      <w:r w:rsidRPr="00A50562">
        <w:rPr>
          <w:rFonts w:ascii="Times New Roman" w:hAnsi="Times New Roman" w:cs="Times New Roman"/>
          <w:sz w:val="28"/>
          <w:szCs w:val="28"/>
          <w:lang w:val="en-GB"/>
        </w:rPr>
        <w:t xml:space="preserve"> While the dynamics of increase of cytotoxic markers in acute respiratory disease is unsatisfactory, indicating that the depletion of cellular reactivity circuit immunity.</w:t>
      </w:r>
    </w:p>
    <w:p w:rsidR="00950180" w:rsidRPr="00E8776D" w:rsidRDefault="00B745E4" w:rsidP="00A265CB">
      <w:pPr>
        <w:spacing w:after="0" w:line="360" w:lineRule="auto"/>
        <w:ind w:firstLine="708"/>
        <w:jc w:val="both"/>
        <w:rPr>
          <w:rFonts w:ascii="Times New Roman" w:hAnsi="Times New Roman" w:cs="Times New Roman"/>
          <w:sz w:val="28"/>
          <w:szCs w:val="28"/>
          <w:lang w:val="uk-UA"/>
        </w:rPr>
      </w:pPr>
      <w:r w:rsidRPr="00E8776D">
        <w:rPr>
          <w:rFonts w:ascii="Times New Roman" w:hAnsi="Times New Roman" w:cs="Times New Roman"/>
          <w:sz w:val="28"/>
          <w:szCs w:val="28"/>
        </w:rPr>
        <w:t>Б</w:t>
      </w:r>
      <w:r w:rsidR="005D0B9B" w:rsidRPr="00E8776D">
        <w:rPr>
          <w:rFonts w:ascii="Times New Roman" w:hAnsi="Times New Roman" w:cs="Times New Roman"/>
          <w:sz w:val="28"/>
          <w:szCs w:val="28"/>
        </w:rPr>
        <w:t>ронхолегенева дисплазія</w:t>
      </w:r>
      <w:r w:rsidR="007E0E0D" w:rsidRPr="00E8776D">
        <w:rPr>
          <w:rFonts w:ascii="Times New Roman" w:hAnsi="Times New Roman" w:cs="Times New Roman"/>
          <w:sz w:val="28"/>
          <w:szCs w:val="28"/>
        </w:rPr>
        <w:t xml:space="preserve"> (БЛД)</w:t>
      </w:r>
      <w:r w:rsidR="005D0B9B" w:rsidRPr="00E8776D">
        <w:rPr>
          <w:rFonts w:ascii="Times New Roman" w:hAnsi="Times New Roman" w:cs="Times New Roman"/>
          <w:sz w:val="28"/>
          <w:szCs w:val="28"/>
        </w:rPr>
        <w:t xml:space="preserve"> -  тяжка</w:t>
      </w:r>
      <w:r w:rsidR="005D0B9B" w:rsidRPr="00E8776D">
        <w:rPr>
          <w:rFonts w:ascii="Times New Roman" w:hAnsi="Times New Roman" w:cs="Times New Roman"/>
          <w:sz w:val="28"/>
          <w:szCs w:val="28"/>
          <w:lang w:val="uk-UA"/>
        </w:rPr>
        <w:t xml:space="preserve"> хронічна бронхолегенева </w:t>
      </w:r>
      <w:proofErr w:type="gramStart"/>
      <w:r w:rsidR="005D0B9B" w:rsidRPr="00E8776D">
        <w:rPr>
          <w:rFonts w:ascii="Times New Roman" w:hAnsi="Times New Roman" w:cs="Times New Roman"/>
          <w:sz w:val="28"/>
          <w:szCs w:val="28"/>
          <w:lang w:val="uk-UA"/>
        </w:rPr>
        <w:t>хвороба</w:t>
      </w:r>
      <w:proofErr w:type="gramEnd"/>
      <w:r w:rsidR="00A31F3B" w:rsidRPr="00E8776D">
        <w:rPr>
          <w:rFonts w:ascii="Times New Roman" w:hAnsi="Times New Roman" w:cs="Times New Roman"/>
          <w:sz w:val="28"/>
          <w:szCs w:val="28"/>
          <w:lang w:val="uk-UA"/>
        </w:rPr>
        <w:t>, яка виникає</w:t>
      </w:r>
      <w:r w:rsidR="00A03B2C" w:rsidRPr="00E8776D">
        <w:rPr>
          <w:rFonts w:ascii="Times New Roman" w:hAnsi="Times New Roman" w:cs="Times New Roman"/>
          <w:sz w:val="28"/>
          <w:szCs w:val="28"/>
          <w:lang w:val="uk-UA"/>
        </w:rPr>
        <w:t xml:space="preserve"> переважно</w:t>
      </w:r>
      <w:r w:rsidR="006403E8" w:rsidRPr="00E8776D">
        <w:rPr>
          <w:rFonts w:ascii="Times New Roman" w:hAnsi="Times New Roman" w:cs="Times New Roman"/>
          <w:sz w:val="28"/>
          <w:szCs w:val="28"/>
          <w:lang w:val="uk-UA"/>
        </w:rPr>
        <w:t xml:space="preserve"> </w:t>
      </w:r>
      <w:r w:rsidR="00A31F3B" w:rsidRPr="00E8776D">
        <w:rPr>
          <w:rFonts w:ascii="Times New Roman" w:hAnsi="Times New Roman" w:cs="Times New Roman"/>
          <w:sz w:val="28"/>
          <w:szCs w:val="28"/>
          <w:lang w:val="uk-UA"/>
        </w:rPr>
        <w:t>у передчасно народжених дітей</w:t>
      </w:r>
      <w:r w:rsidR="005D0B9B" w:rsidRPr="00E8776D">
        <w:rPr>
          <w:rFonts w:ascii="Times New Roman" w:hAnsi="Times New Roman" w:cs="Times New Roman"/>
          <w:sz w:val="28"/>
          <w:szCs w:val="28"/>
          <w:lang w:val="uk-UA"/>
        </w:rPr>
        <w:t xml:space="preserve">. </w:t>
      </w:r>
      <w:r w:rsidR="00950180" w:rsidRPr="00E8776D">
        <w:rPr>
          <w:rFonts w:ascii="Times New Roman" w:hAnsi="Times New Roman" w:cs="Times New Roman"/>
          <w:sz w:val="28"/>
          <w:szCs w:val="28"/>
          <w:lang w:val="uk-UA"/>
        </w:rPr>
        <w:t>На сьогодні, класична БЛД,</w:t>
      </w:r>
      <w:r w:rsidR="00C74076" w:rsidRPr="00E8776D">
        <w:rPr>
          <w:rFonts w:ascii="Times New Roman" w:hAnsi="Times New Roman" w:cs="Times New Roman"/>
          <w:sz w:val="28"/>
          <w:szCs w:val="28"/>
          <w:lang w:val="uk-UA"/>
        </w:rPr>
        <w:t xml:space="preserve"> основними </w:t>
      </w:r>
      <w:r w:rsidR="00950180" w:rsidRPr="00E8776D">
        <w:rPr>
          <w:rFonts w:ascii="Times New Roman" w:hAnsi="Times New Roman" w:cs="Times New Roman"/>
          <w:sz w:val="28"/>
          <w:szCs w:val="28"/>
          <w:lang w:val="uk-UA"/>
        </w:rPr>
        <w:t xml:space="preserve">етіологічними чинниками якої є гіпероксія, волюмотравма та баротравма, уходить в минуле. Поліпшення методів штучної вентиляції легень, сприяло виживаності новонароджених з малою </w:t>
      </w:r>
      <w:r w:rsidR="00A03B2C" w:rsidRPr="00E8776D">
        <w:rPr>
          <w:rFonts w:ascii="Times New Roman" w:hAnsi="Times New Roman" w:cs="Times New Roman"/>
          <w:sz w:val="28"/>
          <w:szCs w:val="28"/>
          <w:lang w:val="uk-UA"/>
        </w:rPr>
        <w:t xml:space="preserve">та екстремально малою </w:t>
      </w:r>
      <w:r w:rsidR="00950180" w:rsidRPr="00E8776D">
        <w:rPr>
          <w:rFonts w:ascii="Times New Roman" w:hAnsi="Times New Roman" w:cs="Times New Roman"/>
          <w:sz w:val="28"/>
          <w:szCs w:val="28"/>
          <w:lang w:val="uk-UA"/>
        </w:rPr>
        <w:t xml:space="preserve">масою тіла, </w:t>
      </w:r>
      <w:r w:rsidR="00C74076" w:rsidRPr="00E8776D">
        <w:rPr>
          <w:rFonts w:ascii="Times New Roman" w:hAnsi="Times New Roman" w:cs="Times New Roman"/>
          <w:sz w:val="28"/>
          <w:szCs w:val="28"/>
          <w:lang w:val="uk-UA"/>
        </w:rPr>
        <w:t xml:space="preserve">що </w:t>
      </w:r>
      <w:r w:rsidR="00950180" w:rsidRPr="00E8776D">
        <w:rPr>
          <w:rFonts w:ascii="Times New Roman" w:hAnsi="Times New Roman" w:cs="Times New Roman"/>
          <w:sz w:val="28"/>
          <w:szCs w:val="28"/>
          <w:lang w:val="uk-UA"/>
        </w:rPr>
        <w:t xml:space="preserve"> народились до </w:t>
      </w:r>
      <w:r w:rsidR="00C74076" w:rsidRPr="00E8776D">
        <w:rPr>
          <w:rFonts w:ascii="Times New Roman" w:hAnsi="Times New Roman" w:cs="Times New Roman"/>
          <w:sz w:val="28"/>
          <w:szCs w:val="28"/>
          <w:lang w:val="uk-UA"/>
        </w:rPr>
        <w:t>термінів</w:t>
      </w:r>
      <w:r w:rsidR="00950180" w:rsidRPr="00E8776D">
        <w:rPr>
          <w:rFonts w:ascii="Times New Roman" w:hAnsi="Times New Roman" w:cs="Times New Roman"/>
          <w:sz w:val="28"/>
          <w:szCs w:val="28"/>
          <w:lang w:val="uk-UA"/>
        </w:rPr>
        <w:t xml:space="preserve"> появи </w:t>
      </w:r>
      <w:r w:rsidR="00C74076" w:rsidRPr="00E8776D">
        <w:rPr>
          <w:rFonts w:ascii="Times New Roman" w:hAnsi="Times New Roman" w:cs="Times New Roman"/>
          <w:sz w:val="28"/>
          <w:szCs w:val="28"/>
          <w:lang w:val="uk-UA"/>
        </w:rPr>
        <w:t xml:space="preserve">септальних </w:t>
      </w:r>
      <w:proofErr w:type="spellStart"/>
      <w:r w:rsidR="00C74076" w:rsidRPr="00E8776D">
        <w:rPr>
          <w:rFonts w:ascii="Times New Roman" w:hAnsi="Times New Roman" w:cs="Times New Roman"/>
          <w:sz w:val="28"/>
          <w:szCs w:val="28"/>
          <w:lang w:val="uk-UA"/>
        </w:rPr>
        <w:t>гребнів</w:t>
      </w:r>
      <w:proofErr w:type="spellEnd"/>
      <w:r w:rsidR="00C74076" w:rsidRPr="00E8776D">
        <w:rPr>
          <w:rFonts w:ascii="Times New Roman" w:hAnsi="Times New Roman" w:cs="Times New Roman"/>
          <w:sz w:val="28"/>
          <w:szCs w:val="28"/>
          <w:lang w:val="uk-UA"/>
        </w:rPr>
        <w:t xml:space="preserve"> у сакулах</w:t>
      </w:r>
      <w:r w:rsidR="00A05B10" w:rsidRPr="00E8776D">
        <w:rPr>
          <w:rFonts w:ascii="Times New Roman" w:hAnsi="Times New Roman" w:cs="Times New Roman"/>
          <w:sz w:val="28"/>
          <w:szCs w:val="28"/>
          <w:lang w:val="uk-UA"/>
        </w:rPr>
        <w:t xml:space="preserve"> легень</w:t>
      </w:r>
      <w:r w:rsidR="008D2162" w:rsidRPr="00E8776D">
        <w:rPr>
          <w:rFonts w:ascii="Times New Roman" w:hAnsi="Times New Roman" w:cs="Times New Roman"/>
          <w:sz w:val="28"/>
          <w:szCs w:val="28"/>
          <w:lang w:val="uk-UA"/>
        </w:rPr>
        <w:t xml:space="preserve"> [1]. </w:t>
      </w:r>
      <w:r w:rsidR="005B099B" w:rsidRPr="00E8776D">
        <w:rPr>
          <w:rFonts w:ascii="Times New Roman" w:hAnsi="Times New Roman" w:cs="Times New Roman"/>
          <w:sz w:val="28"/>
          <w:szCs w:val="28"/>
          <w:lang w:val="uk-UA"/>
        </w:rPr>
        <w:t>Необхідність респіраторної підтримки недоношеного може супроводжуватися м</w:t>
      </w:r>
      <w:r w:rsidR="00C74076" w:rsidRPr="00E8776D">
        <w:rPr>
          <w:rFonts w:ascii="Times New Roman" w:hAnsi="Times New Roman" w:cs="Times New Roman"/>
          <w:sz w:val="28"/>
          <w:szCs w:val="28"/>
          <w:lang w:val="uk-UA"/>
        </w:rPr>
        <w:t>еханічн</w:t>
      </w:r>
      <w:r w:rsidR="005B099B" w:rsidRPr="00E8776D">
        <w:rPr>
          <w:rFonts w:ascii="Times New Roman" w:hAnsi="Times New Roman" w:cs="Times New Roman"/>
          <w:sz w:val="28"/>
          <w:szCs w:val="28"/>
          <w:lang w:val="uk-UA"/>
        </w:rPr>
        <w:t>им</w:t>
      </w:r>
      <w:r w:rsidR="00C74076" w:rsidRPr="00E8776D">
        <w:rPr>
          <w:rFonts w:ascii="Times New Roman" w:hAnsi="Times New Roman" w:cs="Times New Roman"/>
          <w:sz w:val="28"/>
          <w:szCs w:val="28"/>
          <w:lang w:val="uk-UA"/>
        </w:rPr>
        <w:t xml:space="preserve"> ураження</w:t>
      </w:r>
      <w:r w:rsidR="005B099B" w:rsidRPr="00E8776D">
        <w:rPr>
          <w:rFonts w:ascii="Times New Roman" w:hAnsi="Times New Roman" w:cs="Times New Roman"/>
          <w:sz w:val="28"/>
          <w:szCs w:val="28"/>
          <w:lang w:val="uk-UA"/>
        </w:rPr>
        <w:t>м</w:t>
      </w:r>
      <w:r w:rsidR="00C74076" w:rsidRPr="00E8776D">
        <w:rPr>
          <w:rFonts w:ascii="Times New Roman" w:hAnsi="Times New Roman" w:cs="Times New Roman"/>
          <w:sz w:val="28"/>
          <w:szCs w:val="28"/>
          <w:lang w:val="uk-UA"/>
        </w:rPr>
        <w:t xml:space="preserve"> легень </w:t>
      </w:r>
      <w:r w:rsidR="005B099B" w:rsidRPr="00E8776D">
        <w:rPr>
          <w:rFonts w:ascii="Times New Roman" w:hAnsi="Times New Roman" w:cs="Times New Roman"/>
          <w:sz w:val="28"/>
          <w:szCs w:val="28"/>
          <w:lang w:val="uk-UA"/>
        </w:rPr>
        <w:t xml:space="preserve">та </w:t>
      </w:r>
      <w:proofErr w:type="spellStart"/>
      <w:r w:rsidR="00C74076" w:rsidRPr="00E8776D">
        <w:rPr>
          <w:rFonts w:ascii="Times New Roman" w:hAnsi="Times New Roman" w:cs="Times New Roman"/>
          <w:sz w:val="28"/>
          <w:szCs w:val="28"/>
          <w:lang w:val="uk-UA"/>
        </w:rPr>
        <w:t>гіпероксі</w:t>
      </w:r>
      <w:r w:rsidR="005B099B" w:rsidRPr="00E8776D">
        <w:rPr>
          <w:rFonts w:ascii="Times New Roman" w:hAnsi="Times New Roman" w:cs="Times New Roman"/>
          <w:sz w:val="28"/>
          <w:szCs w:val="28"/>
          <w:lang w:val="uk-UA"/>
        </w:rPr>
        <w:t>єю</w:t>
      </w:r>
      <w:proofErr w:type="spellEnd"/>
      <w:r w:rsidR="008C0A13" w:rsidRPr="00E8776D">
        <w:rPr>
          <w:rFonts w:ascii="Times New Roman" w:hAnsi="Times New Roman" w:cs="Times New Roman"/>
          <w:sz w:val="28"/>
          <w:szCs w:val="28"/>
          <w:lang w:val="uk-UA"/>
        </w:rPr>
        <w:t>. Д</w:t>
      </w:r>
      <w:r w:rsidR="005B099B" w:rsidRPr="00E8776D">
        <w:rPr>
          <w:rFonts w:ascii="Times New Roman" w:hAnsi="Times New Roman" w:cs="Times New Roman"/>
          <w:sz w:val="28"/>
          <w:szCs w:val="28"/>
          <w:lang w:val="uk-UA"/>
        </w:rPr>
        <w:t>о них часто</w:t>
      </w:r>
      <w:r w:rsidR="008C0A13" w:rsidRPr="00E8776D">
        <w:rPr>
          <w:rFonts w:ascii="Times New Roman" w:hAnsi="Times New Roman" w:cs="Times New Roman"/>
          <w:sz w:val="28"/>
          <w:szCs w:val="28"/>
          <w:lang w:val="uk-UA"/>
        </w:rPr>
        <w:t xml:space="preserve"> </w:t>
      </w:r>
      <w:r w:rsidR="005B099B" w:rsidRPr="00E8776D">
        <w:rPr>
          <w:rFonts w:ascii="Times New Roman" w:hAnsi="Times New Roman" w:cs="Times New Roman"/>
          <w:sz w:val="28"/>
          <w:szCs w:val="28"/>
          <w:lang w:val="uk-UA"/>
        </w:rPr>
        <w:t xml:space="preserve">приєднуються </w:t>
      </w:r>
      <w:proofErr w:type="spellStart"/>
      <w:r w:rsidR="005B099B" w:rsidRPr="00E8776D">
        <w:rPr>
          <w:rFonts w:ascii="Times New Roman" w:hAnsi="Times New Roman" w:cs="Times New Roman"/>
          <w:sz w:val="28"/>
          <w:szCs w:val="28"/>
          <w:lang w:val="uk-UA"/>
        </w:rPr>
        <w:t>пре-</w:t>
      </w:r>
      <w:proofErr w:type="spellEnd"/>
      <w:r w:rsidR="002E3AAD" w:rsidRPr="00E8776D">
        <w:rPr>
          <w:rFonts w:ascii="Times New Roman" w:hAnsi="Times New Roman" w:cs="Times New Roman"/>
          <w:sz w:val="28"/>
          <w:szCs w:val="28"/>
          <w:lang w:val="uk-UA"/>
        </w:rPr>
        <w:t>,</w:t>
      </w:r>
      <w:r w:rsidR="00C74076" w:rsidRPr="00E8776D">
        <w:rPr>
          <w:rFonts w:ascii="Times New Roman" w:hAnsi="Times New Roman" w:cs="Times New Roman"/>
          <w:sz w:val="28"/>
          <w:szCs w:val="28"/>
          <w:lang w:val="uk-UA"/>
        </w:rPr>
        <w:t xml:space="preserve"> постнатальна інфекція, </w:t>
      </w:r>
      <w:proofErr w:type="spellStart"/>
      <w:r w:rsidR="00A03B2C" w:rsidRPr="00E8776D">
        <w:rPr>
          <w:rFonts w:ascii="Times New Roman" w:hAnsi="Times New Roman" w:cs="Times New Roman"/>
          <w:sz w:val="28"/>
          <w:szCs w:val="28"/>
          <w:lang w:val="uk-UA"/>
        </w:rPr>
        <w:t>гіпер</w:t>
      </w:r>
      <w:r w:rsidR="005B099B" w:rsidRPr="00E8776D">
        <w:rPr>
          <w:rFonts w:ascii="Times New Roman" w:hAnsi="Times New Roman" w:cs="Times New Roman"/>
          <w:sz w:val="28"/>
          <w:szCs w:val="28"/>
          <w:lang w:val="uk-UA"/>
        </w:rPr>
        <w:t>-</w:t>
      </w:r>
      <w:proofErr w:type="spellEnd"/>
      <w:r w:rsidR="005B099B" w:rsidRPr="00E8776D">
        <w:rPr>
          <w:rFonts w:ascii="Times New Roman" w:hAnsi="Times New Roman" w:cs="Times New Roman"/>
          <w:sz w:val="28"/>
          <w:szCs w:val="28"/>
          <w:lang w:val="uk-UA"/>
        </w:rPr>
        <w:t xml:space="preserve">, або </w:t>
      </w:r>
      <w:r w:rsidR="00A03B2C" w:rsidRPr="00E8776D">
        <w:rPr>
          <w:rFonts w:ascii="Times New Roman" w:hAnsi="Times New Roman" w:cs="Times New Roman"/>
          <w:sz w:val="28"/>
          <w:szCs w:val="28"/>
          <w:lang w:val="uk-UA"/>
        </w:rPr>
        <w:t>гіповолемія малого кола кровообігу</w:t>
      </w:r>
      <w:r w:rsidR="005B099B" w:rsidRPr="00E8776D">
        <w:rPr>
          <w:rFonts w:ascii="Times New Roman" w:hAnsi="Times New Roman" w:cs="Times New Roman"/>
          <w:sz w:val="28"/>
          <w:szCs w:val="28"/>
          <w:lang w:val="uk-UA"/>
        </w:rPr>
        <w:t>,</w:t>
      </w:r>
      <w:r w:rsidR="00A03B2C" w:rsidRPr="00E8776D">
        <w:rPr>
          <w:rFonts w:ascii="Times New Roman" w:hAnsi="Times New Roman" w:cs="Times New Roman"/>
          <w:sz w:val="28"/>
          <w:szCs w:val="28"/>
          <w:lang w:val="uk-UA"/>
        </w:rPr>
        <w:t xml:space="preserve"> </w:t>
      </w:r>
      <w:r w:rsidR="005B099B" w:rsidRPr="00E8776D">
        <w:rPr>
          <w:rFonts w:ascii="Times New Roman" w:hAnsi="Times New Roman" w:cs="Times New Roman"/>
          <w:sz w:val="28"/>
          <w:szCs w:val="28"/>
          <w:lang w:val="uk-UA"/>
        </w:rPr>
        <w:t xml:space="preserve">які </w:t>
      </w:r>
      <w:r w:rsidR="00A03B2C" w:rsidRPr="00E8776D">
        <w:rPr>
          <w:rFonts w:ascii="Times New Roman" w:hAnsi="Times New Roman" w:cs="Times New Roman"/>
          <w:sz w:val="28"/>
          <w:szCs w:val="28"/>
          <w:lang w:val="uk-UA"/>
        </w:rPr>
        <w:t xml:space="preserve">гальмують </w:t>
      </w:r>
      <w:proofErr w:type="spellStart"/>
      <w:r w:rsidR="00A03B2C" w:rsidRPr="00E8776D">
        <w:rPr>
          <w:rFonts w:ascii="Times New Roman" w:hAnsi="Times New Roman" w:cs="Times New Roman"/>
          <w:sz w:val="28"/>
          <w:szCs w:val="28"/>
          <w:lang w:val="uk-UA"/>
        </w:rPr>
        <w:t>альвеолярізацію</w:t>
      </w:r>
      <w:proofErr w:type="spellEnd"/>
      <w:r w:rsidR="00A03B2C" w:rsidRPr="00E8776D">
        <w:rPr>
          <w:rFonts w:ascii="Times New Roman" w:hAnsi="Times New Roman" w:cs="Times New Roman"/>
          <w:sz w:val="28"/>
          <w:szCs w:val="28"/>
          <w:lang w:val="uk-UA"/>
        </w:rPr>
        <w:t xml:space="preserve">. </w:t>
      </w:r>
      <w:r w:rsidR="00950180" w:rsidRPr="00E8776D">
        <w:rPr>
          <w:rFonts w:ascii="Times New Roman" w:hAnsi="Times New Roman" w:cs="Times New Roman"/>
          <w:sz w:val="28"/>
          <w:szCs w:val="28"/>
          <w:lang w:val="uk-UA"/>
        </w:rPr>
        <w:t xml:space="preserve"> </w:t>
      </w:r>
      <w:r w:rsidR="00314D55" w:rsidRPr="00E8776D">
        <w:rPr>
          <w:rFonts w:ascii="Times New Roman" w:hAnsi="Times New Roman" w:cs="Times New Roman"/>
          <w:sz w:val="28"/>
          <w:szCs w:val="28"/>
          <w:lang w:val="uk-UA"/>
        </w:rPr>
        <w:t>У</w:t>
      </w:r>
      <w:r w:rsidR="00C74076" w:rsidRPr="00E8776D">
        <w:rPr>
          <w:rFonts w:ascii="Times New Roman" w:hAnsi="Times New Roman" w:cs="Times New Roman"/>
          <w:sz w:val="28"/>
          <w:szCs w:val="28"/>
          <w:lang w:val="uk-UA"/>
        </w:rPr>
        <w:t xml:space="preserve"> таких дітей</w:t>
      </w:r>
      <w:r w:rsidR="00314D55" w:rsidRPr="00E8776D">
        <w:rPr>
          <w:rFonts w:ascii="Times New Roman" w:hAnsi="Times New Roman" w:cs="Times New Roman"/>
          <w:sz w:val="28"/>
          <w:szCs w:val="28"/>
          <w:lang w:val="uk-UA"/>
        </w:rPr>
        <w:t xml:space="preserve">, при наявні киснезалежності на 28 добу життя, </w:t>
      </w:r>
      <w:r w:rsidR="00C74076" w:rsidRPr="00E8776D">
        <w:rPr>
          <w:rFonts w:ascii="Times New Roman" w:hAnsi="Times New Roman" w:cs="Times New Roman"/>
          <w:sz w:val="28"/>
          <w:szCs w:val="28"/>
          <w:lang w:val="uk-UA"/>
        </w:rPr>
        <w:t xml:space="preserve">діагностується </w:t>
      </w:r>
      <w:r w:rsidR="00950180" w:rsidRPr="00E8776D">
        <w:rPr>
          <w:rFonts w:ascii="Times New Roman" w:hAnsi="Times New Roman" w:cs="Times New Roman"/>
          <w:sz w:val="28"/>
          <w:szCs w:val="28"/>
          <w:lang w:val="uk-UA"/>
        </w:rPr>
        <w:t xml:space="preserve">«нова» </w:t>
      </w:r>
      <w:r w:rsidR="00C74076" w:rsidRPr="00E8776D">
        <w:rPr>
          <w:rFonts w:ascii="Times New Roman" w:hAnsi="Times New Roman" w:cs="Times New Roman"/>
          <w:sz w:val="28"/>
          <w:szCs w:val="28"/>
          <w:lang w:val="uk-UA"/>
        </w:rPr>
        <w:t>форма бронхолегеневої дисплазії</w:t>
      </w:r>
      <w:r w:rsidR="008D2162" w:rsidRPr="00E8776D">
        <w:rPr>
          <w:rFonts w:ascii="Times New Roman" w:hAnsi="Times New Roman" w:cs="Times New Roman"/>
          <w:sz w:val="28"/>
          <w:szCs w:val="28"/>
          <w:lang w:val="uk-UA"/>
        </w:rPr>
        <w:t xml:space="preserve"> [</w:t>
      </w:r>
      <w:r w:rsidR="00023CDE" w:rsidRPr="00E8776D">
        <w:rPr>
          <w:rFonts w:ascii="Times New Roman" w:hAnsi="Times New Roman" w:cs="Times New Roman"/>
          <w:sz w:val="28"/>
          <w:szCs w:val="28"/>
          <w:lang w:val="uk-UA"/>
        </w:rPr>
        <w:t>2,</w:t>
      </w:r>
      <w:r w:rsidR="00EA4B8E" w:rsidRPr="00E8776D">
        <w:rPr>
          <w:rFonts w:ascii="Times New Roman" w:hAnsi="Times New Roman" w:cs="Times New Roman"/>
          <w:sz w:val="28"/>
          <w:szCs w:val="28"/>
          <w:lang w:val="uk-UA"/>
        </w:rPr>
        <w:t>9</w:t>
      </w:r>
      <w:r w:rsidR="008D2162" w:rsidRPr="00E8776D">
        <w:rPr>
          <w:rFonts w:ascii="Times New Roman" w:hAnsi="Times New Roman" w:cs="Times New Roman"/>
          <w:sz w:val="28"/>
          <w:szCs w:val="28"/>
          <w:lang w:val="uk-UA"/>
        </w:rPr>
        <w:t>]</w:t>
      </w:r>
      <w:r w:rsidR="00950180" w:rsidRPr="00E8776D">
        <w:rPr>
          <w:rFonts w:ascii="Times New Roman" w:hAnsi="Times New Roman" w:cs="Times New Roman"/>
          <w:sz w:val="28"/>
          <w:szCs w:val="28"/>
          <w:lang w:val="uk-UA"/>
        </w:rPr>
        <w:t xml:space="preserve">. </w:t>
      </w:r>
    </w:p>
    <w:p w:rsidR="007E0E0D" w:rsidRPr="003005D5" w:rsidRDefault="008C0A13" w:rsidP="00E8776D">
      <w:pPr>
        <w:spacing w:after="0" w:line="360" w:lineRule="auto"/>
        <w:ind w:firstLine="708"/>
        <w:jc w:val="both"/>
        <w:rPr>
          <w:rFonts w:ascii="Times New Roman" w:hAnsi="Times New Roman" w:cs="Times New Roman"/>
          <w:sz w:val="28"/>
          <w:szCs w:val="28"/>
          <w:lang w:val="uk-UA"/>
        </w:rPr>
      </w:pPr>
      <w:r w:rsidRPr="00E8776D">
        <w:rPr>
          <w:rFonts w:ascii="Times New Roman" w:hAnsi="Times New Roman" w:cs="Times New Roman"/>
          <w:sz w:val="28"/>
          <w:szCs w:val="28"/>
          <w:lang w:val="uk-UA"/>
        </w:rPr>
        <w:lastRenderedPageBreak/>
        <w:t>П</w:t>
      </w:r>
      <w:r w:rsidR="00314D55" w:rsidRPr="00E8776D">
        <w:rPr>
          <w:rFonts w:ascii="Times New Roman" w:hAnsi="Times New Roman" w:cs="Times New Roman"/>
          <w:sz w:val="28"/>
          <w:szCs w:val="28"/>
          <w:lang w:val="uk-UA"/>
        </w:rPr>
        <w:t>атоморфологія формування бронхолегеневої дисплазії, включає</w:t>
      </w:r>
      <w:r w:rsidR="00314D55" w:rsidRPr="003005D5">
        <w:rPr>
          <w:rFonts w:ascii="Times New Roman" w:hAnsi="Times New Roman" w:cs="Times New Roman"/>
          <w:sz w:val="28"/>
          <w:szCs w:val="28"/>
          <w:lang w:val="uk-UA"/>
        </w:rPr>
        <w:t xml:space="preserve"> запалення </w:t>
      </w:r>
      <w:r w:rsidR="002E3AAD">
        <w:rPr>
          <w:rFonts w:ascii="Times New Roman" w:hAnsi="Times New Roman" w:cs="Times New Roman"/>
          <w:sz w:val="28"/>
          <w:szCs w:val="28"/>
          <w:lang w:val="uk-UA"/>
        </w:rPr>
        <w:t>і</w:t>
      </w:r>
      <w:r w:rsidR="00314D55" w:rsidRPr="003005D5">
        <w:rPr>
          <w:rFonts w:ascii="Times New Roman" w:hAnsi="Times New Roman" w:cs="Times New Roman"/>
          <w:sz w:val="28"/>
          <w:szCs w:val="28"/>
          <w:lang w:val="uk-UA"/>
        </w:rPr>
        <w:t xml:space="preserve"> </w:t>
      </w:r>
      <w:proofErr w:type="spellStart"/>
      <w:r w:rsidR="00314D55" w:rsidRPr="003005D5">
        <w:rPr>
          <w:rFonts w:ascii="Times New Roman" w:hAnsi="Times New Roman" w:cs="Times New Roman"/>
          <w:sz w:val="28"/>
          <w:szCs w:val="28"/>
          <w:lang w:val="uk-UA"/>
        </w:rPr>
        <w:t>фіброзування</w:t>
      </w:r>
      <w:proofErr w:type="spellEnd"/>
      <w:r w:rsidR="00314D55" w:rsidRPr="003005D5">
        <w:rPr>
          <w:rFonts w:ascii="Times New Roman" w:hAnsi="Times New Roman" w:cs="Times New Roman"/>
          <w:sz w:val="28"/>
          <w:szCs w:val="28"/>
          <w:lang w:val="uk-UA"/>
        </w:rPr>
        <w:t>.</w:t>
      </w:r>
      <w:r w:rsidRPr="003005D5">
        <w:rPr>
          <w:rFonts w:ascii="Times New Roman" w:hAnsi="Times New Roman" w:cs="Times New Roman"/>
          <w:sz w:val="28"/>
          <w:szCs w:val="28"/>
          <w:lang w:val="uk-UA"/>
        </w:rPr>
        <w:t xml:space="preserve"> У дітей з «новою» формою БЛД фіброз мінімальний</w:t>
      </w:r>
      <w:r w:rsidR="00BC3D4A" w:rsidRPr="003005D5">
        <w:rPr>
          <w:rFonts w:ascii="Times New Roman" w:hAnsi="Times New Roman" w:cs="Times New Roman"/>
          <w:sz w:val="28"/>
          <w:szCs w:val="28"/>
          <w:lang w:val="uk-UA"/>
        </w:rPr>
        <w:t xml:space="preserve">. </w:t>
      </w:r>
      <w:r w:rsidRPr="003005D5">
        <w:rPr>
          <w:rFonts w:ascii="Times New Roman" w:hAnsi="Times New Roman" w:cs="Times New Roman"/>
          <w:sz w:val="28"/>
          <w:szCs w:val="28"/>
          <w:lang w:val="uk-UA"/>
        </w:rPr>
        <w:t xml:space="preserve">Тригери </w:t>
      </w:r>
      <w:r w:rsidR="002E3AAD">
        <w:rPr>
          <w:rFonts w:ascii="Times New Roman" w:hAnsi="Times New Roman" w:cs="Times New Roman"/>
          <w:sz w:val="28"/>
          <w:szCs w:val="28"/>
          <w:lang w:val="uk-UA"/>
        </w:rPr>
        <w:t xml:space="preserve">при «нової» формі бронхолегеневої дисплазії </w:t>
      </w:r>
      <w:r w:rsidRPr="003005D5">
        <w:rPr>
          <w:rFonts w:ascii="Times New Roman" w:hAnsi="Times New Roman" w:cs="Times New Roman"/>
          <w:sz w:val="28"/>
          <w:szCs w:val="28"/>
          <w:lang w:val="uk-UA"/>
        </w:rPr>
        <w:t xml:space="preserve">більш впливають на </w:t>
      </w:r>
      <w:proofErr w:type="spellStart"/>
      <w:r w:rsidRPr="003005D5">
        <w:rPr>
          <w:rFonts w:ascii="Times New Roman" w:hAnsi="Times New Roman" w:cs="Times New Roman"/>
          <w:sz w:val="28"/>
          <w:szCs w:val="28"/>
          <w:lang w:val="uk-UA"/>
        </w:rPr>
        <w:t>альвеолярізацію</w:t>
      </w:r>
      <w:proofErr w:type="spellEnd"/>
      <w:r w:rsidRPr="003005D5">
        <w:rPr>
          <w:rFonts w:ascii="Times New Roman" w:hAnsi="Times New Roman" w:cs="Times New Roman"/>
          <w:sz w:val="28"/>
          <w:szCs w:val="28"/>
          <w:lang w:val="uk-UA"/>
        </w:rPr>
        <w:t xml:space="preserve"> та </w:t>
      </w:r>
      <w:proofErr w:type="spellStart"/>
      <w:r w:rsidRPr="003005D5">
        <w:rPr>
          <w:rFonts w:ascii="Times New Roman" w:hAnsi="Times New Roman" w:cs="Times New Roman"/>
          <w:sz w:val="28"/>
          <w:szCs w:val="28"/>
          <w:lang w:val="uk-UA"/>
        </w:rPr>
        <w:t>ангіогенез</w:t>
      </w:r>
      <w:proofErr w:type="spellEnd"/>
      <w:r w:rsidRPr="003005D5">
        <w:rPr>
          <w:rFonts w:ascii="Times New Roman" w:hAnsi="Times New Roman" w:cs="Times New Roman"/>
          <w:sz w:val="28"/>
          <w:szCs w:val="28"/>
          <w:lang w:val="uk-UA"/>
        </w:rPr>
        <w:t xml:space="preserve"> легеневої тканини </w:t>
      </w:r>
      <w:r w:rsidR="00BC3D4A" w:rsidRPr="003005D5">
        <w:rPr>
          <w:rFonts w:ascii="Times New Roman" w:hAnsi="Times New Roman" w:cs="Times New Roman"/>
          <w:sz w:val="28"/>
          <w:szCs w:val="28"/>
          <w:lang w:val="uk-UA"/>
        </w:rPr>
        <w:t xml:space="preserve">[1]. </w:t>
      </w:r>
      <w:r w:rsidRPr="003005D5">
        <w:rPr>
          <w:rFonts w:ascii="Times New Roman" w:hAnsi="Times New Roman" w:cs="Times New Roman"/>
          <w:sz w:val="28"/>
          <w:szCs w:val="28"/>
          <w:lang w:val="uk-UA"/>
        </w:rPr>
        <w:t xml:space="preserve"> </w:t>
      </w:r>
      <w:r w:rsidR="002E3AAD">
        <w:rPr>
          <w:rFonts w:ascii="Times New Roman" w:hAnsi="Times New Roman" w:cs="Times New Roman"/>
          <w:sz w:val="28"/>
          <w:szCs w:val="28"/>
          <w:lang w:val="uk-UA"/>
        </w:rPr>
        <w:t xml:space="preserve">Поряд з цим, </w:t>
      </w:r>
      <w:r w:rsidR="001430FA">
        <w:rPr>
          <w:rFonts w:ascii="Times New Roman" w:hAnsi="Times New Roman" w:cs="Times New Roman"/>
          <w:sz w:val="28"/>
          <w:szCs w:val="28"/>
          <w:lang w:val="uk-UA"/>
        </w:rPr>
        <w:t xml:space="preserve">загострення БЛД проходить через </w:t>
      </w:r>
      <w:r w:rsidR="00DD1152" w:rsidRPr="003005D5">
        <w:rPr>
          <w:rFonts w:ascii="Times New Roman" w:hAnsi="Times New Roman" w:cs="Times New Roman"/>
          <w:sz w:val="28"/>
          <w:szCs w:val="28"/>
          <w:lang w:val="uk-UA"/>
        </w:rPr>
        <w:t>єдиний механізм – запалення, з подальшою запрограмованою трансформацією у фіброз через активацію цитокінів (</w:t>
      </w:r>
      <w:r w:rsidR="00DD1152" w:rsidRPr="003005D5">
        <w:rPr>
          <w:rFonts w:ascii="Times New Roman" w:hAnsi="Times New Roman" w:cs="Times New Roman"/>
          <w:sz w:val="28"/>
          <w:szCs w:val="28"/>
        </w:rPr>
        <w:t>TNFα</w:t>
      </w:r>
      <w:r w:rsidR="00DD1152" w:rsidRPr="003005D5">
        <w:rPr>
          <w:rFonts w:ascii="Times New Roman" w:hAnsi="Times New Roman" w:cs="Times New Roman"/>
          <w:sz w:val="28"/>
          <w:szCs w:val="28"/>
          <w:lang w:val="uk-UA"/>
        </w:rPr>
        <w:t xml:space="preserve">, </w:t>
      </w:r>
      <w:r w:rsidR="00DD1152" w:rsidRPr="003005D5">
        <w:rPr>
          <w:rFonts w:ascii="Times New Roman" w:hAnsi="Times New Roman" w:cs="Times New Roman"/>
          <w:sz w:val="28"/>
          <w:szCs w:val="28"/>
        </w:rPr>
        <w:t>IL</w:t>
      </w:r>
      <w:r w:rsidR="00DD1152" w:rsidRPr="003005D5">
        <w:rPr>
          <w:rFonts w:ascii="Times New Roman" w:hAnsi="Times New Roman" w:cs="Times New Roman"/>
          <w:sz w:val="28"/>
          <w:szCs w:val="28"/>
          <w:lang w:val="uk-UA"/>
        </w:rPr>
        <w:t xml:space="preserve">1 </w:t>
      </w:r>
      <w:r w:rsidR="00DD1152" w:rsidRPr="003005D5">
        <w:rPr>
          <w:rFonts w:ascii="Times New Roman" w:hAnsi="Times New Roman" w:cs="Times New Roman"/>
          <w:sz w:val="28"/>
          <w:szCs w:val="28"/>
        </w:rPr>
        <w:t>β</w:t>
      </w:r>
      <w:r w:rsidR="00DD1152" w:rsidRPr="003005D5">
        <w:rPr>
          <w:rFonts w:ascii="Times New Roman" w:hAnsi="Times New Roman" w:cs="Times New Roman"/>
          <w:sz w:val="28"/>
          <w:szCs w:val="28"/>
          <w:lang w:val="uk-UA"/>
        </w:rPr>
        <w:t>,-6,-8) та</w:t>
      </w:r>
      <w:r w:rsidRPr="003005D5">
        <w:rPr>
          <w:rFonts w:ascii="Times New Roman" w:hAnsi="Times New Roman" w:cs="Times New Roman"/>
          <w:sz w:val="28"/>
          <w:szCs w:val="28"/>
          <w:lang w:val="uk-UA"/>
        </w:rPr>
        <w:t xml:space="preserve"> </w:t>
      </w:r>
      <w:proofErr w:type="spellStart"/>
      <w:r w:rsidR="00DD1152" w:rsidRPr="003005D5">
        <w:rPr>
          <w:rFonts w:ascii="Times New Roman" w:hAnsi="Times New Roman" w:cs="Times New Roman"/>
          <w:sz w:val="28"/>
          <w:szCs w:val="28"/>
          <w:lang w:val="uk-UA"/>
        </w:rPr>
        <w:t>індуцібельних</w:t>
      </w:r>
      <w:proofErr w:type="spellEnd"/>
      <w:r w:rsidR="00DD1152" w:rsidRPr="003005D5">
        <w:rPr>
          <w:rFonts w:ascii="Times New Roman" w:hAnsi="Times New Roman" w:cs="Times New Roman"/>
          <w:sz w:val="28"/>
          <w:szCs w:val="28"/>
          <w:lang w:val="uk-UA"/>
        </w:rPr>
        <w:t xml:space="preserve"> ферментів</w:t>
      </w:r>
      <w:r w:rsidR="00BC3D4A" w:rsidRPr="003005D5">
        <w:rPr>
          <w:rFonts w:ascii="Times New Roman" w:hAnsi="Times New Roman" w:cs="Times New Roman"/>
          <w:sz w:val="28"/>
          <w:szCs w:val="28"/>
          <w:lang w:val="uk-UA"/>
        </w:rPr>
        <w:t xml:space="preserve"> [</w:t>
      </w:r>
      <w:r w:rsidR="00EA4B8E">
        <w:rPr>
          <w:rFonts w:ascii="Times New Roman" w:hAnsi="Times New Roman" w:cs="Times New Roman"/>
          <w:sz w:val="28"/>
          <w:szCs w:val="28"/>
          <w:lang w:val="uk-UA"/>
        </w:rPr>
        <w:t>7</w:t>
      </w:r>
      <w:r w:rsidR="00BC3D4A" w:rsidRPr="003005D5">
        <w:rPr>
          <w:rFonts w:ascii="Times New Roman" w:hAnsi="Times New Roman" w:cs="Times New Roman"/>
          <w:sz w:val="28"/>
          <w:szCs w:val="28"/>
          <w:lang w:val="uk-UA"/>
        </w:rPr>
        <w:t xml:space="preserve">]. </w:t>
      </w:r>
      <w:r w:rsidRPr="003005D5">
        <w:rPr>
          <w:rFonts w:ascii="Times New Roman" w:hAnsi="Times New Roman" w:cs="Times New Roman"/>
          <w:sz w:val="28"/>
          <w:szCs w:val="28"/>
          <w:lang w:val="uk-UA"/>
        </w:rPr>
        <w:t xml:space="preserve">При </w:t>
      </w:r>
      <w:proofErr w:type="spellStart"/>
      <w:r w:rsidRPr="003005D5">
        <w:rPr>
          <w:rFonts w:ascii="Times New Roman" w:hAnsi="Times New Roman" w:cs="Times New Roman"/>
          <w:sz w:val="28"/>
          <w:szCs w:val="28"/>
          <w:lang w:val="uk-UA"/>
        </w:rPr>
        <w:t>бронхолегеневій</w:t>
      </w:r>
      <w:proofErr w:type="spellEnd"/>
      <w:r w:rsidRPr="003005D5">
        <w:rPr>
          <w:rFonts w:ascii="Times New Roman" w:hAnsi="Times New Roman" w:cs="Times New Roman"/>
          <w:sz w:val="28"/>
          <w:szCs w:val="28"/>
          <w:lang w:val="uk-UA"/>
        </w:rPr>
        <w:t xml:space="preserve"> дисплазії гостре запалення завжди виникає н</w:t>
      </w:r>
      <w:r w:rsidR="005B099B" w:rsidRPr="003005D5">
        <w:rPr>
          <w:rFonts w:ascii="Times New Roman" w:hAnsi="Times New Roman" w:cs="Times New Roman"/>
          <w:sz w:val="28"/>
          <w:szCs w:val="28"/>
          <w:lang w:val="uk-UA"/>
        </w:rPr>
        <w:t>а тлі хронічного</w:t>
      </w:r>
      <w:r w:rsidRPr="003005D5">
        <w:rPr>
          <w:rFonts w:ascii="Times New Roman" w:hAnsi="Times New Roman" w:cs="Times New Roman"/>
          <w:sz w:val="28"/>
          <w:szCs w:val="28"/>
          <w:lang w:val="uk-UA"/>
        </w:rPr>
        <w:t>, що обумовлює тривалість та тяжкість загострення</w:t>
      </w:r>
      <w:r w:rsidR="00DD1152" w:rsidRPr="003005D5">
        <w:rPr>
          <w:rFonts w:ascii="Times New Roman" w:hAnsi="Times New Roman" w:cs="Times New Roman"/>
          <w:sz w:val="28"/>
          <w:szCs w:val="28"/>
          <w:lang w:val="uk-UA"/>
        </w:rPr>
        <w:t xml:space="preserve">. </w:t>
      </w:r>
      <w:r w:rsidR="009F031D" w:rsidRPr="003005D5">
        <w:rPr>
          <w:rFonts w:ascii="Times New Roman" w:hAnsi="Times New Roman" w:cs="Times New Roman"/>
          <w:sz w:val="28"/>
          <w:szCs w:val="28"/>
          <w:lang w:val="uk-UA"/>
        </w:rPr>
        <w:t>Нарівні з тим у</w:t>
      </w:r>
      <w:r w:rsidR="002E3AAD">
        <w:rPr>
          <w:rFonts w:ascii="Times New Roman" w:hAnsi="Times New Roman" w:cs="Times New Roman"/>
          <w:sz w:val="28"/>
          <w:szCs w:val="28"/>
          <w:lang w:val="uk-UA"/>
        </w:rPr>
        <w:t xml:space="preserve"> хворої на БЛД </w:t>
      </w:r>
      <w:r w:rsidR="009F031D" w:rsidRPr="003005D5">
        <w:rPr>
          <w:rFonts w:ascii="Times New Roman" w:hAnsi="Times New Roman" w:cs="Times New Roman"/>
          <w:sz w:val="28"/>
          <w:szCs w:val="28"/>
          <w:lang w:val="uk-UA"/>
        </w:rPr>
        <w:t xml:space="preserve">до 3-х років ( а за деякими джерелами до 7 років), продовжується </w:t>
      </w:r>
      <w:proofErr w:type="spellStart"/>
      <w:r w:rsidR="009F031D" w:rsidRPr="003005D5">
        <w:rPr>
          <w:rFonts w:ascii="Times New Roman" w:hAnsi="Times New Roman" w:cs="Times New Roman"/>
          <w:sz w:val="28"/>
          <w:szCs w:val="28"/>
          <w:lang w:val="uk-UA"/>
        </w:rPr>
        <w:t>альвеолярізація</w:t>
      </w:r>
      <w:proofErr w:type="spellEnd"/>
      <w:r w:rsidR="009F031D" w:rsidRPr="003005D5">
        <w:rPr>
          <w:rFonts w:ascii="Times New Roman" w:hAnsi="Times New Roman" w:cs="Times New Roman"/>
          <w:sz w:val="28"/>
          <w:szCs w:val="28"/>
          <w:lang w:val="uk-UA"/>
        </w:rPr>
        <w:t xml:space="preserve"> і п</w:t>
      </w:r>
      <w:r w:rsidR="007E0E0D" w:rsidRPr="003005D5">
        <w:rPr>
          <w:rFonts w:ascii="Times New Roman" w:hAnsi="Times New Roman" w:cs="Times New Roman"/>
          <w:sz w:val="28"/>
          <w:szCs w:val="28"/>
          <w:lang w:val="uk-UA"/>
        </w:rPr>
        <w:t>ереважання деструктивних чи репараційних процесів у дрібних бронхах, бронхіолах і альвеолах визначають п</w:t>
      </w:r>
      <w:r w:rsidR="006403E8" w:rsidRPr="003005D5">
        <w:rPr>
          <w:rFonts w:ascii="Times New Roman" w:hAnsi="Times New Roman" w:cs="Times New Roman"/>
          <w:sz w:val="28"/>
          <w:szCs w:val="28"/>
          <w:lang w:val="uk-UA"/>
        </w:rPr>
        <w:t xml:space="preserve">рогноз захворювання. Таким </w:t>
      </w:r>
      <w:r w:rsidR="007E0E0D" w:rsidRPr="003005D5">
        <w:rPr>
          <w:rFonts w:ascii="Times New Roman" w:hAnsi="Times New Roman" w:cs="Times New Roman"/>
          <w:sz w:val="28"/>
          <w:szCs w:val="28"/>
          <w:lang w:val="uk-UA"/>
        </w:rPr>
        <w:t xml:space="preserve">чином, при ведені дитини зі </w:t>
      </w:r>
      <w:r w:rsidR="006403E8" w:rsidRPr="003005D5">
        <w:rPr>
          <w:rFonts w:ascii="Times New Roman" w:hAnsi="Times New Roman" w:cs="Times New Roman"/>
          <w:sz w:val="28"/>
          <w:szCs w:val="28"/>
          <w:lang w:val="uk-UA"/>
        </w:rPr>
        <w:t>сформовано</w:t>
      </w:r>
      <w:r w:rsidR="007E0E0D" w:rsidRPr="003005D5">
        <w:rPr>
          <w:rFonts w:ascii="Times New Roman" w:hAnsi="Times New Roman" w:cs="Times New Roman"/>
          <w:sz w:val="28"/>
          <w:szCs w:val="28"/>
          <w:lang w:val="uk-UA"/>
        </w:rPr>
        <w:t>ю</w:t>
      </w:r>
      <w:r w:rsidR="006403E8" w:rsidRPr="003005D5">
        <w:rPr>
          <w:rFonts w:ascii="Times New Roman" w:hAnsi="Times New Roman" w:cs="Times New Roman"/>
          <w:sz w:val="28"/>
          <w:szCs w:val="28"/>
          <w:lang w:val="uk-UA"/>
        </w:rPr>
        <w:t xml:space="preserve"> БЛД важливо попередження</w:t>
      </w:r>
      <w:r w:rsidR="007E0E0D" w:rsidRPr="003005D5">
        <w:rPr>
          <w:rFonts w:ascii="Times New Roman" w:hAnsi="Times New Roman" w:cs="Times New Roman"/>
          <w:sz w:val="28"/>
          <w:szCs w:val="28"/>
          <w:lang w:val="uk-UA"/>
        </w:rPr>
        <w:t xml:space="preserve"> активації запалення у дистальних відділах респіраторного тракту.  </w:t>
      </w:r>
    </w:p>
    <w:p w:rsidR="00531C74" w:rsidRPr="00CC0D57" w:rsidRDefault="005B099B" w:rsidP="007E0E0D">
      <w:pPr>
        <w:spacing w:after="0" w:line="360" w:lineRule="auto"/>
        <w:ind w:firstLine="708"/>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Т</w:t>
      </w:r>
      <w:r w:rsidR="007E0E0D" w:rsidRPr="003005D5">
        <w:rPr>
          <w:rFonts w:ascii="Times New Roman" w:hAnsi="Times New Roman" w:cs="Times New Roman"/>
          <w:sz w:val="28"/>
          <w:szCs w:val="28"/>
          <w:lang w:val="uk-UA"/>
        </w:rPr>
        <w:t xml:space="preserve">ригером </w:t>
      </w:r>
      <w:r w:rsidR="00027960" w:rsidRPr="003005D5">
        <w:rPr>
          <w:rFonts w:ascii="Times New Roman" w:hAnsi="Times New Roman" w:cs="Times New Roman"/>
          <w:sz w:val="28"/>
          <w:szCs w:val="28"/>
          <w:lang w:val="uk-UA"/>
        </w:rPr>
        <w:t>загострення бронхолегеневої дисплазії</w:t>
      </w:r>
      <w:r w:rsidR="007E0E0D" w:rsidRPr="003005D5">
        <w:rPr>
          <w:rFonts w:ascii="Times New Roman" w:hAnsi="Times New Roman" w:cs="Times New Roman"/>
          <w:sz w:val="28"/>
          <w:szCs w:val="28"/>
          <w:lang w:val="uk-UA"/>
        </w:rPr>
        <w:t xml:space="preserve"> вважаються</w:t>
      </w:r>
      <w:r w:rsidRPr="003005D5">
        <w:rPr>
          <w:rFonts w:ascii="Times New Roman" w:hAnsi="Times New Roman" w:cs="Times New Roman"/>
          <w:sz w:val="28"/>
          <w:szCs w:val="28"/>
          <w:lang w:val="uk-UA"/>
        </w:rPr>
        <w:t xml:space="preserve"> інфекційні агенти, із них 80-90% складають віруси. </w:t>
      </w:r>
      <w:r w:rsidR="00BC3D4A" w:rsidRPr="003005D5">
        <w:rPr>
          <w:rFonts w:ascii="Times New Roman" w:hAnsi="Times New Roman" w:cs="Times New Roman"/>
          <w:sz w:val="28"/>
          <w:szCs w:val="28"/>
          <w:lang w:val="uk-UA"/>
        </w:rPr>
        <w:t>В</w:t>
      </w:r>
      <w:r w:rsidR="00531C74" w:rsidRPr="003005D5">
        <w:rPr>
          <w:rFonts w:ascii="Times New Roman" w:hAnsi="Times New Roman" w:cs="Times New Roman"/>
          <w:sz w:val="28"/>
          <w:szCs w:val="28"/>
          <w:lang w:val="uk-UA"/>
        </w:rPr>
        <w:t xml:space="preserve"> аспекті особливостей </w:t>
      </w:r>
      <w:r w:rsidR="00C1050E" w:rsidRPr="003005D5">
        <w:rPr>
          <w:rFonts w:ascii="Times New Roman" w:hAnsi="Times New Roman" w:cs="Times New Roman"/>
          <w:sz w:val="28"/>
          <w:szCs w:val="28"/>
          <w:lang w:val="uk-UA"/>
        </w:rPr>
        <w:t xml:space="preserve">імунітету </w:t>
      </w:r>
      <w:r w:rsidR="00531C74" w:rsidRPr="003005D5">
        <w:rPr>
          <w:rFonts w:ascii="Times New Roman" w:hAnsi="Times New Roman" w:cs="Times New Roman"/>
          <w:sz w:val="28"/>
          <w:szCs w:val="28"/>
          <w:lang w:val="uk-UA"/>
        </w:rPr>
        <w:t xml:space="preserve">дитини з бронхолегеневою дисплазією, як </w:t>
      </w:r>
      <w:r w:rsidR="00C1050E" w:rsidRPr="003005D5">
        <w:rPr>
          <w:rFonts w:ascii="Times New Roman" w:hAnsi="Times New Roman" w:cs="Times New Roman"/>
          <w:sz w:val="28"/>
          <w:szCs w:val="28"/>
          <w:lang w:val="uk-UA"/>
        </w:rPr>
        <w:t xml:space="preserve">недоношеної </w:t>
      </w:r>
      <w:r w:rsidR="009F031D" w:rsidRPr="003005D5">
        <w:rPr>
          <w:rFonts w:ascii="Times New Roman" w:hAnsi="Times New Roman" w:cs="Times New Roman"/>
          <w:sz w:val="28"/>
          <w:szCs w:val="28"/>
          <w:lang w:val="uk-UA"/>
        </w:rPr>
        <w:t xml:space="preserve">з </w:t>
      </w:r>
      <w:r w:rsidR="00531C74" w:rsidRPr="003005D5">
        <w:rPr>
          <w:rFonts w:ascii="Times New Roman" w:hAnsi="Times New Roman" w:cs="Times New Roman"/>
          <w:sz w:val="28"/>
          <w:szCs w:val="28"/>
          <w:lang w:val="uk-UA"/>
        </w:rPr>
        <w:t xml:space="preserve"> хронічн</w:t>
      </w:r>
      <w:r w:rsidR="009F031D" w:rsidRPr="003005D5">
        <w:rPr>
          <w:rFonts w:ascii="Times New Roman" w:hAnsi="Times New Roman" w:cs="Times New Roman"/>
          <w:sz w:val="28"/>
          <w:szCs w:val="28"/>
          <w:lang w:val="uk-UA"/>
        </w:rPr>
        <w:t>им</w:t>
      </w:r>
      <w:r w:rsidR="00531C74" w:rsidRPr="003005D5">
        <w:rPr>
          <w:rFonts w:ascii="Times New Roman" w:hAnsi="Times New Roman" w:cs="Times New Roman"/>
          <w:sz w:val="28"/>
          <w:szCs w:val="28"/>
          <w:lang w:val="uk-UA"/>
        </w:rPr>
        <w:t xml:space="preserve"> </w:t>
      </w:r>
      <w:proofErr w:type="spellStart"/>
      <w:r w:rsidR="00531C74" w:rsidRPr="003005D5">
        <w:rPr>
          <w:rFonts w:ascii="Times New Roman" w:hAnsi="Times New Roman" w:cs="Times New Roman"/>
          <w:sz w:val="28"/>
          <w:szCs w:val="28"/>
          <w:lang w:val="uk-UA"/>
        </w:rPr>
        <w:t>бронхолегенев</w:t>
      </w:r>
      <w:r w:rsidR="009F031D" w:rsidRPr="003005D5">
        <w:rPr>
          <w:rFonts w:ascii="Times New Roman" w:hAnsi="Times New Roman" w:cs="Times New Roman"/>
          <w:sz w:val="28"/>
          <w:szCs w:val="28"/>
          <w:lang w:val="uk-UA"/>
        </w:rPr>
        <w:t>им</w:t>
      </w:r>
      <w:proofErr w:type="spellEnd"/>
      <w:r w:rsidR="00531C74" w:rsidRPr="003005D5">
        <w:rPr>
          <w:rFonts w:ascii="Times New Roman" w:hAnsi="Times New Roman" w:cs="Times New Roman"/>
          <w:sz w:val="28"/>
          <w:szCs w:val="28"/>
          <w:lang w:val="uk-UA"/>
        </w:rPr>
        <w:t xml:space="preserve"> захворювання</w:t>
      </w:r>
      <w:r w:rsidR="009F031D" w:rsidRPr="003005D5">
        <w:rPr>
          <w:rFonts w:ascii="Times New Roman" w:hAnsi="Times New Roman" w:cs="Times New Roman"/>
          <w:sz w:val="28"/>
          <w:szCs w:val="28"/>
          <w:lang w:val="uk-UA"/>
        </w:rPr>
        <w:t>м</w:t>
      </w:r>
      <w:r w:rsidR="00531C74" w:rsidRPr="003005D5">
        <w:rPr>
          <w:rFonts w:ascii="Times New Roman" w:hAnsi="Times New Roman" w:cs="Times New Roman"/>
          <w:sz w:val="28"/>
          <w:szCs w:val="28"/>
          <w:lang w:val="uk-UA"/>
        </w:rPr>
        <w:t>, в періоді становлення імунної системи</w:t>
      </w:r>
      <w:r w:rsidR="00BC3D4A" w:rsidRPr="003005D5">
        <w:rPr>
          <w:rFonts w:ascii="Times New Roman" w:hAnsi="Times New Roman" w:cs="Times New Roman"/>
          <w:sz w:val="28"/>
          <w:szCs w:val="28"/>
          <w:lang w:val="uk-UA"/>
        </w:rPr>
        <w:t xml:space="preserve"> згадується висловлювання Л.Пастера </w:t>
      </w:r>
      <w:r w:rsidR="00BC3D4A" w:rsidRPr="003005D5">
        <w:rPr>
          <w:rFonts w:ascii="Times New Roman" w:hAnsi="Times New Roman" w:cs="Times New Roman"/>
          <w:i/>
          <w:sz w:val="28"/>
          <w:szCs w:val="28"/>
          <w:lang w:val="uk-UA"/>
        </w:rPr>
        <w:t>«</w:t>
      </w:r>
      <w:proofErr w:type="spellStart"/>
      <w:r w:rsidR="00BC3D4A" w:rsidRPr="00CC0D57">
        <w:rPr>
          <w:rFonts w:ascii="Times New Roman" w:hAnsi="Times New Roman" w:cs="Times New Roman"/>
          <w:i/>
          <w:sz w:val="28"/>
          <w:szCs w:val="28"/>
          <w:lang w:val="uk-UA"/>
        </w:rPr>
        <w:t>Микроб-</w:t>
      </w:r>
      <w:proofErr w:type="spellEnd"/>
      <w:r w:rsidR="00BC3D4A" w:rsidRPr="00CC0D57">
        <w:rPr>
          <w:rFonts w:ascii="Times New Roman" w:hAnsi="Times New Roman" w:cs="Times New Roman"/>
          <w:i/>
          <w:sz w:val="28"/>
          <w:szCs w:val="28"/>
          <w:lang w:val="uk-UA"/>
        </w:rPr>
        <w:t xml:space="preserve"> </w:t>
      </w:r>
      <w:proofErr w:type="spellStart"/>
      <w:r w:rsidR="00BC3D4A" w:rsidRPr="00CC0D57">
        <w:rPr>
          <w:rFonts w:ascii="Times New Roman" w:hAnsi="Times New Roman" w:cs="Times New Roman"/>
          <w:i/>
          <w:sz w:val="28"/>
          <w:szCs w:val="28"/>
          <w:lang w:val="uk-UA"/>
        </w:rPr>
        <w:t>ничто</w:t>
      </w:r>
      <w:proofErr w:type="spellEnd"/>
      <w:r w:rsidR="00BC3D4A" w:rsidRPr="00CC0D57">
        <w:rPr>
          <w:rFonts w:ascii="Times New Roman" w:hAnsi="Times New Roman" w:cs="Times New Roman"/>
          <w:i/>
          <w:sz w:val="28"/>
          <w:szCs w:val="28"/>
          <w:lang w:val="uk-UA"/>
        </w:rPr>
        <w:t>, субстрат – все»</w:t>
      </w:r>
      <w:r w:rsidR="00531C74" w:rsidRPr="00CC0D57">
        <w:rPr>
          <w:rFonts w:ascii="Times New Roman" w:hAnsi="Times New Roman" w:cs="Times New Roman"/>
          <w:sz w:val="28"/>
          <w:szCs w:val="28"/>
          <w:lang w:val="uk-UA"/>
        </w:rPr>
        <w:t xml:space="preserve">. </w:t>
      </w:r>
    </w:p>
    <w:p w:rsidR="00633A00" w:rsidRPr="003005D5" w:rsidRDefault="00AC6DAA" w:rsidP="00023CDE">
      <w:pPr>
        <w:spacing w:after="0" w:line="360" w:lineRule="auto"/>
        <w:ind w:firstLine="708"/>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Розглянемо особливості імунної системи дитини, що народилась недоношеною</w:t>
      </w:r>
      <w:r w:rsidR="00B02549" w:rsidRPr="003005D5">
        <w:rPr>
          <w:rFonts w:ascii="Times New Roman" w:hAnsi="Times New Roman" w:cs="Times New Roman"/>
          <w:sz w:val="28"/>
          <w:szCs w:val="28"/>
          <w:lang w:val="uk-UA"/>
        </w:rPr>
        <w:t xml:space="preserve">. Так, у недоношених немає достатньої кількості </w:t>
      </w:r>
      <w:proofErr w:type="spellStart"/>
      <w:r w:rsidR="00B02549" w:rsidRPr="003005D5">
        <w:rPr>
          <w:rFonts w:ascii="Times New Roman" w:hAnsi="Times New Roman" w:cs="Times New Roman"/>
          <w:sz w:val="28"/>
          <w:szCs w:val="28"/>
          <w:lang w:val="uk-UA"/>
        </w:rPr>
        <w:t>гранулоцитарних</w:t>
      </w:r>
      <w:proofErr w:type="spellEnd"/>
      <w:r w:rsidR="00B02549" w:rsidRPr="003005D5">
        <w:rPr>
          <w:rFonts w:ascii="Times New Roman" w:hAnsi="Times New Roman" w:cs="Times New Roman"/>
          <w:sz w:val="28"/>
          <w:szCs w:val="28"/>
          <w:lang w:val="uk-UA"/>
        </w:rPr>
        <w:t xml:space="preserve"> попередників </w:t>
      </w:r>
      <w:r w:rsidR="00146B69" w:rsidRPr="003005D5">
        <w:rPr>
          <w:rFonts w:ascii="Times New Roman" w:hAnsi="Times New Roman" w:cs="Times New Roman"/>
          <w:sz w:val="28"/>
          <w:szCs w:val="28"/>
          <w:lang w:val="uk-UA"/>
        </w:rPr>
        <w:t>у кістковому моз</w:t>
      </w:r>
      <w:r w:rsidR="00633A00" w:rsidRPr="003005D5">
        <w:rPr>
          <w:rFonts w:ascii="Times New Roman" w:hAnsi="Times New Roman" w:cs="Times New Roman"/>
          <w:sz w:val="28"/>
          <w:szCs w:val="28"/>
          <w:lang w:val="uk-UA"/>
        </w:rPr>
        <w:t xml:space="preserve">ку та </w:t>
      </w:r>
      <w:r w:rsidR="00146B69" w:rsidRPr="003005D5">
        <w:rPr>
          <w:rFonts w:ascii="Times New Roman" w:hAnsi="Times New Roman" w:cs="Times New Roman"/>
          <w:sz w:val="28"/>
          <w:szCs w:val="28"/>
          <w:lang w:val="uk-UA"/>
        </w:rPr>
        <w:t xml:space="preserve">різко знижений резервний пул гранулоцитів. Тому при випадку значної потреби у гранулоцитах частіше спостерігається </w:t>
      </w:r>
      <w:proofErr w:type="spellStart"/>
      <w:r w:rsidR="00146B69" w:rsidRPr="003005D5">
        <w:rPr>
          <w:rFonts w:ascii="Times New Roman" w:hAnsi="Times New Roman" w:cs="Times New Roman"/>
          <w:sz w:val="28"/>
          <w:szCs w:val="28"/>
          <w:lang w:val="uk-UA"/>
        </w:rPr>
        <w:t>нейтропенія</w:t>
      </w:r>
      <w:proofErr w:type="spellEnd"/>
      <w:r w:rsidR="00146B69" w:rsidRPr="003005D5">
        <w:rPr>
          <w:rFonts w:ascii="Times New Roman" w:hAnsi="Times New Roman" w:cs="Times New Roman"/>
          <w:sz w:val="28"/>
          <w:szCs w:val="28"/>
          <w:lang w:val="uk-UA"/>
        </w:rPr>
        <w:t xml:space="preserve">. Гранулоцити та моноцити дитини народженою передчасно  відрізняються низькою </w:t>
      </w:r>
      <w:proofErr w:type="spellStart"/>
      <w:r w:rsidR="00146B69" w:rsidRPr="003005D5">
        <w:rPr>
          <w:rFonts w:ascii="Times New Roman" w:hAnsi="Times New Roman" w:cs="Times New Roman"/>
          <w:sz w:val="28"/>
          <w:szCs w:val="28"/>
          <w:lang w:val="uk-UA"/>
        </w:rPr>
        <w:t>хемотаксичною</w:t>
      </w:r>
      <w:proofErr w:type="spellEnd"/>
      <w:r w:rsidR="00146B69" w:rsidRPr="003005D5">
        <w:rPr>
          <w:rFonts w:ascii="Times New Roman" w:hAnsi="Times New Roman" w:cs="Times New Roman"/>
          <w:sz w:val="28"/>
          <w:szCs w:val="28"/>
          <w:lang w:val="uk-UA"/>
        </w:rPr>
        <w:t xml:space="preserve"> активністю та підвищеною </w:t>
      </w:r>
      <w:proofErr w:type="spellStart"/>
      <w:r w:rsidR="00146B69" w:rsidRPr="003005D5">
        <w:rPr>
          <w:rFonts w:ascii="Times New Roman" w:hAnsi="Times New Roman" w:cs="Times New Roman"/>
          <w:sz w:val="28"/>
          <w:szCs w:val="28"/>
          <w:lang w:val="uk-UA"/>
        </w:rPr>
        <w:t>адгезивністю</w:t>
      </w:r>
      <w:proofErr w:type="spellEnd"/>
      <w:r w:rsidR="00146B69" w:rsidRPr="003005D5">
        <w:rPr>
          <w:rFonts w:ascii="Times New Roman" w:hAnsi="Times New Roman" w:cs="Times New Roman"/>
          <w:sz w:val="28"/>
          <w:szCs w:val="28"/>
          <w:lang w:val="uk-UA"/>
        </w:rPr>
        <w:t xml:space="preserve">. Знижену здатність </w:t>
      </w:r>
      <w:r w:rsidR="00892C89" w:rsidRPr="003005D5">
        <w:rPr>
          <w:rFonts w:ascii="Times New Roman" w:hAnsi="Times New Roman" w:cs="Times New Roman"/>
          <w:sz w:val="28"/>
          <w:szCs w:val="28"/>
          <w:lang w:val="uk-UA"/>
        </w:rPr>
        <w:t>фагоцитів</w:t>
      </w:r>
      <w:r w:rsidR="00633A00" w:rsidRPr="003005D5">
        <w:rPr>
          <w:rFonts w:ascii="Times New Roman" w:hAnsi="Times New Roman" w:cs="Times New Roman"/>
          <w:sz w:val="28"/>
          <w:szCs w:val="28"/>
          <w:lang w:val="uk-UA"/>
        </w:rPr>
        <w:t xml:space="preserve"> до </w:t>
      </w:r>
      <w:proofErr w:type="spellStart"/>
      <w:r w:rsidR="00633A00" w:rsidRPr="003005D5">
        <w:rPr>
          <w:rFonts w:ascii="Times New Roman" w:hAnsi="Times New Roman" w:cs="Times New Roman"/>
          <w:sz w:val="28"/>
          <w:szCs w:val="28"/>
          <w:lang w:val="uk-UA"/>
        </w:rPr>
        <w:t>трансе</w:t>
      </w:r>
      <w:r w:rsidR="00146B69" w:rsidRPr="003005D5">
        <w:rPr>
          <w:rFonts w:ascii="Times New Roman" w:hAnsi="Times New Roman" w:cs="Times New Roman"/>
          <w:sz w:val="28"/>
          <w:szCs w:val="28"/>
          <w:lang w:val="uk-UA"/>
        </w:rPr>
        <w:t>ндотеліальної</w:t>
      </w:r>
      <w:proofErr w:type="spellEnd"/>
      <w:r w:rsidR="00146B69" w:rsidRPr="003005D5">
        <w:rPr>
          <w:rFonts w:ascii="Times New Roman" w:hAnsi="Times New Roman" w:cs="Times New Roman"/>
          <w:sz w:val="28"/>
          <w:szCs w:val="28"/>
          <w:lang w:val="uk-UA"/>
        </w:rPr>
        <w:t xml:space="preserve"> міграції зв’язують з наявністю більш «жорсткої» </w:t>
      </w:r>
      <w:r w:rsidR="001430FA">
        <w:rPr>
          <w:rFonts w:ascii="Times New Roman" w:hAnsi="Times New Roman" w:cs="Times New Roman"/>
          <w:sz w:val="28"/>
          <w:szCs w:val="28"/>
          <w:lang w:val="uk-UA"/>
        </w:rPr>
        <w:t xml:space="preserve">збіднені </w:t>
      </w:r>
      <w:r w:rsidR="001430FA" w:rsidRPr="003005D5">
        <w:rPr>
          <w:rFonts w:ascii="Times New Roman" w:hAnsi="Times New Roman" w:cs="Times New Roman"/>
          <w:sz w:val="28"/>
          <w:szCs w:val="28"/>
          <w:lang w:val="uk-UA"/>
        </w:rPr>
        <w:t>ненасичени</w:t>
      </w:r>
      <w:r w:rsidR="001430FA">
        <w:rPr>
          <w:rFonts w:ascii="Times New Roman" w:hAnsi="Times New Roman" w:cs="Times New Roman"/>
          <w:sz w:val="28"/>
          <w:szCs w:val="28"/>
          <w:lang w:val="uk-UA"/>
        </w:rPr>
        <w:t>ми</w:t>
      </w:r>
      <w:r w:rsidR="001430FA" w:rsidRPr="003005D5">
        <w:rPr>
          <w:rFonts w:ascii="Times New Roman" w:hAnsi="Times New Roman" w:cs="Times New Roman"/>
          <w:sz w:val="28"/>
          <w:szCs w:val="28"/>
          <w:lang w:val="uk-UA"/>
        </w:rPr>
        <w:t xml:space="preserve"> жирни</w:t>
      </w:r>
      <w:r w:rsidR="001430FA">
        <w:rPr>
          <w:rFonts w:ascii="Times New Roman" w:hAnsi="Times New Roman" w:cs="Times New Roman"/>
          <w:sz w:val="28"/>
          <w:szCs w:val="28"/>
          <w:lang w:val="uk-UA"/>
        </w:rPr>
        <w:t>ми</w:t>
      </w:r>
      <w:r w:rsidR="001430FA" w:rsidRPr="003005D5">
        <w:rPr>
          <w:rFonts w:ascii="Times New Roman" w:hAnsi="Times New Roman" w:cs="Times New Roman"/>
          <w:sz w:val="28"/>
          <w:szCs w:val="28"/>
          <w:lang w:val="uk-UA"/>
        </w:rPr>
        <w:t xml:space="preserve"> кислот</w:t>
      </w:r>
      <w:r w:rsidR="001430FA">
        <w:rPr>
          <w:rFonts w:ascii="Times New Roman" w:hAnsi="Times New Roman" w:cs="Times New Roman"/>
          <w:sz w:val="28"/>
          <w:szCs w:val="28"/>
          <w:lang w:val="uk-UA"/>
        </w:rPr>
        <w:t>ами</w:t>
      </w:r>
      <w:r w:rsidR="001430FA" w:rsidRPr="003005D5">
        <w:rPr>
          <w:rFonts w:ascii="Times New Roman" w:hAnsi="Times New Roman" w:cs="Times New Roman"/>
          <w:sz w:val="28"/>
          <w:szCs w:val="28"/>
          <w:lang w:val="uk-UA"/>
        </w:rPr>
        <w:t xml:space="preserve"> </w:t>
      </w:r>
      <w:r w:rsidR="00146B69" w:rsidRPr="003005D5">
        <w:rPr>
          <w:rFonts w:ascii="Times New Roman" w:hAnsi="Times New Roman" w:cs="Times New Roman"/>
          <w:sz w:val="28"/>
          <w:szCs w:val="28"/>
          <w:lang w:val="uk-UA"/>
        </w:rPr>
        <w:t>мембрани</w:t>
      </w:r>
      <w:r w:rsidR="001430FA">
        <w:rPr>
          <w:rFonts w:ascii="Times New Roman" w:hAnsi="Times New Roman" w:cs="Times New Roman"/>
          <w:sz w:val="28"/>
          <w:szCs w:val="28"/>
          <w:lang w:val="uk-UA"/>
        </w:rPr>
        <w:t xml:space="preserve">. </w:t>
      </w:r>
      <w:r w:rsidR="00633A00" w:rsidRPr="003005D5">
        <w:rPr>
          <w:rFonts w:ascii="Times New Roman" w:hAnsi="Times New Roman" w:cs="Times New Roman"/>
          <w:sz w:val="28"/>
          <w:szCs w:val="28"/>
          <w:lang w:val="uk-UA"/>
        </w:rPr>
        <w:t xml:space="preserve">Визначена </w:t>
      </w:r>
      <w:r w:rsidR="00633A00" w:rsidRPr="003005D5">
        <w:rPr>
          <w:rFonts w:ascii="Times New Roman" w:hAnsi="Times New Roman" w:cs="Times New Roman"/>
          <w:sz w:val="28"/>
          <w:szCs w:val="28"/>
          <w:lang w:val="uk-UA"/>
        </w:rPr>
        <w:lastRenderedPageBreak/>
        <w:t>н</w:t>
      </w:r>
      <w:r w:rsidR="00146B69" w:rsidRPr="003005D5">
        <w:rPr>
          <w:rFonts w:ascii="Times New Roman" w:hAnsi="Times New Roman" w:cs="Times New Roman"/>
          <w:sz w:val="28"/>
          <w:szCs w:val="28"/>
          <w:lang w:val="uk-UA"/>
        </w:rPr>
        <w:t xml:space="preserve">едостатня секреція </w:t>
      </w:r>
      <w:proofErr w:type="spellStart"/>
      <w:r w:rsidR="00146B69" w:rsidRPr="003005D5">
        <w:rPr>
          <w:rFonts w:ascii="Times New Roman" w:hAnsi="Times New Roman" w:cs="Times New Roman"/>
          <w:sz w:val="28"/>
          <w:szCs w:val="28"/>
          <w:lang w:val="uk-UA"/>
        </w:rPr>
        <w:t>лізосо</w:t>
      </w:r>
      <w:r w:rsidR="00892C89" w:rsidRPr="003005D5">
        <w:rPr>
          <w:rFonts w:ascii="Times New Roman" w:hAnsi="Times New Roman" w:cs="Times New Roman"/>
          <w:sz w:val="28"/>
          <w:szCs w:val="28"/>
          <w:lang w:val="uk-UA"/>
        </w:rPr>
        <w:t>м</w:t>
      </w:r>
      <w:r w:rsidR="00146B69" w:rsidRPr="003005D5">
        <w:rPr>
          <w:rFonts w:ascii="Times New Roman" w:hAnsi="Times New Roman" w:cs="Times New Roman"/>
          <w:sz w:val="28"/>
          <w:szCs w:val="28"/>
          <w:lang w:val="uk-UA"/>
        </w:rPr>
        <w:t>альн</w:t>
      </w:r>
      <w:r w:rsidR="00892C89" w:rsidRPr="003005D5">
        <w:rPr>
          <w:rFonts w:ascii="Times New Roman" w:hAnsi="Times New Roman" w:cs="Times New Roman"/>
          <w:sz w:val="28"/>
          <w:szCs w:val="28"/>
          <w:lang w:val="uk-UA"/>
        </w:rPr>
        <w:t>о-</w:t>
      </w:r>
      <w:r w:rsidR="00146B69" w:rsidRPr="003005D5">
        <w:rPr>
          <w:rFonts w:ascii="Times New Roman" w:hAnsi="Times New Roman" w:cs="Times New Roman"/>
          <w:sz w:val="28"/>
          <w:szCs w:val="28"/>
          <w:lang w:val="uk-UA"/>
        </w:rPr>
        <w:t>катіонних</w:t>
      </w:r>
      <w:proofErr w:type="spellEnd"/>
      <w:r w:rsidR="00146B69" w:rsidRPr="003005D5">
        <w:rPr>
          <w:rFonts w:ascii="Times New Roman" w:hAnsi="Times New Roman" w:cs="Times New Roman"/>
          <w:sz w:val="28"/>
          <w:szCs w:val="28"/>
          <w:lang w:val="uk-UA"/>
        </w:rPr>
        <w:t xml:space="preserve"> протеїнів нарівні з високою здатністю до генерації </w:t>
      </w:r>
      <w:r w:rsidR="00892C89" w:rsidRPr="003005D5">
        <w:rPr>
          <w:rFonts w:ascii="Times New Roman" w:hAnsi="Times New Roman" w:cs="Times New Roman"/>
          <w:sz w:val="28"/>
          <w:szCs w:val="28"/>
          <w:lang w:val="uk-UA"/>
        </w:rPr>
        <w:t xml:space="preserve">кисню </w:t>
      </w:r>
      <w:r w:rsidR="00146B69" w:rsidRPr="003005D5">
        <w:rPr>
          <w:rFonts w:ascii="Times New Roman" w:hAnsi="Times New Roman" w:cs="Times New Roman"/>
          <w:sz w:val="28"/>
          <w:szCs w:val="28"/>
          <w:lang w:val="uk-UA"/>
        </w:rPr>
        <w:t>фагоцитами</w:t>
      </w:r>
      <w:r w:rsidR="00892C89" w:rsidRPr="003005D5">
        <w:rPr>
          <w:rFonts w:ascii="Times New Roman" w:hAnsi="Times New Roman" w:cs="Times New Roman"/>
          <w:sz w:val="28"/>
          <w:szCs w:val="28"/>
          <w:lang w:val="uk-UA"/>
        </w:rPr>
        <w:t>. Фагоцитарна функція</w:t>
      </w:r>
      <w:r w:rsidR="00146B69" w:rsidRPr="003005D5">
        <w:rPr>
          <w:rFonts w:ascii="Times New Roman" w:hAnsi="Times New Roman" w:cs="Times New Roman"/>
          <w:sz w:val="28"/>
          <w:szCs w:val="28"/>
          <w:lang w:val="uk-UA"/>
        </w:rPr>
        <w:t xml:space="preserve"> </w:t>
      </w:r>
      <w:r w:rsidR="00892C89" w:rsidRPr="003005D5">
        <w:rPr>
          <w:rFonts w:ascii="Times New Roman" w:hAnsi="Times New Roman" w:cs="Times New Roman"/>
          <w:sz w:val="28"/>
          <w:szCs w:val="28"/>
          <w:lang w:val="uk-UA"/>
        </w:rPr>
        <w:t xml:space="preserve">відрізняється </w:t>
      </w:r>
      <w:r w:rsidR="00146B69" w:rsidRPr="003005D5">
        <w:rPr>
          <w:rFonts w:ascii="Times New Roman" w:hAnsi="Times New Roman" w:cs="Times New Roman"/>
          <w:sz w:val="28"/>
          <w:szCs w:val="28"/>
          <w:lang w:val="uk-UA"/>
        </w:rPr>
        <w:t>незавершеніст</w:t>
      </w:r>
      <w:r w:rsidR="00892C89" w:rsidRPr="003005D5">
        <w:rPr>
          <w:rFonts w:ascii="Times New Roman" w:hAnsi="Times New Roman" w:cs="Times New Roman"/>
          <w:sz w:val="28"/>
          <w:szCs w:val="28"/>
          <w:lang w:val="uk-UA"/>
        </w:rPr>
        <w:t>ю</w:t>
      </w:r>
      <w:r w:rsidR="00146B69" w:rsidRPr="003005D5">
        <w:rPr>
          <w:rFonts w:ascii="Times New Roman" w:hAnsi="Times New Roman" w:cs="Times New Roman"/>
          <w:sz w:val="28"/>
          <w:szCs w:val="28"/>
          <w:lang w:val="uk-UA"/>
        </w:rPr>
        <w:t xml:space="preserve"> </w:t>
      </w:r>
      <w:proofErr w:type="spellStart"/>
      <w:r w:rsidR="00146B69" w:rsidRPr="003005D5">
        <w:rPr>
          <w:rFonts w:ascii="Times New Roman" w:hAnsi="Times New Roman" w:cs="Times New Roman"/>
          <w:sz w:val="28"/>
          <w:szCs w:val="28"/>
          <w:lang w:val="uk-UA"/>
        </w:rPr>
        <w:t>процесингу</w:t>
      </w:r>
      <w:proofErr w:type="spellEnd"/>
      <w:r w:rsidR="00892C89" w:rsidRPr="003005D5">
        <w:rPr>
          <w:rFonts w:ascii="Times New Roman" w:hAnsi="Times New Roman" w:cs="Times New Roman"/>
          <w:sz w:val="28"/>
          <w:szCs w:val="28"/>
          <w:lang w:val="uk-UA"/>
        </w:rPr>
        <w:t xml:space="preserve"> та порушенням </w:t>
      </w:r>
      <w:r w:rsidR="00892C89" w:rsidRPr="003005D5">
        <w:rPr>
          <w:rFonts w:ascii="Times New Roman" w:hAnsi="Times New Roman" w:cs="Times New Roman"/>
          <w:sz w:val="28"/>
          <w:szCs w:val="28"/>
          <w:lang w:val="en-US"/>
        </w:rPr>
        <w:t>HLA</w:t>
      </w:r>
      <w:proofErr w:type="spellStart"/>
      <w:r w:rsidR="00892C89" w:rsidRPr="003005D5">
        <w:rPr>
          <w:rFonts w:ascii="Times New Roman" w:hAnsi="Times New Roman" w:cs="Times New Roman"/>
          <w:sz w:val="28"/>
          <w:szCs w:val="28"/>
          <w:lang w:val="uk-UA"/>
        </w:rPr>
        <w:t>-презентації</w:t>
      </w:r>
      <w:proofErr w:type="spellEnd"/>
      <w:r w:rsidR="00892C89" w:rsidRPr="003005D5">
        <w:rPr>
          <w:rFonts w:ascii="Times New Roman" w:hAnsi="Times New Roman" w:cs="Times New Roman"/>
          <w:sz w:val="28"/>
          <w:szCs w:val="28"/>
          <w:lang w:val="uk-UA"/>
        </w:rPr>
        <w:t xml:space="preserve"> для формування придбаної імунної відповіді</w:t>
      </w:r>
      <w:r w:rsidR="00BC3D4A" w:rsidRPr="003005D5">
        <w:rPr>
          <w:rFonts w:ascii="Times New Roman" w:hAnsi="Times New Roman" w:cs="Times New Roman"/>
          <w:sz w:val="28"/>
          <w:szCs w:val="28"/>
          <w:lang w:val="uk-UA"/>
        </w:rPr>
        <w:t xml:space="preserve"> [</w:t>
      </w:r>
      <w:r w:rsidR="00EA4B8E">
        <w:rPr>
          <w:rFonts w:ascii="Times New Roman" w:hAnsi="Times New Roman" w:cs="Times New Roman"/>
          <w:sz w:val="28"/>
          <w:szCs w:val="28"/>
          <w:lang w:val="uk-UA"/>
        </w:rPr>
        <w:t>10</w:t>
      </w:r>
      <w:r w:rsidR="00BC3D4A" w:rsidRPr="003005D5">
        <w:rPr>
          <w:rFonts w:ascii="Times New Roman" w:hAnsi="Times New Roman" w:cs="Times New Roman"/>
          <w:sz w:val="28"/>
          <w:szCs w:val="28"/>
          <w:lang w:val="uk-UA"/>
        </w:rPr>
        <w:t>]</w:t>
      </w:r>
      <w:r w:rsidR="00892C89" w:rsidRPr="003005D5">
        <w:rPr>
          <w:rFonts w:ascii="Times New Roman" w:hAnsi="Times New Roman" w:cs="Times New Roman"/>
          <w:sz w:val="28"/>
          <w:szCs w:val="28"/>
          <w:lang w:val="uk-UA"/>
        </w:rPr>
        <w:t xml:space="preserve">. Можливо що </w:t>
      </w:r>
      <w:r w:rsidR="00633A00" w:rsidRPr="003005D5">
        <w:rPr>
          <w:rFonts w:ascii="Times New Roman" w:hAnsi="Times New Roman" w:cs="Times New Roman"/>
          <w:sz w:val="28"/>
          <w:szCs w:val="28"/>
          <w:lang w:val="uk-UA"/>
        </w:rPr>
        <w:t>захисна</w:t>
      </w:r>
      <w:r w:rsidR="00892C89" w:rsidRPr="003005D5">
        <w:rPr>
          <w:rFonts w:ascii="Times New Roman" w:hAnsi="Times New Roman" w:cs="Times New Roman"/>
          <w:sz w:val="28"/>
          <w:szCs w:val="28"/>
          <w:lang w:val="uk-UA"/>
        </w:rPr>
        <w:t xml:space="preserve"> роль фагоцитоз</w:t>
      </w:r>
      <w:r w:rsidR="00633A00" w:rsidRPr="003005D5">
        <w:rPr>
          <w:rFonts w:ascii="Times New Roman" w:hAnsi="Times New Roman" w:cs="Times New Roman"/>
          <w:sz w:val="28"/>
          <w:szCs w:val="28"/>
          <w:lang w:val="uk-UA"/>
        </w:rPr>
        <w:t>у</w:t>
      </w:r>
      <w:r w:rsidR="00892C89" w:rsidRPr="003005D5">
        <w:rPr>
          <w:rFonts w:ascii="Times New Roman" w:hAnsi="Times New Roman" w:cs="Times New Roman"/>
          <w:sz w:val="28"/>
          <w:szCs w:val="28"/>
          <w:lang w:val="uk-UA"/>
        </w:rPr>
        <w:t xml:space="preserve"> лімітується дефектністю</w:t>
      </w:r>
      <w:r w:rsidR="00633A00" w:rsidRPr="003005D5">
        <w:rPr>
          <w:rFonts w:ascii="Times New Roman" w:hAnsi="Times New Roman" w:cs="Times New Roman"/>
          <w:sz w:val="28"/>
          <w:szCs w:val="28"/>
          <w:lang w:val="uk-UA"/>
        </w:rPr>
        <w:t xml:space="preserve"> механізмів </w:t>
      </w:r>
      <w:proofErr w:type="spellStart"/>
      <w:r w:rsidR="00633A00" w:rsidRPr="003005D5">
        <w:rPr>
          <w:rFonts w:ascii="Times New Roman" w:hAnsi="Times New Roman" w:cs="Times New Roman"/>
          <w:sz w:val="28"/>
          <w:szCs w:val="28"/>
          <w:lang w:val="uk-UA"/>
        </w:rPr>
        <w:t>опсоні</w:t>
      </w:r>
      <w:r w:rsidR="00892C89" w:rsidRPr="003005D5">
        <w:rPr>
          <w:rFonts w:ascii="Times New Roman" w:hAnsi="Times New Roman" w:cs="Times New Roman"/>
          <w:sz w:val="28"/>
          <w:szCs w:val="28"/>
          <w:lang w:val="uk-UA"/>
        </w:rPr>
        <w:t>зації</w:t>
      </w:r>
      <w:proofErr w:type="spellEnd"/>
      <w:r w:rsidR="00892C89" w:rsidRPr="003005D5">
        <w:rPr>
          <w:rFonts w:ascii="Times New Roman" w:hAnsi="Times New Roman" w:cs="Times New Roman"/>
          <w:sz w:val="28"/>
          <w:szCs w:val="28"/>
          <w:lang w:val="uk-UA"/>
        </w:rPr>
        <w:t>, зокрема недорозвиненням системи комплементу. У пуповинній крові при народжені загальний рівень гемолітичної активності комплемент</w:t>
      </w:r>
      <w:r w:rsidR="00633A00" w:rsidRPr="003005D5">
        <w:rPr>
          <w:rFonts w:ascii="Times New Roman" w:hAnsi="Times New Roman" w:cs="Times New Roman"/>
          <w:sz w:val="28"/>
          <w:szCs w:val="28"/>
          <w:lang w:val="uk-UA"/>
        </w:rPr>
        <w:t>у</w:t>
      </w:r>
      <w:r w:rsidR="00892C89" w:rsidRPr="003005D5">
        <w:rPr>
          <w:rFonts w:ascii="Times New Roman" w:hAnsi="Times New Roman" w:cs="Times New Roman"/>
          <w:sz w:val="28"/>
          <w:szCs w:val="28"/>
          <w:lang w:val="uk-UA"/>
        </w:rPr>
        <w:t xml:space="preserve">, вміст компонентів С3, С4, фактора В складає 50% від рівня дорослих,  а компонентів </w:t>
      </w:r>
      <w:proofErr w:type="spellStart"/>
      <w:r w:rsidR="00892C89" w:rsidRPr="003005D5">
        <w:rPr>
          <w:rFonts w:ascii="Times New Roman" w:hAnsi="Times New Roman" w:cs="Times New Roman"/>
          <w:sz w:val="28"/>
          <w:szCs w:val="28"/>
          <w:lang w:val="uk-UA"/>
        </w:rPr>
        <w:t>мембраноатакуючого</w:t>
      </w:r>
      <w:proofErr w:type="spellEnd"/>
      <w:r w:rsidR="00892C89" w:rsidRPr="003005D5">
        <w:rPr>
          <w:rFonts w:ascii="Times New Roman" w:hAnsi="Times New Roman" w:cs="Times New Roman"/>
          <w:sz w:val="28"/>
          <w:szCs w:val="28"/>
          <w:lang w:val="uk-UA"/>
        </w:rPr>
        <w:t xml:space="preserve"> комплексу </w:t>
      </w:r>
      <w:r w:rsidR="007A0ADF" w:rsidRPr="003005D5">
        <w:rPr>
          <w:rFonts w:ascii="Times New Roman" w:hAnsi="Times New Roman" w:cs="Times New Roman"/>
          <w:sz w:val="28"/>
          <w:szCs w:val="28"/>
          <w:lang w:val="uk-UA"/>
        </w:rPr>
        <w:t xml:space="preserve">С5, </w:t>
      </w:r>
      <w:r w:rsidR="00892C89" w:rsidRPr="003005D5">
        <w:rPr>
          <w:rFonts w:ascii="Times New Roman" w:hAnsi="Times New Roman" w:cs="Times New Roman"/>
          <w:sz w:val="28"/>
          <w:szCs w:val="28"/>
          <w:lang w:val="uk-UA"/>
        </w:rPr>
        <w:t xml:space="preserve">С8 та С9 всього 10%. Дозрівання  </w:t>
      </w:r>
      <w:r w:rsidR="00AC7850" w:rsidRPr="003005D5">
        <w:rPr>
          <w:rFonts w:ascii="Times New Roman" w:hAnsi="Times New Roman" w:cs="Times New Roman"/>
          <w:sz w:val="28"/>
          <w:szCs w:val="28"/>
          <w:lang w:val="uk-UA"/>
        </w:rPr>
        <w:t xml:space="preserve">продукції комплементу у недоношених подовжується до 3 років, в той час, як у доношених до 2 років життя. В умовах недостатності природженого імунітету, основне навантаження припадає на альтернативний шлях активації комплементу, але у недоношеного він залишається неповноцінним за рахунок дефіциту фактора В та </w:t>
      </w:r>
      <w:proofErr w:type="spellStart"/>
      <w:r w:rsidR="00AC7850" w:rsidRPr="003005D5">
        <w:rPr>
          <w:rFonts w:ascii="Times New Roman" w:hAnsi="Times New Roman" w:cs="Times New Roman"/>
          <w:sz w:val="28"/>
          <w:szCs w:val="28"/>
          <w:lang w:val="uk-UA"/>
        </w:rPr>
        <w:t>пропердину</w:t>
      </w:r>
      <w:proofErr w:type="spellEnd"/>
      <w:r w:rsidR="00BC3D4A" w:rsidRPr="003005D5">
        <w:rPr>
          <w:rFonts w:ascii="Times New Roman" w:hAnsi="Times New Roman" w:cs="Times New Roman"/>
          <w:sz w:val="28"/>
          <w:szCs w:val="28"/>
          <w:lang w:val="uk-UA"/>
        </w:rPr>
        <w:t xml:space="preserve"> [</w:t>
      </w:r>
      <w:r w:rsidR="00EA4B8E">
        <w:rPr>
          <w:rFonts w:ascii="Times New Roman" w:hAnsi="Times New Roman" w:cs="Times New Roman"/>
          <w:sz w:val="28"/>
          <w:szCs w:val="28"/>
          <w:lang w:val="uk-UA"/>
        </w:rPr>
        <w:t>5,10</w:t>
      </w:r>
      <w:r w:rsidR="00BC3D4A" w:rsidRPr="003005D5">
        <w:rPr>
          <w:rFonts w:ascii="Times New Roman" w:hAnsi="Times New Roman" w:cs="Times New Roman"/>
          <w:sz w:val="28"/>
          <w:szCs w:val="28"/>
          <w:lang w:val="uk-UA"/>
        </w:rPr>
        <w:t xml:space="preserve">]. </w:t>
      </w:r>
      <w:r w:rsidR="00AC7850" w:rsidRPr="003005D5">
        <w:rPr>
          <w:rFonts w:ascii="Times New Roman" w:hAnsi="Times New Roman" w:cs="Times New Roman"/>
          <w:sz w:val="28"/>
          <w:szCs w:val="28"/>
          <w:lang w:val="uk-UA"/>
        </w:rPr>
        <w:t xml:space="preserve"> У крові недоношених відмічен</w:t>
      </w:r>
      <w:r w:rsidR="00633A00" w:rsidRPr="003005D5">
        <w:rPr>
          <w:rFonts w:ascii="Times New Roman" w:hAnsi="Times New Roman" w:cs="Times New Roman"/>
          <w:sz w:val="28"/>
          <w:szCs w:val="28"/>
          <w:lang w:val="uk-UA"/>
        </w:rPr>
        <w:t>ий</w:t>
      </w:r>
      <w:r w:rsidR="00AC7850" w:rsidRPr="003005D5">
        <w:rPr>
          <w:rFonts w:ascii="Times New Roman" w:hAnsi="Times New Roman" w:cs="Times New Roman"/>
          <w:sz w:val="28"/>
          <w:szCs w:val="28"/>
          <w:lang w:val="uk-UA"/>
        </w:rPr>
        <w:t xml:space="preserve"> низький вміст </w:t>
      </w:r>
      <w:r w:rsidR="00AC7850" w:rsidRPr="003005D5">
        <w:rPr>
          <w:rFonts w:ascii="Times New Roman" w:hAnsi="Times New Roman" w:cs="Times New Roman"/>
          <w:sz w:val="28"/>
          <w:szCs w:val="28"/>
          <w:lang w:val="en-US"/>
        </w:rPr>
        <w:t>N</w:t>
      </w:r>
      <w:r w:rsidR="00AC7850" w:rsidRPr="003005D5">
        <w:rPr>
          <w:rFonts w:ascii="Times New Roman" w:hAnsi="Times New Roman" w:cs="Times New Roman"/>
          <w:sz w:val="28"/>
          <w:szCs w:val="28"/>
          <w:lang w:val="uk-UA"/>
        </w:rPr>
        <w:t xml:space="preserve">К-клітин (0,3%), у порівнянні з доношеними (0,77%). </w:t>
      </w:r>
      <w:proofErr w:type="gramStart"/>
      <w:r w:rsidR="00AC7850" w:rsidRPr="003005D5">
        <w:rPr>
          <w:rFonts w:ascii="Times New Roman" w:hAnsi="Times New Roman" w:cs="Times New Roman"/>
          <w:sz w:val="28"/>
          <w:szCs w:val="28"/>
          <w:lang w:val="en-US"/>
        </w:rPr>
        <w:t>N</w:t>
      </w:r>
      <w:r w:rsidR="00AC7850" w:rsidRPr="003005D5">
        <w:rPr>
          <w:rFonts w:ascii="Times New Roman" w:hAnsi="Times New Roman" w:cs="Times New Roman"/>
          <w:sz w:val="28"/>
          <w:szCs w:val="28"/>
          <w:lang w:val="uk-UA"/>
        </w:rPr>
        <w:t xml:space="preserve">К-клітини відрізняються низькою </w:t>
      </w:r>
      <w:proofErr w:type="spellStart"/>
      <w:r w:rsidR="00AC7850" w:rsidRPr="003005D5">
        <w:rPr>
          <w:rFonts w:ascii="Times New Roman" w:hAnsi="Times New Roman" w:cs="Times New Roman"/>
          <w:sz w:val="28"/>
          <w:szCs w:val="28"/>
          <w:lang w:val="uk-UA"/>
        </w:rPr>
        <w:t>циотоксичністю</w:t>
      </w:r>
      <w:proofErr w:type="spellEnd"/>
      <w:r w:rsidR="00AC7850" w:rsidRPr="003005D5">
        <w:rPr>
          <w:rFonts w:ascii="Times New Roman" w:hAnsi="Times New Roman" w:cs="Times New Roman"/>
          <w:sz w:val="28"/>
          <w:szCs w:val="28"/>
          <w:lang w:val="uk-UA"/>
        </w:rPr>
        <w:t xml:space="preserve"> </w:t>
      </w:r>
      <w:r w:rsidR="007A0ADF" w:rsidRPr="003005D5">
        <w:rPr>
          <w:rFonts w:ascii="Times New Roman" w:hAnsi="Times New Roman" w:cs="Times New Roman"/>
          <w:sz w:val="28"/>
          <w:szCs w:val="28"/>
          <w:lang w:val="uk-UA"/>
        </w:rPr>
        <w:t>та</w:t>
      </w:r>
      <w:r w:rsidR="00AC7850" w:rsidRPr="003005D5">
        <w:rPr>
          <w:rFonts w:ascii="Times New Roman" w:hAnsi="Times New Roman" w:cs="Times New Roman"/>
          <w:sz w:val="28"/>
          <w:szCs w:val="28"/>
          <w:lang w:val="uk-UA"/>
        </w:rPr>
        <w:t xml:space="preserve"> здатніст</w:t>
      </w:r>
      <w:r w:rsidR="007A0ADF" w:rsidRPr="003005D5">
        <w:rPr>
          <w:rFonts w:ascii="Times New Roman" w:hAnsi="Times New Roman" w:cs="Times New Roman"/>
          <w:sz w:val="28"/>
          <w:szCs w:val="28"/>
          <w:lang w:val="uk-UA"/>
        </w:rPr>
        <w:t>ю</w:t>
      </w:r>
      <w:r w:rsidR="00AC7850" w:rsidRPr="003005D5">
        <w:rPr>
          <w:rFonts w:ascii="Times New Roman" w:hAnsi="Times New Roman" w:cs="Times New Roman"/>
          <w:sz w:val="28"/>
          <w:szCs w:val="28"/>
          <w:lang w:val="uk-UA"/>
        </w:rPr>
        <w:t xml:space="preserve"> лімфоцитів до синтезу γ </w:t>
      </w:r>
      <w:proofErr w:type="spellStart"/>
      <w:r w:rsidR="00BC3D4A" w:rsidRPr="003005D5">
        <w:rPr>
          <w:rFonts w:ascii="Times New Roman" w:hAnsi="Times New Roman" w:cs="Times New Roman"/>
          <w:sz w:val="28"/>
          <w:szCs w:val="28"/>
          <w:lang w:val="uk-UA"/>
        </w:rPr>
        <w:t>–</w:t>
      </w:r>
      <w:r w:rsidR="00AC7850" w:rsidRPr="003005D5">
        <w:rPr>
          <w:rFonts w:ascii="Times New Roman" w:hAnsi="Times New Roman" w:cs="Times New Roman"/>
          <w:sz w:val="28"/>
          <w:szCs w:val="28"/>
          <w:lang w:val="uk-UA"/>
        </w:rPr>
        <w:t>інтерферонів</w:t>
      </w:r>
      <w:proofErr w:type="spellEnd"/>
      <w:r w:rsidR="00BC3D4A" w:rsidRPr="003005D5">
        <w:rPr>
          <w:rFonts w:ascii="Times New Roman" w:hAnsi="Times New Roman" w:cs="Times New Roman"/>
          <w:sz w:val="28"/>
          <w:szCs w:val="28"/>
          <w:lang w:val="uk-UA"/>
        </w:rPr>
        <w:t xml:space="preserve"> [</w:t>
      </w:r>
      <w:r w:rsidR="00023CDE" w:rsidRPr="003005D5">
        <w:rPr>
          <w:rFonts w:ascii="Times New Roman" w:hAnsi="Times New Roman" w:cs="Times New Roman"/>
          <w:sz w:val="28"/>
          <w:szCs w:val="28"/>
          <w:lang w:val="uk-UA"/>
        </w:rPr>
        <w:t>6</w:t>
      </w:r>
      <w:r w:rsidR="00BC3D4A" w:rsidRPr="003005D5">
        <w:rPr>
          <w:rFonts w:ascii="Times New Roman" w:hAnsi="Times New Roman" w:cs="Times New Roman"/>
          <w:sz w:val="28"/>
          <w:szCs w:val="28"/>
          <w:lang w:val="uk-UA"/>
        </w:rPr>
        <w:t>]</w:t>
      </w:r>
      <w:r w:rsidR="00AC7850" w:rsidRPr="003005D5">
        <w:rPr>
          <w:rFonts w:ascii="Times New Roman" w:hAnsi="Times New Roman" w:cs="Times New Roman"/>
          <w:sz w:val="28"/>
          <w:szCs w:val="28"/>
          <w:lang w:val="uk-UA"/>
        </w:rPr>
        <w:t>.</w:t>
      </w:r>
      <w:proofErr w:type="gramEnd"/>
      <w:r w:rsidR="007A0ADF" w:rsidRPr="003005D5">
        <w:rPr>
          <w:rFonts w:ascii="Times New Roman" w:hAnsi="Times New Roman" w:cs="Times New Roman"/>
          <w:sz w:val="28"/>
          <w:szCs w:val="28"/>
          <w:lang w:val="uk-UA"/>
        </w:rPr>
        <w:t xml:space="preserve"> Білки гострої фази, а саме СРБ, </w:t>
      </w:r>
      <w:proofErr w:type="spellStart"/>
      <w:r w:rsidR="007A0ADF" w:rsidRPr="003005D5">
        <w:rPr>
          <w:rFonts w:ascii="Times New Roman" w:hAnsi="Times New Roman" w:cs="Times New Roman"/>
          <w:sz w:val="28"/>
          <w:szCs w:val="28"/>
          <w:lang w:val="uk-UA"/>
        </w:rPr>
        <w:t>α-макроглобулін</w:t>
      </w:r>
      <w:proofErr w:type="spellEnd"/>
      <w:r w:rsidR="007A0ADF" w:rsidRPr="003005D5">
        <w:rPr>
          <w:rFonts w:ascii="Times New Roman" w:hAnsi="Times New Roman" w:cs="Times New Roman"/>
          <w:sz w:val="28"/>
          <w:szCs w:val="28"/>
          <w:lang w:val="uk-UA"/>
        </w:rPr>
        <w:t xml:space="preserve">, </w:t>
      </w:r>
      <w:proofErr w:type="spellStart"/>
      <w:r w:rsidR="007A0ADF" w:rsidRPr="003005D5">
        <w:rPr>
          <w:rFonts w:ascii="Times New Roman" w:hAnsi="Times New Roman" w:cs="Times New Roman"/>
          <w:sz w:val="28"/>
          <w:szCs w:val="28"/>
          <w:lang w:val="uk-UA"/>
        </w:rPr>
        <w:t>антитріпсин</w:t>
      </w:r>
      <w:proofErr w:type="spellEnd"/>
      <w:r w:rsidR="007A0ADF" w:rsidRPr="003005D5">
        <w:rPr>
          <w:rFonts w:ascii="Times New Roman" w:hAnsi="Times New Roman" w:cs="Times New Roman"/>
          <w:sz w:val="28"/>
          <w:szCs w:val="28"/>
          <w:lang w:val="uk-UA"/>
        </w:rPr>
        <w:t xml:space="preserve"> знижені. Природжений імунітет компенсується переважно великою кількістю лізоциму</w:t>
      </w:r>
      <w:r w:rsidR="00633A00" w:rsidRPr="003005D5">
        <w:rPr>
          <w:rFonts w:ascii="Times New Roman" w:hAnsi="Times New Roman" w:cs="Times New Roman"/>
          <w:sz w:val="28"/>
          <w:szCs w:val="28"/>
          <w:lang w:val="uk-UA"/>
        </w:rPr>
        <w:t xml:space="preserve"> та</w:t>
      </w:r>
      <w:r w:rsidR="007A0ADF" w:rsidRPr="003005D5">
        <w:rPr>
          <w:rFonts w:ascii="Times New Roman" w:hAnsi="Times New Roman" w:cs="Times New Roman"/>
          <w:sz w:val="28"/>
          <w:szCs w:val="28"/>
          <w:lang w:val="uk-UA"/>
        </w:rPr>
        <w:t xml:space="preserve"> значною кількістю </w:t>
      </w:r>
      <w:r w:rsidR="00FE6D4F" w:rsidRPr="003005D5">
        <w:rPr>
          <w:rFonts w:ascii="Times New Roman" w:hAnsi="Times New Roman" w:cs="Times New Roman"/>
          <w:sz w:val="28"/>
          <w:szCs w:val="28"/>
          <w:lang w:val="uk-UA"/>
        </w:rPr>
        <w:t>л</w:t>
      </w:r>
      <w:r w:rsidR="00633A00" w:rsidRPr="003005D5">
        <w:rPr>
          <w:rFonts w:ascii="Times New Roman" w:hAnsi="Times New Roman" w:cs="Times New Roman"/>
          <w:sz w:val="28"/>
          <w:szCs w:val="28"/>
          <w:lang w:val="uk-UA"/>
        </w:rPr>
        <w:t>імфоцитів</w:t>
      </w:r>
      <w:r w:rsidR="007A0ADF" w:rsidRPr="003005D5">
        <w:rPr>
          <w:rFonts w:ascii="Times New Roman" w:hAnsi="Times New Roman" w:cs="Times New Roman"/>
          <w:sz w:val="28"/>
          <w:szCs w:val="28"/>
          <w:lang w:val="uk-UA"/>
        </w:rPr>
        <w:t xml:space="preserve">, що нарівні з </w:t>
      </w:r>
      <w:r w:rsidR="007A0ADF" w:rsidRPr="003005D5">
        <w:rPr>
          <w:rFonts w:ascii="Times New Roman" w:hAnsi="Times New Roman" w:cs="Times New Roman"/>
          <w:sz w:val="28"/>
          <w:szCs w:val="28"/>
          <w:lang w:val="en-US"/>
        </w:rPr>
        <w:t>IgG</w:t>
      </w:r>
      <w:r w:rsidR="007A0ADF" w:rsidRPr="003005D5">
        <w:rPr>
          <w:rFonts w:ascii="Times New Roman" w:hAnsi="Times New Roman" w:cs="Times New Roman"/>
          <w:sz w:val="28"/>
          <w:szCs w:val="28"/>
          <w:lang w:val="uk-UA"/>
        </w:rPr>
        <w:t xml:space="preserve"> матері захищає від масивної експансії антигенів.</w:t>
      </w:r>
      <w:r w:rsidR="00FE6D4F" w:rsidRPr="003005D5">
        <w:rPr>
          <w:rFonts w:ascii="Times New Roman" w:hAnsi="Times New Roman" w:cs="Times New Roman"/>
          <w:sz w:val="28"/>
          <w:szCs w:val="28"/>
          <w:lang w:val="uk-UA"/>
        </w:rPr>
        <w:t xml:space="preserve"> </w:t>
      </w:r>
      <w:r w:rsidR="009F031D" w:rsidRPr="003005D5">
        <w:rPr>
          <w:rFonts w:ascii="Times New Roman" w:hAnsi="Times New Roman" w:cs="Times New Roman"/>
          <w:sz w:val="28"/>
          <w:szCs w:val="28"/>
          <w:lang w:val="uk-UA"/>
        </w:rPr>
        <w:t xml:space="preserve">Т-лімфоцити </w:t>
      </w:r>
      <w:r w:rsidR="00FE6D4F" w:rsidRPr="003005D5">
        <w:rPr>
          <w:rFonts w:ascii="Times New Roman" w:hAnsi="Times New Roman" w:cs="Times New Roman"/>
          <w:sz w:val="28"/>
          <w:szCs w:val="28"/>
          <w:lang w:val="uk-UA"/>
        </w:rPr>
        <w:t>проявляють високу здатність до спонтанної проліферації, але здатність до проліферації на звичайні міогени та бактеріальні антигени знижена. Окрім того, у лімфоцитів недоношених можуть виявлятися обидва маркера</w:t>
      </w:r>
      <w:r w:rsidR="00FE6D4F" w:rsidRPr="003005D5">
        <w:rPr>
          <w:rFonts w:ascii="Times New Roman" w:hAnsi="Times New Roman" w:cs="Times New Roman"/>
          <w:sz w:val="28"/>
          <w:szCs w:val="28"/>
        </w:rPr>
        <w:t xml:space="preserve"> </w:t>
      </w:r>
      <w:r w:rsidR="00FE6D4F" w:rsidRPr="003005D5">
        <w:rPr>
          <w:rFonts w:ascii="Times New Roman" w:hAnsi="Times New Roman" w:cs="Times New Roman"/>
          <w:sz w:val="28"/>
          <w:szCs w:val="28"/>
          <w:lang w:val="en-US"/>
        </w:rPr>
        <w:t>CD</w:t>
      </w:r>
      <w:r w:rsidR="00FE6D4F" w:rsidRPr="003005D5">
        <w:rPr>
          <w:rFonts w:ascii="Times New Roman" w:hAnsi="Times New Roman" w:cs="Times New Roman"/>
          <w:sz w:val="28"/>
          <w:szCs w:val="28"/>
        </w:rPr>
        <w:t xml:space="preserve">4 та </w:t>
      </w:r>
      <w:r w:rsidR="00FE6D4F" w:rsidRPr="003005D5">
        <w:rPr>
          <w:rFonts w:ascii="Times New Roman" w:hAnsi="Times New Roman" w:cs="Times New Roman"/>
          <w:sz w:val="28"/>
          <w:szCs w:val="28"/>
          <w:lang w:val="en-US"/>
        </w:rPr>
        <w:t>CD</w:t>
      </w:r>
      <w:r w:rsidR="00FE6D4F" w:rsidRPr="003005D5">
        <w:rPr>
          <w:rFonts w:ascii="Times New Roman" w:hAnsi="Times New Roman" w:cs="Times New Roman"/>
          <w:sz w:val="28"/>
          <w:szCs w:val="28"/>
        </w:rPr>
        <w:t>8</w:t>
      </w:r>
      <w:r w:rsidR="00BC3D4A" w:rsidRPr="003005D5">
        <w:rPr>
          <w:rFonts w:ascii="Times New Roman" w:hAnsi="Times New Roman" w:cs="Times New Roman"/>
          <w:sz w:val="28"/>
          <w:szCs w:val="28"/>
        </w:rPr>
        <w:t xml:space="preserve"> </w:t>
      </w:r>
      <w:r w:rsidR="00BC3D4A" w:rsidRPr="003005D5">
        <w:rPr>
          <w:rFonts w:ascii="Times New Roman" w:hAnsi="Times New Roman" w:cs="Times New Roman"/>
          <w:sz w:val="28"/>
          <w:szCs w:val="28"/>
          <w:lang w:val="uk-UA"/>
        </w:rPr>
        <w:t>[</w:t>
      </w:r>
      <w:r w:rsidR="00EA4B8E">
        <w:rPr>
          <w:rFonts w:ascii="Times New Roman" w:hAnsi="Times New Roman" w:cs="Times New Roman"/>
          <w:sz w:val="28"/>
          <w:szCs w:val="28"/>
          <w:lang w:val="uk-UA"/>
        </w:rPr>
        <w:t>10</w:t>
      </w:r>
      <w:r w:rsidR="00BC3D4A" w:rsidRPr="003005D5">
        <w:rPr>
          <w:rFonts w:ascii="Times New Roman" w:hAnsi="Times New Roman" w:cs="Times New Roman"/>
          <w:sz w:val="28"/>
          <w:szCs w:val="28"/>
          <w:lang w:val="uk-UA"/>
        </w:rPr>
        <w:t>]</w:t>
      </w:r>
      <w:r w:rsidR="00FE6D4F" w:rsidRPr="003005D5">
        <w:rPr>
          <w:rFonts w:ascii="Times New Roman" w:hAnsi="Times New Roman" w:cs="Times New Roman"/>
          <w:sz w:val="28"/>
          <w:szCs w:val="28"/>
          <w:lang w:val="uk-UA"/>
        </w:rPr>
        <w:t xml:space="preserve">. Це свідчить про вихід у кровообіг недозрілих </w:t>
      </w:r>
      <w:proofErr w:type="spellStart"/>
      <w:r w:rsidR="00FE6D4F" w:rsidRPr="003005D5">
        <w:rPr>
          <w:rFonts w:ascii="Times New Roman" w:hAnsi="Times New Roman" w:cs="Times New Roman"/>
          <w:sz w:val="28"/>
          <w:szCs w:val="28"/>
          <w:lang w:val="uk-UA"/>
        </w:rPr>
        <w:t>тімоцитів</w:t>
      </w:r>
      <w:proofErr w:type="spellEnd"/>
      <w:r w:rsidR="00FE6D4F" w:rsidRPr="003005D5">
        <w:rPr>
          <w:rFonts w:ascii="Times New Roman" w:hAnsi="Times New Roman" w:cs="Times New Roman"/>
          <w:sz w:val="28"/>
          <w:szCs w:val="28"/>
          <w:lang w:val="uk-UA"/>
        </w:rPr>
        <w:t xml:space="preserve">. Особливістю Т-лімфоцитів  недоношених є </w:t>
      </w:r>
      <w:r w:rsidR="00165307" w:rsidRPr="003005D5">
        <w:rPr>
          <w:rFonts w:ascii="Times New Roman" w:hAnsi="Times New Roman" w:cs="Times New Roman"/>
          <w:sz w:val="28"/>
          <w:szCs w:val="28"/>
          <w:lang w:val="uk-UA"/>
        </w:rPr>
        <w:t xml:space="preserve">відсутність експресії на них рецепторів до ИЛ-2 та слабкий синтез ИЛ-2, що впливає на диференціювання клітин та продукцію γ </w:t>
      </w:r>
      <w:proofErr w:type="spellStart"/>
      <w:r w:rsidR="00BC3D4A" w:rsidRPr="003005D5">
        <w:rPr>
          <w:rFonts w:ascii="Times New Roman" w:hAnsi="Times New Roman" w:cs="Times New Roman"/>
          <w:sz w:val="28"/>
          <w:szCs w:val="28"/>
          <w:lang w:val="uk-UA"/>
        </w:rPr>
        <w:t>–</w:t>
      </w:r>
      <w:r w:rsidR="00165307" w:rsidRPr="003005D5">
        <w:rPr>
          <w:rFonts w:ascii="Times New Roman" w:hAnsi="Times New Roman" w:cs="Times New Roman"/>
          <w:sz w:val="28"/>
          <w:szCs w:val="28"/>
          <w:lang w:val="uk-UA"/>
        </w:rPr>
        <w:t>інтерферону</w:t>
      </w:r>
      <w:proofErr w:type="spellEnd"/>
      <w:r w:rsidR="00BC3D4A" w:rsidRPr="003005D5">
        <w:rPr>
          <w:rFonts w:ascii="Times New Roman" w:hAnsi="Times New Roman" w:cs="Times New Roman"/>
          <w:sz w:val="28"/>
          <w:szCs w:val="28"/>
          <w:lang w:val="uk-UA"/>
        </w:rPr>
        <w:t xml:space="preserve"> [</w:t>
      </w:r>
      <w:r w:rsidR="00023CDE" w:rsidRPr="003005D5">
        <w:rPr>
          <w:rFonts w:ascii="Times New Roman" w:hAnsi="Times New Roman" w:cs="Times New Roman"/>
          <w:sz w:val="28"/>
          <w:szCs w:val="28"/>
          <w:lang w:val="uk-UA"/>
        </w:rPr>
        <w:t>6</w:t>
      </w:r>
      <w:r w:rsidR="00BC3D4A" w:rsidRPr="003005D5">
        <w:rPr>
          <w:rFonts w:ascii="Times New Roman" w:hAnsi="Times New Roman" w:cs="Times New Roman"/>
          <w:sz w:val="28"/>
          <w:szCs w:val="28"/>
          <w:lang w:val="uk-UA"/>
        </w:rPr>
        <w:t>].</w:t>
      </w:r>
      <w:r w:rsidR="00165307" w:rsidRPr="003005D5">
        <w:rPr>
          <w:rFonts w:ascii="Times New Roman" w:hAnsi="Times New Roman" w:cs="Times New Roman"/>
          <w:sz w:val="28"/>
          <w:szCs w:val="28"/>
          <w:lang w:val="uk-UA"/>
        </w:rPr>
        <w:t xml:space="preserve"> </w:t>
      </w:r>
      <w:r w:rsidR="00771C26" w:rsidRPr="003005D5">
        <w:rPr>
          <w:rFonts w:ascii="Times New Roman" w:hAnsi="Times New Roman" w:cs="Times New Roman"/>
          <w:sz w:val="28"/>
          <w:szCs w:val="28"/>
          <w:lang w:val="uk-UA"/>
        </w:rPr>
        <w:t>Поряд з цим, дослідженнями показано швидке наростання рівнів прозапальних цитокінів</w:t>
      </w:r>
      <w:r w:rsidR="009F031D" w:rsidRPr="003005D5">
        <w:rPr>
          <w:rFonts w:ascii="Times New Roman" w:hAnsi="Times New Roman" w:cs="Times New Roman"/>
          <w:sz w:val="28"/>
          <w:szCs w:val="28"/>
          <w:lang w:val="uk-UA"/>
        </w:rPr>
        <w:t xml:space="preserve"> та </w:t>
      </w:r>
      <w:r w:rsidR="002E3AAD">
        <w:rPr>
          <w:rFonts w:ascii="Times New Roman" w:hAnsi="Times New Roman" w:cs="Times New Roman"/>
          <w:sz w:val="28"/>
          <w:szCs w:val="28"/>
          <w:lang w:val="uk-UA"/>
        </w:rPr>
        <w:t>С-реактивного протеїну</w:t>
      </w:r>
      <w:r w:rsidR="00771C26" w:rsidRPr="003005D5">
        <w:rPr>
          <w:rFonts w:ascii="Times New Roman" w:hAnsi="Times New Roman" w:cs="Times New Roman"/>
          <w:sz w:val="28"/>
          <w:szCs w:val="28"/>
          <w:lang w:val="uk-UA"/>
        </w:rPr>
        <w:t xml:space="preserve"> у крові новонароджених дітей при розвитку сепсису, що свідчить про раннє дозрівання механізмів продукції та секреції окремих цитокінів</w:t>
      </w:r>
      <w:r w:rsidR="009F031D" w:rsidRPr="003005D5">
        <w:rPr>
          <w:rFonts w:ascii="Times New Roman" w:hAnsi="Times New Roman" w:cs="Times New Roman"/>
          <w:sz w:val="28"/>
          <w:szCs w:val="28"/>
          <w:lang w:val="uk-UA"/>
        </w:rPr>
        <w:t xml:space="preserve"> та </w:t>
      </w:r>
      <w:r w:rsidR="009F031D" w:rsidRPr="003005D5">
        <w:rPr>
          <w:rFonts w:ascii="Times New Roman" w:hAnsi="Times New Roman" w:cs="Times New Roman"/>
          <w:sz w:val="28"/>
          <w:szCs w:val="28"/>
          <w:lang w:val="uk-UA"/>
        </w:rPr>
        <w:lastRenderedPageBreak/>
        <w:t>протеїнів гострої фази</w:t>
      </w:r>
      <w:r w:rsidR="00771C26" w:rsidRPr="003005D5">
        <w:rPr>
          <w:rFonts w:ascii="Times New Roman" w:hAnsi="Times New Roman" w:cs="Times New Roman"/>
          <w:sz w:val="28"/>
          <w:szCs w:val="28"/>
          <w:lang w:val="uk-UA"/>
        </w:rPr>
        <w:t>. До рівн</w:t>
      </w:r>
      <w:r w:rsidR="00633A00" w:rsidRPr="003005D5">
        <w:rPr>
          <w:rFonts w:ascii="Times New Roman" w:hAnsi="Times New Roman" w:cs="Times New Roman"/>
          <w:sz w:val="28"/>
          <w:szCs w:val="28"/>
          <w:lang w:val="uk-UA"/>
        </w:rPr>
        <w:t>я</w:t>
      </w:r>
      <w:r w:rsidR="00771C26" w:rsidRPr="003005D5">
        <w:rPr>
          <w:rFonts w:ascii="Times New Roman" w:hAnsi="Times New Roman" w:cs="Times New Roman"/>
          <w:sz w:val="28"/>
          <w:szCs w:val="28"/>
          <w:lang w:val="uk-UA"/>
        </w:rPr>
        <w:t xml:space="preserve"> дорослих </w:t>
      </w:r>
      <w:proofErr w:type="spellStart"/>
      <w:r w:rsidR="00771C26" w:rsidRPr="003005D5">
        <w:rPr>
          <w:rFonts w:ascii="Times New Roman" w:hAnsi="Times New Roman" w:cs="Times New Roman"/>
          <w:sz w:val="28"/>
          <w:szCs w:val="28"/>
          <w:lang w:val="uk-UA"/>
        </w:rPr>
        <w:t>хелперні</w:t>
      </w:r>
      <w:proofErr w:type="spellEnd"/>
      <w:r w:rsidR="00771C26" w:rsidRPr="003005D5">
        <w:rPr>
          <w:rFonts w:ascii="Times New Roman" w:hAnsi="Times New Roman" w:cs="Times New Roman"/>
          <w:sz w:val="28"/>
          <w:szCs w:val="28"/>
          <w:lang w:val="uk-UA"/>
        </w:rPr>
        <w:t xml:space="preserve"> функції лімфоцитів досягають після другого року.  </w:t>
      </w:r>
      <w:r w:rsidR="00633A00" w:rsidRPr="003005D5">
        <w:rPr>
          <w:rFonts w:ascii="Times New Roman" w:hAnsi="Times New Roman" w:cs="Times New Roman"/>
          <w:sz w:val="28"/>
          <w:szCs w:val="28"/>
          <w:lang w:val="uk-UA"/>
        </w:rPr>
        <w:t xml:space="preserve">Рівень </w:t>
      </w:r>
      <w:r w:rsidR="00633A00" w:rsidRPr="003005D5">
        <w:rPr>
          <w:rFonts w:ascii="Times New Roman" w:hAnsi="Times New Roman" w:cs="Times New Roman"/>
          <w:sz w:val="28"/>
          <w:szCs w:val="28"/>
          <w:lang w:val="en-US"/>
        </w:rPr>
        <w:t>Ig</w:t>
      </w:r>
      <w:r w:rsidR="00633A00" w:rsidRPr="003005D5">
        <w:rPr>
          <w:rFonts w:ascii="Times New Roman" w:hAnsi="Times New Roman" w:cs="Times New Roman"/>
          <w:sz w:val="28"/>
          <w:szCs w:val="28"/>
        </w:rPr>
        <w:t xml:space="preserve"> </w:t>
      </w:r>
      <w:r w:rsidR="00633A00" w:rsidRPr="003005D5">
        <w:rPr>
          <w:rFonts w:ascii="Times New Roman" w:hAnsi="Times New Roman" w:cs="Times New Roman"/>
          <w:sz w:val="28"/>
          <w:szCs w:val="28"/>
          <w:lang w:val="en-US"/>
        </w:rPr>
        <w:t>G</w:t>
      </w:r>
      <w:r w:rsidR="00633A00" w:rsidRPr="003005D5">
        <w:rPr>
          <w:rFonts w:ascii="Times New Roman" w:hAnsi="Times New Roman" w:cs="Times New Roman"/>
          <w:sz w:val="28"/>
          <w:szCs w:val="28"/>
        </w:rPr>
        <w:t xml:space="preserve"> у </w:t>
      </w:r>
      <w:proofErr w:type="spellStart"/>
      <w:r w:rsidR="00633A00" w:rsidRPr="003005D5">
        <w:rPr>
          <w:rFonts w:ascii="Times New Roman" w:hAnsi="Times New Roman" w:cs="Times New Roman"/>
          <w:sz w:val="28"/>
          <w:szCs w:val="28"/>
        </w:rPr>
        <w:t>новонароджених</w:t>
      </w:r>
      <w:proofErr w:type="spellEnd"/>
      <w:r w:rsidR="00633A00" w:rsidRPr="003005D5">
        <w:rPr>
          <w:rFonts w:ascii="Times New Roman" w:hAnsi="Times New Roman" w:cs="Times New Roman"/>
          <w:sz w:val="28"/>
          <w:szCs w:val="28"/>
        </w:rPr>
        <w:t xml:space="preserve"> до 32 </w:t>
      </w:r>
      <w:proofErr w:type="spellStart"/>
      <w:r w:rsidR="00633A00" w:rsidRPr="003005D5">
        <w:rPr>
          <w:rFonts w:ascii="Times New Roman" w:hAnsi="Times New Roman" w:cs="Times New Roman"/>
          <w:sz w:val="28"/>
          <w:szCs w:val="28"/>
        </w:rPr>
        <w:t>тижня</w:t>
      </w:r>
      <w:proofErr w:type="spellEnd"/>
      <w:r w:rsidR="00633A00" w:rsidRPr="003005D5">
        <w:rPr>
          <w:rFonts w:ascii="Times New Roman" w:hAnsi="Times New Roman" w:cs="Times New Roman"/>
          <w:sz w:val="28"/>
          <w:szCs w:val="28"/>
        </w:rPr>
        <w:t xml:space="preserve"> </w:t>
      </w:r>
      <w:proofErr w:type="spellStart"/>
      <w:r w:rsidR="00633A00" w:rsidRPr="003005D5">
        <w:rPr>
          <w:rFonts w:ascii="Times New Roman" w:hAnsi="Times New Roman" w:cs="Times New Roman"/>
          <w:sz w:val="28"/>
          <w:szCs w:val="28"/>
        </w:rPr>
        <w:t>гестац</w:t>
      </w:r>
      <w:r w:rsidR="00633A00" w:rsidRPr="003005D5">
        <w:rPr>
          <w:rFonts w:ascii="Times New Roman" w:hAnsi="Times New Roman" w:cs="Times New Roman"/>
          <w:sz w:val="28"/>
          <w:szCs w:val="28"/>
          <w:lang w:val="uk-UA"/>
        </w:rPr>
        <w:t>ії</w:t>
      </w:r>
      <w:proofErr w:type="spellEnd"/>
      <w:r w:rsidR="00633A00" w:rsidRPr="003005D5">
        <w:rPr>
          <w:rFonts w:ascii="Times New Roman" w:hAnsi="Times New Roman" w:cs="Times New Roman"/>
          <w:sz w:val="28"/>
          <w:szCs w:val="28"/>
          <w:lang w:val="uk-UA"/>
        </w:rPr>
        <w:t xml:space="preserve"> близько 0,4 г/л. З 32 до 38 тижня – активний транспорт  </w:t>
      </w:r>
      <w:r w:rsidR="00633A00" w:rsidRPr="003005D5">
        <w:rPr>
          <w:rFonts w:ascii="Times New Roman" w:hAnsi="Times New Roman" w:cs="Times New Roman"/>
          <w:sz w:val="28"/>
          <w:szCs w:val="28"/>
          <w:lang w:val="en-US"/>
        </w:rPr>
        <w:t>Ig</w:t>
      </w:r>
      <w:r w:rsidR="00633A00" w:rsidRPr="003005D5">
        <w:rPr>
          <w:rFonts w:ascii="Times New Roman" w:hAnsi="Times New Roman" w:cs="Times New Roman"/>
          <w:sz w:val="28"/>
          <w:szCs w:val="28"/>
        </w:rPr>
        <w:t xml:space="preserve"> </w:t>
      </w:r>
      <w:r w:rsidR="00633A00" w:rsidRPr="003005D5">
        <w:rPr>
          <w:rFonts w:ascii="Times New Roman" w:hAnsi="Times New Roman" w:cs="Times New Roman"/>
          <w:sz w:val="28"/>
          <w:szCs w:val="28"/>
          <w:lang w:val="en-US"/>
        </w:rPr>
        <w:t>G</w:t>
      </w:r>
      <w:r w:rsidR="00633A00" w:rsidRPr="003005D5">
        <w:rPr>
          <w:rFonts w:ascii="Times New Roman" w:hAnsi="Times New Roman" w:cs="Times New Roman"/>
          <w:sz w:val="28"/>
          <w:szCs w:val="28"/>
          <w:lang w:val="uk-UA"/>
        </w:rPr>
        <w:t xml:space="preserve"> через плаценту і у доношеного новонародженого вміст </w:t>
      </w:r>
      <w:r w:rsidR="00633A00" w:rsidRPr="003005D5">
        <w:rPr>
          <w:rFonts w:ascii="Times New Roman" w:hAnsi="Times New Roman" w:cs="Times New Roman"/>
          <w:sz w:val="28"/>
          <w:szCs w:val="28"/>
          <w:lang w:val="en-US"/>
        </w:rPr>
        <w:t>Ig</w:t>
      </w:r>
      <w:r w:rsidR="00633A00" w:rsidRPr="003005D5">
        <w:rPr>
          <w:rFonts w:ascii="Times New Roman" w:hAnsi="Times New Roman" w:cs="Times New Roman"/>
          <w:sz w:val="28"/>
          <w:szCs w:val="28"/>
        </w:rPr>
        <w:t xml:space="preserve"> </w:t>
      </w:r>
      <w:r w:rsidR="00633A00" w:rsidRPr="003005D5">
        <w:rPr>
          <w:rFonts w:ascii="Times New Roman" w:hAnsi="Times New Roman" w:cs="Times New Roman"/>
          <w:sz w:val="28"/>
          <w:szCs w:val="28"/>
          <w:lang w:val="en-US"/>
        </w:rPr>
        <w:t>G</w:t>
      </w:r>
      <w:r w:rsidR="00633A00" w:rsidRPr="003005D5">
        <w:rPr>
          <w:rFonts w:ascii="Times New Roman" w:hAnsi="Times New Roman" w:cs="Times New Roman"/>
          <w:sz w:val="28"/>
          <w:szCs w:val="28"/>
          <w:lang w:val="uk-UA"/>
        </w:rPr>
        <w:t xml:space="preserve"> у крові не відрізняється від показників дорослих. Дитина, що народилась до 32 тижня має дуже низькій рівень </w:t>
      </w:r>
      <w:r w:rsidR="00633A00" w:rsidRPr="003005D5">
        <w:rPr>
          <w:rFonts w:ascii="Times New Roman" w:hAnsi="Times New Roman" w:cs="Times New Roman"/>
          <w:sz w:val="28"/>
          <w:szCs w:val="28"/>
          <w:lang w:val="en-US"/>
        </w:rPr>
        <w:t>Ig</w:t>
      </w:r>
      <w:r w:rsidR="00633A00" w:rsidRPr="003005D5">
        <w:rPr>
          <w:rFonts w:ascii="Times New Roman" w:hAnsi="Times New Roman" w:cs="Times New Roman"/>
          <w:sz w:val="28"/>
          <w:szCs w:val="28"/>
          <w:lang w:val="uk-UA"/>
        </w:rPr>
        <w:t xml:space="preserve"> </w:t>
      </w:r>
      <w:r w:rsidR="00633A00" w:rsidRPr="003005D5">
        <w:rPr>
          <w:rFonts w:ascii="Times New Roman" w:hAnsi="Times New Roman" w:cs="Times New Roman"/>
          <w:sz w:val="28"/>
          <w:szCs w:val="28"/>
          <w:lang w:val="en-US"/>
        </w:rPr>
        <w:t>G</w:t>
      </w:r>
      <w:r w:rsidR="00633A00" w:rsidRPr="003005D5">
        <w:rPr>
          <w:rFonts w:ascii="Times New Roman" w:hAnsi="Times New Roman" w:cs="Times New Roman"/>
          <w:sz w:val="28"/>
          <w:szCs w:val="28"/>
          <w:lang w:val="uk-UA"/>
        </w:rPr>
        <w:t>, фізіологічну слабкість щодо синтезу цього імуноглобуліну</w:t>
      </w:r>
      <w:r w:rsidR="00476602" w:rsidRPr="003005D5">
        <w:rPr>
          <w:rFonts w:ascii="Times New Roman" w:hAnsi="Times New Roman" w:cs="Times New Roman"/>
          <w:sz w:val="28"/>
          <w:szCs w:val="28"/>
          <w:lang w:val="uk-UA"/>
        </w:rPr>
        <w:t xml:space="preserve">. На першому році життя на різноманітні антигени імунна система може повноцінно відповідати тільки продукцією </w:t>
      </w:r>
      <w:r w:rsidR="00476602" w:rsidRPr="003005D5">
        <w:rPr>
          <w:rFonts w:ascii="Times New Roman" w:hAnsi="Times New Roman" w:cs="Times New Roman"/>
          <w:sz w:val="28"/>
          <w:szCs w:val="28"/>
          <w:lang w:val="en-US"/>
        </w:rPr>
        <w:t>Ig</w:t>
      </w:r>
      <w:r w:rsidR="00476602" w:rsidRPr="003005D5">
        <w:rPr>
          <w:rFonts w:ascii="Times New Roman" w:hAnsi="Times New Roman" w:cs="Times New Roman"/>
          <w:sz w:val="28"/>
          <w:szCs w:val="28"/>
          <w:lang w:val="uk-UA"/>
        </w:rPr>
        <w:t xml:space="preserve">М. Ураховуючи появу здатності до продукції </w:t>
      </w:r>
      <w:r w:rsidR="00476602" w:rsidRPr="003005D5">
        <w:rPr>
          <w:rFonts w:ascii="Times New Roman" w:hAnsi="Times New Roman" w:cs="Times New Roman"/>
          <w:sz w:val="28"/>
          <w:szCs w:val="28"/>
          <w:lang w:val="en-US"/>
        </w:rPr>
        <w:t>Ig</w:t>
      </w:r>
      <w:r w:rsidR="00476602" w:rsidRPr="003005D5">
        <w:rPr>
          <w:rFonts w:ascii="Times New Roman" w:hAnsi="Times New Roman" w:cs="Times New Roman"/>
          <w:sz w:val="28"/>
          <w:szCs w:val="28"/>
          <w:lang w:val="uk-UA"/>
        </w:rPr>
        <w:t xml:space="preserve"> </w:t>
      </w:r>
      <w:r w:rsidR="00476602" w:rsidRPr="003005D5">
        <w:rPr>
          <w:rFonts w:ascii="Times New Roman" w:hAnsi="Times New Roman" w:cs="Times New Roman"/>
          <w:sz w:val="28"/>
          <w:szCs w:val="28"/>
          <w:lang w:val="en-US"/>
        </w:rPr>
        <w:t>G</w:t>
      </w:r>
      <w:r w:rsidR="00476602" w:rsidRPr="003005D5">
        <w:rPr>
          <w:rFonts w:ascii="Times New Roman" w:hAnsi="Times New Roman" w:cs="Times New Roman"/>
          <w:sz w:val="28"/>
          <w:szCs w:val="28"/>
          <w:lang w:val="uk-UA"/>
        </w:rPr>
        <w:t xml:space="preserve"> тільки після 2 місяц</w:t>
      </w:r>
      <w:r w:rsidR="009F031D" w:rsidRPr="003005D5">
        <w:rPr>
          <w:rFonts w:ascii="Times New Roman" w:hAnsi="Times New Roman" w:cs="Times New Roman"/>
          <w:sz w:val="28"/>
          <w:szCs w:val="28"/>
          <w:lang w:val="uk-UA"/>
        </w:rPr>
        <w:t>я</w:t>
      </w:r>
      <w:r w:rsidR="00476602" w:rsidRPr="003005D5">
        <w:rPr>
          <w:rFonts w:ascii="Times New Roman" w:hAnsi="Times New Roman" w:cs="Times New Roman"/>
          <w:sz w:val="28"/>
          <w:szCs w:val="28"/>
          <w:lang w:val="uk-UA"/>
        </w:rPr>
        <w:t xml:space="preserve"> у дітей до цього віку, особливо недоношених недоцільно визначати АТ класу </w:t>
      </w:r>
      <w:r w:rsidR="00476602" w:rsidRPr="003005D5">
        <w:rPr>
          <w:rFonts w:ascii="Times New Roman" w:hAnsi="Times New Roman" w:cs="Times New Roman"/>
          <w:sz w:val="28"/>
          <w:szCs w:val="28"/>
          <w:lang w:val="en-US"/>
        </w:rPr>
        <w:t>Ig</w:t>
      </w:r>
      <w:r w:rsidR="00476602" w:rsidRPr="003005D5">
        <w:rPr>
          <w:rFonts w:ascii="Times New Roman" w:hAnsi="Times New Roman" w:cs="Times New Roman"/>
          <w:sz w:val="28"/>
          <w:szCs w:val="28"/>
          <w:lang w:val="uk-UA"/>
        </w:rPr>
        <w:t xml:space="preserve"> </w:t>
      </w:r>
      <w:r w:rsidR="00476602" w:rsidRPr="003005D5">
        <w:rPr>
          <w:rFonts w:ascii="Times New Roman" w:hAnsi="Times New Roman" w:cs="Times New Roman"/>
          <w:sz w:val="28"/>
          <w:szCs w:val="28"/>
          <w:lang w:val="en-US"/>
        </w:rPr>
        <w:t>G</w:t>
      </w:r>
      <w:r w:rsidR="00476602" w:rsidRPr="003005D5">
        <w:rPr>
          <w:rFonts w:ascii="Times New Roman" w:hAnsi="Times New Roman" w:cs="Times New Roman"/>
          <w:sz w:val="28"/>
          <w:szCs w:val="28"/>
          <w:lang w:val="uk-UA"/>
        </w:rPr>
        <w:t xml:space="preserve"> до тої чи іншої інфекції. Велика ймовірність помилково-негативних результатів. Рівень </w:t>
      </w:r>
      <w:r w:rsidR="00476602" w:rsidRPr="003005D5">
        <w:rPr>
          <w:rFonts w:ascii="Times New Roman" w:hAnsi="Times New Roman" w:cs="Times New Roman"/>
          <w:sz w:val="28"/>
          <w:szCs w:val="28"/>
          <w:lang w:val="en-US"/>
        </w:rPr>
        <w:t>Ig</w:t>
      </w:r>
      <w:r w:rsidR="00476602" w:rsidRPr="003005D5">
        <w:rPr>
          <w:rFonts w:ascii="Times New Roman" w:hAnsi="Times New Roman" w:cs="Times New Roman"/>
          <w:sz w:val="28"/>
          <w:szCs w:val="28"/>
        </w:rPr>
        <w:t xml:space="preserve"> </w:t>
      </w:r>
      <w:r w:rsidR="00476602" w:rsidRPr="003005D5">
        <w:rPr>
          <w:rFonts w:ascii="Times New Roman" w:hAnsi="Times New Roman" w:cs="Times New Roman"/>
          <w:sz w:val="28"/>
          <w:szCs w:val="28"/>
          <w:lang w:val="uk-UA"/>
        </w:rPr>
        <w:t xml:space="preserve">М вищій за 0,02г/л у </w:t>
      </w:r>
      <w:r w:rsidR="009F031D" w:rsidRPr="003005D5">
        <w:rPr>
          <w:rFonts w:ascii="Times New Roman" w:hAnsi="Times New Roman" w:cs="Times New Roman"/>
          <w:sz w:val="28"/>
          <w:szCs w:val="28"/>
          <w:lang w:val="uk-UA"/>
        </w:rPr>
        <w:t xml:space="preserve">передчасно народжених </w:t>
      </w:r>
      <w:r w:rsidR="00476602" w:rsidRPr="003005D5">
        <w:rPr>
          <w:rFonts w:ascii="Times New Roman" w:hAnsi="Times New Roman" w:cs="Times New Roman"/>
          <w:sz w:val="28"/>
          <w:szCs w:val="28"/>
          <w:lang w:val="uk-UA"/>
        </w:rPr>
        <w:t xml:space="preserve">дітей може свідчити про внутрішньоутробну антигенну стимуляцію імунної системи. Рівень </w:t>
      </w:r>
      <w:r w:rsidR="00476602" w:rsidRPr="003005D5">
        <w:rPr>
          <w:rFonts w:ascii="Times New Roman" w:hAnsi="Times New Roman" w:cs="Times New Roman"/>
          <w:sz w:val="28"/>
          <w:szCs w:val="28"/>
          <w:lang w:val="en-US"/>
        </w:rPr>
        <w:t>Ig</w:t>
      </w:r>
      <w:r w:rsidR="00476602" w:rsidRPr="003005D5">
        <w:rPr>
          <w:rFonts w:ascii="Times New Roman" w:hAnsi="Times New Roman" w:cs="Times New Roman"/>
          <w:sz w:val="28"/>
          <w:szCs w:val="28"/>
        </w:rPr>
        <w:t xml:space="preserve"> </w:t>
      </w:r>
      <w:r w:rsidR="00476602" w:rsidRPr="003005D5">
        <w:rPr>
          <w:rFonts w:ascii="Times New Roman" w:hAnsi="Times New Roman" w:cs="Times New Roman"/>
          <w:sz w:val="28"/>
          <w:szCs w:val="28"/>
          <w:lang w:val="uk-UA"/>
        </w:rPr>
        <w:t>А  не більше 0,01г/л</w:t>
      </w:r>
      <w:r w:rsidR="005F0ED0" w:rsidRPr="003005D5">
        <w:rPr>
          <w:rFonts w:ascii="Times New Roman" w:hAnsi="Times New Roman" w:cs="Times New Roman"/>
          <w:sz w:val="28"/>
          <w:szCs w:val="28"/>
          <w:lang w:val="uk-UA"/>
        </w:rPr>
        <w:t xml:space="preserve">, секреторні </w:t>
      </w:r>
      <w:r w:rsidR="005F0ED0" w:rsidRPr="003005D5">
        <w:rPr>
          <w:rFonts w:ascii="Times New Roman" w:hAnsi="Times New Roman" w:cs="Times New Roman"/>
          <w:sz w:val="28"/>
          <w:szCs w:val="28"/>
          <w:lang w:val="en-US"/>
        </w:rPr>
        <w:t>Ig</w:t>
      </w:r>
      <w:r w:rsidR="005F0ED0" w:rsidRPr="003005D5">
        <w:rPr>
          <w:rFonts w:ascii="Times New Roman" w:hAnsi="Times New Roman" w:cs="Times New Roman"/>
          <w:sz w:val="28"/>
          <w:szCs w:val="28"/>
        </w:rPr>
        <w:t xml:space="preserve"> </w:t>
      </w:r>
      <w:r w:rsidR="005F0ED0" w:rsidRPr="003005D5">
        <w:rPr>
          <w:rFonts w:ascii="Times New Roman" w:hAnsi="Times New Roman" w:cs="Times New Roman"/>
          <w:sz w:val="28"/>
          <w:szCs w:val="28"/>
          <w:lang w:val="uk-UA"/>
        </w:rPr>
        <w:t xml:space="preserve">А відсутні у недоношених. Відмінністю В-лімфоцитів є </w:t>
      </w:r>
      <w:proofErr w:type="spellStart"/>
      <w:r w:rsidR="005F0ED0" w:rsidRPr="003005D5">
        <w:rPr>
          <w:rFonts w:ascii="Times New Roman" w:hAnsi="Times New Roman" w:cs="Times New Roman"/>
          <w:sz w:val="28"/>
          <w:szCs w:val="28"/>
          <w:lang w:val="uk-UA"/>
        </w:rPr>
        <w:t>атитілоутворення</w:t>
      </w:r>
      <w:proofErr w:type="spellEnd"/>
      <w:r w:rsidR="005F0ED0" w:rsidRPr="003005D5">
        <w:rPr>
          <w:rFonts w:ascii="Times New Roman" w:hAnsi="Times New Roman" w:cs="Times New Roman"/>
          <w:sz w:val="28"/>
          <w:szCs w:val="28"/>
          <w:lang w:val="uk-UA"/>
        </w:rPr>
        <w:t xml:space="preserve"> тільки  </w:t>
      </w:r>
      <w:r w:rsidR="005F0ED0" w:rsidRPr="003005D5">
        <w:rPr>
          <w:rFonts w:ascii="Times New Roman" w:hAnsi="Times New Roman" w:cs="Times New Roman"/>
          <w:sz w:val="28"/>
          <w:szCs w:val="28"/>
          <w:lang w:val="en-US"/>
        </w:rPr>
        <w:t>Ig</w:t>
      </w:r>
      <w:r w:rsidR="005F0ED0" w:rsidRPr="003005D5">
        <w:rPr>
          <w:rFonts w:ascii="Times New Roman" w:hAnsi="Times New Roman" w:cs="Times New Roman"/>
          <w:sz w:val="28"/>
          <w:szCs w:val="28"/>
          <w:lang w:val="uk-UA"/>
        </w:rPr>
        <w:t xml:space="preserve"> М нарівні з задовільною проліферацією та  відсутністю диференціювання у клітини пам’яті</w:t>
      </w:r>
      <w:r w:rsidR="00BC3D4A" w:rsidRPr="003005D5">
        <w:rPr>
          <w:rFonts w:ascii="Times New Roman" w:hAnsi="Times New Roman" w:cs="Times New Roman"/>
          <w:sz w:val="28"/>
          <w:szCs w:val="28"/>
          <w:lang w:val="uk-UA"/>
        </w:rPr>
        <w:t xml:space="preserve"> [</w:t>
      </w:r>
      <w:r w:rsidR="00EA4B8E">
        <w:rPr>
          <w:rFonts w:ascii="Times New Roman" w:hAnsi="Times New Roman" w:cs="Times New Roman"/>
          <w:sz w:val="28"/>
          <w:szCs w:val="28"/>
          <w:lang w:val="uk-UA"/>
        </w:rPr>
        <w:t>10</w:t>
      </w:r>
      <w:r w:rsidR="00BC3D4A" w:rsidRPr="003005D5">
        <w:rPr>
          <w:rFonts w:ascii="Times New Roman" w:hAnsi="Times New Roman" w:cs="Times New Roman"/>
          <w:sz w:val="28"/>
          <w:szCs w:val="28"/>
          <w:lang w:val="uk-UA"/>
        </w:rPr>
        <w:t>].</w:t>
      </w:r>
      <w:r w:rsidR="005F0ED0" w:rsidRPr="003005D5">
        <w:rPr>
          <w:rFonts w:ascii="Times New Roman" w:hAnsi="Times New Roman" w:cs="Times New Roman"/>
          <w:sz w:val="28"/>
          <w:szCs w:val="28"/>
          <w:lang w:val="uk-UA"/>
        </w:rPr>
        <w:t xml:space="preserve"> Таким чином</w:t>
      </w:r>
      <w:r w:rsidR="009F031D" w:rsidRPr="003005D5">
        <w:rPr>
          <w:rFonts w:ascii="Times New Roman" w:hAnsi="Times New Roman" w:cs="Times New Roman"/>
          <w:sz w:val="28"/>
          <w:szCs w:val="28"/>
          <w:lang w:val="uk-UA"/>
        </w:rPr>
        <w:t xml:space="preserve">, бронхолегенева дисплазія -  захворювання, що </w:t>
      </w:r>
      <w:r w:rsidR="003C5BC1" w:rsidRPr="003005D5">
        <w:rPr>
          <w:rFonts w:ascii="Times New Roman" w:hAnsi="Times New Roman" w:cs="Times New Roman"/>
          <w:sz w:val="28"/>
          <w:szCs w:val="28"/>
          <w:lang w:val="uk-UA"/>
        </w:rPr>
        <w:t xml:space="preserve">розвивається у дітей із </w:t>
      </w:r>
      <w:r w:rsidR="005F0ED0" w:rsidRPr="003005D5">
        <w:rPr>
          <w:rFonts w:ascii="Times New Roman" w:hAnsi="Times New Roman" w:cs="Times New Roman"/>
          <w:sz w:val="28"/>
          <w:szCs w:val="28"/>
          <w:lang w:val="uk-UA"/>
        </w:rPr>
        <w:t>вразлив</w:t>
      </w:r>
      <w:r w:rsidR="003C5BC1" w:rsidRPr="003005D5">
        <w:rPr>
          <w:rFonts w:ascii="Times New Roman" w:hAnsi="Times New Roman" w:cs="Times New Roman"/>
          <w:sz w:val="28"/>
          <w:szCs w:val="28"/>
          <w:lang w:val="uk-UA"/>
        </w:rPr>
        <w:t>ою</w:t>
      </w:r>
      <w:r w:rsidR="005F0ED0" w:rsidRPr="003005D5">
        <w:rPr>
          <w:rFonts w:ascii="Times New Roman" w:hAnsi="Times New Roman" w:cs="Times New Roman"/>
          <w:sz w:val="28"/>
          <w:szCs w:val="28"/>
          <w:lang w:val="uk-UA"/>
        </w:rPr>
        <w:t xml:space="preserve"> систем</w:t>
      </w:r>
      <w:r w:rsidR="003C5BC1" w:rsidRPr="003005D5">
        <w:rPr>
          <w:rFonts w:ascii="Times New Roman" w:hAnsi="Times New Roman" w:cs="Times New Roman"/>
          <w:sz w:val="28"/>
          <w:szCs w:val="28"/>
          <w:lang w:val="uk-UA"/>
        </w:rPr>
        <w:t>ою</w:t>
      </w:r>
      <w:r w:rsidR="005F0ED0" w:rsidRPr="003005D5">
        <w:rPr>
          <w:rFonts w:ascii="Times New Roman" w:hAnsi="Times New Roman" w:cs="Times New Roman"/>
          <w:sz w:val="28"/>
          <w:szCs w:val="28"/>
          <w:lang w:val="uk-UA"/>
        </w:rPr>
        <w:t xml:space="preserve"> місцевого імунітету </w:t>
      </w:r>
      <w:r w:rsidR="003E6FC0" w:rsidRPr="003005D5">
        <w:rPr>
          <w:rFonts w:ascii="Times New Roman" w:hAnsi="Times New Roman" w:cs="Times New Roman"/>
          <w:sz w:val="28"/>
          <w:szCs w:val="28"/>
          <w:lang w:val="uk-UA"/>
        </w:rPr>
        <w:t>слизових, наявніст</w:t>
      </w:r>
      <w:r w:rsidR="003C5BC1" w:rsidRPr="003005D5">
        <w:rPr>
          <w:rFonts w:ascii="Times New Roman" w:hAnsi="Times New Roman" w:cs="Times New Roman"/>
          <w:sz w:val="28"/>
          <w:szCs w:val="28"/>
          <w:lang w:val="uk-UA"/>
        </w:rPr>
        <w:t>ю</w:t>
      </w:r>
      <w:r w:rsidR="003E6FC0" w:rsidRPr="003005D5">
        <w:rPr>
          <w:rFonts w:ascii="Times New Roman" w:hAnsi="Times New Roman" w:cs="Times New Roman"/>
          <w:sz w:val="28"/>
          <w:szCs w:val="28"/>
          <w:lang w:val="uk-UA"/>
        </w:rPr>
        <w:t xml:space="preserve"> дефектів у клітинному та гуморальному </w:t>
      </w:r>
      <w:r w:rsidR="003C5BC1" w:rsidRPr="003005D5">
        <w:rPr>
          <w:rFonts w:ascii="Times New Roman" w:hAnsi="Times New Roman" w:cs="Times New Roman"/>
          <w:sz w:val="28"/>
          <w:szCs w:val="28"/>
          <w:lang w:val="uk-UA"/>
        </w:rPr>
        <w:t xml:space="preserve">ланцюгах, що дає можливим </w:t>
      </w:r>
      <w:proofErr w:type="spellStart"/>
      <w:r w:rsidR="003C5BC1" w:rsidRPr="003005D5">
        <w:rPr>
          <w:rFonts w:ascii="Times New Roman" w:hAnsi="Times New Roman" w:cs="Times New Roman"/>
          <w:sz w:val="28"/>
          <w:szCs w:val="28"/>
          <w:lang w:val="uk-UA"/>
        </w:rPr>
        <w:t>персистування</w:t>
      </w:r>
      <w:proofErr w:type="spellEnd"/>
      <w:r w:rsidR="003C5BC1" w:rsidRPr="003005D5">
        <w:rPr>
          <w:rFonts w:ascii="Times New Roman" w:hAnsi="Times New Roman" w:cs="Times New Roman"/>
          <w:sz w:val="28"/>
          <w:szCs w:val="28"/>
          <w:lang w:val="uk-UA"/>
        </w:rPr>
        <w:t xml:space="preserve"> хронічного запалення, індукованого як </w:t>
      </w:r>
      <w:proofErr w:type="spellStart"/>
      <w:r w:rsidR="003C5BC1" w:rsidRPr="003005D5">
        <w:rPr>
          <w:rFonts w:ascii="Times New Roman" w:hAnsi="Times New Roman" w:cs="Times New Roman"/>
          <w:sz w:val="28"/>
          <w:szCs w:val="28"/>
          <w:lang w:val="uk-UA"/>
        </w:rPr>
        <w:t>інфектом</w:t>
      </w:r>
      <w:proofErr w:type="spellEnd"/>
      <w:r w:rsidR="003C5BC1" w:rsidRPr="003005D5">
        <w:rPr>
          <w:rFonts w:ascii="Times New Roman" w:hAnsi="Times New Roman" w:cs="Times New Roman"/>
          <w:sz w:val="28"/>
          <w:szCs w:val="28"/>
          <w:lang w:val="uk-UA"/>
        </w:rPr>
        <w:t xml:space="preserve"> так і </w:t>
      </w:r>
      <w:proofErr w:type="spellStart"/>
      <w:r w:rsidR="003C5BC1" w:rsidRPr="003005D5">
        <w:rPr>
          <w:rFonts w:ascii="Times New Roman" w:hAnsi="Times New Roman" w:cs="Times New Roman"/>
          <w:sz w:val="28"/>
          <w:szCs w:val="28"/>
          <w:lang w:val="uk-UA"/>
        </w:rPr>
        <w:t>дисрегуляцією</w:t>
      </w:r>
      <w:proofErr w:type="spellEnd"/>
      <w:r w:rsidR="003C5BC1" w:rsidRPr="003005D5">
        <w:rPr>
          <w:rFonts w:ascii="Times New Roman" w:hAnsi="Times New Roman" w:cs="Times New Roman"/>
          <w:sz w:val="28"/>
          <w:szCs w:val="28"/>
          <w:lang w:val="uk-UA"/>
        </w:rPr>
        <w:t xml:space="preserve">  імунної відповіді. </w:t>
      </w:r>
    </w:p>
    <w:p w:rsidR="003C5BC1" w:rsidRPr="003005D5" w:rsidRDefault="003C5BC1" w:rsidP="007E0E0D">
      <w:pPr>
        <w:spacing w:after="0" w:line="360" w:lineRule="auto"/>
        <w:ind w:firstLine="708"/>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 xml:space="preserve">При розгляданні клінічної картини загострення БЛД слід </w:t>
      </w:r>
      <w:r w:rsidR="001430FA">
        <w:rPr>
          <w:rFonts w:ascii="Times New Roman" w:hAnsi="Times New Roman" w:cs="Times New Roman"/>
          <w:sz w:val="28"/>
          <w:szCs w:val="28"/>
          <w:lang w:val="uk-UA"/>
        </w:rPr>
        <w:t>виділяти</w:t>
      </w:r>
      <w:r w:rsidRPr="003005D5">
        <w:rPr>
          <w:rFonts w:ascii="Times New Roman" w:hAnsi="Times New Roman" w:cs="Times New Roman"/>
          <w:sz w:val="28"/>
          <w:szCs w:val="28"/>
          <w:lang w:val="uk-UA"/>
        </w:rPr>
        <w:t xml:space="preserve"> два важливих аспекти, потребуючих принц</w:t>
      </w:r>
      <w:r w:rsidR="009F5C3F" w:rsidRPr="003005D5">
        <w:rPr>
          <w:rFonts w:ascii="Times New Roman" w:hAnsi="Times New Roman" w:cs="Times New Roman"/>
          <w:sz w:val="28"/>
          <w:szCs w:val="28"/>
          <w:lang w:val="uk-UA"/>
        </w:rPr>
        <w:t xml:space="preserve">ипово </w:t>
      </w:r>
      <w:r w:rsidRPr="003005D5">
        <w:rPr>
          <w:rFonts w:ascii="Times New Roman" w:hAnsi="Times New Roman" w:cs="Times New Roman"/>
          <w:sz w:val="28"/>
          <w:szCs w:val="28"/>
          <w:lang w:val="uk-UA"/>
        </w:rPr>
        <w:t>різного підходу до лікування. По-перше, необхідно у</w:t>
      </w:r>
      <w:r w:rsidR="009F5C3F" w:rsidRPr="003005D5">
        <w:rPr>
          <w:rFonts w:ascii="Times New Roman" w:hAnsi="Times New Roman" w:cs="Times New Roman"/>
          <w:sz w:val="28"/>
          <w:szCs w:val="28"/>
          <w:lang w:val="uk-UA"/>
        </w:rPr>
        <w:t>ра</w:t>
      </w:r>
      <w:r w:rsidRPr="003005D5">
        <w:rPr>
          <w:rFonts w:ascii="Times New Roman" w:hAnsi="Times New Roman" w:cs="Times New Roman"/>
          <w:sz w:val="28"/>
          <w:szCs w:val="28"/>
          <w:lang w:val="uk-UA"/>
        </w:rPr>
        <w:t>ховуват</w:t>
      </w:r>
      <w:r w:rsidR="009F5C3F" w:rsidRPr="003005D5">
        <w:rPr>
          <w:rFonts w:ascii="Times New Roman" w:hAnsi="Times New Roman" w:cs="Times New Roman"/>
          <w:sz w:val="28"/>
          <w:szCs w:val="28"/>
          <w:lang w:val="uk-UA"/>
        </w:rPr>
        <w:t>и</w:t>
      </w:r>
      <w:r w:rsidRPr="003005D5">
        <w:rPr>
          <w:rFonts w:ascii="Times New Roman" w:hAnsi="Times New Roman" w:cs="Times New Roman"/>
          <w:sz w:val="28"/>
          <w:szCs w:val="28"/>
          <w:lang w:val="uk-UA"/>
        </w:rPr>
        <w:t xml:space="preserve"> </w:t>
      </w:r>
      <w:r w:rsidR="009F5C3F" w:rsidRPr="003005D5">
        <w:rPr>
          <w:rFonts w:ascii="Times New Roman" w:hAnsi="Times New Roman" w:cs="Times New Roman"/>
          <w:sz w:val="28"/>
          <w:szCs w:val="28"/>
          <w:lang w:val="uk-UA"/>
        </w:rPr>
        <w:t xml:space="preserve">здатність всіх вірусів, деяких бактерій та внутріклітинних мікроорганізмів до </w:t>
      </w:r>
      <w:proofErr w:type="spellStart"/>
      <w:r w:rsidR="009F5C3F" w:rsidRPr="003005D5">
        <w:rPr>
          <w:rFonts w:ascii="Times New Roman" w:hAnsi="Times New Roman" w:cs="Times New Roman"/>
          <w:sz w:val="28"/>
          <w:szCs w:val="28"/>
          <w:lang w:val="uk-UA"/>
        </w:rPr>
        <w:t>персистування</w:t>
      </w:r>
      <w:proofErr w:type="spellEnd"/>
      <w:r w:rsidR="009F5C3F" w:rsidRPr="003005D5">
        <w:rPr>
          <w:rFonts w:ascii="Times New Roman" w:hAnsi="Times New Roman" w:cs="Times New Roman"/>
          <w:sz w:val="28"/>
          <w:szCs w:val="28"/>
          <w:lang w:val="uk-UA"/>
        </w:rPr>
        <w:t xml:space="preserve"> і уникнення імунної відповіді. По-друге, у більшості випадків, особливості імунної відповіді дитини, де віруси грали роль тільки пускового фактору, з подальшим </w:t>
      </w:r>
      <w:r w:rsidR="002E3AAD" w:rsidRPr="003005D5">
        <w:rPr>
          <w:rFonts w:ascii="Times New Roman" w:hAnsi="Times New Roman" w:cs="Times New Roman"/>
          <w:sz w:val="28"/>
          <w:szCs w:val="28"/>
          <w:lang w:val="uk-UA"/>
        </w:rPr>
        <w:t>само підтримуванням</w:t>
      </w:r>
      <w:r w:rsidR="009F5C3F" w:rsidRPr="003005D5">
        <w:rPr>
          <w:rFonts w:ascii="Times New Roman" w:hAnsi="Times New Roman" w:cs="Times New Roman"/>
          <w:sz w:val="28"/>
          <w:szCs w:val="28"/>
          <w:lang w:val="uk-UA"/>
        </w:rPr>
        <w:t xml:space="preserve"> патологічного процесу, за рахунок неадекватної активності </w:t>
      </w:r>
      <w:proofErr w:type="spellStart"/>
      <w:r w:rsidR="009F5C3F" w:rsidRPr="003005D5">
        <w:rPr>
          <w:rFonts w:ascii="Times New Roman" w:hAnsi="Times New Roman" w:cs="Times New Roman"/>
          <w:sz w:val="28"/>
          <w:szCs w:val="28"/>
          <w:lang w:val="uk-UA"/>
        </w:rPr>
        <w:t>імунорегуляторних</w:t>
      </w:r>
      <w:proofErr w:type="spellEnd"/>
      <w:r w:rsidR="009F5C3F" w:rsidRPr="003005D5">
        <w:rPr>
          <w:rFonts w:ascii="Times New Roman" w:hAnsi="Times New Roman" w:cs="Times New Roman"/>
          <w:sz w:val="28"/>
          <w:szCs w:val="28"/>
          <w:lang w:val="uk-UA"/>
        </w:rPr>
        <w:t xml:space="preserve"> механізмів</w:t>
      </w:r>
      <w:r w:rsidR="00EA4B8E">
        <w:rPr>
          <w:rFonts w:ascii="Times New Roman" w:hAnsi="Times New Roman" w:cs="Times New Roman"/>
          <w:sz w:val="28"/>
          <w:szCs w:val="28"/>
          <w:lang w:val="uk-UA"/>
        </w:rPr>
        <w:t xml:space="preserve"> [8</w:t>
      </w:r>
      <w:r w:rsidR="00023CDE" w:rsidRPr="003005D5">
        <w:rPr>
          <w:rFonts w:ascii="Times New Roman" w:hAnsi="Times New Roman" w:cs="Times New Roman"/>
          <w:sz w:val="28"/>
          <w:szCs w:val="28"/>
          <w:lang w:val="uk-UA"/>
        </w:rPr>
        <w:t>]</w:t>
      </w:r>
      <w:r w:rsidR="009F5C3F" w:rsidRPr="003005D5">
        <w:rPr>
          <w:rFonts w:ascii="Times New Roman" w:hAnsi="Times New Roman" w:cs="Times New Roman"/>
          <w:sz w:val="28"/>
          <w:szCs w:val="28"/>
          <w:lang w:val="uk-UA"/>
        </w:rPr>
        <w:t xml:space="preserve">. </w:t>
      </w:r>
    </w:p>
    <w:p w:rsidR="00604D90" w:rsidRPr="003005D5" w:rsidRDefault="00A268F8" w:rsidP="007E0E0D">
      <w:pPr>
        <w:spacing w:after="0" w:line="360" w:lineRule="auto"/>
        <w:ind w:firstLine="708"/>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lastRenderedPageBreak/>
        <w:t xml:space="preserve">Гостре інфекційне захворювання, вважається міцним фактором активації </w:t>
      </w:r>
      <w:proofErr w:type="spellStart"/>
      <w:r w:rsidRPr="003005D5">
        <w:rPr>
          <w:rFonts w:ascii="Times New Roman" w:hAnsi="Times New Roman" w:cs="Times New Roman"/>
          <w:sz w:val="28"/>
          <w:szCs w:val="28"/>
          <w:lang w:val="uk-UA"/>
        </w:rPr>
        <w:t>імунокомпетентних</w:t>
      </w:r>
      <w:proofErr w:type="spellEnd"/>
      <w:r w:rsidRPr="003005D5">
        <w:rPr>
          <w:rFonts w:ascii="Times New Roman" w:hAnsi="Times New Roman" w:cs="Times New Roman"/>
          <w:sz w:val="28"/>
          <w:szCs w:val="28"/>
          <w:lang w:val="uk-UA"/>
        </w:rPr>
        <w:t xml:space="preserve"> клітин та продукцією неспецифічних цитокінів ФНО-α та ІЛ-1, які можуть  продукуватися недоношеними на достатньому рівні для гострого запалення. Через тиждень після дебюту захворювання головне значення починають наб</w:t>
      </w:r>
      <w:r w:rsidR="00227AB5" w:rsidRPr="003005D5">
        <w:rPr>
          <w:rFonts w:ascii="Times New Roman" w:hAnsi="Times New Roman" w:cs="Times New Roman"/>
          <w:sz w:val="28"/>
          <w:szCs w:val="28"/>
          <w:lang w:val="uk-UA"/>
        </w:rPr>
        <w:t>увати специфічні імунні реакції:</w:t>
      </w:r>
      <w:r w:rsidRPr="003005D5">
        <w:rPr>
          <w:rFonts w:ascii="Times New Roman" w:hAnsi="Times New Roman" w:cs="Times New Roman"/>
          <w:sz w:val="28"/>
          <w:szCs w:val="28"/>
          <w:lang w:val="uk-UA"/>
        </w:rPr>
        <w:t xml:space="preserve"> </w:t>
      </w:r>
      <w:r w:rsidR="00227AB5" w:rsidRPr="003005D5">
        <w:rPr>
          <w:rFonts w:ascii="Times New Roman" w:hAnsi="Times New Roman" w:cs="Times New Roman"/>
          <w:sz w:val="28"/>
          <w:szCs w:val="28"/>
          <w:lang w:val="uk-UA"/>
        </w:rPr>
        <w:t xml:space="preserve">В-клітинна активація з появою АТ до конкретних збудників, продукція </w:t>
      </w:r>
      <w:proofErr w:type="spellStart"/>
      <w:r w:rsidR="00227AB5" w:rsidRPr="003005D5">
        <w:rPr>
          <w:rFonts w:ascii="Times New Roman" w:hAnsi="Times New Roman" w:cs="Times New Roman"/>
          <w:sz w:val="28"/>
          <w:szCs w:val="28"/>
          <w:lang w:val="uk-UA"/>
        </w:rPr>
        <w:t>цитоксичних</w:t>
      </w:r>
      <w:proofErr w:type="spellEnd"/>
      <w:r w:rsidR="00227AB5" w:rsidRPr="003005D5">
        <w:rPr>
          <w:rFonts w:ascii="Times New Roman" w:hAnsi="Times New Roman" w:cs="Times New Roman"/>
          <w:sz w:val="28"/>
          <w:szCs w:val="28"/>
          <w:lang w:val="uk-UA"/>
        </w:rPr>
        <w:t xml:space="preserve"> Т-лімфоцитів</w:t>
      </w:r>
      <w:r w:rsidRPr="003005D5">
        <w:rPr>
          <w:rFonts w:ascii="Times New Roman" w:hAnsi="Times New Roman" w:cs="Times New Roman"/>
          <w:sz w:val="28"/>
          <w:szCs w:val="28"/>
          <w:lang w:val="uk-UA"/>
        </w:rPr>
        <w:t>.</w:t>
      </w:r>
      <w:r w:rsidR="00227AB5" w:rsidRPr="003005D5">
        <w:rPr>
          <w:rFonts w:ascii="Times New Roman" w:hAnsi="Times New Roman" w:cs="Times New Roman"/>
          <w:sz w:val="28"/>
          <w:szCs w:val="28"/>
          <w:lang w:val="uk-UA"/>
        </w:rPr>
        <w:t xml:space="preserve"> </w:t>
      </w:r>
      <w:r w:rsidR="009F6668" w:rsidRPr="003005D5">
        <w:rPr>
          <w:rFonts w:ascii="Times New Roman" w:hAnsi="Times New Roman" w:cs="Times New Roman"/>
          <w:sz w:val="28"/>
          <w:szCs w:val="28"/>
          <w:lang w:val="uk-UA"/>
        </w:rPr>
        <w:t xml:space="preserve">Друга фаза імунної відповіді обумовлює остаточну елімінацію збудника. При дефектах активації елементів другої фази, що характерно, як для недоношених,  так і для дітей с хронічними захворюваннями легенів, елімінація  антигену не є завершеною.  Виникає зберігання </w:t>
      </w:r>
      <w:r w:rsidR="00470F5C" w:rsidRPr="003005D5">
        <w:rPr>
          <w:rFonts w:ascii="Times New Roman" w:hAnsi="Times New Roman" w:cs="Times New Roman"/>
          <w:sz w:val="28"/>
          <w:szCs w:val="28"/>
          <w:lang w:val="uk-UA"/>
        </w:rPr>
        <w:t xml:space="preserve">збудника  у організмі хазяїна на тлі встановлення нових, близьких до нейтральних взаємовідносин, </w:t>
      </w:r>
      <w:proofErr w:type="spellStart"/>
      <w:r w:rsidR="00470F5C" w:rsidRPr="003005D5">
        <w:rPr>
          <w:rFonts w:ascii="Times New Roman" w:hAnsi="Times New Roman" w:cs="Times New Roman"/>
          <w:sz w:val="28"/>
          <w:szCs w:val="28"/>
          <w:lang w:val="uk-UA"/>
        </w:rPr>
        <w:t>інапарантна</w:t>
      </w:r>
      <w:proofErr w:type="spellEnd"/>
      <w:r w:rsidR="00470F5C" w:rsidRPr="003005D5">
        <w:rPr>
          <w:rFonts w:ascii="Times New Roman" w:hAnsi="Times New Roman" w:cs="Times New Roman"/>
          <w:sz w:val="28"/>
          <w:szCs w:val="28"/>
          <w:lang w:val="uk-UA"/>
        </w:rPr>
        <w:t xml:space="preserve"> інфекція чи  форму</w:t>
      </w:r>
      <w:r w:rsidR="007934BD" w:rsidRPr="003005D5">
        <w:rPr>
          <w:rFonts w:ascii="Times New Roman" w:hAnsi="Times New Roman" w:cs="Times New Roman"/>
          <w:sz w:val="28"/>
          <w:szCs w:val="28"/>
          <w:lang w:val="uk-UA"/>
        </w:rPr>
        <w:t xml:space="preserve">, що перебігає </w:t>
      </w:r>
      <w:r w:rsidR="00470F5C" w:rsidRPr="003005D5">
        <w:rPr>
          <w:rFonts w:ascii="Times New Roman" w:hAnsi="Times New Roman" w:cs="Times New Roman"/>
          <w:sz w:val="28"/>
          <w:szCs w:val="28"/>
          <w:lang w:val="uk-UA"/>
        </w:rPr>
        <w:t>зі стертою симптоматикою</w:t>
      </w:r>
      <w:r w:rsidR="00EA4B8E">
        <w:rPr>
          <w:rFonts w:ascii="Times New Roman" w:hAnsi="Times New Roman" w:cs="Times New Roman"/>
          <w:sz w:val="28"/>
          <w:szCs w:val="28"/>
          <w:lang w:val="uk-UA"/>
        </w:rPr>
        <w:t xml:space="preserve"> [9</w:t>
      </w:r>
      <w:r w:rsidR="00023CDE" w:rsidRPr="003005D5">
        <w:rPr>
          <w:rFonts w:ascii="Times New Roman" w:hAnsi="Times New Roman" w:cs="Times New Roman"/>
          <w:sz w:val="28"/>
          <w:szCs w:val="28"/>
          <w:lang w:val="uk-UA"/>
        </w:rPr>
        <w:t>].</w:t>
      </w:r>
      <w:r w:rsidR="00470F5C" w:rsidRPr="003005D5">
        <w:rPr>
          <w:rFonts w:ascii="Times New Roman" w:hAnsi="Times New Roman" w:cs="Times New Roman"/>
          <w:sz w:val="28"/>
          <w:szCs w:val="28"/>
          <w:lang w:val="uk-UA"/>
        </w:rPr>
        <w:t xml:space="preserve"> </w:t>
      </w:r>
    </w:p>
    <w:p w:rsidR="007934BD" w:rsidRPr="003005D5" w:rsidRDefault="00604D90" w:rsidP="007E0E0D">
      <w:pPr>
        <w:spacing w:after="0" w:line="360" w:lineRule="auto"/>
        <w:ind w:firstLine="708"/>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 xml:space="preserve">Всі віруси здатні до </w:t>
      </w:r>
      <w:proofErr w:type="spellStart"/>
      <w:r w:rsidRPr="003005D5">
        <w:rPr>
          <w:rFonts w:ascii="Times New Roman" w:hAnsi="Times New Roman" w:cs="Times New Roman"/>
          <w:sz w:val="28"/>
          <w:szCs w:val="28"/>
          <w:lang w:val="uk-UA"/>
        </w:rPr>
        <w:t>перситенції</w:t>
      </w:r>
      <w:proofErr w:type="spellEnd"/>
      <w:r w:rsidRPr="003005D5">
        <w:rPr>
          <w:rFonts w:ascii="Times New Roman" w:hAnsi="Times New Roman" w:cs="Times New Roman"/>
          <w:sz w:val="28"/>
          <w:szCs w:val="28"/>
          <w:lang w:val="uk-UA"/>
        </w:rPr>
        <w:t>. Так</w:t>
      </w:r>
      <w:r w:rsidR="009F031D" w:rsidRPr="003005D5">
        <w:rPr>
          <w:rFonts w:ascii="Times New Roman" w:hAnsi="Times New Roman" w:cs="Times New Roman"/>
          <w:sz w:val="28"/>
          <w:szCs w:val="28"/>
          <w:lang w:val="uk-UA"/>
        </w:rPr>
        <w:t>,</w:t>
      </w:r>
      <w:r w:rsidRPr="003005D5">
        <w:rPr>
          <w:rFonts w:ascii="Times New Roman" w:hAnsi="Times New Roman" w:cs="Times New Roman"/>
          <w:sz w:val="28"/>
          <w:szCs w:val="28"/>
          <w:lang w:val="uk-UA"/>
        </w:rPr>
        <w:t xml:space="preserve"> </w:t>
      </w:r>
      <w:proofErr w:type="spellStart"/>
      <w:r w:rsidRPr="003005D5">
        <w:rPr>
          <w:rFonts w:ascii="Times New Roman" w:hAnsi="Times New Roman" w:cs="Times New Roman"/>
          <w:sz w:val="28"/>
          <w:szCs w:val="28"/>
          <w:lang w:val="uk-UA"/>
        </w:rPr>
        <w:t>персистенція</w:t>
      </w:r>
      <w:proofErr w:type="spellEnd"/>
      <w:r w:rsidRPr="003005D5">
        <w:rPr>
          <w:rFonts w:ascii="Times New Roman" w:hAnsi="Times New Roman" w:cs="Times New Roman"/>
          <w:sz w:val="28"/>
          <w:szCs w:val="28"/>
          <w:lang w:val="uk-UA"/>
        </w:rPr>
        <w:t xml:space="preserve"> вірусу грипу може тривати до 2-3,5 місяців, а іноді до 17 місяців</w:t>
      </w:r>
      <w:r w:rsidR="00EA4B8E">
        <w:rPr>
          <w:rFonts w:ascii="Times New Roman" w:hAnsi="Times New Roman" w:cs="Times New Roman"/>
          <w:sz w:val="28"/>
          <w:szCs w:val="28"/>
          <w:lang w:val="uk-UA"/>
        </w:rPr>
        <w:t xml:space="preserve"> [4</w:t>
      </w:r>
      <w:r w:rsidR="00023CDE" w:rsidRPr="003005D5">
        <w:rPr>
          <w:rFonts w:ascii="Times New Roman" w:hAnsi="Times New Roman" w:cs="Times New Roman"/>
          <w:sz w:val="28"/>
          <w:szCs w:val="28"/>
          <w:lang w:val="uk-UA"/>
        </w:rPr>
        <w:t>].</w:t>
      </w:r>
      <w:r w:rsidRPr="003005D5">
        <w:rPr>
          <w:rFonts w:ascii="Times New Roman" w:hAnsi="Times New Roman" w:cs="Times New Roman"/>
          <w:sz w:val="28"/>
          <w:szCs w:val="28"/>
          <w:lang w:val="uk-UA"/>
        </w:rPr>
        <w:t xml:space="preserve"> Парагрип може знаходитися у епітелії бронхів до 3 місяців. Аденовіруси зберігається в фекаліях дітей раннього віку до 515 днів. </w:t>
      </w:r>
      <w:proofErr w:type="spellStart"/>
      <w:r w:rsidRPr="003005D5">
        <w:rPr>
          <w:rFonts w:ascii="Times New Roman" w:hAnsi="Times New Roman" w:cs="Times New Roman"/>
          <w:sz w:val="28"/>
          <w:szCs w:val="28"/>
          <w:lang w:val="uk-UA"/>
        </w:rPr>
        <w:t>Персистенція</w:t>
      </w:r>
      <w:proofErr w:type="spellEnd"/>
      <w:r w:rsidRPr="003005D5">
        <w:rPr>
          <w:rFonts w:ascii="Times New Roman" w:hAnsi="Times New Roman" w:cs="Times New Roman"/>
          <w:sz w:val="28"/>
          <w:szCs w:val="28"/>
          <w:lang w:val="uk-UA"/>
        </w:rPr>
        <w:t xml:space="preserve"> </w:t>
      </w:r>
      <w:r w:rsidRPr="003005D5">
        <w:rPr>
          <w:rFonts w:ascii="Times New Roman" w:hAnsi="Times New Roman" w:cs="Times New Roman"/>
          <w:sz w:val="28"/>
          <w:szCs w:val="28"/>
          <w:lang w:val="en-US"/>
        </w:rPr>
        <w:t>RS</w:t>
      </w:r>
      <w:proofErr w:type="spellStart"/>
      <w:r w:rsidRPr="003005D5">
        <w:rPr>
          <w:rFonts w:ascii="Times New Roman" w:hAnsi="Times New Roman" w:cs="Times New Roman"/>
          <w:sz w:val="28"/>
          <w:szCs w:val="28"/>
          <w:lang w:val="uk-UA"/>
        </w:rPr>
        <w:t>-вірусу</w:t>
      </w:r>
      <w:proofErr w:type="spellEnd"/>
      <w:r w:rsidRPr="003005D5">
        <w:rPr>
          <w:rFonts w:ascii="Times New Roman" w:hAnsi="Times New Roman" w:cs="Times New Roman"/>
          <w:sz w:val="28"/>
          <w:szCs w:val="28"/>
          <w:lang w:val="uk-UA"/>
        </w:rPr>
        <w:t xml:space="preserve"> можлива від 3 місяців до 1 року</w:t>
      </w:r>
      <w:r w:rsidR="00D23545">
        <w:rPr>
          <w:rFonts w:ascii="Times New Roman" w:hAnsi="Times New Roman" w:cs="Times New Roman"/>
          <w:sz w:val="28"/>
          <w:szCs w:val="28"/>
          <w:lang w:val="uk-UA"/>
        </w:rPr>
        <w:t xml:space="preserve"> [3</w:t>
      </w:r>
      <w:r w:rsidR="00023CDE" w:rsidRPr="003005D5">
        <w:rPr>
          <w:rFonts w:ascii="Times New Roman" w:hAnsi="Times New Roman" w:cs="Times New Roman"/>
          <w:sz w:val="28"/>
          <w:szCs w:val="28"/>
          <w:lang w:val="uk-UA"/>
        </w:rPr>
        <w:t>]</w:t>
      </w:r>
      <w:r w:rsidRPr="003005D5">
        <w:rPr>
          <w:rFonts w:ascii="Times New Roman" w:hAnsi="Times New Roman" w:cs="Times New Roman"/>
          <w:sz w:val="28"/>
          <w:szCs w:val="28"/>
          <w:lang w:val="uk-UA"/>
        </w:rPr>
        <w:t>.</w:t>
      </w:r>
      <w:r w:rsidR="001805D0" w:rsidRPr="003005D5">
        <w:rPr>
          <w:rFonts w:ascii="Times New Roman" w:hAnsi="Times New Roman" w:cs="Times New Roman"/>
          <w:sz w:val="28"/>
          <w:szCs w:val="28"/>
          <w:lang w:val="uk-UA"/>
        </w:rPr>
        <w:t xml:space="preserve"> Віруси групи </w:t>
      </w:r>
      <w:proofErr w:type="spellStart"/>
      <w:r w:rsidR="001805D0" w:rsidRPr="003005D5">
        <w:rPr>
          <w:rFonts w:ascii="Times New Roman" w:hAnsi="Times New Roman" w:cs="Times New Roman"/>
          <w:sz w:val="28"/>
          <w:szCs w:val="28"/>
          <w:lang w:val="uk-UA"/>
        </w:rPr>
        <w:t>герпесу</w:t>
      </w:r>
      <w:proofErr w:type="spellEnd"/>
      <w:r w:rsidR="001805D0" w:rsidRPr="003005D5">
        <w:rPr>
          <w:rFonts w:ascii="Times New Roman" w:hAnsi="Times New Roman" w:cs="Times New Roman"/>
          <w:sz w:val="28"/>
          <w:szCs w:val="28"/>
          <w:lang w:val="uk-UA"/>
        </w:rPr>
        <w:t xml:space="preserve">, в </w:t>
      </w:r>
      <w:proofErr w:type="spellStart"/>
      <w:r w:rsidR="001805D0" w:rsidRPr="003005D5">
        <w:rPr>
          <w:rFonts w:ascii="Times New Roman" w:hAnsi="Times New Roman" w:cs="Times New Roman"/>
          <w:sz w:val="28"/>
          <w:szCs w:val="28"/>
          <w:lang w:val="uk-UA"/>
        </w:rPr>
        <w:t>інаппарантій</w:t>
      </w:r>
      <w:proofErr w:type="spellEnd"/>
      <w:r w:rsidR="001805D0" w:rsidRPr="003005D5">
        <w:rPr>
          <w:rFonts w:ascii="Times New Roman" w:hAnsi="Times New Roman" w:cs="Times New Roman"/>
          <w:sz w:val="28"/>
          <w:szCs w:val="28"/>
          <w:lang w:val="uk-UA"/>
        </w:rPr>
        <w:t xml:space="preserve"> формі, можуть роками зберігатися у гангліях, епітелії, лімфатичній системі.  Очевидно, що тривала </w:t>
      </w:r>
      <w:proofErr w:type="spellStart"/>
      <w:r w:rsidR="001805D0" w:rsidRPr="003005D5">
        <w:rPr>
          <w:rFonts w:ascii="Times New Roman" w:hAnsi="Times New Roman" w:cs="Times New Roman"/>
          <w:sz w:val="28"/>
          <w:szCs w:val="28"/>
          <w:lang w:val="uk-UA"/>
        </w:rPr>
        <w:t>персистенція</w:t>
      </w:r>
      <w:proofErr w:type="spellEnd"/>
      <w:r w:rsidR="001805D0" w:rsidRPr="003005D5">
        <w:rPr>
          <w:rFonts w:ascii="Times New Roman" w:hAnsi="Times New Roman" w:cs="Times New Roman"/>
          <w:sz w:val="28"/>
          <w:szCs w:val="28"/>
          <w:lang w:val="uk-UA"/>
        </w:rPr>
        <w:t xml:space="preserve"> мікрофлори потребує витонченої тактики уникнення контролю імунної системи хазяїна. Ця такт</w:t>
      </w:r>
      <w:r w:rsidR="002E3AAD">
        <w:rPr>
          <w:rFonts w:ascii="Times New Roman" w:hAnsi="Times New Roman" w:cs="Times New Roman"/>
          <w:sz w:val="28"/>
          <w:szCs w:val="28"/>
          <w:lang w:val="uk-UA"/>
        </w:rPr>
        <w:t>ика включає стратегії: «</w:t>
      </w:r>
      <w:r w:rsidR="001805D0" w:rsidRPr="003005D5">
        <w:rPr>
          <w:rFonts w:ascii="Times New Roman" w:hAnsi="Times New Roman" w:cs="Times New Roman"/>
          <w:sz w:val="28"/>
          <w:szCs w:val="28"/>
          <w:lang w:val="uk-UA"/>
        </w:rPr>
        <w:t xml:space="preserve">тайної присутності», що дозволяє уникнути миттєве розпізнавання імунною системою хазяїна; «саботажу» - ураження механізмів  імунного захисту; «експлуатації» - використання механізмів імунітету у своїх інтересах. </w:t>
      </w:r>
      <w:r w:rsidR="008C0A13" w:rsidRPr="003005D5">
        <w:rPr>
          <w:rFonts w:ascii="Times New Roman" w:hAnsi="Times New Roman" w:cs="Times New Roman"/>
          <w:sz w:val="28"/>
          <w:szCs w:val="28"/>
          <w:lang w:val="uk-UA"/>
        </w:rPr>
        <w:t xml:space="preserve">Підкреслюємо, що саме дефекти реактивності імунного гомеостазу, </w:t>
      </w:r>
      <w:r w:rsidR="009F031D" w:rsidRPr="003005D5">
        <w:rPr>
          <w:rFonts w:ascii="Times New Roman" w:hAnsi="Times New Roman" w:cs="Times New Roman"/>
          <w:sz w:val="28"/>
          <w:szCs w:val="28"/>
          <w:lang w:val="uk-UA"/>
        </w:rPr>
        <w:t>можуть</w:t>
      </w:r>
      <w:r w:rsidR="008C0A13" w:rsidRPr="003005D5">
        <w:rPr>
          <w:rFonts w:ascii="Times New Roman" w:hAnsi="Times New Roman" w:cs="Times New Roman"/>
          <w:sz w:val="28"/>
          <w:szCs w:val="28"/>
          <w:lang w:val="uk-UA"/>
        </w:rPr>
        <w:t xml:space="preserve"> поляга</w:t>
      </w:r>
      <w:r w:rsidR="009F031D" w:rsidRPr="003005D5">
        <w:rPr>
          <w:rFonts w:ascii="Times New Roman" w:hAnsi="Times New Roman" w:cs="Times New Roman"/>
          <w:sz w:val="28"/>
          <w:szCs w:val="28"/>
          <w:lang w:val="uk-UA"/>
        </w:rPr>
        <w:t>ти</w:t>
      </w:r>
      <w:r w:rsidR="008C0A13" w:rsidRPr="003005D5">
        <w:rPr>
          <w:rFonts w:ascii="Times New Roman" w:hAnsi="Times New Roman" w:cs="Times New Roman"/>
          <w:sz w:val="28"/>
          <w:szCs w:val="28"/>
          <w:lang w:val="uk-UA"/>
        </w:rPr>
        <w:t xml:space="preserve"> у основі  тяжкого, </w:t>
      </w:r>
      <w:r w:rsidR="009F031D" w:rsidRPr="003005D5">
        <w:rPr>
          <w:rFonts w:ascii="Times New Roman" w:hAnsi="Times New Roman" w:cs="Times New Roman"/>
          <w:sz w:val="28"/>
          <w:szCs w:val="28"/>
          <w:lang w:val="uk-UA"/>
        </w:rPr>
        <w:t>тривалого</w:t>
      </w:r>
      <w:r w:rsidR="00AA2E76" w:rsidRPr="003005D5">
        <w:rPr>
          <w:rFonts w:ascii="Times New Roman" w:hAnsi="Times New Roman" w:cs="Times New Roman"/>
          <w:sz w:val="28"/>
          <w:szCs w:val="28"/>
          <w:lang w:val="uk-UA"/>
        </w:rPr>
        <w:t>, ускладненого</w:t>
      </w:r>
      <w:r w:rsidR="009F031D" w:rsidRPr="003005D5">
        <w:rPr>
          <w:rFonts w:ascii="Times New Roman" w:hAnsi="Times New Roman" w:cs="Times New Roman"/>
          <w:sz w:val="28"/>
          <w:szCs w:val="28"/>
          <w:lang w:val="uk-UA"/>
        </w:rPr>
        <w:t xml:space="preserve"> загострення БЛД</w:t>
      </w:r>
      <w:r w:rsidR="003005D5" w:rsidRPr="003005D5">
        <w:rPr>
          <w:rFonts w:ascii="Times New Roman" w:hAnsi="Times New Roman" w:cs="Times New Roman"/>
          <w:sz w:val="28"/>
          <w:szCs w:val="28"/>
        </w:rPr>
        <w:t xml:space="preserve"> </w:t>
      </w:r>
      <w:r w:rsidR="003005D5" w:rsidRPr="003005D5">
        <w:rPr>
          <w:rFonts w:ascii="Times New Roman" w:hAnsi="Times New Roman" w:cs="Times New Roman"/>
          <w:sz w:val="28"/>
          <w:szCs w:val="28"/>
          <w:lang w:val="uk-UA"/>
        </w:rPr>
        <w:t>[</w:t>
      </w:r>
      <w:r w:rsidR="00D23545">
        <w:rPr>
          <w:rFonts w:ascii="Times New Roman" w:hAnsi="Times New Roman" w:cs="Times New Roman"/>
          <w:sz w:val="28"/>
          <w:szCs w:val="28"/>
          <w:lang w:val="uk-UA"/>
        </w:rPr>
        <w:t>10</w:t>
      </w:r>
      <w:r w:rsidR="003005D5" w:rsidRPr="003005D5">
        <w:rPr>
          <w:rFonts w:ascii="Times New Roman" w:hAnsi="Times New Roman" w:cs="Times New Roman"/>
          <w:sz w:val="28"/>
          <w:szCs w:val="28"/>
          <w:lang w:val="uk-UA"/>
        </w:rPr>
        <w:t>]</w:t>
      </w:r>
      <w:r w:rsidR="009F031D" w:rsidRPr="003005D5">
        <w:rPr>
          <w:rFonts w:ascii="Times New Roman" w:hAnsi="Times New Roman" w:cs="Times New Roman"/>
          <w:sz w:val="28"/>
          <w:szCs w:val="28"/>
          <w:lang w:val="uk-UA"/>
        </w:rPr>
        <w:t xml:space="preserve">. </w:t>
      </w:r>
      <w:r w:rsidR="008C0A13" w:rsidRPr="003005D5">
        <w:rPr>
          <w:rFonts w:ascii="Times New Roman" w:hAnsi="Times New Roman" w:cs="Times New Roman"/>
          <w:sz w:val="28"/>
          <w:szCs w:val="28"/>
          <w:lang w:val="uk-UA"/>
        </w:rPr>
        <w:t xml:space="preserve"> </w:t>
      </w:r>
    </w:p>
    <w:p w:rsidR="007E0E0D" w:rsidRPr="003005D5" w:rsidRDefault="00765229" w:rsidP="000D7CBD">
      <w:pPr>
        <w:spacing w:after="0" w:line="360" w:lineRule="auto"/>
        <w:ind w:firstLine="708"/>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 xml:space="preserve">Таким чином, високий </w:t>
      </w:r>
      <w:r w:rsidR="00AA2E76" w:rsidRPr="003005D5">
        <w:rPr>
          <w:rFonts w:ascii="Times New Roman" w:hAnsi="Times New Roman" w:cs="Times New Roman"/>
          <w:sz w:val="28"/>
          <w:szCs w:val="28"/>
          <w:lang w:val="uk-UA"/>
        </w:rPr>
        <w:t xml:space="preserve"> ризик загострення бронхолегеневої дисплазії, </w:t>
      </w:r>
      <w:proofErr w:type="spellStart"/>
      <w:r w:rsidR="00AA2E76" w:rsidRPr="003005D5">
        <w:rPr>
          <w:rFonts w:ascii="Times New Roman" w:hAnsi="Times New Roman" w:cs="Times New Roman"/>
          <w:sz w:val="28"/>
          <w:szCs w:val="28"/>
          <w:lang w:val="uk-UA"/>
        </w:rPr>
        <w:t>персистенції</w:t>
      </w:r>
      <w:proofErr w:type="spellEnd"/>
      <w:r w:rsidR="00AA2E76" w:rsidRPr="003005D5">
        <w:rPr>
          <w:rFonts w:ascii="Times New Roman" w:hAnsi="Times New Roman" w:cs="Times New Roman"/>
          <w:sz w:val="28"/>
          <w:szCs w:val="28"/>
          <w:lang w:val="uk-UA"/>
        </w:rPr>
        <w:t xml:space="preserve"> збудника на тлі </w:t>
      </w:r>
      <w:proofErr w:type="spellStart"/>
      <w:r w:rsidR="00AA2E76" w:rsidRPr="003005D5">
        <w:rPr>
          <w:rFonts w:ascii="Times New Roman" w:hAnsi="Times New Roman" w:cs="Times New Roman"/>
          <w:sz w:val="28"/>
          <w:szCs w:val="28"/>
          <w:lang w:val="uk-UA"/>
        </w:rPr>
        <w:t>дисрегуляції</w:t>
      </w:r>
      <w:proofErr w:type="spellEnd"/>
      <w:r w:rsidR="00AA2E76" w:rsidRPr="003005D5">
        <w:rPr>
          <w:rFonts w:ascii="Times New Roman" w:hAnsi="Times New Roman" w:cs="Times New Roman"/>
          <w:sz w:val="28"/>
          <w:szCs w:val="28"/>
          <w:lang w:val="uk-UA"/>
        </w:rPr>
        <w:t xml:space="preserve">  імунної відповіді можуть обумовлювати тяжкість перебігу БЛД, тривалість загострення та </w:t>
      </w:r>
      <w:proofErr w:type="spellStart"/>
      <w:r w:rsidR="00AA2E76" w:rsidRPr="003005D5">
        <w:rPr>
          <w:rFonts w:ascii="Times New Roman" w:hAnsi="Times New Roman" w:cs="Times New Roman"/>
          <w:sz w:val="28"/>
          <w:szCs w:val="28"/>
          <w:lang w:val="uk-UA"/>
        </w:rPr>
        <w:t>інгібіцію</w:t>
      </w:r>
      <w:proofErr w:type="spellEnd"/>
      <w:r w:rsidR="00AA2E76" w:rsidRPr="003005D5">
        <w:rPr>
          <w:rFonts w:ascii="Times New Roman" w:hAnsi="Times New Roman" w:cs="Times New Roman"/>
          <w:sz w:val="28"/>
          <w:szCs w:val="28"/>
          <w:lang w:val="uk-UA"/>
        </w:rPr>
        <w:t xml:space="preserve"> </w:t>
      </w:r>
      <w:r w:rsidR="00AA2E76" w:rsidRPr="003005D5">
        <w:rPr>
          <w:rFonts w:ascii="Times New Roman" w:hAnsi="Times New Roman" w:cs="Times New Roman"/>
          <w:sz w:val="28"/>
          <w:szCs w:val="28"/>
          <w:lang w:val="uk-UA"/>
        </w:rPr>
        <w:lastRenderedPageBreak/>
        <w:t xml:space="preserve">репаративних процесів у легенях, дитини що народилась передчасно.  </w:t>
      </w:r>
      <w:r w:rsidR="007B2555" w:rsidRPr="003005D5">
        <w:rPr>
          <w:rFonts w:ascii="Times New Roman" w:hAnsi="Times New Roman" w:cs="Times New Roman"/>
          <w:sz w:val="28"/>
          <w:szCs w:val="28"/>
          <w:lang w:val="uk-UA"/>
        </w:rPr>
        <w:t>Нарівні з тим, р</w:t>
      </w:r>
      <w:r w:rsidR="00F90096" w:rsidRPr="003005D5">
        <w:rPr>
          <w:rFonts w:ascii="Times New Roman" w:hAnsi="Times New Roman" w:cs="Times New Roman"/>
          <w:sz w:val="28"/>
          <w:szCs w:val="28"/>
          <w:lang w:val="uk-UA"/>
        </w:rPr>
        <w:t xml:space="preserve">обот щодо імунологічних особливостей </w:t>
      </w:r>
      <w:r w:rsidR="007B2555" w:rsidRPr="003005D5">
        <w:rPr>
          <w:rFonts w:ascii="Times New Roman" w:hAnsi="Times New Roman" w:cs="Times New Roman"/>
          <w:sz w:val="28"/>
          <w:szCs w:val="28"/>
          <w:lang w:val="uk-UA"/>
        </w:rPr>
        <w:t xml:space="preserve">недоношених </w:t>
      </w:r>
      <w:r w:rsidR="00F90096" w:rsidRPr="003005D5">
        <w:rPr>
          <w:rFonts w:ascii="Times New Roman" w:hAnsi="Times New Roman" w:cs="Times New Roman"/>
          <w:sz w:val="28"/>
          <w:szCs w:val="28"/>
          <w:lang w:val="uk-UA"/>
        </w:rPr>
        <w:t>новонароджених</w:t>
      </w:r>
      <w:r w:rsidR="007B2555" w:rsidRPr="003005D5">
        <w:rPr>
          <w:rFonts w:ascii="Times New Roman" w:hAnsi="Times New Roman" w:cs="Times New Roman"/>
          <w:sz w:val="28"/>
          <w:szCs w:val="28"/>
          <w:lang w:val="uk-UA"/>
        </w:rPr>
        <w:t xml:space="preserve"> обмаль. А щодо </w:t>
      </w:r>
      <w:proofErr w:type="spellStart"/>
      <w:r w:rsidR="000D7CBD" w:rsidRPr="003005D5">
        <w:rPr>
          <w:rFonts w:ascii="Times New Roman" w:hAnsi="Times New Roman" w:cs="Times New Roman"/>
          <w:sz w:val="28"/>
          <w:szCs w:val="28"/>
          <w:lang w:val="uk-UA"/>
        </w:rPr>
        <w:t>бронхоленегевої</w:t>
      </w:r>
      <w:proofErr w:type="spellEnd"/>
      <w:r w:rsidR="000D7CBD" w:rsidRPr="003005D5">
        <w:rPr>
          <w:rFonts w:ascii="Times New Roman" w:hAnsi="Times New Roman" w:cs="Times New Roman"/>
          <w:sz w:val="28"/>
          <w:szCs w:val="28"/>
          <w:lang w:val="uk-UA"/>
        </w:rPr>
        <w:t xml:space="preserve"> дисплазії - </w:t>
      </w:r>
      <w:r w:rsidR="007B2555" w:rsidRPr="003005D5">
        <w:rPr>
          <w:rFonts w:ascii="Times New Roman" w:hAnsi="Times New Roman" w:cs="Times New Roman"/>
          <w:sz w:val="28"/>
          <w:szCs w:val="28"/>
          <w:lang w:val="uk-UA"/>
        </w:rPr>
        <w:t xml:space="preserve">не знайдено зовсім. </w:t>
      </w:r>
      <w:r w:rsidR="00F90096" w:rsidRPr="003005D5">
        <w:rPr>
          <w:rFonts w:ascii="Times New Roman" w:hAnsi="Times New Roman" w:cs="Times New Roman"/>
          <w:sz w:val="28"/>
          <w:szCs w:val="28"/>
          <w:lang w:val="uk-UA"/>
        </w:rPr>
        <w:t xml:space="preserve"> </w:t>
      </w:r>
    </w:p>
    <w:p w:rsidR="007B2555" w:rsidRPr="003005D5" w:rsidRDefault="007B2555" w:rsidP="000E7531">
      <w:pPr>
        <w:spacing w:after="0" w:line="360" w:lineRule="auto"/>
        <w:jc w:val="both"/>
        <w:rPr>
          <w:rFonts w:ascii="Times New Roman" w:hAnsi="Times New Roman" w:cs="Times New Roman"/>
          <w:sz w:val="28"/>
          <w:szCs w:val="28"/>
          <w:lang w:val="uk-UA"/>
        </w:rPr>
      </w:pPr>
      <w:r w:rsidRPr="003005D5">
        <w:rPr>
          <w:rFonts w:ascii="Times New Roman" w:hAnsi="Times New Roman" w:cs="Times New Roman"/>
          <w:b/>
          <w:sz w:val="28"/>
          <w:szCs w:val="28"/>
          <w:lang w:val="uk-UA"/>
        </w:rPr>
        <w:t xml:space="preserve">Мета: </w:t>
      </w:r>
      <w:r w:rsidR="0041052B" w:rsidRPr="003005D5">
        <w:rPr>
          <w:rFonts w:ascii="Times New Roman" w:hAnsi="Times New Roman" w:cs="Times New Roman"/>
          <w:sz w:val="28"/>
          <w:szCs w:val="28"/>
          <w:lang w:val="uk-UA"/>
        </w:rPr>
        <w:t xml:space="preserve">удосконалення діагностики </w:t>
      </w:r>
      <w:r w:rsidR="00F52ED0" w:rsidRPr="003005D5">
        <w:rPr>
          <w:rFonts w:ascii="Times New Roman" w:hAnsi="Times New Roman" w:cs="Times New Roman"/>
          <w:sz w:val="28"/>
          <w:szCs w:val="28"/>
          <w:lang w:val="uk-UA"/>
        </w:rPr>
        <w:t>імунно</w:t>
      </w:r>
      <w:r w:rsidR="0041052B" w:rsidRPr="003005D5">
        <w:rPr>
          <w:rFonts w:ascii="Times New Roman" w:hAnsi="Times New Roman" w:cs="Times New Roman"/>
          <w:sz w:val="28"/>
          <w:szCs w:val="28"/>
          <w:lang w:val="uk-UA"/>
        </w:rPr>
        <w:t xml:space="preserve">го статусу </w:t>
      </w:r>
      <w:r w:rsidR="000D7CBD" w:rsidRPr="003005D5">
        <w:rPr>
          <w:rFonts w:ascii="Times New Roman" w:hAnsi="Times New Roman" w:cs="Times New Roman"/>
          <w:sz w:val="28"/>
          <w:szCs w:val="28"/>
          <w:lang w:val="uk-UA"/>
        </w:rPr>
        <w:t xml:space="preserve">у дітей хворих на </w:t>
      </w:r>
      <w:r w:rsidR="000E7531" w:rsidRPr="003005D5">
        <w:rPr>
          <w:rFonts w:ascii="Times New Roman" w:hAnsi="Times New Roman" w:cs="Times New Roman"/>
          <w:sz w:val="28"/>
          <w:szCs w:val="28"/>
          <w:lang w:val="uk-UA"/>
        </w:rPr>
        <w:t xml:space="preserve">бронхолегеневу дисплазію </w:t>
      </w:r>
      <w:r w:rsidR="000D7CBD" w:rsidRPr="003005D5">
        <w:rPr>
          <w:rFonts w:ascii="Times New Roman" w:hAnsi="Times New Roman" w:cs="Times New Roman"/>
          <w:sz w:val="28"/>
          <w:szCs w:val="28"/>
          <w:lang w:val="uk-UA"/>
        </w:rPr>
        <w:t xml:space="preserve"> шляхом </w:t>
      </w:r>
      <w:r w:rsidR="000E7531" w:rsidRPr="003005D5">
        <w:rPr>
          <w:rFonts w:ascii="Times New Roman" w:hAnsi="Times New Roman" w:cs="Times New Roman"/>
          <w:sz w:val="28"/>
          <w:szCs w:val="28"/>
          <w:lang w:val="uk-UA"/>
        </w:rPr>
        <w:t>проведення</w:t>
      </w:r>
      <w:r w:rsidR="000D7CBD" w:rsidRPr="003005D5">
        <w:rPr>
          <w:rFonts w:ascii="Times New Roman" w:hAnsi="Times New Roman" w:cs="Times New Roman"/>
          <w:sz w:val="28"/>
          <w:szCs w:val="28"/>
          <w:lang w:val="uk-UA"/>
        </w:rPr>
        <w:t xml:space="preserve"> першого та другого рівня імунологічних досліджень </w:t>
      </w:r>
      <w:r w:rsidR="000E7531" w:rsidRPr="003005D5">
        <w:rPr>
          <w:rFonts w:ascii="Times New Roman" w:hAnsi="Times New Roman" w:cs="Times New Roman"/>
          <w:sz w:val="28"/>
          <w:szCs w:val="28"/>
          <w:lang w:val="uk-UA"/>
        </w:rPr>
        <w:t xml:space="preserve">у періоди загострення та ремісії захворювання. </w:t>
      </w:r>
    </w:p>
    <w:p w:rsidR="000E7531" w:rsidRPr="003005D5" w:rsidRDefault="000E7531" w:rsidP="000E7531">
      <w:pPr>
        <w:spacing w:after="0" w:line="360" w:lineRule="auto"/>
        <w:jc w:val="both"/>
        <w:rPr>
          <w:rFonts w:ascii="Times New Roman" w:hAnsi="Times New Roman" w:cs="Times New Roman"/>
          <w:sz w:val="28"/>
          <w:szCs w:val="28"/>
          <w:lang w:val="uk-UA"/>
        </w:rPr>
      </w:pPr>
      <w:r w:rsidRPr="003005D5">
        <w:rPr>
          <w:rFonts w:ascii="Times New Roman" w:hAnsi="Times New Roman" w:cs="Times New Roman"/>
          <w:b/>
          <w:sz w:val="28"/>
          <w:szCs w:val="28"/>
          <w:lang w:val="uk-UA"/>
        </w:rPr>
        <w:t xml:space="preserve">Матеріали і методи: </w:t>
      </w:r>
      <w:r w:rsidRPr="003005D5">
        <w:rPr>
          <w:rFonts w:ascii="Times New Roman" w:hAnsi="Times New Roman" w:cs="Times New Roman"/>
          <w:sz w:val="28"/>
          <w:szCs w:val="28"/>
          <w:lang w:val="uk-UA"/>
        </w:rPr>
        <w:t>дослідження проводилося</w:t>
      </w:r>
      <w:r w:rsidR="008111A3" w:rsidRPr="003005D5">
        <w:rPr>
          <w:rFonts w:ascii="Times New Roman" w:hAnsi="Times New Roman" w:cs="Times New Roman"/>
          <w:sz w:val="28"/>
          <w:szCs w:val="28"/>
          <w:lang w:val="uk-UA"/>
        </w:rPr>
        <w:t xml:space="preserve">  на</w:t>
      </w:r>
      <w:r w:rsidRPr="003005D5">
        <w:rPr>
          <w:rFonts w:ascii="Times New Roman" w:hAnsi="Times New Roman" w:cs="Times New Roman"/>
          <w:sz w:val="28"/>
          <w:szCs w:val="28"/>
          <w:lang w:val="uk-UA"/>
        </w:rPr>
        <w:t xml:space="preserve"> кафедр</w:t>
      </w:r>
      <w:r w:rsidR="008111A3" w:rsidRPr="003005D5">
        <w:rPr>
          <w:rFonts w:ascii="Times New Roman" w:hAnsi="Times New Roman" w:cs="Times New Roman"/>
          <w:sz w:val="28"/>
          <w:szCs w:val="28"/>
          <w:lang w:val="uk-UA"/>
        </w:rPr>
        <w:t>і</w:t>
      </w:r>
      <w:r w:rsidRPr="003005D5">
        <w:rPr>
          <w:rFonts w:ascii="Times New Roman" w:hAnsi="Times New Roman" w:cs="Times New Roman"/>
          <w:sz w:val="28"/>
          <w:szCs w:val="28"/>
          <w:lang w:val="uk-UA"/>
        </w:rPr>
        <w:t xml:space="preserve"> педіатрії №1 </w:t>
      </w:r>
      <w:r w:rsidR="008111A3" w:rsidRPr="003005D5">
        <w:rPr>
          <w:rFonts w:ascii="Times New Roman" w:hAnsi="Times New Roman" w:cs="Times New Roman"/>
          <w:sz w:val="28"/>
          <w:szCs w:val="28"/>
          <w:lang w:val="uk-UA"/>
        </w:rPr>
        <w:t>та</w:t>
      </w:r>
      <w:r w:rsidRPr="003005D5">
        <w:rPr>
          <w:rFonts w:ascii="Times New Roman" w:hAnsi="Times New Roman" w:cs="Times New Roman"/>
          <w:sz w:val="28"/>
          <w:szCs w:val="28"/>
          <w:lang w:val="uk-UA"/>
        </w:rPr>
        <w:t xml:space="preserve"> неонатології  Харківського національного медичного університету (зав. кафедри - Г.С.</w:t>
      </w:r>
      <w:proofErr w:type="spellStart"/>
      <w:r w:rsidRPr="003005D5">
        <w:rPr>
          <w:rFonts w:ascii="Times New Roman" w:hAnsi="Times New Roman" w:cs="Times New Roman"/>
          <w:sz w:val="28"/>
          <w:szCs w:val="28"/>
          <w:lang w:val="uk-UA"/>
        </w:rPr>
        <w:t>Сенаторова</w:t>
      </w:r>
      <w:proofErr w:type="spellEnd"/>
      <w:r w:rsidRPr="003005D5">
        <w:rPr>
          <w:rFonts w:ascii="Times New Roman" w:hAnsi="Times New Roman" w:cs="Times New Roman"/>
          <w:sz w:val="28"/>
          <w:szCs w:val="28"/>
          <w:lang w:val="uk-UA"/>
        </w:rPr>
        <w:t xml:space="preserve">) у Обласному центрі діагностики та лікування бронхолегеневої дисплазії у дітей Харківської обласної дитячої лікарні (головний лікар - Г.Р.Муратов).  </w:t>
      </w:r>
    </w:p>
    <w:p w:rsidR="000E7531" w:rsidRPr="003005D5" w:rsidRDefault="000E7531" w:rsidP="000E7531">
      <w:pPr>
        <w:spacing w:after="0" w:line="360" w:lineRule="auto"/>
        <w:ind w:firstLine="708"/>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 xml:space="preserve">Під спостереженням знаходилось </w:t>
      </w:r>
      <w:r w:rsidR="00897496" w:rsidRPr="003005D5">
        <w:rPr>
          <w:rFonts w:ascii="Times New Roman" w:hAnsi="Times New Roman" w:cs="Times New Roman"/>
          <w:sz w:val="28"/>
          <w:szCs w:val="28"/>
          <w:lang w:val="uk-UA"/>
        </w:rPr>
        <w:t xml:space="preserve">131 </w:t>
      </w:r>
      <w:r w:rsidRPr="003005D5">
        <w:rPr>
          <w:rFonts w:ascii="Times New Roman" w:hAnsi="Times New Roman" w:cs="Times New Roman"/>
          <w:sz w:val="28"/>
          <w:szCs w:val="28"/>
          <w:lang w:val="uk-UA"/>
        </w:rPr>
        <w:t>дитин</w:t>
      </w:r>
      <w:r w:rsidR="00897496" w:rsidRPr="003005D5">
        <w:rPr>
          <w:rFonts w:ascii="Times New Roman" w:hAnsi="Times New Roman" w:cs="Times New Roman"/>
          <w:sz w:val="28"/>
          <w:szCs w:val="28"/>
          <w:lang w:val="uk-UA"/>
        </w:rPr>
        <w:t>а</w:t>
      </w:r>
      <w:r w:rsidRPr="003005D5">
        <w:rPr>
          <w:rFonts w:ascii="Times New Roman" w:hAnsi="Times New Roman" w:cs="Times New Roman"/>
          <w:sz w:val="28"/>
          <w:szCs w:val="28"/>
          <w:lang w:val="uk-UA"/>
        </w:rPr>
        <w:t xml:space="preserve"> від 1місяця до 3 років життя з діагнозом бронхолегенева дисплазія. Діагноз бронхолегенева дисплазія був встановлений згідно міжнародній класифікації хвороб 10 перегляду (шифр Р27.0). </w:t>
      </w:r>
      <w:r w:rsidR="00897496" w:rsidRPr="003005D5">
        <w:rPr>
          <w:rFonts w:ascii="Times New Roman" w:hAnsi="Times New Roman" w:cs="Times New Roman"/>
          <w:sz w:val="28"/>
          <w:szCs w:val="28"/>
          <w:lang w:val="uk-UA"/>
        </w:rPr>
        <w:t>У групу порівняння входило 3</w:t>
      </w:r>
      <w:r w:rsidR="008111A3" w:rsidRPr="003005D5">
        <w:rPr>
          <w:rFonts w:ascii="Times New Roman" w:hAnsi="Times New Roman" w:cs="Times New Roman"/>
          <w:sz w:val="28"/>
          <w:szCs w:val="28"/>
          <w:lang w:val="uk-UA"/>
        </w:rPr>
        <w:t>6</w:t>
      </w:r>
      <w:r w:rsidR="00897496" w:rsidRPr="003005D5">
        <w:rPr>
          <w:rFonts w:ascii="Times New Roman" w:hAnsi="Times New Roman" w:cs="Times New Roman"/>
          <w:sz w:val="28"/>
          <w:szCs w:val="28"/>
          <w:lang w:val="uk-UA"/>
        </w:rPr>
        <w:t xml:space="preserve"> дітей</w:t>
      </w:r>
      <w:r w:rsidR="00F4139A" w:rsidRPr="003005D5">
        <w:rPr>
          <w:rFonts w:ascii="Times New Roman" w:hAnsi="Times New Roman" w:cs="Times New Roman"/>
          <w:sz w:val="28"/>
          <w:szCs w:val="28"/>
          <w:lang w:val="uk-UA"/>
        </w:rPr>
        <w:t xml:space="preserve"> у віці від 1 місяця до 3 років </w:t>
      </w:r>
      <w:r w:rsidR="00897496" w:rsidRPr="003005D5">
        <w:rPr>
          <w:rFonts w:ascii="Times New Roman" w:hAnsi="Times New Roman" w:cs="Times New Roman"/>
          <w:sz w:val="28"/>
          <w:szCs w:val="28"/>
          <w:lang w:val="uk-UA"/>
        </w:rPr>
        <w:t xml:space="preserve"> народжених недоношеними, які мали респіраторн</w:t>
      </w:r>
      <w:r w:rsidR="00AA2E76" w:rsidRPr="003005D5">
        <w:rPr>
          <w:rFonts w:ascii="Times New Roman" w:hAnsi="Times New Roman" w:cs="Times New Roman"/>
          <w:sz w:val="28"/>
          <w:szCs w:val="28"/>
          <w:lang w:val="uk-UA"/>
        </w:rPr>
        <w:t>і</w:t>
      </w:r>
      <w:r w:rsidR="00897496" w:rsidRPr="003005D5">
        <w:rPr>
          <w:rFonts w:ascii="Times New Roman" w:hAnsi="Times New Roman" w:cs="Times New Roman"/>
          <w:sz w:val="28"/>
          <w:szCs w:val="28"/>
          <w:lang w:val="uk-UA"/>
        </w:rPr>
        <w:t xml:space="preserve"> </w:t>
      </w:r>
      <w:r w:rsidR="00AA2E76" w:rsidRPr="003005D5">
        <w:rPr>
          <w:rFonts w:ascii="Times New Roman" w:hAnsi="Times New Roman" w:cs="Times New Roman"/>
          <w:sz w:val="28"/>
          <w:szCs w:val="28"/>
          <w:lang w:val="uk-UA"/>
        </w:rPr>
        <w:t xml:space="preserve">розлади </w:t>
      </w:r>
      <w:r w:rsidR="00897496" w:rsidRPr="003005D5">
        <w:rPr>
          <w:rFonts w:ascii="Times New Roman" w:hAnsi="Times New Roman" w:cs="Times New Roman"/>
          <w:sz w:val="28"/>
          <w:szCs w:val="28"/>
          <w:lang w:val="uk-UA"/>
        </w:rPr>
        <w:t xml:space="preserve"> в період новонародженості і не сформували БЛД. </w:t>
      </w:r>
      <w:r w:rsidRPr="003005D5">
        <w:rPr>
          <w:rFonts w:ascii="Times New Roman" w:hAnsi="Times New Roman" w:cs="Times New Roman"/>
          <w:sz w:val="28"/>
          <w:szCs w:val="28"/>
          <w:lang w:val="uk-UA"/>
        </w:rPr>
        <w:t xml:space="preserve">Інформовану згоду батьки дітей підписували до початку дослідження. </w:t>
      </w:r>
    </w:p>
    <w:p w:rsidR="00357662" w:rsidRPr="003005D5" w:rsidRDefault="00357662" w:rsidP="000E7531">
      <w:pPr>
        <w:spacing w:after="0" w:line="360" w:lineRule="auto"/>
        <w:ind w:firstLine="708"/>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Ураховувалися дані анамнезу щодо захворюваності на респіраторні хвороби</w:t>
      </w:r>
      <w:r w:rsidR="00082C58" w:rsidRPr="003005D5">
        <w:rPr>
          <w:rFonts w:ascii="Times New Roman" w:hAnsi="Times New Roman" w:cs="Times New Roman"/>
          <w:sz w:val="28"/>
          <w:szCs w:val="28"/>
          <w:lang w:val="uk-UA"/>
        </w:rPr>
        <w:t xml:space="preserve"> на протязі року</w:t>
      </w:r>
      <w:r w:rsidRPr="003005D5">
        <w:rPr>
          <w:rFonts w:ascii="Times New Roman" w:hAnsi="Times New Roman" w:cs="Times New Roman"/>
          <w:sz w:val="28"/>
          <w:szCs w:val="28"/>
          <w:lang w:val="uk-UA"/>
        </w:rPr>
        <w:t>:</w:t>
      </w:r>
      <w:r w:rsidR="00172EAE" w:rsidRPr="003005D5">
        <w:rPr>
          <w:rFonts w:ascii="Times New Roman" w:hAnsi="Times New Roman" w:cs="Times New Roman"/>
          <w:sz w:val="28"/>
          <w:szCs w:val="28"/>
          <w:lang w:val="uk-UA"/>
        </w:rPr>
        <w:t xml:space="preserve"> відносна кількість обстежених, що захворіли</w:t>
      </w:r>
      <w:r w:rsidR="00082C58" w:rsidRPr="003005D5">
        <w:rPr>
          <w:rFonts w:ascii="Times New Roman" w:hAnsi="Times New Roman" w:cs="Times New Roman"/>
          <w:sz w:val="28"/>
          <w:szCs w:val="28"/>
          <w:lang w:val="uk-UA"/>
        </w:rPr>
        <w:t xml:space="preserve"> на респіраторне захворювання</w:t>
      </w:r>
      <w:r w:rsidR="00172EAE" w:rsidRPr="003005D5">
        <w:rPr>
          <w:rFonts w:ascii="Times New Roman" w:hAnsi="Times New Roman" w:cs="Times New Roman"/>
          <w:sz w:val="28"/>
          <w:szCs w:val="28"/>
          <w:lang w:val="uk-UA"/>
        </w:rPr>
        <w:t xml:space="preserve">, частота захворювань </w:t>
      </w:r>
      <w:r w:rsidR="00082C58" w:rsidRPr="003005D5">
        <w:rPr>
          <w:rFonts w:ascii="Times New Roman" w:hAnsi="Times New Roman" w:cs="Times New Roman"/>
          <w:sz w:val="28"/>
          <w:szCs w:val="28"/>
          <w:lang w:val="uk-UA"/>
        </w:rPr>
        <w:t xml:space="preserve">дихальної системи </w:t>
      </w:r>
      <w:r w:rsidR="00172EAE" w:rsidRPr="003005D5">
        <w:rPr>
          <w:rFonts w:ascii="Times New Roman" w:hAnsi="Times New Roman" w:cs="Times New Roman"/>
          <w:sz w:val="28"/>
          <w:szCs w:val="28"/>
          <w:lang w:val="uk-UA"/>
        </w:rPr>
        <w:t xml:space="preserve">на рік, тривалість захворювання. </w:t>
      </w:r>
    </w:p>
    <w:p w:rsidR="00666C3E" w:rsidRPr="003005D5" w:rsidRDefault="000E7531" w:rsidP="000E7531">
      <w:pPr>
        <w:spacing w:after="0" w:line="360" w:lineRule="auto"/>
        <w:ind w:firstLine="708"/>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Для оцінки імунного статусу проводився перший та другий рівні імунологічного дослідження</w:t>
      </w:r>
      <w:r w:rsidR="00172EAE" w:rsidRPr="003005D5">
        <w:rPr>
          <w:rFonts w:ascii="Times New Roman" w:hAnsi="Times New Roman" w:cs="Times New Roman"/>
          <w:sz w:val="28"/>
          <w:szCs w:val="28"/>
          <w:lang w:val="uk-UA"/>
        </w:rPr>
        <w:t xml:space="preserve"> під час ремісії БЛД  у основній групі та на тлі здоров’я у групі порівняння. Імунна реактивність в обох групах визначалася під час захворювання на </w:t>
      </w:r>
      <w:r w:rsidR="002E3AAD">
        <w:rPr>
          <w:rFonts w:ascii="Times New Roman" w:hAnsi="Times New Roman" w:cs="Times New Roman"/>
          <w:sz w:val="28"/>
          <w:szCs w:val="28"/>
          <w:lang w:val="uk-UA"/>
        </w:rPr>
        <w:t>гостру респіраторну інфекцію (</w:t>
      </w:r>
      <w:r w:rsidR="00172EAE" w:rsidRPr="003005D5">
        <w:rPr>
          <w:rFonts w:ascii="Times New Roman" w:hAnsi="Times New Roman" w:cs="Times New Roman"/>
          <w:sz w:val="28"/>
          <w:szCs w:val="28"/>
          <w:lang w:val="uk-UA"/>
        </w:rPr>
        <w:t>ГРІ</w:t>
      </w:r>
      <w:r w:rsidR="002E3AAD">
        <w:rPr>
          <w:rFonts w:ascii="Times New Roman" w:hAnsi="Times New Roman" w:cs="Times New Roman"/>
          <w:sz w:val="28"/>
          <w:szCs w:val="28"/>
          <w:lang w:val="uk-UA"/>
        </w:rPr>
        <w:t>)</w:t>
      </w:r>
      <w:r w:rsidR="004B54B0" w:rsidRPr="003005D5">
        <w:rPr>
          <w:rFonts w:ascii="Times New Roman" w:hAnsi="Times New Roman" w:cs="Times New Roman"/>
          <w:sz w:val="28"/>
          <w:szCs w:val="28"/>
          <w:lang w:val="uk-UA"/>
        </w:rPr>
        <w:t>, на 2-5 день гострого захворювання ( в середньому на 3,11</w:t>
      </w:r>
      <w:r w:rsidR="004B54B0" w:rsidRPr="003005D5">
        <w:rPr>
          <w:rFonts w:ascii="Times New Roman" w:hAnsi="Times New Roman" w:cs="Times New Roman"/>
          <w:sz w:val="28"/>
          <w:szCs w:val="28"/>
          <w:u w:val="single"/>
          <w:lang w:val="uk-UA"/>
        </w:rPr>
        <w:t>+</w:t>
      </w:r>
      <w:r w:rsidR="004B54B0" w:rsidRPr="003005D5">
        <w:rPr>
          <w:rFonts w:ascii="Times New Roman" w:hAnsi="Times New Roman" w:cs="Times New Roman"/>
          <w:sz w:val="28"/>
          <w:szCs w:val="28"/>
          <w:lang w:val="uk-UA"/>
        </w:rPr>
        <w:t>1,78</w:t>
      </w:r>
      <w:r w:rsidR="004B54B0" w:rsidRPr="003005D5">
        <w:rPr>
          <w:rFonts w:ascii="Times New Roman" w:hAnsi="Times New Roman" w:cs="Times New Roman"/>
          <w:sz w:val="28"/>
          <w:szCs w:val="28"/>
          <w:u w:val="single"/>
          <w:lang w:val="uk-UA"/>
        </w:rPr>
        <w:t xml:space="preserve"> </w:t>
      </w:r>
      <w:r w:rsidR="004B54B0" w:rsidRPr="003005D5">
        <w:rPr>
          <w:rFonts w:ascii="Times New Roman" w:hAnsi="Times New Roman" w:cs="Times New Roman"/>
          <w:sz w:val="28"/>
          <w:szCs w:val="28"/>
          <w:lang w:val="uk-UA"/>
        </w:rPr>
        <w:t xml:space="preserve">день ГРІ </w:t>
      </w:r>
      <w:r w:rsidR="004B54B0" w:rsidRPr="003005D5">
        <w:rPr>
          <w:rFonts w:ascii="Times New Roman" w:hAnsi="Times New Roman" w:cs="Times New Roman"/>
          <w:sz w:val="28"/>
          <w:szCs w:val="28"/>
          <w:u w:val="single"/>
          <w:lang w:val="uk-UA"/>
        </w:rPr>
        <w:t>)</w:t>
      </w:r>
      <w:r w:rsidRPr="003005D5">
        <w:rPr>
          <w:rFonts w:ascii="Times New Roman" w:hAnsi="Times New Roman" w:cs="Times New Roman"/>
          <w:sz w:val="28"/>
          <w:szCs w:val="28"/>
          <w:lang w:val="uk-UA"/>
        </w:rPr>
        <w:t xml:space="preserve">. </w:t>
      </w:r>
    </w:p>
    <w:p w:rsidR="00BA255C" w:rsidRPr="003005D5" w:rsidRDefault="000E7531" w:rsidP="00AA2E76">
      <w:pPr>
        <w:spacing w:after="0" w:line="360" w:lineRule="auto"/>
        <w:ind w:firstLine="708"/>
        <w:jc w:val="both"/>
        <w:rPr>
          <w:rFonts w:ascii="Times New Roman" w:hAnsi="Times New Roman" w:cs="Times New Roman"/>
          <w:sz w:val="28"/>
          <w:szCs w:val="28"/>
          <w:lang w:val="uk-UA"/>
        </w:rPr>
      </w:pPr>
      <w:r w:rsidRPr="003005D5">
        <w:rPr>
          <w:rFonts w:ascii="Times New Roman" w:hAnsi="Times New Roman" w:cs="Times New Roman"/>
          <w:sz w:val="28"/>
          <w:szCs w:val="28"/>
          <w:u w:val="single"/>
          <w:lang w:val="uk-UA"/>
        </w:rPr>
        <w:t>Перший</w:t>
      </w:r>
      <w:r w:rsidRPr="003005D5">
        <w:rPr>
          <w:rFonts w:ascii="Times New Roman" w:hAnsi="Times New Roman" w:cs="Times New Roman"/>
          <w:sz w:val="28"/>
          <w:szCs w:val="28"/>
          <w:lang w:val="uk-UA"/>
        </w:rPr>
        <w:t xml:space="preserve"> рівень </w:t>
      </w:r>
      <w:r w:rsidR="00666C3E" w:rsidRPr="003005D5">
        <w:rPr>
          <w:rFonts w:ascii="Times New Roman" w:hAnsi="Times New Roman" w:cs="Times New Roman"/>
          <w:sz w:val="28"/>
          <w:szCs w:val="28"/>
          <w:lang w:val="uk-UA"/>
        </w:rPr>
        <w:t xml:space="preserve">імунологічних досліджень </w:t>
      </w:r>
      <w:r w:rsidRPr="003005D5">
        <w:rPr>
          <w:rFonts w:ascii="Times New Roman" w:hAnsi="Times New Roman" w:cs="Times New Roman"/>
          <w:sz w:val="28"/>
          <w:szCs w:val="28"/>
          <w:lang w:val="uk-UA"/>
        </w:rPr>
        <w:t>включав</w:t>
      </w:r>
      <w:r w:rsidR="00AA2E76" w:rsidRPr="003005D5">
        <w:rPr>
          <w:rFonts w:ascii="Times New Roman" w:hAnsi="Times New Roman" w:cs="Times New Roman"/>
          <w:sz w:val="28"/>
          <w:szCs w:val="28"/>
          <w:lang w:val="uk-UA"/>
        </w:rPr>
        <w:t xml:space="preserve"> </w:t>
      </w:r>
      <w:r w:rsidR="00397C2B" w:rsidRPr="003005D5">
        <w:rPr>
          <w:rFonts w:ascii="Times New Roman" w:hAnsi="Times New Roman" w:cs="Times New Roman"/>
          <w:sz w:val="28"/>
          <w:szCs w:val="28"/>
          <w:lang w:val="uk-UA"/>
        </w:rPr>
        <w:t>п</w:t>
      </w:r>
      <w:r w:rsidR="00016D8C" w:rsidRPr="003005D5">
        <w:rPr>
          <w:rFonts w:ascii="Times New Roman" w:hAnsi="Times New Roman" w:cs="Times New Roman"/>
          <w:sz w:val="28"/>
          <w:szCs w:val="28"/>
          <w:lang w:val="uk-UA"/>
        </w:rPr>
        <w:t xml:space="preserve">ідрахунок абсолютної кількості лейкоцитів, після фарбування за </w:t>
      </w:r>
      <w:proofErr w:type="spellStart"/>
      <w:r w:rsidR="00016D8C" w:rsidRPr="003005D5">
        <w:rPr>
          <w:rFonts w:ascii="Times New Roman" w:hAnsi="Times New Roman" w:cs="Times New Roman"/>
          <w:sz w:val="28"/>
          <w:szCs w:val="28"/>
          <w:lang w:val="uk-UA"/>
        </w:rPr>
        <w:t>Романовським-Гімзе</w:t>
      </w:r>
      <w:proofErr w:type="spellEnd"/>
      <w:r w:rsidRPr="003005D5">
        <w:rPr>
          <w:rFonts w:ascii="Times New Roman" w:hAnsi="Times New Roman" w:cs="Times New Roman"/>
          <w:sz w:val="28"/>
          <w:szCs w:val="28"/>
          <w:lang w:val="uk-UA"/>
        </w:rPr>
        <w:t xml:space="preserve">; </w:t>
      </w:r>
    </w:p>
    <w:p w:rsidR="00666C3E" w:rsidRPr="003005D5" w:rsidRDefault="00BA255C" w:rsidP="000E7531">
      <w:pPr>
        <w:spacing w:after="0" w:line="360" w:lineRule="auto"/>
        <w:ind w:firstLine="708"/>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lastRenderedPageBreak/>
        <w:t>На</w:t>
      </w:r>
      <w:r w:rsidR="00897496" w:rsidRPr="003005D5">
        <w:rPr>
          <w:rFonts w:ascii="Times New Roman" w:hAnsi="Times New Roman" w:cs="Times New Roman"/>
          <w:sz w:val="28"/>
          <w:szCs w:val="28"/>
          <w:lang w:val="uk-UA"/>
        </w:rPr>
        <w:t xml:space="preserve"> </w:t>
      </w:r>
      <w:r w:rsidR="00666C3E" w:rsidRPr="003005D5">
        <w:rPr>
          <w:rFonts w:ascii="Times New Roman" w:hAnsi="Times New Roman" w:cs="Times New Roman"/>
          <w:sz w:val="28"/>
          <w:szCs w:val="28"/>
          <w:u w:val="single"/>
          <w:lang w:val="uk-UA"/>
        </w:rPr>
        <w:t>друго</w:t>
      </w:r>
      <w:r w:rsidR="00897496" w:rsidRPr="003005D5">
        <w:rPr>
          <w:rFonts w:ascii="Times New Roman" w:hAnsi="Times New Roman" w:cs="Times New Roman"/>
          <w:sz w:val="28"/>
          <w:szCs w:val="28"/>
          <w:u w:val="single"/>
          <w:lang w:val="uk-UA"/>
        </w:rPr>
        <w:t>му</w:t>
      </w:r>
      <w:r w:rsidR="00897496" w:rsidRPr="003005D5">
        <w:rPr>
          <w:rFonts w:ascii="Times New Roman" w:hAnsi="Times New Roman" w:cs="Times New Roman"/>
          <w:b/>
          <w:sz w:val="28"/>
          <w:szCs w:val="28"/>
          <w:lang w:val="uk-UA"/>
        </w:rPr>
        <w:t xml:space="preserve"> </w:t>
      </w:r>
      <w:r w:rsidR="00897496" w:rsidRPr="003005D5">
        <w:rPr>
          <w:rFonts w:ascii="Times New Roman" w:hAnsi="Times New Roman" w:cs="Times New Roman"/>
          <w:sz w:val="28"/>
          <w:szCs w:val="28"/>
          <w:lang w:val="uk-UA"/>
        </w:rPr>
        <w:t>рівн</w:t>
      </w:r>
      <w:r w:rsidRPr="003005D5">
        <w:rPr>
          <w:rFonts w:ascii="Times New Roman" w:hAnsi="Times New Roman" w:cs="Times New Roman"/>
          <w:sz w:val="28"/>
          <w:szCs w:val="28"/>
          <w:lang w:val="uk-UA"/>
        </w:rPr>
        <w:t>і</w:t>
      </w:r>
      <w:r w:rsidR="00666C3E" w:rsidRPr="003005D5">
        <w:rPr>
          <w:rFonts w:ascii="Times New Roman" w:hAnsi="Times New Roman" w:cs="Times New Roman"/>
          <w:sz w:val="28"/>
          <w:szCs w:val="28"/>
          <w:lang w:val="uk-UA"/>
        </w:rPr>
        <w:t xml:space="preserve"> імунологічних досліджень </w:t>
      </w:r>
      <w:r w:rsidR="00897496" w:rsidRPr="003005D5">
        <w:rPr>
          <w:rFonts w:ascii="Times New Roman" w:hAnsi="Times New Roman" w:cs="Times New Roman"/>
          <w:sz w:val="28"/>
          <w:szCs w:val="28"/>
          <w:lang w:val="uk-UA"/>
        </w:rPr>
        <w:t xml:space="preserve">у кожної дитини </w:t>
      </w:r>
      <w:r w:rsidRPr="003005D5">
        <w:rPr>
          <w:rFonts w:ascii="Times New Roman" w:hAnsi="Times New Roman" w:cs="Times New Roman"/>
          <w:sz w:val="28"/>
          <w:szCs w:val="28"/>
          <w:lang w:val="uk-UA"/>
        </w:rPr>
        <w:t>оцінювався</w:t>
      </w:r>
      <w:r w:rsidR="00897496" w:rsidRPr="003005D5">
        <w:rPr>
          <w:rFonts w:ascii="Times New Roman" w:hAnsi="Times New Roman" w:cs="Times New Roman"/>
          <w:sz w:val="28"/>
          <w:szCs w:val="28"/>
          <w:lang w:val="uk-UA"/>
        </w:rPr>
        <w:t>:</w:t>
      </w:r>
      <w:r w:rsidR="00AA2E76" w:rsidRPr="003005D5">
        <w:rPr>
          <w:rFonts w:ascii="Times New Roman" w:hAnsi="Times New Roman" w:cs="Times New Roman"/>
          <w:sz w:val="28"/>
          <w:szCs w:val="28"/>
          <w:lang w:val="uk-UA"/>
        </w:rPr>
        <w:t xml:space="preserve"> </w:t>
      </w:r>
    </w:p>
    <w:p w:rsidR="00BA255C" w:rsidRPr="003005D5" w:rsidRDefault="00666C3E" w:rsidP="00BA255C">
      <w:pPr>
        <w:spacing w:after="0" w:line="360" w:lineRule="auto"/>
        <w:jc w:val="both"/>
        <w:rPr>
          <w:rFonts w:ascii="Times New Roman" w:hAnsi="Times New Roman" w:cs="Times New Roman"/>
          <w:sz w:val="28"/>
          <w:szCs w:val="28"/>
          <w:u w:val="single"/>
          <w:lang w:val="uk-UA"/>
        </w:rPr>
      </w:pPr>
      <w:r w:rsidRPr="003005D5">
        <w:rPr>
          <w:rFonts w:ascii="Times New Roman" w:hAnsi="Times New Roman" w:cs="Times New Roman"/>
          <w:sz w:val="28"/>
          <w:szCs w:val="28"/>
          <w:u w:val="single"/>
          <w:lang w:val="uk-UA"/>
        </w:rPr>
        <w:t xml:space="preserve">Природжений імунітет: </w:t>
      </w:r>
    </w:p>
    <w:p w:rsidR="00BA255C" w:rsidRPr="003005D5" w:rsidRDefault="00666C3E" w:rsidP="00BA255C">
      <w:pPr>
        <w:pStyle w:val="a7"/>
        <w:numPr>
          <w:ilvl w:val="0"/>
          <w:numId w:val="1"/>
        </w:numPr>
        <w:spacing w:after="0" w:line="360" w:lineRule="auto"/>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фагоцитарн</w:t>
      </w:r>
      <w:r w:rsidR="00BA255C" w:rsidRPr="003005D5">
        <w:rPr>
          <w:rFonts w:ascii="Times New Roman" w:hAnsi="Times New Roman" w:cs="Times New Roman"/>
          <w:sz w:val="28"/>
          <w:szCs w:val="28"/>
          <w:lang w:val="uk-UA"/>
        </w:rPr>
        <w:t>а</w:t>
      </w:r>
      <w:r w:rsidRPr="003005D5">
        <w:rPr>
          <w:rFonts w:ascii="Times New Roman" w:hAnsi="Times New Roman" w:cs="Times New Roman"/>
          <w:sz w:val="28"/>
          <w:szCs w:val="28"/>
          <w:lang w:val="uk-UA"/>
        </w:rPr>
        <w:t xml:space="preserve"> здібність </w:t>
      </w:r>
      <w:proofErr w:type="spellStart"/>
      <w:r w:rsidRPr="003005D5">
        <w:rPr>
          <w:rFonts w:ascii="Times New Roman" w:hAnsi="Times New Roman" w:cs="Times New Roman"/>
          <w:sz w:val="28"/>
          <w:szCs w:val="28"/>
          <w:lang w:val="uk-UA"/>
        </w:rPr>
        <w:t>нейтрофілів</w:t>
      </w:r>
      <w:proofErr w:type="spellEnd"/>
      <w:r w:rsidRPr="003005D5">
        <w:rPr>
          <w:rFonts w:ascii="Times New Roman" w:hAnsi="Times New Roman" w:cs="Times New Roman"/>
          <w:sz w:val="28"/>
          <w:szCs w:val="28"/>
          <w:lang w:val="uk-UA"/>
        </w:rPr>
        <w:t xml:space="preserve"> крові, а зокрема визначення фагоцитарного числа та фагоцитарного індексу, використана методика, пропонована Д.В. </w:t>
      </w:r>
      <w:proofErr w:type="spellStart"/>
      <w:r w:rsidRPr="003005D5">
        <w:rPr>
          <w:rFonts w:ascii="Times New Roman" w:hAnsi="Times New Roman" w:cs="Times New Roman"/>
          <w:sz w:val="28"/>
          <w:szCs w:val="28"/>
          <w:lang w:val="uk-UA"/>
        </w:rPr>
        <w:t>Білокриницьким</w:t>
      </w:r>
      <w:proofErr w:type="spellEnd"/>
      <w:r w:rsidRPr="003005D5">
        <w:rPr>
          <w:rFonts w:ascii="Times New Roman" w:hAnsi="Times New Roman" w:cs="Times New Roman"/>
          <w:sz w:val="28"/>
          <w:szCs w:val="28"/>
          <w:lang w:val="uk-UA"/>
        </w:rPr>
        <w:t xml:space="preserve"> (1987)</w:t>
      </w:r>
      <w:r w:rsidR="00397C2B" w:rsidRPr="003005D5">
        <w:rPr>
          <w:rFonts w:ascii="Times New Roman" w:hAnsi="Times New Roman" w:cs="Times New Roman"/>
          <w:sz w:val="28"/>
          <w:szCs w:val="28"/>
          <w:lang w:val="uk-UA"/>
        </w:rPr>
        <w:t>;</w:t>
      </w:r>
    </w:p>
    <w:p w:rsidR="00BA255C" w:rsidRPr="003005D5" w:rsidRDefault="00BA255C" w:rsidP="00BA255C">
      <w:pPr>
        <w:pStyle w:val="a7"/>
        <w:numPr>
          <w:ilvl w:val="0"/>
          <w:numId w:val="1"/>
        </w:numPr>
        <w:spacing w:after="0" w:line="360" w:lineRule="auto"/>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метаболічн</w:t>
      </w:r>
      <w:r w:rsidR="008111A3" w:rsidRPr="003005D5">
        <w:rPr>
          <w:rFonts w:ascii="Times New Roman" w:hAnsi="Times New Roman" w:cs="Times New Roman"/>
          <w:sz w:val="28"/>
          <w:szCs w:val="28"/>
          <w:lang w:val="uk-UA"/>
        </w:rPr>
        <w:t>у</w:t>
      </w:r>
      <w:r w:rsidR="00666C3E" w:rsidRPr="003005D5">
        <w:rPr>
          <w:rFonts w:ascii="Times New Roman" w:hAnsi="Times New Roman" w:cs="Times New Roman"/>
          <w:sz w:val="28"/>
          <w:szCs w:val="28"/>
          <w:lang w:val="uk-UA"/>
        </w:rPr>
        <w:t xml:space="preserve"> активність </w:t>
      </w:r>
      <w:proofErr w:type="spellStart"/>
      <w:r w:rsidR="00666C3E" w:rsidRPr="003005D5">
        <w:rPr>
          <w:rFonts w:ascii="Times New Roman" w:hAnsi="Times New Roman" w:cs="Times New Roman"/>
          <w:sz w:val="28"/>
          <w:szCs w:val="28"/>
          <w:lang w:val="uk-UA"/>
        </w:rPr>
        <w:t>нейтрофілів</w:t>
      </w:r>
      <w:proofErr w:type="spellEnd"/>
      <w:r w:rsidR="00666C3E" w:rsidRPr="003005D5">
        <w:rPr>
          <w:rFonts w:ascii="Times New Roman" w:hAnsi="Times New Roman" w:cs="Times New Roman"/>
          <w:sz w:val="28"/>
          <w:szCs w:val="28"/>
          <w:lang w:val="uk-UA"/>
        </w:rPr>
        <w:t xml:space="preserve"> оцінювали за тестом з </w:t>
      </w:r>
      <w:proofErr w:type="spellStart"/>
      <w:r w:rsidR="00666C3E" w:rsidRPr="003005D5">
        <w:rPr>
          <w:rFonts w:ascii="Times New Roman" w:hAnsi="Times New Roman" w:cs="Times New Roman"/>
          <w:sz w:val="28"/>
          <w:szCs w:val="28"/>
          <w:lang w:val="uk-UA"/>
        </w:rPr>
        <w:t>нітросинім</w:t>
      </w:r>
      <w:proofErr w:type="spellEnd"/>
      <w:r w:rsidR="00666C3E" w:rsidRPr="003005D5">
        <w:rPr>
          <w:rFonts w:ascii="Times New Roman" w:hAnsi="Times New Roman" w:cs="Times New Roman"/>
          <w:sz w:val="28"/>
          <w:szCs w:val="28"/>
          <w:lang w:val="uk-UA"/>
        </w:rPr>
        <w:t xml:space="preserve"> </w:t>
      </w:r>
      <w:proofErr w:type="spellStart"/>
      <w:r w:rsidR="00666C3E" w:rsidRPr="003005D5">
        <w:rPr>
          <w:rFonts w:ascii="Times New Roman" w:hAnsi="Times New Roman" w:cs="Times New Roman"/>
          <w:sz w:val="28"/>
          <w:szCs w:val="28"/>
          <w:lang w:val="uk-UA"/>
        </w:rPr>
        <w:t>тетразолієм</w:t>
      </w:r>
      <w:proofErr w:type="spellEnd"/>
      <w:r w:rsidR="00666C3E" w:rsidRPr="003005D5">
        <w:rPr>
          <w:rFonts w:ascii="Times New Roman" w:hAnsi="Times New Roman" w:cs="Times New Roman"/>
          <w:sz w:val="28"/>
          <w:szCs w:val="28"/>
          <w:lang w:val="uk-UA"/>
        </w:rPr>
        <w:t xml:space="preserve"> (</w:t>
      </w:r>
      <w:proofErr w:type="spellStart"/>
      <w:r w:rsidR="00666C3E" w:rsidRPr="003005D5">
        <w:rPr>
          <w:rFonts w:ascii="Times New Roman" w:hAnsi="Times New Roman" w:cs="Times New Roman"/>
          <w:sz w:val="28"/>
          <w:szCs w:val="28"/>
          <w:lang w:val="uk-UA"/>
        </w:rPr>
        <w:t>НСТ-тест</w:t>
      </w:r>
      <w:proofErr w:type="spellEnd"/>
      <w:r w:rsidR="00666C3E" w:rsidRPr="003005D5">
        <w:rPr>
          <w:rFonts w:ascii="Times New Roman" w:hAnsi="Times New Roman" w:cs="Times New Roman"/>
          <w:sz w:val="28"/>
          <w:szCs w:val="28"/>
          <w:lang w:val="uk-UA"/>
        </w:rPr>
        <w:t xml:space="preserve">) </w:t>
      </w:r>
      <w:r w:rsidRPr="003005D5">
        <w:rPr>
          <w:rFonts w:ascii="Times New Roman" w:hAnsi="Times New Roman" w:cs="Times New Roman"/>
          <w:sz w:val="28"/>
          <w:szCs w:val="28"/>
          <w:lang w:val="uk-UA"/>
        </w:rPr>
        <w:t xml:space="preserve">(спонтанний та індукований) </w:t>
      </w:r>
      <w:r w:rsidR="00666C3E" w:rsidRPr="003005D5">
        <w:rPr>
          <w:rFonts w:ascii="Times New Roman" w:hAnsi="Times New Roman" w:cs="Times New Roman"/>
          <w:sz w:val="28"/>
          <w:szCs w:val="28"/>
          <w:lang w:val="uk-UA"/>
        </w:rPr>
        <w:t xml:space="preserve">– за G. </w:t>
      </w:r>
      <w:proofErr w:type="spellStart"/>
      <w:r w:rsidR="00666C3E" w:rsidRPr="003005D5">
        <w:rPr>
          <w:rFonts w:ascii="Times New Roman" w:hAnsi="Times New Roman" w:cs="Times New Roman"/>
          <w:sz w:val="28"/>
          <w:szCs w:val="28"/>
          <w:lang w:val="uk-UA"/>
        </w:rPr>
        <w:t>Stuart</w:t>
      </w:r>
      <w:proofErr w:type="spellEnd"/>
      <w:r w:rsidR="00666C3E" w:rsidRPr="003005D5">
        <w:rPr>
          <w:rFonts w:ascii="Times New Roman" w:hAnsi="Times New Roman" w:cs="Times New Roman"/>
          <w:sz w:val="28"/>
          <w:szCs w:val="28"/>
          <w:lang w:val="uk-UA"/>
        </w:rPr>
        <w:t xml:space="preserve"> (1983) в модифікації В.С. </w:t>
      </w:r>
      <w:proofErr w:type="spellStart"/>
      <w:r w:rsidR="00666C3E" w:rsidRPr="003005D5">
        <w:rPr>
          <w:rFonts w:ascii="Times New Roman" w:hAnsi="Times New Roman" w:cs="Times New Roman"/>
          <w:sz w:val="28"/>
          <w:szCs w:val="28"/>
          <w:lang w:val="uk-UA"/>
        </w:rPr>
        <w:t>Нагоєва</w:t>
      </w:r>
      <w:proofErr w:type="spellEnd"/>
      <w:r w:rsidR="00AA2E76" w:rsidRPr="003005D5">
        <w:rPr>
          <w:rFonts w:ascii="Times New Roman" w:hAnsi="Times New Roman" w:cs="Times New Roman"/>
          <w:sz w:val="28"/>
          <w:szCs w:val="28"/>
          <w:lang w:val="uk-UA"/>
        </w:rPr>
        <w:t xml:space="preserve"> </w:t>
      </w:r>
      <w:r w:rsidR="00666C3E" w:rsidRPr="003005D5">
        <w:rPr>
          <w:rFonts w:ascii="Times New Roman" w:hAnsi="Times New Roman" w:cs="Times New Roman"/>
          <w:sz w:val="28"/>
          <w:szCs w:val="28"/>
          <w:lang w:val="uk-UA"/>
        </w:rPr>
        <w:t xml:space="preserve">(1983). </w:t>
      </w:r>
    </w:p>
    <w:p w:rsidR="00BA255C" w:rsidRPr="003005D5" w:rsidRDefault="00666C3E" w:rsidP="00BA255C">
      <w:pPr>
        <w:spacing w:after="0" w:line="360" w:lineRule="auto"/>
        <w:jc w:val="both"/>
        <w:rPr>
          <w:rFonts w:ascii="Times New Roman" w:hAnsi="Times New Roman" w:cs="Times New Roman"/>
          <w:sz w:val="28"/>
          <w:szCs w:val="28"/>
          <w:u w:val="single"/>
          <w:lang w:val="uk-UA"/>
        </w:rPr>
      </w:pPr>
      <w:r w:rsidRPr="003005D5">
        <w:rPr>
          <w:rFonts w:ascii="Times New Roman" w:hAnsi="Times New Roman" w:cs="Times New Roman"/>
          <w:sz w:val="28"/>
          <w:szCs w:val="28"/>
          <w:u w:val="single"/>
          <w:lang w:val="uk-UA"/>
        </w:rPr>
        <w:t xml:space="preserve">Набутий імунітет: </w:t>
      </w:r>
    </w:p>
    <w:p w:rsidR="00BA255C" w:rsidRPr="003005D5" w:rsidRDefault="00666C3E" w:rsidP="00BA255C">
      <w:pPr>
        <w:pStyle w:val="a7"/>
        <w:numPr>
          <w:ilvl w:val="0"/>
          <w:numId w:val="2"/>
        </w:numPr>
        <w:spacing w:after="0" w:line="360" w:lineRule="auto"/>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вміст імуноглобулінів (</w:t>
      </w:r>
      <w:proofErr w:type="spellStart"/>
      <w:r w:rsidRPr="003005D5">
        <w:rPr>
          <w:rFonts w:ascii="Times New Roman" w:hAnsi="Times New Roman" w:cs="Times New Roman"/>
          <w:sz w:val="28"/>
          <w:szCs w:val="28"/>
          <w:lang w:val="uk-UA"/>
        </w:rPr>
        <w:t>Ig</w:t>
      </w:r>
      <w:proofErr w:type="spellEnd"/>
      <w:r w:rsidRPr="003005D5">
        <w:rPr>
          <w:rFonts w:ascii="Times New Roman" w:hAnsi="Times New Roman" w:cs="Times New Roman"/>
          <w:sz w:val="28"/>
          <w:szCs w:val="28"/>
          <w:lang w:val="uk-UA"/>
        </w:rPr>
        <w:t xml:space="preserve">) класів А, М, G у сироватці крові методом </w:t>
      </w:r>
      <w:r w:rsidR="00AA2E76" w:rsidRPr="003005D5">
        <w:rPr>
          <w:rFonts w:ascii="Times New Roman" w:hAnsi="Times New Roman" w:cs="Times New Roman"/>
          <w:sz w:val="28"/>
          <w:szCs w:val="28"/>
          <w:lang w:val="uk-UA"/>
        </w:rPr>
        <w:t>імуноферментного аналізу</w:t>
      </w:r>
      <w:r w:rsidRPr="003005D5">
        <w:rPr>
          <w:rFonts w:ascii="Times New Roman" w:hAnsi="Times New Roman" w:cs="Times New Roman"/>
          <w:sz w:val="28"/>
          <w:szCs w:val="28"/>
          <w:lang w:val="uk-UA"/>
        </w:rPr>
        <w:t xml:space="preserve">; </w:t>
      </w:r>
    </w:p>
    <w:p w:rsidR="00BA255C" w:rsidRPr="003005D5" w:rsidRDefault="00666C3E" w:rsidP="00BA255C">
      <w:pPr>
        <w:pStyle w:val="a7"/>
        <w:numPr>
          <w:ilvl w:val="0"/>
          <w:numId w:val="2"/>
        </w:numPr>
        <w:spacing w:after="0" w:line="360" w:lineRule="auto"/>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 xml:space="preserve">визначення кількості популяцій та </w:t>
      </w:r>
      <w:proofErr w:type="spellStart"/>
      <w:r w:rsidRPr="003005D5">
        <w:rPr>
          <w:rFonts w:ascii="Times New Roman" w:hAnsi="Times New Roman" w:cs="Times New Roman"/>
          <w:sz w:val="28"/>
          <w:szCs w:val="28"/>
          <w:lang w:val="uk-UA"/>
        </w:rPr>
        <w:t>субпопуляції</w:t>
      </w:r>
      <w:proofErr w:type="spellEnd"/>
      <w:r w:rsidRPr="003005D5">
        <w:rPr>
          <w:rFonts w:ascii="Times New Roman" w:hAnsi="Times New Roman" w:cs="Times New Roman"/>
          <w:sz w:val="28"/>
          <w:szCs w:val="28"/>
          <w:lang w:val="uk-UA"/>
        </w:rPr>
        <w:t xml:space="preserve"> лімфоцитів за допомогою </w:t>
      </w:r>
      <w:proofErr w:type="spellStart"/>
      <w:r w:rsidRPr="003005D5">
        <w:rPr>
          <w:rFonts w:ascii="Times New Roman" w:hAnsi="Times New Roman" w:cs="Times New Roman"/>
          <w:sz w:val="28"/>
          <w:szCs w:val="28"/>
          <w:lang w:val="uk-UA"/>
        </w:rPr>
        <w:t>моноклональних</w:t>
      </w:r>
      <w:proofErr w:type="spellEnd"/>
      <w:r w:rsidRPr="003005D5">
        <w:rPr>
          <w:rFonts w:ascii="Times New Roman" w:hAnsi="Times New Roman" w:cs="Times New Roman"/>
          <w:sz w:val="28"/>
          <w:szCs w:val="28"/>
          <w:lang w:val="uk-UA"/>
        </w:rPr>
        <w:t xml:space="preserve"> антитіл (Т-лімфоцитів(</w:t>
      </w:r>
      <w:r w:rsidRPr="003005D5">
        <w:rPr>
          <w:rFonts w:ascii="Times New Roman" w:hAnsi="Times New Roman" w:cs="Times New Roman"/>
          <w:sz w:val="28"/>
          <w:szCs w:val="28"/>
          <w:lang w:val="en-US"/>
        </w:rPr>
        <w:t>CD</w:t>
      </w:r>
      <w:r w:rsidRPr="003005D5">
        <w:rPr>
          <w:rFonts w:ascii="Times New Roman" w:hAnsi="Times New Roman" w:cs="Times New Roman"/>
          <w:sz w:val="28"/>
          <w:szCs w:val="28"/>
          <w:vertAlign w:val="subscript"/>
          <w:lang w:val="uk-UA"/>
        </w:rPr>
        <w:t>3</w:t>
      </w:r>
      <w:r w:rsidRPr="003005D5">
        <w:rPr>
          <w:rFonts w:ascii="Times New Roman" w:hAnsi="Times New Roman" w:cs="Times New Roman"/>
          <w:sz w:val="28"/>
          <w:szCs w:val="28"/>
          <w:lang w:val="uk-UA"/>
        </w:rPr>
        <w:t>), В-лімфоцитів (</w:t>
      </w:r>
      <w:r w:rsidRPr="003005D5">
        <w:rPr>
          <w:rFonts w:ascii="Times New Roman" w:hAnsi="Times New Roman" w:cs="Times New Roman"/>
          <w:sz w:val="28"/>
          <w:szCs w:val="28"/>
          <w:lang w:val="en-US"/>
        </w:rPr>
        <w:t>CD</w:t>
      </w:r>
      <w:r w:rsidRPr="003005D5">
        <w:rPr>
          <w:rFonts w:ascii="Times New Roman" w:hAnsi="Times New Roman" w:cs="Times New Roman"/>
          <w:sz w:val="28"/>
          <w:szCs w:val="28"/>
          <w:lang w:val="uk-UA"/>
        </w:rPr>
        <w:t xml:space="preserve">19), </w:t>
      </w:r>
      <w:proofErr w:type="spellStart"/>
      <w:r w:rsidRPr="003005D5">
        <w:rPr>
          <w:rFonts w:ascii="Times New Roman" w:hAnsi="Times New Roman" w:cs="Times New Roman"/>
          <w:sz w:val="28"/>
          <w:szCs w:val="28"/>
          <w:lang w:val="uk-UA"/>
        </w:rPr>
        <w:t>Т-хелперів</w:t>
      </w:r>
      <w:proofErr w:type="spellEnd"/>
      <w:r w:rsidRPr="003005D5">
        <w:rPr>
          <w:rFonts w:ascii="Times New Roman" w:hAnsi="Times New Roman" w:cs="Times New Roman"/>
          <w:sz w:val="28"/>
          <w:szCs w:val="28"/>
          <w:lang w:val="uk-UA"/>
        </w:rPr>
        <w:t xml:space="preserve"> (</w:t>
      </w:r>
      <w:r w:rsidRPr="003005D5">
        <w:rPr>
          <w:rFonts w:ascii="Times New Roman" w:hAnsi="Times New Roman" w:cs="Times New Roman"/>
          <w:sz w:val="28"/>
          <w:szCs w:val="28"/>
          <w:lang w:val="en-US"/>
        </w:rPr>
        <w:t>CD</w:t>
      </w:r>
      <w:r w:rsidRPr="003005D5">
        <w:rPr>
          <w:rFonts w:ascii="Times New Roman" w:hAnsi="Times New Roman" w:cs="Times New Roman"/>
          <w:sz w:val="28"/>
          <w:szCs w:val="28"/>
          <w:vertAlign w:val="subscript"/>
          <w:lang w:val="uk-UA"/>
        </w:rPr>
        <w:t>4</w:t>
      </w:r>
      <w:r w:rsidRPr="003005D5">
        <w:rPr>
          <w:rFonts w:ascii="Times New Roman" w:hAnsi="Times New Roman" w:cs="Times New Roman"/>
          <w:sz w:val="28"/>
          <w:szCs w:val="28"/>
          <w:lang w:val="uk-UA"/>
        </w:rPr>
        <w:t xml:space="preserve">), </w:t>
      </w:r>
      <w:proofErr w:type="spellStart"/>
      <w:r w:rsidRPr="003005D5">
        <w:rPr>
          <w:rFonts w:ascii="Times New Roman" w:hAnsi="Times New Roman" w:cs="Times New Roman"/>
          <w:sz w:val="28"/>
          <w:szCs w:val="28"/>
          <w:lang w:val="uk-UA"/>
        </w:rPr>
        <w:t>Т-супресорів</w:t>
      </w:r>
      <w:proofErr w:type="spellEnd"/>
      <w:r w:rsidRPr="003005D5">
        <w:rPr>
          <w:rFonts w:ascii="Times New Roman" w:hAnsi="Times New Roman" w:cs="Times New Roman"/>
          <w:sz w:val="28"/>
          <w:szCs w:val="28"/>
          <w:lang w:val="uk-UA"/>
        </w:rPr>
        <w:t xml:space="preserve"> (</w:t>
      </w:r>
      <w:r w:rsidRPr="003005D5">
        <w:rPr>
          <w:rFonts w:ascii="Times New Roman" w:hAnsi="Times New Roman" w:cs="Times New Roman"/>
          <w:sz w:val="28"/>
          <w:szCs w:val="28"/>
          <w:lang w:val="en-US"/>
        </w:rPr>
        <w:t>CD</w:t>
      </w:r>
      <w:r w:rsidRPr="003005D5">
        <w:rPr>
          <w:rFonts w:ascii="Times New Roman" w:hAnsi="Times New Roman" w:cs="Times New Roman"/>
          <w:sz w:val="28"/>
          <w:szCs w:val="28"/>
          <w:vertAlign w:val="subscript"/>
          <w:lang w:val="uk-UA"/>
        </w:rPr>
        <w:t>8</w:t>
      </w:r>
      <w:r w:rsidR="00A265CB">
        <w:rPr>
          <w:rFonts w:ascii="Times New Roman" w:hAnsi="Times New Roman" w:cs="Times New Roman"/>
          <w:sz w:val="28"/>
          <w:szCs w:val="28"/>
          <w:lang w:val="uk-UA"/>
        </w:rPr>
        <w:t>)).</w:t>
      </w:r>
      <w:r w:rsidRPr="003005D5">
        <w:rPr>
          <w:rFonts w:ascii="Times New Roman" w:hAnsi="Times New Roman" w:cs="Times New Roman"/>
          <w:sz w:val="28"/>
          <w:szCs w:val="28"/>
          <w:lang w:val="uk-UA"/>
        </w:rPr>
        <w:t xml:space="preserve"> </w:t>
      </w:r>
    </w:p>
    <w:p w:rsidR="00AA2E76" w:rsidRPr="003005D5" w:rsidRDefault="00AA2E76" w:rsidP="00AA2E76">
      <w:pPr>
        <w:pStyle w:val="a7"/>
        <w:spacing w:after="0" w:line="360" w:lineRule="auto"/>
        <w:ind w:left="360"/>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При аналізі віку обстежених, з метою оптимізації р</w:t>
      </w:r>
      <w:r w:rsidR="002E3AAD">
        <w:rPr>
          <w:rFonts w:ascii="Times New Roman" w:hAnsi="Times New Roman" w:cs="Times New Roman"/>
          <w:sz w:val="28"/>
          <w:szCs w:val="28"/>
          <w:lang w:val="uk-UA"/>
        </w:rPr>
        <w:t xml:space="preserve">епрезентативності обчислювався </w:t>
      </w:r>
      <w:r w:rsidRPr="003005D5">
        <w:rPr>
          <w:rFonts w:ascii="Times New Roman" w:hAnsi="Times New Roman" w:cs="Times New Roman"/>
          <w:sz w:val="28"/>
          <w:szCs w:val="28"/>
          <w:lang w:val="uk-UA"/>
        </w:rPr>
        <w:t>корегований вік  за формулою:</w:t>
      </w:r>
    </w:p>
    <w:p w:rsidR="00AA2E76" w:rsidRPr="003005D5" w:rsidRDefault="002E3AAD" w:rsidP="00AA2E76">
      <w:pPr>
        <w:pStyle w:val="a7"/>
        <w:numPr>
          <w:ilvl w:val="0"/>
          <w:numId w:val="2"/>
        </w:num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А (к) =  – 40</w:t>
      </w:r>
      <w:r w:rsidR="00AA2E76" w:rsidRPr="003005D5">
        <w:rPr>
          <w:rFonts w:ascii="Times New Roman" w:hAnsi="Times New Roman" w:cs="Times New Roman"/>
          <w:b/>
          <w:sz w:val="28"/>
          <w:szCs w:val="28"/>
          <w:lang w:val="uk-UA"/>
        </w:rPr>
        <w:t xml:space="preserve"> + (А(г) + А (п)) / 4 .</w:t>
      </w:r>
    </w:p>
    <w:p w:rsidR="00AA2E76" w:rsidRPr="003005D5" w:rsidRDefault="00AA2E76" w:rsidP="00AA2E76">
      <w:pPr>
        <w:pStyle w:val="a7"/>
        <w:numPr>
          <w:ilvl w:val="0"/>
          <w:numId w:val="2"/>
        </w:numPr>
        <w:spacing w:after="0" w:line="360" w:lineRule="auto"/>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 xml:space="preserve">Де, </w:t>
      </w:r>
      <w:r w:rsidR="002E3AAD">
        <w:rPr>
          <w:rFonts w:ascii="Times New Roman" w:hAnsi="Times New Roman" w:cs="Times New Roman"/>
          <w:b/>
          <w:sz w:val="28"/>
          <w:szCs w:val="28"/>
          <w:lang w:val="uk-UA"/>
        </w:rPr>
        <w:t>А (</w:t>
      </w:r>
      <w:r w:rsidRPr="003005D5">
        <w:rPr>
          <w:rFonts w:ascii="Times New Roman" w:hAnsi="Times New Roman" w:cs="Times New Roman"/>
          <w:b/>
          <w:sz w:val="28"/>
          <w:szCs w:val="28"/>
          <w:lang w:val="uk-UA"/>
        </w:rPr>
        <w:t xml:space="preserve">к) – </w:t>
      </w:r>
      <w:r w:rsidRPr="003005D5">
        <w:rPr>
          <w:rFonts w:ascii="Times New Roman" w:hAnsi="Times New Roman" w:cs="Times New Roman"/>
          <w:sz w:val="28"/>
          <w:szCs w:val="28"/>
          <w:lang w:val="uk-UA"/>
        </w:rPr>
        <w:t>скорегований вік у місяцях,</w:t>
      </w:r>
      <w:r w:rsidRPr="003005D5">
        <w:rPr>
          <w:rFonts w:ascii="Times New Roman" w:hAnsi="Times New Roman" w:cs="Times New Roman"/>
          <w:b/>
          <w:sz w:val="28"/>
          <w:szCs w:val="28"/>
          <w:lang w:val="uk-UA"/>
        </w:rPr>
        <w:t xml:space="preserve"> А(г) </w:t>
      </w:r>
      <w:r w:rsidRPr="003005D5">
        <w:rPr>
          <w:rFonts w:ascii="Times New Roman" w:hAnsi="Times New Roman" w:cs="Times New Roman"/>
          <w:sz w:val="28"/>
          <w:szCs w:val="28"/>
          <w:lang w:val="uk-UA"/>
        </w:rPr>
        <w:t>– гестаційний вік дитини у тижнях,</w:t>
      </w:r>
      <w:r w:rsidRPr="003005D5">
        <w:rPr>
          <w:rFonts w:ascii="Times New Roman" w:hAnsi="Times New Roman" w:cs="Times New Roman"/>
          <w:b/>
          <w:sz w:val="28"/>
          <w:szCs w:val="28"/>
          <w:lang w:val="uk-UA"/>
        </w:rPr>
        <w:t xml:space="preserve"> А (п) </w:t>
      </w:r>
      <w:r w:rsidRPr="003005D5">
        <w:rPr>
          <w:rFonts w:ascii="Times New Roman" w:hAnsi="Times New Roman" w:cs="Times New Roman"/>
          <w:sz w:val="28"/>
          <w:szCs w:val="28"/>
          <w:lang w:val="uk-UA"/>
        </w:rPr>
        <w:t xml:space="preserve">– паспортний вік у тижнях. </w:t>
      </w:r>
    </w:p>
    <w:p w:rsidR="003367EF" w:rsidRPr="003005D5" w:rsidRDefault="00E642B2" w:rsidP="000E7531">
      <w:pPr>
        <w:spacing w:after="0" w:line="360" w:lineRule="auto"/>
        <w:ind w:firstLine="708"/>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 xml:space="preserve">З метою </w:t>
      </w:r>
      <w:r w:rsidR="001430FA">
        <w:rPr>
          <w:rFonts w:ascii="Times New Roman" w:hAnsi="Times New Roman" w:cs="Times New Roman"/>
          <w:sz w:val="28"/>
          <w:szCs w:val="28"/>
          <w:lang w:val="uk-UA"/>
        </w:rPr>
        <w:t>узагальнення</w:t>
      </w:r>
      <w:r w:rsidRPr="003005D5">
        <w:rPr>
          <w:rFonts w:ascii="Times New Roman" w:hAnsi="Times New Roman" w:cs="Times New Roman"/>
          <w:sz w:val="28"/>
          <w:szCs w:val="28"/>
          <w:lang w:val="uk-UA"/>
        </w:rPr>
        <w:t xml:space="preserve"> досліджень, за умов</w:t>
      </w:r>
      <w:r w:rsidR="003367EF" w:rsidRPr="003005D5">
        <w:rPr>
          <w:rFonts w:ascii="Times New Roman" w:hAnsi="Times New Roman" w:cs="Times New Roman"/>
          <w:sz w:val="28"/>
          <w:szCs w:val="28"/>
          <w:lang w:val="uk-UA"/>
        </w:rPr>
        <w:t xml:space="preserve"> різних нормативів  імунологічних показників у кожній віковій категорії, визначався процент відхилення показника за формулою:</w:t>
      </w:r>
    </w:p>
    <w:p w:rsidR="003367EF" w:rsidRPr="003005D5" w:rsidRDefault="003367EF" w:rsidP="003367EF">
      <w:pPr>
        <w:spacing w:after="0" w:line="360" w:lineRule="auto"/>
        <w:ind w:firstLine="708"/>
        <w:jc w:val="center"/>
        <w:rPr>
          <w:rFonts w:ascii="Times New Roman" w:hAnsi="Times New Roman" w:cs="Times New Roman"/>
          <w:b/>
          <w:sz w:val="28"/>
          <w:szCs w:val="28"/>
          <w:lang w:val="uk-UA"/>
        </w:rPr>
      </w:pPr>
      <w:r w:rsidRPr="003005D5">
        <w:rPr>
          <w:rFonts w:ascii="Times New Roman" w:hAnsi="Times New Roman" w:cs="Times New Roman"/>
          <w:b/>
          <w:sz w:val="28"/>
          <w:szCs w:val="28"/>
          <w:lang w:val="uk-UA"/>
        </w:rPr>
        <w:t>П</w:t>
      </w:r>
      <w:r w:rsidRPr="003005D5">
        <w:rPr>
          <w:rFonts w:ascii="Times New Roman" w:hAnsi="Times New Roman" w:cs="Times New Roman"/>
          <w:b/>
          <w:sz w:val="28"/>
          <w:szCs w:val="28"/>
          <w:vertAlign w:val="subscript"/>
          <w:lang w:val="uk-UA"/>
        </w:rPr>
        <w:t>%</w:t>
      </w:r>
      <w:r w:rsidRPr="003005D5">
        <w:rPr>
          <w:rFonts w:ascii="Times New Roman" w:hAnsi="Times New Roman" w:cs="Times New Roman"/>
          <w:b/>
          <w:sz w:val="28"/>
          <w:szCs w:val="28"/>
          <w:lang w:val="uk-UA"/>
        </w:rPr>
        <w:t xml:space="preserve"> = П </w:t>
      </w:r>
      <w:proofErr w:type="spellStart"/>
      <w:r w:rsidRPr="003005D5">
        <w:rPr>
          <w:rFonts w:ascii="Times New Roman" w:hAnsi="Times New Roman" w:cs="Times New Roman"/>
          <w:b/>
          <w:sz w:val="28"/>
          <w:szCs w:val="28"/>
          <w:vertAlign w:val="subscript"/>
          <w:lang w:val="uk-UA"/>
        </w:rPr>
        <w:t>пац</w:t>
      </w:r>
      <w:proofErr w:type="spellEnd"/>
      <w:r w:rsidRPr="003005D5">
        <w:rPr>
          <w:rFonts w:ascii="Times New Roman" w:hAnsi="Times New Roman" w:cs="Times New Roman"/>
          <w:b/>
          <w:sz w:val="28"/>
          <w:szCs w:val="28"/>
          <w:vertAlign w:val="subscript"/>
          <w:lang w:val="uk-UA"/>
        </w:rPr>
        <w:t xml:space="preserve"> / </w:t>
      </w:r>
      <w:r w:rsidRPr="003005D5">
        <w:rPr>
          <w:rFonts w:ascii="Times New Roman" w:hAnsi="Times New Roman" w:cs="Times New Roman"/>
          <w:b/>
          <w:sz w:val="28"/>
          <w:szCs w:val="28"/>
          <w:lang w:val="uk-UA"/>
        </w:rPr>
        <w:t xml:space="preserve">П </w:t>
      </w:r>
      <w:r w:rsidRPr="003005D5">
        <w:rPr>
          <w:rFonts w:ascii="Times New Roman" w:hAnsi="Times New Roman" w:cs="Times New Roman"/>
          <w:b/>
          <w:sz w:val="28"/>
          <w:szCs w:val="28"/>
          <w:vertAlign w:val="subscript"/>
          <w:lang w:val="uk-UA"/>
        </w:rPr>
        <w:t>серед</w:t>
      </w:r>
    </w:p>
    <w:p w:rsidR="003367EF" w:rsidRPr="003005D5" w:rsidRDefault="003367EF" w:rsidP="003367EF">
      <w:pPr>
        <w:spacing w:after="0" w:line="360" w:lineRule="auto"/>
        <w:jc w:val="both"/>
        <w:rPr>
          <w:rFonts w:ascii="Times New Roman" w:hAnsi="Times New Roman" w:cs="Times New Roman"/>
          <w:sz w:val="28"/>
          <w:szCs w:val="28"/>
          <w:lang w:val="uk-UA"/>
        </w:rPr>
      </w:pPr>
      <w:r w:rsidRPr="003005D5">
        <w:rPr>
          <w:rFonts w:ascii="Times New Roman" w:hAnsi="Times New Roman" w:cs="Times New Roman"/>
          <w:b/>
          <w:sz w:val="28"/>
          <w:szCs w:val="28"/>
          <w:lang w:val="uk-UA"/>
        </w:rPr>
        <w:t>П</w:t>
      </w:r>
      <w:r w:rsidRPr="003005D5">
        <w:rPr>
          <w:rFonts w:ascii="Times New Roman" w:hAnsi="Times New Roman" w:cs="Times New Roman"/>
          <w:b/>
          <w:sz w:val="28"/>
          <w:szCs w:val="28"/>
          <w:vertAlign w:val="subscript"/>
          <w:lang w:val="uk-UA"/>
        </w:rPr>
        <w:t xml:space="preserve">% </w:t>
      </w:r>
      <w:r w:rsidRPr="003005D5">
        <w:rPr>
          <w:rFonts w:ascii="Times New Roman" w:hAnsi="Times New Roman" w:cs="Times New Roman"/>
          <w:b/>
          <w:sz w:val="28"/>
          <w:szCs w:val="28"/>
          <w:lang w:val="uk-UA"/>
        </w:rPr>
        <w:t xml:space="preserve">- </w:t>
      </w:r>
      <w:r w:rsidRPr="003005D5">
        <w:rPr>
          <w:rFonts w:ascii="Times New Roman" w:hAnsi="Times New Roman" w:cs="Times New Roman"/>
          <w:b/>
          <w:sz w:val="28"/>
          <w:szCs w:val="28"/>
          <w:vertAlign w:val="subscript"/>
          <w:lang w:val="uk-UA"/>
        </w:rPr>
        <w:t xml:space="preserve"> </w:t>
      </w:r>
      <w:r w:rsidRPr="003005D5">
        <w:rPr>
          <w:rFonts w:ascii="Times New Roman" w:hAnsi="Times New Roman" w:cs="Times New Roman"/>
          <w:sz w:val="28"/>
          <w:szCs w:val="28"/>
          <w:lang w:val="uk-UA"/>
        </w:rPr>
        <w:t>% відхилення показника;</w:t>
      </w:r>
      <w:r w:rsidR="00E82C0A" w:rsidRPr="003005D5">
        <w:rPr>
          <w:rFonts w:ascii="Times New Roman" w:hAnsi="Times New Roman" w:cs="Times New Roman"/>
          <w:sz w:val="28"/>
          <w:szCs w:val="28"/>
          <w:lang w:val="uk-UA"/>
        </w:rPr>
        <w:t xml:space="preserve"> </w:t>
      </w:r>
      <w:r w:rsidRPr="003005D5">
        <w:rPr>
          <w:rFonts w:ascii="Times New Roman" w:hAnsi="Times New Roman" w:cs="Times New Roman"/>
          <w:b/>
          <w:sz w:val="28"/>
          <w:szCs w:val="28"/>
          <w:lang w:val="uk-UA"/>
        </w:rPr>
        <w:t xml:space="preserve">П </w:t>
      </w:r>
      <w:proofErr w:type="spellStart"/>
      <w:r w:rsidRPr="003005D5">
        <w:rPr>
          <w:rFonts w:ascii="Times New Roman" w:hAnsi="Times New Roman" w:cs="Times New Roman"/>
          <w:b/>
          <w:sz w:val="28"/>
          <w:szCs w:val="28"/>
          <w:vertAlign w:val="subscript"/>
          <w:lang w:val="uk-UA"/>
        </w:rPr>
        <w:t>абс</w:t>
      </w:r>
      <w:proofErr w:type="spellEnd"/>
      <w:r w:rsidRPr="003005D5">
        <w:rPr>
          <w:rFonts w:ascii="Times New Roman" w:hAnsi="Times New Roman" w:cs="Times New Roman"/>
          <w:b/>
          <w:sz w:val="28"/>
          <w:szCs w:val="28"/>
          <w:vertAlign w:val="subscript"/>
          <w:lang w:val="uk-UA"/>
        </w:rPr>
        <w:t xml:space="preserve">  </w:t>
      </w:r>
      <w:r w:rsidRPr="003005D5">
        <w:rPr>
          <w:rFonts w:ascii="Times New Roman" w:hAnsi="Times New Roman" w:cs="Times New Roman"/>
          <w:sz w:val="28"/>
          <w:szCs w:val="28"/>
          <w:lang w:val="uk-UA"/>
        </w:rPr>
        <w:t>- абсолютне значення показника у кожного пацієнта</w:t>
      </w:r>
      <w:r w:rsidR="00E82C0A" w:rsidRPr="003005D5">
        <w:rPr>
          <w:rFonts w:ascii="Times New Roman" w:hAnsi="Times New Roman" w:cs="Times New Roman"/>
          <w:sz w:val="28"/>
          <w:szCs w:val="28"/>
          <w:lang w:val="uk-UA"/>
        </w:rPr>
        <w:t xml:space="preserve">;  </w:t>
      </w:r>
      <w:r w:rsidRPr="003005D5">
        <w:rPr>
          <w:rFonts w:ascii="Times New Roman" w:hAnsi="Times New Roman" w:cs="Times New Roman"/>
          <w:b/>
          <w:sz w:val="28"/>
          <w:szCs w:val="28"/>
          <w:lang w:val="uk-UA"/>
        </w:rPr>
        <w:t xml:space="preserve">П </w:t>
      </w:r>
      <w:r w:rsidRPr="003005D5">
        <w:rPr>
          <w:rFonts w:ascii="Times New Roman" w:hAnsi="Times New Roman" w:cs="Times New Roman"/>
          <w:b/>
          <w:sz w:val="28"/>
          <w:szCs w:val="28"/>
          <w:vertAlign w:val="subscript"/>
          <w:lang w:val="uk-UA"/>
        </w:rPr>
        <w:t>серед</w:t>
      </w:r>
      <w:r w:rsidRPr="003005D5">
        <w:rPr>
          <w:rFonts w:ascii="Times New Roman" w:hAnsi="Times New Roman" w:cs="Times New Roman"/>
          <w:sz w:val="28"/>
          <w:szCs w:val="28"/>
          <w:lang w:val="uk-UA"/>
        </w:rPr>
        <w:t xml:space="preserve">  - середнє значення показника для даного віку</w:t>
      </w:r>
    </w:p>
    <w:p w:rsidR="00E82C0A" w:rsidRPr="003005D5" w:rsidRDefault="003367EF" w:rsidP="00E82C0A">
      <w:pPr>
        <w:spacing w:after="0" w:line="360" w:lineRule="auto"/>
        <w:ind w:firstLine="708"/>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 xml:space="preserve"> </w:t>
      </w:r>
      <w:r w:rsidR="004D0F9F" w:rsidRPr="003005D5">
        <w:rPr>
          <w:rFonts w:ascii="Times New Roman" w:hAnsi="Times New Roman" w:cs="Times New Roman"/>
          <w:sz w:val="28"/>
          <w:szCs w:val="28"/>
          <w:lang w:val="uk-UA"/>
        </w:rPr>
        <w:t>Порівняння  вибірок проводилось за метод</w:t>
      </w:r>
      <w:r w:rsidR="00245DB0" w:rsidRPr="003005D5">
        <w:rPr>
          <w:rFonts w:ascii="Times New Roman" w:hAnsi="Times New Roman" w:cs="Times New Roman"/>
          <w:sz w:val="28"/>
          <w:szCs w:val="28"/>
          <w:lang w:val="uk-UA"/>
        </w:rPr>
        <w:t>ами параметричної та непараметричної статистики</w:t>
      </w:r>
      <w:r w:rsidR="00E82C0A" w:rsidRPr="003005D5">
        <w:rPr>
          <w:rFonts w:ascii="Times New Roman" w:hAnsi="Times New Roman" w:cs="Times New Roman"/>
          <w:sz w:val="28"/>
          <w:szCs w:val="28"/>
          <w:lang w:val="uk-UA"/>
        </w:rPr>
        <w:t xml:space="preserve">. </w:t>
      </w:r>
    </w:p>
    <w:p w:rsidR="00B47C0F" w:rsidRPr="003005D5" w:rsidRDefault="000D37C3" w:rsidP="001E2CDB">
      <w:pPr>
        <w:spacing w:after="0" w:line="360" w:lineRule="auto"/>
        <w:jc w:val="both"/>
        <w:rPr>
          <w:rFonts w:ascii="Times New Roman" w:hAnsi="Times New Roman" w:cs="Times New Roman"/>
          <w:b/>
          <w:sz w:val="28"/>
          <w:szCs w:val="28"/>
          <w:lang w:val="uk-UA"/>
        </w:rPr>
      </w:pPr>
      <w:r w:rsidRPr="003005D5">
        <w:rPr>
          <w:rFonts w:ascii="Times New Roman" w:hAnsi="Times New Roman" w:cs="Times New Roman"/>
          <w:b/>
          <w:sz w:val="28"/>
          <w:szCs w:val="28"/>
          <w:lang w:val="uk-UA"/>
        </w:rPr>
        <w:t xml:space="preserve">Результати дослідження та їх обговорення.  </w:t>
      </w:r>
    </w:p>
    <w:p w:rsidR="00E82C0A" w:rsidRPr="003005D5" w:rsidRDefault="00B47C0F" w:rsidP="00E82C0A">
      <w:pPr>
        <w:spacing w:after="0" w:line="360" w:lineRule="auto"/>
        <w:ind w:firstLine="708"/>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lastRenderedPageBreak/>
        <w:t xml:space="preserve">Із даних анамнезу у </w:t>
      </w:r>
      <w:r w:rsidR="005D7591" w:rsidRPr="003005D5">
        <w:rPr>
          <w:rFonts w:ascii="Times New Roman" w:hAnsi="Times New Roman" w:cs="Times New Roman"/>
          <w:sz w:val="28"/>
          <w:szCs w:val="28"/>
          <w:lang w:val="uk-UA"/>
        </w:rPr>
        <w:t>обох групах діти переносили респіраторні захворювання (табл. 1.)</w:t>
      </w:r>
      <w:r w:rsidR="00082C58" w:rsidRPr="003005D5">
        <w:rPr>
          <w:rFonts w:ascii="Times New Roman" w:hAnsi="Times New Roman" w:cs="Times New Roman"/>
          <w:sz w:val="28"/>
          <w:szCs w:val="28"/>
          <w:lang w:val="uk-UA"/>
        </w:rPr>
        <w:t>. Зверта</w:t>
      </w:r>
      <w:r w:rsidR="00EA4B8E">
        <w:rPr>
          <w:rFonts w:ascii="Times New Roman" w:hAnsi="Times New Roman" w:cs="Times New Roman"/>
          <w:sz w:val="28"/>
          <w:szCs w:val="28"/>
          <w:lang w:val="uk-UA"/>
        </w:rPr>
        <w:t>ла</w:t>
      </w:r>
      <w:r w:rsidR="00082C58" w:rsidRPr="003005D5">
        <w:rPr>
          <w:rFonts w:ascii="Times New Roman" w:hAnsi="Times New Roman" w:cs="Times New Roman"/>
          <w:sz w:val="28"/>
          <w:szCs w:val="28"/>
          <w:lang w:val="uk-UA"/>
        </w:rPr>
        <w:t xml:space="preserve"> увагу значна кількість захворювань на гостру респіраторну хворобу в обох групах досліджених. Так,  від 95,6-99,9% дітей що народились недоношеними </w:t>
      </w:r>
      <w:r w:rsidR="00E82C0A" w:rsidRPr="003005D5">
        <w:rPr>
          <w:rFonts w:ascii="Times New Roman" w:hAnsi="Times New Roman" w:cs="Times New Roman"/>
          <w:sz w:val="28"/>
          <w:szCs w:val="28"/>
          <w:lang w:val="uk-UA"/>
        </w:rPr>
        <w:t>мали</w:t>
      </w:r>
      <w:r w:rsidR="00082C58" w:rsidRPr="003005D5">
        <w:rPr>
          <w:rFonts w:ascii="Times New Roman" w:hAnsi="Times New Roman" w:cs="Times New Roman"/>
          <w:sz w:val="28"/>
          <w:szCs w:val="28"/>
          <w:lang w:val="uk-UA"/>
        </w:rPr>
        <w:t xml:space="preserve"> від 1-5 епізодів ГРІ на протязі року. Наявність брон</w:t>
      </w:r>
      <w:r w:rsidR="00E82C0A" w:rsidRPr="003005D5">
        <w:rPr>
          <w:rFonts w:ascii="Times New Roman" w:hAnsi="Times New Roman" w:cs="Times New Roman"/>
          <w:sz w:val="28"/>
          <w:szCs w:val="28"/>
          <w:lang w:val="uk-UA"/>
        </w:rPr>
        <w:t>холегеневої дисплазії не впливала</w:t>
      </w:r>
      <w:r w:rsidR="00082C58" w:rsidRPr="003005D5">
        <w:rPr>
          <w:rFonts w:ascii="Times New Roman" w:hAnsi="Times New Roman" w:cs="Times New Roman"/>
          <w:sz w:val="28"/>
          <w:szCs w:val="28"/>
          <w:lang w:val="uk-UA"/>
        </w:rPr>
        <w:t xml:space="preserve"> на  частоту</w:t>
      </w:r>
      <w:r w:rsidR="00E82C0A" w:rsidRPr="003005D5">
        <w:rPr>
          <w:rFonts w:ascii="Times New Roman" w:hAnsi="Times New Roman" w:cs="Times New Roman"/>
          <w:sz w:val="28"/>
          <w:szCs w:val="28"/>
          <w:lang w:val="uk-UA"/>
        </w:rPr>
        <w:t xml:space="preserve"> </w:t>
      </w:r>
      <w:r w:rsidR="009C128A" w:rsidRPr="003005D5">
        <w:rPr>
          <w:rFonts w:ascii="Times New Roman" w:hAnsi="Times New Roman" w:cs="Times New Roman"/>
          <w:sz w:val="28"/>
          <w:szCs w:val="28"/>
          <w:lang w:val="uk-UA"/>
        </w:rPr>
        <w:t xml:space="preserve">(r=-0,038) </w:t>
      </w:r>
      <w:r w:rsidR="00082C58" w:rsidRPr="003005D5">
        <w:rPr>
          <w:rFonts w:ascii="Times New Roman" w:hAnsi="Times New Roman" w:cs="Times New Roman"/>
          <w:sz w:val="28"/>
          <w:szCs w:val="28"/>
          <w:lang w:val="uk-UA"/>
        </w:rPr>
        <w:t xml:space="preserve"> та тривалість </w:t>
      </w:r>
      <w:r w:rsidR="009C128A" w:rsidRPr="003005D5">
        <w:rPr>
          <w:rFonts w:ascii="Times New Roman" w:hAnsi="Times New Roman" w:cs="Times New Roman"/>
          <w:sz w:val="28"/>
          <w:szCs w:val="28"/>
          <w:lang w:val="uk-UA"/>
        </w:rPr>
        <w:t xml:space="preserve"> (r=-0,112)  </w:t>
      </w:r>
      <w:r w:rsidR="00082C58" w:rsidRPr="003005D5">
        <w:rPr>
          <w:rFonts w:ascii="Times New Roman" w:hAnsi="Times New Roman" w:cs="Times New Roman"/>
          <w:sz w:val="28"/>
          <w:szCs w:val="28"/>
          <w:lang w:val="uk-UA"/>
        </w:rPr>
        <w:t xml:space="preserve">гострого </w:t>
      </w:r>
      <w:proofErr w:type="spellStart"/>
      <w:r w:rsidR="00082C58" w:rsidRPr="003005D5">
        <w:rPr>
          <w:rFonts w:ascii="Times New Roman" w:hAnsi="Times New Roman" w:cs="Times New Roman"/>
          <w:sz w:val="28"/>
          <w:szCs w:val="28"/>
          <w:lang w:val="uk-UA"/>
        </w:rPr>
        <w:t>ринофарингіту</w:t>
      </w:r>
      <w:proofErr w:type="spellEnd"/>
      <w:r w:rsidR="009C128A" w:rsidRPr="003005D5">
        <w:rPr>
          <w:rFonts w:ascii="Times New Roman" w:hAnsi="Times New Roman" w:cs="Times New Roman"/>
          <w:sz w:val="28"/>
          <w:szCs w:val="28"/>
          <w:lang w:val="uk-UA"/>
        </w:rPr>
        <w:t>, обумовленим ГРІ</w:t>
      </w:r>
      <w:r w:rsidR="00082C58" w:rsidRPr="003005D5">
        <w:rPr>
          <w:rFonts w:ascii="Times New Roman" w:hAnsi="Times New Roman" w:cs="Times New Roman"/>
          <w:sz w:val="28"/>
          <w:szCs w:val="28"/>
          <w:lang w:val="uk-UA"/>
        </w:rPr>
        <w:t xml:space="preserve">. </w:t>
      </w:r>
      <w:r w:rsidR="00E82C0A" w:rsidRPr="003005D5">
        <w:rPr>
          <w:rFonts w:ascii="Times New Roman" w:hAnsi="Times New Roman" w:cs="Times New Roman"/>
          <w:sz w:val="28"/>
          <w:szCs w:val="28"/>
          <w:lang w:val="uk-UA"/>
        </w:rPr>
        <w:t xml:space="preserve">Захворюваність на обструктивний бронхіт переважала у групі хворих на БЛД (р&lt;0,001), в той час як у групі порівняння діти частіше страждали на простий бронхіт (р&lt;0,001). Наявність БЛД достовірно корелювала з частотою захворюваності (r=+0,885) та тривалістю обструктивного бронхіту (r=+0,899). Перебіг </w:t>
      </w:r>
      <w:proofErr w:type="spellStart"/>
      <w:r w:rsidR="00E82C0A" w:rsidRPr="003005D5">
        <w:rPr>
          <w:rFonts w:ascii="Times New Roman" w:hAnsi="Times New Roman" w:cs="Times New Roman"/>
          <w:sz w:val="28"/>
          <w:szCs w:val="28"/>
          <w:lang w:val="uk-UA"/>
        </w:rPr>
        <w:t>бронхіоліту</w:t>
      </w:r>
      <w:proofErr w:type="spellEnd"/>
      <w:r w:rsidR="00E82C0A" w:rsidRPr="003005D5">
        <w:rPr>
          <w:rFonts w:ascii="Times New Roman" w:hAnsi="Times New Roman" w:cs="Times New Roman"/>
          <w:sz w:val="28"/>
          <w:szCs w:val="28"/>
          <w:lang w:val="uk-UA"/>
        </w:rPr>
        <w:t xml:space="preserve"> був триваліший у дітей хворих на БЛД (р&lt;0,001). На нашу думку, переважання обструкції у дітей з бронхолегеневої дисплазією обумовлене морфологічними змінами, притаманними для цього захворювання, у вигляді зменшення діаметру бронхів, </w:t>
      </w:r>
      <w:proofErr w:type="spellStart"/>
      <w:r w:rsidR="00E82C0A" w:rsidRPr="003005D5">
        <w:rPr>
          <w:rFonts w:ascii="Times New Roman" w:hAnsi="Times New Roman" w:cs="Times New Roman"/>
          <w:sz w:val="28"/>
          <w:szCs w:val="28"/>
          <w:lang w:val="uk-UA"/>
        </w:rPr>
        <w:t>метаплазією</w:t>
      </w:r>
      <w:proofErr w:type="spellEnd"/>
      <w:r w:rsidR="00E82C0A" w:rsidRPr="003005D5">
        <w:rPr>
          <w:rFonts w:ascii="Times New Roman" w:hAnsi="Times New Roman" w:cs="Times New Roman"/>
          <w:sz w:val="28"/>
          <w:szCs w:val="28"/>
          <w:lang w:val="uk-UA"/>
        </w:rPr>
        <w:t xml:space="preserve"> бронхіального епітелію, гіпертрофією та гіперплазією гладкої мускулатури бронхіол та бронхів, </w:t>
      </w:r>
      <w:proofErr w:type="spellStart"/>
      <w:r w:rsidR="00E82C0A" w:rsidRPr="003005D5">
        <w:rPr>
          <w:rFonts w:ascii="Times New Roman" w:hAnsi="Times New Roman" w:cs="Times New Roman"/>
          <w:sz w:val="28"/>
          <w:szCs w:val="28"/>
          <w:lang w:val="uk-UA"/>
        </w:rPr>
        <w:t>перібронхіальною</w:t>
      </w:r>
      <w:proofErr w:type="spellEnd"/>
      <w:r w:rsidR="00E82C0A" w:rsidRPr="003005D5">
        <w:rPr>
          <w:rFonts w:ascii="Times New Roman" w:hAnsi="Times New Roman" w:cs="Times New Roman"/>
          <w:sz w:val="28"/>
          <w:szCs w:val="28"/>
          <w:lang w:val="uk-UA"/>
        </w:rPr>
        <w:t xml:space="preserve"> </w:t>
      </w:r>
      <w:proofErr w:type="spellStart"/>
      <w:r w:rsidR="00E82C0A" w:rsidRPr="003005D5">
        <w:rPr>
          <w:rFonts w:ascii="Times New Roman" w:hAnsi="Times New Roman" w:cs="Times New Roman"/>
          <w:sz w:val="28"/>
          <w:szCs w:val="28"/>
          <w:lang w:val="uk-UA"/>
        </w:rPr>
        <w:t>гіперпластичною</w:t>
      </w:r>
      <w:proofErr w:type="spellEnd"/>
      <w:r w:rsidR="00E82C0A" w:rsidRPr="003005D5">
        <w:rPr>
          <w:rFonts w:ascii="Times New Roman" w:hAnsi="Times New Roman" w:cs="Times New Roman"/>
          <w:sz w:val="28"/>
          <w:szCs w:val="28"/>
          <w:lang w:val="uk-UA"/>
        </w:rPr>
        <w:t xml:space="preserve"> інфільтрацією, </w:t>
      </w:r>
      <w:proofErr w:type="spellStart"/>
      <w:r w:rsidR="00E82C0A" w:rsidRPr="003005D5">
        <w:rPr>
          <w:rFonts w:ascii="Times New Roman" w:hAnsi="Times New Roman" w:cs="Times New Roman"/>
          <w:sz w:val="28"/>
          <w:szCs w:val="28"/>
          <w:lang w:val="uk-UA"/>
        </w:rPr>
        <w:t>персистуючим</w:t>
      </w:r>
      <w:proofErr w:type="spellEnd"/>
      <w:r w:rsidR="00E82C0A" w:rsidRPr="003005D5">
        <w:rPr>
          <w:rFonts w:ascii="Times New Roman" w:hAnsi="Times New Roman" w:cs="Times New Roman"/>
          <w:sz w:val="28"/>
          <w:szCs w:val="28"/>
          <w:lang w:val="uk-UA"/>
        </w:rPr>
        <w:t xml:space="preserve"> </w:t>
      </w:r>
      <w:proofErr w:type="spellStart"/>
      <w:r w:rsidR="00E82C0A" w:rsidRPr="003005D5">
        <w:rPr>
          <w:rFonts w:ascii="Times New Roman" w:hAnsi="Times New Roman" w:cs="Times New Roman"/>
          <w:sz w:val="28"/>
          <w:szCs w:val="28"/>
          <w:lang w:val="uk-UA"/>
        </w:rPr>
        <w:t>інтерстиційним</w:t>
      </w:r>
      <w:proofErr w:type="spellEnd"/>
      <w:r w:rsidR="00E82C0A" w:rsidRPr="003005D5">
        <w:rPr>
          <w:rFonts w:ascii="Times New Roman" w:hAnsi="Times New Roman" w:cs="Times New Roman"/>
          <w:sz w:val="28"/>
          <w:szCs w:val="28"/>
          <w:lang w:val="uk-UA"/>
        </w:rPr>
        <w:t xml:space="preserve"> набряком та фіброзом. </w:t>
      </w:r>
    </w:p>
    <w:p w:rsidR="00212C7E" w:rsidRPr="003005D5" w:rsidRDefault="00212C7E" w:rsidP="00EA4B8E">
      <w:pPr>
        <w:spacing w:after="0" w:line="240" w:lineRule="auto"/>
        <w:ind w:firstLine="708"/>
        <w:jc w:val="right"/>
        <w:rPr>
          <w:rFonts w:ascii="Times New Roman" w:hAnsi="Times New Roman" w:cs="Times New Roman"/>
          <w:sz w:val="28"/>
          <w:szCs w:val="28"/>
          <w:lang w:val="uk-UA"/>
        </w:rPr>
      </w:pPr>
      <w:r w:rsidRPr="003005D5">
        <w:rPr>
          <w:rFonts w:ascii="Times New Roman" w:hAnsi="Times New Roman" w:cs="Times New Roman"/>
          <w:sz w:val="28"/>
          <w:szCs w:val="28"/>
          <w:lang w:val="uk-UA"/>
        </w:rPr>
        <w:t>Таблиця 1.</w:t>
      </w:r>
    </w:p>
    <w:p w:rsidR="005D7591" w:rsidRPr="003005D5" w:rsidRDefault="00212C7E" w:rsidP="00EA4B8E">
      <w:pPr>
        <w:spacing w:after="0" w:line="240" w:lineRule="auto"/>
        <w:jc w:val="right"/>
        <w:rPr>
          <w:rFonts w:ascii="Times New Roman" w:hAnsi="Times New Roman" w:cs="Times New Roman"/>
          <w:sz w:val="28"/>
          <w:szCs w:val="28"/>
          <w:lang w:val="uk-UA"/>
        </w:rPr>
      </w:pPr>
      <w:r w:rsidRPr="003005D5">
        <w:rPr>
          <w:rFonts w:ascii="Times New Roman" w:hAnsi="Times New Roman" w:cs="Times New Roman"/>
          <w:sz w:val="28"/>
          <w:szCs w:val="28"/>
          <w:lang w:val="uk-UA"/>
        </w:rPr>
        <w:t xml:space="preserve">Нозологічна структура респіраторних захворювань дітей хворих на бронхолегеневу дисплазію (основна група) і пацієнтів що народились недоношеними  та не сформували БЛД (група порівняння)  </w:t>
      </w:r>
    </w:p>
    <w:tbl>
      <w:tblPr>
        <w:tblStyle w:val="a8"/>
        <w:tblW w:w="0" w:type="auto"/>
        <w:tblLook w:val="04A0" w:firstRow="1" w:lastRow="0" w:firstColumn="1" w:lastColumn="0" w:noHBand="0" w:noVBand="1"/>
      </w:tblPr>
      <w:tblGrid>
        <w:gridCol w:w="2078"/>
        <w:gridCol w:w="2874"/>
        <w:gridCol w:w="1823"/>
        <w:gridCol w:w="1690"/>
        <w:gridCol w:w="1106"/>
      </w:tblGrid>
      <w:tr w:rsidR="000F3F9C" w:rsidRPr="003005D5" w:rsidTr="000F3F9C">
        <w:trPr>
          <w:trHeight w:val="654"/>
        </w:trPr>
        <w:tc>
          <w:tcPr>
            <w:tcW w:w="4952" w:type="dxa"/>
            <w:gridSpan w:val="2"/>
          </w:tcPr>
          <w:p w:rsidR="000F3F9C" w:rsidRPr="003005D5" w:rsidRDefault="000F3F9C" w:rsidP="00EA6D1F">
            <w:pPr>
              <w:jc w:val="center"/>
              <w:rPr>
                <w:rFonts w:ascii="Times New Roman" w:hAnsi="Times New Roman" w:cs="Times New Roman"/>
                <w:b/>
                <w:sz w:val="28"/>
                <w:szCs w:val="28"/>
                <w:lang w:val="uk-UA"/>
              </w:rPr>
            </w:pPr>
            <w:r w:rsidRPr="003005D5">
              <w:rPr>
                <w:rFonts w:ascii="Times New Roman" w:hAnsi="Times New Roman" w:cs="Times New Roman"/>
                <w:b/>
                <w:sz w:val="28"/>
                <w:szCs w:val="28"/>
                <w:lang w:val="uk-UA"/>
              </w:rPr>
              <w:t>Нозологічна форма</w:t>
            </w:r>
          </w:p>
        </w:tc>
        <w:tc>
          <w:tcPr>
            <w:tcW w:w="1823" w:type="dxa"/>
          </w:tcPr>
          <w:p w:rsidR="000F3F9C" w:rsidRPr="003005D5" w:rsidRDefault="000F3F9C" w:rsidP="00EA6D1F">
            <w:pPr>
              <w:jc w:val="center"/>
              <w:rPr>
                <w:rFonts w:ascii="Times New Roman" w:hAnsi="Times New Roman" w:cs="Times New Roman"/>
                <w:b/>
                <w:sz w:val="28"/>
                <w:szCs w:val="28"/>
                <w:lang w:val="uk-UA"/>
              </w:rPr>
            </w:pPr>
            <w:r w:rsidRPr="003005D5">
              <w:rPr>
                <w:rFonts w:ascii="Times New Roman" w:hAnsi="Times New Roman" w:cs="Times New Roman"/>
                <w:b/>
                <w:sz w:val="28"/>
                <w:szCs w:val="28"/>
                <w:lang w:val="uk-UA"/>
              </w:rPr>
              <w:t>Основна група</w:t>
            </w:r>
          </w:p>
          <w:p w:rsidR="000F3F9C" w:rsidRPr="003005D5" w:rsidRDefault="000F3F9C" w:rsidP="00EA6D1F">
            <w:pPr>
              <w:jc w:val="center"/>
              <w:rPr>
                <w:rFonts w:ascii="Times New Roman" w:hAnsi="Times New Roman" w:cs="Times New Roman"/>
                <w:b/>
                <w:sz w:val="28"/>
                <w:szCs w:val="28"/>
                <w:lang w:val="uk-UA"/>
              </w:rPr>
            </w:pPr>
            <w:r w:rsidRPr="003005D5">
              <w:rPr>
                <w:rFonts w:ascii="Times New Roman" w:hAnsi="Times New Roman" w:cs="Times New Roman"/>
                <w:b/>
                <w:sz w:val="28"/>
                <w:szCs w:val="28"/>
                <w:lang w:val="en-US"/>
              </w:rPr>
              <w:t>n</w:t>
            </w:r>
            <w:r w:rsidRPr="003005D5">
              <w:rPr>
                <w:rFonts w:ascii="Times New Roman" w:hAnsi="Times New Roman" w:cs="Times New Roman"/>
                <w:b/>
                <w:sz w:val="28"/>
                <w:szCs w:val="28"/>
              </w:rPr>
              <w:t>=131</w:t>
            </w:r>
          </w:p>
        </w:tc>
        <w:tc>
          <w:tcPr>
            <w:tcW w:w="1690" w:type="dxa"/>
          </w:tcPr>
          <w:p w:rsidR="000F3F9C" w:rsidRPr="003005D5" w:rsidRDefault="000F3F9C" w:rsidP="00EA6D1F">
            <w:pPr>
              <w:jc w:val="center"/>
              <w:rPr>
                <w:rFonts w:ascii="Times New Roman" w:hAnsi="Times New Roman" w:cs="Times New Roman"/>
                <w:b/>
                <w:sz w:val="28"/>
                <w:szCs w:val="28"/>
                <w:lang w:val="uk-UA"/>
              </w:rPr>
            </w:pPr>
            <w:r w:rsidRPr="003005D5">
              <w:rPr>
                <w:rFonts w:ascii="Times New Roman" w:hAnsi="Times New Roman" w:cs="Times New Roman"/>
                <w:b/>
                <w:sz w:val="28"/>
                <w:szCs w:val="28"/>
                <w:lang w:val="uk-UA"/>
              </w:rPr>
              <w:t>Група порівняння</w:t>
            </w:r>
          </w:p>
          <w:p w:rsidR="000F3F9C" w:rsidRPr="003005D5" w:rsidRDefault="000F3F9C" w:rsidP="00EA6D1F">
            <w:pPr>
              <w:jc w:val="center"/>
              <w:rPr>
                <w:rFonts w:ascii="Times New Roman" w:hAnsi="Times New Roman" w:cs="Times New Roman"/>
                <w:b/>
                <w:sz w:val="28"/>
                <w:szCs w:val="28"/>
              </w:rPr>
            </w:pPr>
            <w:r w:rsidRPr="003005D5">
              <w:rPr>
                <w:rFonts w:ascii="Times New Roman" w:hAnsi="Times New Roman" w:cs="Times New Roman"/>
                <w:b/>
                <w:sz w:val="28"/>
                <w:szCs w:val="28"/>
                <w:lang w:val="en-US"/>
              </w:rPr>
              <w:t>n</w:t>
            </w:r>
            <w:r w:rsidRPr="003005D5">
              <w:rPr>
                <w:rFonts w:ascii="Times New Roman" w:hAnsi="Times New Roman" w:cs="Times New Roman"/>
                <w:b/>
                <w:sz w:val="28"/>
                <w:szCs w:val="28"/>
              </w:rPr>
              <w:t>=36</w:t>
            </w:r>
          </w:p>
        </w:tc>
        <w:tc>
          <w:tcPr>
            <w:tcW w:w="1106" w:type="dxa"/>
          </w:tcPr>
          <w:p w:rsidR="000F3F9C" w:rsidRPr="003005D5" w:rsidRDefault="000F3F9C" w:rsidP="00EA6D1F">
            <w:pPr>
              <w:jc w:val="center"/>
              <w:rPr>
                <w:rFonts w:ascii="Times New Roman" w:hAnsi="Times New Roman" w:cs="Times New Roman"/>
                <w:b/>
                <w:sz w:val="28"/>
                <w:szCs w:val="28"/>
                <w:lang w:val="uk-UA"/>
              </w:rPr>
            </w:pPr>
            <w:r w:rsidRPr="003005D5">
              <w:rPr>
                <w:rFonts w:ascii="Times New Roman" w:hAnsi="Times New Roman" w:cs="Times New Roman"/>
                <w:b/>
                <w:sz w:val="28"/>
                <w:szCs w:val="28"/>
                <w:lang w:val="uk-UA"/>
              </w:rPr>
              <w:t>р</w:t>
            </w:r>
          </w:p>
        </w:tc>
      </w:tr>
      <w:tr w:rsidR="005D7591" w:rsidRPr="003005D5" w:rsidTr="000F3F9C">
        <w:tc>
          <w:tcPr>
            <w:tcW w:w="2078" w:type="dxa"/>
            <w:vMerge w:val="restart"/>
          </w:tcPr>
          <w:p w:rsidR="005D7591" w:rsidRPr="003005D5" w:rsidRDefault="005D7591"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Гостра респіраторна інфекція</w:t>
            </w:r>
          </w:p>
          <w:p w:rsidR="000F3F9C" w:rsidRPr="003005D5" w:rsidRDefault="000F3F9C"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w:t>
            </w:r>
            <w:proofErr w:type="spellStart"/>
            <w:r w:rsidRPr="003005D5">
              <w:rPr>
                <w:rFonts w:ascii="Times New Roman" w:hAnsi="Times New Roman" w:cs="Times New Roman"/>
                <w:sz w:val="28"/>
                <w:szCs w:val="28"/>
                <w:lang w:val="uk-UA"/>
              </w:rPr>
              <w:t>ринофарингіт</w:t>
            </w:r>
            <w:proofErr w:type="spellEnd"/>
            <w:r w:rsidRPr="003005D5">
              <w:rPr>
                <w:rFonts w:ascii="Times New Roman" w:hAnsi="Times New Roman" w:cs="Times New Roman"/>
                <w:sz w:val="28"/>
                <w:szCs w:val="28"/>
                <w:lang w:val="uk-UA"/>
              </w:rPr>
              <w:t>)</w:t>
            </w:r>
          </w:p>
        </w:tc>
        <w:tc>
          <w:tcPr>
            <w:tcW w:w="2874" w:type="dxa"/>
          </w:tcPr>
          <w:p w:rsidR="005D7591" w:rsidRPr="003005D5" w:rsidRDefault="005D7591"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Кількість дітей, що захворіли</w:t>
            </w:r>
          </w:p>
        </w:tc>
        <w:tc>
          <w:tcPr>
            <w:tcW w:w="1823" w:type="dxa"/>
          </w:tcPr>
          <w:p w:rsidR="005D7591" w:rsidRPr="003005D5" w:rsidRDefault="00613EB5"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125 (95,6%)</w:t>
            </w:r>
          </w:p>
        </w:tc>
        <w:tc>
          <w:tcPr>
            <w:tcW w:w="1690" w:type="dxa"/>
          </w:tcPr>
          <w:p w:rsidR="005D7591" w:rsidRPr="003005D5" w:rsidRDefault="000F3F9C"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36 (99,9%)</w:t>
            </w:r>
          </w:p>
        </w:tc>
        <w:tc>
          <w:tcPr>
            <w:tcW w:w="1106" w:type="dxa"/>
          </w:tcPr>
          <w:p w:rsidR="005D7591" w:rsidRPr="003005D5" w:rsidRDefault="003104BD"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&gt;0,05</w:t>
            </w:r>
          </w:p>
        </w:tc>
      </w:tr>
      <w:tr w:rsidR="003104BD" w:rsidRPr="003005D5" w:rsidTr="000F3F9C">
        <w:tc>
          <w:tcPr>
            <w:tcW w:w="2078" w:type="dxa"/>
            <w:vMerge/>
          </w:tcPr>
          <w:p w:rsidR="003104BD" w:rsidRPr="003005D5" w:rsidRDefault="003104BD" w:rsidP="00EA6D1F">
            <w:pPr>
              <w:jc w:val="both"/>
              <w:rPr>
                <w:rFonts w:ascii="Times New Roman" w:hAnsi="Times New Roman" w:cs="Times New Roman"/>
                <w:sz w:val="28"/>
                <w:szCs w:val="28"/>
                <w:lang w:val="uk-UA"/>
              </w:rPr>
            </w:pPr>
          </w:p>
        </w:tc>
        <w:tc>
          <w:tcPr>
            <w:tcW w:w="2874" w:type="dxa"/>
          </w:tcPr>
          <w:p w:rsidR="003104BD" w:rsidRPr="003005D5" w:rsidRDefault="003104BD"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 xml:space="preserve">Частота захворювань на рік </w:t>
            </w:r>
          </w:p>
        </w:tc>
        <w:tc>
          <w:tcPr>
            <w:tcW w:w="1823" w:type="dxa"/>
          </w:tcPr>
          <w:p w:rsidR="003104BD" w:rsidRPr="003005D5" w:rsidRDefault="003104BD"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2,12</w:t>
            </w:r>
            <w:r w:rsidRPr="003005D5">
              <w:rPr>
                <w:rFonts w:ascii="Times New Roman" w:hAnsi="Times New Roman" w:cs="Times New Roman"/>
                <w:sz w:val="28"/>
                <w:szCs w:val="28"/>
                <w:u w:val="single"/>
                <w:lang w:val="uk-UA"/>
              </w:rPr>
              <w:t>+</w:t>
            </w:r>
            <w:r w:rsidRPr="003005D5">
              <w:rPr>
                <w:rFonts w:ascii="Times New Roman" w:hAnsi="Times New Roman" w:cs="Times New Roman"/>
                <w:sz w:val="28"/>
                <w:szCs w:val="28"/>
                <w:lang w:val="uk-UA"/>
              </w:rPr>
              <w:t>1,23</w:t>
            </w:r>
          </w:p>
        </w:tc>
        <w:tc>
          <w:tcPr>
            <w:tcW w:w="1690" w:type="dxa"/>
          </w:tcPr>
          <w:p w:rsidR="003104BD" w:rsidRPr="003005D5" w:rsidRDefault="003104BD"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1,84</w:t>
            </w:r>
            <w:r w:rsidRPr="003005D5">
              <w:rPr>
                <w:rFonts w:ascii="Times New Roman" w:hAnsi="Times New Roman" w:cs="Times New Roman"/>
                <w:sz w:val="28"/>
                <w:szCs w:val="28"/>
                <w:u w:val="single"/>
                <w:lang w:val="uk-UA"/>
              </w:rPr>
              <w:t>+</w:t>
            </w:r>
            <w:r w:rsidRPr="003005D5">
              <w:rPr>
                <w:rFonts w:ascii="Times New Roman" w:hAnsi="Times New Roman" w:cs="Times New Roman"/>
                <w:sz w:val="28"/>
                <w:szCs w:val="28"/>
                <w:lang w:val="uk-UA"/>
              </w:rPr>
              <w:t>1,14</w:t>
            </w:r>
          </w:p>
        </w:tc>
        <w:tc>
          <w:tcPr>
            <w:tcW w:w="1106" w:type="dxa"/>
          </w:tcPr>
          <w:p w:rsidR="003104BD" w:rsidRPr="003005D5" w:rsidRDefault="003104BD"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&gt;0,05</w:t>
            </w:r>
          </w:p>
        </w:tc>
      </w:tr>
      <w:tr w:rsidR="003104BD" w:rsidRPr="003005D5" w:rsidTr="000F3F9C">
        <w:tc>
          <w:tcPr>
            <w:tcW w:w="2078" w:type="dxa"/>
            <w:vMerge/>
          </w:tcPr>
          <w:p w:rsidR="003104BD" w:rsidRPr="003005D5" w:rsidRDefault="003104BD" w:rsidP="00EA6D1F">
            <w:pPr>
              <w:jc w:val="both"/>
              <w:rPr>
                <w:rFonts w:ascii="Times New Roman" w:hAnsi="Times New Roman" w:cs="Times New Roman"/>
                <w:sz w:val="28"/>
                <w:szCs w:val="28"/>
                <w:lang w:val="uk-UA"/>
              </w:rPr>
            </w:pPr>
          </w:p>
        </w:tc>
        <w:tc>
          <w:tcPr>
            <w:tcW w:w="2874" w:type="dxa"/>
          </w:tcPr>
          <w:p w:rsidR="003104BD" w:rsidRPr="003005D5" w:rsidRDefault="003104BD"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Тривалість захворювання (діб)</w:t>
            </w:r>
          </w:p>
        </w:tc>
        <w:tc>
          <w:tcPr>
            <w:tcW w:w="1823" w:type="dxa"/>
          </w:tcPr>
          <w:p w:rsidR="003104BD" w:rsidRPr="003005D5" w:rsidRDefault="00082C58"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4,49</w:t>
            </w:r>
            <w:r w:rsidR="003104BD" w:rsidRPr="003005D5">
              <w:rPr>
                <w:rFonts w:ascii="Times New Roman" w:hAnsi="Times New Roman" w:cs="Times New Roman"/>
                <w:sz w:val="28"/>
                <w:szCs w:val="28"/>
                <w:u w:val="single"/>
                <w:lang w:val="uk-UA"/>
              </w:rPr>
              <w:t>+</w:t>
            </w:r>
            <w:r w:rsidR="003104BD" w:rsidRPr="003005D5">
              <w:rPr>
                <w:rFonts w:ascii="Times New Roman" w:hAnsi="Times New Roman" w:cs="Times New Roman"/>
                <w:sz w:val="28"/>
                <w:szCs w:val="28"/>
                <w:lang w:val="uk-UA"/>
              </w:rPr>
              <w:t>0,</w:t>
            </w:r>
            <w:r w:rsidRPr="003005D5">
              <w:rPr>
                <w:rFonts w:ascii="Times New Roman" w:hAnsi="Times New Roman" w:cs="Times New Roman"/>
                <w:sz w:val="28"/>
                <w:szCs w:val="28"/>
                <w:lang w:val="uk-UA"/>
              </w:rPr>
              <w:t>86</w:t>
            </w:r>
          </w:p>
        </w:tc>
        <w:tc>
          <w:tcPr>
            <w:tcW w:w="1690" w:type="dxa"/>
          </w:tcPr>
          <w:p w:rsidR="003104BD" w:rsidRPr="003005D5" w:rsidRDefault="003104BD"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4,07</w:t>
            </w:r>
            <w:r w:rsidRPr="003005D5">
              <w:rPr>
                <w:rFonts w:ascii="Times New Roman" w:hAnsi="Times New Roman" w:cs="Times New Roman"/>
                <w:sz w:val="28"/>
                <w:szCs w:val="28"/>
                <w:u w:val="single"/>
                <w:lang w:val="uk-UA"/>
              </w:rPr>
              <w:t>+</w:t>
            </w:r>
            <w:r w:rsidRPr="003005D5">
              <w:rPr>
                <w:rFonts w:ascii="Times New Roman" w:hAnsi="Times New Roman" w:cs="Times New Roman"/>
                <w:sz w:val="28"/>
                <w:szCs w:val="28"/>
                <w:lang w:val="uk-UA"/>
              </w:rPr>
              <w:t>0,56</w:t>
            </w:r>
          </w:p>
        </w:tc>
        <w:tc>
          <w:tcPr>
            <w:tcW w:w="1106" w:type="dxa"/>
          </w:tcPr>
          <w:p w:rsidR="003104BD" w:rsidRPr="003005D5" w:rsidRDefault="003104BD"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&gt;0,05</w:t>
            </w:r>
          </w:p>
        </w:tc>
      </w:tr>
      <w:tr w:rsidR="003104BD" w:rsidRPr="003005D5" w:rsidTr="000F3F9C">
        <w:tc>
          <w:tcPr>
            <w:tcW w:w="2078" w:type="dxa"/>
            <w:vMerge w:val="restart"/>
          </w:tcPr>
          <w:p w:rsidR="003104BD" w:rsidRPr="003005D5" w:rsidRDefault="003104BD"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 xml:space="preserve">Простий бронхіт </w:t>
            </w:r>
          </w:p>
        </w:tc>
        <w:tc>
          <w:tcPr>
            <w:tcW w:w="2874" w:type="dxa"/>
          </w:tcPr>
          <w:p w:rsidR="003104BD" w:rsidRPr="003005D5" w:rsidRDefault="003104BD"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Кількість дітей, що захворіли</w:t>
            </w:r>
          </w:p>
        </w:tc>
        <w:tc>
          <w:tcPr>
            <w:tcW w:w="1823" w:type="dxa"/>
          </w:tcPr>
          <w:p w:rsidR="003104BD" w:rsidRPr="003005D5" w:rsidRDefault="0065157C"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3 (2,9%)</w:t>
            </w:r>
          </w:p>
        </w:tc>
        <w:tc>
          <w:tcPr>
            <w:tcW w:w="1690" w:type="dxa"/>
          </w:tcPr>
          <w:p w:rsidR="003104BD" w:rsidRPr="003005D5" w:rsidRDefault="003104BD"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18 (50%)</w:t>
            </w:r>
          </w:p>
        </w:tc>
        <w:tc>
          <w:tcPr>
            <w:tcW w:w="1106" w:type="dxa"/>
          </w:tcPr>
          <w:p w:rsidR="003104BD" w:rsidRPr="003005D5" w:rsidRDefault="0065157C"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&lt;0,001</w:t>
            </w:r>
          </w:p>
        </w:tc>
      </w:tr>
      <w:tr w:rsidR="0065157C" w:rsidRPr="003005D5" w:rsidTr="000F3F9C">
        <w:tc>
          <w:tcPr>
            <w:tcW w:w="2078" w:type="dxa"/>
            <w:vMerge/>
          </w:tcPr>
          <w:p w:rsidR="0065157C" w:rsidRPr="003005D5" w:rsidRDefault="0065157C" w:rsidP="00EA6D1F">
            <w:pPr>
              <w:jc w:val="both"/>
              <w:rPr>
                <w:rFonts w:ascii="Times New Roman" w:hAnsi="Times New Roman" w:cs="Times New Roman"/>
                <w:sz w:val="28"/>
                <w:szCs w:val="28"/>
                <w:lang w:val="uk-UA"/>
              </w:rPr>
            </w:pPr>
          </w:p>
        </w:tc>
        <w:tc>
          <w:tcPr>
            <w:tcW w:w="2874" w:type="dxa"/>
          </w:tcPr>
          <w:p w:rsidR="0065157C" w:rsidRPr="003005D5" w:rsidRDefault="0065157C"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 xml:space="preserve">Частота захворювань на рік </w:t>
            </w:r>
          </w:p>
        </w:tc>
        <w:tc>
          <w:tcPr>
            <w:tcW w:w="1823" w:type="dxa"/>
          </w:tcPr>
          <w:p w:rsidR="0065157C" w:rsidRPr="003005D5" w:rsidRDefault="0065157C"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0,29</w:t>
            </w:r>
            <w:r w:rsidRPr="003005D5">
              <w:rPr>
                <w:rFonts w:ascii="Times New Roman" w:hAnsi="Times New Roman" w:cs="Times New Roman"/>
                <w:sz w:val="28"/>
                <w:szCs w:val="28"/>
                <w:u w:val="single"/>
                <w:lang w:val="uk-UA"/>
              </w:rPr>
              <w:t>+</w:t>
            </w:r>
            <w:r w:rsidRPr="003005D5">
              <w:rPr>
                <w:rFonts w:ascii="Times New Roman" w:hAnsi="Times New Roman" w:cs="Times New Roman"/>
                <w:sz w:val="28"/>
                <w:szCs w:val="28"/>
                <w:lang w:val="uk-UA"/>
              </w:rPr>
              <w:t>0,03</w:t>
            </w:r>
          </w:p>
        </w:tc>
        <w:tc>
          <w:tcPr>
            <w:tcW w:w="1690" w:type="dxa"/>
          </w:tcPr>
          <w:p w:rsidR="0065157C" w:rsidRPr="003005D5" w:rsidRDefault="0065157C"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0,84</w:t>
            </w:r>
            <w:r w:rsidRPr="003005D5">
              <w:rPr>
                <w:rFonts w:ascii="Times New Roman" w:hAnsi="Times New Roman" w:cs="Times New Roman"/>
                <w:sz w:val="28"/>
                <w:szCs w:val="28"/>
                <w:u w:val="single"/>
                <w:lang w:val="uk-UA"/>
              </w:rPr>
              <w:t>+</w:t>
            </w:r>
            <w:r w:rsidRPr="003005D5">
              <w:rPr>
                <w:rFonts w:ascii="Times New Roman" w:hAnsi="Times New Roman" w:cs="Times New Roman"/>
                <w:sz w:val="28"/>
                <w:szCs w:val="28"/>
                <w:lang w:val="uk-UA"/>
              </w:rPr>
              <w:t>0,22</w:t>
            </w:r>
          </w:p>
        </w:tc>
        <w:tc>
          <w:tcPr>
            <w:tcW w:w="1106" w:type="dxa"/>
          </w:tcPr>
          <w:p w:rsidR="0065157C" w:rsidRPr="003005D5" w:rsidRDefault="0065157C"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&lt;0,001</w:t>
            </w:r>
          </w:p>
        </w:tc>
      </w:tr>
      <w:tr w:rsidR="0065157C" w:rsidRPr="003005D5" w:rsidTr="000F3F9C">
        <w:tc>
          <w:tcPr>
            <w:tcW w:w="2078" w:type="dxa"/>
            <w:vMerge/>
          </w:tcPr>
          <w:p w:rsidR="0065157C" w:rsidRPr="003005D5" w:rsidRDefault="0065157C" w:rsidP="00EA6D1F">
            <w:pPr>
              <w:jc w:val="both"/>
              <w:rPr>
                <w:rFonts w:ascii="Times New Roman" w:hAnsi="Times New Roman" w:cs="Times New Roman"/>
                <w:sz w:val="28"/>
                <w:szCs w:val="28"/>
                <w:lang w:val="uk-UA"/>
              </w:rPr>
            </w:pPr>
          </w:p>
        </w:tc>
        <w:tc>
          <w:tcPr>
            <w:tcW w:w="2874" w:type="dxa"/>
          </w:tcPr>
          <w:p w:rsidR="0065157C" w:rsidRPr="003005D5" w:rsidRDefault="0065157C"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Тривалість захворювання (діб)</w:t>
            </w:r>
          </w:p>
        </w:tc>
        <w:tc>
          <w:tcPr>
            <w:tcW w:w="1823" w:type="dxa"/>
          </w:tcPr>
          <w:p w:rsidR="0065157C" w:rsidRPr="003005D5" w:rsidRDefault="0065157C"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7,87</w:t>
            </w:r>
            <w:r w:rsidRPr="003005D5">
              <w:rPr>
                <w:rFonts w:ascii="Times New Roman" w:hAnsi="Times New Roman" w:cs="Times New Roman"/>
                <w:sz w:val="28"/>
                <w:szCs w:val="28"/>
                <w:u w:val="single"/>
                <w:lang w:val="uk-UA"/>
              </w:rPr>
              <w:t>+</w:t>
            </w:r>
            <w:r w:rsidRPr="003005D5">
              <w:rPr>
                <w:rFonts w:ascii="Times New Roman" w:hAnsi="Times New Roman" w:cs="Times New Roman"/>
                <w:sz w:val="28"/>
                <w:szCs w:val="28"/>
                <w:lang w:val="uk-UA"/>
              </w:rPr>
              <w:t>1,87</w:t>
            </w:r>
          </w:p>
        </w:tc>
        <w:tc>
          <w:tcPr>
            <w:tcW w:w="1690" w:type="dxa"/>
          </w:tcPr>
          <w:p w:rsidR="0065157C" w:rsidRPr="003005D5" w:rsidRDefault="0065157C"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6,07</w:t>
            </w:r>
            <w:r w:rsidRPr="003005D5">
              <w:rPr>
                <w:rFonts w:ascii="Times New Roman" w:hAnsi="Times New Roman" w:cs="Times New Roman"/>
                <w:sz w:val="28"/>
                <w:szCs w:val="28"/>
                <w:u w:val="single"/>
                <w:lang w:val="uk-UA"/>
              </w:rPr>
              <w:t>+</w:t>
            </w:r>
            <w:r w:rsidRPr="003005D5">
              <w:rPr>
                <w:rFonts w:ascii="Times New Roman" w:hAnsi="Times New Roman" w:cs="Times New Roman"/>
                <w:sz w:val="28"/>
                <w:szCs w:val="28"/>
                <w:lang w:val="uk-UA"/>
              </w:rPr>
              <w:t>0,59</w:t>
            </w:r>
          </w:p>
        </w:tc>
        <w:tc>
          <w:tcPr>
            <w:tcW w:w="1106" w:type="dxa"/>
          </w:tcPr>
          <w:p w:rsidR="0065157C" w:rsidRPr="003005D5" w:rsidRDefault="0065157C"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&gt;0,05</w:t>
            </w:r>
          </w:p>
        </w:tc>
      </w:tr>
      <w:tr w:rsidR="0065157C" w:rsidRPr="003005D5" w:rsidTr="000F3F9C">
        <w:tc>
          <w:tcPr>
            <w:tcW w:w="2078" w:type="dxa"/>
            <w:vMerge w:val="restart"/>
          </w:tcPr>
          <w:p w:rsidR="0065157C" w:rsidRPr="003005D5" w:rsidRDefault="0065157C"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lastRenderedPageBreak/>
              <w:t>Обструктивний бронхіт</w:t>
            </w:r>
          </w:p>
        </w:tc>
        <w:tc>
          <w:tcPr>
            <w:tcW w:w="2874" w:type="dxa"/>
          </w:tcPr>
          <w:p w:rsidR="0065157C" w:rsidRPr="003005D5" w:rsidRDefault="0065157C"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Кількість дітей, що захворіли</w:t>
            </w:r>
          </w:p>
        </w:tc>
        <w:tc>
          <w:tcPr>
            <w:tcW w:w="1823" w:type="dxa"/>
          </w:tcPr>
          <w:p w:rsidR="0065157C" w:rsidRPr="003005D5" w:rsidRDefault="00357662"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115(87,8%)</w:t>
            </w:r>
          </w:p>
        </w:tc>
        <w:tc>
          <w:tcPr>
            <w:tcW w:w="1690" w:type="dxa"/>
          </w:tcPr>
          <w:p w:rsidR="0065157C" w:rsidRPr="003005D5" w:rsidRDefault="0065157C"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23 (63,8%)</w:t>
            </w:r>
          </w:p>
        </w:tc>
        <w:tc>
          <w:tcPr>
            <w:tcW w:w="1106" w:type="dxa"/>
          </w:tcPr>
          <w:p w:rsidR="0065157C" w:rsidRPr="003005D5" w:rsidRDefault="00357662"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&lt;0,001</w:t>
            </w:r>
          </w:p>
        </w:tc>
      </w:tr>
      <w:tr w:rsidR="00357662" w:rsidRPr="003005D5" w:rsidTr="000F3F9C">
        <w:tc>
          <w:tcPr>
            <w:tcW w:w="2078" w:type="dxa"/>
            <w:vMerge/>
          </w:tcPr>
          <w:p w:rsidR="00357662" w:rsidRPr="003005D5" w:rsidRDefault="00357662" w:rsidP="00EA6D1F">
            <w:pPr>
              <w:jc w:val="both"/>
              <w:rPr>
                <w:rFonts w:ascii="Times New Roman" w:hAnsi="Times New Roman" w:cs="Times New Roman"/>
                <w:sz w:val="28"/>
                <w:szCs w:val="28"/>
                <w:lang w:val="uk-UA"/>
              </w:rPr>
            </w:pPr>
          </w:p>
        </w:tc>
        <w:tc>
          <w:tcPr>
            <w:tcW w:w="2874" w:type="dxa"/>
          </w:tcPr>
          <w:p w:rsidR="00357662" w:rsidRPr="003005D5" w:rsidRDefault="00357662"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 xml:space="preserve">Частота захворювань на рік </w:t>
            </w:r>
          </w:p>
        </w:tc>
        <w:tc>
          <w:tcPr>
            <w:tcW w:w="1823" w:type="dxa"/>
          </w:tcPr>
          <w:p w:rsidR="00357662" w:rsidRPr="003005D5" w:rsidRDefault="00357662"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2,90</w:t>
            </w:r>
            <w:r w:rsidRPr="003005D5">
              <w:rPr>
                <w:rFonts w:ascii="Times New Roman" w:hAnsi="Times New Roman" w:cs="Times New Roman"/>
                <w:sz w:val="28"/>
                <w:szCs w:val="28"/>
                <w:u w:val="single"/>
                <w:lang w:val="uk-UA"/>
              </w:rPr>
              <w:t>+</w:t>
            </w:r>
            <w:r w:rsidRPr="003005D5">
              <w:rPr>
                <w:rFonts w:ascii="Times New Roman" w:hAnsi="Times New Roman" w:cs="Times New Roman"/>
                <w:sz w:val="28"/>
                <w:szCs w:val="28"/>
                <w:lang w:val="uk-UA"/>
              </w:rPr>
              <w:t>1,67</w:t>
            </w:r>
          </w:p>
        </w:tc>
        <w:tc>
          <w:tcPr>
            <w:tcW w:w="1690" w:type="dxa"/>
          </w:tcPr>
          <w:p w:rsidR="00357662" w:rsidRPr="003005D5" w:rsidRDefault="00357662"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1,38</w:t>
            </w:r>
            <w:r w:rsidRPr="003005D5">
              <w:rPr>
                <w:rFonts w:ascii="Times New Roman" w:hAnsi="Times New Roman" w:cs="Times New Roman"/>
                <w:sz w:val="28"/>
                <w:szCs w:val="28"/>
                <w:u w:val="single"/>
                <w:lang w:val="uk-UA"/>
              </w:rPr>
              <w:t>+</w:t>
            </w:r>
            <w:r w:rsidRPr="003005D5">
              <w:rPr>
                <w:rFonts w:ascii="Times New Roman" w:hAnsi="Times New Roman" w:cs="Times New Roman"/>
                <w:sz w:val="28"/>
                <w:szCs w:val="28"/>
                <w:lang w:val="uk-UA"/>
              </w:rPr>
              <w:t>1,14</w:t>
            </w:r>
          </w:p>
        </w:tc>
        <w:tc>
          <w:tcPr>
            <w:tcW w:w="1106" w:type="dxa"/>
          </w:tcPr>
          <w:p w:rsidR="00357662" w:rsidRPr="003005D5" w:rsidRDefault="00357662"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&lt;0,025</w:t>
            </w:r>
          </w:p>
        </w:tc>
      </w:tr>
      <w:tr w:rsidR="00357662" w:rsidRPr="003005D5" w:rsidTr="000F3F9C">
        <w:tc>
          <w:tcPr>
            <w:tcW w:w="2078" w:type="dxa"/>
            <w:vMerge/>
          </w:tcPr>
          <w:p w:rsidR="00357662" w:rsidRPr="003005D5" w:rsidRDefault="00357662" w:rsidP="00EA6D1F">
            <w:pPr>
              <w:jc w:val="both"/>
              <w:rPr>
                <w:rFonts w:ascii="Times New Roman" w:hAnsi="Times New Roman" w:cs="Times New Roman"/>
                <w:sz w:val="28"/>
                <w:szCs w:val="28"/>
                <w:lang w:val="uk-UA"/>
              </w:rPr>
            </w:pPr>
          </w:p>
        </w:tc>
        <w:tc>
          <w:tcPr>
            <w:tcW w:w="2874" w:type="dxa"/>
          </w:tcPr>
          <w:p w:rsidR="00357662" w:rsidRPr="003005D5" w:rsidRDefault="00357662"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Тривалість захворювання (діб)</w:t>
            </w:r>
          </w:p>
        </w:tc>
        <w:tc>
          <w:tcPr>
            <w:tcW w:w="1823" w:type="dxa"/>
          </w:tcPr>
          <w:p w:rsidR="00357662" w:rsidRPr="003005D5" w:rsidRDefault="00357662"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11,8</w:t>
            </w:r>
            <w:r w:rsidRPr="003005D5">
              <w:rPr>
                <w:rFonts w:ascii="Times New Roman" w:hAnsi="Times New Roman" w:cs="Times New Roman"/>
                <w:sz w:val="28"/>
                <w:szCs w:val="28"/>
                <w:u w:val="single"/>
                <w:lang w:val="uk-UA"/>
              </w:rPr>
              <w:t>+</w:t>
            </w:r>
            <w:r w:rsidRPr="003005D5">
              <w:rPr>
                <w:rFonts w:ascii="Times New Roman" w:hAnsi="Times New Roman" w:cs="Times New Roman"/>
                <w:sz w:val="28"/>
                <w:szCs w:val="28"/>
                <w:lang w:val="uk-UA"/>
              </w:rPr>
              <w:t>3,02</w:t>
            </w:r>
          </w:p>
        </w:tc>
        <w:tc>
          <w:tcPr>
            <w:tcW w:w="1690" w:type="dxa"/>
          </w:tcPr>
          <w:p w:rsidR="00357662" w:rsidRPr="003005D5" w:rsidRDefault="00357662"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7,15</w:t>
            </w:r>
            <w:r w:rsidRPr="003005D5">
              <w:rPr>
                <w:rFonts w:ascii="Times New Roman" w:hAnsi="Times New Roman" w:cs="Times New Roman"/>
                <w:sz w:val="28"/>
                <w:szCs w:val="28"/>
                <w:u w:val="single"/>
                <w:lang w:val="uk-UA"/>
              </w:rPr>
              <w:t>+</w:t>
            </w:r>
            <w:r w:rsidRPr="003005D5">
              <w:rPr>
                <w:rFonts w:ascii="Times New Roman" w:hAnsi="Times New Roman" w:cs="Times New Roman"/>
                <w:sz w:val="28"/>
                <w:szCs w:val="28"/>
                <w:lang w:val="uk-UA"/>
              </w:rPr>
              <w:t>1,11</w:t>
            </w:r>
          </w:p>
        </w:tc>
        <w:tc>
          <w:tcPr>
            <w:tcW w:w="1106" w:type="dxa"/>
          </w:tcPr>
          <w:p w:rsidR="00357662" w:rsidRPr="003005D5" w:rsidRDefault="00357662"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&lt;0,025</w:t>
            </w:r>
          </w:p>
        </w:tc>
      </w:tr>
      <w:tr w:rsidR="00131E99" w:rsidRPr="003005D5" w:rsidTr="000F3F9C">
        <w:tc>
          <w:tcPr>
            <w:tcW w:w="2078" w:type="dxa"/>
            <w:vMerge w:val="restart"/>
          </w:tcPr>
          <w:p w:rsidR="00131E99" w:rsidRPr="003005D5" w:rsidRDefault="00131E99" w:rsidP="00EA6D1F">
            <w:pPr>
              <w:jc w:val="both"/>
              <w:rPr>
                <w:rFonts w:ascii="Times New Roman" w:hAnsi="Times New Roman" w:cs="Times New Roman"/>
                <w:sz w:val="28"/>
                <w:szCs w:val="28"/>
                <w:lang w:val="uk-UA"/>
              </w:rPr>
            </w:pPr>
            <w:proofErr w:type="spellStart"/>
            <w:r w:rsidRPr="003005D5">
              <w:rPr>
                <w:rFonts w:ascii="Times New Roman" w:hAnsi="Times New Roman" w:cs="Times New Roman"/>
                <w:sz w:val="28"/>
                <w:szCs w:val="28"/>
                <w:lang w:val="uk-UA"/>
              </w:rPr>
              <w:t>Бронхіоліт</w:t>
            </w:r>
            <w:proofErr w:type="spellEnd"/>
          </w:p>
        </w:tc>
        <w:tc>
          <w:tcPr>
            <w:tcW w:w="2874" w:type="dxa"/>
          </w:tcPr>
          <w:p w:rsidR="00131E99" w:rsidRPr="003005D5" w:rsidRDefault="00131E99"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Кількість дітей, що захворіли</w:t>
            </w:r>
          </w:p>
        </w:tc>
        <w:tc>
          <w:tcPr>
            <w:tcW w:w="1823" w:type="dxa"/>
          </w:tcPr>
          <w:p w:rsidR="00131E99" w:rsidRPr="003005D5" w:rsidRDefault="00131E99"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11(8,39%)</w:t>
            </w:r>
          </w:p>
        </w:tc>
        <w:tc>
          <w:tcPr>
            <w:tcW w:w="1690" w:type="dxa"/>
          </w:tcPr>
          <w:p w:rsidR="00131E99" w:rsidRPr="003005D5" w:rsidRDefault="00131E99"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2 (5,5%)</w:t>
            </w:r>
          </w:p>
        </w:tc>
        <w:tc>
          <w:tcPr>
            <w:tcW w:w="1106" w:type="dxa"/>
          </w:tcPr>
          <w:p w:rsidR="00131E99" w:rsidRPr="003005D5" w:rsidRDefault="00131E99"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&gt;0,05</w:t>
            </w:r>
          </w:p>
        </w:tc>
      </w:tr>
      <w:tr w:rsidR="00131E99" w:rsidRPr="003005D5" w:rsidTr="000F3F9C">
        <w:tc>
          <w:tcPr>
            <w:tcW w:w="2078" w:type="dxa"/>
            <w:vMerge/>
          </w:tcPr>
          <w:p w:rsidR="00131E99" w:rsidRPr="003005D5" w:rsidRDefault="00131E99" w:rsidP="00EA6D1F">
            <w:pPr>
              <w:jc w:val="both"/>
              <w:rPr>
                <w:rFonts w:ascii="Times New Roman" w:hAnsi="Times New Roman" w:cs="Times New Roman"/>
                <w:sz w:val="28"/>
                <w:szCs w:val="28"/>
                <w:lang w:val="uk-UA"/>
              </w:rPr>
            </w:pPr>
          </w:p>
        </w:tc>
        <w:tc>
          <w:tcPr>
            <w:tcW w:w="2874" w:type="dxa"/>
          </w:tcPr>
          <w:p w:rsidR="00131E99" w:rsidRPr="003005D5" w:rsidRDefault="00131E99"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 xml:space="preserve">Частота захворювань на рік </w:t>
            </w:r>
          </w:p>
        </w:tc>
        <w:tc>
          <w:tcPr>
            <w:tcW w:w="1823" w:type="dxa"/>
          </w:tcPr>
          <w:p w:rsidR="00131E99" w:rsidRPr="003005D5" w:rsidRDefault="00131E99"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0,67</w:t>
            </w:r>
            <w:r w:rsidRPr="003005D5">
              <w:rPr>
                <w:rFonts w:ascii="Times New Roman" w:hAnsi="Times New Roman" w:cs="Times New Roman"/>
                <w:sz w:val="28"/>
                <w:szCs w:val="28"/>
                <w:u w:val="single"/>
                <w:lang w:val="uk-UA"/>
              </w:rPr>
              <w:t>+</w:t>
            </w:r>
            <w:r w:rsidRPr="003005D5">
              <w:rPr>
                <w:rFonts w:ascii="Times New Roman" w:hAnsi="Times New Roman" w:cs="Times New Roman"/>
                <w:sz w:val="28"/>
                <w:szCs w:val="28"/>
                <w:lang w:val="uk-UA"/>
              </w:rPr>
              <w:t>0,43</w:t>
            </w:r>
          </w:p>
        </w:tc>
        <w:tc>
          <w:tcPr>
            <w:tcW w:w="1690" w:type="dxa"/>
          </w:tcPr>
          <w:p w:rsidR="00131E99" w:rsidRPr="003005D5" w:rsidRDefault="00131E99"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0,42</w:t>
            </w:r>
            <w:r w:rsidRPr="003005D5">
              <w:rPr>
                <w:rFonts w:ascii="Times New Roman" w:hAnsi="Times New Roman" w:cs="Times New Roman"/>
                <w:sz w:val="28"/>
                <w:szCs w:val="28"/>
                <w:u w:val="single"/>
                <w:lang w:val="uk-UA"/>
              </w:rPr>
              <w:t>+</w:t>
            </w:r>
            <w:r w:rsidRPr="003005D5">
              <w:rPr>
                <w:rFonts w:ascii="Times New Roman" w:hAnsi="Times New Roman" w:cs="Times New Roman"/>
                <w:sz w:val="28"/>
                <w:szCs w:val="28"/>
                <w:lang w:val="uk-UA"/>
              </w:rPr>
              <w:t>0,12</w:t>
            </w:r>
          </w:p>
        </w:tc>
        <w:tc>
          <w:tcPr>
            <w:tcW w:w="1106" w:type="dxa"/>
          </w:tcPr>
          <w:p w:rsidR="00131E99" w:rsidRPr="003005D5" w:rsidRDefault="00131E99"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&gt;0,05</w:t>
            </w:r>
          </w:p>
        </w:tc>
      </w:tr>
      <w:tr w:rsidR="00131E99" w:rsidRPr="003005D5" w:rsidTr="000F3F9C">
        <w:tc>
          <w:tcPr>
            <w:tcW w:w="2078" w:type="dxa"/>
            <w:vMerge/>
          </w:tcPr>
          <w:p w:rsidR="00131E99" w:rsidRPr="003005D5" w:rsidRDefault="00131E99" w:rsidP="00EA6D1F">
            <w:pPr>
              <w:jc w:val="both"/>
              <w:rPr>
                <w:rFonts w:ascii="Times New Roman" w:hAnsi="Times New Roman" w:cs="Times New Roman"/>
                <w:sz w:val="28"/>
                <w:szCs w:val="28"/>
                <w:lang w:val="uk-UA"/>
              </w:rPr>
            </w:pPr>
          </w:p>
        </w:tc>
        <w:tc>
          <w:tcPr>
            <w:tcW w:w="2874" w:type="dxa"/>
          </w:tcPr>
          <w:p w:rsidR="00131E99" w:rsidRPr="003005D5" w:rsidRDefault="00131E99"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Тривалість захворювання (діб)</w:t>
            </w:r>
          </w:p>
        </w:tc>
        <w:tc>
          <w:tcPr>
            <w:tcW w:w="1823" w:type="dxa"/>
          </w:tcPr>
          <w:p w:rsidR="00131E99" w:rsidRPr="003005D5" w:rsidRDefault="00131E99"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18,98</w:t>
            </w:r>
            <w:r w:rsidRPr="003005D5">
              <w:rPr>
                <w:rFonts w:ascii="Times New Roman" w:hAnsi="Times New Roman" w:cs="Times New Roman"/>
                <w:sz w:val="28"/>
                <w:szCs w:val="28"/>
                <w:u w:val="single"/>
                <w:lang w:val="uk-UA"/>
              </w:rPr>
              <w:t>+</w:t>
            </w:r>
            <w:r w:rsidRPr="003005D5">
              <w:rPr>
                <w:rFonts w:ascii="Times New Roman" w:hAnsi="Times New Roman" w:cs="Times New Roman"/>
                <w:sz w:val="28"/>
                <w:szCs w:val="28"/>
                <w:lang w:val="uk-UA"/>
              </w:rPr>
              <w:t xml:space="preserve">1,42 </w:t>
            </w:r>
          </w:p>
        </w:tc>
        <w:tc>
          <w:tcPr>
            <w:tcW w:w="1690" w:type="dxa"/>
          </w:tcPr>
          <w:p w:rsidR="00131E99" w:rsidRPr="003005D5" w:rsidRDefault="00131E99"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7,34</w:t>
            </w:r>
            <w:r w:rsidRPr="003005D5">
              <w:rPr>
                <w:rFonts w:ascii="Times New Roman" w:hAnsi="Times New Roman" w:cs="Times New Roman"/>
                <w:sz w:val="28"/>
                <w:szCs w:val="28"/>
                <w:u w:val="single"/>
                <w:lang w:val="uk-UA"/>
              </w:rPr>
              <w:t>+</w:t>
            </w:r>
            <w:r w:rsidRPr="003005D5">
              <w:rPr>
                <w:rFonts w:ascii="Times New Roman" w:hAnsi="Times New Roman" w:cs="Times New Roman"/>
                <w:sz w:val="28"/>
                <w:szCs w:val="28"/>
                <w:lang w:val="uk-UA"/>
              </w:rPr>
              <w:t xml:space="preserve">1,26 </w:t>
            </w:r>
          </w:p>
        </w:tc>
        <w:tc>
          <w:tcPr>
            <w:tcW w:w="1106" w:type="dxa"/>
          </w:tcPr>
          <w:p w:rsidR="00131E99" w:rsidRPr="003005D5" w:rsidRDefault="00131E99"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&lt;0,001</w:t>
            </w:r>
          </w:p>
        </w:tc>
      </w:tr>
      <w:tr w:rsidR="00131E99" w:rsidRPr="003005D5" w:rsidTr="000F3F9C">
        <w:tc>
          <w:tcPr>
            <w:tcW w:w="2078" w:type="dxa"/>
            <w:vMerge w:val="restart"/>
          </w:tcPr>
          <w:p w:rsidR="00131E99" w:rsidRPr="003005D5" w:rsidRDefault="00131E99"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Пневмонія</w:t>
            </w:r>
          </w:p>
        </w:tc>
        <w:tc>
          <w:tcPr>
            <w:tcW w:w="2874" w:type="dxa"/>
          </w:tcPr>
          <w:p w:rsidR="00131E99" w:rsidRPr="003005D5" w:rsidRDefault="00131E99"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Кількість дітей, що захворіли</w:t>
            </w:r>
          </w:p>
        </w:tc>
        <w:tc>
          <w:tcPr>
            <w:tcW w:w="1823" w:type="dxa"/>
          </w:tcPr>
          <w:p w:rsidR="00131E99" w:rsidRPr="003005D5" w:rsidRDefault="00131E99"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 xml:space="preserve">52 (39,6%) </w:t>
            </w:r>
          </w:p>
        </w:tc>
        <w:tc>
          <w:tcPr>
            <w:tcW w:w="1690" w:type="dxa"/>
          </w:tcPr>
          <w:p w:rsidR="00131E99" w:rsidRPr="003005D5" w:rsidRDefault="00131E99"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21 (58,3%)</w:t>
            </w:r>
          </w:p>
        </w:tc>
        <w:tc>
          <w:tcPr>
            <w:tcW w:w="1106" w:type="dxa"/>
          </w:tcPr>
          <w:p w:rsidR="00131E99" w:rsidRPr="003005D5" w:rsidRDefault="00131E99"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&lt;0,05</w:t>
            </w:r>
          </w:p>
        </w:tc>
      </w:tr>
      <w:tr w:rsidR="00131E99" w:rsidRPr="003005D5" w:rsidTr="000F3F9C">
        <w:tc>
          <w:tcPr>
            <w:tcW w:w="2078" w:type="dxa"/>
            <w:vMerge/>
          </w:tcPr>
          <w:p w:rsidR="00131E99" w:rsidRPr="003005D5" w:rsidRDefault="00131E99" w:rsidP="00EA6D1F">
            <w:pPr>
              <w:jc w:val="both"/>
              <w:rPr>
                <w:rFonts w:ascii="Times New Roman" w:hAnsi="Times New Roman" w:cs="Times New Roman"/>
                <w:sz w:val="28"/>
                <w:szCs w:val="28"/>
                <w:lang w:val="uk-UA"/>
              </w:rPr>
            </w:pPr>
          </w:p>
        </w:tc>
        <w:tc>
          <w:tcPr>
            <w:tcW w:w="2874" w:type="dxa"/>
          </w:tcPr>
          <w:p w:rsidR="00131E99" w:rsidRPr="003005D5" w:rsidRDefault="00131E99"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 xml:space="preserve">Частота захворювань на рік </w:t>
            </w:r>
          </w:p>
        </w:tc>
        <w:tc>
          <w:tcPr>
            <w:tcW w:w="1823" w:type="dxa"/>
          </w:tcPr>
          <w:p w:rsidR="00131E99" w:rsidRPr="003005D5" w:rsidRDefault="00131E99"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1,36</w:t>
            </w:r>
            <w:r w:rsidRPr="003005D5">
              <w:rPr>
                <w:rFonts w:ascii="Times New Roman" w:hAnsi="Times New Roman" w:cs="Times New Roman"/>
                <w:sz w:val="28"/>
                <w:szCs w:val="28"/>
                <w:u w:val="single"/>
                <w:lang w:val="uk-UA"/>
              </w:rPr>
              <w:t>+</w:t>
            </w:r>
            <w:r w:rsidRPr="003005D5">
              <w:rPr>
                <w:rFonts w:ascii="Times New Roman" w:hAnsi="Times New Roman" w:cs="Times New Roman"/>
                <w:sz w:val="28"/>
                <w:szCs w:val="28"/>
                <w:lang w:val="uk-UA"/>
              </w:rPr>
              <w:t>1,28</w:t>
            </w:r>
          </w:p>
        </w:tc>
        <w:tc>
          <w:tcPr>
            <w:tcW w:w="1690" w:type="dxa"/>
          </w:tcPr>
          <w:p w:rsidR="00131E99" w:rsidRPr="003005D5" w:rsidRDefault="00131E99"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0,76</w:t>
            </w:r>
            <w:r w:rsidRPr="003005D5">
              <w:rPr>
                <w:rFonts w:ascii="Times New Roman" w:hAnsi="Times New Roman" w:cs="Times New Roman"/>
                <w:sz w:val="28"/>
                <w:szCs w:val="28"/>
                <w:u w:val="single"/>
                <w:lang w:val="uk-UA"/>
              </w:rPr>
              <w:t>+</w:t>
            </w:r>
            <w:r w:rsidRPr="003005D5">
              <w:rPr>
                <w:rFonts w:ascii="Times New Roman" w:hAnsi="Times New Roman" w:cs="Times New Roman"/>
                <w:sz w:val="28"/>
                <w:szCs w:val="28"/>
                <w:lang w:val="uk-UA"/>
              </w:rPr>
              <w:t xml:space="preserve">1,14 </w:t>
            </w:r>
          </w:p>
        </w:tc>
        <w:tc>
          <w:tcPr>
            <w:tcW w:w="1106" w:type="dxa"/>
          </w:tcPr>
          <w:p w:rsidR="00131E99" w:rsidRPr="003005D5" w:rsidRDefault="00131E99"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&gt;0,05</w:t>
            </w:r>
          </w:p>
        </w:tc>
      </w:tr>
      <w:tr w:rsidR="00131E99" w:rsidRPr="003005D5" w:rsidTr="000F3F9C">
        <w:tc>
          <w:tcPr>
            <w:tcW w:w="2078" w:type="dxa"/>
            <w:vMerge/>
          </w:tcPr>
          <w:p w:rsidR="00131E99" w:rsidRPr="003005D5" w:rsidRDefault="00131E99" w:rsidP="00EA6D1F">
            <w:pPr>
              <w:jc w:val="both"/>
              <w:rPr>
                <w:rFonts w:ascii="Times New Roman" w:hAnsi="Times New Roman" w:cs="Times New Roman"/>
                <w:sz w:val="28"/>
                <w:szCs w:val="28"/>
                <w:lang w:val="uk-UA"/>
              </w:rPr>
            </w:pPr>
          </w:p>
        </w:tc>
        <w:tc>
          <w:tcPr>
            <w:tcW w:w="2874" w:type="dxa"/>
          </w:tcPr>
          <w:p w:rsidR="00131E99" w:rsidRPr="003005D5" w:rsidRDefault="00131E99"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Тривалість захворювання (діб)</w:t>
            </w:r>
          </w:p>
        </w:tc>
        <w:tc>
          <w:tcPr>
            <w:tcW w:w="1823" w:type="dxa"/>
          </w:tcPr>
          <w:p w:rsidR="00131E99" w:rsidRPr="003005D5" w:rsidRDefault="00131E99"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12,98</w:t>
            </w:r>
            <w:r w:rsidRPr="003005D5">
              <w:rPr>
                <w:rFonts w:ascii="Times New Roman" w:hAnsi="Times New Roman" w:cs="Times New Roman"/>
                <w:sz w:val="28"/>
                <w:szCs w:val="28"/>
                <w:u w:val="single"/>
                <w:lang w:val="uk-UA"/>
              </w:rPr>
              <w:t>+</w:t>
            </w:r>
            <w:r w:rsidRPr="003005D5">
              <w:rPr>
                <w:rFonts w:ascii="Times New Roman" w:hAnsi="Times New Roman" w:cs="Times New Roman"/>
                <w:sz w:val="28"/>
                <w:szCs w:val="28"/>
                <w:lang w:val="uk-UA"/>
              </w:rPr>
              <w:t xml:space="preserve">2,42 </w:t>
            </w:r>
          </w:p>
        </w:tc>
        <w:tc>
          <w:tcPr>
            <w:tcW w:w="1690" w:type="dxa"/>
          </w:tcPr>
          <w:p w:rsidR="00131E99" w:rsidRPr="003005D5" w:rsidRDefault="00131E99"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9,77</w:t>
            </w:r>
            <w:r w:rsidRPr="003005D5">
              <w:rPr>
                <w:rFonts w:ascii="Times New Roman" w:hAnsi="Times New Roman" w:cs="Times New Roman"/>
                <w:sz w:val="28"/>
                <w:szCs w:val="28"/>
                <w:u w:val="single"/>
                <w:lang w:val="uk-UA"/>
              </w:rPr>
              <w:t>+</w:t>
            </w:r>
            <w:r w:rsidRPr="003005D5">
              <w:rPr>
                <w:rFonts w:ascii="Times New Roman" w:hAnsi="Times New Roman" w:cs="Times New Roman"/>
                <w:sz w:val="28"/>
                <w:szCs w:val="28"/>
                <w:lang w:val="uk-UA"/>
              </w:rPr>
              <w:t xml:space="preserve">1,87 </w:t>
            </w:r>
          </w:p>
        </w:tc>
        <w:tc>
          <w:tcPr>
            <w:tcW w:w="1106" w:type="dxa"/>
          </w:tcPr>
          <w:p w:rsidR="00131E99" w:rsidRPr="003005D5" w:rsidRDefault="00131E99" w:rsidP="00EA6D1F">
            <w:pPr>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&lt;0,05</w:t>
            </w:r>
          </w:p>
        </w:tc>
      </w:tr>
    </w:tbl>
    <w:p w:rsidR="00B47C0F" w:rsidRPr="003005D5" w:rsidRDefault="00B47C0F" w:rsidP="00EA4B8E">
      <w:pPr>
        <w:spacing w:after="0" w:line="240" w:lineRule="auto"/>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 xml:space="preserve"> </w:t>
      </w:r>
    </w:p>
    <w:p w:rsidR="008D2162" w:rsidRPr="003005D5" w:rsidRDefault="003005D5" w:rsidP="008D2162">
      <w:pPr>
        <w:spacing w:after="0" w:line="360" w:lineRule="auto"/>
        <w:ind w:firstLine="708"/>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 xml:space="preserve">На дані морфологічні зміни накладався набряк, </w:t>
      </w:r>
      <w:proofErr w:type="spellStart"/>
      <w:r w:rsidRPr="003005D5">
        <w:rPr>
          <w:rFonts w:ascii="Times New Roman" w:hAnsi="Times New Roman" w:cs="Times New Roman"/>
          <w:sz w:val="28"/>
          <w:szCs w:val="28"/>
          <w:lang w:val="uk-UA"/>
        </w:rPr>
        <w:t>бронхоспазм</w:t>
      </w:r>
      <w:proofErr w:type="spellEnd"/>
      <w:r w:rsidRPr="003005D5">
        <w:rPr>
          <w:rFonts w:ascii="Times New Roman" w:hAnsi="Times New Roman" w:cs="Times New Roman"/>
          <w:sz w:val="28"/>
          <w:szCs w:val="28"/>
          <w:lang w:val="uk-UA"/>
        </w:rPr>
        <w:t xml:space="preserve">, механічна закупорка  бронхів та бронхіол.  </w:t>
      </w:r>
      <w:r w:rsidR="008D2162" w:rsidRPr="003005D5">
        <w:rPr>
          <w:rFonts w:ascii="Times New Roman" w:hAnsi="Times New Roman" w:cs="Times New Roman"/>
          <w:sz w:val="28"/>
          <w:szCs w:val="28"/>
          <w:lang w:val="uk-UA"/>
        </w:rPr>
        <w:t xml:space="preserve">Пневмонія перебігала у дітей хворих на бронхолегеневу дисплазію в 1,5 рази триваліше ніж в групі порівняння (р&lt;0,001). </w:t>
      </w:r>
    </w:p>
    <w:p w:rsidR="0005673B" w:rsidRPr="003005D5" w:rsidRDefault="0005673B" w:rsidP="005E416B">
      <w:pPr>
        <w:spacing w:after="0" w:line="360" w:lineRule="auto"/>
        <w:ind w:firstLine="708"/>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В обох групах виявлена низька абсолютна кількість лімфоцитів</w:t>
      </w:r>
      <w:r w:rsidR="00245DB0" w:rsidRPr="003005D5">
        <w:rPr>
          <w:rFonts w:ascii="Times New Roman" w:hAnsi="Times New Roman" w:cs="Times New Roman"/>
          <w:sz w:val="28"/>
          <w:szCs w:val="28"/>
          <w:lang w:val="uk-UA"/>
        </w:rPr>
        <w:t>, нарівні зі значними індивідуальними коливаннями</w:t>
      </w:r>
      <w:r w:rsidRPr="003005D5">
        <w:rPr>
          <w:rFonts w:ascii="Times New Roman" w:hAnsi="Times New Roman" w:cs="Times New Roman"/>
          <w:sz w:val="28"/>
          <w:szCs w:val="28"/>
          <w:lang w:val="uk-UA"/>
        </w:rPr>
        <w:t xml:space="preserve"> (табл..2). Ймовірно це пов’язане з пригніченням продукції лімфоцитів </w:t>
      </w:r>
      <w:proofErr w:type="spellStart"/>
      <w:r w:rsidRPr="003005D5">
        <w:rPr>
          <w:rFonts w:ascii="Times New Roman" w:hAnsi="Times New Roman" w:cs="Times New Roman"/>
          <w:sz w:val="28"/>
          <w:szCs w:val="28"/>
          <w:lang w:val="uk-UA"/>
        </w:rPr>
        <w:t>тимусом</w:t>
      </w:r>
      <w:proofErr w:type="spellEnd"/>
      <w:r w:rsidRPr="003005D5">
        <w:rPr>
          <w:rFonts w:ascii="Times New Roman" w:hAnsi="Times New Roman" w:cs="Times New Roman"/>
          <w:sz w:val="28"/>
          <w:szCs w:val="28"/>
          <w:lang w:val="uk-UA"/>
        </w:rPr>
        <w:t xml:space="preserve"> на тлі недоношеності</w:t>
      </w:r>
      <w:r w:rsidR="00570B69" w:rsidRPr="003005D5">
        <w:rPr>
          <w:rFonts w:ascii="Times New Roman" w:hAnsi="Times New Roman" w:cs="Times New Roman"/>
          <w:sz w:val="28"/>
          <w:szCs w:val="28"/>
          <w:lang w:val="uk-UA"/>
        </w:rPr>
        <w:t>.</w:t>
      </w:r>
    </w:p>
    <w:p w:rsidR="0005673B" w:rsidRPr="003005D5" w:rsidRDefault="0005673B" w:rsidP="00EA4B8E">
      <w:pPr>
        <w:spacing w:after="0" w:line="240" w:lineRule="auto"/>
        <w:ind w:firstLine="708"/>
        <w:jc w:val="right"/>
        <w:rPr>
          <w:rFonts w:ascii="Times New Roman" w:hAnsi="Times New Roman" w:cs="Times New Roman"/>
          <w:sz w:val="28"/>
          <w:szCs w:val="28"/>
          <w:lang w:val="uk-UA"/>
        </w:rPr>
      </w:pPr>
      <w:r w:rsidRPr="003005D5">
        <w:rPr>
          <w:rFonts w:ascii="Times New Roman" w:hAnsi="Times New Roman" w:cs="Times New Roman"/>
          <w:sz w:val="28"/>
          <w:szCs w:val="28"/>
          <w:lang w:val="uk-UA"/>
        </w:rPr>
        <w:t>Таблиця 2.</w:t>
      </w:r>
    </w:p>
    <w:p w:rsidR="00B429BB" w:rsidRPr="003005D5" w:rsidRDefault="00DF1EF6" w:rsidP="00EA4B8E">
      <w:pPr>
        <w:spacing w:after="0" w:line="240" w:lineRule="auto"/>
        <w:ind w:firstLine="708"/>
        <w:jc w:val="right"/>
        <w:rPr>
          <w:rFonts w:ascii="Times New Roman" w:hAnsi="Times New Roman" w:cs="Times New Roman"/>
          <w:sz w:val="28"/>
          <w:szCs w:val="28"/>
          <w:lang w:val="uk-UA"/>
        </w:rPr>
      </w:pPr>
      <w:r w:rsidRPr="003005D5">
        <w:rPr>
          <w:rFonts w:ascii="Times New Roman" w:hAnsi="Times New Roman" w:cs="Times New Roman"/>
          <w:sz w:val="28"/>
          <w:szCs w:val="28"/>
          <w:lang w:val="uk-UA"/>
        </w:rPr>
        <w:t>Відсотки відхилення від норми абсолютної кількості лімфоцитів, клітинного та гуморального  ланцюгів імунітету у дітей основної групи</w:t>
      </w:r>
      <w:r w:rsidR="00EA4B8E">
        <w:rPr>
          <w:rFonts w:ascii="Times New Roman" w:hAnsi="Times New Roman" w:cs="Times New Roman"/>
          <w:sz w:val="28"/>
          <w:szCs w:val="28"/>
          <w:lang w:val="uk-UA"/>
        </w:rPr>
        <w:t xml:space="preserve">          </w:t>
      </w:r>
      <w:r w:rsidRPr="003005D5">
        <w:rPr>
          <w:rFonts w:ascii="Times New Roman" w:hAnsi="Times New Roman" w:cs="Times New Roman"/>
          <w:sz w:val="28"/>
          <w:szCs w:val="28"/>
          <w:lang w:val="uk-UA"/>
        </w:rPr>
        <w:t xml:space="preserve"> ( з БЛД) та групи порівняння (діти, які народились недоношеними)</w:t>
      </w:r>
    </w:p>
    <w:tbl>
      <w:tblPr>
        <w:tblStyle w:val="a8"/>
        <w:tblW w:w="0" w:type="auto"/>
        <w:tblLook w:val="04A0" w:firstRow="1" w:lastRow="0" w:firstColumn="1" w:lastColumn="0" w:noHBand="0" w:noVBand="1"/>
      </w:tblPr>
      <w:tblGrid>
        <w:gridCol w:w="2660"/>
        <w:gridCol w:w="2835"/>
        <w:gridCol w:w="2693"/>
        <w:gridCol w:w="1383"/>
      </w:tblGrid>
      <w:tr w:rsidR="00DF1EF6" w:rsidRPr="003005D5" w:rsidTr="00DF1EF6">
        <w:tc>
          <w:tcPr>
            <w:tcW w:w="2660" w:type="dxa"/>
          </w:tcPr>
          <w:p w:rsidR="00DF1EF6" w:rsidRPr="003005D5" w:rsidRDefault="00DF1EF6" w:rsidP="00EA4B8E">
            <w:pPr>
              <w:jc w:val="center"/>
              <w:rPr>
                <w:rFonts w:ascii="Times New Roman" w:hAnsi="Times New Roman" w:cs="Times New Roman"/>
                <w:b/>
                <w:sz w:val="28"/>
                <w:szCs w:val="28"/>
                <w:lang w:val="uk-UA"/>
              </w:rPr>
            </w:pPr>
            <w:r w:rsidRPr="003005D5">
              <w:rPr>
                <w:rFonts w:ascii="Times New Roman" w:hAnsi="Times New Roman" w:cs="Times New Roman"/>
                <w:b/>
                <w:sz w:val="28"/>
                <w:szCs w:val="28"/>
                <w:lang w:val="uk-UA"/>
              </w:rPr>
              <w:t>Показники</w:t>
            </w:r>
          </w:p>
        </w:tc>
        <w:tc>
          <w:tcPr>
            <w:tcW w:w="2835" w:type="dxa"/>
          </w:tcPr>
          <w:p w:rsidR="00DF1EF6" w:rsidRPr="003005D5" w:rsidRDefault="00DF1EF6" w:rsidP="00EA4B8E">
            <w:pPr>
              <w:jc w:val="center"/>
              <w:rPr>
                <w:rFonts w:ascii="Times New Roman" w:hAnsi="Times New Roman" w:cs="Times New Roman"/>
                <w:b/>
                <w:sz w:val="28"/>
                <w:szCs w:val="28"/>
                <w:lang w:val="uk-UA"/>
              </w:rPr>
            </w:pPr>
            <w:r w:rsidRPr="003005D5">
              <w:rPr>
                <w:rFonts w:ascii="Times New Roman" w:hAnsi="Times New Roman" w:cs="Times New Roman"/>
                <w:b/>
                <w:sz w:val="28"/>
                <w:szCs w:val="28"/>
                <w:lang w:val="uk-UA"/>
              </w:rPr>
              <w:t>Основна група</w:t>
            </w:r>
          </w:p>
          <w:p w:rsidR="00DF1EF6" w:rsidRPr="003005D5" w:rsidRDefault="00DF1EF6" w:rsidP="00EA4B8E">
            <w:pPr>
              <w:jc w:val="center"/>
              <w:rPr>
                <w:rFonts w:ascii="Times New Roman" w:hAnsi="Times New Roman" w:cs="Times New Roman"/>
                <w:b/>
                <w:sz w:val="28"/>
                <w:szCs w:val="28"/>
                <w:lang w:val="uk-UA"/>
              </w:rPr>
            </w:pPr>
            <w:r w:rsidRPr="003005D5">
              <w:rPr>
                <w:rFonts w:ascii="Times New Roman" w:hAnsi="Times New Roman" w:cs="Times New Roman"/>
                <w:b/>
                <w:sz w:val="28"/>
                <w:szCs w:val="28"/>
                <w:lang w:val="en-US"/>
              </w:rPr>
              <w:t>n</w:t>
            </w:r>
            <w:r w:rsidRPr="003005D5">
              <w:rPr>
                <w:rFonts w:ascii="Times New Roman" w:hAnsi="Times New Roman" w:cs="Times New Roman"/>
                <w:b/>
                <w:sz w:val="28"/>
                <w:szCs w:val="28"/>
                <w:lang w:val="uk-UA"/>
              </w:rPr>
              <w:t>=131</w:t>
            </w:r>
          </w:p>
          <w:p w:rsidR="00245DB0" w:rsidRPr="003005D5" w:rsidRDefault="00245DB0" w:rsidP="00EA4B8E">
            <w:pPr>
              <w:jc w:val="center"/>
              <w:rPr>
                <w:rFonts w:ascii="Times New Roman" w:hAnsi="Times New Roman" w:cs="Times New Roman"/>
                <w:b/>
                <w:sz w:val="28"/>
                <w:szCs w:val="28"/>
                <w:lang w:val="uk-UA"/>
              </w:rPr>
            </w:pPr>
            <w:r w:rsidRPr="003005D5">
              <w:rPr>
                <w:rFonts w:ascii="Times New Roman" w:hAnsi="Times New Roman" w:cs="Times New Roman"/>
                <w:b/>
                <w:sz w:val="28"/>
                <w:szCs w:val="28"/>
                <w:lang w:val="uk-UA"/>
              </w:rPr>
              <w:t>М</w:t>
            </w:r>
            <w:r w:rsidRPr="003005D5">
              <w:rPr>
                <w:rFonts w:ascii="Times New Roman" w:hAnsi="Times New Roman" w:cs="Times New Roman"/>
                <w:b/>
                <w:sz w:val="28"/>
                <w:szCs w:val="28"/>
                <w:u w:val="single"/>
                <w:lang w:val="uk-UA"/>
              </w:rPr>
              <w:t>+</w:t>
            </w:r>
            <w:r w:rsidRPr="003005D5">
              <w:rPr>
                <w:rFonts w:ascii="Times New Roman" w:hAnsi="Times New Roman" w:cs="Times New Roman"/>
                <w:b/>
                <w:sz w:val="28"/>
                <w:szCs w:val="28"/>
                <w:lang w:val="en-US"/>
              </w:rPr>
              <w:t>m</w:t>
            </w:r>
            <w:r w:rsidR="00B429BB" w:rsidRPr="003005D5">
              <w:rPr>
                <w:rFonts w:ascii="Times New Roman" w:hAnsi="Times New Roman" w:cs="Times New Roman"/>
                <w:b/>
                <w:sz w:val="28"/>
                <w:szCs w:val="28"/>
                <w:lang w:val="uk-UA"/>
              </w:rPr>
              <w:t>%</w:t>
            </w:r>
          </w:p>
        </w:tc>
        <w:tc>
          <w:tcPr>
            <w:tcW w:w="2693" w:type="dxa"/>
          </w:tcPr>
          <w:p w:rsidR="00DF1EF6" w:rsidRPr="003005D5" w:rsidRDefault="00DF1EF6" w:rsidP="00EA4B8E">
            <w:pPr>
              <w:jc w:val="center"/>
              <w:rPr>
                <w:rFonts w:ascii="Times New Roman" w:hAnsi="Times New Roman" w:cs="Times New Roman"/>
                <w:b/>
                <w:sz w:val="28"/>
                <w:szCs w:val="28"/>
                <w:lang w:val="uk-UA"/>
              </w:rPr>
            </w:pPr>
            <w:r w:rsidRPr="003005D5">
              <w:rPr>
                <w:rFonts w:ascii="Times New Roman" w:hAnsi="Times New Roman" w:cs="Times New Roman"/>
                <w:b/>
                <w:sz w:val="28"/>
                <w:szCs w:val="28"/>
                <w:lang w:val="uk-UA"/>
              </w:rPr>
              <w:t>Група порівняння</w:t>
            </w:r>
          </w:p>
          <w:p w:rsidR="00DF1EF6" w:rsidRPr="003005D5" w:rsidRDefault="00DF1EF6" w:rsidP="00EA4B8E">
            <w:pPr>
              <w:jc w:val="center"/>
              <w:rPr>
                <w:rFonts w:ascii="Times New Roman" w:hAnsi="Times New Roman" w:cs="Times New Roman"/>
                <w:b/>
                <w:sz w:val="28"/>
                <w:szCs w:val="28"/>
                <w:lang w:val="uk-UA"/>
              </w:rPr>
            </w:pPr>
            <w:r w:rsidRPr="003005D5">
              <w:rPr>
                <w:rFonts w:ascii="Times New Roman" w:hAnsi="Times New Roman" w:cs="Times New Roman"/>
                <w:b/>
                <w:sz w:val="28"/>
                <w:szCs w:val="28"/>
                <w:lang w:val="en-US"/>
              </w:rPr>
              <w:t>n</w:t>
            </w:r>
            <w:r w:rsidRPr="003005D5">
              <w:rPr>
                <w:rFonts w:ascii="Times New Roman" w:hAnsi="Times New Roman" w:cs="Times New Roman"/>
                <w:b/>
                <w:sz w:val="28"/>
                <w:szCs w:val="28"/>
                <w:lang w:val="uk-UA"/>
              </w:rPr>
              <w:t>=36</w:t>
            </w:r>
          </w:p>
          <w:p w:rsidR="00245DB0" w:rsidRPr="003005D5" w:rsidRDefault="00245DB0" w:rsidP="00EA4B8E">
            <w:pPr>
              <w:jc w:val="center"/>
              <w:rPr>
                <w:rFonts w:ascii="Times New Roman" w:hAnsi="Times New Roman" w:cs="Times New Roman"/>
                <w:b/>
                <w:sz w:val="28"/>
                <w:szCs w:val="28"/>
                <w:lang w:val="uk-UA"/>
              </w:rPr>
            </w:pPr>
            <w:r w:rsidRPr="003005D5">
              <w:rPr>
                <w:rFonts w:ascii="Times New Roman" w:hAnsi="Times New Roman" w:cs="Times New Roman"/>
                <w:b/>
                <w:sz w:val="28"/>
                <w:szCs w:val="28"/>
                <w:lang w:val="uk-UA"/>
              </w:rPr>
              <w:t>М</w:t>
            </w:r>
            <w:r w:rsidRPr="003005D5">
              <w:rPr>
                <w:rFonts w:ascii="Times New Roman" w:hAnsi="Times New Roman" w:cs="Times New Roman"/>
                <w:b/>
                <w:sz w:val="28"/>
                <w:szCs w:val="28"/>
                <w:u w:val="single"/>
                <w:lang w:val="uk-UA"/>
              </w:rPr>
              <w:t>+</w:t>
            </w:r>
            <w:r w:rsidRPr="003005D5">
              <w:rPr>
                <w:rFonts w:ascii="Times New Roman" w:hAnsi="Times New Roman" w:cs="Times New Roman"/>
                <w:b/>
                <w:sz w:val="28"/>
                <w:szCs w:val="28"/>
                <w:lang w:val="en-US"/>
              </w:rPr>
              <w:t>m</w:t>
            </w:r>
            <w:r w:rsidR="00B429BB" w:rsidRPr="003005D5">
              <w:rPr>
                <w:rFonts w:ascii="Times New Roman" w:hAnsi="Times New Roman" w:cs="Times New Roman"/>
                <w:b/>
                <w:sz w:val="28"/>
                <w:szCs w:val="28"/>
                <w:lang w:val="uk-UA"/>
              </w:rPr>
              <w:t>%</w:t>
            </w:r>
          </w:p>
        </w:tc>
        <w:tc>
          <w:tcPr>
            <w:tcW w:w="1383" w:type="dxa"/>
          </w:tcPr>
          <w:p w:rsidR="00DF1EF6" w:rsidRPr="003005D5" w:rsidRDefault="00B429BB" w:rsidP="00EA4B8E">
            <w:pPr>
              <w:jc w:val="center"/>
              <w:rPr>
                <w:rFonts w:ascii="Times New Roman" w:hAnsi="Times New Roman" w:cs="Times New Roman"/>
                <w:b/>
                <w:sz w:val="28"/>
                <w:szCs w:val="28"/>
                <w:lang w:val="uk-UA"/>
              </w:rPr>
            </w:pPr>
            <w:r w:rsidRPr="003005D5">
              <w:rPr>
                <w:rFonts w:ascii="Times New Roman" w:hAnsi="Times New Roman" w:cs="Times New Roman"/>
                <w:b/>
                <w:sz w:val="28"/>
                <w:szCs w:val="28"/>
                <w:lang w:val="uk-UA"/>
              </w:rPr>
              <w:t>Р*</w:t>
            </w:r>
          </w:p>
        </w:tc>
      </w:tr>
      <w:tr w:rsidR="00DF1EF6" w:rsidRPr="003005D5" w:rsidTr="00DF1EF6">
        <w:tc>
          <w:tcPr>
            <w:tcW w:w="2660" w:type="dxa"/>
          </w:tcPr>
          <w:p w:rsidR="00DF1EF6" w:rsidRPr="003005D5" w:rsidRDefault="00DF1EF6" w:rsidP="00EA4B8E">
            <w:pPr>
              <w:rPr>
                <w:rFonts w:ascii="Times New Roman" w:hAnsi="Times New Roman" w:cs="Times New Roman"/>
                <w:sz w:val="28"/>
                <w:szCs w:val="28"/>
                <w:lang w:val="uk-UA"/>
              </w:rPr>
            </w:pPr>
            <w:proofErr w:type="spellStart"/>
            <w:r w:rsidRPr="003005D5">
              <w:rPr>
                <w:rFonts w:ascii="Times New Roman" w:eastAsia="Times New Roman" w:hAnsi="Times New Roman" w:cs="Times New Roman"/>
                <w:color w:val="000000"/>
                <w:sz w:val="28"/>
                <w:szCs w:val="28"/>
                <w:lang w:val="uk-UA" w:eastAsia="ru-RU"/>
              </w:rPr>
              <w:t>Абс.кількість</w:t>
            </w:r>
            <w:proofErr w:type="spellEnd"/>
            <w:r w:rsidRPr="003005D5">
              <w:rPr>
                <w:rFonts w:ascii="Times New Roman" w:eastAsia="Times New Roman" w:hAnsi="Times New Roman" w:cs="Times New Roman"/>
                <w:color w:val="000000"/>
                <w:sz w:val="28"/>
                <w:szCs w:val="28"/>
                <w:lang w:val="uk-UA" w:eastAsia="ru-RU"/>
              </w:rPr>
              <w:t xml:space="preserve"> лімфоцитів</w:t>
            </w:r>
          </w:p>
        </w:tc>
        <w:tc>
          <w:tcPr>
            <w:tcW w:w="2835" w:type="dxa"/>
          </w:tcPr>
          <w:p w:rsidR="00DF1EF6" w:rsidRPr="003005D5" w:rsidRDefault="00245DB0" w:rsidP="00EA4B8E">
            <w:pPr>
              <w:jc w:val="right"/>
              <w:rPr>
                <w:rFonts w:ascii="Times New Roman" w:hAnsi="Times New Roman" w:cs="Times New Roman"/>
                <w:sz w:val="28"/>
                <w:szCs w:val="28"/>
                <w:lang w:val="uk-UA"/>
              </w:rPr>
            </w:pPr>
            <w:r w:rsidRPr="003005D5">
              <w:rPr>
                <w:rFonts w:ascii="Times New Roman" w:hAnsi="Times New Roman" w:cs="Times New Roman"/>
                <w:sz w:val="28"/>
                <w:szCs w:val="28"/>
                <w:lang w:val="uk-UA"/>
              </w:rPr>
              <w:t>69,06</w:t>
            </w:r>
            <w:r w:rsidRPr="003005D5">
              <w:rPr>
                <w:rFonts w:ascii="Times New Roman" w:hAnsi="Times New Roman" w:cs="Times New Roman"/>
                <w:sz w:val="28"/>
                <w:szCs w:val="28"/>
                <w:u w:val="single"/>
                <w:lang w:val="uk-UA"/>
              </w:rPr>
              <w:t>+</w:t>
            </w:r>
            <w:r w:rsidRPr="003005D5">
              <w:rPr>
                <w:rFonts w:ascii="Times New Roman" w:hAnsi="Times New Roman" w:cs="Times New Roman"/>
                <w:sz w:val="28"/>
                <w:szCs w:val="28"/>
                <w:lang w:val="uk-UA"/>
              </w:rPr>
              <w:t>35,18%</w:t>
            </w:r>
          </w:p>
        </w:tc>
        <w:tc>
          <w:tcPr>
            <w:tcW w:w="2693" w:type="dxa"/>
          </w:tcPr>
          <w:p w:rsidR="00DF1EF6" w:rsidRPr="003005D5" w:rsidRDefault="00245DB0" w:rsidP="00EA4B8E">
            <w:pPr>
              <w:jc w:val="right"/>
              <w:rPr>
                <w:rFonts w:ascii="Times New Roman" w:hAnsi="Times New Roman" w:cs="Times New Roman"/>
                <w:sz w:val="28"/>
                <w:szCs w:val="28"/>
                <w:lang w:val="uk-UA"/>
              </w:rPr>
            </w:pPr>
            <w:r w:rsidRPr="003005D5">
              <w:rPr>
                <w:rFonts w:ascii="Times New Roman" w:eastAsia="Times New Roman" w:hAnsi="Times New Roman" w:cs="Times New Roman"/>
                <w:color w:val="000000"/>
                <w:sz w:val="28"/>
                <w:szCs w:val="28"/>
                <w:lang w:val="uk-UA" w:eastAsia="ru-RU"/>
              </w:rPr>
              <w:t>61,55</w:t>
            </w:r>
            <w:r w:rsidRPr="003005D5">
              <w:rPr>
                <w:rFonts w:ascii="Times New Roman" w:eastAsia="Times New Roman" w:hAnsi="Times New Roman" w:cs="Times New Roman"/>
                <w:color w:val="000000"/>
                <w:sz w:val="28"/>
                <w:szCs w:val="28"/>
                <w:u w:val="single"/>
                <w:lang w:val="uk-UA" w:eastAsia="ru-RU"/>
              </w:rPr>
              <w:t>+</w:t>
            </w:r>
            <w:r w:rsidRPr="003005D5">
              <w:rPr>
                <w:rFonts w:ascii="Times New Roman" w:eastAsia="Times New Roman" w:hAnsi="Times New Roman" w:cs="Times New Roman"/>
                <w:color w:val="000000"/>
                <w:sz w:val="28"/>
                <w:szCs w:val="28"/>
                <w:lang w:val="uk-UA" w:eastAsia="ru-RU"/>
              </w:rPr>
              <w:t>24,9%</w:t>
            </w:r>
          </w:p>
        </w:tc>
        <w:tc>
          <w:tcPr>
            <w:tcW w:w="1383" w:type="dxa"/>
          </w:tcPr>
          <w:p w:rsidR="00DF1EF6" w:rsidRPr="003005D5" w:rsidRDefault="00245DB0" w:rsidP="00EA4B8E">
            <w:pPr>
              <w:jc w:val="right"/>
              <w:rPr>
                <w:rFonts w:ascii="Times New Roman" w:hAnsi="Times New Roman" w:cs="Times New Roman"/>
                <w:sz w:val="28"/>
                <w:szCs w:val="28"/>
                <w:lang w:val="uk-UA"/>
              </w:rPr>
            </w:pPr>
            <w:r w:rsidRPr="003005D5">
              <w:rPr>
                <w:rFonts w:ascii="Times New Roman" w:hAnsi="Times New Roman" w:cs="Times New Roman"/>
                <w:sz w:val="28"/>
                <w:szCs w:val="28"/>
                <w:lang w:val="uk-UA"/>
              </w:rPr>
              <w:t>&gt;0,05</w:t>
            </w:r>
          </w:p>
        </w:tc>
      </w:tr>
      <w:tr w:rsidR="00DF1EF6" w:rsidRPr="003005D5" w:rsidTr="00DF1EF6">
        <w:tc>
          <w:tcPr>
            <w:tcW w:w="2660" w:type="dxa"/>
          </w:tcPr>
          <w:p w:rsidR="00DF1EF6" w:rsidRPr="003005D5" w:rsidRDefault="00DF1EF6" w:rsidP="00EA4B8E">
            <w:pPr>
              <w:rPr>
                <w:rFonts w:ascii="Times New Roman" w:hAnsi="Times New Roman" w:cs="Times New Roman"/>
                <w:sz w:val="28"/>
                <w:szCs w:val="28"/>
                <w:lang w:val="uk-UA"/>
              </w:rPr>
            </w:pPr>
            <w:r w:rsidRPr="003005D5">
              <w:rPr>
                <w:rFonts w:ascii="Times New Roman" w:eastAsia="Times New Roman" w:hAnsi="Times New Roman" w:cs="Times New Roman"/>
                <w:color w:val="000000"/>
                <w:sz w:val="28"/>
                <w:szCs w:val="28"/>
                <w:lang w:eastAsia="ru-RU"/>
              </w:rPr>
              <w:t>CD</w:t>
            </w:r>
            <w:r w:rsidRPr="003005D5">
              <w:rPr>
                <w:rFonts w:ascii="Times New Roman" w:eastAsia="Times New Roman" w:hAnsi="Times New Roman" w:cs="Times New Roman"/>
                <w:color w:val="000000"/>
                <w:sz w:val="28"/>
                <w:szCs w:val="28"/>
                <w:lang w:val="uk-UA" w:eastAsia="ru-RU"/>
              </w:rPr>
              <w:t>3</w:t>
            </w:r>
          </w:p>
        </w:tc>
        <w:tc>
          <w:tcPr>
            <w:tcW w:w="2835" w:type="dxa"/>
          </w:tcPr>
          <w:p w:rsidR="00DF1EF6" w:rsidRPr="003005D5" w:rsidRDefault="00245DB0" w:rsidP="00EA4B8E">
            <w:pPr>
              <w:jc w:val="right"/>
              <w:rPr>
                <w:rFonts w:ascii="Times New Roman" w:hAnsi="Times New Roman" w:cs="Times New Roman"/>
                <w:sz w:val="28"/>
                <w:szCs w:val="28"/>
                <w:lang w:val="uk-UA"/>
              </w:rPr>
            </w:pPr>
            <w:r w:rsidRPr="003005D5">
              <w:rPr>
                <w:rFonts w:ascii="Times New Roman" w:eastAsia="Times New Roman" w:hAnsi="Times New Roman" w:cs="Times New Roman"/>
                <w:color w:val="000000"/>
                <w:sz w:val="28"/>
                <w:szCs w:val="28"/>
                <w:lang w:val="uk-UA" w:eastAsia="ru-RU"/>
              </w:rPr>
              <w:t>88,01</w:t>
            </w:r>
            <w:r w:rsidRPr="003005D5">
              <w:rPr>
                <w:rFonts w:ascii="Times New Roman" w:hAnsi="Times New Roman" w:cs="Times New Roman"/>
                <w:sz w:val="28"/>
                <w:szCs w:val="28"/>
                <w:u w:val="single"/>
                <w:lang w:val="uk-UA"/>
              </w:rPr>
              <w:t>+</w:t>
            </w:r>
            <w:r w:rsidRPr="003005D5">
              <w:rPr>
                <w:rFonts w:ascii="Times New Roman" w:hAnsi="Times New Roman" w:cs="Times New Roman"/>
                <w:sz w:val="28"/>
                <w:szCs w:val="28"/>
                <w:lang w:val="uk-UA"/>
              </w:rPr>
              <w:t>43,49%</w:t>
            </w:r>
            <w:r w:rsidR="00DF1EF6" w:rsidRPr="003005D5">
              <w:rPr>
                <w:rFonts w:ascii="Times New Roman" w:eastAsia="Times New Roman" w:hAnsi="Times New Roman" w:cs="Times New Roman"/>
                <w:color w:val="000000"/>
                <w:sz w:val="28"/>
                <w:szCs w:val="28"/>
                <w:lang w:val="uk-UA" w:eastAsia="ru-RU"/>
              </w:rPr>
              <w:t xml:space="preserve"> </w:t>
            </w:r>
          </w:p>
        </w:tc>
        <w:tc>
          <w:tcPr>
            <w:tcW w:w="2693" w:type="dxa"/>
          </w:tcPr>
          <w:p w:rsidR="00DF1EF6" w:rsidRPr="003005D5" w:rsidRDefault="003566B6" w:rsidP="00EA4B8E">
            <w:pPr>
              <w:jc w:val="right"/>
              <w:rPr>
                <w:rFonts w:ascii="Times New Roman" w:hAnsi="Times New Roman" w:cs="Times New Roman"/>
                <w:sz w:val="28"/>
                <w:szCs w:val="28"/>
                <w:lang w:val="uk-UA"/>
              </w:rPr>
            </w:pPr>
            <w:r w:rsidRPr="003005D5">
              <w:rPr>
                <w:rFonts w:ascii="Times New Roman" w:eastAsia="Times New Roman" w:hAnsi="Times New Roman" w:cs="Times New Roman"/>
                <w:color w:val="000000"/>
                <w:sz w:val="28"/>
                <w:szCs w:val="28"/>
                <w:lang w:val="uk-UA" w:eastAsia="ru-RU"/>
              </w:rPr>
              <w:t>75,03</w:t>
            </w:r>
            <w:r w:rsidR="00245DB0" w:rsidRPr="003005D5">
              <w:rPr>
                <w:rFonts w:ascii="Times New Roman" w:hAnsi="Times New Roman" w:cs="Times New Roman"/>
                <w:sz w:val="28"/>
                <w:szCs w:val="28"/>
                <w:u w:val="single"/>
                <w:lang w:val="uk-UA"/>
              </w:rPr>
              <w:t>+</w:t>
            </w:r>
            <w:r w:rsidRPr="003005D5">
              <w:rPr>
                <w:rFonts w:ascii="Times New Roman" w:hAnsi="Times New Roman" w:cs="Times New Roman"/>
                <w:sz w:val="28"/>
                <w:szCs w:val="28"/>
                <w:lang w:val="uk-UA"/>
              </w:rPr>
              <w:t>33,8</w:t>
            </w:r>
            <w:r w:rsidR="00245DB0" w:rsidRPr="003005D5">
              <w:rPr>
                <w:rFonts w:ascii="Times New Roman" w:hAnsi="Times New Roman" w:cs="Times New Roman"/>
                <w:sz w:val="28"/>
                <w:szCs w:val="28"/>
                <w:lang w:val="uk-UA"/>
              </w:rPr>
              <w:t>%</w:t>
            </w:r>
          </w:p>
        </w:tc>
        <w:tc>
          <w:tcPr>
            <w:tcW w:w="1383" w:type="dxa"/>
          </w:tcPr>
          <w:p w:rsidR="00DF1EF6" w:rsidRPr="003005D5" w:rsidRDefault="003566B6" w:rsidP="00EA4B8E">
            <w:pPr>
              <w:jc w:val="right"/>
              <w:rPr>
                <w:rFonts w:ascii="Times New Roman" w:hAnsi="Times New Roman" w:cs="Times New Roman"/>
                <w:sz w:val="28"/>
                <w:szCs w:val="28"/>
                <w:lang w:val="uk-UA"/>
              </w:rPr>
            </w:pPr>
            <w:r w:rsidRPr="003005D5">
              <w:rPr>
                <w:rFonts w:ascii="Times New Roman" w:hAnsi="Times New Roman" w:cs="Times New Roman"/>
                <w:sz w:val="28"/>
                <w:szCs w:val="28"/>
                <w:lang w:val="uk-UA"/>
              </w:rPr>
              <w:t>&gt;0,05</w:t>
            </w:r>
          </w:p>
        </w:tc>
      </w:tr>
      <w:tr w:rsidR="003566B6" w:rsidRPr="003005D5" w:rsidTr="00DF1EF6">
        <w:tc>
          <w:tcPr>
            <w:tcW w:w="2660" w:type="dxa"/>
          </w:tcPr>
          <w:p w:rsidR="003566B6" w:rsidRPr="003005D5" w:rsidRDefault="003566B6" w:rsidP="00EA4B8E">
            <w:pPr>
              <w:rPr>
                <w:rFonts w:ascii="Times New Roman" w:hAnsi="Times New Roman" w:cs="Times New Roman"/>
                <w:sz w:val="28"/>
                <w:szCs w:val="28"/>
                <w:lang w:val="uk-UA"/>
              </w:rPr>
            </w:pPr>
            <w:r w:rsidRPr="003005D5">
              <w:rPr>
                <w:rFonts w:ascii="Times New Roman" w:eastAsia="Times New Roman" w:hAnsi="Times New Roman" w:cs="Times New Roman"/>
                <w:color w:val="000000"/>
                <w:sz w:val="28"/>
                <w:szCs w:val="28"/>
                <w:lang w:eastAsia="ru-RU"/>
              </w:rPr>
              <w:t>CD4</w:t>
            </w:r>
          </w:p>
        </w:tc>
        <w:tc>
          <w:tcPr>
            <w:tcW w:w="2835" w:type="dxa"/>
          </w:tcPr>
          <w:p w:rsidR="003566B6" w:rsidRPr="003005D5" w:rsidRDefault="003566B6" w:rsidP="00EA4B8E">
            <w:pPr>
              <w:jc w:val="right"/>
              <w:rPr>
                <w:rFonts w:ascii="Times New Roman" w:hAnsi="Times New Roman" w:cs="Times New Roman"/>
                <w:sz w:val="28"/>
                <w:szCs w:val="28"/>
                <w:lang w:val="uk-UA"/>
              </w:rPr>
            </w:pPr>
            <w:r w:rsidRPr="003005D5">
              <w:rPr>
                <w:rFonts w:ascii="Times New Roman" w:eastAsia="Times New Roman" w:hAnsi="Times New Roman" w:cs="Times New Roman"/>
                <w:color w:val="000000"/>
                <w:sz w:val="28"/>
                <w:szCs w:val="28"/>
                <w:lang w:val="uk-UA" w:eastAsia="ru-RU"/>
              </w:rPr>
              <w:t>97,76</w:t>
            </w:r>
            <w:r w:rsidRPr="003005D5">
              <w:rPr>
                <w:rFonts w:ascii="Times New Roman" w:hAnsi="Times New Roman" w:cs="Times New Roman"/>
                <w:sz w:val="28"/>
                <w:szCs w:val="28"/>
                <w:u w:val="single"/>
                <w:lang w:val="uk-UA"/>
              </w:rPr>
              <w:t>+</w:t>
            </w:r>
            <w:r w:rsidRPr="003005D5">
              <w:rPr>
                <w:rFonts w:ascii="Times New Roman" w:hAnsi="Times New Roman" w:cs="Times New Roman"/>
                <w:sz w:val="28"/>
                <w:szCs w:val="28"/>
                <w:lang w:val="uk-UA"/>
              </w:rPr>
              <w:t>33,43%</w:t>
            </w:r>
            <w:r w:rsidRPr="003005D5">
              <w:rPr>
                <w:rFonts w:ascii="Times New Roman" w:eastAsia="Times New Roman" w:hAnsi="Times New Roman" w:cs="Times New Roman"/>
                <w:color w:val="000000"/>
                <w:sz w:val="28"/>
                <w:szCs w:val="28"/>
                <w:lang w:val="uk-UA" w:eastAsia="ru-RU"/>
              </w:rPr>
              <w:t xml:space="preserve"> </w:t>
            </w:r>
          </w:p>
        </w:tc>
        <w:tc>
          <w:tcPr>
            <w:tcW w:w="2693" w:type="dxa"/>
          </w:tcPr>
          <w:p w:rsidR="003566B6" w:rsidRPr="003005D5" w:rsidRDefault="003566B6" w:rsidP="00EA4B8E">
            <w:pPr>
              <w:jc w:val="right"/>
              <w:rPr>
                <w:rFonts w:ascii="Times New Roman" w:hAnsi="Times New Roman" w:cs="Times New Roman"/>
                <w:sz w:val="28"/>
                <w:szCs w:val="28"/>
                <w:lang w:val="uk-UA"/>
              </w:rPr>
            </w:pPr>
            <w:r w:rsidRPr="003005D5">
              <w:rPr>
                <w:rFonts w:ascii="Times New Roman" w:eastAsia="Times New Roman" w:hAnsi="Times New Roman" w:cs="Times New Roman"/>
                <w:color w:val="000000"/>
                <w:sz w:val="28"/>
                <w:szCs w:val="28"/>
                <w:lang w:val="uk-UA" w:eastAsia="ru-RU"/>
              </w:rPr>
              <w:t>77,9</w:t>
            </w:r>
            <w:r w:rsidRPr="003005D5">
              <w:rPr>
                <w:rFonts w:ascii="Times New Roman" w:hAnsi="Times New Roman" w:cs="Times New Roman"/>
                <w:sz w:val="28"/>
                <w:szCs w:val="28"/>
                <w:u w:val="single"/>
                <w:lang w:val="uk-UA"/>
              </w:rPr>
              <w:t>+</w:t>
            </w:r>
            <w:r w:rsidRPr="003005D5">
              <w:rPr>
                <w:rFonts w:ascii="Times New Roman" w:hAnsi="Times New Roman" w:cs="Times New Roman"/>
                <w:sz w:val="28"/>
                <w:szCs w:val="28"/>
                <w:lang w:val="uk-UA"/>
              </w:rPr>
              <w:t>11,4%</w:t>
            </w:r>
          </w:p>
        </w:tc>
        <w:tc>
          <w:tcPr>
            <w:tcW w:w="1383" w:type="dxa"/>
          </w:tcPr>
          <w:p w:rsidR="003566B6" w:rsidRPr="003005D5" w:rsidRDefault="003566B6" w:rsidP="00EA4B8E">
            <w:pPr>
              <w:jc w:val="right"/>
              <w:rPr>
                <w:rFonts w:ascii="Times New Roman" w:hAnsi="Times New Roman" w:cs="Times New Roman"/>
                <w:sz w:val="28"/>
                <w:szCs w:val="28"/>
                <w:lang w:val="uk-UA"/>
              </w:rPr>
            </w:pPr>
            <w:r w:rsidRPr="003005D5">
              <w:rPr>
                <w:rFonts w:ascii="Times New Roman" w:hAnsi="Times New Roman" w:cs="Times New Roman"/>
                <w:sz w:val="28"/>
                <w:szCs w:val="28"/>
                <w:lang w:val="uk-UA"/>
              </w:rPr>
              <w:t>&gt;0,05</w:t>
            </w:r>
          </w:p>
        </w:tc>
      </w:tr>
      <w:tr w:rsidR="00B429BB" w:rsidRPr="003005D5" w:rsidTr="00DF1EF6">
        <w:tc>
          <w:tcPr>
            <w:tcW w:w="2660" w:type="dxa"/>
          </w:tcPr>
          <w:p w:rsidR="00B429BB" w:rsidRPr="003005D5" w:rsidRDefault="00B429BB" w:rsidP="00EA4B8E">
            <w:pPr>
              <w:rPr>
                <w:rFonts w:ascii="Times New Roman" w:hAnsi="Times New Roman" w:cs="Times New Roman"/>
                <w:sz w:val="28"/>
                <w:szCs w:val="28"/>
                <w:lang w:val="uk-UA"/>
              </w:rPr>
            </w:pPr>
            <w:r w:rsidRPr="003005D5">
              <w:rPr>
                <w:rFonts w:ascii="Times New Roman" w:eastAsia="Times New Roman" w:hAnsi="Times New Roman" w:cs="Times New Roman"/>
                <w:color w:val="000000"/>
                <w:sz w:val="28"/>
                <w:szCs w:val="28"/>
                <w:lang w:eastAsia="ru-RU"/>
              </w:rPr>
              <w:t>CD8</w:t>
            </w:r>
          </w:p>
        </w:tc>
        <w:tc>
          <w:tcPr>
            <w:tcW w:w="2835" w:type="dxa"/>
          </w:tcPr>
          <w:p w:rsidR="00B429BB" w:rsidRPr="003005D5" w:rsidRDefault="00B429BB" w:rsidP="00EA4B8E">
            <w:pPr>
              <w:jc w:val="right"/>
              <w:rPr>
                <w:rFonts w:ascii="Times New Roman" w:hAnsi="Times New Roman" w:cs="Times New Roman"/>
                <w:sz w:val="28"/>
                <w:szCs w:val="28"/>
                <w:lang w:val="uk-UA"/>
              </w:rPr>
            </w:pPr>
            <w:r w:rsidRPr="003005D5">
              <w:rPr>
                <w:rFonts w:ascii="Times New Roman" w:eastAsia="Times New Roman" w:hAnsi="Times New Roman" w:cs="Times New Roman"/>
                <w:color w:val="000000"/>
                <w:sz w:val="28"/>
                <w:szCs w:val="28"/>
                <w:lang w:val="uk-UA" w:eastAsia="ru-RU"/>
              </w:rPr>
              <w:t>108,8</w:t>
            </w:r>
            <w:r w:rsidRPr="003005D5">
              <w:rPr>
                <w:rFonts w:ascii="Times New Roman" w:hAnsi="Times New Roman" w:cs="Times New Roman"/>
                <w:sz w:val="28"/>
                <w:szCs w:val="28"/>
                <w:u w:val="single"/>
                <w:lang w:val="uk-UA"/>
              </w:rPr>
              <w:t>+</w:t>
            </w:r>
            <w:r w:rsidRPr="003005D5">
              <w:rPr>
                <w:rFonts w:ascii="Times New Roman" w:hAnsi="Times New Roman" w:cs="Times New Roman"/>
                <w:sz w:val="28"/>
                <w:szCs w:val="28"/>
                <w:lang w:val="uk-UA"/>
              </w:rPr>
              <w:t>34,43%</w:t>
            </w:r>
            <w:r w:rsidRPr="003005D5">
              <w:rPr>
                <w:rFonts w:ascii="Times New Roman" w:eastAsia="Times New Roman" w:hAnsi="Times New Roman" w:cs="Times New Roman"/>
                <w:color w:val="000000"/>
                <w:sz w:val="28"/>
                <w:szCs w:val="28"/>
                <w:lang w:val="uk-UA" w:eastAsia="ru-RU"/>
              </w:rPr>
              <w:t xml:space="preserve"> </w:t>
            </w:r>
          </w:p>
        </w:tc>
        <w:tc>
          <w:tcPr>
            <w:tcW w:w="2693" w:type="dxa"/>
          </w:tcPr>
          <w:p w:rsidR="00B429BB" w:rsidRPr="003005D5" w:rsidRDefault="00B429BB" w:rsidP="00EA4B8E">
            <w:pPr>
              <w:jc w:val="right"/>
              <w:rPr>
                <w:rFonts w:ascii="Times New Roman" w:hAnsi="Times New Roman" w:cs="Times New Roman"/>
                <w:sz w:val="28"/>
                <w:szCs w:val="28"/>
                <w:lang w:val="uk-UA"/>
              </w:rPr>
            </w:pPr>
            <w:r w:rsidRPr="003005D5">
              <w:rPr>
                <w:rFonts w:ascii="Times New Roman" w:eastAsia="Times New Roman" w:hAnsi="Times New Roman" w:cs="Times New Roman"/>
                <w:color w:val="000000"/>
                <w:sz w:val="28"/>
                <w:szCs w:val="28"/>
                <w:lang w:val="uk-UA" w:eastAsia="ru-RU"/>
              </w:rPr>
              <w:t>71,5</w:t>
            </w:r>
            <w:r w:rsidRPr="003005D5">
              <w:rPr>
                <w:rFonts w:ascii="Times New Roman" w:hAnsi="Times New Roman" w:cs="Times New Roman"/>
                <w:sz w:val="28"/>
                <w:szCs w:val="28"/>
                <w:u w:val="single"/>
                <w:lang w:val="uk-UA"/>
              </w:rPr>
              <w:t>+</w:t>
            </w:r>
            <w:r w:rsidRPr="003005D5">
              <w:rPr>
                <w:rFonts w:ascii="Times New Roman" w:hAnsi="Times New Roman" w:cs="Times New Roman"/>
                <w:sz w:val="28"/>
                <w:szCs w:val="28"/>
                <w:lang w:val="uk-UA"/>
              </w:rPr>
              <w:t>14,2%</w:t>
            </w:r>
          </w:p>
        </w:tc>
        <w:tc>
          <w:tcPr>
            <w:tcW w:w="1383" w:type="dxa"/>
          </w:tcPr>
          <w:p w:rsidR="00B429BB" w:rsidRPr="003005D5" w:rsidRDefault="00B429BB" w:rsidP="00EA4B8E">
            <w:pPr>
              <w:jc w:val="right"/>
              <w:rPr>
                <w:rFonts w:ascii="Times New Roman" w:hAnsi="Times New Roman" w:cs="Times New Roman"/>
                <w:sz w:val="28"/>
                <w:szCs w:val="28"/>
                <w:lang w:val="uk-UA"/>
              </w:rPr>
            </w:pPr>
            <w:r w:rsidRPr="003005D5">
              <w:rPr>
                <w:rFonts w:ascii="Times New Roman" w:hAnsi="Times New Roman" w:cs="Times New Roman"/>
                <w:sz w:val="28"/>
                <w:szCs w:val="28"/>
                <w:lang w:val="uk-UA"/>
              </w:rPr>
              <w:t>&lt;0,01</w:t>
            </w:r>
          </w:p>
        </w:tc>
      </w:tr>
      <w:tr w:rsidR="00B429BB" w:rsidRPr="003005D5" w:rsidTr="00DF1EF6">
        <w:tc>
          <w:tcPr>
            <w:tcW w:w="2660" w:type="dxa"/>
          </w:tcPr>
          <w:p w:rsidR="00B429BB" w:rsidRPr="003005D5" w:rsidRDefault="00B429BB" w:rsidP="00EA4B8E">
            <w:pPr>
              <w:rPr>
                <w:rFonts w:ascii="Times New Roman" w:hAnsi="Times New Roman" w:cs="Times New Roman"/>
                <w:sz w:val="28"/>
                <w:szCs w:val="28"/>
                <w:lang w:val="uk-UA"/>
              </w:rPr>
            </w:pPr>
            <w:r w:rsidRPr="003005D5">
              <w:rPr>
                <w:rFonts w:ascii="Times New Roman" w:eastAsia="Times New Roman" w:hAnsi="Times New Roman" w:cs="Times New Roman"/>
                <w:color w:val="000000"/>
                <w:sz w:val="28"/>
                <w:szCs w:val="28"/>
                <w:lang w:eastAsia="ru-RU"/>
              </w:rPr>
              <w:t>CD16</w:t>
            </w:r>
          </w:p>
        </w:tc>
        <w:tc>
          <w:tcPr>
            <w:tcW w:w="2835" w:type="dxa"/>
          </w:tcPr>
          <w:p w:rsidR="00B429BB" w:rsidRPr="003005D5" w:rsidRDefault="00B429BB" w:rsidP="00EA4B8E">
            <w:pPr>
              <w:jc w:val="right"/>
              <w:rPr>
                <w:rFonts w:ascii="Times New Roman" w:hAnsi="Times New Roman" w:cs="Times New Roman"/>
                <w:sz w:val="28"/>
                <w:szCs w:val="28"/>
                <w:lang w:val="uk-UA"/>
              </w:rPr>
            </w:pPr>
            <w:r w:rsidRPr="003005D5">
              <w:rPr>
                <w:rFonts w:ascii="Times New Roman" w:eastAsia="Times New Roman" w:hAnsi="Times New Roman" w:cs="Times New Roman"/>
                <w:color w:val="000000"/>
                <w:sz w:val="28"/>
                <w:szCs w:val="28"/>
                <w:lang w:val="uk-UA" w:eastAsia="ru-RU"/>
              </w:rPr>
              <w:t>154</w:t>
            </w:r>
            <w:r w:rsidRPr="003005D5">
              <w:rPr>
                <w:rFonts w:ascii="Times New Roman" w:hAnsi="Times New Roman" w:cs="Times New Roman"/>
                <w:sz w:val="28"/>
                <w:szCs w:val="28"/>
                <w:u w:val="single"/>
                <w:lang w:val="uk-UA"/>
              </w:rPr>
              <w:t>+</w:t>
            </w:r>
            <w:r w:rsidRPr="003005D5">
              <w:rPr>
                <w:rFonts w:ascii="Times New Roman" w:hAnsi="Times New Roman" w:cs="Times New Roman"/>
                <w:sz w:val="28"/>
                <w:szCs w:val="28"/>
                <w:lang w:val="uk-UA"/>
              </w:rPr>
              <w:t>117,11%</w:t>
            </w:r>
            <w:r w:rsidRPr="003005D5">
              <w:rPr>
                <w:rFonts w:ascii="Times New Roman" w:eastAsia="Times New Roman" w:hAnsi="Times New Roman" w:cs="Times New Roman"/>
                <w:color w:val="000000"/>
                <w:sz w:val="28"/>
                <w:szCs w:val="28"/>
                <w:lang w:val="uk-UA" w:eastAsia="ru-RU"/>
              </w:rPr>
              <w:t xml:space="preserve">  </w:t>
            </w:r>
          </w:p>
        </w:tc>
        <w:tc>
          <w:tcPr>
            <w:tcW w:w="2693" w:type="dxa"/>
          </w:tcPr>
          <w:p w:rsidR="00B429BB" w:rsidRPr="003005D5" w:rsidRDefault="00B429BB" w:rsidP="00EA4B8E">
            <w:pPr>
              <w:jc w:val="right"/>
              <w:rPr>
                <w:rFonts w:ascii="Times New Roman" w:hAnsi="Times New Roman" w:cs="Times New Roman"/>
                <w:sz w:val="28"/>
                <w:szCs w:val="28"/>
                <w:lang w:val="uk-UA"/>
              </w:rPr>
            </w:pPr>
            <w:r w:rsidRPr="003005D5">
              <w:rPr>
                <w:rFonts w:ascii="Times New Roman" w:eastAsia="Times New Roman" w:hAnsi="Times New Roman" w:cs="Times New Roman"/>
                <w:color w:val="000000"/>
                <w:sz w:val="28"/>
                <w:szCs w:val="28"/>
                <w:lang w:val="uk-UA" w:eastAsia="ru-RU"/>
              </w:rPr>
              <w:t>71,25</w:t>
            </w:r>
            <w:r w:rsidRPr="003005D5">
              <w:rPr>
                <w:rFonts w:ascii="Times New Roman" w:hAnsi="Times New Roman" w:cs="Times New Roman"/>
                <w:sz w:val="28"/>
                <w:szCs w:val="28"/>
                <w:u w:val="single"/>
                <w:lang w:val="uk-UA"/>
              </w:rPr>
              <w:t>+</w:t>
            </w:r>
            <w:r w:rsidRPr="003005D5">
              <w:rPr>
                <w:rFonts w:ascii="Times New Roman" w:hAnsi="Times New Roman" w:cs="Times New Roman"/>
                <w:sz w:val="28"/>
                <w:szCs w:val="28"/>
                <w:lang w:val="uk-UA"/>
              </w:rPr>
              <w:t>12,7%</w:t>
            </w:r>
          </w:p>
        </w:tc>
        <w:tc>
          <w:tcPr>
            <w:tcW w:w="1383" w:type="dxa"/>
          </w:tcPr>
          <w:p w:rsidR="00B429BB" w:rsidRPr="003005D5" w:rsidRDefault="00B429BB" w:rsidP="00EA4B8E">
            <w:pPr>
              <w:jc w:val="right"/>
              <w:rPr>
                <w:rFonts w:ascii="Times New Roman" w:hAnsi="Times New Roman" w:cs="Times New Roman"/>
                <w:sz w:val="28"/>
                <w:szCs w:val="28"/>
                <w:lang w:val="uk-UA"/>
              </w:rPr>
            </w:pPr>
            <w:r w:rsidRPr="003005D5">
              <w:rPr>
                <w:rFonts w:ascii="Times New Roman" w:hAnsi="Times New Roman" w:cs="Times New Roman"/>
                <w:sz w:val="28"/>
                <w:szCs w:val="28"/>
                <w:lang w:val="uk-UA"/>
              </w:rPr>
              <w:t>&lt;0,0</w:t>
            </w:r>
            <w:r w:rsidR="00EA4B8E">
              <w:rPr>
                <w:rFonts w:ascii="Times New Roman" w:hAnsi="Times New Roman" w:cs="Times New Roman"/>
                <w:sz w:val="28"/>
                <w:szCs w:val="28"/>
                <w:lang w:val="uk-UA"/>
              </w:rPr>
              <w:t>5</w:t>
            </w:r>
          </w:p>
        </w:tc>
      </w:tr>
      <w:tr w:rsidR="00B429BB" w:rsidRPr="003005D5" w:rsidTr="00DF1EF6">
        <w:tc>
          <w:tcPr>
            <w:tcW w:w="2660" w:type="dxa"/>
          </w:tcPr>
          <w:p w:rsidR="00B429BB" w:rsidRPr="003005D5" w:rsidRDefault="00B429BB" w:rsidP="00EA4B8E">
            <w:pPr>
              <w:rPr>
                <w:rFonts w:ascii="Times New Roman" w:hAnsi="Times New Roman" w:cs="Times New Roman"/>
                <w:sz w:val="28"/>
                <w:szCs w:val="28"/>
                <w:lang w:val="uk-UA"/>
              </w:rPr>
            </w:pPr>
            <w:r w:rsidRPr="003005D5">
              <w:rPr>
                <w:rFonts w:ascii="Times New Roman" w:eastAsia="Times New Roman" w:hAnsi="Times New Roman" w:cs="Times New Roman"/>
                <w:color w:val="000000"/>
                <w:sz w:val="28"/>
                <w:szCs w:val="28"/>
                <w:lang w:eastAsia="ru-RU"/>
              </w:rPr>
              <w:t>CD22</w:t>
            </w:r>
          </w:p>
        </w:tc>
        <w:tc>
          <w:tcPr>
            <w:tcW w:w="2835" w:type="dxa"/>
          </w:tcPr>
          <w:p w:rsidR="00B429BB" w:rsidRPr="003005D5" w:rsidRDefault="00B429BB" w:rsidP="00EA4B8E">
            <w:pPr>
              <w:jc w:val="right"/>
              <w:rPr>
                <w:rFonts w:ascii="Times New Roman" w:hAnsi="Times New Roman" w:cs="Times New Roman"/>
                <w:sz w:val="28"/>
                <w:szCs w:val="28"/>
                <w:lang w:val="uk-UA"/>
              </w:rPr>
            </w:pPr>
            <w:r w:rsidRPr="003005D5">
              <w:rPr>
                <w:rFonts w:ascii="Times New Roman" w:eastAsia="Times New Roman" w:hAnsi="Times New Roman" w:cs="Times New Roman"/>
                <w:color w:val="000000"/>
                <w:sz w:val="28"/>
                <w:szCs w:val="28"/>
                <w:lang w:val="uk-UA" w:eastAsia="ru-RU"/>
              </w:rPr>
              <w:t>91,43</w:t>
            </w:r>
            <w:r w:rsidRPr="003005D5">
              <w:rPr>
                <w:rFonts w:ascii="Times New Roman" w:hAnsi="Times New Roman" w:cs="Times New Roman"/>
                <w:sz w:val="28"/>
                <w:szCs w:val="28"/>
                <w:u w:val="single"/>
                <w:lang w:val="uk-UA"/>
              </w:rPr>
              <w:t>+</w:t>
            </w:r>
            <w:r w:rsidRPr="003005D5">
              <w:rPr>
                <w:rFonts w:ascii="Times New Roman" w:hAnsi="Times New Roman" w:cs="Times New Roman"/>
                <w:sz w:val="28"/>
                <w:szCs w:val="28"/>
                <w:lang w:val="uk-UA"/>
              </w:rPr>
              <w:t>4,62%</w:t>
            </w:r>
            <w:r w:rsidRPr="003005D5">
              <w:rPr>
                <w:rFonts w:ascii="Times New Roman" w:eastAsia="Times New Roman" w:hAnsi="Times New Roman" w:cs="Times New Roman"/>
                <w:color w:val="000000"/>
                <w:sz w:val="28"/>
                <w:szCs w:val="28"/>
                <w:lang w:val="uk-UA" w:eastAsia="ru-RU"/>
              </w:rPr>
              <w:t xml:space="preserve">   </w:t>
            </w:r>
          </w:p>
        </w:tc>
        <w:tc>
          <w:tcPr>
            <w:tcW w:w="2693" w:type="dxa"/>
          </w:tcPr>
          <w:p w:rsidR="00B429BB" w:rsidRPr="003005D5" w:rsidRDefault="00B429BB" w:rsidP="00EA4B8E">
            <w:pPr>
              <w:jc w:val="right"/>
              <w:rPr>
                <w:rFonts w:ascii="Times New Roman" w:hAnsi="Times New Roman" w:cs="Times New Roman"/>
                <w:sz w:val="28"/>
                <w:szCs w:val="28"/>
                <w:lang w:val="uk-UA"/>
              </w:rPr>
            </w:pPr>
            <w:r w:rsidRPr="003005D5">
              <w:rPr>
                <w:rFonts w:ascii="Times New Roman" w:eastAsia="Times New Roman" w:hAnsi="Times New Roman" w:cs="Times New Roman"/>
                <w:color w:val="000000"/>
                <w:sz w:val="28"/>
                <w:szCs w:val="28"/>
                <w:lang w:val="uk-UA" w:eastAsia="ru-RU"/>
              </w:rPr>
              <w:t>99,4</w:t>
            </w:r>
            <w:r w:rsidRPr="003005D5">
              <w:rPr>
                <w:rFonts w:ascii="Times New Roman" w:hAnsi="Times New Roman" w:cs="Times New Roman"/>
                <w:sz w:val="28"/>
                <w:szCs w:val="28"/>
                <w:u w:val="single"/>
                <w:lang w:val="uk-UA"/>
              </w:rPr>
              <w:t>+</w:t>
            </w:r>
            <w:r w:rsidRPr="003005D5">
              <w:rPr>
                <w:rFonts w:ascii="Times New Roman" w:hAnsi="Times New Roman" w:cs="Times New Roman"/>
                <w:sz w:val="28"/>
                <w:szCs w:val="28"/>
                <w:lang w:val="uk-UA"/>
              </w:rPr>
              <w:t>23,54%</w:t>
            </w:r>
            <w:r w:rsidRPr="003005D5">
              <w:rPr>
                <w:rFonts w:ascii="Times New Roman" w:eastAsia="Times New Roman" w:hAnsi="Times New Roman" w:cs="Times New Roman"/>
                <w:color w:val="000000"/>
                <w:sz w:val="28"/>
                <w:szCs w:val="28"/>
                <w:lang w:val="uk-UA" w:eastAsia="ru-RU"/>
              </w:rPr>
              <w:t xml:space="preserve">   </w:t>
            </w:r>
          </w:p>
        </w:tc>
        <w:tc>
          <w:tcPr>
            <w:tcW w:w="1383" w:type="dxa"/>
          </w:tcPr>
          <w:p w:rsidR="00B429BB" w:rsidRPr="003005D5" w:rsidRDefault="00B429BB" w:rsidP="00EA4B8E">
            <w:pPr>
              <w:jc w:val="right"/>
              <w:rPr>
                <w:rFonts w:ascii="Times New Roman" w:hAnsi="Times New Roman" w:cs="Times New Roman"/>
                <w:sz w:val="28"/>
                <w:szCs w:val="28"/>
                <w:lang w:val="uk-UA"/>
              </w:rPr>
            </w:pPr>
            <w:r w:rsidRPr="003005D5">
              <w:rPr>
                <w:rFonts w:ascii="Times New Roman" w:hAnsi="Times New Roman" w:cs="Times New Roman"/>
                <w:sz w:val="28"/>
                <w:szCs w:val="28"/>
                <w:lang w:val="uk-UA"/>
              </w:rPr>
              <w:t>&gt;0,05</w:t>
            </w:r>
          </w:p>
        </w:tc>
      </w:tr>
      <w:tr w:rsidR="00B429BB" w:rsidRPr="003005D5" w:rsidTr="00DF1EF6">
        <w:tc>
          <w:tcPr>
            <w:tcW w:w="2660" w:type="dxa"/>
          </w:tcPr>
          <w:p w:rsidR="00B429BB" w:rsidRPr="003005D5" w:rsidRDefault="00B429BB" w:rsidP="00EA4B8E">
            <w:pPr>
              <w:rPr>
                <w:rFonts w:ascii="Times New Roman" w:hAnsi="Times New Roman" w:cs="Times New Roman"/>
                <w:sz w:val="28"/>
                <w:szCs w:val="28"/>
                <w:lang w:val="uk-UA"/>
              </w:rPr>
            </w:pPr>
            <w:proofErr w:type="spellStart"/>
            <w:r w:rsidRPr="003005D5">
              <w:rPr>
                <w:rFonts w:ascii="Times New Roman" w:eastAsia="Times New Roman" w:hAnsi="Times New Roman" w:cs="Times New Roman"/>
                <w:color w:val="000000"/>
                <w:sz w:val="28"/>
                <w:szCs w:val="28"/>
                <w:lang w:eastAsia="ru-RU"/>
              </w:rPr>
              <w:lastRenderedPageBreak/>
              <w:t>IgA</w:t>
            </w:r>
            <w:proofErr w:type="spellEnd"/>
          </w:p>
        </w:tc>
        <w:tc>
          <w:tcPr>
            <w:tcW w:w="2835" w:type="dxa"/>
          </w:tcPr>
          <w:p w:rsidR="00B429BB" w:rsidRPr="003005D5" w:rsidRDefault="00B429BB" w:rsidP="00EA4B8E">
            <w:pPr>
              <w:jc w:val="right"/>
              <w:rPr>
                <w:rFonts w:ascii="Times New Roman" w:hAnsi="Times New Roman" w:cs="Times New Roman"/>
                <w:sz w:val="28"/>
                <w:szCs w:val="28"/>
                <w:lang w:val="uk-UA"/>
              </w:rPr>
            </w:pPr>
            <w:r w:rsidRPr="003005D5">
              <w:rPr>
                <w:rFonts w:ascii="Times New Roman" w:eastAsia="Times New Roman" w:hAnsi="Times New Roman" w:cs="Times New Roman"/>
                <w:color w:val="000000"/>
                <w:sz w:val="28"/>
                <w:szCs w:val="28"/>
                <w:lang w:val="uk-UA" w:eastAsia="ru-RU"/>
              </w:rPr>
              <w:t>86,51</w:t>
            </w:r>
            <w:r w:rsidRPr="003005D5">
              <w:rPr>
                <w:rFonts w:ascii="Times New Roman" w:hAnsi="Times New Roman" w:cs="Times New Roman"/>
                <w:sz w:val="28"/>
                <w:szCs w:val="28"/>
                <w:u w:val="single"/>
                <w:lang w:val="uk-UA"/>
              </w:rPr>
              <w:t>+</w:t>
            </w:r>
            <w:r w:rsidRPr="003005D5">
              <w:rPr>
                <w:rFonts w:ascii="Times New Roman" w:hAnsi="Times New Roman" w:cs="Times New Roman"/>
                <w:sz w:val="28"/>
                <w:szCs w:val="28"/>
                <w:lang w:val="uk-UA"/>
              </w:rPr>
              <w:t>57,8%</w:t>
            </w:r>
            <w:r w:rsidRPr="003005D5">
              <w:rPr>
                <w:rFonts w:ascii="Times New Roman" w:eastAsia="Times New Roman" w:hAnsi="Times New Roman" w:cs="Times New Roman"/>
                <w:color w:val="000000"/>
                <w:sz w:val="28"/>
                <w:szCs w:val="28"/>
                <w:lang w:val="uk-UA" w:eastAsia="ru-RU"/>
              </w:rPr>
              <w:t xml:space="preserve">   </w:t>
            </w:r>
          </w:p>
        </w:tc>
        <w:tc>
          <w:tcPr>
            <w:tcW w:w="2693" w:type="dxa"/>
          </w:tcPr>
          <w:p w:rsidR="00B429BB" w:rsidRPr="003005D5" w:rsidRDefault="00B429BB" w:rsidP="00EA4B8E">
            <w:pPr>
              <w:jc w:val="right"/>
              <w:rPr>
                <w:rFonts w:ascii="Times New Roman" w:hAnsi="Times New Roman" w:cs="Times New Roman"/>
                <w:sz w:val="28"/>
                <w:szCs w:val="28"/>
                <w:lang w:val="uk-UA"/>
              </w:rPr>
            </w:pPr>
            <w:r w:rsidRPr="003005D5">
              <w:rPr>
                <w:rFonts w:ascii="Times New Roman" w:eastAsia="Times New Roman" w:hAnsi="Times New Roman" w:cs="Times New Roman"/>
                <w:color w:val="000000"/>
                <w:sz w:val="28"/>
                <w:szCs w:val="28"/>
                <w:lang w:val="uk-UA" w:eastAsia="ru-RU"/>
              </w:rPr>
              <w:t>42,3</w:t>
            </w:r>
            <w:r w:rsidRPr="003005D5">
              <w:rPr>
                <w:rFonts w:ascii="Times New Roman" w:hAnsi="Times New Roman" w:cs="Times New Roman"/>
                <w:sz w:val="28"/>
                <w:szCs w:val="28"/>
                <w:u w:val="single"/>
                <w:lang w:val="uk-UA"/>
              </w:rPr>
              <w:t>+</w:t>
            </w:r>
            <w:r w:rsidRPr="003005D5">
              <w:rPr>
                <w:rFonts w:ascii="Times New Roman" w:hAnsi="Times New Roman" w:cs="Times New Roman"/>
                <w:sz w:val="28"/>
                <w:szCs w:val="28"/>
                <w:lang w:val="uk-UA"/>
              </w:rPr>
              <w:t>19,4%</w:t>
            </w:r>
            <w:r w:rsidRPr="003005D5">
              <w:rPr>
                <w:rFonts w:ascii="Times New Roman" w:eastAsia="Times New Roman" w:hAnsi="Times New Roman" w:cs="Times New Roman"/>
                <w:color w:val="000000"/>
                <w:sz w:val="28"/>
                <w:szCs w:val="28"/>
                <w:lang w:val="uk-UA" w:eastAsia="ru-RU"/>
              </w:rPr>
              <w:t xml:space="preserve">   </w:t>
            </w:r>
          </w:p>
        </w:tc>
        <w:tc>
          <w:tcPr>
            <w:tcW w:w="1383" w:type="dxa"/>
          </w:tcPr>
          <w:p w:rsidR="00B429BB" w:rsidRPr="003005D5" w:rsidRDefault="00B429BB" w:rsidP="00EA4B8E">
            <w:pPr>
              <w:jc w:val="right"/>
              <w:rPr>
                <w:rFonts w:ascii="Times New Roman" w:hAnsi="Times New Roman" w:cs="Times New Roman"/>
                <w:sz w:val="28"/>
                <w:szCs w:val="28"/>
                <w:lang w:val="uk-UA"/>
              </w:rPr>
            </w:pPr>
            <w:r w:rsidRPr="003005D5">
              <w:rPr>
                <w:rFonts w:ascii="Times New Roman" w:hAnsi="Times New Roman" w:cs="Times New Roman"/>
                <w:sz w:val="28"/>
                <w:szCs w:val="28"/>
                <w:lang w:val="uk-UA"/>
              </w:rPr>
              <w:t>&lt;0,001</w:t>
            </w:r>
          </w:p>
        </w:tc>
      </w:tr>
      <w:tr w:rsidR="00570B69" w:rsidRPr="003005D5" w:rsidTr="00DF1EF6">
        <w:tc>
          <w:tcPr>
            <w:tcW w:w="2660" w:type="dxa"/>
          </w:tcPr>
          <w:p w:rsidR="00570B69" w:rsidRPr="003005D5" w:rsidRDefault="00570B69" w:rsidP="00EA4B8E">
            <w:pPr>
              <w:rPr>
                <w:rFonts w:ascii="Times New Roman" w:hAnsi="Times New Roman" w:cs="Times New Roman"/>
                <w:sz w:val="28"/>
                <w:szCs w:val="28"/>
                <w:lang w:val="uk-UA"/>
              </w:rPr>
            </w:pPr>
            <w:proofErr w:type="spellStart"/>
            <w:r w:rsidRPr="003005D5">
              <w:rPr>
                <w:rFonts w:ascii="Times New Roman" w:eastAsia="Times New Roman" w:hAnsi="Times New Roman" w:cs="Times New Roman"/>
                <w:color w:val="000000"/>
                <w:sz w:val="28"/>
                <w:szCs w:val="28"/>
                <w:lang w:eastAsia="ru-RU"/>
              </w:rPr>
              <w:t>IgM</w:t>
            </w:r>
            <w:proofErr w:type="spellEnd"/>
          </w:p>
        </w:tc>
        <w:tc>
          <w:tcPr>
            <w:tcW w:w="2835" w:type="dxa"/>
          </w:tcPr>
          <w:p w:rsidR="00570B69" w:rsidRPr="003005D5" w:rsidRDefault="00570B69" w:rsidP="00EA4B8E">
            <w:pPr>
              <w:jc w:val="right"/>
              <w:rPr>
                <w:rFonts w:ascii="Times New Roman" w:hAnsi="Times New Roman" w:cs="Times New Roman"/>
                <w:sz w:val="28"/>
                <w:szCs w:val="28"/>
                <w:lang w:val="uk-UA"/>
              </w:rPr>
            </w:pPr>
            <w:r w:rsidRPr="003005D5">
              <w:rPr>
                <w:rFonts w:ascii="Times New Roman" w:eastAsia="Times New Roman" w:hAnsi="Times New Roman" w:cs="Times New Roman"/>
                <w:color w:val="000000"/>
                <w:sz w:val="28"/>
                <w:szCs w:val="28"/>
                <w:lang w:val="uk-UA" w:eastAsia="ru-RU"/>
              </w:rPr>
              <w:t>172,47</w:t>
            </w:r>
            <w:r w:rsidRPr="003005D5">
              <w:rPr>
                <w:rFonts w:ascii="Times New Roman" w:hAnsi="Times New Roman" w:cs="Times New Roman"/>
                <w:sz w:val="28"/>
                <w:szCs w:val="28"/>
                <w:u w:val="single"/>
                <w:lang w:val="uk-UA"/>
              </w:rPr>
              <w:t>+</w:t>
            </w:r>
            <w:r w:rsidRPr="003005D5">
              <w:rPr>
                <w:rFonts w:ascii="Times New Roman" w:hAnsi="Times New Roman" w:cs="Times New Roman"/>
                <w:sz w:val="28"/>
                <w:szCs w:val="28"/>
                <w:lang w:val="uk-UA"/>
              </w:rPr>
              <w:t>31,2%</w:t>
            </w:r>
            <w:r w:rsidRPr="003005D5">
              <w:rPr>
                <w:rFonts w:ascii="Times New Roman" w:eastAsia="Times New Roman" w:hAnsi="Times New Roman" w:cs="Times New Roman"/>
                <w:color w:val="000000"/>
                <w:sz w:val="28"/>
                <w:szCs w:val="28"/>
                <w:lang w:val="uk-UA" w:eastAsia="ru-RU"/>
              </w:rPr>
              <w:t xml:space="preserve">   </w:t>
            </w:r>
          </w:p>
        </w:tc>
        <w:tc>
          <w:tcPr>
            <w:tcW w:w="2693" w:type="dxa"/>
          </w:tcPr>
          <w:p w:rsidR="00570B69" w:rsidRPr="003005D5" w:rsidRDefault="00570B69" w:rsidP="00EA4B8E">
            <w:pPr>
              <w:jc w:val="right"/>
              <w:rPr>
                <w:rFonts w:ascii="Times New Roman" w:hAnsi="Times New Roman" w:cs="Times New Roman"/>
                <w:sz w:val="28"/>
                <w:szCs w:val="28"/>
                <w:lang w:val="uk-UA"/>
              </w:rPr>
            </w:pPr>
            <w:r w:rsidRPr="003005D5">
              <w:rPr>
                <w:rFonts w:ascii="Times New Roman" w:eastAsia="Times New Roman" w:hAnsi="Times New Roman" w:cs="Times New Roman"/>
                <w:color w:val="000000"/>
                <w:sz w:val="28"/>
                <w:szCs w:val="28"/>
                <w:lang w:val="uk-UA" w:eastAsia="ru-RU"/>
              </w:rPr>
              <w:t>58,1</w:t>
            </w:r>
            <w:r w:rsidRPr="003005D5">
              <w:rPr>
                <w:rFonts w:ascii="Times New Roman" w:hAnsi="Times New Roman" w:cs="Times New Roman"/>
                <w:sz w:val="28"/>
                <w:szCs w:val="28"/>
                <w:u w:val="single"/>
                <w:lang w:val="uk-UA"/>
              </w:rPr>
              <w:t>+</w:t>
            </w:r>
            <w:r w:rsidRPr="003005D5">
              <w:rPr>
                <w:rFonts w:ascii="Times New Roman" w:hAnsi="Times New Roman" w:cs="Times New Roman"/>
                <w:sz w:val="28"/>
                <w:szCs w:val="28"/>
                <w:lang w:val="uk-UA"/>
              </w:rPr>
              <w:t>24,6%</w:t>
            </w:r>
            <w:r w:rsidRPr="003005D5">
              <w:rPr>
                <w:rFonts w:ascii="Times New Roman" w:eastAsia="Times New Roman" w:hAnsi="Times New Roman" w:cs="Times New Roman"/>
                <w:color w:val="000000"/>
                <w:sz w:val="28"/>
                <w:szCs w:val="28"/>
                <w:lang w:val="uk-UA" w:eastAsia="ru-RU"/>
              </w:rPr>
              <w:t xml:space="preserve">   </w:t>
            </w:r>
          </w:p>
        </w:tc>
        <w:tc>
          <w:tcPr>
            <w:tcW w:w="1383" w:type="dxa"/>
          </w:tcPr>
          <w:p w:rsidR="00570B69" w:rsidRPr="003005D5" w:rsidRDefault="00570B69" w:rsidP="00EA4B8E">
            <w:pPr>
              <w:jc w:val="right"/>
              <w:rPr>
                <w:rFonts w:ascii="Times New Roman" w:hAnsi="Times New Roman" w:cs="Times New Roman"/>
                <w:sz w:val="28"/>
                <w:szCs w:val="28"/>
                <w:lang w:val="uk-UA"/>
              </w:rPr>
            </w:pPr>
            <w:r w:rsidRPr="003005D5">
              <w:rPr>
                <w:rFonts w:ascii="Times New Roman" w:hAnsi="Times New Roman" w:cs="Times New Roman"/>
                <w:sz w:val="28"/>
                <w:szCs w:val="28"/>
                <w:lang w:val="uk-UA"/>
              </w:rPr>
              <w:t>&lt;0,001</w:t>
            </w:r>
          </w:p>
        </w:tc>
      </w:tr>
      <w:tr w:rsidR="00570B69" w:rsidRPr="003005D5" w:rsidTr="00DF1EF6">
        <w:tc>
          <w:tcPr>
            <w:tcW w:w="2660" w:type="dxa"/>
          </w:tcPr>
          <w:p w:rsidR="00570B69" w:rsidRPr="003005D5" w:rsidRDefault="00570B69" w:rsidP="00EA4B8E">
            <w:pPr>
              <w:rPr>
                <w:rFonts w:ascii="Times New Roman" w:hAnsi="Times New Roman" w:cs="Times New Roman"/>
                <w:sz w:val="28"/>
                <w:szCs w:val="28"/>
                <w:lang w:val="uk-UA"/>
              </w:rPr>
            </w:pPr>
            <w:proofErr w:type="spellStart"/>
            <w:r w:rsidRPr="003005D5">
              <w:rPr>
                <w:rFonts w:ascii="Times New Roman" w:eastAsia="Times New Roman" w:hAnsi="Times New Roman" w:cs="Times New Roman"/>
                <w:color w:val="000000"/>
                <w:sz w:val="28"/>
                <w:szCs w:val="28"/>
                <w:lang w:eastAsia="ru-RU"/>
              </w:rPr>
              <w:t>IgG</w:t>
            </w:r>
            <w:proofErr w:type="spellEnd"/>
          </w:p>
        </w:tc>
        <w:tc>
          <w:tcPr>
            <w:tcW w:w="2835" w:type="dxa"/>
          </w:tcPr>
          <w:p w:rsidR="00570B69" w:rsidRPr="003005D5" w:rsidRDefault="00570B69" w:rsidP="00EA4B8E">
            <w:pPr>
              <w:jc w:val="right"/>
              <w:rPr>
                <w:rFonts w:ascii="Times New Roman" w:hAnsi="Times New Roman" w:cs="Times New Roman"/>
                <w:sz w:val="28"/>
                <w:szCs w:val="28"/>
                <w:lang w:val="uk-UA"/>
              </w:rPr>
            </w:pPr>
            <w:r w:rsidRPr="003005D5">
              <w:rPr>
                <w:rFonts w:ascii="Times New Roman" w:eastAsia="Times New Roman" w:hAnsi="Times New Roman" w:cs="Times New Roman"/>
                <w:color w:val="000000"/>
                <w:sz w:val="28"/>
                <w:szCs w:val="28"/>
                <w:lang w:val="uk-UA" w:eastAsia="ru-RU"/>
              </w:rPr>
              <w:t>98,5</w:t>
            </w:r>
            <w:r w:rsidRPr="003005D5">
              <w:rPr>
                <w:rFonts w:ascii="Times New Roman" w:hAnsi="Times New Roman" w:cs="Times New Roman"/>
                <w:sz w:val="28"/>
                <w:szCs w:val="28"/>
                <w:u w:val="single"/>
                <w:lang w:val="uk-UA"/>
              </w:rPr>
              <w:t>+</w:t>
            </w:r>
            <w:r w:rsidRPr="003005D5">
              <w:rPr>
                <w:rFonts w:ascii="Times New Roman" w:hAnsi="Times New Roman" w:cs="Times New Roman"/>
                <w:sz w:val="28"/>
                <w:szCs w:val="28"/>
                <w:lang w:val="uk-UA"/>
              </w:rPr>
              <w:t>58,1%</w:t>
            </w:r>
            <w:r w:rsidRPr="003005D5">
              <w:rPr>
                <w:rFonts w:ascii="Times New Roman" w:eastAsia="Times New Roman" w:hAnsi="Times New Roman" w:cs="Times New Roman"/>
                <w:color w:val="000000"/>
                <w:sz w:val="28"/>
                <w:szCs w:val="28"/>
                <w:lang w:val="uk-UA" w:eastAsia="ru-RU"/>
              </w:rPr>
              <w:t xml:space="preserve">   </w:t>
            </w:r>
          </w:p>
        </w:tc>
        <w:tc>
          <w:tcPr>
            <w:tcW w:w="2693" w:type="dxa"/>
          </w:tcPr>
          <w:p w:rsidR="00570B69" w:rsidRPr="003005D5" w:rsidRDefault="00570B69" w:rsidP="00EA4B8E">
            <w:pPr>
              <w:jc w:val="right"/>
              <w:rPr>
                <w:rFonts w:ascii="Times New Roman" w:hAnsi="Times New Roman" w:cs="Times New Roman"/>
                <w:sz w:val="28"/>
                <w:szCs w:val="28"/>
                <w:lang w:val="uk-UA"/>
              </w:rPr>
            </w:pPr>
            <w:r w:rsidRPr="003005D5">
              <w:rPr>
                <w:rFonts w:ascii="Times New Roman" w:eastAsia="Times New Roman" w:hAnsi="Times New Roman" w:cs="Times New Roman"/>
                <w:color w:val="000000"/>
                <w:sz w:val="28"/>
                <w:szCs w:val="28"/>
                <w:lang w:val="uk-UA" w:eastAsia="ru-RU"/>
              </w:rPr>
              <w:t>106</w:t>
            </w:r>
            <w:r w:rsidRPr="003005D5">
              <w:rPr>
                <w:rFonts w:ascii="Times New Roman" w:hAnsi="Times New Roman" w:cs="Times New Roman"/>
                <w:sz w:val="28"/>
                <w:szCs w:val="28"/>
                <w:u w:val="single"/>
                <w:lang w:val="uk-UA"/>
              </w:rPr>
              <w:t>+</w:t>
            </w:r>
            <w:r w:rsidRPr="003005D5">
              <w:rPr>
                <w:rFonts w:ascii="Times New Roman" w:hAnsi="Times New Roman" w:cs="Times New Roman"/>
                <w:sz w:val="28"/>
                <w:szCs w:val="28"/>
                <w:lang w:val="uk-UA"/>
              </w:rPr>
              <w:t>42,4%</w:t>
            </w:r>
            <w:r w:rsidRPr="003005D5">
              <w:rPr>
                <w:rFonts w:ascii="Times New Roman" w:eastAsia="Times New Roman" w:hAnsi="Times New Roman" w:cs="Times New Roman"/>
                <w:color w:val="000000"/>
                <w:sz w:val="28"/>
                <w:szCs w:val="28"/>
                <w:lang w:val="uk-UA" w:eastAsia="ru-RU"/>
              </w:rPr>
              <w:t xml:space="preserve">   </w:t>
            </w:r>
          </w:p>
        </w:tc>
        <w:tc>
          <w:tcPr>
            <w:tcW w:w="1383" w:type="dxa"/>
          </w:tcPr>
          <w:p w:rsidR="00570B69" w:rsidRPr="003005D5" w:rsidRDefault="00570B69" w:rsidP="00EA4B8E">
            <w:pPr>
              <w:jc w:val="right"/>
              <w:rPr>
                <w:rFonts w:ascii="Times New Roman" w:hAnsi="Times New Roman" w:cs="Times New Roman"/>
                <w:sz w:val="28"/>
                <w:szCs w:val="28"/>
                <w:lang w:val="uk-UA"/>
              </w:rPr>
            </w:pPr>
            <w:r w:rsidRPr="003005D5">
              <w:rPr>
                <w:rFonts w:ascii="Times New Roman" w:hAnsi="Times New Roman" w:cs="Times New Roman"/>
                <w:sz w:val="28"/>
                <w:szCs w:val="28"/>
                <w:lang w:val="uk-UA"/>
              </w:rPr>
              <w:t>&gt;0,05</w:t>
            </w:r>
          </w:p>
        </w:tc>
      </w:tr>
    </w:tbl>
    <w:p w:rsidR="00DF1EF6" w:rsidRPr="003005D5" w:rsidRDefault="00B429BB" w:rsidP="00B429BB">
      <w:pPr>
        <w:pStyle w:val="a7"/>
        <w:numPr>
          <w:ilvl w:val="0"/>
          <w:numId w:val="2"/>
        </w:numPr>
        <w:spacing w:after="0" w:line="360" w:lineRule="auto"/>
        <w:jc w:val="right"/>
        <w:rPr>
          <w:rFonts w:ascii="Times New Roman" w:hAnsi="Times New Roman" w:cs="Times New Roman"/>
          <w:sz w:val="28"/>
          <w:szCs w:val="28"/>
          <w:lang w:val="uk-UA"/>
        </w:rPr>
      </w:pPr>
      <w:r w:rsidRPr="003005D5">
        <w:rPr>
          <w:rFonts w:ascii="Times New Roman" w:hAnsi="Times New Roman" w:cs="Times New Roman"/>
          <w:sz w:val="28"/>
          <w:szCs w:val="28"/>
          <w:lang w:val="uk-UA"/>
        </w:rPr>
        <w:t>Критерії значущі на рівні р&lt;0,05</w:t>
      </w:r>
    </w:p>
    <w:p w:rsidR="0005673B" w:rsidRPr="003005D5" w:rsidRDefault="00570B69" w:rsidP="005E416B">
      <w:pPr>
        <w:spacing w:after="0" w:line="360" w:lineRule="auto"/>
        <w:ind w:firstLine="708"/>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 xml:space="preserve">Відзначена достовірна активація клітин </w:t>
      </w:r>
      <w:proofErr w:type="spellStart"/>
      <w:r w:rsidRPr="003005D5">
        <w:rPr>
          <w:rFonts w:ascii="Times New Roman" w:hAnsi="Times New Roman" w:cs="Times New Roman"/>
          <w:sz w:val="28"/>
          <w:szCs w:val="28"/>
          <w:lang w:val="uk-UA"/>
        </w:rPr>
        <w:t>кіллерів</w:t>
      </w:r>
      <w:proofErr w:type="spellEnd"/>
      <w:r w:rsidRPr="003005D5">
        <w:rPr>
          <w:rFonts w:ascii="Times New Roman" w:hAnsi="Times New Roman" w:cs="Times New Roman"/>
          <w:sz w:val="28"/>
          <w:szCs w:val="28"/>
          <w:lang w:val="uk-UA"/>
        </w:rPr>
        <w:t xml:space="preserve"> (</w:t>
      </w:r>
      <w:r w:rsidRPr="003005D5">
        <w:rPr>
          <w:rFonts w:ascii="Times New Roman" w:eastAsia="Times New Roman" w:hAnsi="Times New Roman" w:cs="Times New Roman"/>
          <w:color w:val="000000"/>
          <w:sz w:val="28"/>
          <w:szCs w:val="28"/>
          <w:lang w:eastAsia="ru-RU"/>
        </w:rPr>
        <w:t>CD</w:t>
      </w:r>
      <w:r w:rsidRPr="003005D5">
        <w:rPr>
          <w:rFonts w:ascii="Times New Roman" w:eastAsia="Times New Roman" w:hAnsi="Times New Roman" w:cs="Times New Roman"/>
          <w:color w:val="000000"/>
          <w:sz w:val="28"/>
          <w:szCs w:val="28"/>
          <w:lang w:val="uk-UA" w:eastAsia="ru-RU"/>
        </w:rPr>
        <w:t xml:space="preserve">8, </w:t>
      </w:r>
      <w:r w:rsidRPr="003005D5">
        <w:rPr>
          <w:rFonts w:ascii="Times New Roman" w:eastAsia="Times New Roman" w:hAnsi="Times New Roman" w:cs="Times New Roman"/>
          <w:color w:val="000000"/>
          <w:sz w:val="28"/>
          <w:szCs w:val="28"/>
          <w:lang w:eastAsia="ru-RU"/>
        </w:rPr>
        <w:t>CD</w:t>
      </w:r>
      <w:r w:rsidRPr="003005D5">
        <w:rPr>
          <w:rFonts w:ascii="Times New Roman" w:eastAsia="Times New Roman" w:hAnsi="Times New Roman" w:cs="Times New Roman"/>
          <w:color w:val="000000"/>
          <w:sz w:val="28"/>
          <w:szCs w:val="28"/>
          <w:lang w:val="uk-UA" w:eastAsia="ru-RU"/>
        </w:rPr>
        <w:t xml:space="preserve">16) на тлі ремісії бронхолегеневої дисплазії, що може розцінюватися як підвищення реактивність </w:t>
      </w:r>
      <w:proofErr w:type="spellStart"/>
      <w:r w:rsidRPr="003005D5">
        <w:rPr>
          <w:rFonts w:ascii="Times New Roman" w:eastAsia="Times New Roman" w:hAnsi="Times New Roman" w:cs="Times New Roman"/>
          <w:color w:val="000000"/>
          <w:sz w:val="28"/>
          <w:szCs w:val="28"/>
          <w:lang w:val="uk-UA" w:eastAsia="ru-RU"/>
        </w:rPr>
        <w:t>протиклітинного</w:t>
      </w:r>
      <w:proofErr w:type="spellEnd"/>
      <w:r w:rsidRPr="003005D5">
        <w:rPr>
          <w:rFonts w:ascii="Times New Roman" w:eastAsia="Times New Roman" w:hAnsi="Times New Roman" w:cs="Times New Roman"/>
          <w:color w:val="000000"/>
          <w:sz w:val="28"/>
          <w:szCs w:val="28"/>
          <w:lang w:val="uk-UA" w:eastAsia="ru-RU"/>
        </w:rPr>
        <w:t xml:space="preserve"> імунітету. Таки зміни можуть бути обумовлені як </w:t>
      </w:r>
      <w:proofErr w:type="spellStart"/>
      <w:r w:rsidRPr="003005D5">
        <w:rPr>
          <w:rFonts w:ascii="Times New Roman" w:eastAsia="Times New Roman" w:hAnsi="Times New Roman" w:cs="Times New Roman"/>
          <w:color w:val="000000"/>
          <w:sz w:val="28"/>
          <w:szCs w:val="28"/>
          <w:lang w:val="uk-UA" w:eastAsia="ru-RU"/>
        </w:rPr>
        <w:t>персістенцією</w:t>
      </w:r>
      <w:proofErr w:type="spellEnd"/>
      <w:r w:rsidRPr="003005D5">
        <w:rPr>
          <w:rFonts w:ascii="Times New Roman" w:eastAsia="Times New Roman" w:hAnsi="Times New Roman" w:cs="Times New Roman"/>
          <w:color w:val="000000"/>
          <w:sz w:val="28"/>
          <w:szCs w:val="28"/>
          <w:lang w:val="uk-UA" w:eastAsia="ru-RU"/>
        </w:rPr>
        <w:t xml:space="preserve"> вірусів, так і активацією </w:t>
      </w:r>
      <w:proofErr w:type="spellStart"/>
      <w:r w:rsidRPr="003005D5">
        <w:rPr>
          <w:rFonts w:ascii="Times New Roman" w:eastAsia="Times New Roman" w:hAnsi="Times New Roman" w:cs="Times New Roman"/>
          <w:color w:val="000000"/>
          <w:sz w:val="28"/>
          <w:szCs w:val="28"/>
          <w:lang w:val="uk-UA" w:eastAsia="ru-RU"/>
        </w:rPr>
        <w:t>цитотоксичністі</w:t>
      </w:r>
      <w:proofErr w:type="spellEnd"/>
      <w:r w:rsidRPr="003005D5">
        <w:rPr>
          <w:rFonts w:ascii="Times New Roman" w:eastAsia="Times New Roman" w:hAnsi="Times New Roman" w:cs="Times New Roman"/>
          <w:color w:val="000000"/>
          <w:sz w:val="28"/>
          <w:szCs w:val="28"/>
          <w:lang w:val="uk-UA" w:eastAsia="ru-RU"/>
        </w:rPr>
        <w:t xml:space="preserve"> у зв’язку з особливостями експресії </w:t>
      </w:r>
      <w:r w:rsidRPr="003005D5">
        <w:rPr>
          <w:rFonts w:ascii="Times New Roman" w:eastAsia="Times New Roman" w:hAnsi="Times New Roman" w:cs="Times New Roman"/>
          <w:color w:val="000000"/>
          <w:sz w:val="28"/>
          <w:szCs w:val="28"/>
          <w:lang w:val="en-US" w:eastAsia="ru-RU"/>
        </w:rPr>
        <w:t>HLA</w:t>
      </w:r>
      <w:r w:rsidRPr="003005D5">
        <w:rPr>
          <w:rFonts w:ascii="Times New Roman" w:eastAsia="Times New Roman" w:hAnsi="Times New Roman" w:cs="Times New Roman"/>
          <w:color w:val="000000"/>
          <w:sz w:val="28"/>
          <w:szCs w:val="28"/>
          <w:lang w:val="uk-UA" w:eastAsia="ru-RU"/>
        </w:rPr>
        <w:t xml:space="preserve"> на мембрані фагоцитів та епітеліальних клітин бронхів. Таким чином у періоді ремісії захворювання у дітей з БЛД зберігається активація клітинної ланки імунітету, що свідчить про </w:t>
      </w:r>
      <w:r w:rsidR="00AB242A" w:rsidRPr="003005D5">
        <w:rPr>
          <w:rFonts w:ascii="Times New Roman" w:eastAsia="Times New Roman" w:hAnsi="Times New Roman" w:cs="Times New Roman"/>
          <w:color w:val="000000"/>
          <w:sz w:val="28"/>
          <w:szCs w:val="28"/>
          <w:lang w:val="uk-UA" w:eastAsia="ru-RU"/>
        </w:rPr>
        <w:t xml:space="preserve">тривалу </w:t>
      </w:r>
      <w:r w:rsidRPr="003005D5">
        <w:rPr>
          <w:rFonts w:ascii="Times New Roman" w:eastAsia="Times New Roman" w:hAnsi="Times New Roman" w:cs="Times New Roman"/>
          <w:color w:val="000000"/>
          <w:sz w:val="28"/>
          <w:szCs w:val="28"/>
          <w:lang w:val="uk-UA" w:eastAsia="ru-RU"/>
        </w:rPr>
        <w:t xml:space="preserve"> </w:t>
      </w:r>
      <w:r w:rsidR="00AB242A" w:rsidRPr="003005D5">
        <w:rPr>
          <w:rFonts w:ascii="Times New Roman" w:eastAsia="Times New Roman" w:hAnsi="Times New Roman" w:cs="Times New Roman"/>
          <w:color w:val="000000"/>
          <w:sz w:val="28"/>
          <w:szCs w:val="28"/>
          <w:lang w:val="uk-UA" w:eastAsia="ru-RU"/>
        </w:rPr>
        <w:t xml:space="preserve">цитотоксичну активність.  </w:t>
      </w:r>
    </w:p>
    <w:p w:rsidR="0005673B" w:rsidRPr="003005D5" w:rsidRDefault="00AB242A" w:rsidP="005E416B">
      <w:pPr>
        <w:spacing w:after="0" w:line="360" w:lineRule="auto"/>
        <w:ind w:firstLine="708"/>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 xml:space="preserve">Достовірно був підвищений рівень імуноглобулінів гострої фази та </w:t>
      </w:r>
      <w:proofErr w:type="spellStart"/>
      <w:r w:rsidRPr="003005D5">
        <w:rPr>
          <w:rFonts w:ascii="Times New Roman" w:eastAsia="Times New Roman" w:hAnsi="Times New Roman" w:cs="Times New Roman"/>
          <w:color w:val="000000"/>
          <w:sz w:val="28"/>
          <w:szCs w:val="28"/>
          <w:lang w:eastAsia="ru-RU"/>
        </w:rPr>
        <w:t>IgA</w:t>
      </w:r>
      <w:proofErr w:type="spellEnd"/>
      <w:r w:rsidRPr="003005D5">
        <w:rPr>
          <w:rFonts w:ascii="Times New Roman" w:eastAsia="Times New Roman" w:hAnsi="Times New Roman" w:cs="Times New Roman"/>
          <w:color w:val="000000"/>
          <w:sz w:val="28"/>
          <w:szCs w:val="28"/>
          <w:lang w:val="uk-UA" w:eastAsia="ru-RU"/>
        </w:rPr>
        <w:t xml:space="preserve">. Дані зміни підтверджують теорію  мляво </w:t>
      </w:r>
      <w:proofErr w:type="spellStart"/>
      <w:r w:rsidRPr="003005D5">
        <w:rPr>
          <w:rFonts w:ascii="Times New Roman" w:eastAsia="Times New Roman" w:hAnsi="Times New Roman" w:cs="Times New Roman"/>
          <w:color w:val="000000"/>
          <w:sz w:val="28"/>
          <w:szCs w:val="28"/>
          <w:lang w:val="uk-UA" w:eastAsia="ru-RU"/>
        </w:rPr>
        <w:t>перебігаючого</w:t>
      </w:r>
      <w:proofErr w:type="spellEnd"/>
      <w:r w:rsidRPr="003005D5">
        <w:rPr>
          <w:rFonts w:ascii="Times New Roman" w:eastAsia="Times New Roman" w:hAnsi="Times New Roman" w:cs="Times New Roman"/>
          <w:color w:val="000000"/>
          <w:sz w:val="28"/>
          <w:szCs w:val="28"/>
          <w:lang w:val="uk-UA" w:eastAsia="ru-RU"/>
        </w:rPr>
        <w:t xml:space="preserve"> запалення на слизових оболонках бронхів. Високий (в 1,7 рази) рівень </w:t>
      </w:r>
      <w:proofErr w:type="spellStart"/>
      <w:r w:rsidRPr="003005D5">
        <w:rPr>
          <w:rFonts w:ascii="Times New Roman" w:eastAsia="Times New Roman" w:hAnsi="Times New Roman" w:cs="Times New Roman"/>
          <w:color w:val="000000"/>
          <w:sz w:val="28"/>
          <w:szCs w:val="28"/>
          <w:lang w:eastAsia="ru-RU"/>
        </w:rPr>
        <w:t>IgM</w:t>
      </w:r>
      <w:proofErr w:type="spellEnd"/>
      <w:r w:rsidRPr="003005D5">
        <w:rPr>
          <w:rFonts w:ascii="Times New Roman" w:eastAsia="Times New Roman" w:hAnsi="Times New Roman" w:cs="Times New Roman"/>
          <w:color w:val="000000"/>
          <w:sz w:val="28"/>
          <w:szCs w:val="28"/>
          <w:lang w:val="uk-UA" w:eastAsia="ru-RU"/>
        </w:rPr>
        <w:t xml:space="preserve"> обумовлює необхідність проведення ретельного дослідження дітей з БЛД на </w:t>
      </w:r>
      <w:proofErr w:type="spellStart"/>
      <w:r w:rsidRPr="003005D5">
        <w:rPr>
          <w:rFonts w:ascii="Times New Roman" w:eastAsia="Times New Roman" w:hAnsi="Times New Roman" w:cs="Times New Roman"/>
          <w:color w:val="000000"/>
          <w:sz w:val="28"/>
          <w:szCs w:val="28"/>
          <w:lang w:val="uk-UA" w:eastAsia="ru-RU"/>
        </w:rPr>
        <w:t>персистенцію</w:t>
      </w:r>
      <w:proofErr w:type="spellEnd"/>
      <w:r w:rsidRPr="003005D5">
        <w:rPr>
          <w:rFonts w:ascii="Times New Roman" w:eastAsia="Times New Roman" w:hAnsi="Times New Roman" w:cs="Times New Roman"/>
          <w:color w:val="000000"/>
          <w:sz w:val="28"/>
          <w:szCs w:val="28"/>
          <w:lang w:val="uk-UA" w:eastAsia="ru-RU"/>
        </w:rPr>
        <w:t xml:space="preserve"> </w:t>
      </w:r>
      <w:proofErr w:type="spellStart"/>
      <w:r w:rsidRPr="003005D5">
        <w:rPr>
          <w:rFonts w:ascii="Times New Roman" w:eastAsia="Times New Roman" w:hAnsi="Times New Roman" w:cs="Times New Roman"/>
          <w:color w:val="000000"/>
          <w:sz w:val="28"/>
          <w:szCs w:val="28"/>
          <w:lang w:val="uk-UA" w:eastAsia="ru-RU"/>
        </w:rPr>
        <w:t>інфектів</w:t>
      </w:r>
      <w:proofErr w:type="spellEnd"/>
      <w:r w:rsidRPr="003005D5">
        <w:rPr>
          <w:rFonts w:ascii="Times New Roman" w:eastAsia="Times New Roman" w:hAnsi="Times New Roman" w:cs="Times New Roman"/>
          <w:color w:val="000000"/>
          <w:sz w:val="28"/>
          <w:szCs w:val="28"/>
          <w:lang w:val="uk-UA" w:eastAsia="ru-RU"/>
        </w:rPr>
        <w:t xml:space="preserve"> навіть у ремісію захворювання. </w:t>
      </w:r>
    </w:p>
    <w:p w:rsidR="005E416B" w:rsidRPr="003005D5" w:rsidRDefault="0065762B" w:rsidP="005E416B">
      <w:pPr>
        <w:spacing w:after="0" w:line="360" w:lineRule="auto"/>
        <w:ind w:firstLine="708"/>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 xml:space="preserve">На тлі ГРІ визначалося  достовірне пригнічення рівня лімфоцитів (р&lt;0,025), </w:t>
      </w:r>
      <w:r w:rsidR="005E416B" w:rsidRPr="003005D5">
        <w:rPr>
          <w:rFonts w:ascii="Times New Roman" w:hAnsi="Times New Roman" w:cs="Times New Roman"/>
          <w:sz w:val="28"/>
          <w:szCs w:val="28"/>
          <w:lang w:val="uk-UA"/>
        </w:rPr>
        <w:t>(рис.</w:t>
      </w:r>
      <w:r w:rsidR="00936D97" w:rsidRPr="003005D5">
        <w:rPr>
          <w:rFonts w:ascii="Times New Roman" w:hAnsi="Times New Roman" w:cs="Times New Roman"/>
          <w:sz w:val="28"/>
          <w:szCs w:val="28"/>
          <w:lang w:val="uk-UA"/>
        </w:rPr>
        <w:t>1.</w:t>
      </w:r>
      <w:r w:rsidR="005E416B" w:rsidRPr="003005D5">
        <w:rPr>
          <w:rFonts w:ascii="Times New Roman" w:hAnsi="Times New Roman" w:cs="Times New Roman"/>
          <w:sz w:val="28"/>
          <w:szCs w:val="28"/>
          <w:lang w:val="uk-UA"/>
        </w:rPr>
        <w:t>)</w:t>
      </w:r>
      <w:r w:rsidR="00424841" w:rsidRPr="003005D5">
        <w:rPr>
          <w:rFonts w:ascii="Times New Roman" w:hAnsi="Times New Roman" w:cs="Times New Roman"/>
          <w:sz w:val="28"/>
          <w:szCs w:val="28"/>
          <w:lang w:val="uk-UA"/>
        </w:rPr>
        <w:t xml:space="preserve">. </w:t>
      </w:r>
    </w:p>
    <w:p w:rsidR="0065762B" w:rsidRPr="003005D5" w:rsidRDefault="00BC64BC" w:rsidP="00EA4B8E">
      <w:pPr>
        <w:spacing w:after="0" w:line="240" w:lineRule="auto"/>
        <w:jc w:val="both"/>
        <w:rPr>
          <w:rFonts w:ascii="Times New Roman" w:hAnsi="Times New Roman" w:cs="Times New Roman"/>
          <w:sz w:val="28"/>
          <w:szCs w:val="28"/>
          <w:lang w:val="uk-UA"/>
        </w:rPr>
      </w:pPr>
      <w:r w:rsidRPr="003005D5">
        <w:rPr>
          <w:rFonts w:ascii="Times New Roman" w:hAnsi="Times New Roman" w:cs="Times New Roman"/>
          <w:noProof/>
          <w:sz w:val="28"/>
          <w:szCs w:val="28"/>
          <w:lang w:eastAsia="ru-RU"/>
        </w:rPr>
        <w:lastRenderedPageBreak/>
        <w:drawing>
          <wp:inline distT="0" distB="0" distL="0" distR="0">
            <wp:extent cx="5943600" cy="40005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5762B" w:rsidRPr="00EA4B8E" w:rsidRDefault="005E416B" w:rsidP="00EA4B8E">
      <w:pPr>
        <w:spacing w:after="0" w:line="240" w:lineRule="auto"/>
        <w:jc w:val="right"/>
        <w:rPr>
          <w:rFonts w:ascii="Times New Roman" w:hAnsi="Times New Roman" w:cs="Times New Roman"/>
          <w:sz w:val="28"/>
          <w:szCs w:val="28"/>
          <w:lang w:val="uk-UA"/>
        </w:rPr>
      </w:pPr>
      <w:r w:rsidRPr="00EA4B8E">
        <w:rPr>
          <w:rFonts w:ascii="Times New Roman" w:hAnsi="Times New Roman" w:cs="Times New Roman"/>
          <w:sz w:val="28"/>
          <w:szCs w:val="28"/>
          <w:lang w:val="uk-UA"/>
        </w:rPr>
        <w:t>Рис</w:t>
      </w:r>
      <w:r w:rsidR="00936D97" w:rsidRPr="00EA4B8E">
        <w:rPr>
          <w:rFonts w:ascii="Times New Roman" w:hAnsi="Times New Roman" w:cs="Times New Roman"/>
          <w:sz w:val="28"/>
          <w:szCs w:val="28"/>
          <w:lang w:val="uk-UA"/>
        </w:rPr>
        <w:t>.1.</w:t>
      </w:r>
      <w:r w:rsidRPr="00EA4B8E">
        <w:rPr>
          <w:rFonts w:ascii="Times New Roman" w:hAnsi="Times New Roman" w:cs="Times New Roman"/>
          <w:sz w:val="28"/>
          <w:szCs w:val="28"/>
          <w:lang w:val="uk-UA"/>
        </w:rPr>
        <w:t xml:space="preserve"> </w:t>
      </w:r>
      <w:r w:rsidR="002548B2" w:rsidRPr="00EA4B8E">
        <w:rPr>
          <w:rFonts w:ascii="Times New Roman" w:hAnsi="Times New Roman" w:cs="Times New Roman"/>
          <w:sz w:val="28"/>
          <w:szCs w:val="28"/>
          <w:lang w:val="uk-UA"/>
        </w:rPr>
        <w:t xml:space="preserve">Діаграма </w:t>
      </w:r>
      <w:r w:rsidR="00936D97" w:rsidRPr="00EA4B8E">
        <w:rPr>
          <w:rFonts w:ascii="Times New Roman" w:hAnsi="Times New Roman" w:cs="Times New Roman"/>
          <w:sz w:val="28"/>
          <w:szCs w:val="28"/>
          <w:lang w:val="uk-UA"/>
        </w:rPr>
        <w:t>р</w:t>
      </w:r>
      <w:r w:rsidRPr="00EA4B8E">
        <w:rPr>
          <w:rFonts w:ascii="Times New Roman" w:hAnsi="Times New Roman" w:cs="Times New Roman"/>
          <w:sz w:val="28"/>
          <w:szCs w:val="28"/>
          <w:lang w:val="uk-UA"/>
        </w:rPr>
        <w:t>озподіл</w:t>
      </w:r>
      <w:r w:rsidR="00936D97" w:rsidRPr="00EA4B8E">
        <w:rPr>
          <w:rFonts w:ascii="Times New Roman" w:hAnsi="Times New Roman" w:cs="Times New Roman"/>
          <w:sz w:val="28"/>
          <w:szCs w:val="28"/>
          <w:lang w:val="uk-UA"/>
        </w:rPr>
        <w:t>у</w:t>
      </w:r>
      <w:r w:rsidRPr="00EA4B8E">
        <w:rPr>
          <w:rFonts w:ascii="Times New Roman" w:hAnsi="Times New Roman" w:cs="Times New Roman"/>
          <w:sz w:val="28"/>
          <w:szCs w:val="28"/>
          <w:lang w:val="uk-UA"/>
        </w:rPr>
        <w:t xml:space="preserve"> показників клітинного</w:t>
      </w:r>
      <w:r w:rsidR="003A396C" w:rsidRPr="00EA4B8E">
        <w:rPr>
          <w:rFonts w:ascii="Times New Roman" w:hAnsi="Times New Roman" w:cs="Times New Roman"/>
          <w:sz w:val="28"/>
          <w:szCs w:val="28"/>
          <w:lang w:val="uk-UA"/>
        </w:rPr>
        <w:t xml:space="preserve"> та гуморально</w:t>
      </w:r>
      <w:r w:rsidR="000E2E01" w:rsidRPr="00EA4B8E">
        <w:rPr>
          <w:rFonts w:ascii="Times New Roman" w:hAnsi="Times New Roman" w:cs="Times New Roman"/>
          <w:sz w:val="28"/>
          <w:szCs w:val="28"/>
          <w:lang w:val="uk-UA"/>
        </w:rPr>
        <w:t>го</w:t>
      </w:r>
      <w:r w:rsidR="003A396C" w:rsidRPr="00EA4B8E">
        <w:rPr>
          <w:rFonts w:ascii="Times New Roman" w:hAnsi="Times New Roman" w:cs="Times New Roman"/>
          <w:sz w:val="28"/>
          <w:szCs w:val="28"/>
          <w:lang w:val="uk-UA"/>
        </w:rPr>
        <w:t xml:space="preserve"> </w:t>
      </w:r>
      <w:r w:rsidRPr="00EA4B8E">
        <w:rPr>
          <w:rFonts w:ascii="Times New Roman" w:hAnsi="Times New Roman" w:cs="Times New Roman"/>
          <w:sz w:val="28"/>
          <w:szCs w:val="28"/>
          <w:lang w:val="uk-UA"/>
        </w:rPr>
        <w:t xml:space="preserve"> імунітету </w:t>
      </w:r>
      <w:r w:rsidR="00E77123" w:rsidRPr="00EA4B8E">
        <w:rPr>
          <w:rFonts w:ascii="Times New Roman" w:hAnsi="Times New Roman" w:cs="Times New Roman"/>
          <w:sz w:val="28"/>
          <w:szCs w:val="28"/>
          <w:lang w:val="uk-UA"/>
        </w:rPr>
        <w:t>у</w:t>
      </w:r>
      <w:r w:rsidR="00E86BBF" w:rsidRPr="00EA4B8E">
        <w:rPr>
          <w:rFonts w:ascii="Times New Roman" w:hAnsi="Times New Roman" w:cs="Times New Roman"/>
          <w:sz w:val="28"/>
          <w:szCs w:val="28"/>
          <w:lang w:val="uk-UA"/>
        </w:rPr>
        <w:t xml:space="preserve"> обстежених </w:t>
      </w:r>
      <w:r w:rsidR="00E77123" w:rsidRPr="00EA4B8E">
        <w:rPr>
          <w:rFonts w:ascii="Times New Roman" w:hAnsi="Times New Roman" w:cs="Times New Roman"/>
          <w:sz w:val="28"/>
          <w:szCs w:val="28"/>
          <w:lang w:val="uk-UA"/>
        </w:rPr>
        <w:t xml:space="preserve"> дітей </w:t>
      </w:r>
      <w:r w:rsidR="00E86BBF" w:rsidRPr="00EA4B8E">
        <w:rPr>
          <w:rFonts w:ascii="Times New Roman" w:hAnsi="Times New Roman" w:cs="Times New Roman"/>
          <w:sz w:val="28"/>
          <w:szCs w:val="28"/>
          <w:lang w:val="uk-UA"/>
        </w:rPr>
        <w:t xml:space="preserve">основної групи та групи порівняння </w:t>
      </w:r>
      <w:r w:rsidRPr="00EA4B8E">
        <w:rPr>
          <w:rFonts w:ascii="Times New Roman" w:hAnsi="Times New Roman" w:cs="Times New Roman"/>
          <w:sz w:val="28"/>
          <w:szCs w:val="28"/>
          <w:lang w:val="uk-UA"/>
        </w:rPr>
        <w:t xml:space="preserve"> на тлі ГРІ.</w:t>
      </w:r>
    </w:p>
    <w:p w:rsidR="00EA4B8E" w:rsidRDefault="00EA4B8E" w:rsidP="003005D5">
      <w:pPr>
        <w:spacing w:after="0" w:line="360" w:lineRule="auto"/>
        <w:ind w:firstLine="708"/>
        <w:jc w:val="both"/>
        <w:rPr>
          <w:rFonts w:ascii="Times New Roman" w:hAnsi="Times New Roman" w:cs="Times New Roman"/>
          <w:sz w:val="28"/>
          <w:szCs w:val="28"/>
          <w:lang w:val="uk-UA"/>
        </w:rPr>
      </w:pPr>
    </w:p>
    <w:p w:rsidR="003005D5" w:rsidRPr="003005D5" w:rsidRDefault="003005D5" w:rsidP="003005D5">
      <w:pPr>
        <w:spacing w:after="0" w:line="360" w:lineRule="auto"/>
        <w:ind w:firstLine="708"/>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 xml:space="preserve">Зберігалась активація Т-лімфоцитів </w:t>
      </w:r>
      <w:proofErr w:type="spellStart"/>
      <w:r w:rsidRPr="003005D5">
        <w:rPr>
          <w:rFonts w:ascii="Times New Roman" w:hAnsi="Times New Roman" w:cs="Times New Roman"/>
          <w:sz w:val="28"/>
          <w:szCs w:val="28"/>
          <w:lang w:val="uk-UA"/>
        </w:rPr>
        <w:t>кіллерів</w:t>
      </w:r>
      <w:proofErr w:type="spellEnd"/>
      <w:r w:rsidRPr="003005D5">
        <w:rPr>
          <w:rFonts w:ascii="Times New Roman" w:hAnsi="Times New Roman" w:cs="Times New Roman"/>
          <w:sz w:val="28"/>
          <w:szCs w:val="28"/>
          <w:lang w:val="uk-UA"/>
        </w:rPr>
        <w:t xml:space="preserve"> та NK-клітин. Виявлена закономірна імунна відповідь щодо вірусної інфекції у дітей з БЛД, за рахунок активації цитотоксичних лімфоцитів та імуноглобулінів гострої фази. На нашу думку зменшення рівня абсолютної кількості лімфоцитів на тлі ГРІ свідчить про пригнічення клітинного імунітету як самими вірусами, так і на тлі хронічного запалення.  Даний феномен може розглядатися як один із маркерів недостатності компонентів придбаного імунітету що може обумовлювати недостатню елімінацію збудників.  </w:t>
      </w:r>
    </w:p>
    <w:p w:rsidR="00936D97" w:rsidRPr="003005D5" w:rsidRDefault="008374FF" w:rsidP="00E82398">
      <w:pPr>
        <w:tabs>
          <w:tab w:val="left" w:pos="0"/>
        </w:tabs>
        <w:spacing w:after="0" w:line="360" w:lineRule="auto"/>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 xml:space="preserve">Показники фагоцитозу, а саме фагоцитарний індекс, фагоцитарне </w:t>
      </w:r>
      <w:r w:rsidR="00E82398" w:rsidRPr="003005D5">
        <w:rPr>
          <w:rFonts w:ascii="Times New Roman" w:hAnsi="Times New Roman" w:cs="Times New Roman"/>
          <w:sz w:val="28"/>
          <w:szCs w:val="28"/>
          <w:lang w:val="uk-UA"/>
        </w:rPr>
        <w:t>число і</w:t>
      </w:r>
      <w:r w:rsidRPr="003005D5">
        <w:rPr>
          <w:rFonts w:ascii="Times New Roman" w:hAnsi="Times New Roman" w:cs="Times New Roman"/>
          <w:sz w:val="28"/>
          <w:szCs w:val="28"/>
          <w:lang w:val="uk-UA"/>
        </w:rPr>
        <w:t xml:space="preserve"> </w:t>
      </w:r>
      <w:r w:rsidR="00E82398" w:rsidRPr="003005D5">
        <w:rPr>
          <w:rFonts w:ascii="Times New Roman" w:hAnsi="Times New Roman" w:cs="Times New Roman"/>
          <w:sz w:val="28"/>
          <w:szCs w:val="28"/>
          <w:lang w:val="uk-UA"/>
        </w:rPr>
        <w:t xml:space="preserve">спонтанний та індукований </w:t>
      </w:r>
      <w:r w:rsidRPr="003005D5">
        <w:rPr>
          <w:rFonts w:ascii="Times New Roman" w:hAnsi="Times New Roman" w:cs="Times New Roman"/>
          <w:sz w:val="28"/>
          <w:szCs w:val="28"/>
          <w:lang w:val="uk-UA"/>
        </w:rPr>
        <w:t>НСТ – тест</w:t>
      </w:r>
      <w:r w:rsidR="00E82398" w:rsidRPr="003005D5">
        <w:rPr>
          <w:rFonts w:ascii="Times New Roman" w:hAnsi="Times New Roman" w:cs="Times New Roman"/>
          <w:sz w:val="28"/>
          <w:szCs w:val="28"/>
          <w:lang w:val="uk-UA"/>
        </w:rPr>
        <w:t xml:space="preserve"> були підвищеними, як у основній групі </w:t>
      </w:r>
      <w:r w:rsidRPr="003005D5">
        <w:rPr>
          <w:rFonts w:ascii="Times New Roman" w:hAnsi="Times New Roman" w:cs="Times New Roman"/>
          <w:sz w:val="28"/>
          <w:szCs w:val="28"/>
          <w:lang w:val="uk-UA"/>
        </w:rPr>
        <w:t xml:space="preserve"> </w:t>
      </w:r>
      <w:r w:rsidR="00E82398" w:rsidRPr="003005D5">
        <w:rPr>
          <w:rFonts w:ascii="Times New Roman" w:hAnsi="Times New Roman" w:cs="Times New Roman"/>
          <w:sz w:val="28"/>
          <w:szCs w:val="28"/>
          <w:lang w:val="uk-UA"/>
        </w:rPr>
        <w:t>так і у групі порівняння</w:t>
      </w:r>
      <w:r w:rsidR="00936D97" w:rsidRPr="003005D5">
        <w:rPr>
          <w:rFonts w:ascii="Times New Roman" w:hAnsi="Times New Roman" w:cs="Times New Roman"/>
          <w:sz w:val="28"/>
          <w:szCs w:val="28"/>
          <w:lang w:val="uk-UA"/>
        </w:rPr>
        <w:t xml:space="preserve"> (рис. 2.)</w:t>
      </w:r>
      <w:r w:rsidR="00E82398" w:rsidRPr="003005D5">
        <w:rPr>
          <w:rFonts w:ascii="Times New Roman" w:hAnsi="Times New Roman" w:cs="Times New Roman"/>
          <w:sz w:val="28"/>
          <w:szCs w:val="28"/>
          <w:lang w:val="uk-UA"/>
        </w:rPr>
        <w:t>.</w:t>
      </w:r>
    </w:p>
    <w:p w:rsidR="00F4139A" w:rsidRPr="003005D5" w:rsidRDefault="00F4139A" w:rsidP="00EA6D1F">
      <w:pPr>
        <w:tabs>
          <w:tab w:val="left" w:pos="0"/>
        </w:tabs>
        <w:spacing w:after="0" w:line="240" w:lineRule="auto"/>
        <w:jc w:val="both"/>
        <w:rPr>
          <w:rFonts w:ascii="Times New Roman" w:hAnsi="Times New Roman" w:cs="Times New Roman"/>
          <w:i/>
          <w:sz w:val="28"/>
          <w:szCs w:val="28"/>
          <w:lang w:val="uk-UA"/>
        </w:rPr>
      </w:pPr>
      <w:r w:rsidRPr="003005D5">
        <w:rPr>
          <w:rFonts w:ascii="Times New Roman" w:hAnsi="Times New Roman" w:cs="Times New Roman"/>
          <w:i/>
          <w:noProof/>
          <w:sz w:val="28"/>
          <w:szCs w:val="28"/>
          <w:lang w:eastAsia="ru-RU"/>
        </w:rPr>
        <w:lastRenderedPageBreak/>
        <w:drawing>
          <wp:inline distT="0" distB="0" distL="0" distR="0">
            <wp:extent cx="5905500" cy="349567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374FF" w:rsidRPr="003005D5" w:rsidRDefault="00936D97" w:rsidP="00EA4B8E">
      <w:pPr>
        <w:spacing w:after="0" w:line="240" w:lineRule="auto"/>
        <w:jc w:val="right"/>
        <w:rPr>
          <w:rFonts w:ascii="Times New Roman" w:hAnsi="Times New Roman" w:cs="Times New Roman"/>
          <w:b/>
          <w:sz w:val="28"/>
          <w:szCs w:val="28"/>
          <w:lang w:val="uk-UA"/>
        </w:rPr>
      </w:pPr>
      <w:r w:rsidRPr="003005D5">
        <w:rPr>
          <w:rFonts w:ascii="Times New Roman" w:hAnsi="Times New Roman" w:cs="Times New Roman"/>
          <w:b/>
          <w:sz w:val="28"/>
          <w:szCs w:val="28"/>
          <w:lang w:val="uk-UA"/>
        </w:rPr>
        <w:t>Рис 2</w:t>
      </w:r>
      <w:r w:rsidR="008374FF" w:rsidRPr="003005D5">
        <w:rPr>
          <w:rFonts w:ascii="Times New Roman" w:hAnsi="Times New Roman" w:cs="Times New Roman"/>
          <w:b/>
          <w:sz w:val="28"/>
          <w:szCs w:val="28"/>
          <w:lang w:val="uk-UA"/>
        </w:rPr>
        <w:t xml:space="preserve">. </w:t>
      </w:r>
      <w:r w:rsidRPr="003005D5">
        <w:rPr>
          <w:rFonts w:ascii="Times New Roman" w:hAnsi="Times New Roman" w:cs="Times New Roman"/>
          <w:b/>
          <w:sz w:val="28"/>
          <w:szCs w:val="28"/>
          <w:lang w:val="uk-UA"/>
        </w:rPr>
        <w:t xml:space="preserve">Діаграма розподілу показників </w:t>
      </w:r>
      <w:r w:rsidR="00E82398" w:rsidRPr="003005D5">
        <w:rPr>
          <w:rFonts w:ascii="Times New Roman" w:hAnsi="Times New Roman" w:cs="Times New Roman"/>
          <w:b/>
          <w:sz w:val="28"/>
          <w:szCs w:val="28"/>
          <w:lang w:val="uk-UA"/>
        </w:rPr>
        <w:t>фагоцитозу</w:t>
      </w:r>
      <w:r w:rsidR="008374FF" w:rsidRPr="003005D5">
        <w:rPr>
          <w:rFonts w:ascii="Times New Roman" w:hAnsi="Times New Roman" w:cs="Times New Roman"/>
          <w:b/>
          <w:sz w:val="28"/>
          <w:szCs w:val="28"/>
          <w:lang w:val="uk-UA"/>
        </w:rPr>
        <w:t xml:space="preserve"> у дітей, </w:t>
      </w:r>
      <w:r w:rsidR="00E82398" w:rsidRPr="003005D5">
        <w:rPr>
          <w:rFonts w:ascii="Times New Roman" w:hAnsi="Times New Roman" w:cs="Times New Roman"/>
          <w:b/>
          <w:sz w:val="28"/>
          <w:szCs w:val="28"/>
          <w:lang w:val="uk-UA"/>
        </w:rPr>
        <w:t>основної групи та групи порівняння</w:t>
      </w:r>
      <w:r w:rsidRPr="003005D5">
        <w:rPr>
          <w:rFonts w:ascii="Times New Roman" w:hAnsi="Times New Roman" w:cs="Times New Roman"/>
          <w:b/>
          <w:sz w:val="28"/>
          <w:szCs w:val="28"/>
          <w:lang w:val="uk-UA"/>
        </w:rPr>
        <w:t xml:space="preserve"> на тлі ГРІ</w:t>
      </w:r>
      <w:r w:rsidR="008374FF" w:rsidRPr="003005D5">
        <w:rPr>
          <w:rFonts w:ascii="Times New Roman" w:hAnsi="Times New Roman" w:cs="Times New Roman"/>
          <w:b/>
          <w:sz w:val="28"/>
          <w:szCs w:val="28"/>
          <w:lang w:val="uk-UA"/>
        </w:rPr>
        <w:t>.</w:t>
      </w:r>
    </w:p>
    <w:p w:rsidR="00936D97" w:rsidRPr="003005D5" w:rsidRDefault="00936D97" w:rsidP="00936D97">
      <w:pPr>
        <w:spacing w:after="0" w:line="360" w:lineRule="auto"/>
        <w:ind w:firstLine="708"/>
        <w:jc w:val="both"/>
        <w:rPr>
          <w:rFonts w:ascii="Times New Roman" w:hAnsi="Times New Roman" w:cs="Times New Roman"/>
          <w:b/>
          <w:sz w:val="28"/>
          <w:szCs w:val="28"/>
          <w:lang w:val="uk-UA"/>
        </w:rPr>
      </w:pPr>
      <w:r w:rsidRPr="003005D5">
        <w:rPr>
          <w:rFonts w:ascii="Times New Roman" w:hAnsi="Times New Roman" w:cs="Times New Roman"/>
          <w:sz w:val="28"/>
          <w:szCs w:val="28"/>
          <w:lang w:val="uk-UA"/>
        </w:rPr>
        <w:t>При наявності ГРІ відзначалася найбільше підвищення НСТ – тесту у  обох групах (у основній групі 23,2</w:t>
      </w:r>
      <w:r w:rsidRPr="003005D5">
        <w:rPr>
          <w:rFonts w:ascii="Times New Roman" w:hAnsi="Times New Roman" w:cs="Times New Roman"/>
          <w:sz w:val="28"/>
          <w:szCs w:val="28"/>
          <w:u w:val="single"/>
          <w:lang w:val="uk-UA"/>
        </w:rPr>
        <w:t>+</w:t>
      </w:r>
      <w:r w:rsidRPr="003005D5">
        <w:rPr>
          <w:rFonts w:ascii="Times New Roman" w:hAnsi="Times New Roman" w:cs="Times New Roman"/>
          <w:sz w:val="28"/>
          <w:szCs w:val="28"/>
          <w:lang w:val="uk-UA"/>
        </w:rPr>
        <w:t>12,4%, група порівняння 10,05</w:t>
      </w:r>
      <w:r w:rsidRPr="003005D5">
        <w:rPr>
          <w:rFonts w:ascii="Times New Roman" w:hAnsi="Times New Roman" w:cs="Times New Roman"/>
          <w:sz w:val="28"/>
          <w:szCs w:val="28"/>
          <w:u w:val="single"/>
          <w:lang w:val="uk-UA"/>
        </w:rPr>
        <w:t>+</w:t>
      </w:r>
      <w:r w:rsidRPr="003005D5">
        <w:rPr>
          <w:rFonts w:ascii="Times New Roman" w:hAnsi="Times New Roman" w:cs="Times New Roman"/>
          <w:sz w:val="28"/>
          <w:szCs w:val="28"/>
          <w:lang w:val="uk-UA"/>
        </w:rPr>
        <w:t xml:space="preserve">11,14%). Так НСТ – тест у хворих на БЛД під час ГРІ підвищувався у 0,8 разів, що достовірно (р&lt;0,025) свідчить про значну активацію </w:t>
      </w:r>
      <w:proofErr w:type="spellStart"/>
      <w:r w:rsidRPr="003005D5">
        <w:rPr>
          <w:rFonts w:ascii="Times New Roman" w:hAnsi="Times New Roman" w:cs="Times New Roman"/>
          <w:sz w:val="28"/>
          <w:szCs w:val="28"/>
          <w:lang w:val="uk-UA"/>
        </w:rPr>
        <w:t>киснезалежної</w:t>
      </w:r>
      <w:proofErr w:type="spellEnd"/>
      <w:r w:rsidRPr="003005D5">
        <w:rPr>
          <w:rFonts w:ascii="Times New Roman" w:hAnsi="Times New Roman" w:cs="Times New Roman"/>
          <w:sz w:val="28"/>
          <w:szCs w:val="28"/>
          <w:lang w:val="uk-UA"/>
        </w:rPr>
        <w:t xml:space="preserve"> функції </w:t>
      </w:r>
      <w:proofErr w:type="spellStart"/>
      <w:r w:rsidRPr="003005D5">
        <w:rPr>
          <w:rFonts w:ascii="Times New Roman" w:hAnsi="Times New Roman" w:cs="Times New Roman"/>
          <w:sz w:val="28"/>
          <w:szCs w:val="28"/>
          <w:lang w:val="uk-UA"/>
        </w:rPr>
        <w:t>нейтрофілів</w:t>
      </w:r>
      <w:proofErr w:type="spellEnd"/>
      <w:r w:rsidRPr="003005D5">
        <w:rPr>
          <w:rFonts w:ascii="Times New Roman" w:hAnsi="Times New Roman" w:cs="Times New Roman"/>
          <w:sz w:val="28"/>
          <w:szCs w:val="28"/>
          <w:lang w:val="uk-UA"/>
        </w:rPr>
        <w:t xml:space="preserve"> під час ГРІ</w:t>
      </w:r>
    </w:p>
    <w:p w:rsidR="004B54B0" w:rsidRPr="003005D5" w:rsidRDefault="00936D97" w:rsidP="00936D97">
      <w:pPr>
        <w:spacing w:after="0" w:line="360" w:lineRule="auto"/>
        <w:ind w:firstLine="708"/>
        <w:jc w:val="both"/>
        <w:rPr>
          <w:rFonts w:ascii="Times New Roman" w:hAnsi="Times New Roman" w:cs="Times New Roman"/>
          <w:b/>
          <w:sz w:val="28"/>
          <w:szCs w:val="28"/>
          <w:lang w:val="uk-UA"/>
        </w:rPr>
      </w:pPr>
      <w:r w:rsidRPr="003005D5">
        <w:rPr>
          <w:rFonts w:ascii="Times New Roman" w:hAnsi="Times New Roman" w:cs="Times New Roman"/>
          <w:b/>
          <w:sz w:val="28"/>
          <w:szCs w:val="28"/>
          <w:lang w:val="uk-UA"/>
        </w:rPr>
        <w:t>Висновки</w:t>
      </w:r>
      <w:r w:rsidR="004B54B0" w:rsidRPr="003005D5">
        <w:rPr>
          <w:rFonts w:ascii="Times New Roman" w:hAnsi="Times New Roman" w:cs="Times New Roman"/>
          <w:b/>
          <w:sz w:val="28"/>
          <w:szCs w:val="28"/>
          <w:lang w:val="uk-UA"/>
        </w:rPr>
        <w:t>:</w:t>
      </w:r>
    </w:p>
    <w:p w:rsidR="00630826" w:rsidRPr="003005D5" w:rsidRDefault="00936D97" w:rsidP="00936D97">
      <w:pPr>
        <w:pStyle w:val="a7"/>
        <w:numPr>
          <w:ilvl w:val="0"/>
          <w:numId w:val="6"/>
        </w:numPr>
        <w:spacing w:after="0" w:line="360" w:lineRule="auto"/>
        <w:jc w:val="both"/>
        <w:rPr>
          <w:rFonts w:ascii="Times New Roman" w:hAnsi="Times New Roman" w:cs="Times New Roman"/>
          <w:sz w:val="28"/>
          <w:szCs w:val="28"/>
          <w:lang w:val="uk-UA"/>
        </w:rPr>
      </w:pPr>
      <w:r w:rsidRPr="003005D5">
        <w:rPr>
          <w:rFonts w:ascii="Times New Roman" w:hAnsi="Times New Roman" w:cs="Times New Roman"/>
          <w:sz w:val="28"/>
          <w:szCs w:val="28"/>
          <w:lang w:val="uk-UA"/>
        </w:rPr>
        <w:t>Д</w:t>
      </w:r>
      <w:r w:rsidR="00630826" w:rsidRPr="003005D5">
        <w:rPr>
          <w:rFonts w:ascii="Times New Roman" w:hAnsi="Times New Roman" w:cs="Times New Roman"/>
          <w:sz w:val="28"/>
          <w:szCs w:val="28"/>
          <w:lang w:val="uk-UA"/>
        </w:rPr>
        <w:t xml:space="preserve">ля </w:t>
      </w:r>
      <w:r w:rsidR="001430FA">
        <w:rPr>
          <w:rFonts w:ascii="Times New Roman" w:hAnsi="Times New Roman" w:cs="Times New Roman"/>
          <w:sz w:val="28"/>
          <w:szCs w:val="28"/>
          <w:lang w:val="uk-UA"/>
        </w:rPr>
        <w:t xml:space="preserve">всіх </w:t>
      </w:r>
      <w:r w:rsidR="00630826" w:rsidRPr="003005D5">
        <w:rPr>
          <w:rFonts w:ascii="Times New Roman" w:hAnsi="Times New Roman" w:cs="Times New Roman"/>
          <w:sz w:val="28"/>
          <w:szCs w:val="28"/>
          <w:lang w:val="uk-UA"/>
        </w:rPr>
        <w:t>недоношених</w:t>
      </w:r>
      <w:r w:rsidR="00F4139A" w:rsidRPr="003005D5">
        <w:rPr>
          <w:rFonts w:ascii="Times New Roman" w:hAnsi="Times New Roman" w:cs="Times New Roman"/>
          <w:sz w:val="28"/>
          <w:szCs w:val="28"/>
          <w:lang w:val="uk-UA"/>
        </w:rPr>
        <w:t xml:space="preserve"> </w:t>
      </w:r>
      <w:r w:rsidR="001430FA">
        <w:rPr>
          <w:rFonts w:ascii="Times New Roman" w:hAnsi="Times New Roman" w:cs="Times New Roman"/>
          <w:sz w:val="28"/>
          <w:szCs w:val="28"/>
          <w:lang w:val="uk-UA"/>
        </w:rPr>
        <w:t xml:space="preserve">дітей </w:t>
      </w:r>
      <w:r w:rsidR="00F4139A" w:rsidRPr="003005D5">
        <w:rPr>
          <w:rFonts w:ascii="Times New Roman" w:hAnsi="Times New Roman" w:cs="Times New Roman"/>
          <w:sz w:val="28"/>
          <w:szCs w:val="28"/>
          <w:lang w:val="uk-UA"/>
        </w:rPr>
        <w:t xml:space="preserve">у віці від 1 місяця до 3 років  </w:t>
      </w:r>
      <w:r w:rsidR="00630826" w:rsidRPr="003005D5">
        <w:rPr>
          <w:rFonts w:ascii="Times New Roman" w:hAnsi="Times New Roman" w:cs="Times New Roman"/>
          <w:sz w:val="28"/>
          <w:szCs w:val="28"/>
          <w:lang w:val="uk-UA"/>
        </w:rPr>
        <w:t xml:space="preserve">притаманний низькій рівень </w:t>
      </w:r>
      <w:r w:rsidR="00F4139A" w:rsidRPr="003005D5">
        <w:rPr>
          <w:rFonts w:ascii="Times New Roman" w:hAnsi="Times New Roman" w:cs="Times New Roman"/>
          <w:sz w:val="28"/>
          <w:szCs w:val="28"/>
          <w:lang w:val="uk-UA"/>
        </w:rPr>
        <w:t xml:space="preserve">абсолютної кількості </w:t>
      </w:r>
      <w:r w:rsidR="00630826" w:rsidRPr="003005D5">
        <w:rPr>
          <w:rFonts w:ascii="Times New Roman" w:hAnsi="Times New Roman" w:cs="Times New Roman"/>
          <w:sz w:val="28"/>
          <w:szCs w:val="28"/>
          <w:lang w:val="uk-UA"/>
        </w:rPr>
        <w:t>лімфоцитів</w:t>
      </w:r>
      <w:r w:rsidR="00F4139A" w:rsidRPr="003005D5">
        <w:rPr>
          <w:rFonts w:ascii="Times New Roman" w:hAnsi="Times New Roman" w:cs="Times New Roman"/>
          <w:sz w:val="28"/>
          <w:szCs w:val="28"/>
          <w:lang w:val="uk-UA"/>
        </w:rPr>
        <w:t xml:space="preserve">, що підтверджується високою захворюваністю на </w:t>
      </w:r>
      <w:r w:rsidR="005F5693" w:rsidRPr="003005D5">
        <w:rPr>
          <w:rFonts w:ascii="Times New Roman" w:hAnsi="Times New Roman" w:cs="Times New Roman"/>
          <w:sz w:val="28"/>
          <w:szCs w:val="28"/>
          <w:lang w:val="uk-UA"/>
        </w:rPr>
        <w:t>респіраторні захворювання</w:t>
      </w:r>
      <w:r w:rsidR="00F4139A" w:rsidRPr="003005D5">
        <w:rPr>
          <w:rFonts w:ascii="Times New Roman" w:hAnsi="Times New Roman" w:cs="Times New Roman"/>
          <w:sz w:val="28"/>
          <w:szCs w:val="28"/>
          <w:lang w:val="uk-UA"/>
        </w:rPr>
        <w:t xml:space="preserve"> цієї категорії</w:t>
      </w:r>
      <w:r w:rsidR="005F5693" w:rsidRPr="003005D5">
        <w:rPr>
          <w:rFonts w:ascii="Times New Roman" w:hAnsi="Times New Roman" w:cs="Times New Roman"/>
          <w:sz w:val="28"/>
          <w:szCs w:val="28"/>
          <w:lang w:val="uk-UA"/>
        </w:rPr>
        <w:t xml:space="preserve"> пацієнтів;</w:t>
      </w:r>
      <w:r w:rsidR="00F4139A" w:rsidRPr="003005D5">
        <w:rPr>
          <w:rFonts w:ascii="Times New Roman" w:hAnsi="Times New Roman" w:cs="Times New Roman"/>
          <w:sz w:val="28"/>
          <w:szCs w:val="28"/>
          <w:lang w:val="uk-UA"/>
        </w:rPr>
        <w:t xml:space="preserve"> </w:t>
      </w:r>
      <w:r w:rsidR="00630826" w:rsidRPr="003005D5">
        <w:rPr>
          <w:rFonts w:ascii="Times New Roman" w:hAnsi="Times New Roman" w:cs="Times New Roman"/>
          <w:sz w:val="28"/>
          <w:szCs w:val="28"/>
          <w:lang w:val="uk-UA"/>
        </w:rPr>
        <w:t xml:space="preserve"> </w:t>
      </w:r>
    </w:p>
    <w:p w:rsidR="001430FA" w:rsidRDefault="001430FA" w:rsidP="00936D97">
      <w:pPr>
        <w:pStyle w:val="a7"/>
        <w:numPr>
          <w:ilvl w:val="0"/>
          <w:numId w:val="6"/>
        </w:numPr>
        <w:spacing w:after="0" w:line="360" w:lineRule="auto"/>
        <w:jc w:val="both"/>
        <w:rPr>
          <w:rFonts w:ascii="Times New Roman" w:hAnsi="Times New Roman" w:cs="Times New Roman"/>
          <w:sz w:val="28"/>
          <w:szCs w:val="28"/>
          <w:lang w:val="uk-UA"/>
        </w:rPr>
      </w:pPr>
      <w:r w:rsidRPr="001430FA">
        <w:rPr>
          <w:rFonts w:ascii="Times New Roman" w:hAnsi="Times New Roman" w:cs="Times New Roman"/>
          <w:sz w:val="28"/>
          <w:szCs w:val="28"/>
          <w:lang w:val="uk-UA"/>
        </w:rPr>
        <w:t>Для дітей з БЛД характерно підвищення цитотоксичних лімфоцитів (</w:t>
      </w:r>
      <w:r w:rsidRPr="001430FA">
        <w:rPr>
          <w:rFonts w:ascii="Times New Roman" w:eastAsia="Times New Roman" w:hAnsi="Times New Roman" w:cs="Times New Roman"/>
          <w:color w:val="000000"/>
          <w:sz w:val="28"/>
          <w:szCs w:val="28"/>
          <w:lang w:eastAsia="ru-RU"/>
        </w:rPr>
        <w:t>CD</w:t>
      </w:r>
      <w:r w:rsidRPr="001430FA">
        <w:rPr>
          <w:rFonts w:ascii="Times New Roman" w:eastAsia="Times New Roman" w:hAnsi="Times New Roman" w:cs="Times New Roman"/>
          <w:color w:val="000000"/>
          <w:sz w:val="28"/>
          <w:szCs w:val="28"/>
          <w:lang w:val="uk-UA" w:eastAsia="ru-RU"/>
        </w:rPr>
        <w:t xml:space="preserve">8, </w:t>
      </w:r>
      <w:r w:rsidRPr="001430FA">
        <w:rPr>
          <w:rFonts w:ascii="Times New Roman" w:eastAsia="Times New Roman" w:hAnsi="Times New Roman" w:cs="Times New Roman"/>
          <w:color w:val="000000"/>
          <w:sz w:val="28"/>
          <w:szCs w:val="28"/>
          <w:lang w:eastAsia="ru-RU"/>
        </w:rPr>
        <w:t>CD</w:t>
      </w:r>
      <w:r w:rsidRPr="001430FA">
        <w:rPr>
          <w:rFonts w:ascii="Times New Roman" w:eastAsia="Times New Roman" w:hAnsi="Times New Roman" w:cs="Times New Roman"/>
          <w:color w:val="000000"/>
          <w:sz w:val="28"/>
          <w:szCs w:val="28"/>
          <w:lang w:val="uk-UA" w:eastAsia="ru-RU"/>
        </w:rPr>
        <w:t xml:space="preserve">16), підвищення </w:t>
      </w:r>
      <w:proofErr w:type="spellStart"/>
      <w:r w:rsidRPr="001430FA">
        <w:rPr>
          <w:rFonts w:ascii="Times New Roman" w:eastAsia="Times New Roman" w:hAnsi="Times New Roman" w:cs="Times New Roman"/>
          <w:color w:val="000000"/>
          <w:sz w:val="28"/>
          <w:szCs w:val="28"/>
          <w:lang w:val="uk-UA" w:eastAsia="ru-RU"/>
        </w:rPr>
        <w:t>киснезалежної</w:t>
      </w:r>
      <w:proofErr w:type="spellEnd"/>
      <w:r w:rsidRPr="001430FA">
        <w:rPr>
          <w:rFonts w:ascii="Times New Roman" w:eastAsia="Times New Roman" w:hAnsi="Times New Roman" w:cs="Times New Roman"/>
          <w:color w:val="000000"/>
          <w:sz w:val="28"/>
          <w:szCs w:val="28"/>
          <w:lang w:val="uk-UA" w:eastAsia="ru-RU"/>
        </w:rPr>
        <w:t xml:space="preserve"> здатності гранулоцитів, та  </w:t>
      </w:r>
      <w:r w:rsidR="00F54BBE" w:rsidRPr="001430FA">
        <w:rPr>
          <w:rFonts w:ascii="Times New Roman" w:hAnsi="Times New Roman" w:cs="Times New Roman"/>
          <w:sz w:val="28"/>
          <w:szCs w:val="28"/>
          <w:lang w:val="uk-UA"/>
        </w:rPr>
        <w:t xml:space="preserve">активація імуноглобулінів гострої фази </w:t>
      </w:r>
      <w:r w:rsidR="005F5693" w:rsidRPr="001430FA">
        <w:rPr>
          <w:rFonts w:ascii="Times New Roman" w:hAnsi="Times New Roman" w:cs="Times New Roman"/>
          <w:sz w:val="28"/>
          <w:szCs w:val="28"/>
          <w:lang w:val="uk-UA"/>
        </w:rPr>
        <w:t>(</w:t>
      </w:r>
      <w:proofErr w:type="spellStart"/>
      <w:r w:rsidR="005F5693" w:rsidRPr="001430FA">
        <w:rPr>
          <w:rFonts w:ascii="Times New Roman" w:hAnsi="Times New Roman" w:cs="Times New Roman"/>
          <w:sz w:val="28"/>
          <w:szCs w:val="28"/>
          <w:lang w:val="uk-UA"/>
        </w:rPr>
        <w:t>Ig</w:t>
      </w:r>
      <w:proofErr w:type="spellEnd"/>
      <w:r w:rsidR="005F5693" w:rsidRPr="001430FA">
        <w:rPr>
          <w:rFonts w:ascii="Times New Roman" w:hAnsi="Times New Roman" w:cs="Times New Roman"/>
          <w:sz w:val="28"/>
          <w:szCs w:val="28"/>
          <w:lang w:val="uk-UA"/>
        </w:rPr>
        <w:t xml:space="preserve"> M)</w:t>
      </w:r>
      <w:r w:rsidRPr="001430FA">
        <w:rPr>
          <w:rFonts w:ascii="Times New Roman" w:hAnsi="Times New Roman" w:cs="Times New Roman"/>
          <w:sz w:val="28"/>
          <w:szCs w:val="28"/>
          <w:lang w:val="uk-UA"/>
        </w:rPr>
        <w:t xml:space="preserve">, при відсутності клінічних ознак загострення захворювання. Такі зміни свідчать про збереження запалення з вибірковою активацією </w:t>
      </w:r>
      <w:r w:rsidR="00EA6D1F" w:rsidRPr="001430FA">
        <w:rPr>
          <w:rFonts w:ascii="Times New Roman" w:hAnsi="Times New Roman" w:cs="Times New Roman"/>
          <w:sz w:val="28"/>
          <w:szCs w:val="28"/>
          <w:lang w:val="uk-UA"/>
        </w:rPr>
        <w:t>клітинної</w:t>
      </w:r>
      <w:r w:rsidRPr="001430FA">
        <w:rPr>
          <w:rFonts w:ascii="Times New Roman" w:hAnsi="Times New Roman" w:cs="Times New Roman"/>
          <w:sz w:val="28"/>
          <w:szCs w:val="28"/>
          <w:lang w:val="uk-UA"/>
        </w:rPr>
        <w:t xml:space="preserve"> та гуморальної ланок, фагоцитозу в стадії ремісії БЛД. В моніторингу дітей з БЛД необхідно ураховувати цей </w:t>
      </w:r>
      <w:r w:rsidRPr="001430FA">
        <w:rPr>
          <w:rFonts w:ascii="Times New Roman" w:hAnsi="Times New Roman" w:cs="Times New Roman"/>
          <w:sz w:val="28"/>
          <w:szCs w:val="28"/>
          <w:lang w:val="uk-UA"/>
        </w:rPr>
        <w:lastRenderedPageBreak/>
        <w:t xml:space="preserve">феномен щодо визначення </w:t>
      </w:r>
      <w:proofErr w:type="spellStart"/>
      <w:r w:rsidRPr="001430FA">
        <w:rPr>
          <w:rFonts w:ascii="Times New Roman" w:hAnsi="Times New Roman" w:cs="Times New Roman"/>
          <w:sz w:val="28"/>
          <w:szCs w:val="28"/>
          <w:lang w:val="uk-UA"/>
        </w:rPr>
        <w:t>персистування</w:t>
      </w:r>
      <w:proofErr w:type="spellEnd"/>
      <w:r w:rsidRPr="001430FA">
        <w:rPr>
          <w:rFonts w:ascii="Times New Roman" w:hAnsi="Times New Roman" w:cs="Times New Roman"/>
          <w:sz w:val="28"/>
          <w:szCs w:val="28"/>
          <w:lang w:val="uk-UA"/>
        </w:rPr>
        <w:t xml:space="preserve"> запалення та проведення профілактичних </w:t>
      </w:r>
      <w:r w:rsidR="005F5693" w:rsidRPr="001430FA">
        <w:rPr>
          <w:rFonts w:ascii="Times New Roman" w:hAnsi="Times New Roman" w:cs="Times New Roman"/>
          <w:sz w:val="28"/>
          <w:szCs w:val="28"/>
          <w:lang w:val="uk-UA"/>
        </w:rPr>
        <w:t xml:space="preserve"> </w:t>
      </w:r>
      <w:r>
        <w:rPr>
          <w:rFonts w:ascii="Times New Roman" w:hAnsi="Times New Roman" w:cs="Times New Roman"/>
          <w:sz w:val="28"/>
          <w:szCs w:val="28"/>
          <w:lang w:val="uk-UA"/>
        </w:rPr>
        <w:t>заходів для попередження рецидивів БЛД.</w:t>
      </w:r>
    </w:p>
    <w:p w:rsidR="00454736" w:rsidRDefault="001430FA" w:rsidP="00454736">
      <w:pPr>
        <w:pStyle w:val="a7"/>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ГРІ виникає </w:t>
      </w:r>
      <w:r w:rsidR="00454736">
        <w:rPr>
          <w:rFonts w:ascii="Times New Roman" w:hAnsi="Times New Roman" w:cs="Times New Roman"/>
          <w:sz w:val="28"/>
          <w:szCs w:val="28"/>
          <w:lang w:val="uk-UA"/>
        </w:rPr>
        <w:t xml:space="preserve">парадоксальна реакція клітинного імунітету зі зниженням лімфоцитів на тлі активації цитотоксичних клітин. Нарівні з тим динаміка збільшення цитотоксичних маркерів при ГРІ незадовільна, що свідчить про виснаження реактивності клітинного ланцюга імунітету.  </w:t>
      </w:r>
    </w:p>
    <w:p w:rsidR="00DF67FF" w:rsidRDefault="00EA4B8E" w:rsidP="00A265CB">
      <w:pPr>
        <w:pStyle w:val="a7"/>
        <w:spacing w:after="0" w:line="360" w:lineRule="auto"/>
        <w:ind w:left="357"/>
        <w:jc w:val="both"/>
        <w:rPr>
          <w:rFonts w:ascii="Times New Roman" w:hAnsi="Times New Roman" w:cs="Times New Roman"/>
          <w:b/>
          <w:sz w:val="28"/>
          <w:szCs w:val="28"/>
          <w:lang w:val="en-US"/>
        </w:rPr>
      </w:pPr>
      <w:r w:rsidRPr="00A265CB">
        <w:rPr>
          <w:rFonts w:ascii="Times New Roman" w:hAnsi="Times New Roman" w:cs="Times New Roman"/>
          <w:b/>
          <w:sz w:val="28"/>
          <w:szCs w:val="28"/>
          <w:lang w:val="uk-UA"/>
        </w:rPr>
        <w:t xml:space="preserve">Література </w:t>
      </w:r>
    </w:p>
    <w:p w:rsidR="00DF67FF" w:rsidRPr="00A265CB" w:rsidRDefault="00DF67FF" w:rsidP="00DF67FF">
      <w:pPr>
        <w:pStyle w:val="a7"/>
        <w:numPr>
          <w:ilvl w:val="0"/>
          <w:numId w:val="9"/>
        </w:numPr>
        <w:spacing w:after="0" w:line="360" w:lineRule="auto"/>
        <w:ind w:left="357"/>
        <w:rPr>
          <w:rFonts w:ascii="Times New Roman" w:eastAsia="Times New Roman" w:hAnsi="Times New Roman" w:cs="Times New Roman"/>
          <w:color w:val="000000"/>
          <w:sz w:val="28"/>
          <w:szCs w:val="28"/>
          <w:lang w:val="en-US" w:eastAsia="ru-RU"/>
        </w:rPr>
      </w:pPr>
      <w:r w:rsidRPr="00A265CB">
        <w:rPr>
          <w:rFonts w:ascii="Times New Roman" w:eastAsia="Times New Roman" w:hAnsi="Times New Roman" w:cs="Times New Roman"/>
          <w:color w:val="000000"/>
          <w:sz w:val="28"/>
          <w:szCs w:val="28"/>
          <w:lang w:val="en-US" w:eastAsia="ru-RU"/>
        </w:rPr>
        <w:t>Coalson J.J. Pathology of new bronchopulmonary dysplasia</w:t>
      </w:r>
      <w:r w:rsidRPr="00A265CB">
        <w:rPr>
          <w:rFonts w:ascii="Times New Roman" w:eastAsia="Times New Roman" w:hAnsi="Times New Roman" w:cs="Times New Roman"/>
          <w:color w:val="000000"/>
          <w:sz w:val="28"/>
          <w:szCs w:val="28"/>
          <w:lang w:val="uk-UA" w:eastAsia="ru-RU"/>
        </w:rPr>
        <w:t xml:space="preserve"> /</w:t>
      </w:r>
      <w:r w:rsidRPr="00A265CB">
        <w:rPr>
          <w:rFonts w:ascii="Times New Roman" w:eastAsia="Times New Roman" w:hAnsi="Times New Roman" w:cs="Times New Roman"/>
          <w:color w:val="000000"/>
          <w:sz w:val="28"/>
          <w:szCs w:val="28"/>
          <w:lang w:val="en-US" w:eastAsia="ru-RU"/>
        </w:rPr>
        <w:t xml:space="preserve"> </w:t>
      </w:r>
      <w:r w:rsidRPr="00A265CB">
        <w:rPr>
          <w:rFonts w:ascii="Times New Roman" w:hAnsi="Times New Roman" w:cs="Times New Roman"/>
          <w:iCs/>
          <w:color w:val="333333"/>
          <w:sz w:val="28"/>
          <w:szCs w:val="28"/>
          <w:lang w:val="en-US"/>
        </w:rPr>
        <w:t>Seminars in Fetal and Neonatal Medicine</w:t>
      </w:r>
      <w:r w:rsidRPr="00A265CB">
        <w:rPr>
          <w:rFonts w:ascii="Times New Roman" w:hAnsi="Times New Roman" w:cs="Times New Roman"/>
          <w:iCs/>
          <w:color w:val="333333"/>
          <w:sz w:val="28"/>
          <w:szCs w:val="28"/>
          <w:lang w:val="uk-UA"/>
        </w:rPr>
        <w:t xml:space="preserve">. –  </w:t>
      </w:r>
      <w:r w:rsidRPr="00A265CB">
        <w:rPr>
          <w:rFonts w:ascii="Times New Roman" w:eastAsia="Times New Roman" w:hAnsi="Times New Roman" w:cs="Times New Roman"/>
          <w:color w:val="000000"/>
          <w:sz w:val="28"/>
          <w:szCs w:val="28"/>
          <w:lang w:val="en-US" w:eastAsia="ru-RU"/>
        </w:rPr>
        <w:t>2003</w:t>
      </w:r>
      <w:r w:rsidRPr="00A265CB">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 №</w:t>
      </w:r>
      <w:r w:rsidRPr="00A265CB">
        <w:rPr>
          <w:rFonts w:ascii="Times New Roman" w:eastAsia="Times New Roman" w:hAnsi="Times New Roman" w:cs="Times New Roman"/>
          <w:color w:val="000000"/>
          <w:sz w:val="28"/>
          <w:szCs w:val="28"/>
          <w:lang w:val="en-US" w:eastAsia="ru-RU"/>
        </w:rPr>
        <w:t xml:space="preserve"> 8</w:t>
      </w:r>
      <w:r>
        <w:rPr>
          <w:rFonts w:ascii="Times New Roman" w:eastAsia="Times New Roman" w:hAnsi="Times New Roman" w:cs="Times New Roman"/>
          <w:color w:val="000000"/>
          <w:sz w:val="28"/>
          <w:szCs w:val="28"/>
          <w:lang w:val="uk-UA" w:eastAsia="ru-RU"/>
        </w:rPr>
        <w:t xml:space="preserve"> – Р. </w:t>
      </w:r>
      <w:r w:rsidRPr="00A265CB">
        <w:rPr>
          <w:rFonts w:ascii="Times New Roman" w:eastAsia="Times New Roman" w:hAnsi="Times New Roman" w:cs="Times New Roman"/>
          <w:color w:val="000000"/>
          <w:sz w:val="28"/>
          <w:szCs w:val="28"/>
          <w:lang w:val="en-US" w:eastAsia="ru-RU"/>
        </w:rPr>
        <w:t>73-81</w:t>
      </w:r>
    </w:p>
    <w:p w:rsidR="00DF67FF" w:rsidRPr="003A7D67" w:rsidRDefault="00DF67FF" w:rsidP="00DF67FF">
      <w:pPr>
        <w:pStyle w:val="a7"/>
        <w:numPr>
          <w:ilvl w:val="0"/>
          <w:numId w:val="9"/>
        </w:numPr>
        <w:spacing w:after="0" w:line="360" w:lineRule="auto"/>
        <w:ind w:left="357"/>
        <w:rPr>
          <w:rFonts w:ascii="Times New Roman" w:eastAsia="Times New Roman" w:hAnsi="Times New Roman" w:cs="Times New Roman"/>
          <w:color w:val="000000"/>
          <w:sz w:val="28"/>
          <w:szCs w:val="28"/>
          <w:lang w:val="en-US" w:eastAsia="ru-RU"/>
        </w:rPr>
      </w:pPr>
      <w:r w:rsidRPr="00A265CB">
        <w:rPr>
          <w:rFonts w:ascii="Times New Roman" w:eastAsia="Times New Roman" w:hAnsi="Times New Roman" w:cs="Times New Roman"/>
          <w:color w:val="000000"/>
          <w:sz w:val="28"/>
          <w:szCs w:val="28"/>
          <w:lang w:val="en-GB" w:eastAsia="ru-RU"/>
        </w:rPr>
        <w:t>Escobar G</w:t>
      </w:r>
      <w:r>
        <w:rPr>
          <w:rFonts w:ascii="Times New Roman" w:eastAsia="Times New Roman" w:hAnsi="Times New Roman" w:cs="Times New Roman"/>
          <w:color w:val="000000"/>
          <w:sz w:val="28"/>
          <w:szCs w:val="28"/>
          <w:lang w:val="uk-UA" w:eastAsia="ru-RU"/>
        </w:rPr>
        <w:t>.</w:t>
      </w:r>
      <w:r w:rsidRPr="00A265CB">
        <w:rPr>
          <w:rFonts w:ascii="Times New Roman" w:eastAsia="Times New Roman" w:hAnsi="Times New Roman" w:cs="Times New Roman"/>
          <w:color w:val="000000"/>
          <w:sz w:val="28"/>
          <w:szCs w:val="28"/>
          <w:lang w:val="en-GB" w:eastAsia="ru-RU"/>
        </w:rPr>
        <w:t>J</w:t>
      </w:r>
      <w:r>
        <w:rPr>
          <w:rFonts w:ascii="Times New Roman" w:eastAsia="Times New Roman" w:hAnsi="Times New Roman" w:cs="Times New Roman"/>
          <w:color w:val="000000"/>
          <w:sz w:val="28"/>
          <w:szCs w:val="28"/>
          <w:lang w:val="uk-UA" w:eastAsia="ru-RU"/>
        </w:rPr>
        <w:t xml:space="preserve">. </w:t>
      </w:r>
      <w:r w:rsidRPr="00A265CB">
        <w:rPr>
          <w:rFonts w:ascii="Times New Roman" w:eastAsia="Times New Roman" w:hAnsi="Times New Roman" w:cs="Times New Roman"/>
          <w:color w:val="000000"/>
          <w:sz w:val="28"/>
          <w:szCs w:val="28"/>
          <w:lang w:val="en-GB" w:eastAsia="ru-RU"/>
        </w:rPr>
        <w:t xml:space="preserve">Short-term outcomes of infants born at 35 and 36 weeks gestation: we need to ask more questions. </w:t>
      </w:r>
      <w:r>
        <w:rPr>
          <w:rFonts w:ascii="Times New Roman" w:eastAsia="Times New Roman" w:hAnsi="Times New Roman" w:cs="Times New Roman"/>
          <w:color w:val="000000"/>
          <w:sz w:val="28"/>
          <w:szCs w:val="28"/>
          <w:lang w:val="uk-UA" w:eastAsia="ru-RU"/>
        </w:rPr>
        <w:t xml:space="preserve">/ </w:t>
      </w:r>
      <w:r w:rsidRPr="00A265CB">
        <w:rPr>
          <w:rFonts w:ascii="Times New Roman" w:eastAsia="Times New Roman" w:hAnsi="Times New Roman" w:cs="Times New Roman"/>
          <w:color w:val="000000"/>
          <w:sz w:val="28"/>
          <w:szCs w:val="28"/>
          <w:lang w:val="en-GB" w:eastAsia="ru-RU"/>
        </w:rPr>
        <w:t>G</w:t>
      </w:r>
      <w:r>
        <w:rPr>
          <w:rFonts w:ascii="Times New Roman" w:eastAsia="Times New Roman" w:hAnsi="Times New Roman" w:cs="Times New Roman"/>
          <w:color w:val="000000"/>
          <w:sz w:val="28"/>
          <w:szCs w:val="28"/>
          <w:lang w:val="uk-UA" w:eastAsia="ru-RU"/>
        </w:rPr>
        <w:t>.</w:t>
      </w:r>
      <w:r w:rsidRPr="00A265CB">
        <w:rPr>
          <w:rFonts w:ascii="Times New Roman" w:eastAsia="Times New Roman" w:hAnsi="Times New Roman" w:cs="Times New Roman"/>
          <w:color w:val="000000"/>
          <w:sz w:val="28"/>
          <w:szCs w:val="28"/>
          <w:lang w:val="en-GB" w:eastAsia="ru-RU"/>
        </w:rPr>
        <w:t>J</w:t>
      </w:r>
      <w:r>
        <w:rPr>
          <w:rFonts w:ascii="Times New Roman" w:eastAsia="Times New Roman" w:hAnsi="Times New Roman" w:cs="Times New Roman"/>
          <w:color w:val="000000"/>
          <w:sz w:val="28"/>
          <w:szCs w:val="28"/>
          <w:lang w:val="uk-UA" w:eastAsia="ru-RU"/>
        </w:rPr>
        <w:t>.</w:t>
      </w:r>
      <w:r w:rsidRPr="00A265CB">
        <w:rPr>
          <w:rFonts w:ascii="Times New Roman" w:eastAsia="Times New Roman" w:hAnsi="Times New Roman" w:cs="Times New Roman"/>
          <w:color w:val="000000"/>
          <w:sz w:val="28"/>
          <w:szCs w:val="28"/>
          <w:lang w:val="en-GB" w:eastAsia="ru-RU"/>
        </w:rPr>
        <w:t xml:space="preserve"> Escobar, R</w:t>
      </w:r>
      <w:r>
        <w:rPr>
          <w:rFonts w:ascii="Times New Roman" w:eastAsia="Times New Roman" w:hAnsi="Times New Roman" w:cs="Times New Roman"/>
          <w:color w:val="000000"/>
          <w:sz w:val="28"/>
          <w:szCs w:val="28"/>
          <w:lang w:val="uk-UA" w:eastAsia="ru-RU"/>
        </w:rPr>
        <w:t>.</w:t>
      </w:r>
      <w:r w:rsidRPr="00A265CB">
        <w:rPr>
          <w:rFonts w:ascii="Times New Roman" w:eastAsia="Times New Roman" w:hAnsi="Times New Roman" w:cs="Times New Roman"/>
          <w:color w:val="000000"/>
          <w:sz w:val="28"/>
          <w:szCs w:val="28"/>
          <w:lang w:val="en-GB" w:eastAsia="ru-RU"/>
        </w:rPr>
        <w:t>H</w:t>
      </w:r>
      <w:r>
        <w:rPr>
          <w:rFonts w:ascii="Times New Roman" w:eastAsia="Times New Roman" w:hAnsi="Times New Roman" w:cs="Times New Roman"/>
          <w:color w:val="000000"/>
          <w:sz w:val="28"/>
          <w:szCs w:val="28"/>
          <w:lang w:val="uk-UA" w:eastAsia="ru-RU"/>
        </w:rPr>
        <w:t>.</w:t>
      </w:r>
      <w:r w:rsidRPr="00A265CB">
        <w:rPr>
          <w:rFonts w:ascii="Times New Roman" w:eastAsia="Times New Roman" w:hAnsi="Times New Roman" w:cs="Times New Roman"/>
          <w:color w:val="000000"/>
          <w:sz w:val="28"/>
          <w:szCs w:val="28"/>
          <w:lang w:val="en-GB" w:eastAsia="ru-RU"/>
        </w:rPr>
        <w:t xml:space="preserve"> Clark, J</w:t>
      </w:r>
      <w:r>
        <w:rPr>
          <w:rFonts w:ascii="Times New Roman" w:eastAsia="Times New Roman" w:hAnsi="Times New Roman" w:cs="Times New Roman"/>
          <w:color w:val="000000"/>
          <w:sz w:val="28"/>
          <w:szCs w:val="28"/>
          <w:lang w:val="uk-UA" w:eastAsia="ru-RU"/>
        </w:rPr>
        <w:t>.</w:t>
      </w:r>
      <w:r w:rsidRPr="00A265CB">
        <w:rPr>
          <w:rFonts w:ascii="Times New Roman" w:eastAsia="Times New Roman" w:hAnsi="Times New Roman" w:cs="Times New Roman"/>
          <w:color w:val="000000"/>
          <w:sz w:val="28"/>
          <w:szCs w:val="28"/>
          <w:lang w:val="en-GB" w:eastAsia="ru-RU"/>
        </w:rPr>
        <w:t>D.</w:t>
      </w:r>
      <w:r>
        <w:rPr>
          <w:rFonts w:ascii="Times New Roman" w:eastAsia="Times New Roman" w:hAnsi="Times New Roman" w:cs="Times New Roman"/>
          <w:color w:val="000000"/>
          <w:sz w:val="28"/>
          <w:szCs w:val="28"/>
          <w:lang w:val="uk-UA" w:eastAsia="ru-RU"/>
        </w:rPr>
        <w:t xml:space="preserve"> </w:t>
      </w:r>
      <w:r w:rsidRPr="00A265CB">
        <w:rPr>
          <w:rFonts w:ascii="Times New Roman" w:eastAsia="Times New Roman" w:hAnsi="Times New Roman" w:cs="Times New Roman"/>
          <w:color w:val="000000"/>
          <w:sz w:val="28"/>
          <w:szCs w:val="28"/>
          <w:lang w:val="en-GB" w:eastAsia="ru-RU"/>
        </w:rPr>
        <w:t xml:space="preserve">Greene </w:t>
      </w:r>
      <w:r>
        <w:rPr>
          <w:rFonts w:ascii="Times New Roman" w:eastAsia="Times New Roman" w:hAnsi="Times New Roman" w:cs="Times New Roman"/>
          <w:color w:val="000000"/>
          <w:sz w:val="28"/>
          <w:szCs w:val="28"/>
          <w:lang w:val="uk-UA" w:eastAsia="ru-RU"/>
        </w:rPr>
        <w:t>/</w:t>
      </w:r>
      <w:r>
        <w:rPr>
          <w:rFonts w:ascii="Times New Roman" w:hAnsi="Times New Roman" w:cs="Times New Roman"/>
          <w:iCs/>
          <w:color w:val="333333"/>
          <w:sz w:val="28"/>
          <w:szCs w:val="28"/>
          <w:lang w:val="en-US"/>
        </w:rPr>
        <w:t xml:space="preserve">/ </w:t>
      </w:r>
      <w:r w:rsidRPr="00A265CB">
        <w:rPr>
          <w:rFonts w:ascii="Times New Roman" w:hAnsi="Times New Roman" w:cs="Times New Roman"/>
          <w:iCs/>
          <w:color w:val="333333"/>
          <w:sz w:val="28"/>
          <w:szCs w:val="28"/>
          <w:lang w:val="en-US"/>
        </w:rPr>
        <w:t>Seminars in Fetal and Neonatal Medicine</w:t>
      </w:r>
      <w:r w:rsidRPr="00A265CB">
        <w:rPr>
          <w:rFonts w:ascii="Times New Roman" w:hAnsi="Times New Roman" w:cs="Times New Roman"/>
          <w:iCs/>
          <w:color w:val="333333"/>
          <w:sz w:val="28"/>
          <w:szCs w:val="28"/>
          <w:lang w:val="uk-UA"/>
        </w:rPr>
        <w:t xml:space="preserve">. –  </w:t>
      </w:r>
      <w:r w:rsidRPr="00A265CB">
        <w:rPr>
          <w:rFonts w:ascii="Times New Roman" w:eastAsia="Times New Roman" w:hAnsi="Times New Roman" w:cs="Times New Roman"/>
          <w:color w:val="000000"/>
          <w:sz w:val="28"/>
          <w:szCs w:val="28"/>
          <w:lang w:val="en-US" w:eastAsia="ru-RU"/>
        </w:rPr>
        <w:t>200</w:t>
      </w:r>
      <w:r>
        <w:rPr>
          <w:rFonts w:ascii="Times New Roman" w:eastAsia="Times New Roman" w:hAnsi="Times New Roman" w:cs="Times New Roman"/>
          <w:color w:val="000000"/>
          <w:sz w:val="28"/>
          <w:szCs w:val="28"/>
          <w:lang w:val="uk-UA" w:eastAsia="ru-RU"/>
        </w:rPr>
        <w:t>6</w:t>
      </w:r>
      <w:r w:rsidRPr="00A265CB">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 </w:t>
      </w:r>
      <w:r>
        <w:rPr>
          <w:rFonts w:ascii="Times New Roman" w:eastAsia="Times New Roman" w:hAnsi="Times New Roman" w:cs="Times New Roman"/>
          <w:color w:val="000000"/>
          <w:sz w:val="28"/>
          <w:szCs w:val="28"/>
          <w:lang w:val="en-US" w:eastAsia="ru-RU"/>
        </w:rPr>
        <w:t>V.30</w:t>
      </w:r>
      <w:r>
        <w:rPr>
          <w:rFonts w:ascii="Times New Roman" w:eastAsia="Times New Roman" w:hAnsi="Times New Roman" w:cs="Times New Roman"/>
          <w:color w:val="000000"/>
          <w:sz w:val="28"/>
          <w:szCs w:val="28"/>
          <w:lang w:val="uk-UA" w:eastAsia="ru-RU"/>
        </w:rPr>
        <w:t xml:space="preserve"> №</w:t>
      </w:r>
      <w:r w:rsidRPr="00A265CB">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1.</w:t>
      </w:r>
      <w:r>
        <w:rPr>
          <w:rFonts w:ascii="Times New Roman" w:eastAsia="Times New Roman" w:hAnsi="Times New Roman" w:cs="Times New Roman"/>
          <w:color w:val="000000"/>
          <w:sz w:val="28"/>
          <w:szCs w:val="28"/>
          <w:lang w:val="uk-UA" w:eastAsia="ru-RU"/>
        </w:rPr>
        <w:t xml:space="preserve"> – Р. </w:t>
      </w:r>
      <w:r>
        <w:rPr>
          <w:rFonts w:ascii="Times New Roman" w:eastAsia="Times New Roman" w:hAnsi="Times New Roman" w:cs="Times New Roman"/>
          <w:color w:val="000000"/>
          <w:sz w:val="28"/>
          <w:szCs w:val="28"/>
          <w:lang w:val="en-US" w:eastAsia="ru-RU"/>
        </w:rPr>
        <w:t>28-33</w:t>
      </w:r>
      <w:r w:rsidRPr="00A265CB">
        <w:rPr>
          <w:rFonts w:ascii="Times New Roman" w:eastAsia="Times New Roman" w:hAnsi="Times New Roman" w:cs="Times New Roman"/>
          <w:color w:val="000000"/>
          <w:sz w:val="28"/>
          <w:szCs w:val="28"/>
          <w:lang w:val="en-GB" w:eastAsia="ru-RU"/>
        </w:rPr>
        <w:t xml:space="preserve"> </w:t>
      </w:r>
    </w:p>
    <w:p w:rsidR="00DF67FF" w:rsidRPr="003A7D67" w:rsidRDefault="00DF67FF" w:rsidP="00DF67FF">
      <w:pPr>
        <w:pStyle w:val="a7"/>
        <w:numPr>
          <w:ilvl w:val="0"/>
          <w:numId w:val="9"/>
        </w:numPr>
        <w:spacing w:after="0" w:line="360" w:lineRule="auto"/>
        <w:ind w:left="357"/>
        <w:rPr>
          <w:rFonts w:ascii="Times New Roman" w:eastAsia="Times New Roman" w:hAnsi="Times New Roman" w:cs="Times New Roman"/>
          <w:color w:val="000000"/>
          <w:sz w:val="28"/>
          <w:szCs w:val="28"/>
          <w:lang w:val="en-US" w:eastAsia="ru-RU"/>
        </w:rPr>
      </w:pPr>
      <w:proofErr w:type="spellStart"/>
      <w:r w:rsidRPr="00A265CB">
        <w:rPr>
          <w:rFonts w:ascii="Times New Roman" w:eastAsia="Times New Roman" w:hAnsi="Times New Roman" w:cs="Times New Roman"/>
          <w:color w:val="000000"/>
          <w:sz w:val="28"/>
          <w:szCs w:val="28"/>
          <w:lang w:val="en-US" w:eastAsia="ru-RU"/>
        </w:rPr>
        <w:t>Greenough</w:t>
      </w:r>
      <w:proofErr w:type="spellEnd"/>
      <w:r w:rsidRPr="00A265CB">
        <w:rPr>
          <w:rFonts w:ascii="Times New Roman" w:eastAsia="Times New Roman" w:hAnsi="Times New Roman" w:cs="Times New Roman"/>
          <w:color w:val="000000"/>
          <w:sz w:val="28"/>
          <w:szCs w:val="28"/>
          <w:lang w:val="en-US" w:eastAsia="ru-RU"/>
        </w:rPr>
        <w:t xml:space="preserve"> A</w:t>
      </w:r>
      <w:r w:rsidRPr="003A7D67">
        <w:rPr>
          <w:rFonts w:ascii="Times New Roman" w:eastAsia="Times New Roman" w:hAnsi="Times New Roman" w:cs="Times New Roman"/>
          <w:color w:val="000000"/>
          <w:sz w:val="28"/>
          <w:szCs w:val="28"/>
          <w:lang w:val="en-US" w:eastAsia="ru-RU"/>
        </w:rPr>
        <w:t>. Role of ventilation in RSV disease: CPAP, Ventilation, HFO</w:t>
      </w:r>
      <w:proofErr w:type="gramStart"/>
      <w:r w:rsidRPr="003A7D67">
        <w:rPr>
          <w:rFonts w:ascii="Times New Roman" w:eastAsia="Times New Roman" w:hAnsi="Times New Roman" w:cs="Times New Roman"/>
          <w:color w:val="000000"/>
          <w:sz w:val="28"/>
          <w:szCs w:val="28"/>
          <w:lang w:val="en-US" w:eastAsia="ru-RU"/>
        </w:rPr>
        <w:t>,ECMO</w:t>
      </w:r>
      <w:proofErr w:type="gramEnd"/>
      <w:r w:rsidRPr="003A7D67">
        <w:rPr>
          <w:rFonts w:ascii="Times New Roman" w:eastAsia="Times New Roman" w:hAnsi="Times New Roman" w:cs="Times New Roman"/>
          <w:color w:val="000000"/>
          <w:sz w:val="28"/>
          <w:szCs w:val="28"/>
          <w:lang w:val="en-US" w:eastAsia="ru-RU"/>
        </w:rPr>
        <w:t xml:space="preserve">. </w:t>
      </w:r>
      <w:r w:rsidRPr="003A7D67">
        <w:rPr>
          <w:rFonts w:ascii="Times New Roman" w:eastAsia="Times New Roman" w:hAnsi="Times New Roman" w:cs="Times New Roman"/>
          <w:color w:val="000000"/>
          <w:sz w:val="28"/>
          <w:szCs w:val="28"/>
          <w:lang w:val="uk-UA" w:eastAsia="ru-RU"/>
        </w:rPr>
        <w:t xml:space="preserve">/  </w:t>
      </w:r>
      <w:proofErr w:type="spellStart"/>
      <w:r w:rsidRPr="003A7D67">
        <w:rPr>
          <w:rFonts w:ascii="Times New Roman" w:hAnsi="Times New Roman" w:cs="Times New Roman"/>
          <w:sz w:val="28"/>
          <w:szCs w:val="28"/>
          <w:lang w:val="en-US"/>
        </w:rPr>
        <w:t>Paediatric</w:t>
      </w:r>
      <w:proofErr w:type="spellEnd"/>
      <w:r w:rsidRPr="003A7D67">
        <w:rPr>
          <w:rFonts w:ascii="Times New Roman" w:hAnsi="Times New Roman" w:cs="Times New Roman"/>
          <w:sz w:val="28"/>
          <w:szCs w:val="28"/>
          <w:lang w:val="en-US"/>
        </w:rPr>
        <w:t xml:space="preserve"> Respiratory Reviews</w:t>
      </w:r>
      <w:r w:rsidRPr="003A7D67">
        <w:rPr>
          <w:rFonts w:ascii="Times New Roman" w:eastAsia="Times New Roman" w:hAnsi="Times New Roman" w:cs="Times New Roman"/>
          <w:color w:val="000000"/>
          <w:sz w:val="28"/>
          <w:szCs w:val="28"/>
          <w:lang w:val="en-US" w:eastAsia="ru-RU"/>
        </w:rPr>
        <w:t>. – 2009. –</w:t>
      </w:r>
      <w:r>
        <w:rPr>
          <w:rFonts w:ascii="Times New Roman" w:eastAsia="Times New Roman" w:hAnsi="Times New Roman" w:cs="Times New Roman"/>
          <w:color w:val="000000"/>
          <w:sz w:val="28"/>
          <w:szCs w:val="28"/>
          <w:lang w:val="en-US" w:eastAsia="ru-RU"/>
        </w:rPr>
        <w:t xml:space="preserve"> V.1</w:t>
      </w:r>
      <w:r>
        <w:rPr>
          <w:rFonts w:ascii="Times New Roman" w:eastAsia="Times New Roman" w:hAnsi="Times New Roman" w:cs="Times New Roman"/>
          <w:color w:val="000000"/>
          <w:sz w:val="28"/>
          <w:szCs w:val="28"/>
          <w:lang w:val="uk-UA" w:eastAsia="ru-RU"/>
        </w:rPr>
        <w:t>№</w:t>
      </w:r>
      <w:r w:rsidRPr="00A265CB">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10.</w:t>
      </w:r>
      <w:r w:rsidRPr="00A265CB">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uk-UA" w:eastAsia="ru-RU"/>
        </w:rPr>
        <w:t xml:space="preserve">– Р. </w:t>
      </w:r>
      <w:r>
        <w:rPr>
          <w:rFonts w:ascii="Times New Roman" w:eastAsia="Times New Roman" w:hAnsi="Times New Roman" w:cs="Times New Roman"/>
          <w:color w:val="000000"/>
          <w:sz w:val="28"/>
          <w:szCs w:val="28"/>
          <w:lang w:val="en-US" w:eastAsia="ru-RU"/>
        </w:rPr>
        <w:t>26</w:t>
      </w:r>
      <w:r w:rsidRPr="00A265CB">
        <w:rPr>
          <w:rFonts w:ascii="Times New Roman" w:eastAsia="Times New Roman" w:hAnsi="Times New Roman" w:cs="Times New Roman"/>
          <w:color w:val="000000"/>
          <w:sz w:val="28"/>
          <w:szCs w:val="28"/>
          <w:lang w:val="en-US" w:eastAsia="ru-RU"/>
        </w:rPr>
        <w:t>-28</w:t>
      </w:r>
    </w:p>
    <w:p w:rsidR="00DF67FF" w:rsidRPr="00B67545" w:rsidRDefault="00DF67FF" w:rsidP="00DF67FF">
      <w:pPr>
        <w:pStyle w:val="a7"/>
        <w:numPr>
          <w:ilvl w:val="0"/>
          <w:numId w:val="9"/>
        </w:numPr>
        <w:spacing w:after="0" w:line="360" w:lineRule="auto"/>
        <w:ind w:left="357"/>
        <w:rPr>
          <w:rFonts w:ascii="Times New Roman" w:eastAsia="Times New Roman" w:hAnsi="Times New Roman" w:cs="Times New Roman"/>
          <w:color w:val="000000"/>
          <w:sz w:val="28"/>
          <w:szCs w:val="28"/>
          <w:lang w:val="en-US" w:eastAsia="ru-RU"/>
        </w:rPr>
      </w:pPr>
      <w:proofErr w:type="spellStart"/>
      <w:r w:rsidRPr="00B67545">
        <w:rPr>
          <w:rFonts w:ascii="Times New Roman" w:eastAsia="Times New Roman" w:hAnsi="Times New Roman" w:cs="Times New Roman"/>
          <w:sz w:val="28"/>
          <w:szCs w:val="28"/>
          <w:lang w:val="en-GB" w:eastAsia="ru-RU"/>
        </w:rPr>
        <w:t>Saugstad</w:t>
      </w:r>
      <w:proofErr w:type="spellEnd"/>
      <w:r w:rsidRPr="00B67545">
        <w:rPr>
          <w:rFonts w:ascii="Times New Roman" w:eastAsia="Times New Roman" w:hAnsi="Times New Roman" w:cs="Times New Roman"/>
          <w:sz w:val="28"/>
          <w:szCs w:val="28"/>
          <w:lang w:val="en-GB" w:eastAsia="ru-RU"/>
        </w:rPr>
        <w:t xml:space="preserve"> O.D. Resuscitation of depressed </w:t>
      </w:r>
      <w:proofErr w:type="spellStart"/>
      <w:r w:rsidRPr="00B67545">
        <w:rPr>
          <w:rFonts w:ascii="Times New Roman" w:eastAsia="Times New Roman" w:hAnsi="Times New Roman" w:cs="Times New Roman"/>
          <w:sz w:val="28"/>
          <w:szCs w:val="28"/>
          <w:lang w:val="en-GB" w:eastAsia="ru-RU"/>
        </w:rPr>
        <w:t>newborn</w:t>
      </w:r>
      <w:proofErr w:type="spellEnd"/>
      <w:r w:rsidRPr="00B67545">
        <w:rPr>
          <w:rFonts w:ascii="Times New Roman" w:eastAsia="Times New Roman" w:hAnsi="Times New Roman" w:cs="Times New Roman"/>
          <w:sz w:val="28"/>
          <w:szCs w:val="28"/>
          <w:lang w:val="en-GB" w:eastAsia="ru-RU"/>
        </w:rPr>
        <w:t xml:space="preserve"> infants with ambient air or pure oxygen: a meta-analysis.</w:t>
      </w:r>
      <w:r w:rsidRPr="00B67545">
        <w:rPr>
          <w:rFonts w:ascii="Times New Roman" w:eastAsia="Times New Roman" w:hAnsi="Times New Roman" w:cs="Times New Roman"/>
          <w:sz w:val="28"/>
          <w:szCs w:val="28"/>
          <w:lang w:val="uk-UA" w:eastAsia="ru-RU"/>
        </w:rPr>
        <w:t xml:space="preserve"> / </w:t>
      </w:r>
      <w:r w:rsidRPr="00B67545">
        <w:rPr>
          <w:rFonts w:ascii="Times New Roman" w:eastAsia="Times New Roman" w:hAnsi="Times New Roman" w:cs="Times New Roman"/>
          <w:sz w:val="28"/>
          <w:szCs w:val="28"/>
          <w:lang w:val="en-GB" w:eastAsia="ru-RU"/>
        </w:rPr>
        <w:t xml:space="preserve"> O.D. </w:t>
      </w:r>
      <w:proofErr w:type="spellStart"/>
      <w:r w:rsidRPr="00B67545">
        <w:rPr>
          <w:rFonts w:ascii="Times New Roman" w:eastAsia="Times New Roman" w:hAnsi="Times New Roman" w:cs="Times New Roman"/>
          <w:sz w:val="28"/>
          <w:szCs w:val="28"/>
          <w:lang w:val="en-GB" w:eastAsia="ru-RU"/>
        </w:rPr>
        <w:t>Saugstad</w:t>
      </w:r>
      <w:proofErr w:type="spellEnd"/>
      <w:r w:rsidRPr="00B67545">
        <w:rPr>
          <w:rFonts w:ascii="Times New Roman" w:eastAsia="Times New Roman" w:hAnsi="Times New Roman" w:cs="Times New Roman"/>
          <w:sz w:val="28"/>
          <w:szCs w:val="28"/>
          <w:lang w:val="uk-UA" w:eastAsia="ru-RU"/>
        </w:rPr>
        <w:t xml:space="preserve">, </w:t>
      </w:r>
      <w:r w:rsidRPr="00B67545">
        <w:rPr>
          <w:rFonts w:ascii="Times New Roman" w:eastAsia="Times New Roman" w:hAnsi="Times New Roman" w:cs="Times New Roman"/>
          <w:sz w:val="28"/>
          <w:szCs w:val="28"/>
          <w:lang w:val="en-GB" w:eastAsia="ru-RU"/>
        </w:rPr>
        <w:t xml:space="preserve"> S</w:t>
      </w:r>
      <w:r w:rsidRPr="00B67545">
        <w:rPr>
          <w:rFonts w:ascii="Times New Roman" w:eastAsia="Times New Roman" w:hAnsi="Times New Roman" w:cs="Times New Roman"/>
          <w:sz w:val="28"/>
          <w:szCs w:val="28"/>
          <w:lang w:val="uk-UA" w:eastAsia="ru-RU"/>
        </w:rPr>
        <w:t>.</w:t>
      </w:r>
      <w:proofErr w:type="spellStart"/>
      <w:r w:rsidRPr="00B67545">
        <w:rPr>
          <w:rFonts w:ascii="Times New Roman" w:eastAsia="Times New Roman" w:hAnsi="Times New Roman" w:cs="Times New Roman"/>
          <w:sz w:val="28"/>
          <w:szCs w:val="28"/>
          <w:lang w:val="en-GB" w:eastAsia="ru-RU"/>
        </w:rPr>
        <w:t>Ramji</w:t>
      </w:r>
      <w:proofErr w:type="spellEnd"/>
      <w:r w:rsidRPr="00B67545">
        <w:rPr>
          <w:rFonts w:ascii="Times New Roman" w:eastAsia="Times New Roman" w:hAnsi="Times New Roman" w:cs="Times New Roman"/>
          <w:sz w:val="28"/>
          <w:szCs w:val="28"/>
          <w:lang w:val="en-GB" w:eastAsia="ru-RU"/>
        </w:rPr>
        <w:t xml:space="preserve">, M. Vento </w:t>
      </w:r>
      <w:r w:rsidRPr="00B67545">
        <w:rPr>
          <w:rFonts w:ascii="Times New Roman" w:eastAsia="Times New Roman" w:hAnsi="Times New Roman" w:cs="Times New Roman"/>
          <w:sz w:val="28"/>
          <w:szCs w:val="28"/>
          <w:lang w:val="uk-UA" w:eastAsia="ru-RU"/>
        </w:rPr>
        <w:t xml:space="preserve">// </w:t>
      </w:r>
      <w:r w:rsidRPr="00B67545">
        <w:rPr>
          <w:rFonts w:ascii="Times New Roman" w:hAnsi="Times New Roman" w:cs="Times New Roman"/>
          <w:bCs/>
          <w:spacing w:val="2"/>
          <w:sz w:val="28"/>
          <w:szCs w:val="28"/>
          <w:lang w:val="en"/>
        </w:rPr>
        <w:t>Biology of the Neonate</w:t>
      </w:r>
      <w:r w:rsidRPr="00B67545">
        <w:rPr>
          <w:rFonts w:ascii="Times New Roman" w:eastAsia="Times New Roman" w:hAnsi="Times New Roman" w:cs="Times New Roman"/>
          <w:sz w:val="28"/>
          <w:szCs w:val="28"/>
          <w:lang w:val="en-GB" w:eastAsia="ru-RU"/>
        </w:rPr>
        <w:t xml:space="preserve">. </w:t>
      </w:r>
      <w:r w:rsidRPr="00B67545">
        <w:rPr>
          <w:rFonts w:ascii="Times New Roman" w:eastAsia="Times New Roman" w:hAnsi="Times New Roman" w:cs="Times New Roman"/>
          <w:sz w:val="28"/>
          <w:szCs w:val="28"/>
          <w:lang w:val="uk-UA" w:eastAsia="ru-RU"/>
        </w:rPr>
        <w:t xml:space="preserve">– </w:t>
      </w:r>
      <w:r w:rsidRPr="00B67545">
        <w:rPr>
          <w:rFonts w:ascii="Times New Roman" w:eastAsia="Times New Roman" w:hAnsi="Times New Roman" w:cs="Times New Roman"/>
          <w:sz w:val="28"/>
          <w:szCs w:val="28"/>
          <w:lang w:val="en-GB" w:eastAsia="ru-RU"/>
        </w:rPr>
        <w:t>2005</w:t>
      </w:r>
      <w:r w:rsidRPr="00B67545">
        <w:rPr>
          <w:rFonts w:ascii="Times New Roman" w:eastAsia="Times New Roman" w:hAnsi="Times New Roman" w:cs="Times New Roman"/>
          <w:sz w:val="28"/>
          <w:szCs w:val="28"/>
          <w:lang w:val="uk-UA" w:eastAsia="ru-RU"/>
        </w:rPr>
        <w:t>. - №</w:t>
      </w:r>
      <w:r w:rsidRPr="00B67545">
        <w:rPr>
          <w:rFonts w:ascii="Times New Roman" w:eastAsia="Times New Roman" w:hAnsi="Times New Roman" w:cs="Times New Roman"/>
          <w:sz w:val="28"/>
          <w:szCs w:val="28"/>
          <w:lang w:val="en-US" w:eastAsia="ru-RU"/>
        </w:rPr>
        <w:t xml:space="preserve"> 1</w:t>
      </w:r>
      <w:r w:rsidRPr="00B67545">
        <w:rPr>
          <w:rFonts w:ascii="Times New Roman" w:eastAsia="Times New Roman" w:hAnsi="Times New Roman" w:cs="Times New Roman"/>
          <w:sz w:val="28"/>
          <w:szCs w:val="28"/>
          <w:lang w:val="uk-UA" w:eastAsia="ru-RU"/>
        </w:rPr>
        <w:t>. – Р.</w:t>
      </w:r>
      <w:r w:rsidRPr="00B67545">
        <w:rPr>
          <w:rFonts w:ascii="Times New Roman" w:eastAsia="Times New Roman" w:hAnsi="Times New Roman" w:cs="Times New Roman"/>
          <w:sz w:val="28"/>
          <w:szCs w:val="28"/>
          <w:lang w:val="en-GB" w:eastAsia="ru-RU"/>
        </w:rPr>
        <w:t>87</w:t>
      </w:r>
    </w:p>
    <w:p w:rsidR="00DF67FF" w:rsidRPr="00B67545" w:rsidRDefault="00DF67FF" w:rsidP="00DF67FF">
      <w:pPr>
        <w:pStyle w:val="a7"/>
        <w:numPr>
          <w:ilvl w:val="0"/>
          <w:numId w:val="9"/>
        </w:numPr>
        <w:spacing w:after="0" w:line="360" w:lineRule="auto"/>
        <w:ind w:left="357"/>
        <w:rPr>
          <w:rFonts w:ascii="Times New Roman" w:eastAsia="Times New Roman" w:hAnsi="Times New Roman" w:cs="Times New Roman"/>
          <w:color w:val="000000"/>
          <w:sz w:val="28"/>
          <w:szCs w:val="28"/>
          <w:lang w:eastAsia="ru-RU"/>
        </w:rPr>
      </w:pPr>
      <w:proofErr w:type="spellStart"/>
      <w:r w:rsidRPr="00B67545">
        <w:rPr>
          <w:rFonts w:ascii="Times New Roman" w:eastAsia="Times New Roman" w:hAnsi="Times New Roman" w:cs="Times New Roman"/>
          <w:color w:val="000000"/>
          <w:sz w:val="28"/>
          <w:szCs w:val="28"/>
          <w:lang w:eastAsia="ru-RU"/>
        </w:rPr>
        <w:t>Дранник</w:t>
      </w:r>
      <w:proofErr w:type="spellEnd"/>
      <w:r w:rsidRPr="00B67545">
        <w:rPr>
          <w:rFonts w:ascii="Times New Roman" w:eastAsia="Times New Roman" w:hAnsi="Times New Roman" w:cs="Times New Roman"/>
          <w:color w:val="000000"/>
          <w:sz w:val="28"/>
          <w:szCs w:val="28"/>
          <w:lang w:eastAsia="ru-RU"/>
        </w:rPr>
        <w:t xml:space="preserve"> Г.Н. Клиническая иммунология и аллергология. </w:t>
      </w:r>
      <w:r>
        <w:rPr>
          <w:rFonts w:ascii="Times New Roman" w:eastAsia="Times New Roman" w:hAnsi="Times New Roman" w:cs="Times New Roman"/>
          <w:color w:val="000000"/>
          <w:sz w:val="28"/>
          <w:szCs w:val="28"/>
          <w:lang w:val="uk-UA" w:eastAsia="ru-RU"/>
        </w:rPr>
        <w:t xml:space="preserve"> – </w:t>
      </w:r>
      <w:r w:rsidRPr="00B67545">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val="uk-UA" w:eastAsia="ru-RU"/>
        </w:rPr>
        <w:t>.</w:t>
      </w:r>
      <w:r w:rsidRPr="00B6754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 xml:space="preserve"> П</w:t>
      </w:r>
      <w:proofErr w:type="spellStart"/>
      <w:r w:rsidRPr="00B67545">
        <w:rPr>
          <w:rFonts w:ascii="Times New Roman" w:eastAsia="Times New Roman" w:hAnsi="Times New Roman" w:cs="Times New Roman"/>
          <w:color w:val="000000"/>
          <w:sz w:val="28"/>
          <w:szCs w:val="28"/>
          <w:lang w:eastAsia="ru-RU"/>
        </w:rPr>
        <w:t>олиграф</w:t>
      </w:r>
      <w:proofErr w:type="spellEnd"/>
      <w:r w:rsidRPr="00B67545">
        <w:rPr>
          <w:rFonts w:ascii="Times New Roman" w:eastAsia="Times New Roman" w:hAnsi="Times New Roman" w:cs="Times New Roman"/>
          <w:color w:val="000000"/>
          <w:sz w:val="28"/>
          <w:szCs w:val="28"/>
          <w:lang w:eastAsia="ru-RU"/>
        </w:rPr>
        <w:t xml:space="preserve"> плюс</w:t>
      </w:r>
      <w:r>
        <w:rPr>
          <w:rFonts w:ascii="Times New Roman" w:eastAsia="Times New Roman" w:hAnsi="Times New Roman" w:cs="Times New Roman"/>
          <w:color w:val="000000"/>
          <w:sz w:val="28"/>
          <w:szCs w:val="28"/>
          <w:lang w:val="uk-UA" w:eastAsia="ru-RU"/>
        </w:rPr>
        <w:t>.</w:t>
      </w:r>
      <w:r w:rsidRPr="00B67545">
        <w:rPr>
          <w:rFonts w:ascii="Times New Roman" w:eastAsia="Times New Roman" w:hAnsi="Times New Roman" w:cs="Times New Roman"/>
          <w:color w:val="000000"/>
          <w:sz w:val="28"/>
          <w:szCs w:val="28"/>
          <w:lang w:eastAsia="ru-RU"/>
        </w:rPr>
        <w:t xml:space="preserve"> 2006</w:t>
      </w:r>
      <w:r>
        <w:rPr>
          <w:rFonts w:ascii="Times New Roman" w:eastAsia="Times New Roman" w:hAnsi="Times New Roman" w:cs="Times New Roman"/>
          <w:color w:val="000000"/>
          <w:sz w:val="28"/>
          <w:szCs w:val="28"/>
          <w:lang w:val="uk-UA" w:eastAsia="ru-RU"/>
        </w:rPr>
        <w:t xml:space="preserve">. – </w:t>
      </w:r>
      <w:r w:rsidRPr="00B6754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497с.</w:t>
      </w:r>
      <w:r w:rsidRPr="00B67545">
        <w:rPr>
          <w:rFonts w:ascii="Times New Roman" w:eastAsia="Times New Roman" w:hAnsi="Times New Roman" w:cs="Times New Roman"/>
          <w:color w:val="000000"/>
          <w:sz w:val="28"/>
          <w:szCs w:val="28"/>
          <w:lang w:eastAsia="ru-RU"/>
        </w:rPr>
        <w:t xml:space="preserve"> </w:t>
      </w:r>
    </w:p>
    <w:p w:rsidR="00DF67FF" w:rsidRPr="00B67545" w:rsidRDefault="00DF67FF" w:rsidP="00DF67FF">
      <w:pPr>
        <w:pStyle w:val="a7"/>
        <w:numPr>
          <w:ilvl w:val="0"/>
          <w:numId w:val="9"/>
        </w:numPr>
        <w:spacing w:after="0" w:line="360" w:lineRule="auto"/>
        <w:rPr>
          <w:rFonts w:ascii="Times New Roman" w:eastAsia="Times New Roman" w:hAnsi="Times New Roman" w:cs="Times New Roman"/>
          <w:color w:val="000000"/>
          <w:sz w:val="28"/>
          <w:szCs w:val="28"/>
          <w:lang w:eastAsia="ru-RU"/>
        </w:rPr>
      </w:pPr>
      <w:proofErr w:type="spellStart"/>
      <w:r w:rsidRPr="00B67545">
        <w:rPr>
          <w:rFonts w:ascii="Times New Roman" w:eastAsia="Times New Roman" w:hAnsi="Times New Roman" w:cs="Times New Roman"/>
          <w:color w:val="000000"/>
          <w:sz w:val="28"/>
          <w:szCs w:val="28"/>
          <w:lang w:eastAsia="ru-RU"/>
        </w:rPr>
        <w:t>Кетлинский</w:t>
      </w:r>
      <w:proofErr w:type="spellEnd"/>
      <w:r w:rsidRPr="00B67545">
        <w:rPr>
          <w:rFonts w:ascii="Times New Roman" w:eastAsia="Times New Roman" w:hAnsi="Times New Roman" w:cs="Times New Roman"/>
          <w:color w:val="000000"/>
          <w:sz w:val="28"/>
          <w:szCs w:val="28"/>
          <w:lang w:eastAsia="ru-RU"/>
        </w:rPr>
        <w:t xml:space="preserve"> С.А</w:t>
      </w:r>
      <w:r>
        <w:rPr>
          <w:rFonts w:ascii="Times New Roman" w:eastAsia="Times New Roman" w:hAnsi="Times New Roman" w:cs="Times New Roman"/>
          <w:color w:val="000000"/>
          <w:sz w:val="28"/>
          <w:szCs w:val="28"/>
          <w:lang w:val="uk-UA" w:eastAsia="ru-RU"/>
        </w:rPr>
        <w:t xml:space="preserve">. </w:t>
      </w:r>
      <w:proofErr w:type="spellStart"/>
      <w:r w:rsidRPr="00B67545">
        <w:rPr>
          <w:rFonts w:ascii="Times New Roman" w:eastAsia="Times New Roman" w:hAnsi="Times New Roman" w:cs="Times New Roman"/>
          <w:color w:val="000000"/>
          <w:sz w:val="28"/>
          <w:szCs w:val="28"/>
          <w:lang w:eastAsia="ru-RU"/>
        </w:rPr>
        <w:t>Цитокны</w:t>
      </w:r>
      <w:proofErr w:type="spellEnd"/>
      <w:r w:rsidRPr="00B6754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 xml:space="preserve">/ </w:t>
      </w:r>
      <w:r w:rsidRPr="00B67545">
        <w:rPr>
          <w:rFonts w:ascii="Times New Roman" w:eastAsia="Times New Roman" w:hAnsi="Times New Roman" w:cs="Times New Roman"/>
          <w:color w:val="000000"/>
          <w:sz w:val="28"/>
          <w:szCs w:val="28"/>
          <w:lang w:eastAsia="ru-RU"/>
        </w:rPr>
        <w:t>С.А.</w:t>
      </w:r>
      <w:r>
        <w:rPr>
          <w:rFonts w:ascii="Times New Roman" w:eastAsia="Times New Roman" w:hAnsi="Times New Roman" w:cs="Times New Roman"/>
          <w:color w:val="000000"/>
          <w:sz w:val="28"/>
          <w:szCs w:val="28"/>
          <w:lang w:val="uk-UA" w:eastAsia="ru-RU"/>
        </w:rPr>
        <w:t xml:space="preserve"> </w:t>
      </w:r>
      <w:proofErr w:type="spellStart"/>
      <w:r w:rsidRPr="00B67545">
        <w:rPr>
          <w:rFonts w:ascii="Times New Roman" w:eastAsia="Times New Roman" w:hAnsi="Times New Roman" w:cs="Times New Roman"/>
          <w:color w:val="000000"/>
          <w:sz w:val="28"/>
          <w:szCs w:val="28"/>
          <w:lang w:eastAsia="ru-RU"/>
        </w:rPr>
        <w:t>Кетлинский</w:t>
      </w:r>
      <w:proofErr w:type="spellEnd"/>
      <w:r w:rsidRPr="00B67545">
        <w:rPr>
          <w:rFonts w:ascii="Times New Roman" w:eastAsia="Times New Roman" w:hAnsi="Times New Roman" w:cs="Times New Roman"/>
          <w:color w:val="000000"/>
          <w:sz w:val="28"/>
          <w:szCs w:val="28"/>
          <w:lang w:eastAsia="ru-RU"/>
        </w:rPr>
        <w:t xml:space="preserve">, А.С. </w:t>
      </w:r>
      <w:proofErr w:type="spellStart"/>
      <w:r w:rsidRPr="00B67545">
        <w:rPr>
          <w:rFonts w:ascii="Times New Roman" w:eastAsia="Times New Roman" w:hAnsi="Times New Roman" w:cs="Times New Roman"/>
          <w:color w:val="000000"/>
          <w:sz w:val="28"/>
          <w:szCs w:val="28"/>
          <w:lang w:eastAsia="ru-RU"/>
        </w:rPr>
        <w:t>Сембирцев</w:t>
      </w:r>
      <w:proofErr w:type="spellEnd"/>
      <w:r w:rsidRPr="00B67545">
        <w:rPr>
          <w:rFonts w:ascii="Times New Roman" w:eastAsia="Times New Roman" w:hAnsi="Times New Roman" w:cs="Times New Roman"/>
          <w:color w:val="000000"/>
          <w:sz w:val="28"/>
          <w:szCs w:val="28"/>
          <w:lang w:eastAsia="ru-RU"/>
        </w:rPr>
        <w:t xml:space="preserve"> СПб</w:t>
      </w:r>
      <w:proofErr w:type="gramStart"/>
      <w:r>
        <w:rPr>
          <w:rFonts w:ascii="Times New Roman" w:eastAsia="Times New Roman" w:hAnsi="Times New Roman" w:cs="Times New Roman"/>
          <w:color w:val="000000"/>
          <w:sz w:val="28"/>
          <w:szCs w:val="28"/>
          <w:lang w:val="uk-UA" w:eastAsia="ru-RU"/>
        </w:rPr>
        <w:t>.:</w:t>
      </w:r>
      <w:r w:rsidRPr="00B67545">
        <w:rPr>
          <w:rFonts w:ascii="Times New Roman" w:eastAsia="Times New Roman" w:hAnsi="Times New Roman" w:cs="Times New Roman"/>
          <w:color w:val="000000"/>
          <w:sz w:val="28"/>
          <w:szCs w:val="28"/>
          <w:lang w:eastAsia="ru-RU"/>
        </w:rPr>
        <w:t xml:space="preserve"> </w:t>
      </w:r>
      <w:proofErr w:type="gramEnd"/>
      <w:r w:rsidRPr="00B67545">
        <w:rPr>
          <w:rFonts w:ascii="Times New Roman" w:eastAsia="Times New Roman" w:hAnsi="Times New Roman" w:cs="Times New Roman"/>
          <w:color w:val="000000"/>
          <w:sz w:val="28"/>
          <w:szCs w:val="28"/>
          <w:lang w:eastAsia="ru-RU"/>
        </w:rPr>
        <w:t>Фолиант</w:t>
      </w:r>
      <w:r>
        <w:rPr>
          <w:rFonts w:ascii="Times New Roman" w:eastAsia="Times New Roman" w:hAnsi="Times New Roman" w:cs="Times New Roman"/>
          <w:color w:val="000000"/>
          <w:sz w:val="28"/>
          <w:szCs w:val="28"/>
          <w:lang w:val="uk-UA" w:eastAsia="ru-RU"/>
        </w:rPr>
        <w:t xml:space="preserve">, </w:t>
      </w:r>
      <w:r w:rsidRPr="00B67545">
        <w:rPr>
          <w:rFonts w:ascii="Times New Roman" w:eastAsia="Times New Roman" w:hAnsi="Times New Roman" w:cs="Times New Roman"/>
          <w:color w:val="000000"/>
          <w:sz w:val="28"/>
          <w:szCs w:val="28"/>
          <w:lang w:eastAsia="ru-RU"/>
        </w:rPr>
        <w:t>2008</w:t>
      </w:r>
      <w:r>
        <w:rPr>
          <w:rFonts w:ascii="Times New Roman" w:eastAsia="Times New Roman" w:hAnsi="Times New Roman" w:cs="Times New Roman"/>
          <w:color w:val="000000"/>
          <w:sz w:val="28"/>
          <w:szCs w:val="28"/>
          <w:lang w:val="uk-UA" w:eastAsia="ru-RU"/>
        </w:rPr>
        <w:t>. – 547с.</w:t>
      </w:r>
    </w:p>
    <w:p w:rsidR="00DF67FF" w:rsidRPr="00B67545" w:rsidRDefault="00DF67FF" w:rsidP="00DF67FF">
      <w:pPr>
        <w:pStyle w:val="a7"/>
        <w:numPr>
          <w:ilvl w:val="0"/>
          <w:numId w:val="9"/>
        </w:numPr>
        <w:spacing w:after="0" w:line="360" w:lineRule="auto"/>
        <w:rPr>
          <w:rFonts w:ascii="Times New Roman" w:eastAsia="Times New Roman" w:hAnsi="Times New Roman" w:cs="Times New Roman"/>
          <w:color w:val="000000"/>
          <w:sz w:val="28"/>
          <w:szCs w:val="28"/>
          <w:lang w:eastAsia="ru-RU"/>
        </w:rPr>
      </w:pPr>
      <w:r w:rsidRPr="00B67545">
        <w:rPr>
          <w:rFonts w:ascii="Times New Roman" w:eastAsia="Times New Roman" w:hAnsi="Times New Roman" w:cs="Times New Roman"/>
          <w:color w:val="000000"/>
          <w:sz w:val="28"/>
          <w:szCs w:val="28"/>
          <w:lang w:eastAsia="ru-RU"/>
        </w:rPr>
        <w:t>Овсянніков Д.Ю. Система оказания медицинской помощи детям, страдающим бронхолегочной дисплазией. – М.:МДВ, 2010. – 151с.</w:t>
      </w:r>
    </w:p>
    <w:p w:rsidR="00DF67FF" w:rsidRPr="00B67545" w:rsidRDefault="00DF67FF" w:rsidP="00DF67FF">
      <w:pPr>
        <w:pStyle w:val="a7"/>
        <w:numPr>
          <w:ilvl w:val="0"/>
          <w:numId w:val="9"/>
        </w:numPr>
        <w:spacing w:after="0" w:line="360" w:lineRule="auto"/>
        <w:rPr>
          <w:rFonts w:ascii="Times New Roman" w:eastAsia="Times New Roman" w:hAnsi="Times New Roman" w:cs="Times New Roman"/>
          <w:color w:val="000000"/>
          <w:sz w:val="28"/>
          <w:szCs w:val="28"/>
          <w:lang w:eastAsia="ru-RU"/>
        </w:rPr>
      </w:pPr>
      <w:r w:rsidRPr="00B67545">
        <w:rPr>
          <w:rFonts w:ascii="Times New Roman" w:eastAsia="Times New Roman" w:hAnsi="Times New Roman" w:cs="Times New Roman"/>
          <w:color w:val="000000"/>
          <w:sz w:val="28"/>
          <w:szCs w:val="28"/>
          <w:lang w:eastAsia="ru-RU"/>
        </w:rPr>
        <w:t>Полетаев А.Б. Гинекология:</w:t>
      </w:r>
      <w:r>
        <w:rPr>
          <w:rFonts w:ascii="Times New Roman" w:eastAsia="Times New Roman" w:hAnsi="Times New Roman" w:cs="Times New Roman"/>
          <w:color w:val="000000"/>
          <w:sz w:val="28"/>
          <w:szCs w:val="28"/>
          <w:lang w:val="uk-UA" w:eastAsia="ru-RU"/>
        </w:rPr>
        <w:t xml:space="preserve"> </w:t>
      </w:r>
      <w:proofErr w:type="spellStart"/>
      <w:r w:rsidRPr="00B67545">
        <w:rPr>
          <w:rFonts w:ascii="Times New Roman" w:eastAsia="Times New Roman" w:hAnsi="Times New Roman" w:cs="Times New Roman"/>
          <w:color w:val="000000"/>
          <w:sz w:val="28"/>
          <w:szCs w:val="28"/>
          <w:lang w:eastAsia="ru-RU"/>
        </w:rPr>
        <w:t>экстрагенитальная</w:t>
      </w:r>
      <w:proofErr w:type="spellEnd"/>
      <w:r w:rsidRPr="00B67545">
        <w:rPr>
          <w:rFonts w:ascii="Times New Roman" w:eastAsia="Times New Roman" w:hAnsi="Times New Roman" w:cs="Times New Roman"/>
          <w:color w:val="000000"/>
          <w:sz w:val="28"/>
          <w:szCs w:val="28"/>
          <w:lang w:eastAsia="ru-RU"/>
        </w:rPr>
        <w:t xml:space="preserve"> патология и беременность.</w:t>
      </w:r>
      <w:r>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eastAsia="ru-RU"/>
        </w:rPr>
        <w:t xml:space="preserve"> Практическая медицина</w:t>
      </w:r>
      <w:r>
        <w:rPr>
          <w:rFonts w:ascii="Times New Roman" w:eastAsia="Times New Roman" w:hAnsi="Times New Roman" w:cs="Times New Roman"/>
          <w:color w:val="000000"/>
          <w:sz w:val="28"/>
          <w:szCs w:val="28"/>
          <w:lang w:val="uk-UA" w:eastAsia="ru-RU"/>
        </w:rPr>
        <w:t xml:space="preserve">. – </w:t>
      </w:r>
      <w:r w:rsidRPr="00B67545">
        <w:rPr>
          <w:rFonts w:ascii="Times New Roman" w:eastAsia="Times New Roman" w:hAnsi="Times New Roman" w:cs="Times New Roman"/>
          <w:color w:val="000000"/>
          <w:sz w:val="28"/>
          <w:szCs w:val="28"/>
          <w:lang w:eastAsia="ru-RU"/>
        </w:rPr>
        <w:t>2003.</w:t>
      </w:r>
      <w:r>
        <w:rPr>
          <w:rFonts w:ascii="Times New Roman" w:eastAsia="Times New Roman" w:hAnsi="Times New Roman" w:cs="Times New Roman"/>
          <w:color w:val="000000"/>
          <w:sz w:val="28"/>
          <w:szCs w:val="28"/>
          <w:lang w:val="uk-UA" w:eastAsia="ru-RU"/>
        </w:rPr>
        <w:t xml:space="preserve"> – </w:t>
      </w:r>
      <w:r w:rsidRPr="00B67545">
        <w:rPr>
          <w:rFonts w:ascii="Times New Roman" w:eastAsia="Times New Roman" w:hAnsi="Times New Roman" w:cs="Times New Roman"/>
          <w:color w:val="000000"/>
          <w:sz w:val="28"/>
          <w:szCs w:val="28"/>
          <w:lang w:eastAsia="ru-RU"/>
        </w:rPr>
        <w:t xml:space="preserve"> №3</w:t>
      </w:r>
      <w:r>
        <w:rPr>
          <w:rFonts w:ascii="Times New Roman" w:eastAsia="Times New Roman" w:hAnsi="Times New Roman" w:cs="Times New Roman"/>
          <w:color w:val="000000"/>
          <w:sz w:val="28"/>
          <w:szCs w:val="28"/>
          <w:lang w:val="uk-UA" w:eastAsia="ru-RU"/>
        </w:rPr>
        <w:t xml:space="preserve">. – </w:t>
      </w:r>
      <w:r w:rsidRPr="00B67545">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val="uk-UA" w:eastAsia="ru-RU"/>
        </w:rPr>
        <w:t>.</w:t>
      </w:r>
      <w:r w:rsidRPr="00B67545">
        <w:rPr>
          <w:rFonts w:ascii="Times New Roman" w:eastAsia="Times New Roman" w:hAnsi="Times New Roman" w:cs="Times New Roman"/>
          <w:color w:val="000000"/>
          <w:sz w:val="28"/>
          <w:szCs w:val="28"/>
          <w:lang w:eastAsia="ru-RU"/>
        </w:rPr>
        <w:t xml:space="preserve"> 21-26. </w:t>
      </w:r>
    </w:p>
    <w:p w:rsidR="00DF67FF" w:rsidRPr="00DF67FF" w:rsidRDefault="00DF67FF" w:rsidP="00DF67FF">
      <w:pPr>
        <w:pStyle w:val="a7"/>
        <w:numPr>
          <w:ilvl w:val="0"/>
          <w:numId w:val="9"/>
        </w:numPr>
        <w:spacing w:after="0" w:line="360" w:lineRule="auto"/>
        <w:rPr>
          <w:rFonts w:ascii="Times New Roman" w:eastAsia="Times New Roman" w:hAnsi="Times New Roman" w:cs="Times New Roman"/>
          <w:color w:val="000000"/>
          <w:sz w:val="28"/>
          <w:szCs w:val="28"/>
          <w:lang w:eastAsia="ru-RU"/>
        </w:rPr>
      </w:pPr>
      <w:r w:rsidRPr="00924CB3">
        <w:rPr>
          <w:rFonts w:ascii="Times New Roman" w:eastAsia="Times New Roman" w:hAnsi="Times New Roman" w:cs="Times New Roman"/>
          <w:color w:val="000000"/>
          <w:sz w:val="28"/>
          <w:szCs w:val="28"/>
          <w:lang w:val="uk-UA" w:eastAsia="ru-RU"/>
        </w:rPr>
        <w:t>Протокол надання допомоги новонародженій дитині з дихальними розладами Наказ МОЗ №484 від 21-08-2008</w:t>
      </w:r>
    </w:p>
    <w:p w:rsidR="00B47C0F" w:rsidRPr="00DF67FF" w:rsidRDefault="00DF67FF" w:rsidP="00A265CB">
      <w:pPr>
        <w:pStyle w:val="a7"/>
        <w:numPr>
          <w:ilvl w:val="0"/>
          <w:numId w:val="9"/>
        </w:numPr>
        <w:spacing w:after="0" w:line="360" w:lineRule="auto"/>
        <w:ind w:firstLine="708"/>
        <w:jc w:val="both"/>
        <w:rPr>
          <w:rFonts w:ascii="Times New Roman" w:hAnsi="Times New Roman" w:cs="Times New Roman"/>
          <w:sz w:val="28"/>
          <w:szCs w:val="28"/>
          <w:lang w:val="uk-UA"/>
        </w:rPr>
      </w:pPr>
      <w:proofErr w:type="spellStart"/>
      <w:r w:rsidRPr="00DF67FF">
        <w:rPr>
          <w:rFonts w:ascii="Times New Roman" w:eastAsia="Times New Roman" w:hAnsi="Times New Roman" w:cs="Times New Roman"/>
          <w:color w:val="000000"/>
          <w:sz w:val="28"/>
          <w:szCs w:val="28"/>
          <w:lang w:val="uk-UA" w:eastAsia="ru-RU"/>
        </w:rPr>
        <w:t>Романцов</w:t>
      </w:r>
      <w:proofErr w:type="spellEnd"/>
      <w:r w:rsidRPr="00DF67FF">
        <w:rPr>
          <w:rFonts w:ascii="Times New Roman" w:eastAsia="Times New Roman" w:hAnsi="Times New Roman" w:cs="Times New Roman"/>
          <w:color w:val="000000"/>
          <w:sz w:val="28"/>
          <w:szCs w:val="28"/>
          <w:lang w:val="uk-UA" w:eastAsia="ru-RU"/>
        </w:rPr>
        <w:t xml:space="preserve"> М.Г. Синдром </w:t>
      </w:r>
      <w:proofErr w:type="spellStart"/>
      <w:r w:rsidRPr="00DF67FF">
        <w:rPr>
          <w:rFonts w:ascii="Times New Roman" w:eastAsia="Times New Roman" w:hAnsi="Times New Roman" w:cs="Times New Roman"/>
          <w:color w:val="000000"/>
          <w:sz w:val="28"/>
          <w:szCs w:val="28"/>
          <w:lang w:val="uk-UA" w:eastAsia="ru-RU"/>
        </w:rPr>
        <w:t>воспаления</w:t>
      </w:r>
      <w:proofErr w:type="spellEnd"/>
      <w:r w:rsidRPr="00DF67FF">
        <w:rPr>
          <w:rFonts w:ascii="Times New Roman" w:eastAsia="Times New Roman" w:hAnsi="Times New Roman" w:cs="Times New Roman"/>
          <w:color w:val="000000"/>
          <w:sz w:val="28"/>
          <w:szCs w:val="28"/>
          <w:lang w:val="uk-UA" w:eastAsia="ru-RU"/>
        </w:rPr>
        <w:t xml:space="preserve"> </w:t>
      </w:r>
      <w:proofErr w:type="spellStart"/>
      <w:r w:rsidRPr="00DF67FF">
        <w:rPr>
          <w:rFonts w:ascii="Times New Roman" w:eastAsia="Times New Roman" w:hAnsi="Times New Roman" w:cs="Times New Roman"/>
          <w:color w:val="000000"/>
          <w:sz w:val="28"/>
          <w:szCs w:val="28"/>
          <w:lang w:val="uk-UA" w:eastAsia="ru-RU"/>
        </w:rPr>
        <w:t>дыхательных</w:t>
      </w:r>
      <w:proofErr w:type="spellEnd"/>
      <w:r w:rsidRPr="00DF67FF">
        <w:rPr>
          <w:rFonts w:ascii="Times New Roman" w:eastAsia="Times New Roman" w:hAnsi="Times New Roman" w:cs="Times New Roman"/>
          <w:color w:val="000000"/>
          <w:sz w:val="28"/>
          <w:szCs w:val="28"/>
          <w:lang w:val="uk-UA" w:eastAsia="ru-RU"/>
        </w:rPr>
        <w:t xml:space="preserve"> путей у </w:t>
      </w:r>
      <w:proofErr w:type="spellStart"/>
      <w:r w:rsidRPr="00DF67FF">
        <w:rPr>
          <w:rFonts w:ascii="Times New Roman" w:eastAsia="Times New Roman" w:hAnsi="Times New Roman" w:cs="Times New Roman"/>
          <w:color w:val="000000"/>
          <w:sz w:val="28"/>
          <w:szCs w:val="28"/>
          <w:lang w:val="uk-UA" w:eastAsia="ru-RU"/>
        </w:rPr>
        <w:t>детей</w:t>
      </w:r>
      <w:proofErr w:type="spellEnd"/>
      <w:r w:rsidRPr="00DF67FF">
        <w:rPr>
          <w:rFonts w:ascii="Times New Roman" w:eastAsia="Times New Roman" w:hAnsi="Times New Roman" w:cs="Times New Roman"/>
          <w:color w:val="000000"/>
          <w:sz w:val="28"/>
          <w:szCs w:val="28"/>
          <w:lang w:val="uk-UA" w:eastAsia="ru-RU"/>
        </w:rPr>
        <w:t xml:space="preserve">. / М.Г. </w:t>
      </w:r>
      <w:proofErr w:type="spellStart"/>
      <w:r w:rsidRPr="00DF67FF">
        <w:rPr>
          <w:rFonts w:ascii="Times New Roman" w:eastAsia="Times New Roman" w:hAnsi="Times New Roman" w:cs="Times New Roman"/>
          <w:color w:val="000000"/>
          <w:sz w:val="28"/>
          <w:szCs w:val="28"/>
          <w:lang w:val="uk-UA" w:eastAsia="ru-RU"/>
        </w:rPr>
        <w:t>Романцов</w:t>
      </w:r>
      <w:proofErr w:type="spellEnd"/>
      <w:r w:rsidRPr="00DF67FF">
        <w:rPr>
          <w:rFonts w:ascii="Times New Roman" w:eastAsia="Times New Roman" w:hAnsi="Times New Roman" w:cs="Times New Roman"/>
          <w:color w:val="000000"/>
          <w:sz w:val="28"/>
          <w:szCs w:val="28"/>
          <w:lang w:val="uk-UA" w:eastAsia="ru-RU"/>
        </w:rPr>
        <w:t xml:space="preserve">, И.Ю.Мельникова, А.Н. </w:t>
      </w:r>
      <w:proofErr w:type="spellStart"/>
      <w:r w:rsidRPr="00DF67FF">
        <w:rPr>
          <w:rFonts w:ascii="Times New Roman" w:eastAsia="Times New Roman" w:hAnsi="Times New Roman" w:cs="Times New Roman"/>
          <w:color w:val="000000"/>
          <w:sz w:val="28"/>
          <w:szCs w:val="28"/>
          <w:lang w:val="uk-UA" w:eastAsia="ru-RU"/>
        </w:rPr>
        <w:t>Смагина</w:t>
      </w:r>
      <w:proofErr w:type="spellEnd"/>
      <w:r w:rsidRPr="00DF67FF">
        <w:rPr>
          <w:rFonts w:ascii="Times New Roman" w:eastAsia="Times New Roman" w:hAnsi="Times New Roman" w:cs="Times New Roman"/>
          <w:color w:val="000000"/>
          <w:sz w:val="28"/>
          <w:szCs w:val="28"/>
          <w:lang w:val="uk-UA" w:eastAsia="ru-RU"/>
        </w:rPr>
        <w:t xml:space="preserve">, А.А. </w:t>
      </w:r>
      <w:proofErr w:type="spellStart"/>
      <w:r w:rsidRPr="00DF67FF">
        <w:rPr>
          <w:rFonts w:ascii="Times New Roman" w:eastAsia="Times New Roman" w:hAnsi="Times New Roman" w:cs="Times New Roman"/>
          <w:color w:val="000000"/>
          <w:sz w:val="28"/>
          <w:szCs w:val="28"/>
          <w:lang w:val="uk-UA" w:eastAsia="ru-RU"/>
        </w:rPr>
        <w:t>Шульдяков</w:t>
      </w:r>
      <w:proofErr w:type="spellEnd"/>
      <w:r w:rsidRPr="00DF67FF">
        <w:rPr>
          <w:rFonts w:ascii="Times New Roman" w:eastAsia="Times New Roman" w:hAnsi="Times New Roman" w:cs="Times New Roman"/>
          <w:color w:val="000000"/>
          <w:sz w:val="28"/>
          <w:szCs w:val="28"/>
          <w:lang w:val="uk-UA" w:eastAsia="ru-RU"/>
        </w:rPr>
        <w:t xml:space="preserve"> // </w:t>
      </w:r>
      <w:proofErr w:type="spellStart"/>
      <w:r w:rsidRPr="00DF67FF">
        <w:rPr>
          <w:rFonts w:ascii="Times New Roman" w:eastAsia="Times New Roman" w:hAnsi="Times New Roman" w:cs="Times New Roman"/>
          <w:color w:val="000000"/>
          <w:sz w:val="28"/>
          <w:szCs w:val="28"/>
          <w:lang w:val="uk-UA" w:eastAsia="ru-RU"/>
        </w:rPr>
        <w:t>Фундаментальн</w:t>
      </w:r>
      <w:r w:rsidRPr="00DF67FF">
        <w:rPr>
          <w:rFonts w:ascii="Times New Roman" w:eastAsia="Times New Roman" w:hAnsi="Times New Roman" w:cs="Times New Roman"/>
          <w:color w:val="000000"/>
          <w:sz w:val="28"/>
          <w:szCs w:val="28"/>
          <w:lang w:eastAsia="ru-RU"/>
        </w:rPr>
        <w:t>ые</w:t>
      </w:r>
      <w:proofErr w:type="spellEnd"/>
      <w:r w:rsidRPr="00DF67FF">
        <w:rPr>
          <w:rFonts w:ascii="Times New Roman" w:eastAsia="Times New Roman" w:hAnsi="Times New Roman" w:cs="Times New Roman"/>
          <w:color w:val="000000"/>
          <w:sz w:val="28"/>
          <w:szCs w:val="28"/>
          <w:lang w:eastAsia="ru-RU"/>
        </w:rPr>
        <w:t xml:space="preserve"> исследования. –  </w:t>
      </w:r>
      <w:r w:rsidRPr="00DF67FF">
        <w:rPr>
          <w:rFonts w:ascii="Times New Roman" w:eastAsia="Times New Roman" w:hAnsi="Times New Roman" w:cs="Times New Roman"/>
          <w:color w:val="000000"/>
          <w:sz w:val="28"/>
          <w:szCs w:val="28"/>
          <w:lang w:val="uk-UA" w:eastAsia="ru-RU"/>
        </w:rPr>
        <w:t>2012. – №2. – С.110-116</w:t>
      </w:r>
      <w:r w:rsidR="003005D5" w:rsidRPr="00DF67FF">
        <w:rPr>
          <w:rFonts w:ascii="Times New Roman" w:hAnsi="Times New Roman" w:cs="Times New Roman"/>
          <w:b/>
          <w:sz w:val="28"/>
          <w:szCs w:val="28"/>
          <w:lang w:val="uk-UA"/>
        </w:rPr>
        <w:t xml:space="preserve"> </w:t>
      </w:r>
    </w:p>
    <w:sectPr w:rsidR="00B47C0F" w:rsidRPr="00DF67FF" w:rsidSect="005E7234">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AAB" w:rsidRDefault="00F10AAB" w:rsidP="000D7CBD">
      <w:pPr>
        <w:spacing w:after="0" w:line="240" w:lineRule="auto"/>
      </w:pPr>
      <w:r>
        <w:separator/>
      </w:r>
    </w:p>
  </w:endnote>
  <w:endnote w:type="continuationSeparator" w:id="0">
    <w:p w:rsidR="00F10AAB" w:rsidRDefault="00F10AAB" w:rsidP="000D7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004571"/>
      <w:docPartObj>
        <w:docPartGallery w:val="Page Numbers (Bottom of Page)"/>
        <w:docPartUnique/>
      </w:docPartObj>
    </w:sdtPr>
    <w:sdtEndPr/>
    <w:sdtContent>
      <w:p w:rsidR="001430FA" w:rsidRDefault="00F82AD4">
        <w:pPr>
          <w:pStyle w:val="a5"/>
          <w:jc w:val="right"/>
        </w:pPr>
        <w:r>
          <w:fldChar w:fldCharType="begin"/>
        </w:r>
        <w:r>
          <w:instrText>PAGE   \* MERGEFORMAT</w:instrText>
        </w:r>
        <w:r>
          <w:fldChar w:fldCharType="separate"/>
        </w:r>
        <w:r w:rsidR="00DF67FF">
          <w:rPr>
            <w:noProof/>
          </w:rPr>
          <w:t>1</w:t>
        </w:r>
        <w:r>
          <w:rPr>
            <w:noProof/>
          </w:rPr>
          <w:fldChar w:fldCharType="end"/>
        </w:r>
      </w:p>
    </w:sdtContent>
  </w:sdt>
  <w:p w:rsidR="001430FA" w:rsidRDefault="001430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AAB" w:rsidRDefault="00F10AAB" w:rsidP="000D7CBD">
      <w:pPr>
        <w:spacing w:after="0" w:line="240" w:lineRule="auto"/>
      </w:pPr>
      <w:r>
        <w:separator/>
      </w:r>
    </w:p>
  </w:footnote>
  <w:footnote w:type="continuationSeparator" w:id="0">
    <w:p w:rsidR="00F10AAB" w:rsidRDefault="00F10AAB" w:rsidP="000D7C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42D"/>
    <w:multiLevelType w:val="hybridMultilevel"/>
    <w:tmpl w:val="B33CAF8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AF73B96"/>
    <w:multiLevelType w:val="hybridMultilevel"/>
    <w:tmpl w:val="3B5CC6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B425863"/>
    <w:multiLevelType w:val="hybridMultilevel"/>
    <w:tmpl w:val="32F0A1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B4A14FF"/>
    <w:multiLevelType w:val="hybridMultilevel"/>
    <w:tmpl w:val="B5A64F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7577A57"/>
    <w:multiLevelType w:val="hybridMultilevel"/>
    <w:tmpl w:val="B33CAF8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C0C0C42"/>
    <w:multiLevelType w:val="hybridMultilevel"/>
    <w:tmpl w:val="CFB023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4F2475F"/>
    <w:multiLevelType w:val="hybridMultilevel"/>
    <w:tmpl w:val="92A08A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1CF09FF"/>
    <w:multiLevelType w:val="hybridMultilevel"/>
    <w:tmpl w:val="71F8A7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6916304D"/>
    <w:multiLevelType w:val="hybridMultilevel"/>
    <w:tmpl w:val="477CED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6"/>
  </w:num>
  <w:num w:numId="4">
    <w:abstractNumId w:val="2"/>
  </w:num>
  <w:num w:numId="5">
    <w:abstractNumId w:val="5"/>
  </w:num>
  <w:num w:numId="6">
    <w:abstractNumId w:val="0"/>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219"/>
    <w:rsid w:val="00016D8C"/>
    <w:rsid w:val="00023CDE"/>
    <w:rsid w:val="00027960"/>
    <w:rsid w:val="0005673B"/>
    <w:rsid w:val="0007082A"/>
    <w:rsid w:val="00070FB9"/>
    <w:rsid w:val="000766AB"/>
    <w:rsid w:val="00082C58"/>
    <w:rsid w:val="00095A38"/>
    <w:rsid w:val="000D37C3"/>
    <w:rsid w:val="000D7CBD"/>
    <w:rsid w:val="000E2E01"/>
    <w:rsid w:val="000E7531"/>
    <w:rsid w:val="000F3F9C"/>
    <w:rsid w:val="00131E99"/>
    <w:rsid w:val="00141906"/>
    <w:rsid w:val="001430FA"/>
    <w:rsid w:val="00146B69"/>
    <w:rsid w:val="00165307"/>
    <w:rsid w:val="00172EAE"/>
    <w:rsid w:val="001805D0"/>
    <w:rsid w:val="00186888"/>
    <w:rsid w:val="001B1C58"/>
    <w:rsid w:val="001E2CDB"/>
    <w:rsid w:val="00212C7E"/>
    <w:rsid w:val="00227AB5"/>
    <w:rsid w:val="00237C9B"/>
    <w:rsid w:val="00245DB0"/>
    <w:rsid w:val="002548B2"/>
    <w:rsid w:val="002548D3"/>
    <w:rsid w:val="0027179A"/>
    <w:rsid w:val="002B4E40"/>
    <w:rsid w:val="002E3AAD"/>
    <w:rsid w:val="003005D5"/>
    <w:rsid w:val="003104BD"/>
    <w:rsid w:val="00314D55"/>
    <w:rsid w:val="003201FE"/>
    <w:rsid w:val="003367EF"/>
    <w:rsid w:val="003438E2"/>
    <w:rsid w:val="003456FC"/>
    <w:rsid w:val="003524C7"/>
    <w:rsid w:val="003566B6"/>
    <w:rsid w:val="00357662"/>
    <w:rsid w:val="00397C2B"/>
    <w:rsid w:val="003A396C"/>
    <w:rsid w:val="003A5867"/>
    <w:rsid w:val="003A7D67"/>
    <w:rsid w:val="003C5BC1"/>
    <w:rsid w:val="003E5216"/>
    <w:rsid w:val="003E6FC0"/>
    <w:rsid w:val="0041052B"/>
    <w:rsid w:val="00424841"/>
    <w:rsid w:val="004379DF"/>
    <w:rsid w:val="00454736"/>
    <w:rsid w:val="0046422D"/>
    <w:rsid w:val="00470F5C"/>
    <w:rsid w:val="00476602"/>
    <w:rsid w:val="0049315A"/>
    <w:rsid w:val="004B54B0"/>
    <w:rsid w:val="004D0F9F"/>
    <w:rsid w:val="00515787"/>
    <w:rsid w:val="00531C74"/>
    <w:rsid w:val="005326B8"/>
    <w:rsid w:val="00570B69"/>
    <w:rsid w:val="005B099B"/>
    <w:rsid w:val="005D0B9B"/>
    <w:rsid w:val="005D7591"/>
    <w:rsid w:val="005E416B"/>
    <w:rsid w:val="005E7234"/>
    <w:rsid w:val="005F0ED0"/>
    <w:rsid w:val="005F5693"/>
    <w:rsid w:val="005F7E1D"/>
    <w:rsid w:val="00604D90"/>
    <w:rsid w:val="00613EB5"/>
    <w:rsid w:val="00630826"/>
    <w:rsid w:val="00633A00"/>
    <w:rsid w:val="006403E8"/>
    <w:rsid w:val="0065157C"/>
    <w:rsid w:val="0065762B"/>
    <w:rsid w:val="00666C3E"/>
    <w:rsid w:val="00685A10"/>
    <w:rsid w:val="006B4F5C"/>
    <w:rsid w:val="006C2B45"/>
    <w:rsid w:val="006E2849"/>
    <w:rsid w:val="006E5219"/>
    <w:rsid w:val="0076022F"/>
    <w:rsid w:val="00765229"/>
    <w:rsid w:val="00771C26"/>
    <w:rsid w:val="007934BD"/>
    <w:rsid w:val="007A0ADF"/>
    <w:rsid w:val="007B14AD"/>
    <w:rsid w:val="007B2555"/>
    <w:rsid w:val="007D6A0E"/>
    <w:rsid w:val="007E0E0D"/>
    <w:rsid w:val="007F2DEB"/>
    <w:rsid w:val="007F5D61"/>
    <w:rsid w:val="008111A3"/>
    <w:rsid w:val="00812565"/>
    <w:rsid w:val="00832AF0"/>
    <w:rsid w:val="008374FF"/>
    <w:rsid w:val="00881F8E"/>
    <w:rsid w:val="00892C89"/>
    <w:rsid w:val="00897496"/>
    <w:rsid w:val="008C0A13"/>
    <w:rsid w:val="008C686E"/>
    <w:rsid w:val="008D2162"/>
    <w:rsid w:val="008F5BF1"/>
    <w:rsid w:val="00936D97"/>
    <w:rsid w:val="00950180"/>
    <w:rsid w:val="00980C52"/>
    <w:rsid w:val="00980DE9"/>
    <w:rsid w:val="009C128A"/>
    <w:rsid w:val="009F031D"/>
    <w:rsid w:val="009F1061"/>
    <w:rsid w:val="009F5C3F"/>
    <w:rsid w:val="009F6668"/>
    <w:rsid w:val="00A00C80"/>
    <w:rsid w:val="00A03B2C"/>
    <w:rsid w:val="00A05B10"/>
    <w:rsid w:val="00A05F01"/>
    <w:rsid w:val="00A17380"/>
    <w:rsid w:val="00A265CB"/>
    <w:rsid w:val="00A268F8"/>
    <w:rsid w:val="00A31076"/>
    <w:rsid w:val="00A31F3B"/>
    <w:rsid w:val="00AA2E76"/>
    <w:rsid w:val="00AB242A"/>
    <w:rsid w:val="00AC6DAA"/>
    <w:rsid w:val="00AC7850"/>
    <w:rsid w:val="00AF30D1"/>
    <w:rsid w:val="00B02549"/>
    <w:rsid w:val="00B32238"/>
    <w:rsid w:val="00B32DAB"/>
    <w:rsid w:val="00B429BB"/>
    <w:rsid w:val="00B47C0F"/>
    <w:rsid w:val="00B5618E"/>
    <w:rsid w:val="00B67545"/>
    <w:rsid w:val="00B745E4"/>
    <w:rsid w:val="00B81C70"/>
    <w:rsid w:val="00B85A75"/>
    <w:rsid w:val="00BA255C"/>
    <w:rsid w:val="00BC2334"/>
    <w:rsid w:val="00BC3D4A"/>
    <w:rsid w:val="00BC64BC"/>
    <w:rsid w:val="00C01993"/>
    <w:rsid w:val="00C1050E"/>
    <w:rsid w:val="00C164DC"/>
    <w:rsid w:val="00C74076"/>
    <w:rsid w:val="00CC0D57"/>
    <w:rsid w:val="00CC3DF6"/>
    <w:rsid w:val="00CF7F4F"/>
    <w:rsid w:val="00D23545"/>
    <w:rsid w:val="00D40DB3"/>
    <w:rsid w:val="00D427BB"/>
    <w:rsid w:val="00D47848"/>
    <w:rsid w:val="00DD1152"/>
    <w:rsid w:val="00DF1EF6"/>
    <w:rsid w:val="00DF67FF"/>
    <w:rsid w:val="00E141DC"/>
    <w:rsid w:val="00E35BE9"/>
    <w:rsid w:val="00E642B2"/>
    <w:rsid w:val="00E77123"/>
    <w:rsid w:val="00E82398"/>
    <w:rsid w:val="00E82C0A"/>
    <w:rsid w:val="00E86BBF"/>
    <w:rsid w:val="00E8776D"/>
    <w:rsid w:val="00EA4B8E"/>
    <w:rsid w:val="00EA6D1F"/>
    <w:rsid w:val="00EC2465"/>
    <w:rsid w:val="00EE7866"/>
    <w:rsid w:val="00F10AAB"/>
    <w:rsid w:val="00F225DA"/>
    <w:rsid w:val="00F4139A"/>
    <w:rsid w:val="00F52ED0"/>
    <w:rsid w:val="00F54BBE"/>
    <w:rsid w:val="00F55725"/>
    <w:rsid w:val="00F82AD4"/>
    <w:rsid w:val="00F84B48"/>
    <w:rsid w:val="00F90096"/>
    <w:rsid w:val="00F93523"/>
    <w:rsid w:val="00FE6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E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C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7CBD"/>
  </w:style>
  <w:style w:type="paragraph" w:styleId="a5">
    <w:name w:val="footer"/>
    <w:basedOn w:val="a"/>
    <w:link w:val="a6"/>
    <w:uiPriority w:val="99"/>
    <w:unhideWhenUsed/>
    <w:rsid w:val="000D7C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7CBD"/>
  </w:style>
  <w:style w:type="paragraph" w:styleId="a7">
    <w:name w:val="List Paragraph"/>
    <w:basedOn w:val="a"/>
    <w:uiPriority w:val="34"/>
    <w:qFormat/>
    <w:rsid w:val="00BA255C"/>
    <w:pPr>
      <w:ind w:left="720"/>
      <w:contextualSpacing/>
    </w:pPr>
  </w:style>
  <w:style w:type="table" w:styleId="a8">
    <w:name w:val="Table Grid"/>
    <w:basedOn w:val="a1"/>
    <w:uiPriority w:val="59"/>
    <w:rsid w:val="00070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E786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7866"/>
    <w:rPr>
      <w:rFonts w:ascii="Tahoma" w:hAnsi="Tahoma" w:cs="Tahoma"/>
      <w:sz w:val="16"/>
      <w:szCs w:val="16"/>
    </w:rPr>
  </w:style>
  <w:style w:type="paragraph" w:styleId="ab">
    <w:name w:val="Body Text"/>
    <w:basedOn w:val="a"/>
    <w:link w:val="ac"/>
    <w:uiPriority w:val="99"/>
    <w:unhideWhenUsed/>
    <w:rsid w:val="00EA6D1F"/>
    <w:pPr>
      <w:spacing w:after="120"/>
    </w:pPr>
  </w:style>
  <w:style w:type="character" w:customStyle="1" w:styleId="ac">
    <w:name w:val="Основной текст Знак"/>
    <w:basedOn w:val="a0"/>
    <w:link w:val="ab"/>
    <w:uiPriority w:val="99"/>
    <w:rsid w:val="00EA6D1F"/>
  </w:style>
  <w:style w:type="character" w:customStyle="1" w:styleId="hps">
    <w:name w:val="hps"/>
    <w:basedOn w:val="a0"/>
    <w:rsid w:val="00E877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E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C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7CBD"/>
  </w:style>
  <w:style w:type="paragraph" w:styleId="a5">
    <w:name w:val="footer"/>
    <w:basedOn w:val="a"/>
    <w:link w:val="a6"/>
    <w:uiPriority w:val="99"/>
    <w:unhideWhenUsed/>
    <w:rsid w:val="000D7C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7CBD"/>
  </w:style>
  <w:style w:type="paragraph" w:styleId="a7">
    <w:name w:val="List Paragraph"/>
    <w:basedOn w:val="a"/>
    <w:uiPriority w:val="34"/>
    <w:qFormat/>
    <w:rsid w:val="00BA255C"/>
    <w:pPr>
      <w:ind w:left="720"/>
      <w:contextualSpacing/>
    </w:pPr>
  </w:style>
  <w:style w:type="table" w:styleId="a8">
    <w:name w:val="Table Grid"/>
    <w:basedOn w:val="a1"/>
    <w:uiPriority w:val="59"/>
    <w:rsid w:val="00070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E786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7866"/>
    <w:rPr>
      <w:rFonts w:ascii="Tahoma" w:hAnsi="Tahoma" w:cs="Tahoma"/>
      <w:sz w:val="16"/>
      <w:szCs w:val="16"/>
    </w:rPr>
  </w:style>
  <w:style w:type="paragraph" w:styleId="ab">
    <w:name w:val="Body Text"/>
    <w:basedOn w:val="a"/>
    <w:link w:val="ac"/>
    <w:uiPriority w:val="99"/>
    <w:unhideWhenUsed/>
    <w:rsid w:val="00EA6D1F"/>
    <w:pPr>
      <w:spacing w:after="120"/>
    </w:pPr>
  </w:style>
  <w:style w:type="character" w:customStyle="1" w:styleId="ac">
    <w:name w:val="Основной текст Знак"/>
    <w:basedOn w:val="a0"/>
    <w:link w:val="ab"/>
    <w:uiPriority w:val="99"/>
    <w:rsid w:val="00EA6D1F"/>
  </w:style>
  <w:style w:type="character" w:customStyle="1" w:styleId="hps">
    <w:name w:val="hps"/>
    <w:basedOn w:val="a0"/>
    <w:rsid w:val="00E87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479844">
      <w:bodyDiv w:val="1"/>
      <w:marLeft w:val="0"/>
      <w:marRight w:val="0"/>
      <w:marTop w:val="0"/>
      <w:marBottom w:val="0"/>
      <w:divBdr>
        <w:top w:val="none" w:sz="0" w:space="0" w:color="auto"/>
        <w:left w:val="none" w:sz="0" w:space="0" w:color="auto"/>
        <w:bottom w:val="none" w:sz="0" w:space="0" w:color="auto"/>
        <w:right w:val="none" w:sz="0" w:space="0" w:color="auto"/>
      </w:divBdr>
    </w:div>
    <w:div w:id="1721704050">
      <w:bodyDiv w:val="1"/>
      <w:marLeft w:val="0"/>
      <w:marRight w:val="0"/>
      <w:marTop w:val="0"/>
      <w:marBottom w:val="0"/>
      <w:divBdr>
        <w:top w:val="none" w:sz="0" w:space="0" w:color="auto"/>
        <w:left w:val="none" w:sz="0" w:space="0" w:color="auto"/>
        <w:bottom w:val="none" w:sz="0" w:space="0" w:color="auto"/>
        <w:right w:val="none" w:sz="0" w:space="0" w:color="auto"/>
      </w:divBdr>
      <w:divsChild>
        <w:div w:id="1379940412">
          <w:marLeft w:val="0"/>
          <w:marRight w:val="0"/>
          <w:marTop w:val="0"/>
          <w:marBottom w:val="0"/>
          <w:divBdr>
            <w:top w:val="none" w:sz="0" w:space="0" w:color="auto"/>
            <w:left w:val="none" w:sz="0" w:space="0" w:color="auto"/>
            <w:bottom w:val="none" w:sz="0" w:space="0" w:color="auto"/>
            <w:right w:val="none" w:sz="0" w:space="0" w:color="auto"/>
          </w:divBdr>
          <w:divsChild>
            <w:div w:id="598371338">
              <w:marLeft w:val="0"/>
              <w:marRight w:val="0"/>
              <w:marTop w:val="0"/>
              <w:marBottom w:val="0"/>
              <w:divBdr>
                <w:top w:val="none" w:sz="0" w:space="0" w:color="auto"/>
                <w:left w:val="none" w:sz="0" w:space="0" w:color="auto"/>
                <w:bottom w:val="none" w:sz="0" w:space="0" w:color="auto"/>
                <w:right w:val="none" w:sz="0" w:space="0" w:color="auto"/>
              </w:divBdr>
              <w:divsChild>
                <w:div w:id="16320143">
                  <w:marLeft w:val="0"/>
                  <w:marRight w:val="0"/>
                  <w:marTop w:val="0"/>
                  <w:marBottom w:val="0"/>
                  <w:divBdr>
                    <w:top w:val="none" w:sz="0" w:space="0" w:color="auto"/>
                    <w:left w:val="none" w:sz="0" w:space="0" w:color="auto"/>
                    <w:bottom w:val="none" w:sz="0" w:space="0" w:color="auto"/>
                    <w:right w:val="none" w:sz="0" w:space="0" w:color="auto"/>
                  </w:divBdr>
                  <w:divsChild>
                    <w:div w:id="141699745">
                      <w:marLeft w:val="0"/>
                      <w:marRight w:val="0"/>
                      <w:marTop w:val="0"/>
                      <w:marBottom w:val="0"/>
                      <w:divBdr>
                        <w:top w:val="none" w:sz="0" w:space="0" w:color="auto"/>
                        <w:left w:val="none" w:sz="0" w:space="0" w:color="auto"/>
                        <w:bottom w:val="none" w:sz="0" w:space="0" w:color="auto"/>
                        <w:right w:val="none" w:sz="0" w:space="0" w:color="auto"/>
                      </w:divBdr>
                      <w:divsChild>
                        <w:div w:id="1159734321">
                          <w:marLeft w:val="0"/>
                          <w:marRight w:val="0"/>
                          <w:marTop w:val="0"/>
                          <w:marBottom w:val="0"/>
                          <w:divBdr>
                            <w:top w:val="none" w:sz="0" w:space="0" w:color="auto"/>
                            <w:left w:val="none" w:sz="0" w:space="0" w:color="auto"/>
                            <w:bottom w:val="none" w:sz="0" w:space="0" w:color="auto"/>
                            <w:right w:val="none" w:sz="0" w:space="0" w:color="auto"/>
                          </w:divBdr>
                          <w:divsChild>
                            <w:div w:id="2050832623">
                              <w:marLeft w:val="0"/>
                              <w:marRight w:val="0"/>
                              <w:marTop w:val="0"/>
                              <w:marBottom w:val="0"/>
                              <w:divBdr>
                                <w:top w:val="none" w:sz="0" w:space="0" w:color="auto"/>
                                <w:left w:val="none" w:sz="0" w:space="0" w:color="auto"/>
                                <w:bottom w:val="none" w:sz="0" w:space="0" w:color="auto"/>
                                <w:right w:val="none" w:sz="0" w:space="0" w:color="auto"/>
                              </w:divBdr>
                              <w:divsChild>
                                <w:div w:id="555974351">
                                  <w:marLeft w:val="0"/>
                                  <w:marRight w:val="0"/>
                                  <w:marTop w:val="0"/>
                                  <w:marBottom w:val="0"/>
                                  <w:divBdr>
                                    <w:top w:val="none" w:sz="0" w:space="0" w:color="auto"/>
                                    <w:left w:val="none" w:sz="0" w:space="0" w:color="auto"/>
                                    <w:bottom w:val="none" w:sz="0" w:space="0" w:color="auto"/>
                                    <w:right w:val="none" w:sz="0" w:space="0" w:color="auto"/>
                                  </w:divBdr>
                                  <w:divsChild>
                                    <w:div w:id="958535135">
                                      <w:marLeft w:val="0"/>
                                      <w:marRight w:val="0"/>
                                      <w:marTop w:val="0"/>
                                      <w:marBottom w:val="0"/>
                                      <w:divBdr>
                                        <w:top w:val="none" w:sz="0" w:space="0" w:color="auto"/>
                                        <w:left w:val="none" w:sz="0" w:space="0" w:color="auto"/>
                                        <w:bottom w:val="none" w:sz="0" w:space="0" w:color="auto"/>
                                        <w:right w:val="none" w:sz="0" w:space="0" w:color="auto"/>
                                      </w:divBdr>
                                      <w:divsChild>
                                        <w:div w:id="431828299">
                                          <w:marLeft w:val="0"/>
                                          <w:marRight w:val="0"/>
                                          <w:marTop w:val="0"/>
                                          <w:marBottom w:val="0"/>
                                          <w:divBdr>
                                            <w:top w:val="none" w:sz="0" w:space="0" w:color="auto"/>
                                            <w:left w:val="none" w:sz="0" w:space="0" w:color="auto"/>
                                            <w:bottom w:val="none" w:sz="0" w:space="0" w:color="auto"/>
                                            <w:right w:val="none" w:sz="0" w:space="0" w:color="auto"/>
                                          </w:divBdr>
                                          <w:divsChild>
                                            <w:div w:id="737358795">
                                              <w:marLeft w:val="0"/>
                                              <w:marRight w:val="0"/>
                                              <w:marTop w:val="0"/>
                                              <w:marBottom w:val="0"/>
                                              <w:divBdr>
                                                <w:top w:val="single" w:sz="6" w:space="0" w:color="F5F5F5"/>
                                                <w:left w:val="single" w:sz="6" w:space="0" w:color="F5F5F5"/>
                                                <w:bottom w:val="single" w:sz="6" w:space="0" w:color="F5F5F5"/>
                                                <w:right w:val="single" w:sz="6" w:space="0" w:color="F5F5F5"/>
                                              </w:divBdr>
                                              <w:divsChild>
                                                <w:div w:id="1052926257">
                                                  <w:marLeft w:val="0"/>
                                                  <w:marRight w:val="0"/>
                                                  <w:marTop w:val="0"/>
                                                  <w:marBottom w:val="0"/>
                                                  <w:divBdr>
                                                    <w:top w:val="none" w:sz="0" w:space="0" w:color="auto"/>
                                                    <w:left w:val="none" w:sz="0" w:space="0" w:color="auto"/>
                                                    <w:bottom w:val="none" w:sz="0" w:space="0" w:color="auto"/>
                                                    <w:right w:val="none" w:sz="0" w:space="0" w:color="auto"/>
                                                  </w:divBdr>
                                                  <w:divsChild>
                                                    <w:div w:id="9440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2359692">
      <w:bodyDiv w:val="1"/>
      <w:marLeft w:val="0"/>
      <w:marRight w:val="0"/>
      <w:marTop w:val="0"/>
      <w:marBottom w:val="0"/>
      <w:divBdr>
        <w:top w:val="none" w:sz="0" w:space="0" w:color="auto"/>
        <w:left w:val="none" w:sz="0" w:space="0" w:color="auto"/>
        <w:bottom w:val="none" w:sz="0" w:space="0" w:color="auto"/>
        <w:right w:val="none" w:sz="0" w:space="0" w:color="auto"/>
      </w:divBdr>
    </w:div>
    <w:div w:id="2041582871">
      <w:bodyDiv w:val="1"/>
      <w:marLeft w:val="0"/>
      <w:marRight w:val="0"/>
      <w:marTop w:val="0"/>
      <w:marBottom w:val="0"/>
      <w:divBdr>
        <w:top w:val="none" w:sz="0" w:space="0" w:color="auto"/>
        <w:left w:val="none" w:sz="0" w:space="0" w:color="auto"/>
        <w:bottom w:val="none" w:sz="0" w:space="0" w:color="auto"/>
        <w:right w:val="none" w:sz="0" w:space="0" w:color="auto"/>
      </w:divBdr>
    </w:div>
    <w:div w:id="210753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369439396998456"/>
          <c:y val="0.17498762654668168"/>
          <c:w val="0.47466888754290337"/>
          <c:h val="0.70522234720659915"/>
        </c:manualLayout>
      </c:layout>
      <c:radarChart>
        <c:radarStyle val="marker"/>
        <c:varyColors val="0"/>
        <c:ser>
          <c:idx val="0"/>
          <c:order val="0"/>
          <c:tx>
            <c:strRef>
              <c:f>Лист1!$B$1</c:f>
              <c:strCache>
                <c:ptCount val="1"/>
                <c:pt idx="0">
                  <c:v> % відхилення від норми показників клітинного імунитету та Ig натлы ГРІ у дітей групи порівняння(n=36) </c:v>
                </c:pt>
              </c:strCache>
            </c:strRef>
          </c:tx>
          <c:cat>
            <c:strRef>
              <c:f>Лист1!$A$2:$A$10</c:f>
              <c:strCache>
                <c:ptCount val="9"/>
                <c:pt idx="0">
                  <c:v>Абс.кількість лімфоцитів </c:v>
                </c:pt>
                <c:pt idx="1">
                  <c:v>CD3</c:v>
                </c:pt>
                <c:pt idx="2">
                  <c:v>CD4</c:v>
                </c:pt>
                <c:pt idx="3">
                  <c:v>CD8</c:v>
                </c:pt>
                <c:pt idx="4">
                  <c:v>CD16</c:v>
                </c:pt>
                <c:pt idx="5">
                  <c:v>CD22</c:v>
                </c:pt>
                <c:pt idx="6">
                  <c:v>IgA</c:v>
                </c:pt>
                <c:pt idx="7">
                  <c:v>IgM</c:v>
                </c:pt>
                <c:pt idx="8">
                  <c:v>IgG</c:v>
                </c:pt>
              </c:strCache>
            </c:strRef>
          </c:cat>
          <c:val>
            <c:numRef>
              <c:f>Лист1!$B$2:$B$10</c:f>
              <c:numCache>
                <c:formatCode>General</c:formatCode>
                <c:ptCount val="9"/>
                <c:pt idx="0">
                  <c:v>0.94899999999999995</c:v>
                </c:pt>
                <c:pt idx="1">
                  <c:v>0.89200000000000013</c:v>
                </c:pt>
                <c:pt idx="2">
                  <c:v>0.78600000000000003</c:v>
                </c:pt>
                <c:pt idx="3">
                  <c:v>0.94299999999999995</c:v>
                </c:pt>
                <c:pt idx="4">
                  <c:v>1.02</c:v>
                </c:pt>
                <c:pt idx="5">
                  <c:v>0.99399999999999999</c:v>
                </c:pt>
                <c:pt idx="6">
                  <c:v>1.02</c:v>
                </c:pt>
                <c:pt idx="7">
                  <c:v>1.1399999999999997</c:v>
                </c:pt>
                <c:pt idx="8">
                  <c:v>1.01</c:v>
                </c:pt>
              </c:numCache>
            </c:numRef>
          </c:val>
        </c:ser>
        <c:ser>
          <c:idx val="1"/>
          <c:order val="1"/>
          <c:tx>
            <c:strRef>
              <c:f>Лист1!$C$1</c:f>
              <c:strCache>
                <c:ptCount val="1"/>
                <c:pt idx="0">
                  <c:v>% відхилення від норми показників клітинного імунитету та Ig у дітей з БЛД на тлі ГРІ (n=131)</c:v>
                </c:pt>
              </c:strCache>
            </c:strRef>
          </c:tx>
          <c:dLbls>
            <c:dLbl>
              <c:idx val="0"/>
              <c:layout>
                <c:manualLayout>
                  <c:x val="1.067686250757117E-2"/>
                  <c:y val="-8.9394075740532486E-2"/>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solidFill>
                        <a:latin typeface="Times New Roman" pitchFamily="18" charset="0"/>
                        <a:ea typeface="+mn-ea"/>
                        <a:cs typeface="Times New Roman" pitchFamily="18" charset="0"/>
                      </a:defRPr>
                    </a:pPr>
                    <a:r>
                      <a:rPr lang="en-US" sz="1100"/>
                      <a:t>58</a:t>
                    </a:r>
                    <a:r>
                      <a:rPr lang="uk-UA" sz="1100"/>
                      <a:t>,</a:t>
                    </a:r>
                    <a:r>
                      <a:rPr lang="en-US" sz="1100"/>
                      <a:t>8</a:t>
                    </a:r>
                    <a:endParaRPr lang="uk-UA" sz="1100"/>
                  </a:p>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solidFill>
                        <a:latin typeface="Times New Roman" pitchFamily="18" charset="0"/>
                        <a:ea typeface="+mn-ea"/>
                        <a:cs typeface="Times New Roman" pitchFamily="18" charset="0"/>
                      </a:defRPr>
                    </a:pPr>
                    <a:r>
                      <a:rPr lang="uk-UA" sz="1100" b="0" i="0" baseline="0">
                        <a:effectLst/>
                      </a:rPr>
                      <a:t>+12,23% </a:t>
                    </a:r>
                    <a:endParaRPr lang="ru-RU" sz="1100">
                      <a:effectLst/>
                    </a:endParaRPr>
                  </a:p>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solidFill>
                        <a:latin typeface="Times New Roman" pitchFamily="18" charset="0"/>
                        <a:ea typeface="+mn-ea"/>
                        <a:cs typeface="Times New Roman" pitchFamily="18" charset="0"/>
                      </a:defRPr>
                    </a:pPr>
                    <a:endParaRPr lang="en-US" sz="1100"/>
                  </a:p>
                </c:rich>
              </c:tx>
              <c:spPr>
                <a:solidFill>
                  <a:schemeClr val="bg1"/>
                </a:solidFill>
              </c:spPr>
              <c:showLegendKey val="0"/>
              <c:showVal val="1"/>
              <c:showCatName val="0"/>
              <c:showSerName val="0"/>
              <c:showPercent val="0"/>
              <c:showBubbleSize val="0"/>
            </c:dLbl>
            <c:dLbl>
              <c:idx val="1"/>
              <c:layout>
                <c:manualLayout>
                  <c:x val="5.7692307692307709E-2"/>
                  <c:y val="3.8095238095238099E-2"/>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solidFill>
                        <a:latin typeface="Times New Roman" pitchFamily="18" charset="0"/>
                        <a:ea typeface="+mn-ea"/>
                        <a:cs typeface="Times New Roman" pitchFamily="18" charset="0"/>
                      </a:defRPr>
                    </a:pPr>
                    <a:r>
                      <a:rPr lang="en-US" sz="1100"/>
                      <a:t>87</a:t>
                    </a:r>
                    <a:r>
                      <a:rPr lang="uk-UA" sz="1100"/>
                      <a:t>,</a:t>
                    </a:r>
                    <a:r>
                      <a:rPr lang="en-US" sz="1100"/>
                      <a:t>5</a:t>
                    </a:r>
                    <a:r>
                      <a:rPr lang="uk-UA" sz="1100" b="0" i="0" baseline="0">
                        <a:effectLst/>
                      </a:rPr>
                      <a:t>+33,59% </a:t>
                    </a:r>
                    <a:endParaRPr lang="ru-RU" sz="1100">
                      <a:effectLst/>
                    </a:endParaRPr>
                  </a:p>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solidFill>
                        <a:latin typeface="Times New Roman" pitchFamily="18" charset="0"/>
                        <a:ea typeface="+mn-ea"/>
                        <a:cs typeface="Times New Roman" pitchFamily="18" charset="0"/>
                      </a:defRPr>
                    </a:pPr>
                    <a:endParaRPr lang="en-US" sz="1100"/>
                  </a:p>
                </c:rich>
              </c:tx>
              <c:spPr>
                <a:solidFill>
                  <a:schemeClr val="bg1"/>
                </a:solidFill>
              </c:spPr>
              <c:showLegendKey val="0"/>
              <c:showVal val="1"/>
              <c:showCatName val="0"/>
              <c:showSerName val="0"/>
              <c:showPercent val="0"/>
              <c:showBubbleSize val="0"/>
            </c:dLbl>
            <c:dLbl>
              <c:idx val="2"/>
              <c:layout>
                <c:manualLayout>
                  <c:x val="3.8461538461538471E-2"/>
                  <c:y val="2.5396825396825341E-2"/>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solidFill>
                        <a:latin typeface="Times New Roman" pitchFamily="18" charset="0"/>
                        <a:ea typeface="+mn-ea"/>
                        <a:cs typeface="Times New Roman" pitchFamily="18" charset="0"/>
                      </a:defRPr>
                    </a:pPr>
                    <a:r>
                      <a:rPr lang="en-US" sz="1100"/>
                      <a:t>97</a:t>
                    </a:r>
                    <a:r>
                      <a:rPr lang="uk-UA" sz="1100"/>
                      <a:t>,</a:t>
                    </a:r>
                    <a:r>
                      <a:rPr lang="en-US" sz="1100"/>
                      <a:t>3</a:t>
                    </a:r>
                    <a:r>
                      <a:rPr lang="uk-UA" sz="1100" b="0" i="0" baseline="0">
                        <a:effectLst/>
                      </a:rPr>
                      <a:t>+34,01% </a:t>
                    </a:r>
                    <a:endParaRPr lang="ru-RU" sz="1100">
                      <a:effectLst/>
                    </a:endParaRPr>
                  </a:p>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solidFill>
                        <a:latin typeface="Times New Roman" pitchFamily="18" charset="0"/>
                        <a:ea typeface="+mn-ea"/>
                        <a:cs typeface="Times New Roman" pitchFamily="18" charset="0"/>
                      </a:defRPr>
                    </a:pPr>
                    <a:endParaRPr lang="en-US" sz="1100"/>
                  </a:p>
                </c:rich>
              </c:tx>
              <c:spPr>
                <a:solidFill>
                  <a:schemeClr val="bg1"/>
                </a:solidFill>
              </c:spPr>
              <c:showLegendKey val="0"/>
              <c:showVal val="1"/>
              <c:showCatName val="0"/>
              <c:showSerName val="0"/>
              <c:showPercent val="0"/>
              <c:showBubbleSize val="0"/>
            </c:dLbl>
            <c:dLbl>
              <c:idx val="3"/>
              <c:layout>
                <c:manualLayout>
                  <c:x val="4.5274476513865311E-3"/>
                  <c:y val="4.8484848484848485E-2"/>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solidFill>
                        <a:latin typeface="Times New Roman" pitchFamily="18" charset="0"/>
                        <a:ea typeface="+mn-ea"/>
                        <a:cs typeface="Times New Roman" pitchFamily="18" charset="0"/>
                      </a:defRPr>
                    </a:pPr>
                    <a:r>
                      <a:rPr lang="en-US" sz="1100"/>
                      <a:t>107</a:t>
                    </a:r>
                    <a:r>
                      <a:rPr lang="uk-UA" sz="1100" b="0" i="0" baseline="0">
                        <a:effectLst/>
                      </a:rPr>
                      <a:t>+19,39% </a:t>
                    </a:r>
                    <a:endParaRPr lang="ru-RU" sz="1100">
                      <a:effectLst/>
                    </a:endParaRPr>
                  </a:p>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solidFill>
                        <a:latin typeface="Times New Roman" pitchFamily="18" charset="0"/>
                        <a:ea typeface="+mn-ea"/>
                        <a:cs typeface="Times New Roman" pitchFamily="18" charset="0"/>
                      </a:defRPr>
                    </a:pPr>
                    <a:endParaRPr lang="en-US" sz="1100"/>
                  </a:p>
                </c:rich>
              </c:tx>
              <c:spPr>
                <a:solidFill>
                  <a:schemeClr val="bg1"/>
                </a:solidFill>
              </c:spPr>
              <c:showLegendKey val="0"/>
              <c:showVal val="1"/>
              <c:showCatName val="0"/>
              <c:showSerName val="0"/>
              <c:showPercent val="0"/>
              <c:showBubbleSize val="0"/>
            </c:dLbl>
            <c:dLbl>
              <c:idx val="4"/>
              <c:layout>
                <c:manualLayout>
                  <c:x val="-6.4820983915472126E-3"/>
                  <c:y val="-2.1317335333083374E-3"/>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solidFill>
                        <a:latin typeface="Times New Roman" pitchFamily="18" charset="0"/>
                        <a:ea typeface="+mn-ea"/>
                        <a:cs typeface="Times New Roman" pitchFamily="18" charset="0"/>
                      </a:defRPr>
                    </a:pPr>
                    <a:r>
                      <a:rPr lang="en-US" sz="1100"/>
                      <a:t>155</a:t>
                    </a:r>
                    <a:r>
                      <a:rPr lang="uk-UA" sz="1100" b="0" i="0" baseline="0">
                        <a:effectLst/>
                      </a:rPr>
                      <a:t>+46,54% </a:t>
                    </a:r>
                    <a:endParaRPr lang="ru-RU" sz="1100">
                      <a:effectLst/>
                    </a:endParaRPr>
                  </a:p>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solidFill>
                        <a:latin typeface="Times New Roman" pitchFamily="18" charset="0"/>
                        <a:ea typeface="+mn-ea"/>
                        <a:cs typeface="Times New Roman" pitchFamily="18" charset="0"/>
                      </a:defRPr>
                    </a:pPr>
                    <a:endParaRPr lang="en-US" sz="1100"/>
                  </a:p>
                </c:rich>
              </c:tx>
              <c:spPr>
                <a:solidFill>
                  <a:schemeClr val="bg1"/>
                </a:solidFill>
              </c:spPr>
              <c:showLegendKey val="0"/>
              <c:showVal val="1"/>
              <c:showCatName val="0"/>
              <c:showSerName val="0"/>
              <c:showPercent val="0"/>
              <c:showBubbleSize val="0"/>
            </c:dLbl>
            <c:dLbl>
              <c:idx val="5"/>
              <c:layout>
                <c:manualLayout>
                  <c:x val="-2.9996803284204867E-2"/>
                  <c:y val="9.174028246469193E-2"/>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solidFill>
                        <a:latin typeface="Times New Roman" pitchFamily="18" charset="0"/>
                        <a:ea typeface="+mn-ea"/>
                        <a:cs typeface="Times New Roman" pitchFamily="18" charset="0"/>
                      </a:defRPr>
                    </a:pPr>
                    <a:r>
                      <a:rPr lang="en-US" sz="1100"/>
                      <a:t>91</a:t>
                    </a:r>
                    <a:r>
                      <a:rPr lang="uk-UA" sz="1100" b="0" i="0" baseline="0">
                        <a:effectLst/>
                      </a:rPr>
                      <a:t>+21,12% </a:t>
                    </a:r>
                    <a:endParaRPr lang="ru-RU" sz="1100">
                      <a:effectLst/>
                    </a:endParaRPr>
                  </a:p>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solidFill>
                        <a:latin typeface="Times New Roman" pitchFamily="18" charset="0"/>
                        <a:ea typeface="+mn-ea"/>
                        <a:cs typeface="Times New Roman" pitchFamily="18" charset="0"/>
                      </a:defRPr>
                    </a:pPr>
                    <a:r>
                      <a:rPr lang="uk-UA" sz="1100"/>
                      <a:t> </a:t>
                    </a:r>
                    <a:endParaRPr lang="en-US" sz="1100"/>
                  </a:p>
                </c:rich>
              </c:tx>
              <c:spPr>
                <a:solidFill>
                  <a:schemeClr val="bg1"/>
                </a:solidFill>
              </c:spPr>
              <c:showLegendKey val="0"/>
              <c:showVal val="1"/>
              <c:showCatName val="0"/>
              <c:showSerName val="0"/>
              <c:showPercent val="0"/>
              <c:showBubbleSize val="0"/>
            </c:dLbl>
            <c:dLbl>
              <c:idx val="6"/>
              <c:layout>
                <c:manualLayout>
                  <c:x val="-5.1282051282051266E-2"/>
                  <c:y val="1.2698412698412702E-2"/>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solidFill>
                        <a:latin typeface="Times New Roman" pitchFamily="18" charset="0"/>
                        <a:ea typeface="+mn-ea"/>
                        <a:cs typeface="Times New Roman" pitchFamily="18" charset="0"/>
                      </a:defRPr>
                    </a:pPr>
                    <a:r>
                      <a:rPr lang="en-US" sz="1100"/>
                      <a:t>103</a:t>
                    </a:r>
                    <a:r>
                      <a:rPr lang="uk-UA" sz="1100" b="0" i="0" baseline="0">
                        <a:effectLst/>
                      </a:rPr>
                      <a:t>+36,16% </a:t>
                    </a:r>
                    <a:endParaRPr lang="ru-RU" sz="1100">
                      <a:effectLst/>
                    </a:endParaRPr>
                  </a:p>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solidFill>
                        <a:latin typeface="Times New Roman" pitchFamily="18" charset="0"/>
                        <a:ea typeface="+mn-ea"/>
                        <a:cs typeface="Times New Roman" pitchFamily="18" charset="0"/>
                      </a:defRPr>
                    </a:pPr>
                    <a:endParaRPr lang="en-US" sz="1100"/>
                  </a:p>
                </c:rich>
              </c:tx>
              <c:spPr>
                <a:solidFill>
                  <a:schemeClr val="bg1"/>
                </a:solidFill>
              </c:spPr>
              <c:showLegendKey val="0"/>
              <c:showVal val="1"/>
              <c:showCatName val="0"/>
              <c:showSerName val="0"/>
              <c:showPercent val="0"/>
              <c:showBubbleSize val="0"/>
            </c:dLbl>
            <c:dLbl>
              <c:idx val="7"/>
              <c:layout>
                <c:manualLayout>
                  <c:x val="2.1367521367521417E-3"/>
                  <c:y val="-5.3156432369030809E-2"/>
                </c:manualLayout>
              </c:layout>
              <c:tx>
                <c:rich>
                  <a:bodyPr/>
                  <a:lstStyle/>
                  <a:p>
                    <a:r>
                      <a:rPr lang="en-US"/>
                      <a:t>199</a:t>
                    </a:r>
                    <a:r>
                      <a:rPr lang="uk-UA"/>
                      <a:t>,4</a:t>
                    </a:r>
                  </a:p>
                  <a:p>
                    <a:r>
                      <a:rPr lang="uk-UA" sz="1100" b="0" i="0" u="sng" strike="noStrike" baseline="0">
                        <a:effectLst/>
                      </a:rPr>
                      <a:t>+</a:t>
                    </a:r>
                    <a:r>
                      <a:rPr lang="uk-UA" sz="1100" b="0" i="0" u="none" strike="noStrike" baseline="0">
                        <a:effectLst/>
                      </a:rPr>
                      <a:t>26,17% </a:t>
                    </a:r>
                    <a:endParaRPr lang="en-US"/>
                  </a:p>
                </c:rich>
              </c:tx>
              <c:showLegendKey val="0"/>
              <c:showVal val="1"/>
              <c:showCatName val="0"/>
              <c:showSerName val="0"/>
              <c:showPercent val="0"/>
              <c:showBubbleSize val="0"/>
            </c:dLbl>
            <c:dLbl>
              <c:idx val="8"/>
              <c:tx>
                <c:rich>
                  <a:bodyPr/>
                  <a:lstStyle/>
                  <a:p>
                    <a:pPr>
                      <a:defRPr/>
                    </a:pPr>
                    <a:r>
                      <a:rPr lang="uk-UA"/>
                      <a:t>88,9</a:t>
                    </a:r>
                    <a:endParaRPr lang="ru-RU"/>
                  </a:p>
                  <a:p>
                    <a:pPr>
                      <a:defRPr/>
                    </a:pPr>
                    <a:r>
                      <a:rPr lang="uk-UA"/>
                      <a:t>+22,34% </a:t>
                    </a:r>
                    <a:endParaRPr lang="ru-RU"/>
                  </a:p>
                </c:rich>
              </c:tx>
              <c:spPr>
                <a:solidFill>
                  <a:schemeClr val="bg1"/>
                </a:solidFill>
              </c:spPr>
              <c:showLegendKey val="0"/>
              <c:showVal val="1"/>
              <c:showCatName val="0"/>
              <c:showSerName val="0"/>
              <c:showPercent val="0"/>
              <c:showBubbleSize val="0"/>
            </c:dLbl>
            <c:spPr>
              <a:solidFill>
                <a:schemeClr val="bg1"/>
              </a:solidFill>
            </c:spPr>
            <c:showLegendKey val="0"/>
            <c:showVal val="1"/>
            <c:showCatName val="0"/>
            <c:showSerName val="0"/>
            <c:showPercent val="0"/>
            <c:showBubbleSize val="0"/>
            <c:showLeaderLines val="0"/>
          </c:dLbls>
          <c:cat>
            <c:strRef>
              <c:f>Лист1!$A$2:$A$10</c:f>
              <c:strCache>
                <c:ptCount val="9"/>
                <c:pt idx="0">
                  <c:v>Абс.кількість лімфоцитів </c:v>
                </c:pt>
                <c:pt idx="1">
                  <c:v>CD3</c:v>
                </c:pt>
                <c:pt idx="2">
                  <c:v>CD4</c:v>
                </c:pt>
                <c:pt idx="3">
                  <c:v>CD8</c:v>
                </c:pt>
                <c:pt idx="4">
                  <c:v>CD16</c:v>
                </c:pt>
                <c:pt idx="5">
                  <c:v>CD22</c:v>
                </c:pt>
                <c:pt idx="6">
                  <c:v>IgA</c:v>
                </c:pt>
                <c:pt idx="7">
                  <c:v>IgM</c:v>
                </c:pt>
                <c:pt idx="8">
                  <c:v>IgG</c:v>
                </c:pt>
              </c:strCache>
            </c:strRef>
          </c:cat>
          <c:val>
            <c:numRef>
              <c:f>Лист1!$C$2:$C$10</c:f>
              <c:numCache>
                <c:formatCode>General</c:formatCode>
                <c:ptCount val="9"/>
                <c:pt idx="0">
                  <c:v>0.58800000000000008</c:v>
                </c:pt>
                <c:pt idx="1">
                  <c:v>0.87500000000000011</c:v>
                </c:pt>
                <c:pt idx="2">
                  <c:v>0.97299999999999998</c:v>
                </c:pt>
                <c:pt idx="3">
                  <c:v>1.07</c:v>
                </c:pt>
                <c:pt idx="4">
                  <c:v>1.55</c:v>
                </c:pt>
                <c:pt idx="5">
                  <c:v>0.91</c:v>
                </c:pt>
                <c:pt idx="6">
                  <c:v>1.03</c:v>
                </c:pt>
                <c:pt idx="7">
                  <c:v>1.99</c:v>
                </c:pt>
                <c:pt idx="8">
                  <c:v>0.88000000000000012</c:v>
                </c:pt>
              </c:numCache>
            </c:numRef>
          </c:val>
        </c:ser>
        <c:dLbls>
          <c:showLegendKey val="0"/>
          <c:showVal val="0"/>
          <c:showCatName val="0"/>
          <c:showSerName val="0"/>
          <c:showPercent val="0"/>
          <c:showBubbleSize val="0"/>
        </c:dLbls>
        <c:axId val="67398272"/>
        <c:axId val="67735936"/>
      </c:radarChart>
      <c:catAx>
        <c:axId val="67398272"/>
        <c:scaling>
          <c:orientation val="minMax"/>
        </c:scaling>
        <c:delete val="0"/>
        <c:axPos val="b"/>
        <c:majorGridlines/>
        <c:numFmt formatCode="m/d/yyyy" sourceLinked="1"/>
        <c:majorTickMark val="out"/>
        <c:minorTickMark val="none"/>
        <c:tickLblPos val="nextTo"/>
        <c:crossAx val="67735936"/>
        <c:crosses val="autoZero"/>
        <c:auto val="1"/>
        <c:lblAlgn val="ctr"/>
        <c:lblOffset val="100"/>
        <c:noMultiLvlLbl val="0"/>
      </c:catAx>
      <c:valAx>
        <c:axId val="67735936"/>
        <c:scaling>
          <c:orientation val="minMax"/>
        </c:scaling>
        <c:delete val="1"/>
        <c:axPos val="l"/>
        <c:majorGridlines/>
        <c:numFmt formatCode="General" sourceLinked="1"/>
        <c:majorTickMark val="cross"/>
        <c:minorTickMark val="none"/>
        <c:tickLblPos val="none"/>
        <c:crossAx val="67398272"/>
        <c:crosses val="autoZero"/>
        <c:crossBetween val="between"/>
      </c:valAx>
    </c:plotArea>
    <c:legend>
      <c:legendPos val="r"/>
      <c:layout>
        <c:manualLayout>
          <c:xMode val="edge"/>
          <c:yMode val="edge"/>
          <c:x val="0.66025641025641035"/>
          <c:y val="6.649168853893379E-4"/>
          <c:w val="0.33974358974358981"/>
          <c:h val="0.42089238845144361"/>
        </c:manualLayout>
      </c:layout>
      <c:overlay val="0"/>
    </c:legend>
    <c:plotVisOnly val="1"/>
    <c:dispBlanksAs val="gap"/>
    <c:showDLblsOverMax val="0"/>
  </c:chart>
  <c:spPr>
    <a:noFill/>
    <a:ln>
      <a:no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289729912793159E-2"/>
          <c:y val="4.7283857910131823E-2"/>
          <c:w val="0.9709856913047159"/>
          <c:h val="0.73971436131791424"/>
        </c:manualLayout>
      </c:layout>
      <c:barChart>
        <c:barDir val="col"/>
        <c:grouping val="clustered"/>
        <c:varyColors val="0"/>
        <c:ser>
          <c:idx val="0"/>
          <c:order val="0"/>
          <c:tx>
            <c:strRef>
              <c:f>Лист1!$C$1</c:f>
              <c:strCache>
                <c:ptCount val="1"/>
                <c:pt idx="0">
                  <c:v>Фагоцитарний індекс (%)</c:v>
                </c:pt>
              </c:strCache>
            </c:strRef>
          </c:tx>
          <c:invertIfNegative val="0"/>
          <c:dLbls>
            <c:dLbl>
              <c:idx val="0"/>
              <c:tx>
                <c:rich>
                  <a:bodyPr/>
                  <a:lstStyle/>
                  <a:p>
                    <a:r>
                      <a:rPr lang="en-US"/>
                      <a:t>49</a:t>
                    </a:r>
                    <a:r>
                      <a:rPr lang="uk-UA"/>
                      <a:t>%</a:t>
                    </a:r>
                    <a:endParaRPr lang="en-US"/>
                  </a:p>
                </c:rich>
              </c:tx>
              <c:showLegendKey val="0"/>
              <c:showVal val="1"/>
              <c:showCatName val="0"/>
              <c:showSerName val="0"/>
              <c:showPercent val="0"/>
              <c:showBubbleSize val="0"/>
            </c:dLbl>
            <c:dLbl>
              <c:idx val="1"/>
              <c:tx>
                <c:rich>
                  <a:bodyPr/>
                  <a:lstStyle/>
                  <a:p>
                    <a:r>
                      <a:rPr lang="en-US"/>
                      <a:t>65</a:t>
                    </a:r>
                    <a:r>
                      <a:rPr lang="uk-UA"/>
                      <a:t>%</a:t>
                    </a:r>
                    <a:endParaRPr lang="en-US"/>
                  </a:p>
                </c:rich>
              </c:tx>
              <c:showLegendKey val="0"/>
              <c:showVal val="1"/>
              <c:showCatName val="0"/>
              <c:showSerName val="0"/>
              <c:showPercent val="0"/>
              <c:showBubbleSize val="0"/>
            </c:dLbl>
            <c:dLbl>
              <c:idx val="2"/>
              <c:tx>
                <c:rich>
                  <a:bodyPr/>
                  <a:lstStyle/>
                  <a:p>
                    <a:r>
                      <a:rPr lang="en-US"/>
                      <a:t>40</a:t>
                    </a:r>
                    <a:r>
                      <a:rPr lang="uk-UA"/>
                      <a:t>%</a:t>
                    </a:r>
                    <a:endParaRPr lang="en-US"/>
                  </a:p>
                </c:rich>
              </c:tx>
              <c:showLegendKey val="0"/>
              <c:showVal val="1"/>
              <c:showCatName val="0"/>
              <c:showSerName val="0"/>
              <c:showPercent val="0"/>
              <c:showBubbleSize val="0"/>
            </c:dLbl>
            <c:dLbl>
              <c:idx val="3"/>
              <c:tx>
                <c:rich>
                  <a:bodyPr/>
                  <a:lstStyle/>
                  <a:p>
                    <a:r>
                      <a:rPr lang="uk-UA"/>
                      <a:t>4</a:t>
                    </a:r>
                    <a:r>
                      <a:rPr lang="en-US"/>
                      <a:t>9</a:t>
                    </a:r>
                    <a:r>
                      <a:rPr lang="uk-UA"/>
                      <a:t> %</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Лист1!$B$2:$B$3</c:f>
              <c:strCache>
                <c:ptCount val="2"/>
                <c:pt idx="0">
                  <c:v>середні показники фагоцитозу дітей, хворих на БЛД під час ГРІ</c:v>
                </c:pt>
                <c:pt idx="1">
                  <c:v>середні показники фагоцитозу під час ГРІ у дітей, що народились недоношеними </c:v>
                </c:pt>
              </c:strCache>
            </c:strRef>
          </c:cat>
          <c:val>
            <c:numRef>
              <c:f>Лист1!$C$2:$C$3</c:f>
              <c:numCache>
                <c:formatCode>General</c:formatCode>
                <c:ptCount val="2"/>
                <c:pt idx="0">
                  <c:v>65</c:v>
                </c:pt>
                <c:pt idx="1">
                  <c:v>49</c:v>
                </c:pt>
              </c:numCache>
            </c:numRef>
          </c:val>
        </c:ser>
        <c:ser>
          <c:idx val="1"/>
          <c:order val="1"/>
          <c:tx>
            <c:strRef>
              <c:f>Лист1!$D$1</c:f>
              <c:strCache>
                <c:ptCount val="1"/>
                <c:pt idx="0">
                  <c:v>фагоцитарне число</c:v>
                </c:pt>
              </c:strCache>
            </c:strRef>
          </c:tx>
          <c:invertIfNegative val="0"/>
          <c:dLbls>
            <c:dLbl>
              <c:idx val="0"/>
              <c:layout>
                <c:manualLayout>
                  <c:x val="-2.1197668256491792E-3"/>
                  <c:y val="-6.1762034514078121E-2"/>
                </c:manualLayout>
              </c:layout>
              <c:showLegendKey val="0"/>
              <c:showVal val="1"/>
              <c:showCatName val="0"/>
              <c:showSerName val="0"/>
              <c:showPercent val="0"/>
              <c:showBubbleSize val="0"/>
            </c:dLbl>
            <c:dLbl>
              <c:idx val="1"/>
              <c:layout>
                <c:manualLayout>
                  <c:x val="-8.4790673025967184E-3"/>
                  <c:y val="-6.1762034514078121E-2"/>
                </c:manualLayout>
              </c:layout>
              <c:showLegendKey val="0"/>
              <c:showVal val="1"/>
              <c:showCatName val="0"/>
              <c:showSerName val="0"/>
              <c:showPercent val="0"/>
              <c:showBubbleSize val="0"/>
            </c:dLbl>
            <c:dLbl>
              <c:idx val="2"/>
              <c:layout>
                <c:manualLayout>
                  <c:x val="-1.2718600953895071E-2"/>
                  <c:y val="-5.449591280653952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Лист1!$B$2:$B$3</c:f>
              <c:strCache>
                <c:ptCount val="2"/>
                <c:pt idx="0">
                  <c:v>середні показники фагоцитозу дітей, хворих на БЛД під час ГРІ</c:v>
                </c:pt>
                <c:pt idx="1">
                  <c:v>середні показники фагоцитозу під час ГРІ у дітей, що народились недоношеними </c:v>
                </c:pt>
              </c:strCache>
            </c:strRef>
          </c:cat>
          <c:val>
            <c:numRef>
              <c:f>Лист1!$D$2:$D$3</c:f>
              <c:numCache>
                <c:formatCode>General</c:formatCode>
                <c:ptCount val="2"/>
                <c:pt idx="0">
                  <c:v>2.4900000000000002</c:v>
                </c:pt>
                <c:pt idx="1">
                  <c:v>1.78</c:v>
                </c:pt>
              </c:numCache>
            </c:numRef>
          </c:val>
        </c:ser>
        <c:ser>
          <c:idx val="2"/>
          <c:order val="2"/>
          <c:tx>
            <c:strRef>
              <c:f>Лист1!$E$1</c:f>
              <c:strCache>
                <c:ptCount val="1"/>
                <c:pt idx="0">
                  <c:v>НСТ тест - спонтаний (%)</c:v>
                </c:pt>
              </c:strCache>
            </c:strRef>
          </c:tx>
          <c:invertIfNegative val="0"/>
          <c:dLbls>
            <c:dLbl>
              <c:idx val="0"/>
              <c:tx>
                <c:rich>
                  <a:bodyPr/>
                  <a:lstStyle/>
                  <a:p>
                    <a:r>
                      <a:rPr lang="en-US"/>
                      <a:t>23,2</a:t>
                    </a:r>
                    <a:r>
                      <a:rPr lang="uk-UA"/>
                      <a:t>%</a:t>
                    </a:r>
                    <a:endParaRPr lang="en-US"/>
                  </a:p>
                </c:rich>
              </c:tx>
              <c:showLegendKey val="0"/>
              <c:showVal val="1"/>
              <c:showCatName val="0"/>
              <c:showSerName val="0"/>
              <c:showPercent val="0"/>
              <c:showBubbleSize val="0"/>
            </c:dLbl>
            <c:dLbl>
              <c:idx val="1"/>
              <c:tx>
                <c:rich>
                  <a:bodyPr/>
                  <a:lstStyle/>
                  <a:p>
                    <a:r>
                      <a:rPr lang="en-US"/>
                      <a:t>10,05</a:t>
                    </a:r>
                    <a:r>
                      <a:rPr lang="uk-UA"/>
                      <a:t>%</a:t>
                    </a:r>
                    <a:endParaRPr lang="en-US"/>
                  </a:p>
                </c:rich>
              </c:tx>
              <c:showLegendKey val="0"/>
              <c:showVal val="1"/>
              <c:showCatName val="0"/>
              <c:showSerName val="0"/>
              <c:showPercent val="0"/>
              <c:showBubbleSize val="0"/>
            </c:dLbl>
            <c:dLbl>
              <c:idx val="2"/>
              <c:tx>
                <c:rich>
                  <a:bodyPr/>
                  <a:lstStyle/>
                  <a:p>
                    <a:r>
                      <a:rPr lang="en-US"/>
                      <a:t>19,5</a:t>
                    </a:r>
                    <a:r>
                      <a:rPr lang="uk-UA"/>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Лист1!$B$2:$B$3</c:f>
              <c:strCache>
                <c:ptCount val="2"/>
                <c:pt idx="0">
                  <c:v>середні показники фагоцитозу дітей, хворих на БЛД під час ГРІ</c:v>
                </c:pt>
                <c:pt idx="1">
                  <c:v>середні показники фагоцитозу під час ГРІ у дітей, що народились недоношеними </c:v>
                </c:pt>
              </c:strCache>
            </c:strRef>
          </c:cat>
          <c:val>
            <c:numRef>
              <c:f>Лист1!$E$2:$E$3</c:f>
              <c:numCache>
                <c:formatCode>General</c:formatCode>
                <c:ptCount val="2"/>
                <c:pt idx="0">
                  <c:v>23.2</c:v>
                </c:pt>
                <c:pt idx="1">
                  <c:v>19.5</c:v>
                </c:pt>
              </c:numCache>
            </c:numRef>
          </c:val>
        </c:ser>
        <c:ser>
          <c:idx val="3"/>
          <c:order val="3"/>
          <c:tx>
            <c:strRef>
              <c:f>Лист1!$F$1</c:f>
              <c:strCache>
                <c:ptCount val="1"/>
                <c:pt idx="0">
                  <c:v>НСТ-тест індукований (%)</c:v>
                </c:pt>
              </c:strCache>
            </c:strRef>
          </c:tx>
          <c:invertIfNegative val="0"/>
          <c:dLbls>
            <c:dLbl>
              <c:idx val="0"/>
              <c:tx>
                <c:rich>
                  <a:bodyPr/>
                  <a:lstStyle/>
                  <a:p>
                    <a:r>
                      <a:rPr lang="en-US"/>
                      <a:t>35,6</a:t>
                    </a:r>
                    <a:r>
                      <a:rPr lang="uk-UA"/>
                      <a:t>%</a:t>
                    </a:r>
                    <a:endParaRPr lang="en-US"/>
                  </a:p>
                </c:rich>
              </c:tx>
              <c:showLegendKey val="0"/>
              <c:showVal val="1"/>
              <c:showCatName val="0"/>
              <c:showSerName val="0"/>
              <c:showPercent val="0"/>
              <c:showBubbleSize val="0"/>
            </c:dLbl>
            <c:dLbl>
              <c:idx val="1"/>
              <c:tx>
                <c:rich>
                  <a:bodyPr/>
                  <a:lstStyle/>
                  <a:p>
                    <a:r>
                      <a:rPr lang="en-US"/>
                      <a:t>28,5</a:t>
                    </a:r>
                    <a:r>
                      <a:rPr lang="uk-UA"/>
                      <a:t>%</a:t>
                    </a:r>
                    <a:endParaRPr lang="en-US"/>
                  </a:p>
                </c:rich>
              </c:tx>
              <c:showLegendKey val="0"/>
              <c:showVal val="1"/>
              <c:showCatName val="0"/>
              <c:showSerName val="0"/>
              <c:showPercent val="0"/>
              <c:showBubbleSize val="0"/>
            </c:dLbl>
            <c:dLbl>
              <c:idx val="2"/>
              <c:tx>
                <c:rich>
                  <a:bodyPr/>
                  <a:lstStyle/>
                  <a:p>
                    <a:r>
                      <a:rPr lang="en-US"/>
                      <a:t>33,8</a:t>
                    </a:r>
                    <a:r>
                      <a:rPr lang="uk-UA"/>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Лист1!$B$2:$B$3</c:f>
              <c:strCache>
                <c:ptCount val="2"/>
                <c:pt idx="0">
                  <c:v>середні показники фагоцитозу дітей, хворих на БЛД під час ГРІ</c:v>
                </c:pt>
                <c:pt idx="1">
                  <c:v>середні показники фагоцитозу під час ГРІ у дітей, що народились недоношеними </c:v>
                </c:pt>
              </c:strCache>
            </c:strRef>
          </c:cat>
          <c:val>
            <c:numRef>
              <c:f>Лист1!$F$2:$F$3</c:f>
              <c:numCache>
                <c:formatCode>General</c:formatCode>
                <c:ptCount val="2"/>
                <c:pt idx="0">
                  <c:v>35.6</c:v>
                </c:pt>
                <c:pt idx="1">
                  <c:v>33.799999999999997</c:v>
                </c:pt>
              </c:numCache>
            </c:numRef>
          </c:val>
        </c:ser>
        <c:dLbls>
          <c:showLegendKey val="0"/>
          <c:showVal val="0"/>
          <c:showCatName val="0"/>
          <c:showSerName val="0"/>
          <c:showPercent val="0"/>
          <c:showBubbleSize val="0"/>
        </c:dLbls>
        <c:gapWidth val="150"/>
        <c:axId val="120562432"/>
        <c:axId val="120564352"/>
      </c:barChart>
      <c:catAx>
        <c:axId val="120562432"/>
        <c:scaling>
          <c:orientation val="minMax"/>
        </c:scaling>
        <c:delete val="0"/>
        <c:axPos val="b"/>
        <c:majorTickMark val="out"/>
        <c:minorTickMark val="none"/>
        <c:tickLblPos val="nextTo"/>
        <c:txPr>
          <a:bodyPr/>
          <a:lstStyle/>
          <a:p>
            <a:pPr algn="just">
              <a:defRPr sz="1200"/>
            </a:pPr>
            <a:endParaRPr lang="ru-RU"/>
          </a:p>
        </c:txPr>
        <c:crossAx val="120564352"/>
        <c:crosses val="autoZero"/>
        <c:auto val="1"/>
        <c:lblAlgn val="l"/>
        <c:lblOffset val="100"/>
        <c:tickMarkSkip val="3"/>
        <c:noMultiLvlLbl val="0"/>
      </c:catAx>
      <c:valAx>
        <c:axId val="120564352"/>
        <c:scaling>
          <c:orientation val="minMax"/>
        </c:scaling>
        <c:delete val="1"/>
        <c:axPos val="l"/>
        <c:majorGridlines>
          <c:spPr>
            <a:ln>
              <a:noFill/>
            </a:ln>
          </c:spPr>
        </c:majorGridlines>
        <c:numFmt formatCode="General" sourceLinked="1"/>
        <c:majorTickMark val="out"/>
        <c:minorTickMark val="none"/>
        <c:tickLblPos val="none"/>
        <c:crossAx val="120562432"/>
        <c:crosses val="autoZero"/>
        <c:crossBetween val="between"/>
      </c:valAx>
      <c:spPr>
        <a:noFill/>
        <a:ln w="25400">
          <a:noFill/>
        </a:ln>
      </c:spPr>
    </c:plotArea>
    <c:legend>
      <c:legendPos val="b"/>
      <c:layout>
        <c:manualLayout>
          <c:xMode val="edge"/>
          <c:yMode val="edge"/>
          <c:x val="0.36517740296390527"/>
          <c:y val="2.30255959149521E-3"/>
          <c:w val="0.5875353484040301"/>
          <c:h val="0.12576283550387266"/>
        </c:manualLayout>
      </c:layout>
      <c:overlay val="0"/>
      <c:txPr>
        <a:bodyPr/>
        <a:lstStyle/>
        <a:p>
          <a:pPr>
            <a:defRPr sz="1100" b="0"/>
          </a:pPr>
          <a:endParaRPr lang="ru-RU"/>
        </a:p>
      </c:txPr>
    </c:legend>
    <c:plotVisOnly val="1"/>
    <c:dispBlanksAs val="gap"/>
    <c:showDLblsOverMax val="0"/>
  </c:chart>
  <c:spPr>
    <a:noFill/>
    <a:ln>
      <a:no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1079F-EC25-4BC2-9DE8-18A6A01C7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3481</Words>
  <Characters>19848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dom</cp:lastModifiedBy>
  <cp:revision>2</cp:revision>
  <cp:lastPrinted>2012-12-13T10:12:00Z</cp:lastPrinted>
  <dcterms:created xsi:type="dcterms:W3CDTF">2014-11-11T19:51:00Z</dcterms:created>
  <dcterms:modified xsi:type="dcterms:W3CDTF">2014-11-11T19:51:00Z</dcterms:modified>
</cp:coreProperties>
</file>