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38" w:rsidRDefault="002C7E38" w:rsidP="002C7E3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Научное наследие </w:t>
      </w:r>
      <w:proofErr w:type="spellStart"/>
      <w:r>
        <w:rPr>
          <w:b/>
          <w:sz w:val="28"/>
          <w:szCs w:val="28"/>
        </w:rPr>
        <w:t>И.И.Мечникова</w:t>
      </w:r>
      <w:proofErr w:type="spellEnd"/>
      <w:r>
        <w:rPr>
          <w:b/>
          <w:sz w:val="28"/>
          <w:szCs w:val="28"/>
        </w:rPr>
        <w:t xml:space="preserve"> и современные подходы к  прогнозированию и профилактике незавершенности процессинга патологических антигенов</w:t>
      </w:r>
    </w:p>
    <w:p w:rsidR="002C7E38" w:rsidRDefault="002C7E38" w:rsidP="002C7E38">
      <w:pPr>
        <w:ind w:firstLine="540"/>
        <w:jc w:val="both"/>
        <w:rPr>
          <w:sz w:val="28"/>
          <w:szCs w:val="28"/>
        </w:rPr>
      </w:pPr>
    </w:p>
    <w:p w:rsidR="002C7E38" w:rsidRDefault="002C7E38" w:rsidP="002C7E3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Быченко Е.А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Турчина</w:t>
      </w:r>
      <w:proofErr w:type="spellEnd"/>
      <w:r>
        <w:rPr>
          <w:sz w:val="28"/>
          <w:szCs w:val="28"/>
        </w:rPr>
        <w:t xml:space="preserve"> В.Н.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Кордон Т.И.</w:t>
      </w:r>
      <w:r>
        <w:rPr>
          <w:sz w:val="28"/>
          <w:szCs w:val="28"/>
          <w:vertAlign w:val="superscript"/>
        </w:rPr>
        <w:t>1</w:t>
      </w:r>
    </w:p>
    <w:p w:rsidR="002C7E38" w:rsidRDefault="002C7E38" w:rsidP="002C7E38">
      <w:pPr>
        <w:ind w:firstLine="540"/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– проф. Е.М.Климова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  <w:vertAlign w:val="superscript"/>
        </w:rPr>
        <w:t>,2</w:t>
      </w:r>
    </w:p>
    <w:p w:rsidR="002C7E38" w:rsidRDefault="002C7E38" w:rsidP="002C7E38">
      <w:pPr>
        <w:ind w:firstLine="540"/>
      </w:pPr>
      <w:r>
        <w:rPr>
          <w:vertAlign w:val="superscript"/>
        </w:rPr>
        <w:t>1</w:t>
      </w:r>
      <w:r>
        <w:t xml:space="preserve">ГУ «Институт общей и неотложной хирургии им. </w:t>
      </w:r>
      <w:proofErr w:type="spellStart"/>
      <w:r>
        <w:t>В.Т.Зайцева</w:t>
      </w:r>
      <w:proofErr w:type="spellEnd"/>
      <w:r>
        <w:t xml:space="preserve"> НАМНУ»</w:t>
      </w:r>
    </w:p>
    <w:p w:rsidR="002C7E38" w:rsidRDefault="002C7E38" w:rsidP="002C7E38">
      <w:pPr>
        <w:ind w:firstLine="540"/>
      </w:pPr>
      <w:r>
        <w:rPr>
          <w:vertAlign w:val="superscript"/>
        </w:rPr>
        <w:t>2</w:t>
      </w:r>
      <w:r>
        <w:t>Харьковский национальный медицинский университет</w:t>
      </w:r>
    </w:p>
    <w:p w:rsidR="002C7E38" w:rsidRDefault="002C7E38" w:rsidP="002C7E38">
      <w:pPr>
        <w:ind w:firstLine="540"/>
        <w:jc w:val="both"/>
        <w:rPr>
          <w:sz w:val="28"/>
          <w:szCs w:val="28"/>
        </w:rPr>
      </w:pPr>
    </w:p>
    <w:p w:rsidR="002C7E38" w:rsidRDefault="002C7E38" w:rsidP="002C7E38">
      <w:pPr>
        <w:ind w:firstLine="540"/>
        <w:jc w:val="both"/>
      </w:pPr>
      <w:r>
        <w:rPr>
          <w:sz w:val="28"/>
          <w:szCs w:val="28"/>
        </w:rPr>
        <w:t xml:space="preserve">Колоссальное научное наследие </w:t>
      </w:r>
      <w:proofErr w:type="spellStart"/>
      <w:r>
        <w:rPr>
          <w:sz w:val="28"/>
          <w:szCs w:val="28"/>
        </w:rPr>
        <w:t>И.И.Мечникова</w:t>
      </w:r>
      <w:proofErr w:type="spellEnd"/>
      <w:r>
        <w:rPr>
          <w:sz w:val="28"/>
          <w:szCs w:val="28"/>
        </w:rPr>
        <w:t xml:space="preserve"> – нашего земляка, выдающегося естествоиспытателя - охватывает вопросы бактериологии и эпидемиологии инфекционных болезней. Он считал: «весьма вероятно, что естественная смерть… сводится к отравлению не только чуждыми организму бактериями, а самими измененными элементами нашего тела». Мечников впервые, изучая внутриклеточное пищеварение на моделях различных беспозвоночных организмов  и клетках позвоночных животных, пришел к выводу, что эти физиологические механизмы являются барьерными и защищают организм от интоксикации.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C7E38" w:rsidTr="002C7E38">
        <w:tc>
          <w:tcPr>
            <w:tcW w:w="4785" w:type="dxa"/>
            <w:hideMark/>
          </w:tcPr>
          <w:p w:rsidR="002C7E38" w:rsidRDefault="002C7E3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0550" cy="1552575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C7E38" w:rsidRDefault="002C7E38">
            <w:pPr>
              <w:jc w:val="both"/>
            </w:pPr>
          </w:p>
          <w:p w:rsidR="002C7E38" w:rsidRDefault="002C7E38">
            <w:pPr>
              <w:jc w:val="both"/>
            </w:pPr>
          </w:p>
          <w:p w:rsidR="002C7E38" w:rsidRDefault="002C7E38">
            <w:pPr>
              <w:jc w:val="both"/>
            </w:pPr>
          </w:p>
          <w:p w:rsidR="002C7E38" w:rsidRDefault="002C7E38">
            <w:pPr>
              <w:jc w:val="both"/>
            </w:pPr>
          </w:p>
          <w:p w:rsidR="002C7E38" w:rsidRDefault="002C7E38">
            <w:pPr>
              <w:jc w:val="both"/>
            </w:pPr>
          </w:p>
          <w:p w:rsidR="002C7E38" w:rsidRDefault="002C7E38">
            <w:pPr>
              <w:jc w:val="both"/>
            </w:pPr>
          </w:p>
          <w:p w:rsidR="002C7E38" w:rsidRDefault="002C7E38">
            <w:pPr>
              <w:jc w:val="both"/>
            </w:pPr>
            <w:r>
              <w:t xml:space="preserve">Рис. 1. Скопление фагоцитов вокруг инородного тела в личинке морской звезды (рис. Мечникова И.И.) </w:t>
            </w:r>
          </w:p>
        </w:tc>
      </w:tr>
    </w:tbl>
    <w:p w:rsidR="002C7E38" w:rsidRDefault="002C7E38" w:rsidP="002C7E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Мечников И.И.  умел видеть сквозь призму открытого им феномена фагоцитоза  сущность механизмов возникновения патологических процессов. Изучая </w:t>
      </w:r>
      <w:proofErr w:type="spellStart"/>
      <w:r>
        <w:rPr>
          <w:sz w:val="28"/>
          <w:szCs w:val="28"/>
        </w:rPr>
        <w:t>аутоинтоксикационные</w:t>
      </w:r>
      <w:proofErr w:type="spellEnd"/>
      <w:r>
        <w:rPr>
          <w:sz w:val="28"/>
          <w:szCs w:val="28"/>
        </w:rPr>
        <w:t xml:space="preserve"> феномены организмов, ученый сформулировал фундаментальные принципы антагонизма между бактериями, проложил стратегическое направление поиска, руководствуясь которым, наука пришла к открытию антибиотиков.  На современном этапе интенсивно развивающаяся иммунология, опираясь на разработанное естествоиспытателем учение о роли фагоцитоза в борьбе с инфекциями и с атрофическими процессами организма, позволила решить проблемы, касающиеся этиологии и патогенеза многих грозных заболеваний. Причиной развития </w:t>
      </w:r>
      <w:proofErr w:type="spellStart"/>
      <w:r>
        <w:rPr>
          <w:sz w:val="28"/>
          <w:szCs w:val="28"/>
        </w:rPr>
        <w:t>иммунозависимых</w:t>
      </w:r>
      <w:proofErr w:type="spellEnd"/>
      <w:r>
        <w:rPr>
          <w:sz w:val="28"/>
          <w:szCs w:val="28"/>
        </w:rPr>
        <w:t xml:space="preserve"> заболеваний является увеличение влияния негативных средовых факторов, груз бактериальных и вирусных инфекций, широкое применение вакцин и сывороток. </w:t>
      </w:r>
      <w:proofErr w:type="spellStart"/>
      <w:r>
        <w:rPr>
          <w:sz w:val="28"/>
          <w:szCs w:val="28"/>
        </w:rPr>
        <w:t>И.И.Мечников</w:t>
      </w:r>
      <w:proofErr w:type="spellEnd"/>
      <w:r>
        <w:rPr>
          <w:sz w:val="28"/>
          <w:szCs w:val="28"/>
        </w:rPr>
        <w:t xml:space="preserve"> показал, что в </w:t>
      </w:r>
      <w:proofErr w:type="spellStart"/>
      <w:r>
        <w:rPr>
          <w:sz w:val="28"/>
          <w:szCs w:val="28"/>
        </w:rPr>
        <w:t>репаративных</w:t>
      </w:r>
      <w:proofErr w:type="spellEnd"/>
      <w:r>
        <w:rPr>
          <w:sz w:val="28"/>
          <w:szCs w:val="28"/>
        </w:rPr>
        <w:t xml:space="preserve"> процессах организма участвует большая группа клеток </w:t>
      </w:r>
      <w:proofErr w:type="spellStart"/>
      <w:r>
        <w:rPr>
          <w:sz w:val="28"/>
          <w:szCs w:val="28"/>
        </w:rPr>
        <w:t>мезодермального</w:t>
      </w:r>
      <w:proofErr w:type="spellEnd"/>
      <w:r>
        <w:rPr>
          <w:sz w:val="28"/>
          <w:szCs w:val="28"/>
        </w:rPr>
        <w:t xml:space="preserve"> происхождения, способных поглощать и разрушать микроорганизмы, стареющие и отмирающие клетки. Мечников считал, что «болезнь должна рассматриваться как борьба между патогенными агентами и фагоцитами организма. Излечение будет означать победу фагоцитов, а воспалительная реакция будет признаком их действия. Известно, что </w:t>
      </w:r>
      <w:proofErr w:type="spellStart"/>
      <w:r>
        <w:rPr>
          <w:sz w:val="28"/>
          <w:szCs w:val="28"/>
        </w:rPr>
        <w:lastRenderedPageBreak/>
        <w:t>нейтрофильные</w:t>
      </w:r>
      <w:proofErr w:type="spellEnd"/>
      <w:r>
        <w:rPr>
          <w:sz w:val="28"/>
          <w:szCs w:val="28"/>
        </w:rPr>
        <w:t xml:space="preserve"> гранулоциты обеспечивают первую иммунную защиту организма, т.е. реализовывают свой активный потенциал для поддержания гомеостаза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Из-за сложности процессов регуляции фагоцитарной активности и завершенности фагоцитоза при избыточной контаминации может наблюдаться локальное или </w:t>
      </w:r>
      <w:proofErr w:type="spellStart"/>
      <w:r>
        <w:rPr>
          <w:sz w:val="28"/>
          <w:szCs w:val="28"/>
        </w:rPr>
        <w:t>генерализованное</w:t>
      </w:r>
      <w:proofErr w:type="spellEnd"/>
      <w:r>
        <w:rPr>
          <w:sz w:val="28"/>
          <w:szCs w:val="28"/>
        </w:rPr>
        <w:t xml:space="preserve"> увеличение токсических факторов.  Возникновение такой патологии, как ишемия кишечника, развивающаяся на фоне воспалительных заболеваний, дисбактериоза, пищевых интоксикаций и злокачественных новообразований, сопряжено со значительными изменениями общей резистентности организма. Острая ишемия кишечника, обусловленная нарушением </w:t>
      </w:r>
      <w:proofErr w:type="spellStart"/>
      <w:r>
        <w:rPr>
          <w:sz w:val="28"/>
          <w:szCs w:val="28"/>
        </w:rPr>
        <w:t>мезентериальной</w:t>
      </w:r>
      <w:proofErr w:type="spellEnd"/>
      <w:r>
        <w:rPr>
          <w:sz w:val="28"/>
          <w:szCs w:val="28"/>
        </w:rPr>
        <w:t xml:space="preserve"> рециркуляции, сопряжена со значительными изменениями общей резистентности, что в свою очередь, определяет тяжесть  послеоперационного периода и исход заболевания. Результаты лечения острых нарушений </w:t>
      </w:r>
      <w:proofErr w:type="spellStart"/>
      <w:r>
        <w:rPr>
          <w:sz w:val="28"/>
          <w:szCs w:val="28"/>
        </w:rPr>
        <w:t>мезентериального</w:t>
      </w:r>
      <w:proofErr w:type="spellEnd"/>
      <w:r>
        <w:rPr>
          <w:sz w:val="28"/>
          <w:szCs w:val="28"/>
        </w:rPr>
        <w:t xml:space="preserve"> кровообращения во многом зависят от своевременной диагностики тромбоэмболии брыжеечных сосудов. К сожалению, при ликвидации острой закупорки брыжеечной артерии некоторые больные умирают от осложнений при сохранной проходимости сосудов и жизнеспособном кишечнике. Восстановление кровотока само по себе не дает окончательного ответа в вопросах лечения инфаркта кишечника. Следовательно, важным является изучение роли факторов резистентности в формировании осложненного течения у больных с ишемией кишечника.</w:t>
      </w:r>
    </w:p>
    <w:p w:rsidR="002C7E38" w:rsidRDefault="002C7E38" w:rsidP="002C7E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изучали активность </w:t>
      </w:r>
      <w:proofErr w:type="spellStart"/>
      <w:r>
        <w:rPr>
          <w:sz w:val="28"/>
          <w:szCs w:val="28"/>
        </w:rPr>
        <w:t>фагоцитирующих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гранулоцитарных</w:t>
      </w:r>
      <w:proofErr w:type="spellEnd"/>
      <w:r>
        <w:rPr>
          <w:sz w:val="28"/>
          <w:szCs w:val="28"/>
        </w:rPr>
        <w:t xml:space="preserve"> нейтрофилов у пациентов с тромбозами </w:t>
      </w:r>
      <w:proofErr w:type="spellStart"/>
      <w:r>
        <w:rPr>
          <w:sz w:val="28"/>
          <w:szCs w:val="28"/>
        </w:rPr>
        <w:t>мезентериальных</w:t>
      </w:r>
      <w:proofErr w:type="spellEnd"/>
      <w:r>
        <w:rPr>
          <w:sz w:val="28"/>
          <w:szCs w:val="28"/>
        </w:rPr>
        <w:t xml:space="preserve"> сосудов. </w:t>
      </w:r>
    </w:p>
    <w:p w:rsidR="002C7E38" w:rsidRDefault="002C7E38" w:rsidP="002C7E3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 и методы.</w:t>
      </w:r>
      <w:r>
        <w:rPr>
          <w:sz w:val="28"/>
          <w:szCs w:val="28"/>
        </w:rPr>
        <w:t xml:space="preserve"> В зависимости от клинико-морфологических проявлений больные были разделены на две группы: первая группа – пациенты с обратимой ишемией тканей кишечника вследствие нарушения </w:t>
      </w:r>
      <w:proofErr w:type="spellStart"/>
      <w:r>
        <w:rPr>
          <w:sz w:val="28"/>
          <w:szCs w:val="28"/>
        </w:rPr>
        <w:t>мезентериального</w:t>
      </w:r>
      <w:proofErr w:type="spellEnd"/>
      <w:r>
        <w:rPr>
          <w:sz w:val="28"/>
          <w:szCs w:val="28"/>
        </w:rPr>
        <w:t xml:space="preserve"> кровотока; вторая -  пациенты с необратимыми некротическими  изменениями стенки кишки. Вычисляли  соотношение клеток, вступивших в фагоцитоз, относительно общего количества нейтрофилов и рассчитывали фагоцитарный индекс. По среднему числу клеток микроорганизма, находящихся в </w:t>
      </w:r>
      <w:proofErr w:type="spellStart"/>
      <w:r>
        <w:rPr>
          <w:sz w:val="28"/>
          <w:szCs w:val="28"/>
        </w:rPr>
        <w:t>фагоцитирующих</w:t>
      </w:r>
      <w:proofErr w:type="spellEnd"/>
      <w:r>
        <w:rPr>
          <w:sz w:val="28"/>
          <w:szCs w:val="28"/>
        </w:rPr>
        <w:t xml:space="preserve"> нейтрофилах крови, вычисляли величину фагоцитарного числа; индекс завершенности фагоцитоза оценивали по интенсивности </w:t>
      </w:r>
      <w:proofErr w:type="spellStart"/>
      <w:r>
        <w:rPr>
          <w:sz w:val="28"/>
          <w:szCs w:val="28"/>
        </w:rPr>
        <w:t>эндоцитоза</w:t>
      </w:r>
      <w:proofErr w:type="spellEnd"/>
      <w:r>
        <w:rPr>
          <w:sz w:val="28"/>
          <w:szCs w:val="28"/>
        </w:rPr>
        <w:t xml:space="preserve"> (переваривающей активности) нейтрофилов. </w:t>
      </w:r>
      <w:proofErr w:type="gramStart"/>
      <w:r>
        <w:rPr>
          <w:sz w:val="28"/>
          <w:szCs w:val="28"/>
        </w:rPr>
        <w:t>Кислород-зависимую</w:t>
      </w:r>
      <w:proofErr w:type="gramEnd"/>
      <w:r>
        <w:rPr>
          <w:sz w:val="28"/>
          <w:szCs w:val="28"/>
        </w:rPr>
        <w:t xml:space="preserve"> активность ферментов  </w:t>
      </w:r>
      <w:proofErr w:type="spellStart"/>
      <w:r>
        <w:rPr>
          <w:sz w:val="28"/>
          <w:szCs w:val="28"/>
        </w:rPr>
        <w:t>нейтрофильных</w:t>
      </w:r>
      <w:proofErr w:type="spellEnd"/>
      <w:r>
        <w:rPr>
          <w:sz w:val="28"/>
          <w:szCs w:val="28"/>
        </w:rPr>
        <w:t xml:space="preserve"> гранулоцитов исследовали в реакции  спонтанного и стимулированного восстановления </w:t>
      </w:r>
      <w:proofErr w:type="spellStart"/>
      <w:r>
        <w:rPr>
          <w:sz w:val="28"/>
          <w:szCs w:val="28"/>
        </w:rPr>
        <w:t>нитросинего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тетразолия</w:t>
      </w:r>
      <w:proofErr w:type="spellEnd"/>
      <w:r>
        <w:rPr>
          <w:sz w:val="28"/>
          <w:szCs w:val="28"/>
        </w:rPr>
        <w:t xml:space="preserve"> (НСТ-тест) по методике А. Н. </w:t>
      </w:r>
      <w:proofErr w:type="spellStart"/>
      <w:r>
        <w:rPr>
          <w:sz w:val="28"/>
          <w:szCs w:val="28"/>
        </w:rPr>
        <w:t>Маянского</w:t>
      </w:r>
      <w:proofErr w:type="spellEnd"/>
      <w:r>
        <w:rPr>
          <w:sz w:val="28"/>
          <w:szCs w:val="28"/>
        </w:rPr>
        <w:t xml:space="preserve"> (1989). Поскольку в ходе реакции используемый краситель восстанавливается ферментами до </w:t>
      </w:r>
      <w:proofErr w:type="gramStart"/>
      <w:r>
        <w:rPr>
          <w:sz w:val="28"/>
          <w:szCs w:val="28"/>
        </w:rPr>
        <w:t>нерастворимого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диформазана</w:t>
      </w:r>
      <w:proofErr w:type="spellEnd"/>
      <w:r>
        <w:rPr>
          <w:sz w:val="28"/>
          <w:szCs w:val="28"/>
        </w:rPr>
        <w:t xml:space="preserve">, откладывающегося в клетках в виде темно-синих гранул, то визуально можно определить интенсивность фагоцитарной активности нейтрофилов под световым микроскопом. </w:t>
      </w:r>
    </w:p>
    <w:p w:rsidR="002C7E38" w:rsidRDefault="002C7E38" w:rsidP="002C7E38">
      <w:pPr>
        <w:ind w:firstLine="540"/>
        <w:jc w:val="both"/>
        <w:rPr>
          <w:color w:val="141D07"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>
        <w:rPr>
          <w:sz w:val="28"/>
          <w:szCs w:val="28"/>
        </w:rPr>
        <w:t xml:space="preserve">. Выявлено </w:t>
      </w:r>
      <w:r>
        <w:rPr>
          <w:color w:val="141D07"/>
          <w:sz w:val="28"/>
          <w:szCs w:val="28"/>
        </w:rPr>
        <w:t xml:space="preserve">увеличение фагоцитарного числа </w:t>
      </w:r>
      <w:proofErr w:type="spellStart"/>
      <w:r>
        <w:rPr>
          <w:color w:val="141D07"/>
          <w:sz w:val="28"/>
          <w:szCs w:val="28"/>
        </w:rPr>
        <w:t>нейтрофильных</w:t>
      </w:r>
      <w:proofErr w:type="spellEnd"/>
      <w:r>
        <w:rPr>
          <w:color w:val="141D07"/>
          <w:sz w:val="28"/>
          <w:szCs w:val="28"/>
        </w:rPr>
        <w:t xml:space="preserve"> гранулоцитов</w:t>
      </w:r>
      <w:r>
        <w:rPr>
          <w:sz w:val="28"/>
          <w:szCs w:val="28"/>
        </w:rPr>
        <w:t xml:space="preserve"> в</w:t>
      </w:r>
      <w:r>
        <w:rPr>
          <w:color w:val="141D07"/>
          <w:sz w:val="28"/>
          <w:szCs w:val="28"/>
        </w:rPr>
        <w:t xml:space="preserve"> обеих клинических группах, однако </w:t>
      </w:r>
      <w:proofErr w:type="spellStart"/>
      <w:r>
        <w:rPr>
          <w:color w:val="141D07"/>
          <w:sz w:val="28"/>
          <w:szCs w:val="28"/>
        </w:rPr>
        <w:t>эндоцитоз</w:t>
      </w:r>
      <w:proofErr w:type="spellEnd"/>
      <w:r>
        <w:rPr>
          <w:color w:val="141D07"/>
          <w:sz w:val="28"/>
          <w:szCs w:val="28"/>
        </w:rPr>
        <w:t xml:space="preserve"> микроорганизмов </w:t>
      </w:r>
      <w:proofErr w:type="spellStart"/>
      <w:r>
        <w:rPr>
          <w:color w:val="141D07"/>
          <w:sz w:val="28"/>
          <w:szCs w:val="28"/>
        </w:rPr>
        <w:t>фагоцитирующими</w:t>
      </w:r>
      <w:proofErr w:type="spellEnd"/>
      <w:r>
        <w:rPr>
          <w:color w:val="141D07"/>
          <w:sz w:val="28"/>
          <w:szCs w:val="28"/>
        </w:rPr>
        <w:t xml:space="preserve"> клетками у пациентов второй группы с осложненным течением был ниже контрольных </w:t>
      </w:r>
      <w:proofErr w:type="spellStart"/>
      <w:r>
        <w:rPr>
          <w:color w:val="141D07"/>
          <w:sz w:val="28"/>
          <w:szCs w:val="28"/>
        </w:rPr>
        <w:lastRenderedPageBreak/>
        <w:t>референтных</w:t>
      </w:r>
      <w:proofErr w:type="spellEnd"/>
      <w:r>
        <w:rPr>
          <w:color w:val="141D07"/>
          <w:sz w:val="28"/>
          <w:szCs w:val="28"/>
        </w:rPr>
        <w:t xml:space="preserve"> величин в два раза, что свидетельствует о незавершенности процессинга патологических антигенов  микроорганизмов. Выявлено снижение ферментативного резерва </w:t>
      </w:r>
      <w:proofErr w:type="spellStart"/>
      <w:r>
        <w:rPr>
          <w:color w:val="141D07"/>
          <w:sz w:val="28"/>
          <w:szCs w:val="28"/>
        </w:rPr>
        <w:t>фагоцитирующих</w:t>
      </w:r>
      <w:proofErr w:type="spellEnd"/>
      <w:r>
        <w:rPr>
          <w:color w:val="141D07"/>
          <w:sz w:val="28"/>
          <w:szCs w:val="28"/>
        </w:rPr>
        <w:t xml:space="preserve"> нейтрофилов в НСТ-тесте у больных обеих групп. Выявлено многократное увеличение образования активных форм кислорода как следствие активации внутриклеточных ферментов нейтрофилов в отсутствие стимуляции субстратом в тесте НСТ в обеих группах, а стимуляция </w:t>
      </w:r>
      <w:proofErr w:type="spellStart"/>
      <w:r>
        <w:rPr>
          <w:color w:val="141D07"/>
          <w:sz w:val="28"/>
          <w:szCs w:val="28"/>
        </w:rPr>
        <w:t>зимозаном</w:t>
      </w:r>
      <w:proofErr w:type="spellEnd"/>
      <w:r>
        <w:rPr>
          <w:color w:val="141D07"/>
          <w:sz w:val="28"/>
          <w:szCs w:val="28"/>
        </w:rPr>
        <w:t xml:space="preserve"> поглощения </w:t>
      </w:r>
      <w:proofErr w:type="spellStart"/>
      <w:r>
        <w:rPr>
          <w:color w:val="141D07"/>
          <w:sz w:val="28"/>
          <w:szCs w:val="28"/>
        </w:rPr>
        <w:t>нитросинего</w:t>
      </w:r>
      <w:proofErr w:type="spellEnd"/>
      <w:r>
        <w:rPr>
          <w:color w:val="141D07"/>
          <w:sz w:val="28"/>
          <w:szCs w:val="28"/>
        </w:rPr>
        <w:t xml:space="preserve"> </w:t>
      </w:r>
      <w:proofErr w:type="spellStart"/>
      <w:r>
        <w:rPr>
          <w:color w:val="141D07"/>
          <w:sz w:val="28"/>
          <w:szCs w:val="28"/>
        </w:rPr>
        <w:t>тетразолия</w:t>
      </w:r>
      <w:proofErr w:type="spellEnd"/>
      <w:r>
        <w:rPr>
          <w:color w:val="141D07"/>
          <w:sz w:val="28"/>
          <w:szCs w:val="28"/>
        </w:rPr>
        <w:t xml:space="preserve"> не вызывала должного респираторного  взрыва нейтрофилов у больных второй группы с осложненным течением. </w:t>
      </w:r>
    </w:p>
    <w:p w:rsidR="002C7E38" w:rsidRDefault="002C7E38" w:rsidP="002C7E38">
      <w:pPr>
        <w:ind w:firstLine="540"/>
        <w:jc w:val="both"/>
        <w:rPr>
          <w:color w:val="141D07"/>
          <w:sz w:val="28"/>
          <w:szCs w:val="28"/>
        </w:rPr>
      </w:pPr>
      <w:r>
        <w:rPr>
          <w:sz w:val="28"/>
          <w:szCs w:val="28"/>
        </w:rPr>
        <w:t xml:space="preserve">Избыточное накопление бактериальных антигенов и их токсинов может быть обусловлено несостоятельностью фагоцитоза у пациентов второй группы. Процессы фагоцитоза также могут нарушаться из-за недостаточной активации </w:t>
      </w:r>
      <w:proofErr w:type="spellStart"/>
      <w:r>
        <w:rPr>
          <w:sz w:val="28"/>
          <w:szCs w:val="28"/>
        </w:rPr>
        <w:t>тирозинкиназы</w:t>
      </w:r>
      <w:proofErr w:type="spellEnd"/>
      <w:r>
        <w:rPr>
          <w:sz w:val="28"/>
          <w:szCs w:val="28"/>
        </w:rPr>
        <w:t xml:space="preserve"> и изменения функции </w:t>
      </w:r>
      <w:proofErr w:type="spellStart"/>
      <w:r>
        <w:rPr>
          <w:sz w:val="28"/>
          <w:szCs w:val="28"/>
        </w:rPr>
        <w:t>Fcγ</w:t>
      </w:r>
      <w:proofErr w:type="spellEnd"/>
      <w:r>
        <w:rPr>
          <w:sz w:val="28"/>
          <w:szCs w:val="28"/>
        </w:rPr>
        <w:t xml:space="preserve">-рецептора, что приводит к снижению адгезии инфекционных мишеней и измененных </w:t>
      </w:r>
      <w:proofErr w:type="spellStart"/>
      <w:r>
        <w:rPr>
          <w:sz w:val="28"/>
          <w:szCs w:val="28"/>
        </w:rPr>
        <w:t>аутоклеток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Фагоцитирующие</w:t>
      </w:r>
      <w:proofErr w:type="spellEnd"/>
      <w:r>
        <w:rPr>
          <w:sz w:val="28"/>
          <w:szCs w:val="28"/>
        </w:rPr>
        <w:t xml:space="preserve"> клетки распознают антиген посредством поверхностных рецепторов для иммуноглобулинов (</w:t>
      </w:r>
      <w:proofErr w:type="spellStart"/>
      <w:r>
        <w:rPr>
          <w:sz w:val="28"/>
          <w:szCs w:val="28"/>
        </w:rPr>
        <w:t>FcR</w:t>
      </w:r>
      <w:proofErr w:type="spellEnd"/>
      <w:r>
        <w:rPr>
          <w:sz w:val="28"/>
          <w:szCs w:val="28"/>
        </w:rPr>
        <w:t xml:space="preserve">) и фрагментов системы комплемента (CR3), нарушение функции которых может наследственно обусловленным.  Экспрессия рецепторов фагоцитов, которые представляют собой  антигены комплекса </w:t>
      </w:r>
      <w:proofErr w:type="spellStart"/>
      <w:r>
        <w:rPr>
          <w:sz w:val="28"/>
          <w:szCs w:val="28"/>
        </w:rPr>
        <w:t>гистосовместимости</w:t>
      </w:r>
      <w:proofErr w:type="spellEnd"/>
      <w:r>
        <w:rPr>
          <w:sz w:val="28"/>
          <w:szCs w:val="28"/>
        </w:rPr>
        <w:t xml:space="preserve"> ІІ класса, может быть снижена у пациентов второй группы, что приводит к дефекту взаимодействия с антигенами и избыточному накоплению некротических субстратов. Ключевой функцией фагоцитов является процесс </w:t>
      </w:r>
      <w:proofErr w:type="spellStart"/>
      <w:r>
        <w:rPr>
          <w:sz w:val="28"/>
          <w:szCs w:val="28"/>
        </w:rPr>
        <w:t>эндоцитоза</w:t>
      </w:r>
      <w:proofErr w:type="spellEnd"/>
      <w:r>
        <w:rPr>
          <w:sz w:val="28"/>
          <w:szCs w:val="28"/>
        </w:rPr>
        <w:t xml:space="preserve">, который включает следующие этапы: присоединение мишени, заключение мишени в плазматическую мембрану, индукцию </w:t>
      </w:r>
      <w:proofErr w:type="spellStart"/>
      <w:r>
        <w:rPr>
          <w:sz w:val="28"/>
          <w:szCs w:val="28"/>
        </w:rPr>
        <w:t>интегринов</w:t>
      </w:r>
      <w:proofErr w:type="spellEnd"/>
      <w:r>
        <w:rPr>
          <w:sz w:val="28"/>
          <w:szCs w:val="28"/>
        </w:rPr>
        <w:t xml:space="preserve"> CD11b/CD18 и привлечение </w:t>
      </w:r>
      <w:proofErr w:type="spellStart"/>
      <w:r>
        <w:rPr>
          <w:sz w:val="28"/>
          <w:szCs w:val="28"/>
        </w:rPr>
        <w:t>опсонизированного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IgG</w:t>
      </w:r>
      <w:proofErr w:type="spellEnd"/>
      <w:r>
        <w:rPr>
          <w:sz w:val="28"/>
          <w:szCs w:val="28"/>
        </w:rPr>
        <w:t xml:space="preserve"> посредством </w:t>
      </w:r>
      <w:proofErr w:type="spellStart"/>
      <w:r>
        <w:rPr>
          <w:sz w:val="28"/>
          <w:szCs w:val="28"/>
        </w:rPr>
        <w:t>Fcγ</w:t>
      </w:r>
      <w:proofErr w:type="spellEnd"/>
      <w:r>
        <w:rPr>
          <w:sz w:val="28"/>
          <w:szCs w:val="28"/>
        </w:rPr>
        <w:t xml:space="preserve">-рецептора. </w:t>
      </w:r>
      <w:r>
        <w:rPr>
          <w:color w:val="141D07"/>
          <w:sz w:val="28"/>
          <w:szCs w:val="28"/>
        </w:rPr>
        <w:t xml:space="preserve">Фагоцитарная функция </w:t>
      </w:r>
      <w:proofErr w:type="spellStart"/>
      <w:r>
        <w:rPr>
          <w:color w:val="141D07"/>
          <w:sz w:val="28"/>
          <w:szCs w:val="28"/>
        </w:rPr>
        <w:t>нейтрофильных</w:t>
      </w:r>
      <w:proofErr w:type="spellEnd"/>
      <w:r>
        <w:rPr>
          <w:color w:val="141D07"/>
          <w:sz w:val="28"/>
          <w:szCs w:val="28"/>
        </w:rPr>
        <w:t xml:space="preserve"> гранулоцитов и тест НСТ, характеризующий активность метаболических процессов фагоцитов (отсутствие завершенности фагоцитоза и снижение среднего цитохимического коэффициента СЦК, характеризующего активность ферментов, обеспечивающих образование активных форм кислорода), могут быть использованы для прогноза течения заболевания и выбора тактики индивидуальной </w:t>
      </w:r>
      <w:proofErr w:type="spellStart"/>
      <w:r>
        <w:rPr>
          <w:color w:val="141D07"/>
          <w:sz w:val="28"/>
          <w:szCs w:val="28"/>
        </w:rPr>
        <w:t>иммунокоррекции</w:t>
      </w:r>
      <w:proofErr w:type="spellEnd"/>
      <w:r>
        <w:rPr>
          <w:color w:val="141D07"/>
          <w:sz w:val="28"/>
          <w:szCs w:val="28"/>
        </w:rPr>
        <w:t xml:space="preserve"> первичной резистентности. </w:t>
      </w:r>
    </w:p>
    <w:p w:rsidR="002C7E38" w:rsidRDefault="002C7E38" w:rsidP="002C7E38"/>
    <w:p w:rsidR="00332ADC" w:rsidRDefault="00332ADC">
      <w:bookmarkStart w:id="0" w:name="_GoBack"/>
      <w:bookmarkEnd w:id="0"/>
    </w:p>
    <w:sectPr w:rsidR="0033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A7"/>
    <w:rsid w:val="002C7E38"/>
    <w:rsid w:val="00332ADC"/>
    <w:rsid w:val="00B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7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7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2015-04-14T12:24:00Z</dcterms:created>
  <dcterms:modified xsi:type="dcterms:W3CDTF">2015-04-14T12:24:00Z</dcterms:modified>
</cp:coreProperties>
</file>