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4B" w:rsidRPr="0036137D" w:rsidRDefault="00BF254B" w:rsidP="00361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37D">
        <w:rPr>
          <w:rFonts w:ascii="Times New Roman" w:hAnsi="Times New Roman"/>
          <w:sz w:val="28"/>
          <w:szCs w:val="28"/>
        </w:rPr>
        <w:t>Biosafety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medical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laboratories</w:t>
      </w:r>
    </w:p>
    <w:p w:rsidR="00BF254B" w:rsidRPr="0036137D" w:rsidRDefault="00BF254B" w:rsidP="00361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37D">
        <w:rPr>
          <w:rFonts w:ascii="Times New Roman" w:hAnsi="Times New Roman"/>
          <w:sz w:val="28"/>
          <w:szCs w:val="28"/>
        </w:rPr>
        <w:t>Shirgba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Sonter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Jacob,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Kovalyova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Kochubiei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O.</w:t>
      </w:r>
    </w:p>
    <w:p w:rsidR="00BF254B" w:rsidRPr="0036137D" w:rsidRDefault="00BF254B" w:rsidP="0036137D">
      <w:pPr>
        <w:tabs>
          <w:tab w:val="left" w:pos="2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54B" w:rsidRPr="0036137D" w:rsidRDefault="00BF254B" w:rsidP="003613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137D">
        <w:rPr>
          <w:rFonts w:ascii="Times New Roman" w:hAnsi="Times New Roman"/>
          <w:bCs/>
          <w:sz w:val="28"/>
          <w:szCs w:val="28"/>
        </w:rPr>
        <w:t>Biosafety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prevention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large-scale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loss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of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biological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integrity,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focusing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both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on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ecology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human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health</w:t>
      </w:r>
      <w:r w:rsidRPr="0036137D">
        <w:rPr>
          <w:rStyle w:val="apple-converted-space"/>
          <w:rFonts w:ascii="Times New Roman" w:hAnsi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These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prevention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mechanisms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include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conduction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regular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reviews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biosafety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laboratory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settings,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well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strict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guidelines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follow.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Biosafety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used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protect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us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from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harmful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incidents.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High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security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facilities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are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necessary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when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working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with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synthetic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biology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there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are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possibilities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bioterrorism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acts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release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harmful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chemicals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organisms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environment.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complete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understanding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experimental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risks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associated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with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synthetic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biology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helping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enforce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knowledge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effectiveness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biosafety.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254B" w:rsidRPr="0036137D" w:rsidRDefault="00BF254B" w:rsidP="003613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D">
        <w:rPr>
          <w:rFonts w:ascii="Times New Roman" w:hAnsi="Times New Roman"/>
          <w:sz w:val="28"/>
          <w:szCs w:val="28"/>
        </w:rPr>
        <w:tab/>
        <w:t>Risks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medical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laboratories</w:t>
      </w:r>
      <w:r>
        <w:rPr>
          <w:rFonts w:ascii="Times New Roman" w:hAnsi="Times New Roman"/>
          <w:sz w:val="28"/>
          <w:szCs w:val="28"/>
        </w:rPr>
        <w:t>:</w:t>
      </w:r>
    </w:p>
    <w:p w:rsidR="00BF254B" w:rsidRPr="0036137D" w:rsidRDefault="00BF254B" w:rsidP="0036137D">
      <w:p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137D">
        <w:rPr>
          <w:rFonts w:ascii="Times New Roman" w:hAnsi="Times New Roman"/>
          <w:sz w:val="28"/>
          <w:szCs w:val="28"/>
        </w:rPr>
        <w:t>Risk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Group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Agents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not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associated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with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disease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healthy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adult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humans.</w:t>
      </w:r>
    </w:p>
    <w:p w:rsidR="00BF254B" w:rsidRPr="0036137D" w:rsidRDefault="00BF254B" w:rsidP="0036137D">
      <w:p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137D">
        <w:rPr>
          <w:rFonts w:ascii="Times New Roman" w:hAnsi="Times New Roman"/>
          <w:sz w:val="28"/>
          <w:szCs w:val="28"/>
        </w:rPr>
        <w:t>Risk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Group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2: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Agents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associated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with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human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disease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that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rarely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serious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which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preventive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therapeutic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interventions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are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often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not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available.</w:t>
      </w:r>
    </w:p>
    <w:p w:rsidR="00BF254B" w:rsidRPr="0036137D" w:rsidRDefault="00BF254B" w:rsidP="0036137D">
      <w:p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137D">
        <w:rPr>
          <w:rFonts w:ascii="Times New Roman" w:hAnsi="Times New Roman"/>
          <w:sz w:val="28"/>
          <w:szCs w:val="28"/>
        </w:rPr>
        <w:t>Risk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Group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3: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Agents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associated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with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serious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lethal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human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disease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which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preventive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therapeutic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interventions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may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available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(high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individual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risk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but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low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community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risk</w:t>
      </w:r>
    </w:p>
    <w:p w:rsidR="00BF254B" w:rsidRPr="0036137D" w:rsidRDefault="00BF254B" w:rsidP="0036137D">
      <w:p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137D">
        <w:rPr>
          <w:rFonts w:ascii="Times New Roman" w:hAnsi="Times New Roman"/>
          <w:sz w:val="28"/>
          <w:szCs w:val="28"/>
        </w:rPr>
        <w:t>Risk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Group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4: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Agents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likely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cause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serious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lethal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human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disease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which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preventive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therapeutic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interventions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are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not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usually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available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(high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individual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risk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high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community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risk).</w:t>
      </w:r>
    </w:p>
    <w:p w:rsidR="00BF254B" w:rsidRPr="0036137D" w:rsidRDefault="00BF254B" w:rsidP="003613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137D">
        <w:rPr>
          <w:rFonts w:ascii="Times New Roman" w:hAnsi="Times New Roman"/>
          <w:sz w:val="28"/>
          <w:szCs w:val="28"/>
        </w:rPr>
        <w:t>Laboratory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Practices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Technique</w:t>
      </w:r>
    </w:p>
    <w:p w:rsidR="00BF254B" w:rsidRPr="0036137D" w:rsidRDefault="00BF254B" w:rsidP="003613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137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most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important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element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containment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strict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adherence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standard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microbiological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practices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techniques.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Persons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working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with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infectious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agents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potentially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infected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materials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must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aware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potential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hazards,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must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trained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proficient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practices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techniques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required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handling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such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material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safely.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director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person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charge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laboratory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responsible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providing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arranging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appropriate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training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personnel.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254B" w:rsidRPr="0036137D" w:rsidRDefault="00BF254B" w:rsidP="003613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D">
        <w:rPr>
          <w:rFonts w:ascii="Times New Roman" w:hAnsi="Times New Roman"/>
          <w:sz w:val="28"/>
          <w:szCs w:val="28"/>
        </w:rPr>
        <w:tab/>
        <w:t>Each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laboratory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should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develop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adopt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biosafety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operations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manual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that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identifies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hazards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that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will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may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encountered,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that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specifies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practices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procedures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designed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minimize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eliminate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exposures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these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hazards.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Personnel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should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advised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special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hazards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should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required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read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follow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required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practices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procedures.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scientist,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trained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knowledgeable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appropriate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laboratory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techniques,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safety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procedures,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hazards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associated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with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handling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infectious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agents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must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responsible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conduct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work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with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infectious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agents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materials.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This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individual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should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consult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with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biosafety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other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health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safety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professionals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with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regard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risk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assessment.</w:t>
      </w:r>
    </w:p>
    <w:p w:rsidR="00BF254B" w:rsidRPr="0036137D" w:rsidRDefault="00BF254B" w:rsidP="00361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7D">
        <w:rPr>
          <w:rFonts w:ascii="Times New Roman" w:hAnsi="Times New Roman"/>
          <w:sz w:val="28"/>
          <w:szCs w:val="28"/>
        </w:rPr>
        <w:tab/>
        <w:t>When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standard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laboratory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practices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are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not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sufficient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control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hazards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associated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with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particular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agent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laboratory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procedure,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additional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measures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may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needed.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laboratory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director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responsible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selecting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additional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safety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practices,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which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must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be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keeping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with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hazards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associated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with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agent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procedure.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Appropriate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facility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design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engineering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features,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safety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equipment,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management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practices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must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supplement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laboratory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personnel,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safety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practices,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7D">
        <w:rPr>
          <w:rFonts w:ascii="Times New Roman" w:hAnsi="Times New Roman"/>
          <w:sz w:val="28"/>
          <w:szCs w:val="28"/>
        </w:rPr>
        <w:t>technique.</w:t>
      </w:r>
    </w:p>
    <w:sectPr w:rsidR="00BF254B" w:rsidRPr="0036137D" w:rsidSect="00921F8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559"/>
    <w:rsid w:val="00026B16"/>
    <w:rsid w:val="001D429B"/>
    <w:rsid w:val="0036137D"/>
    <w:rsid w:val="003821B2"/>
    <w:rsid w:val="004E6400"/>
    <w:rsid w:val="007E184B"/>
    <w:rsid w:val="0088575C"/>
    <w:rsid w:val="008E42BD"/>
    <w:rsid w:val="00906559"/>
    <w:rsid w:val="00921F81"/>
    <w:rsid w:val="00AA1919"/>
    <w:rsid w:val="00AD1854"/>
    <w:rsid w:val="00B60094"/>
    <w:rsid w:val="00BF254B"/>
    <w:rsid w:val="00F06D7A"/>
    <w:rsid w:val="00F20CDE"/>
    <w:rsid w:val="00F313F4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8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06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0655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065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466</Words>
  <Characters>2657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shirgba sonter Jacob</dc:title>
  <dc:subject/>
  <dc:creator>Acer</dc:creator>
  <cp:keywords/>
  <dc:description/>
  <cp:lastModifiedBy>Asus</cp:lastModifiedBy>
  <cp:revision>5</cp:revision>
  <dcterms:created xsi:type="dcterms:W3CDTF">2015-03-20T08:42:00Z</dcterms:created>
  <dcterms:modified xsi:type="dcterms:W3CDTF">2015-03-20T08:47:00Z</dcterms:modified>
</cp:coreProperties>
</file>