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1A8" w:rsidRDefault="009661A8" w:rsidP="009661A8">
      <w:pPr>
        <w:tabs>
          <w:tab w:val="left" w:pos="9720"/>
        </w:tabs>
        <w:spacing w:line="360" w:lineRule="auto"/>
        <w:ind w:right="-15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УДК 579.61:616.995.1-008.8-078-036.22:612.017.1(477.54)</w:t>
      </w:r>
    </w:p>
    <w:p w:rsidR="009661A8" w:rsidRDefault="009661A8" w:rsidP="009661A8">
      <w:pPr>
        <w:tabs>
          <w:tab w:val="left" w:pos="9720"/>
        </w:tabs>
        <w:spacing w:line="360" w:lineRule="auto"/>
        <w:ind w:right="-158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Сероэпидемическая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характеристика </w:t>
      </w:r>
      <w:proofErr w:type="spellStart"/>
      <w:r>
        <w:rPr>
          <w:rFonts w:ascii="Times New Roman" w:hAnsi="Times New Roman"/>
          <w:b/>
          <w:sz w:val="28"/>
          <w:szCs w:val="28"/>
        </w:rPr>
        <w:t>токсокарозной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инвазии </w:t>
      </w:r>
    </w:p>
    <w:p w:rsidR="009661A8" w:rsidRDefault="009661A8" w:rsidP="009661A8">
      <w:pPr>
        <w:tabs>
          <w:tab w:val="left" w:pos="9720"/>
        </w:tabs>
        <w:spacing w:line="360" w:lineRule="auto"/>
        <w:ind w:right="-15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Харьковской области </w:t>
      </w:r>
    </w:p>
    <w:p w:rsidR="009661A8" w:rsidRDefault="009661A8" w:rsidP="009661A8">
      <w:pPr>
        <w:tabs>
          <w:tab w:val="left" w:pos="9720"/>
        </w:tabs>
        <w:autoSpaceDE w:val="0"/>
        <w:autoSpaceDN w:val="0"/>
        <w:adjustRightInd w:val="0"/>
        <w:spacing w:line="360" w:lineRule="auto"/>
        <w:ind w:right="-158" w:firstLine="90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Т.Н. </w:t>
      </w:r>
      <w:proofErr w:type="spellStart"/>
      <w:r>
        <w:rPr>
          <w:rFonts w:ascii="Times New Roman" w:hAnsi="Times New Roman"/>
          <w:b/>
          <w:sz w:val="28"/>
          <w:szCs w:val="28"/>
        </w:rPr>
        <w:t>Замазий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9661A8" w:rsidRDefault="009661A8" w:rsidP="009661A8">
      <w:pPr>
        <w:tabs>
          <w:tab w:val="left" w:pos="9720"/>
        </w:tabs>
        <w:autoSpaceDE w:val="0"/>
        <w:autoSpaceDN w:val="0"/>
        <w:adjustRightInd w:val="0"/>
        <w:spacing w:line="360" w:lineRule="auto"/>
        <w:ind w:right="-158" w:firstLine="90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Харьковский национальный медицинский университет</w:t>
      </w:r>
    </w:p>
    <w:p w:rsidR="009661A8" w:rsidRDefault="009661A8" w:rsidP="009661A8">
      <w:pPr>
        <w:tabs>
          <w:tab w:val="left" w:pos="9720"/>
        </w:tabs>
        <w:autoSpaceDE w:val="0"/>
        <w:autoSpaceDN w:val="0"/>
        <w:adjustRightInd w:val="0"/>
        <w:spacing w:line="360" w:lineRule="auto"/>
        <w:ind w:right="-158" w:firstLine="90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г. Харьков</w:t>
      </w:r>
    </w:p>
    <w:p w:rsidR="009661A8" w:rsidRDefault="009661A8" w:rsidP="009661A8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Работа выполнена в рамках научно-исследовательской работы «Клинико-патогенетические особенности паразитарных заболеваний как основа диагностики и лечения», № </w:t>
      </w:r>
      <w:proofErr w:type="spellStart"/>
      <w:r>
        <w:rPr>
          <w:rFonts w:ascii="Times New Roman" w:hAnsi="Times New Roman"/>
          <w:sz w:val="28"/>
          <w:szCs w:val="28"/>
        </w:rPr>
        <w:t>госрегистрации</w:t>
      </w:r>
      <w:proofErr w:type="spellEnd"/>
      <w:r>
        <w:rPr>
          <w:rFonts w:ascii="Times New Roman" w:hAnsi="Times New Roman"/>
          <w:sz w:val="28"/>
          <w:szCs w:val="28"/>
        </w:rPr>
        <w:t>: 0101U001866.</w:t>
      </w:r>
    </w:p>
    <w:p w:rsidR="009661A8" w:rsidRDefault="009661A8" w:rsidP="009661A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TenCyr-Upright" w:hAnsi="Times New Roman"/>
          <w:sz w:val="28"/>
          <w:szCs w:val="28"/>
          <w:lang w:eastAsia="ru-RU"/>
        </w:rPr>
      </w:pPr>
      <w:r>
        <w:rPr>
          <w:rFonts w:ascii="Times New Roman" w:eastAsia="TimesTenCyr-Upright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</w:rPr>
        <w:t xml:space="preserve">сновным звеном социально-гигиенического мониторинга геогельминтов является состояние среды проживания человека, прежде всего почвы, как наиболее информативного фактора распространения доминирующих </w:t>
      </w:r>
      <w:proofErr w:type="spellStart"/>
      <w:r>
        <w:rPr>
          <w:rFonts w:ascii="Times New Roman" w:hAnsi="Times New Roman"/>
          <w:sz w:val="28"/>
          <w:szCs w:val="28"/>
        </w:rPr>
        <w:t>паразитозов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токсокароз</w:t>
      </w:r>
      <w:proofErr w:type="spellEnd"/>
      <w:r>
        <w:rPr>
          <w:rFonts w:ascii="Times New Roman" w:hAnsi="Times New Roman"/>
          <w:sz w:val="28"/>
          <w:szCs w:val="28"/>
        </w:rPr>
        <w:t xml:space="preserve">, трихоцефалез, аскаридоз). Для </w:t>
      </w:r>
      <w:proofErr w:type="spellStart"/>
      <w:r>
        <w:rPr>
          <w:rFonts w:ascii="Times New Roman" w:hAnsi="Times New Roman"/>
          <w:sz w:val="28"/>
          <w:szCs w:val="28"/>
        </w:rPr>
        <w:t>геогельминтозов</w:t>
      </w:r>
      <w:proofErr w:type="spellEnd"/>
      <w:r>
        <w:rPr>
          <w:rFonts w:ascii="Times New Roman" w:hAnsi="Times New Roman"/>
          <w:sz w:val="28"/>
          <w:szCs w:val="28"/>
        </w:rPr>
        <w:t xml:space="preserve"> почва - это среда, в условиях которой происходит развитие яиц до инвазионной стадии. </w:t>
      </w:r>
      <w:r>
        <w:rPr>
          <w:rFonts w:ascii="Times New Roman" w:eastAsia="TimesTenCyr-Upright" w:hAnsi="Times New Roman"/>
          <w:sz w:val="28"/>
          <w:szCs w:val="28"/>
          <w:lang w:eastAsia="ru-RU"/>
        </w:rPr>
        <w:t xml:space="preserve">Миллионы яиц с фекалиями животных попадая в окружающую среду, обусловливают высокий риск заражения </w:t>
      </w:r>
      <w:proofErr w:type="spellStart"/>
      <w:r>
        <w:rPr>
          <w:rFonts w:ascii="Times New Roman" w:eastAsia="TimesTenCyr-Upright" w:hAnsi="Times New Roman"/>
          <w:sz w:val="28"/>
          <w:szCs w:val="28"/>
          <w:lang w:eastAsia="ru-RU"/>
        </w:rPr>
        <w:t>токсокарозом</w:t>
      </w:r>
      <w:proofErr w:type="spellEnd"/>
      <w:r>
        <w:rPr>
          <w:rFonts w:ascii="Times New Roman" w:eastAsia="TimesTenCyr-Upright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  <w:lang w:val="uk-UA"/>
        </w:rPr>
        <w:t>1, 8</w:t>
      </w:r>
      <w:r>
        <w:rPr>
          <w:rFonts w:ascii="Times New Roman" w:hAnsi="Times New Roman"/>
          <w:sz w:val="28"/>
          <w:szCs w:val="28"/>
        </w:rPr>
        <w:t>]</w:t>
      </w:r>
      <w:r>
        <w:rPr>
          <w:rFonts w:ascii="Times New Roman" w:eastAsia="TimesTenCyr-Upright" w:hAnsi="Times New Roman"/>
          <w:sz w:val="28"/>
          <w:szCs w:val="28"/>
          <w:lang w:eastAsia="ru-RU"/>
        </w:rPr>
        <w:t xml:space="preserve">. </w:t>
      </w:r>
    </w:p>
    <w:p w:rsidR="009661A8" w:rsidRDefault="009661A8" w:rsidP="009661A8">
      <w:pPr>
        <w:tabs>
          <w:tab w:val="left" w:pos="9720"/>
        </w:tabs>
        <w:autoSpaceDE w:val="0"/>
        <w:autoSpaceDN w:val="0"/>
        <w:adjustRightInd w:val="0"/>
        <w:spacing w:line="36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Значительные колебания показателей инфицированности людей </w:t>
      </w:r>
      <w:proofErr w:type="spellStart"/>
      <w:r>
        <w:rPr>
          <w:rFonts w:ascii="Times New Roman" w:hAnsi="Times New Roman"/>
          <w:sz w:val="28"/>
          <w:szCs w:val="28"/>
        </w:rPr>
        <w:t>токсокарозом</w:t>
      </w:r>
      <w:proofErr w:type="spellEnd"/>
      <w:r>
        <w:rPr>
          <w:rFonts w:ascii="Times New Roman" w:hAnsi="Times New Roman"/>
          <w:sz w:val="28"/>
          <w:szCs w:val="28"/>
        </w:rPr>
        <w:t xml:space="preserve"> в мире [</w:t>
      </w:r>
      <w:r>
        <w:rPr>
          <w:rFonts w:ascii="Times New Roman" w:hAnsi="Times New Roman"/>
          <w:sz w:val="28"/>
          <w:szCs w:val="28"/>
          <w:lang w:val="uk-UA"/>
        </w:rPr>
        <w:t>5, 6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7</w:t>
      </w:r>
      <w:r>
        <w:rPr>
          <w:rFonts w:ascii="Times New Roman" w:hAnsi="Times New Roman"/>
          <w:sz w:val="28"/>
          <w:szCs w:val="28"/>
        </w:rPr>
        <w:t xml:space="preserve">], отсутствие официальной статистики по заболеваемости </w:t>
      </w:r>
      <w:proofErr w:type="spellStart"/>
      <w:r>
        <w:rPr>
          <w:rFonts w:ascii="Times New Roman" w:hAnsi="Times New Roman"/>
          <w:sz w:val="28"/>
          <w:szCs w:val="28"/>
        </w:rPr>
        <w:t>токсокарозом</w:t>
      </w:r>
      <w:proofErr w:type="spellEnd"/>
      <w:r>
        <w:rPr>
          <w:rFonts w:ascii="Times New Roman" w:hAnsi="Times New Roman"/>
          <w:sz w:val="28"/>
          <w:szCs w:val="28"/>
        </w:rPr>
        <w:t xml:space="preserve"> в Украине, высокая загрязненность почвы яйцами гельминтов многих регионов Украины [2] побудили к изучению этой проблемы в Харьковской области.</w:t>
      </w:r>
      <w:r>
        <w:t xml:space="preserve"> </w:t>
      </w:r>
    </w:p>
    <w:p w:rsidR="009661A8" w:rsidRDefault="009661A8" w:rsidP="009661A8">
      <w:pPr>
        <w:widowControl w:val="0"/>
        <w:spacing w:line="360" w:lineRule="auto"/>
        <w:ind w:right="-2" w:firstLine="709"/>
        <w:jc w:val="both"/>
        <w:rPr>
          <w:rFonts w:ascii="Times New Roman" w:hAnsi="Times New Roman"/>
          <w:color w:val="FF0000"/>
          <w:sz w:val="28"/>
        </w:rPr>
      </w:pPr>
      <w:r>
        <w:rPr>
          <w:rFonts w:ascii="Times New Roman" w:hAnsi="Times New Roman"/>
          <w:b/>
          <w:sz w:val="28"/>
        </w:rPr>
        <w:t>Цель исследования.</w:t>
      </w:r>
      <w:r>
        <w:rPr>
          <w:rFonts w:ascii="Times New Roman" w:hAnsi="Times New Roman"/>
          <w:sz w:val="28"/>
        </w:rPr>
        <w:t xml:space="preserve"> Определить уровень пораженности населения </w:t>
      </w:r>
      <w:proofErr w:type="spellStart"/>
      <w:r>
        <w:rPr>
          <w:rFonts w:ascii="Times New Roman" w:hAnsi="Times New Roman"/>
          <w:sz w:val="28"/>
        </w:rPr>
        <w:t>токсокарозом</w:t>
      </w:r>
      <w:proofErr w:type="spellEnd"/>
      <w:r>
        <w:rPr>
          <w:rFonts w:ascii="Times New Roman" w:hAnsi="Times New Roman"/>
          <w:sz w:val="28"/>
        </w:rPr>
        <w:t xml:space="preserve"> в Харьковской области при выборочном </w:t>
      </w:r>
      <w:proofErr w:type="spellStart"/>
      <w:r>
        <w:rPr>
          <w:rFonts w:ascii="Times New Roman" w:hAnsi="Times New Roman"/>
          <w:sz w:val="28"/>
        </w:rPr>
        <w:t>сероэпидемиологическом</w:t>
      </w:r>
      <w:proofErr w:type="spellEnd"/>
      <w:r>
        <w:rPr>
          <w:rFonts w:ascii="Times New Roman" w:hAnsi="Times New Roman"/>
          <w:sz w:val="28"/>
        </w:rPr>
        <w:t xml:space="preserve"> обследовании.</w:t>
      </w:r>
    </w:p>
    <w:p w:rsidR="009661A8" w:rsidRDefault="009661A8" w:rsidP="009661A8">
      <w:pPr>
        <w:widowControl w:val="0"/>
        <w:spacing w:line="360" w:lineRule="auto"/>
        <w:ind w:right="125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lastRenderedPageBreak/>
        <w:t>Объект и методы исследования.</w:t>
      </w:r>
      <w:r>
        <w:rPr>
          <w:rFonts w:ascii="Times New Roman" w:hAnsi="Times New Roman"/>
          <w:sz w:val="28"/>
        </w:rPr>
        <w:t xml:space="preserve"> С целью выполнения поставленных задач проведено серологическое обследование </w:t>
      </w:r>
      <w:r>
        <w:rPr>
          <w:rFonts w:ascii="Times New Roman" w:hAnsi="Times New Roman"/>
          <w:sz w:val="28"/>
          <w:szCs w:val="28"/>
        </w:rPr>
        <w:t xml:space="preserve">450 человек, из них 140 детей в возрасте от 1 до 15 лет </w:t>
      </w:r>
      <w:r>
        <w:rPr>
          <w:rFonts w:ascii="Times New Roman" w:hAnsi="Times New Roman"/>
          <w:sz w:val="28"/>
        </w:rPr>
        <w:t xml:space="preserve">методом иммуноферментного анализа сывороток крови на наличие антител к антигенам </w:t>
      </w:r>
      <w:proofErr w:type="spellStart"/>
      <w:r>
        <w:rPr>
          <w:rFonts w:ascii="Times New Roman" w:hAnsi="Times New Roman"/>
          <w:sz w:val="28"/>
        </w:rPr>
        <w:t>токсокарных</w:t>
      </w:r>
      <w:proofErr w:type="spellEnd"/>
      <w:r>
        <w:rPr>
          <w:rFonts w:ascii="Times New Roman" w:hAnsi="Times New Roman"/>
          <w:sz w:val="28"/>
        </w:rPr>
        <w:t xml:space="preserve"> личинок с помощью тест-системы «</w:t>
      </w:r>
      <w:proofErr w:type="spellStart"/>
      <w:r>
        <w:rPr>
          <w:rFonts w:ascii="Times New Roman" w:hAnsi="Times New Roman"/>
          <w:sz w:val="28"/>
        </w:rPr>
        <w:t>Триаскар</w:t>
      </w:r>
      <w:proofErr w:type="spellEnd"/>
      <w:r>
        <w:rPr>
          <w:rFonts w:ascii="Times New Roman" w:hAnsi="Times New Roman"/>
          <w:sz w:val="28"/>
        </w:rPr>
        <w:t>» фирмы «Вектор-Бест» (Новосибирск).</w:t>
      </w:r>
    </w:p>
    <w:p w:rsidR="009661A8" w:rsidRDefault="009661A8" w:rsidP="009661A8">
      <w:pPr>
        <w:widowControl w:val="0"/>
        <w:spacing w:line="36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</w:rPr>
        <w:t xml:space="preserve">Результаты исследований и их обсуждение. </w:t>
      </w:r>
      <w:r>
        <w:rPr>
          <w:rFonts w:ascii="Times New Roman" w:hAnsi="Times New Roman"/>
          <w:sz w:val="28"/>
          <w:szCs w:val="28"/>
        </w:rPr>
        <w:t xml:space="preserve">В результате проведенных исследований было установлено, что </w:t>
      </w:r>
      <w:proofErr w:type="spellStart"/>
      <w:r>
        <w:rPr>
          <w:rFonts w:ascii="Times New Roman" w:hAnsi="Times New Roman"/>
          <w:sz w:val="28"/>
          <w:szCs w:val="28"/>
        </w:rPr>
        <w:t>серопозитивность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населения выше городского (табл. 1).</w:t>
      </w:r>
    </w:p>
    <w:p w:rsidR="009661A8" w:rsidRDefault="009661A8" w:rsidP="009661A8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Таблица 1</w:t>
      </w:r>
    </w:p>
    <w:p w:rsidR="009661A8" w:rsidRDefault="009661A8" w:rsidP="009661A8">
      <w:pPr>
        <w:autoSpaceDE w:val="0"/>
        <w:autoSpaceDN w:val="0"/>
        <w:adjustRightInd w:val="0"/>
        <w:spacing w:line="36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Серопораженность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токсокарозом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городского и сельского населения Харьковской области </w:t>
      </w:r>
    </w:p>
    <w:tbl>
      <w:tblPr>
        <w:tblW w:w="892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8"/>
        <w:gridCol w:w="1559"/>
        <w:gridCol w:w="1983"/>
        <w:gridCol w:w="1558"/>
        <w:gridCol w:w="2267"/>
      </w:tblGrid>
      <w:tr w:rsidR="009661A8" w:rsidTr="009661A8">
        <w:trPr>
          <w:trHeight w:val="45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1A8" w:rsidRDefault="009661A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Контингент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1A8" w:rsidRDefault="009661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Жители города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1A8" w:rsidRDefault="009661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Жители сельской местности</w:t>
            </w:r>
          </w:p>
        </w:tc>
      </w:tr>
      <w:tr w:rsidR="009661A8" w:rsidTr="009661A8">
        <w:trPr>
          <w:trHeight w:val="42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1A8" w:rsidRDefault="009661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1A8" w:rsidRDefault="009661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9661A8" w:rsidRDefault="009661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обследовано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1A8" w:rsidRDefault="009661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 них </w:t>
            </w:r>
          </w:p>
          <w:p w:rsidR="009661A8" w:rsidRDefault="009661A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серопозивных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1A8" w:rsidRDefault="009661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9661A8" w:rsidRDefault="009661A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обследовано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1A8" w:rsidRDefault="009661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 них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серопозитивных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%</w:t>
            </w:r>
          </w:p>
        </w:tc>
      </w:tr>
      <w:tr w:rsidR="009661A8" w:rsidTr="009661A8">
        <w:trPr>
          <w:trHeight w:val="4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1A8" w:rsidRDefault="009661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Мальчики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1A8" w:rsidRDefault="009661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1A8" w:rsidRDefault="009661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48,2 ± 6,7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1A8" w:rsidRDefault="009661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1A8" w:rsidRDefault="009661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57,9 ± 8,0</w:t>
            </w:r>
          </w:p>
        </w:tc>
      </w:tr>
      <w:tr w:rsidR="009661A8" w:rsidTr="009661A8">
        <w:trPr>
          <w:trHeight w:val="4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1A8" w:rsidRDefault="009661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Мужчины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1A8" w:rsidRDefault="009661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1A8" w:rsidRDefault="009661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34,0 ± 4,7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1A8" w:rsidRDefault="009661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1A8" w:rsidRDefault="009661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43,8 ± 7,2</w:t>
            </w:r>
          </w:p>
        </w:tc>
      </w:tr>
      <w:tr w:rsidR="009661A8" w:rsidTr="009661A8">
        <w:trPr>
          <w:trHeight w:val="4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1A8" w:rsidRDefault="009661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Девочки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1A8" w:rsidRDefault="009661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1A8" w:rsidRDefault="009661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37,0 ± 9,3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1A8" w:rsidRDefault="009661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1A8" w:rsidRDefault="009661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47,4 ± 11,5</w:t>
            </w:r>
          </w:p>
        </w:tc>
      </w:tr>
      <w:tr w:rsidR="009661A8" w:rsidTr="009661A8">
        <w:trPr>
          <w:trHeight w:val="4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1A8" w:rsidRDefault="009661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Женщины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1A8" w:rsidRDefault="009661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1A8" w:rsidRDefault="009661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40,7 ± 4,7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1A8" w:rsidRDefault="009661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1A8" w:rsidRDefault="009661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35,2 ± 6,5</w:t>
            </w:r>
          </w:p>
        </w:tc>
      </w:tr>
      <w:tr w:rsidR="009661A8" w:rsidTr="009661A8">
        <w:trPr>
          <w:trHeight w:val="4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1A8" w:rsidRDefault="009661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1A8" w:rsidRDefault="009661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1A8" w:rsidRDefault="009661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39,5 ± 2,9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1A8" w:rsidRDefault="009661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1A8" w:rsidRDefault="009661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44,7 ± 3,9</w:t>
            </w:r>
          </w:p>
        </w:tc>
      </w:tr>
    </w:tbl>
    <w:p w:rsidR="009661A8" w:rsidRDefault="009661A8" w:rsidP="009661A8">
      <w:pPr>
        <w:autoSpaceDE w:val="0"/>
        <w:autoSpaceDN w:val="0"/>
        <w:adjustRightInd w:val="0"/>
        <w:spacing w:line="36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 из 159 </w:t>
      </w:r>
      <w:proofErr w:type="gramStart"/>
      <w:r>
        <w:rPr>
          <w:rFonts w:ascii="Times New Roman" w:hAnsi="Times New Roman"/>
          <w:sz w:val="28"/>
          <w:szCs w:val="28"/>
        </w:rPr>
        <w:t>обследованных</w:t>
      </w:r>
      <w:proofErr w:type="gramEnd"/>
      <w:r>
        <w:rPr>
          <w:rFonts w:ascii="Times New Roman" w:hAnsi="Times New Roman"/>
          <w:sz w:val="28"/>
          <w:szCs w:val="28"/>
        </w:rPr>
        <w:t xml:space="preserve"> в сельской местности у 71 (44,7 ± 3,9 %) человека, выявлены антитела к антигенам </w:t>
      </w:r>
      <w:proofErr w:type="spellStart"/>
      <w:r>
        <w:rPr>
          <w:rFonts w:ascii="Times New Roman" w:hAnsi="Times New Roman"/>
          <w:sz w:val="28"/>
          <w:szCs w:val="28"/>
        </w:rPr>
        <w:t>токсокар</w:t>
      </w:r>
      <w:proofErr w:type="spellEnd"/>
      <w:r>
        <w:rPr>
          <w:rFonts w:ascii="Times New Roman" w:hAnsi="Times New Roman"/>
          <w:sz w:val="28"/>
          <w:szCs w:val="28"/>
        </w:rPr>
        <w:t xml:space="preserve">. Доля лиц с положительным результатом в городе составила 39,5 ± 2,9 %. В городе </w:t>
      </w:r>
      <w:r>
        <w:rPr>
          <w:rFonts w:ascii="Times New Roman" w:hAnsi="Times New Roman"/>
          <w:sz w:val="28"/>
          <w:szCs w:val="28"/>
        </w:rPr>
        <w:lastRenderedPageBreak/>
        <w:t xml:space="preserve">женщины </w:t>
      </w:r>
      <w:proofErr w:type="spellStart"/>
      <w:r>
        <w:rPr>
          <w:rFonts w:ascii="Times New Roman" w:hAnsi="Times New Roman"/>
          <w:sz w:val="28"/>
          <w:szCs w:val="28"/>
        </w:rPr>
        <w:t>инвазированы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токсокарозом</w:t>
      </w:r>
      <w:proofErr w:type="spellEnd"/>
      <w:r>
        <w:rPr>
          <w:rFonts w:ascii="Times New Roman" w:hAnsi="Times New Roman"/>
          <w:sz w:val="28"/>
          <w:szCs w:val="28"/>
        </w:rPr>
        <w:t xml:space="preserve"> на 40,7±4,7 %, в сельской местности на 35,2 ± 6,5 %. </w:t>
      </w:r>
      <w:proofErr w:type="spellStart"/>
      <w:r>
        <w:rPr>
          <w:rFonts w:ascii="Times New Roman" w:hAnsi="Times New Roman"/>
          <w:sz w:val="28"/>
          <w:szCs w:val="28"/>
        </w:rPr>
        <w:t>Серопораженность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мужского пола на селе выше, чем в городской местности (43,8 ± 7,2 % и 34,0 ± 4,7 % соответственно). Удельный вес титра антител к антигенам </w:t>
      </w:r>
      <w:proofErr w:type="spellStart"/>
      <w:r>
        <w:rPr>
          <w:rFonts w:ascii="Times New Roman" w:hAnsi="Times New Roman"/>
          <w:sz w:val="28"/>
          <w:szCs w:val="28"/>
        </w:rPr>
        <w:t>токсокар</w:t>
      </w:r>
      <w:proofErr w:type="spellEnd"/>
      <w:r>
        <w:rPr>
          <w:rFonts w:ascii="Times New Roman" w:hAnsi="Times New Roman"/>
          <w:sz w:val="28"/>
          <w:szCs w:val="28"/>
        </w:rPr>
        <w:t xml:space="preserve"> среди детского населения был больше в сельской местности, чем городской и составил 54,4 ± 6,6 и 44,6 ± 5,5 % соответственно. </w:t>
      </w:r>
    </w:p>
    <w:p w:rsidR="009661A8" w:rsidRDefault="009661A8" w:rsidP="009661A8">
      <w:pPr>
        <w:autoSpaceDE w:val="0"/>
        <w:autoSpaceDN w:val="0"/>
        <w:adjustRightInd w:val="0"/>
        <w:spacing w:line="360" w:lineRule="auto"/>
        <w:ind w:right="-2"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Максимальные показатели </w:t>
      </w:r>
      <w:proofErr w:type="spellStart"/>
      <w:r>
        <w:rPr>
          <w:rFonts w:ascii="Times New Roman" w:hAnsi="Times New Roman"/>
          <w:sz w:val="28"/>
          <w:szCs w:val="28"/>
        </w:rPr>
        <w:t>серопораженности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токсокарозом</w:t>
      </w:r>
      <w:proofErr w:type="spellEnd"/>
      <w:r>
        <w:rPr>
          <w:rFonts w:ascii="Times New Roman" w:hAnsi="Times New Roman"/>
          <w:sz w:val="28"/>
          <w:szCs w:val="28"/>
        </w:rPr>
        <w:t xml:space="preserve"> в городе приходились на возрастную группу 2 - 3 лет, на селе 2 - 3лет и 31 - 40 лет (табл. 2).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9661A8" w:rsidRDefault="009661A8" w:rsidP="009661A8">
      <w:pPr>
        <w:tabs>
          <w:tab w:val="left" w:pos="9540"/>
        </w:tabs>
        <w:autoSpaceDE w:val="0"/>
        <w:autoSpaceDN w:val="0"/>
        <w:adjustRightInd w:val="0"/>
        <w:spacing w:line="360" w:lineRule="auto"/>
        <w:ind w:left="54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Таблица 2</w:t>
      </w:r>
    </w:p>
    <w:p w:rsidR="009661A8" w:rsidRDefault="009661A8" w:rsidP="009661A8">
      <w:pPr>
        <w:autoSpaceDE w:val="0"/>
        <w:autoSpaceDN w:val="0"/>
        <w:adjustRightInd w:val="0"/>
        <w:spacing w:line="360" w:lineRule="auto"/>
        <w:ind w:firstLine="72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Результаты выборочного серологического обследования на </w:t>
      </w:r>
      <w:proofErr w:type="spellStart"/>
      <w:r>
        <w:rPr>
          <w:rFonts w:ascii="Times New Roman" w:hAnsi="Times New Roman"/>
          <w:b/>
          <w:sz w:val="28"/>
          <w:szCs w:val="28"/>
        </w:rPr>
        <w:t>токсокароз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детского населения Харьковской области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(%)</w:t>
      </w:r>
      <w:proofErr w:type="gramEnd"/>
    </w:p>
    <w:tbl>
      <w:tblPr>
        <w:tblW w:w="90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2"/>
        <w:gridCol w:w="968"/>
        <w:gridCol w:w="1621"/>
        <w:gridCol w:w="909"/>
        <w:gridCol w:w="1576"/>
        <w:gridCol w:w="754"/>
        <w:gridCol w:w="1515"/>
      </w:tblGrid>
      <w:tr w:rsidR="009661A8" w:rsidTr="009661A8">
        <w:trPr>
          <w:trHeight w:val="80"/>
        </w:trPr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1A8" w:rsidRDefault="009661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7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1A8" w:rsidRDefault="009661A8">
            <w:pPr>
              <w:autoSpaceDE w:val="0"/>
              <w:autoSpaceDN w:val="0"/>
              <w:adjustRightInd w:val="0"/>
              <w:spacing w:line="360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Возраст детей, лет</w:t>
            </w:r>
          </w:p>
        </w:tc>
      </w:tr>
      <w:tr w:rsidR="009661A8" w:rsidTr="009661A8">
        <w:trPr>
          <w:trHeight w:val="80"/>
        </w:trPr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1A8" w:rsidRDefault="009661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1A8" w:rsidRDefault="009661A8">
            <w:pPr>
              <w:autoSpaceDE w:val="0"/>
              <w:autoSpaceDN w:val="0"/>
              <w:adjustRightInd w:val="0"/>
              <w:spacing w:line="360" w:lineRule="auto"/>
              <w:ind w:firstLine="7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0-3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1A8" w:rsidRDefault="009661A8">
            <w:pPr>
              <w:autoSpaceDE w:val="0"/>
              <w:autoSpaceDN w:val="0"/>
              <w:adjustRightInd w:val="0"/>
              <w:spacing w:line="360" w:lineRule="auto"/>
              <w:ind w:firstLine="7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4-7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1A8" w:rsidRDefault="009661A8">
            <w:pPr>
              <w:autoSpaceDE w:val="0"/>
              <w:autoSpaceDN w:val="0"/>
              <w:adjustRightInd w:val="0"/>
              <w:spacing w:line="360" w:lineRule="auto"/>
              <w:ind w:firstLine="7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8-14</w:t>
            </w:r>
          </w:p>
        </w:tc>
      </w:tr>
      <w:tr w:rsidR="009661A8" w:rsidTr="009661A8">
        <w:trPr>
          <w:trHeight w:val="80"/>
        </w:trPr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1A8" w:rsidRDefault="009661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1A8" w:rsidRDefault="009661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1A8" w:rsidRDefault="009661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1A8" w:rsidRDefault="009661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1A8" w:rsidRDefault="009661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1A8" w:rsidRDefault="009661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1A8" w:rsidRDefault="009661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</w:tr>
      <w:tr w:rsidR="009661A8" w:rsidTr="009661A8">
        <w:trPr>
          <w:trHeight w:val="80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1A8" w:rsidRDefault="009661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Харьков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1A8" w:rsidRDefault="009661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1A8" w:rsidRDefault="009661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77,7 ± 9,8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1A8" w:rsidRDefault="009661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1A8" w:rsidRDefault="009661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40,9 ± 10,5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1A8" w:rsidRDefault="009661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1A8" w:rsidRDefault="009661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32,6 ± 7,1</w:t>
            </w:r>
          </w:p>
        </w:tc>
      </w:tr>
      <w:tr w:rsidR="009661A8" w:rsidTr="009661A8">
        <w:trPr>
          <w:trHeight w:val="80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1A8" w:rsidRDefault="009661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Харьковская область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1A8" w:rsidRDefault="009661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1A8" w:rsidRDefault="009661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70,6 ± 11,0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1A8" w:rsidRDefault="009661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1A8" w:rsidRDefault="009661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57,1 ± 9,4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1A8" w:rsidRDefault="009661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1A8" w:rsidRDefault="009661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25,0 ± 12,5</w:t>
            </w:r>
          </w:p>
        </w:tc>
      </w:tr>
      <w:tr w:rsidR="009661A8" w:rsidTr="009661A8">
        <w:trPr>
          <w:trHeight w:val="80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1A8" w:rsidRDefault="009661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1A8" w:rsidRDefault="009661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1A8" w:rsidRDefault="009661A8">
            <w:pPr>
              <w:autoSpaceDE w:val="0"/>
              <w:autoSpaceDN w:val="0"/>
              <w:adjustRightInd w:val="0"/>
              <w:spacing w:line="360" w:lineRule="auto"/>
              <w:ind w:hanging="28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74,3 ± 7,4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1A8" w:rsidRDefault="009661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1A8" w:rsidRDefault="009661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50,0 ± 7,0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1A8" w:rsidRDefault="009661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1A8" w:rsidRDefault="009661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30,9 ± 6,2</w:t>
            </w:r>
          </w:p>
        </w:tc>
      </w:tr>
    </w:tbl>
    <w:p w:rsidR="009661A8" w:rsidRDefault="009661A8" w:rsidP="009661A8">
      <w:pPr>
        <w:autoSpaceDE w:val="0"/>
        <w:autoSpaceDN w:val="0"/>
        <w:adjustRightInd w:val="0"/>
        <w:spacing w:line="360" w:lineRule="auto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Примечание: А – число обследованных (чел.)</w:t>
      </w:r>
    </w:p>
    <w:p w:rsidR="009661A8" w:rsidRDefault="009661A8" w:rsidP="009661A8">
      <w:pPr>
        <w:autoSpaceDE w:val="0"/>
        <w:autoSpaceDN w:val="0"/>
        <w:adjustRightInd w:val="0"/>
        <w:spacing w:line="360" w:lineRule="auto"/>
        <w:ind w:firstLine="90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В – % </w:t>
      </w:r>
      <w:proofErr w:type="spellStart"/>
      <w:r>
        <w:rPr>
          <w:rFonts w:ascii="Times New Roman" w:hAnsi="Times New Roman"/>
          <w:sz w:val="28"/>
          <w:szCs w:val="28"/>
        </w:rPr>
        <w:t>серопозитивных</w:t>
      </w:r>
      <w:proofErr w:type="spellEnd"/>
    </w:p>
    <w:p w:rsidR="009661A8" w:rsidRDefault="009661A8" w:rsidP="009661A8">
      <w:pPr>
        <w:tabs>
          <w:tab w:val="left" w:pos="9639"/>
        </w:tabs>
        <w:autoSpaceDE w:val="0"/>
        <w:autoSpaceDN w:val="0"/>
        <w:adjustRightInd w:val="0"/>
        <w:spacing w:line="36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Проведенный корреляционный анализ показал наличие связи между </w:t>
      </w:r>
      <w:proofErr w:type="spellStart"/>
      <w:r>
        <w:rPr>
          <w:rFonts w:ascii="Times New Roman" w:hAnsi="Times New Roman"/>
          <w:sz w:val="28"/>
          <w:szCs w:val="28"/>
        </w:rPr>
        <w:t>серопораженностью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токсокарозом</w:t>
      </w:r>
      <w:proofErr w:type="spellEnd"/>
      <w:r>
        <w:rPr>
          <w:rFonts w:ascii="Times New Roman" w:hAnsi="Times New Roman"/>
          <w:sz w:val="28"/>
          <w:szCs w:val="28"/>
        </w:rPr>
        <w:t xml:space="preserve"> и возрастом среди взрослого населения </w:t>
      </w:r>
      <w:r>
        <w:rPr>
          <w:rFonts w:ascii="Times New Roman" w:hAnsi="Times New Roman"/>
          <w:sz w:val="28"/>
          <w:szCs w:val="28"/>
        </w:rPr>
        <w:lastRenderedPageBreak/>
        <w:t>(коэффициент корреляции (r=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+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0,11 при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&lt;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0,05) и наличие отрицательной связи среди детского (r= –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0,33 при р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&lt;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0,000005), что свидетельствует об увеличении с возрастом </w:t>
      </w:r>
      <w:proofErr w:type="spellStart"/>
      <w:r>
        <w:rPr>
          <w:rFonts w:ascii="Times New Roman" w:hAnsi="Times New Roman"/>
          <w:sz w:val="28"/>
          <w:szCs w:val="28"/>
        </w:rPr>
        <w:t>серопораженности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взрослого населения и, наоборот, уменьшении </w:t>
      </w:r>
      <w:proofErr w:type="spellStart"/>
      <w:r>
        <w:rPr>
          <w:rFonts w:ascii="Times New Roman" w:hAnsi="Times New Roman"/>
          <w:sz w:val="28"/>
          <w:szCs w:val="28"/>
        </w:rPr>
        <w:t>серопораженности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с возрастом у детей. </w:t>
      </w:r>
    </w:p>
    <w:p w:rsidR="009661A8" w:rsidRDefault="009661A8" w:rsidP="009661A8">
      <w:pPr>
        <w:autoSpaceDE w:val="0"/>
        <w:autoSpaceDN w:val="0"/>
        <w:adjustRightInd w:val="0"/>
        <w:spacing w:line="36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Серопораженность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детей до 14 лет была выше, чем взрослых. Как видно из табл. 3 отмечается снижение с возрастом </w:t>
      </w:r>
      <w:proofErr w:type="spellStart"/>
      <w:r>
        <w:rPr>
          <w:rFonts w:ascii="Times New Roman" w:hAnsi="Times New Roman"/>
          <w:sz w:val="28"/>
          <w:szCs w:val="28"/>
        </w:rPr>
        <w:t>серопораженности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детского населения от 74,3 % до 30,9 % и наоборот, некотором </w:t>
      </w:r>
      <w:proofErr w:type="gramStart"/>
      <w:r>
        <w:rPr>
          <w:rFonts w:ascii="Times New Roman" w:hAnsi="Times New Roman"/>
          <w:sz w:val="28"/>
          <w:szCs w:val="28"/>
        </w:rPr>
        <w:t>возрастании</w:t>
      </w:r>
      <w:proofErr w:type="gramEnd"/>
      <w:r>
        <w:rPr>
          <w:rFonts w:ascii="Times New Roman" w:hAnsi="Times New Roman"/>
          <w:sz w:val="28"/>
          <w:szCs w:val="28"/>
        </w:rPr>
        <w:t xml:space="preserve"> с 31,9 % до 51,2 % у взрослого населения.</w:t>
      </w:r>
    </w:p>
    <w:p w:rsidR="009661A8" w:rsidRDefault="009661A8" w:rsidP="009661A8">
      <w:pPr>
        <w:autoSpaceDE w:val="0"/>
        <w:autoSpaceDN w:val="0"/>
        <w:adjustRightInd w:val="0"/>
        <w:spacing w:line="360" w:lineRule="auto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Таблица 3</w:t>
      </w:r>
    </w:p>
    <w:p w:rsidR="009661A8" w:rsidRDefault="009661A8" w:rsidP="009661A8">
      <w:pPr>
        <w:autoSpaceDE w:val="0"/>
        <w:autoSpaceDN w:val="0"/>
        <w:adjustRightInd w:val="0"/>
        <w:spacing w:line="36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Серопораженность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токсокарозом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жителей Харьковской области в разных возрастных группах</w:t>
      </w:r>
    </w:p>
    <w:tbl>
      <w:tblPr>
        <w:tblW w:w="8715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7"/>
        <w:gridCol w:w="1948"/>
        <w:gridCol w:w="1780"/>
        <w:gridCol w:w="818"/>
        <w:gridCol w:w="2352"/>
      </w:tblGrid>
      <w:tr w:rsidR="009661A8" w:rsidTr="009661A8">
        <w:trPr>
          <w:trHeight w:val="34"/>
        </w:trPr>
        <w:tc>
          <w:tcPr>
            <w:tcW w:w="1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1A8" w:rsidRDefault="009661A8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Контингент</w:t>
            </w:r>
          </w:p>
        </w:tc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1A8" w:rsidRDefault="009661A8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Возраст, лет</w:t>
            </w:r>
          </w:p>
        </w:tc>
        <w:tc>
          <w:tcPr>
            <w:tcW w:w="1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1A8" w:rsidRDefault="009661A8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Обследовано</w:t>
            </w:r>
          </w:p>
        </w:tc>
        <w:tc>
          <w:tcPr>
            <w:tcW w:w="3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1A8" w:rsidRDefault="009661A8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том числе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</w:p>
          <w:p w:rsidR="009661A8" w:rsidRDefault="009661A8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положительным результатом ИФА</w:t>
            </w:r>
          </w:p>
        </w:tc>
      </w:tr>
      <w:tr w:rsidR="009661A8" w:rsidTr="009661A8">
        <w:trPr>
          <w:trHeight w:val="34"/>
        </w:trPr>
        <w:tc>
          <w:tcPr>
            <w:tcW w:w="3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1A8" w:rsidRDefault="009661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1A8" w:rsidRDefault="009661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1A8" w:rsidRDefault="009661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1A8" w:rsidRDefault="009661A8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абс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1A8" w:rsidRDefault="009661A8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% </w:t>
            </w:r>
          </w:p>
        </w:tc>
      </w:tr>
      <w:tr w:rsidR="009661A8" w:rsidTr="009661A8">
        <w:trPr>
          <w:trHeight w:val="34"/>
        </w:trPr>
        <w:tc>
          <w:tcPr>
            <w:tcW w:w="1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1A8" w:rsidRDefault="009661A8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Дети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1A8" w:rsidRDefault="009661A8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0-3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1A8" w:rsidRDefault="009661A8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1A8" w:rsidRDefault="009661A8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1A8" w:rsidRDefault="009661A8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74,3 ± 7,4</w:t>
            </w:r>
          </w:p>
        </w:tc>
      </w:tr>
      <w:tr w:rsidR="009661A8" w:rsidTr="009661A8">
        <w:trPr>
          <w:trHeight w:val="34"/>
        </w:trPr>
        <w:tc>
          <w:tcPr>
            <w:tcW w:w="3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1A8" w:rsidRDefault="009661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1A8" w:rsidRDefault="009661A8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4-7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1A8" w:rsidRDefault="009661A8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1A8" w:rsidRDefault="009661A8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1A8" w:rsidRDefault="009661A8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50,0 ± 7,1</w:t>
            </w:r>
          </w:p>
        </w:tc>
      </w:tr>
      <w:tr w:rsidR="009661A8" w:rsidTr="009661A8">
        <w:trPr>
          <w:trHeight w:val="34"/>
        </w:trPr>
        <w:tc>
          <w:tcPr>
            <w:tcW w:w="3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1A8" w:rsidRDefault="009661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1A8" w:rsidRDefault="009661A8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8-14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1A8" w:rsidRDefault="009661A8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1A8" w:rsidRDefault="009661A8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1A8" w:rsidRDefault="009661A8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30,9 ± 6,2</w:t>
            </w:r>
          </w:p>
        </w:tc>
      </w:tr>
      <w:tr w:rsidR="009661A8" w:rsidTr="009661A8">
        <w:trPr>
          <w:trHeight w:val="34"/>
        </w:trPr>
        <w:tc>
          <w:tcPr>
            <w:tcW w:w="1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1A8" w:rsidRDefault="009661A8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Взрослые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1A8" w:rsidRDefault="009661A8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15-20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1A8" w:rsidRDefault="009661A8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1A8" w:rsidRDefault="009661A8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1A8" w:rsidRDefault="009661A8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31,9 ± 6,8</w:t>
            </w:r>
          </w:p>
        </w:tc>
      </w:tr>
      <w:tr w:rsidR="009661A8" w:rsidTr="009661A8">
        <w:trPr>
          <w:trHeight w:val="34"/>
        </w:trPr>
        <w:tc>
          <w:tcPr>
            <w:tcW w:w="3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1A8" w:rsidRDefault="009661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1A8" w:rsidRDefault="009661A8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21-30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1A8" w:rsidRDefault="009661A8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1A8" w:rsidRDefault="009661A8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1A8" w:rsidRDefault="009661A8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30,9 ± 6,2</w:t>
            </w:r>
          </w:p>
        </w:tc>
      </w:tr>
      <w:tr w:rsidR="009661A8" w:rsidTr="009661A8">
        <w:trPr>
          <w:trHeight w:val="34"/>
        </w:trPr>
        <w:tc>
          <w:tcPr>
            <w:tcW w:w="3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1A8" w:rsidRDefault="009661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1A8" w:rsidRDefault="009661A8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31-40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1A8" w:rsidRDefault="009661A8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1A8" w:rsidRDefault="009661A8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1A8" w:rsidRDefault="009661A8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44,2 ± 6,9</w:t>
            </w:r>
          </w:p>
        </w:tc>
      </w:tr>
      <w:tr w:rsidR="009661A8" w:rsidTr="009661A8">
        <w:trPr>
          <w:trHeight w:val="34"/>
        </w:trPr>
        <w:tc>
          <w:tcPr>
            <w:tcW w:w="3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1A8" w:rsidRDefault="009661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1A8" w:rsidRDefault="009661A8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41-50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1A8" w:rsidRDefault="009661A8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1A8" w:rsidRDefault="009661A8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1A8" w:rsidRDefault="009661A8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26,9 ± 5,4</w:t>
            </w:r>
          </w:p>
        </w:tc>
      </w:tr>
      <w:tr w:rsidR="009661A8" w:rsidTr="009661A8">
        <w:trPr>
          <w:trHeight w:val="34"/>
        </w:trPr>
        <w:tc>
          <w:tcPr>
            <w:tcW w:w="3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1A8" w:rsidRDefault="009661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1A8" w:rsidRDefault="009661A8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51-60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1A8" w:rsidRDefault="009661A8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1A8" w:rsidRDefault="009661A8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1A8" w:rsidRDefault="009661A8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50,0 ± 7,4</w:t>
            </w:r>
          </w:p>
        </w:tc>
      </w:tr>
      <w:tr w:rsidR="009661A8" w:rsidTr="009661A8">
        <w:trPr>
          <w:trHeight w:val="34"/>
        </w:trPr>
        <w:tc>
          <w:tcPr>
            <w:tcW w:w="3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1A8" w:rsidRDefault="009661A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1A8" w:rsidRDefault="009661A8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&gt; 61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1A8" w:rsidRDefault="009661A8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1A8" w:rsidRDefault="009661A8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1A8" w:rsidRDefault="009661A8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51,2 ± 7,6</w:t>
            </w:r>
          </w:p>
        </w:tc>
      </w:tr>
      <w:tr w:rsidR="009661A8" w:rsidTr="009661A8">
        <w:trPr>
          <w:trHeight w:val="34"/>
        </w:trPr>
        <w:tc>
          <w:tcPr>
            <w:tcW w:w="3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1A8" w:rsidRDefault="009661A8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Всего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1A8" w:rsidRDefault="009661A8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1A8" w:rsidRDefault="009661A8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186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1A8" w:rsidRDefault="009661A8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41,3 ± 2,3</w:t>
            </w:r>
          </w:p>
        </w:tc>
      </w:tr>
    </w:tbl>
    <w:p w:rsidR="009661A8" w:rsidRDefault="009661A8" w:rsidP="009661A8">
      <w:pPr>
        <w:spacing w:line="36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группе обследованных мужчин </w:t>
      </w:r>
      <w:proofErr w:type="spellStart"/>
      <w:r>
        <w:rPr>
          <w:rFonts w:ascii="Times New Roman" w:hAnsi="Times New Roman"/>
          <w:sz w:val="28"/>
          <w:szCs w:val="28"/>
        </w:rPr>
        <w:t>серопораженность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токсокарозом</w:t>
      </w:r>
      <w:proofErr w:type="spellEnd"/>
      <w:r>
        <w:rPr>
          <w:rFonts w:ascii="Times New Roman" w:hAnsi="Times New Roman"/>
          <w:sz w:val="28"/>
          <w:szCs w:val="28"/>
        </w:rPr>
        <w:t xml:space="preserve"> составила 37,2 ± 3,9 %, среди женщин 38,9 ± 3,8 %. Соотношение </w:t>
      </w:r>
      <w:proofErr w:type="spellStart"/>
      <w:r>
        <w:rPr>
          <w:rFonts w:ascii="Times New Roman" w:hAnsi="Times New Roman"/>
          <w:sz w:val="28"/>
          <w:szCs w:val="28"/>
        </w:rPr>
        <w:t>серопораженности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женского и мужского пола 1:1,1. Среди обследованных детей в возрасте 0 - 15 лет </w:t>
      </w:r>
      <w:proofErr w:type="spellStart"/>
      <w:r>
        <w:rPr>
          <w:rFonts w:ascii="Times New Roman" w:hAnsi="Times New Roman"/>
          <w:sz w:val="28"/>
          <w:szCs w:val="28"/>
        </w:rPr>
        <w:t>серопораженность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мальчиков была </w:t>
      </w:r>
      <w:proofErr w:type="gramStart"/>
      <w:r>
        <w:rPr>
          <w:rFonts w:ascii="Times New Roman" w:hAnsi="Times New Roman"/>
          <w:sz w:val="28"/>
          <w:szCs w:val="28"/>
        </w:rPr>
        <w:t>выше</w:t>
      </w:r>
      <w:proofErr w:type="gramEnd"/>
      <w:r>
        <w:rPr>
          <w:rFonts w:ascii="Times New Roman" w:hAnsi="Times New Roman"/>
          <w:sz w:val="28"/>
          <w:szCs w:val="28"/>
        </w:rPr>
        <w:t xml:space="preserve"> чем девочек и составила 2,6:1. </w:t>
      </w:r>
    </w:p>
    <w:p w:rsidR="009661A8" w:rsidRDefault="009661A8" w:rsidP="009661A8">
      <w:pPr>
        <w:widowControl w:val="0"/>
        <w:spacing w:line="360" w:lineRule="auto"/>
        <w:ind w:right="-2" w:firstLine="709"/>
        <w:jc w:val="both"/>
        <w:rPr>
          <w:sz w:val="28"/>
        </w:rPr>
      </w:pPr>
      <w:r>
        <w:rPr>
          <w:rFonts w:ascii="Times New Roman" w:hAnsi="Times New Roman"/>
          <w:b/>
          <w:sz w:val="28"/>
        </w:rPr>
        <w:t xml:space="preserve">Выводы. </w:t>
      </w:r>
      <w:r>
        <w:rPr>
          <w:rFonts w:ascii="Times New Roman" w:hAnsi="Times New Roman"/>
          <w:sz w:val="28"/>
          <w:szCs w:val="28"/>
        </w:rPr>
        <w:t xml:space="preserve">Результаты исследования показали, что в сыворотке крови жителей Харьковской области, выявлялись антитела к антигенам </w:t>
      </w:r>
      <w:proofErr w:type="spellStart"/>
      <w:r>
        <w:rPr>
          <w:rFonts w:ascii="Times New Roman" w:hAnsi="Times New Roman"/>
          <w:sz w:val="28"/>
          <w:szCs w:val="28"/>
        </w:rPr>
        <w:t>токсокар</w:t>
      </w:r>
      <w:proofErr w:type="spellEnd"/>
      <w:r>
        <w:rPr>
          <w:rFonts w:ascii="Times New Roman" w:hAnsi="Times New Roman"/>
          <w:sz w:val="28"/>
          <w:szCs w:val="28"/>
        </w:rPr>
        <w:t xml:space="preserve">. Однако доля лиц с антителами из общего числа обследованных была неодинаковой и различалась в зависимости от </w:t>
      </w:r>
      <w:r>
        <w:rPr>
          <w:rFonts w:ascii="Times New Roman" w:hAnsi="Times New Roman"/>
          <w:sz w:val="28"/>
        </w:rPr>
        <w:t>места жительства (городская или сельская местность)</w:t>
      </w:r>
      <w:r>
        <w:rPr>
          <w:rFonts w:ascii="Times New Roman" w:hAnsi="Times New Roman"/>
          <w:sz w:val="28"/>
          <w:szCs w:val="28"/>
        </w:rPr>
        <w:t>, возраста, для детского населения - половой принадлежности.</w:t>
      </w:r>
      <w:r>
        <w:rPr>
          <w:sz w:val="28"/>
        </w:rPr>
        <w:t xml:space="preserve"> </w:t>
      </w:r>
    </w:p>
    <w:p w:rsidR="009661A8" w:rsidRDefault="009661A8" w:rsidP="009661A8">
      <w:pPr>
        <w:spacing w:line="360" w:lineRule="auto"/>
        <w:ind w:firstLine="7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учетом особенностей поведения, определяющего степень контакта разных групп населения с окружающей средой, определены группы риска. К их числу следует отнести детей дошкольного возраста, а также взрослое население старше 50 лет. </w:t>
      </w:r>
    </w:p>
    <w:p w:rsidR="009661A8" w:rsidRDefault="009661A8" w:rsidP="009661A8">
      <w:pPr>
        <w:widowControl w:val="0"/>
        <w:spacing w:line="36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</w:rPr>
        <w:t xml:space="preserve">Перспективы дальнейших исследований. </w:t>
      </w:r>
      <w:r>
        <w:rPr>
          <w:rFonts w:ascii="Times New Roman" w:hAnsi="Times New Roman"/>
          <w:sz w:val="28"/>
          <w:szCs w:val="28"/>
        </w:rPr>
        <w:t xml:space="preserve">Проведенные исследования послужат в дальнейшем основой для разработки системы санитарно-гельминтологического надзора и профилактических мероприятий, направленных на предупреждение и снижение риска заражения </w:t>
      </w:r>
      <w:proofErr w:type="spellStart"/>
      <w:r>
        <w:rPr>
          <w:rFonts w:ascii="Times New Roman" w:hAnsi="Times New Roman"/>
          <w:sz w:val="28"/>
          <w:szCs w:val="28"/>
        </w:rPr>
        <w:t>токсокарозом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color w:val="FF0000"/>
          <w:sz w:val="28"/>
        </w:rPr>
        <w:t xml:space="preserve"> </w:t>
      </w:r>
    </w:p>
    <w:p w:rsidR="009661A8" w:rsidRDefault="009661A8" w:rsidP="009661A8">
      <w:pPr>
        <w:pStyle w:val="a3"/>
        <w:spacing w:line="360" w:lineRule="auto"/>
        <w:ind w:left="0" w:firstLine="709"/>
        <w:jc w:val="both"/>
        <w:rPr>
          <w:rFonts w:ascii="Times New Roman" w:hAnsi="Times New Roman"/>
          <w:b/>
          <w:sz w:val="28"/>
        </w:rPr>
      </w:pPr>
    </w:p>
    <w:p w:rsidR="009661A8" w:rsidRDefault="009661A8" w:rsidP="009661A8">
      <w:pPr>
        <w:pStyle w:val="a3"/>
        <w:spacing w:line="360" w:lineRule="auto"/>
        <w:ind w:left="0" w:firstLine="709"/>
        <w:jc w:val="both"/>
        <w:rPr>
          <w:rFonts w:ascii="Times New Roman" w:hAnsi="Times New Roman"/>
          <w:b/>
          <w:sz w:val="28"/>
        </w:rPr>
      </w:pPr>
    </w:p>
    <w:p w:rsidR="009661A8" w:rsidRDefault="009661A8" w:rsidP="009661A8">
      <w:pPr>
        <w:pStyle w:val="a3"/>
        <w:spacing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</w:rPr>
        <w:t>Список литературы.</w:t>
      </w:r>
    </w:p>
    <w:p w:rsidR="009661A8" w:rsidRDefault="009661A8" w:rsidP="009661A8">
      <w:pPr>
        <w:pStyle w:val="a3"/>
        <w:numPr>
          <w:ilvl w:val="0"/>
          <w:numId w:val="1"/>
        </w:numPr>
        <w:spacing w:line="36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Горохов В.В. </w:t>
      </w:r>
      <w:proofErr w:type="spellStart"/>
      <w:r>
        <w:rPr>
          <w:rFonts w:ascii="Times New Roman" w:hAnsi="Times New Roman"/>
          <w:sz w:val="28"/>
          <w:szCs w:val="28"/>
        </w:rPr>
        <w:t>Токсокароз</w:t>
      </w:r>
      <w:proofErr w:type="spellEnd"/>
      <w:r>
        <w:rPr>
          <w:rFonts w:ascii="Times New Roman" w:hAnsi="Times New Roman"/>
          <w:sz w:val="28"/>
          <w:szCs w:val="28"/>
        </w:rPr>
        <w:t xml:space="preserve"> в современных условиях / В.В. Горохов, </w:t>
      </w:r>
      <w:proofErr w:type="spellStart"/>
      <w:r>
        <w:rPr>
          <w:rFonts w:ascii="Times New Roman" w:hAnsi="Times New Roman"/>
          <w:sz w:val="28"/>
          <w:szCs w:val="28"/>
        </w:rPr>
        <w:t>А.В.Успенский</w:t>
      </w:r>
      <w:proofErr w:type="spellEnd"/>
      <w:r>
        <w:rPr>
          <w:rFonts w:ascii="Times New Roman" w:hAnsi="Times New Roman"/>
          <w:sz w:val="28"/>
          <w:szCs w:val="28"/>
        </w:rPr>
        <w:t>, Р.А. Пешков, Е.В. Горохова // Медицинская паразитология и паразитарные болезни. – 2011. – N 2. – С.3–6.</w:t>
      </w:r>
    </w:p>
    <w:p w:rsidR="009661A8" w:rsidRDefault="009661A8" w:rsidP="009661A8">
      <w:pPr>
        <w:pStyle w:val="a3"/>
        <w:numPr>
          <w:ilvl w:val="0"/>
          <w:numId w:val="1"/>
        </w:numPr>
        <w:spacing w:line="36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Захарчук О.І. </w:t>
      </w:r>
      <w:proofErr w:type="spellStart"/>
      <w:r>
        <w:rPr>
          <w:rFonts w:ascii="Times New Roman" w:hAnsi="Times New Roman"/>
          <w:sz w:val="28"/>
          <w:szCs w:val="28"/>
        </w:rPr>
        <w:t>Клінік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>імунологічні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епідеміологічні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аспекти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токсокарозу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Буковині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</w:rPr>
        <w:t>автореф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дис</w:t>
      </w:r>
      <w:proofErr w:type="spellEnd"/>
      <w:r>
        <w:rPr>
          <w:rFonts w:ascii="Times New Roman" w:hAnsi="Times New Roman"/>
          <w:sz w:val="28"/>
          <w:szCs w:val="28"/>
        </w:rPr>
        <w:t xml:space="preserve">. на </w:t>
      </w:r>
      <w:proofErr w:type="spellStart"/>
      <w:r>
        <w:rPr>
          <w:rFonts w:ascii="Times New Roman" w:hAnsi="Times New Roman"/>
          <w:sz w:val="28"/>
          <w:szCs w:val="28"/>
        </w:rPr>
        <w:t>здобуття</w:t>
      </w:r>
      <w:proofErr w:type="spellEnd"/>
      <w:r>
        <w:rPr>
          <w:rFonts w:ascii="Times New Roman" w:hAnsi="Times New Roman"/>
          <w:sz w:val="28"/>
          <w:szCs w:val="28"/>
        </w:rPr>
        <w:t xml:space="preserve"> наук. </w:t>
      </w:r>
      <w:proofErr w:type="spellStart"/>
      <w:r>
        <w:rPr>
          <w:rFonts w:ascii="Times New Roman" w:hAnsi="Times New Roman"/>
          <w:sz w:val="28"/>
          <w:szCs w:val="28"/>
        </w:rPr>
        <w:t>ступеня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докт</w:t>
      </w:r>
      <w:proofErr w:type="spellEnd"/>
      <w:r>
        <w:rPr>
          <w:rFonts w:ascii="Times New Roman" w:hAnsi="Times New Roman"/>
          <w:sz w:val="28"/>
          <w:szCs w:val="28"/>
        </w:rPr>
        <w:t>. мед. наук: спец. 16.00.11 «</w:t>
      </w:r>
      <w:proofErr w:type="spellStart"/>
      <w:r>
        <w:rPr>
          <w:rFonts w:ascii="Times New Roman" w:hAnsi="Times New Roman"/>
          <w:sz w:val="28"/>
          <w:szCs w:val="28"/>
        </w:rPr>
        <w:t>Паразитологія</w:t>
      </w:r>
      <w:proofErr w:type="spellEnd"/>
      <w:r>
        <w:rPr>
          <w:rFonts w:ascii="Times New Roman" w:hAnsi="Times New Roman"/>
          <w:sz w:val="28"/>
          <w:szCs w:val="28"/>
        </w:rPr>
        <w:t>» / О.І. Захарчук. – К., 2012. – 41 с.</w:t>
      </w:r>
    </w:p>
    <w:p w:rsidR="009661A8" w:rsidRDefault="009661A8" w:rsidP="009661A8">
      <w:pPr>
        <w:pStyle w:val="a3"/>
        <w:numPr>
          <w:ilvl w:val="0"/>
          <w:numId w:val="1"/>
        </w:numPr>
        <w:spacing w:line="36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Лебедева О. В. Эпидемиология </w:t>
      </w:r>
      <w:proofErr w:type="spellStart"/>
      <w:r>
        <w:rPr>
          <w:rFonts w:ascii="Times New Roman" w:hAnsi="Times New Roman"/>
          <w:sz w:val="28"/>
          <w:szCs w:val="28"/>
        </w:rPr>
        <w:t>токсокароза</w:t>
      </w:r>
      <w:proofErr w:type="spellEnd"/>
      <w:r>
        <w:rPr>
          <w:rFonts w:ascii="Times New Roman" w:hAnsi="Times New Roman"/>
          <w:sz w:val="28"/>
          <w:szCs w:val="28"/>
        </w:rPr>
        <w:t xml:space="preserve"> в Санкт-Петербурге: </w:t>
      </w:r>
      <w:proofErr w:type="spellStart"/>
      <w:r>
        <w:rPr>
          <w:rFonts w:ascii="Times New Roman" w:hAnsi="Times New Roman"/>
          <w:sz w:val="28"/>
          <w:szCs w:val="28"/>
        </w:rPr>
        <w:t>Автореф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дис</w:t>
      </w:r>
      <w:proofErr w:type="spellEnd"/>
      <w:r>
        <w:rPr>
          <w:rFonts w:ascii="Times New Roman" w:hAnsi="Times New Roman"/>
          <w:sz w:val="28"/>
          <w:szCs w:val="28"/>
        </w:rPr>
        <w:t>. ... канд. мед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н</w:t>
      </w:r>
      <w:proofErr w:type="gramEnd"/>
      <w:r>
        <w:rPr>
          <w:rFonts w:ascii="Times New Roman" w:hAnsi="Times New Roman"/>
          <w:sz w:val="28"/>
          <w:szCs w:val="28"/>
        </w:rPr>
        <w:t>аук. – СПб</w:t>
      </w:r>
      <w:proofErr w:type="gramStart"/>
      <w:r>
        <w:rPr>
          <w:rFonts w:ascii="Times New Roman" w:hAnsi="Times New Roman"/>
          <w:sz w:val="28"/>
          <w:szCs w:val="28"/>
        </w:rPr>
        <w:t xml:space="preserve">., </w:t>
      </w:r>
      <w:proofErr w:type="gramEnd"/>
      <w:r>
        <w:rPr>
          <w:rFonts w:ascii="Times New Roman" w:hAnsi="Times New Roman"/>
          <w:sz w:val="28"/>
          <w:szCs w:val="28"/>
        </w:rPr>
        <w:t>2006. – 23 с.</w:t>
      </w:r>
    </w:p>
    <w:p w:rsidR="009661A8" w:rsidRDefault="009661A8" w:rsidP="009661A8">
      <w:pPr>
        <w:pStyle w:val="a3"/>
        <w:numPr>
          <w:ilvl w:val="0"/>
          <w:numId w:val="1"/>
        </w:numPr>
        <w:spacing w:line="36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Трухан</w:t>
      </w:r>
      <w:proofErr w:type="spellEnd"/>
      <w:r>
        <w:rPr>
          <w:rFonts w:ascii="Times New Roman" w:hAnsi="Times New Roman"/>
          <w:sz w:val="28"/>
          <w:szCs w:val="28"/>
        </w:rPr>
        <w:t xml:space="preserve"> Д.В. Гельминтозы: актуальные вопросы / </w:t>
      </w:r>
      <w:proofErr w:type="spellStart"/>
      <w:r>
        <w:rPr>
          <w:rFonts w:ascii="Times New Roman" w:hAnsi="Times New Roman"/>
          <w:sz w:val="28"/>
          <w:szCs w:val="28"/>
        </w:rPr>
        <w:t>Д.В.Трухан</w:t>
      </w:r>
      <w:proofErr w:type="spellEnd"/>
      <w:r>
        <w:rPr>
          <w:rFonts w:ascii="Times New Roman" w:hAnsi="Times New Roman"/>
          <w:sz w:val="28"/>
          <w:szCs w:val="28"/>
        </w:rPr>
        <w:t>, Л.В. Тарасова //</w:t>
      </w:r>
      <w:proofErr w:type="spellStart"/>
      <w:r>
        <w:rPr>
          <w:rFonts w:ascii="Times New Roman" w:hAnsi="Times New Roman"/>
          <w:sz w:val="28"/>
          <w:szCs w:val="28"/>
        </w:rPr>
        <w:t>Consilium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medicum</w:t>
      </w:r>
      <w:proofErr w:type="spellEnd"/>
      <w:r>
        <w:rPr>
          <w:rFonts w:ascii="Times New Roman" w:hAnsi="Times New Roman"/>
          <w:sz w:val="28"/>
          <w:szCs w:val="28"/>
        </w:rPr>
        <w:t xml:space="preserve">. – 2013. – N 12. – С.52–56. </w:t>
      </w:r>
    </w:p>
    <w:p w:rsidR="009661A8" w:rsidRDefault="009661A8" w:rsidP="009661A8">
      <w:pPr>
        <w:pStyle w:val="a3"/>
        <w:numPr>
          <w:ilvl w:val="0"/>
          <w:numId w:val="1"/>
        </w:numPr>
        <w:spacing w:line="360" w:lineRule="auto"/>
        <w:ind w:left="709" w:hanging="709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Colli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C.M. Serological, clinical and epidemiological evaluation of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toxocariasis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in urban areas of south Brazil /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C.M.Colli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G.Rubinsky-Elefant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M.L.Paludo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et al. // Rev. Inst. Med. Trop. Sao Paulo. – 2010. – </w:t>
      </w:r>
      <w:r>
        <w:rPr>
          <w:rFonts w:ascii="Times New Roman" w:hAnsi="Times New Roman"/>
          <w:sz w:val="28"/>
          <w:szCs w:val="28"/>
          <w:lang w:val="en-US" w:eastAsia="ru-RU"/>
        </w:rPr>
        <w:t>Vol.</w:t>
      </w:r>
      <w:r>
        <w:rPr>
          <w:rFonts w:ascii="Times New Roman" w:hAnsi="Times New Roman"/>
          <w:sz w:val="28"/>
          <w:szCs w:val="28"/>
          <w:lang w:val="en-US"/>
        </w:rPr>
        <w:t xml:space="preserve"> 52(2). – P.69–74.</w:t>
      </w:r>
    </w:p>
    <w:p w:rsidR="009661A8" w:rsidRDefault="009661A8" w:rsidP="009661A8">
      <w:pPr>
        <w:pStyle w:val="a3"/>
        <w:numPr>
          <w:ilvl w:val="0"/>
          <w:numId w:val="1"/>
        </w:numPr>
        <w:spacing w:line="360" w:lineRule="auto"/>
        <w:ind w:left="709" w:hanging="709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Congdon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P.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Toxocara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infection in the United States: the relevance of poverty, geography and demography as risk factors, and implications for estimating county prevalence /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P.Congdon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P.Lloyd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// International journal of public health. – 2011. – </w:t>
      </w:r>
      <w:r>
        <w:rPr>
          <w:rFonts w:ascii="Times New Roman" w:hAnsi="Times New Roman"/>
          <w:sz w:val="28"/>
          <w:szCs w:val="28"/>
          <w:lang w:val="en-US" w:eastAsia="ru-RU"/>
        </w:rPr>
        <w:t>Vol.</w:t>
      </w:r>
      <w:r>
        <w:rPr>
          <w:rFonts w:ascii="Times New Roman" w:hAnsi="Times New Roman"/>
          <w:sz w:val="28"/>
          <w:szCs w:val="28"/>
          <w:lang w:val="en-US"/>
        </w:rPr>
        <w:t xml:space="preserve"> 56. –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  <w:lang w:val="en-US"/>
        </w:rPr>
        <w:t>.15–24.</w:t>
      </w:r>
    </w:p>
    <w:p w:rsidR="009661A8" w:rsidRDefault="009661A8" w:rsidP="009661A8">
      <w:pPr>
        <w:pStyle w:val="a3"/>
        <w:numPr>
          <w:ilvl w:val="0"/>
          <w:numId w:val="1"/>
        </w:numPr>
        <w:spacing w:line="360" w:lineRule="auto"/>
        <w:ind w:left="709" w:hanging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Macpherson C.N. The epidemiology and public health importance of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toxocariasis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: a zoonosis of global importance /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C.N.Macpherson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// Int. J.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Parasitol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. – 2013. – </w:t>
      </w:r>
      <w:r>
        <w:rPr>
          <w:rFonts w:ascii="Times New Roman" w:hAnsi="Times New Roman"/>
          <w:sz w:val="28"/>
          <w:szCs w:val="28"/>
          <w:lang w:val="en-US" w:eastAsia="ru-RU"/>
        </w:rPr>
        <w:t>Vol.</w:t>
      </w:r>
      <w:r>
        <w:rPr>
          <w:rFonts w:ascii="Times New Roman" w:hAnsi="Times New Roman"/>
          <w:sz w:val="28"/>
          <w:szCs w:val="28"/>
          <w:lang w:val="en-US"/>
        </w:rPr>
        <w:t xml:space="preserve"> 43(12–13). –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  <w:lang w:val="en-US"/>
        </w:rPr>
        <w:t xml:space="preserve">.999–1008. </w:t>
      </w:r>
    </w:p>
    <w:p w:rsidR="009661A8" w:rsidRDefault="009661A8" w:rsidP="009661A8">
      <w:pPr>
        <w:pStyle w:val="a3"/>
        <w:numPr>
          <w:ilvl w:val="0"/>
          <w:numId w:val="1"/>
        </w:numPr>
        <w:spacing w:line="360" w:lineRule="auto"/>
        <w:ind w:left="709" w:hanging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Won K.Y. National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seroprevalence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and risk factors for zoonotic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Toxocara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spp. infection /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K.Y.Won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D.Kruszon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-Moran,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P.M.Schantz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J.L.Jones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// Am. J. Trop. Med.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Hyg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. – 2008. – </w:t>
      </w:r>
      <w:r>
        <w:rPr>
          <w:rFonts w:ascii="Times New Roman" w:hAnsi="Times New Roman"/>
          <w:sz w:val="28"/>
          <w:szCs w:val="28"/>
          <w:lang w:val="en-US" w:eastAsia="ru-RU"/>
        </w:rPr>
        <w:t>Vol.</w:t>
      </w:r>
      <w:r>
        <w:rPr>
          <w:rFonts w:ascii="Times New Roman" w:hAnsi="Times New Roman"/>
          <w:sz w:val="28"/>
          <w:szCs w:val="28"/>
          <w:lang w:val="en-US"/>
        </w:rPr>
        <w:t xml:space="preserve"> 79. –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  <w:lang w:val="en-US"/>
        </w:rPr>
        <w:t>.552–557.</w:t>
      </w:r>
    </w:p>
    <w:p w:rsidR="009661A8" w:rsidRPr="009661A8" w:rsidRDefault="009661A8" w:rsidP="009661A8">
      <w:pPr>
        <w:tabs>
          <w:tab w:val="left" w:pos="9720"/>
        </w:tabs>
        <w:spacing w:line="360" w:lineRule="auto"/>
        <w:ind w:right="-158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9661A8" w:rsidRDefault="009661A8" w:rsidP="009661A8">
      <w:pPr>
        <w:tabs>
          <w:tab w:val="left" w:pos="9720"/>
        </w:tabs>
        <w:spacing w:line="360" w:lineRule="auto"/>
        <w:ind w:right="-15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УДК 579.61:616.995.1-008.8-078-036.22:612.017.1(477.54)</w:t>
      </w:r>
    </w:p>
    <w:p w:rsidR="009661A8" w:rsidRDefault="009661A8" w:rsidP="009661A8">
      <w:pPr>
        <w:tabs>
          <w:tab w:val="left" w:pos="9720"/>
        </w:tabs>
        <w:spacing w:line="360" w:lineRule="auto"/>
        <w:ind w:right="-158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Сероэпидемическая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характеристика </w:t>
      </w:r>
      <w:proofErr w:type="spellStart"/>
      <w:r>
        <w:rPr>
          <w:rFonts w:ascii="Times New Roman" w:hAnsi="Times New Roman"/>
          <w:b/>
          <w:sz w:val="28"/>
          <w:szCs w:val="28"/>
        </w:rPr>
        <w:t>токсокарозной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инвазии</w:t>
      </w:r>
    </w:p>
    <w:p w:rsidR="009661A8" w:rsidRPr="009661A8" w:rsidRDefault="009661A8" w:rsidP="009661A8">
      <w:pPr>
        <w:tabs>
          <w:tab w:val="left" w:pos="9720"/>
        </w:tabs>
        <w:spacing w:line="360" w:lineRule="auto"/>
        <w:ind w:right="-15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Харьковской области</w:t>
      </w:r>
    </w:p>
    <w:p w:rsidR="009661A8" w:rsidRDefault="009661A8" w:rsidP="009661A8">
      <w:pPr>
        <w:tabs>
          <w:tab w:val="left" w:pos="9720"/>
        </w:tabs>
        <w:spacing w:line="360" w:lineRule="auto"/>
        <w:ind w:right="-158"/>
        <w:jc w:val="center"/>
        <w:rPr>
          <w:rFonts w:ascii="Times New Roman" w:hAnsi="Times New Roman"/>
          <w:b/>
          <w:sz w:val="28"/>
          <w:szCs w:val="28"/>
        </w:rPr>
      </w:pPr>
      <w:r w:rsidRPr="009661A8">
        <w:rPr>
          <w:rFonts w:ascii="Times New Roman" w:hAnsi="Times New Roman"/>
          <w:b/>
          <w:sz w:val="28"/>
          <w:szCs w:val="28"/>
        </w:rPr>
        <w:t>Т.Н. Замазий</w:t>
      </w:r>
    </w:p>
    <w:p w:rsidR="009661A8" w:rsidRDefault="009661A8" w:rsidP="009661A8">
      <w:pPr>
        <w:tabs>
          <w:tab w:val="left" w:pos="9720"/>
        </w:tabs>
        <w:spacing w:line="36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статье приведены данные по изучению </w:t>
      </w:r>
      <w:proofErr w:type="spellStart"/>
      <w:r>
        <w:rPr>
          <w:rFonts w:ascii="Times New Roman" w:hAnsi="Times New Roman"/>
          <w:sz w:val="28"/>
          <w:szCs w:val="28"/>
        </w:rPr>
        <w:t>серопораженности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населения Харьковской области </w:t>
      </w:r>
      <w:proofErr w:type="spellStart"/>
      <w:r>
        <w:rPr>
          <w:rFonts w:ascii="Times New Roman" w:hAnsi="Times New Roman"/>
          <w:sz w:val="28"/>
          <w:szCs w:val="28"/>
        </w:rPr>
        <w:t>токсокарозом</w:t>
      </w:r>
      <w:proofErr w:type="spellEnd"/>
      <w:r>
        <w:rPr>
          <w:rFonts w:ascii="Times New Roman" w:hAnsi="Times New Roman"/>
          <w:sz w:val="28"/>
          <w:szCs w:val="28"/>
        </w:rPr>
        <w:t xml:space="preserve">. В результате проведенных исследований было установлено, что </w:t>
      </w:r>
      <w:proofErr w:type="spellStart"/>
      <w:r>
        <w:rPr>
          <w:rFonts w:ascii="Times New Roman" w:hAnsi="Times New Roman"/>
          <w:sz w:val="28"/>
          <w:szCs w:val="28"/>
        </w:rPr>
        <w:t>серопозитивность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населения (44,7 ± 3,9 %) выше городского (39,5 ± 2,9 %). Максимальные показатели </w:t>
      </w:r>
      <w:proofErr w:type="spellStart"/>
      <w:r>
        <w:rPr>
          <w:rFonts w:ascii="Times New Roman" w:hAnsi="Times New Roman"/>
          <w:sz w:val="28"/>
          <w:szCs w:val="28"/>
        </w:rPr>
        <w:t>серопораженности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токсокарозом</w:t>
      </w:r>
      <w:proofErr w:type="spellEnd"/>
      <w:r>
        <w:rPr>
          <w:rFonts w:ascii="Times New Roman" w:hAnsi="Times New Roman"/>
          <w:sz w:val="28"/>
          <w:szCs w:val="28"/>
        </w:rPr>
        <w:t xml:space="preserve"> в городе были в возрастной группе 2 - 3 лет, на селе 2 - 3 лет и 31 - 40 лет. В группе обследованных мужчин </w:t>
      </w:r>
      <w:proofErr w:type="spellStart"/>
      <w:r>
        <w:rPr>
          <w:rFonts w:ascii="Times New Roman" w:hAnsi="Times New Roman"/>
          <w:sz w:val="28"/>
          <w:szCs w:val="28"/>
        </w:rPr>
        <w:t>серопораженность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токсокарозом</w:t>
      </w:r>
      <w:proofErr w:type="spellEnd"/>
      <w:r>
        <w:rPr>
          <w:rFonts w:ascii="Times New Roman" w:hAnsi="Times New Roman"/>
          <w:sz w:val="28"/>
          <w:szCs w:val="28"/>
        </w:rPr>
        <w:t xml:space="preserve"> составила 37,2 ± 3,9 %, среди женщин 38,9 ± 3,8 %. Среди обследованных детей в возрасте 0 - 15 лет </w:t>
      </w:r>
      <w:proofErr w:type="spellStart"/>
      <w:r>
        <w:rPr>
          <w:rFonts w:ascii="Times New Roman" w:hAnsi="Times New Roman"/>
          <w:sz w:val="28"/>
          <w:szCs w:val="28"/>
        </w:rPr>
        <w:t>серопораженность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мальчиков была выше, чем девочек (2,6: 1). </w:t>
      </w:r>
    </w:p>
    <w:p w:rsidR="009661A8" w:rsidRDefault="009661A8" w:rsidP="009661A8">
      <w:pPr>
        <w:tabs>
          <w:tab w:val="left" w:pos="9720"/>
        </w:tabs>
        <w:spacing w:line="36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Ключевые слова: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токсокароз</w:t>
      </w:r>
      <w:proofErr w:type="spellEnd"/>
      <w:r>
        <w:rPr>
          <w:rFonts w:ascii="Times New Roman" w:hAnsi="Times New Roman"/>
          <w:sz w:val="28"/>
          <w:szCs w:val="28"/>
        </w:rPr>
        <w:t xml:space="preserve">, эпидемиология, серологическое исследование, </w:t>
      </w:r>
      <w:proofErr w:type="spellStart"/>
      <w:r>
        <w:rPr>
          <w:rFonts w:ascii="Times New Roman" w:hAnsi="Times New Roman"/>
          <w:sz w:val="28"/>
          <w:szCs w:val="28"/>
        </w:rPr>
        <w:t>серопораженность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9661A8" w:rsidRDefault="009661A8" w:rsidP="009661A8">
      <w:pPr>
        <w:tabs>
          <w:tab w:val="left" w:pos="9720"/>
        </w:tabs>
        <w:spacing w:line="360" w:lineRule="auto"/>
        <w:ind w:right="-15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УДК 579.61:616.995.1-008.8-078-036.22:612.017.1(477.54)</w:t>
      </w:r>
    </w:p>
    <w:p w:rsidR="009661A8" w:rsidRDefault="009661A8" w:rsidP="009661A8">
      <w:pPr>
        <w:pStyle w:val="a3"/>
        <w:spacing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Сероепідемічна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характеристика </w:t>
      </w:r>
      <w:proofErr w:type="spellStart"/>
      <w:r>
        <w:rPr>
          <w:rFonts w:ascii="Times New Roman" w:hAnsi="Times New Roman"/>
          <w:b/>
          <w:sz w:val="28"/>
          <w:szCs w:val="28"/>
        </w:rPr>
        <w:t>токсокарозно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ї </w:t>
      </w:r>
      <w:proofErr w:type="spellStart"/>
      <w:r>
        <w:rPr>
          <w:rFonts w:ascii="Times New Roman" w:hAnsi="Times New Roman"/>
          <w:b/>
          <w:sz w:val="28"/>
          <w:szCs w:val="28"/>
        </w:rPr>
        <w:t>інвазії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9661A8" w:rsidRDefault="009661A8" w:rsidP="009661A8">
      <w:pPr>
        <w:pStyle w:val="a3"/>
        <w:spacing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</w:t>
      </w:r>
      <w:proofErr w:type="spellStart"/>
      <w:r>
        <w:rPr>
          <w:rFonts w:ascii="Times New Roman" w:hAnsi="Times New Roman"/>
          <w:b/>
          <w:sz w:val="28"/>
          <w:szCs w:val="28"/>
        </w:rPr>
        <w:t>Харківській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області</w:t>
      </w:r>
      <w:proofErr w:type="spellEnd"/>
    </w:p>
    <w:p w:rsidR="009661A8" w:rsidRDefault="009661A8" w:rsidP="009661A8">
      <w:pPr>
        <w:pStyle w:val="a3"/>
        <w:spacing w:line="360" w:lineRule="auto"/>
        <w:ind w:left="0"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Т.</w:t>
      </w:r>
      <w:r>
        <w:rPr>
          <w:rFonts w:ascii="Times New Roman" w:hAnsi="Times New Roman"/>
          <w:b/>
          <w:sz w:val="28"/>
          <w:szCs w:val="28"/>
          <w:lang w:val="uk-UA"/>
        </w:rPr>
        <w:t>М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b/>
          <w:sz w:val="28"/>
          <w:szCs w:val="28"/>
        </w:rPr>
        <w:t>Замаз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>і</w:t>
      </w:r>
      <w:r>
        <w:rPr>
          <w:rFonts w:ascii="Times New Roman" w:hAnsi="Times New Roman"/>
          <w:b/>
          <w:sz w:val="28"/>
          <w:szCs w:val="28"/>
        </w:rPr>
        <w:t>й</w:t>
      </w:r>
    </w:p>
    <w:p w:rsidR="009661A8" w:rsidRDefault="009661A8" w:rsidP="009661A8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 статті наведені дані по вивченню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сероураженості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населення Харківської області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токсокарозом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В результаті проведених досліджень було встановлено, що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серопозитивність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сільського населення (44,7 ± 3,9 %) вище міського (39,5 ± 2,9 %). Максимальні показники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сероураженості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токсокарозом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 місті були у віковій групі 2 - 3 років, на селі 2 - 3 років і 31 - 40 років. У групі обстежених чоловіків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сероураженість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токсокарозом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склала 37,2 ± 3,9 %, серед жінок 38,9 ± 3,8 %. Серед обстежених дітей у віці 0 - 15 років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сероураженість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хлопчиків була вищою ніж дівчаток (2,6:1).</w:t>
      </w:r>
    </w:p>
    <w:p w:rsidR="009661A8" w:rsidRDefault="009661A8" w:rsidP="009661A8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Ключові слова: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токсокароз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епідеміологія, серологічне дослідження,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сероураженість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9661A8" w:rsidRDefault="009661A8" w:rsidP="009661A8">
      <w:pPr>
        <w:tabs>
          <w:tab w:val="left" w:pos="9720"/>
        </w:tabs>
        <w:spacing w:line="360" w:lineRule="auto"/>
        <w:ind w:right="-158"/>
        <w:jc w:val="both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t>УДК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579.61:616.995.1-008.8-078-036.22:612.017.1(477.54)</w:t>
      </w:r>
    </w:p>
    <w:p w:rsidR="009661A8" w:rsidRDefault="009661A8" w:rsidP="009661A8">
      <w:pPr>
        <w:tabs>
          <w:tab w:val="left" w:pos="9720"/>
        </w:tabs>
        <w:spacing w:line="360" w:lineRule="auto"/>
        <w:ind w:right="-158"/>
        <w:jc w:val="center"/>
        <w:rPr>
          <w:rFonts w:ascii="Times New Roman" w:hAnsi="Times New Roman"/>
          <w:b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Seroepidemiological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 xml:space="preserve"> properties of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toxocarosis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 xml:space="preserve"> invasion in Kharkov region </w:t>
      </w:r>
    </w:p>
    <w:p w:rsidR="009661A8" w:rsidRDefault="009661A8" w:rsidP="009661A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TenCyr-Upright" w:hAnsi="Times New Roman"/>
          <w:sz w:val="28"/>
          <w:szCs w:val="28"/>
          <w:lang w:val="en-US" w:eastAsia="ru-RU"/>
        </w:rPr>
      </w:pPr>
      <w:r>
        <w:rPr>
          <w:rFonts w:ascii="Times New Roman" w:eastAsia="TimesTenCyr-Upright" w:hAnsi="Times New Roman"/>
          <w:sz w:val="28"/>
          <w:szCs w:val="28"/>
          <w:lang w:val="en-US" w:eastAsia="ru-RU"/>
        </w:rPr>
        <w:t>Living environment state, in the first instance of soil as the most informative factor of prevalent parasitic diseases distribution (</w:t>
      </w:r>
      <w:proofErr w:type="spellStart"/>
      <w:r>
        <w:rPr>
          <w:rFonts w:ascii="Times New Roman" w:eastAsia="TimesTenCyr-Upright" w:hAnsi="Times New Roman"/>
          <w:sz w:val="28"/>
          <w:szCs w:val="28"/>
          <w:lang w:val="en-US" w:eastAsia="ru-RU"/>
        </w:rPr>
        <w:t>toxocarosis</w:t>
      </w:r>
      <w:proofErr w:type="spellEnd"/>
      <w:r>
        <w:rPr>
          <w:rFonts w:ascii="Times New Roman" w:eastAsia="TimesTenCyr-Upright" w:hAnsi="Times New Roman"/>
          <w:sz w:val="28"/>
          <w:szCs w:val="28"/>
          <w:lang w:val="en-US" w:eastAsia="ru-RU"/>
        </w:rPr>
        <w:t xml:space="preserve">, </w:t>
      </w:r>
      <w:proofErr w:type="spellStart"/>
      <w:r>
        <w:rPr>
          <w:rFonts w:ascii="Times New Roman" w:eastAsia="TimesTenCyr-Upright" w:hAnsi="Times New Roman"/>
          <w:sz w:val="28"/>
          <w:szCs w:val="28"/>
          <w:lang w:val="en-US" w:eastAsia="ru-RU"/>
        </w:rPr>
        <w:t>tricocephaliasis</w:t>
      </w:r>
      <w:proofErr w:type="spellEnd"/>
      <w:r>
        <w:rPr>
          <w:rFonts w:ascii="Times New Roman" w:eastAsia="TimesTenCyr-Upright" w:hAnsi="Times New Roman"/>
          <w:sz w:val="28"/>
          <w:szCs w:val="28"/>
          <w:lang w:val="en-US" w:eastAsia="ru-RU"/>
        </w:rPr>
        <w:t xml:space="preserve">, </w:t>
      </w:r>
      <w:proofErr w:type="spellStart"/>
      <w:proofErr w:type="gramStart"/>
      <w:r>
        <w:rPr>
          <w:rFonts w:ascii="Times New Roman" w:eastAsia="TimesTenCyr-Upright" w:hAnsi="Times New Roman"/>
          <w:sz w:val="28"/>
          <w:szCs w:val="28"/>
          <w:lang w:val="en-US" w:eastAsia="ru-RU"/>
        </w:rPr>
        <w:t>ascariasis</w:t>
      </w:r>
      <w:proofErr w:type="spellEnd"/>
      <w:proofErr w:type="gramEnd"/>
      <w:r>
        <w:rPr>
          <w:rFonts w:ascii="Times New Roman" w:eastAsia="TimesTenCyr-Upright" w:hAnsi="Times New Roman"/>
          <w:sz w:val="28"/>
          <w:szCs w:val="28"/>
          <w:lang w:val="en-US" w:eastAsia="ru-RU"/>
        </w:rPr>
        <w:t>) is considered to be the main link of social hygienic surveillance of soil-transmitted helminthes</w:t>
      </w:r>
      <w:r>
        <w:rPr>
          <w:rFonts w:ascii="Times New Roman" w:hAnsi="Times New Roman"/>
          <w:sz w:val="28"/>
          <w:szCs w:val="28"/>
          <w:lang w:val="en-US"/>
        </w:rPr>
        <w:t xml:space="preserve">. For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geohelminthoses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soil is the environment, necessary for the development of eggs prior to invasion stage. Millions of eggs, getting into ambient environment with animals’ feces, determine a high risk of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toxocarosis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infestation</w:t>
      </w:r>
      <w:r>
        <w:rPr>
          <w:rFonts w:ascii="Times New Roman" w:eastAsia="TimesTenCyr-Upright" w:hAnsi="Times New Roman"/>
          <w:sz w:val="28"/>
          <w:szCs w:val="28"/>
          <w:lang w:val="en-US" w:eastAsia="ru-RU"/>
        </w:rPr>
        <w:t xml:space="preserve">. </w:t>
      </w:r>
    </w:p>
    <w:p w:rsidR="009661A8" w:rsidRDefault="009661A8" w:rsidP="009661A8">
      <w:pPr>
        <w:tabs>
          <w:tab w:val="left" w:pos="9720"/>
        </w:tabs>
        <w:autoSpaceDE w:val="0"/>
        <w:autoSpaceDN w:val="0"/>
        <w:adjustRightInd w:val="0"/>
        <w:spacing w:line="360" w:lineRule="auto"/>
        <w:ind w:right="-2"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Significant fluctuations of human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toxocarosis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infestation rates all over the world, absence of official statistics regarding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toxocarosis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incidence in Ukraine, increased contamination of soil with helminthes’ eggs in many regions of Ukraine made conditions for investigation of this problem in Kharkov region. </w:t>
      </w:r>
    </w:p>
    <w:p w:rsidR="009661A8" w:rsidRDefault="009661A8" w:rsidP="009661A8">
      <w:pPr>
        <w:widowControl w:val="0"/>
        <w:spacing w:line="360" w:lineRule="auto"/>
        <w:ind w:right="-2"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The article deals with the study of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toxocarosis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seroprevalence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data in population of Kharkov region. </w:t>
      </w:r>
    </w:p>
    <w:p w:rsidR="009661A8" w:rsidRDefault="009661A8" w:rsidP="009661A8">
      <w:pPr>
        <w:widowControl w:val="0"/>
        <w:spacing w:line="360" w:lineRule="auto"/>
        <w:ind w:right="-2" w:firstLine="709"/>
        <w:jc w:val="both"/>
        <w:rPr>
          <w:sz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During the study blood serum of Kharkov region residents was shown to have antibodies to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toxocara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antigens. However, the proportion of people with antibodies from the total number of examined residents was unequal and differed depending on the place of residence </w:t>
      </w:r>
      <w:r>
        <w:rPr>
          <w:rFonts w:ascii="Times New Roman" w:hAnsi="Times New Roman"/>
          <w:sz w:val="28"/>
          <w:lang w:val="en-US"/>
        </w:rPr>
        <w:t>(urban or rural area)</w:t>
      </w:r>
      <w:r>
        <w:rPr>
          <w:rFonts w:ascii="Times New Roman" w:hAnsi="Times New Roman"/>
          <w:sz w:val="28"/>
          <w:szCs w:val="28"/>
          <w:lang w:val="en-US"/>
        </w:rPr>
        <w:t xml:space="preserve"> and age, or on gender for children.</w:t>
      </w:r>
      <w:r>
        <w:rPr>
          <w:sz w:val="28"/>
          <w:lang w:val="en-US"/>
        </w:rPr>
        <w:t xml:space="preserve"> </w:t>
      </w:r>
    </w:p>
    <w:p w:rsidR="009661A8" w:rsidRDefault="009661A8" w:rsidP="009661A8">
      <w:pPr>
        <w:widowControl w:val="0"/>
        <w:spacing w:line="360" w:lineRule="auto"/>
        <w:ind w:right="-2"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The study allowed the authors to determine that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seropositivity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in rural </w:t>
      </w:r>
      <w:r>
        <w:rPr>
          <w:rFonts w:ascii="Times New Roman" w:hAnsi="Times New Roman"/>
          <w:sz w:val="28"/>
          <w:szCs w:val="28"/>
          <w:lang w:val="en-US"/>
        </w:rPr>
        <w:lastRenderedPageBreak/>
        <w:t>population (44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,7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± 3,9 %) was higher than in urban one (39,5 ± 2,9 %). Thus, of 159 examined rural residents 71 (44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,7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± 3,9 %) people were found to have antibodies to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toxocara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antigens. The proportion of urban residents with positive result comprised 39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,5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± 2,9 %. The percentage of urban women infested with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toxocarosis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constituted 40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,7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± 4,7 %, in rural area the number amounted to 35,2 ± 6,5 %.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Seroprevalence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in rural men was higher than in urban area (43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,8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± 7,2% and 34,0 ± 4,7 % correspondingly). Specific gravity of antibody titer to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toxocara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antigens in children was higher in rural area than in urban one and comprised 54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,4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± 6,6 and 44,6 ± 5,5 % correspondingly. </w:t>
      </w:r>
    </w:p>
    <w:p w:rsidR="009661A8" w:rsidRDefault="009661A8" w:rsidP="009661A8">
      <w:pPr>
        <w:autoSpaceDE w:val="0"/>
        <w:autoSpaceDN w:val="0"/>
        <w:adjustRightInd w:val="0"/>
        <w:spacing w:line="360" w:lineRule="auto"/>
        <w:ind w:right="-2" w:firstLine="709"/>
        <w:jc w:val="both"/>
        <w:rPr>
          <w:rFonts w:ascii="Times New Roman" w:hAnsi="Times New Roman"/>
          <w:color w:val="FF0000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Maximum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toxocarosis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seroprevalence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indices in urban area fell within the age group of 2 – 3 years and 2 – 3years or 31 – 40 years in rural area.</w:t>
      </w:r>
      <w:r>
        <w:rPr>
          <w:rFonts w:ascii="Times New Roman" w:hAnsi="Times New Roman"/>
          <w:color w:val="FF0000"/>
          <w:sz w:val="28"/>
          <w:szCs w:val="28"/>
          <w:lang w:val="en-US"/>
        </w:rPr>
        <w:t xml:space="preserve"> </w:t>
      </w:r>
    </w:p>
    <w:p w:rsidR="009661A8" w:rsidRDefault="009661A8" w:rsidP="009661A8">
      <w:pPr>
        <w:tabs>
          <w:tab w:val="left" w:pos="9639"/>
        </w:tabs>
        <w:autoSpaceDE w:val="0"/>
        <w:autoSpaceDN w:val="0"/>
        <w:adjustRightInd w:val="0"/>
        <w:spacing w:line="360" w:lineRule="auto"/>
        <w:ind w:right="-2"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Correlation analysis determined an association between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toxocarosis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seroprevalence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and age in adults (correlation coefficient (r=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+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0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,11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in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&lt;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0,05) and a negative association in children (r= –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 xml:space="preserve">0,33 in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&lt;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 xml:space="preserve">0,000005), which is indicative of an increase in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seroprevalence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with age in adults and, on the contrary, a decrease in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seroprevalence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with age in children. </w:t>
      </w:r>
    </w:p>
    <w:p w:rsidR="009661A8" w:rsidRDefault="009661A8" w:rsidP="009661A8">
      <w:pPr>
        <w:spacing w:line="360" w:lineRule="auto"/>
        <w:ind w:firstLine="758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Seroprevalence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in children under 14 years was higher than in adults.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Seroprevalence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with age in children was found to reduce from 74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,3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% to 30,9 % and, on the contrary, slightly increased from 31,9 % to 51,2 % in adults. </w:t>
      </w:r>
    </w:p>
    <w:p w:rsidR="009661A8" w:rsidRDefault="009661A8" w:rsidP="009661A8">
      <w:pPr>
        <w:spacing w:line="360" w:lineRule="auto"/>
        <w:ind w:right="-2"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In group of examined men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toxocarosis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seroprevalence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was found to be 37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,2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± 3,9 % and 38,9 ± 3,8 % among women.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Seroprevalence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correlation between men and women comprised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1 :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1,1. Among examined children of 0 – 15 years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seroprevalence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in boys was higher than in girls and constituted 2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,6:1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. </w:t>
      </w:r>
    </w:p>
    <w:p w:rsidR="009661A8" w:rsidRDefault="009661A8" w:rsidP="009661A8">
      <w:pPr>
        <w:tabs>
          <w:tab w:val="left" w:pos="9720"/>
        </w:tabs>
        <w:spacing w:line="360" w:lineRule="auto"/>
        <w:ind w:right="-2"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Key words: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toxocarosis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, epidemiology, serologic examination,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seroprevalence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.</w:t>
      </w:r>
    </w:p>
    <w:p w:rsidR="009661A8" w:rsidRDefault="009661A8" w:rsidP="009661A8">
      <w:pPr>
        <w:spacing w:after="0"/>
        <w:rPr>
          <w:rFonts w:ascii="Times New Roman" w:hAnsi="Times New Roman"/>
          <w:b/>
          <w:sz w:val="28"/>
          <w:szCs w:val="28"/>
          <w:lang w:val="uk-UA"/>
        </w:rPr>
        <w:sectPr w:rsidR="009661A8">
          <w:pgSz w:w="11906" w:h="16838"/>
          <w:pgMar w:top="1701" w:right="1418" w:bottom="1560" w:left="1418" w:header="709" w:footer="709" w:gutter="0"/>
          <w:cols w:space="720"/>
        </w:sectPr>
      </w:pPr>
    </w:p>
    <w:p w:rsidR="009661A8" w:rsidRDefault="009661A8" w:rsidP="009661A8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Автор: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Замазій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Тетяна Миколаївна, доцент кафедри мікробіології, вірусології та імунології ХНМУ, кандидат медичних наук</w:t>
      </w:r>
    </w:p>
    <w:p w:rsidR="009661A8" w:rsidRDefault="009661A8" w:rsidP="009661A8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Домашн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>я</w:t>
      </w:r>
      <w:r>
        <w:rPr>
          <w:rFonts w:ascii="Times New Roman" w:hAnsi="Times New Roman"/>
          <w:b/>
          <w:sz w:val="28"/>
          <w:szCs w:val="28"/>
        </w:rPr>
        <w:t xml:space="preserve"> адрес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а: </w:t>
      </w:r>
      <w:r>
        <w:rPr>
          <w:rFonts w:ascii="Times New Roman" w:hAnsi="Times New Roman"/>
          <w:sz w:val="28"/>
          <w:szCs w:val="28"/>
          <w:lang w:val="uk-UA"/>
        </w:rPr>
        <w:t xml:space="preserve">м. Харків, вул. Світла, б.29 кв.42 </w:t>
      </w:r>
    </w:p>
    <w:p w:rsidR="009661A8" w:rsidRDefault="009661A8" w:rsidP="009661A8">
      <w:pPr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тел. 755-41-04, 0675763693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9661A8" w:rsidRDefault="009661A8" w:rsidP="009661A8">
      <w:pPr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e</w:t>
      </w:r>
      <w:r>
        <w:rPr>
          <w:rFonts w:ascii="Times New Roman" w:hAnsi="Times New Roman"/>
          <w:b/>
          <w:sz w:val="28"/>
          <w:szCs w:val="28"/>
          <w:lang w:val="uk-UA"/>
        </w:rPr>
        <w:t>-</w:t>
      </w:r>
      <w:r>
        <w:rPr>
          <w:rFonts w:ascii="Times New Roman" w:hAnsi="Times New Roman"/>
          <w:b/>
          <w:sz w:val="28"/>
          <w:szCs w:val="28"/>
          <w:lang w:val="en-US"/>
        </w:rPr>
        <w:t>mail</w:t>
      </w:r>
      <w:proofErr w:type="gramEnd"/>
      <w:r>
        <w:rPr>
          <w:rFonts w:ascii="Times New Roman" w:hAnsi="Times New Roman"/>
          <w:b/>
          <w:sz w:val="28"/>
          <w:szCs w:val="28"/>
          <w:lang w:val="uk-UA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karamell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6995@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ukr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net</w:t>
      </w:r>
    </w:p>
    <w:p w:rsidR="009661A8" w:rsidRDefault="009661A8" w:rsidP="009661A8">
      <w:pPr>
        <w:pStyle w:val="a3"/>
        <w:spacing w:line="36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068EE" w:rsidRPr="009661A8" w:rsidRDefault="00C068EE">
      <w:pPr>
        <w:rPr>
          <w:lang w:val="uk-UA"/>
        </w:rPr>
      </w:pPr>
      <w:bookmarkStart w:id="0" w:name="_GoBack"/>
      <w:bookmarkEnd w:id="0"/>
    </w:p>
    <w:sectPr w:rsidR="00C068EE" w:rsidRPr="00966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TenCyr-Uprigh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B12D8"/>
    <w:multiLevelType w:val="hybridMultilevel"/>
    <w:tmpl w:val="3F202CC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9C3"/>
    <w:rsid w:val="005629C3"/>
    <w:rsid w:val="009661A8"/>
    <w:rsid w:val="00C06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1A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1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1A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1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9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1866</Words>
  <Characters>10642</Characters>
  <Application>Microsoft Office Word</Application>
  <DocSecurity>0</DocSecurity>
  <Lines>88</Lines>
  <Paragraphs>24</Paragraphs>
  <ScaleCrop>false</ScaleCrop>
  <Company/>
  <LinksUpToDate>false</LinksUpToDate>
  <CharactersWithSpaces>12484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Amigo</dc:creator>
  <cp:keywords/>
  <dc:description/>
  <cp:lastModifiedBy>Amigo</cp:lastModifiedBy>
  <cp:revision>2</cp:revision>
  <dcterms:created xsi:type="dcterms:W3CDTF">2015-03-31T10:40:00Z</dcterms:created>
  <dcterms:modified xsi:type="dcterms:W3CDTF">2015-03-31T10:40:00Z</dcterms:modified>
</cp:coreProperties>
</file>