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48" w:rsidRPr="002D0792" w:rsidRDefault="00574F57" w:rsidP="002D079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92">
        <w:rPr>
          <w:rFonts w:ascii="Times New Roman" w:hAnsi="Times New Roman" w:cs="Times New Roman"/>
          <w:b/>
          <w:sz w:val="28"/>
          <w:szCs w:val="28"/>
        </w:rPr>
        <w:t>Системная воспалительная реакция</w:t>
      </w:r>
      <w:r w:rsidR="00A760F0" w:rsidRPr="002D0792">
        <w:rPr>
          <w:rFonts w:ascii="Times New Roman" w:hAnsi="Times New Roman" w:cs="Times New Roman"/>
          <w:b/>
          <w:sz w:val="28"/>
          <w:szCs w:val="28"/>
        </w:rPr>
        <w:t xml:space="preserve"> как фактор прогрессирования ишемической болезни сердца у пациентов с хронической</w:t>
      </w:r>
      <w:r w:rsidR="00EF3467" w:rsidRPr="002D0792">
        <w:rPr>
          <w:rFonts w:ascii="Times New Roman" w:hAnsi="Times New Roman" w:cs="Times New Roman"/>
          <w:b/>
          <w:sz w:val="28"/>
          <w:szCs w:val="28"/>
        </w:rPr>
        <w:t xml:space="preserve"> болезнью почек</w:t>
      </w:r>
      <w:r w:rsidRPr="002D0792">
        <w:rPr>
          <w:rFonts w:ascii="Times New Roman" w:hAnsi="Times New Roman" w:cs="Times New Roman"/>
          <w:b/>
          <w:sz w:val="28"/>
          <w:szCs w:val="28"/>
        </w:rPr>
        <w:t xml:space="preserve"> на перитонеальном диализе.</w:t>
      </w:r>
      <w:r w:rsidRPr="002D0792">
        <w:rPr>
          <w:rFonts w:ascii="Times New Roman" w:hAnsi="Times New Roman" w:cs="Times New Roman"/>
          <w:b/>
          <w:sz w:val="28"/>
          <w:szCs w:val="28"/>
        </w:rPr>
        <w:tab/>
      </w:r>
      <w:r w:rsidR="00F60348" w:rsidRPr="002D0792">
        <w:rPr>
          <w:rFonts w:ascii="Times New Roman" w:hAnsi="Times New Roman" w:cs="Times New Roman"/>
          <w:b/>
          <w:sz w:val="28"/>
          <w:szCs w:val="28"/>
        </w:rPr>
        <w:tab/>
      </w:r>
    </w:p>
    <w:p w:rsidR="00574F57" w:rsidRPr="002D0792" w:rsidRDefault="00F60348" w:rsidP="002D079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792">
        <w:rPr>
          <w:rFonts w:ascii="Times New Roman" w:hAnsi="Times New Roman" w:cs="Times New Roman"/>
          <w:b/>
          <w:sz w:val="28"/>
          <w:szCs w:val="28"/>
        </w:rPr>
        <w:t>В.Н.Лесовой</w:t>
      </w:r>
      <w:proofErr w:type="spellEnd"/>
      <w:r w:rsidRPr="002D07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0792">
        <w:rPr>
          <w:rFonts w:ascii="Times New Roman" w:hAnsi="Times New Roman" w:cs="Times New Roman"/>
          <w:b/>
          <w:sz w:val="28"/>
          <w:szCs w:val="28"/>
        </w:rPr>
        <w:t>Н.М.Андоньева</w:t>
      </w:r>
      <w:proofErr w:type="spellEnd"/>
      <w:r w:rsidRPr="002D07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0792">
        <w:rPr>
          <w:rFonts w:ascii="Times New Roman" w:hAnsi="Times New Roman" w:cs="Times New Roman"/>
          <w:b/>
          <w:sz w:val="28"/>
          <w:szCs w:val="28"/>
        </w:rPr>
        <w:t>Е.А.Гуц</w:t>
      </w:r>
      <w:proofErr w:type="spellEnd"/>
      <w:r w:rsidRPr="002D0792">
        <w:rPr>
          <w:rFonts w:ascii="Times New Roman" w:hAnsi="Times New Roman" w:cs="Times New Roman"/>
          <w:b/>
          <w:sz w:val="28"/>
          <w:szCs w:val="28"/>
        </w:rPr>
        <w:t>.</w:t>
      </w:r>
      <w:r w:rsidR="00574F57" w:rsidRPr="002D0792">
        <w:rPr>
          <w:rFonts w:ascii="Times New Roman" w:hAnsi="Times New Roman" w:cs="Times New Roman"/>
          <w:b/>
          <w:sz w:val="28"/>
          <w:szCs w:val="28"/>
        </w:rPr>
        <w:tab/>
      </w:r>
    </w:p>
    <w:p w:rsidR="00574F57" w:rsidRPr="002D0792" w:rsidRDefault="00574F57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Харьковский национальный медицинский университет</w:t>
      </w:r>
      <w:r w:rsidR="00F6034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2FC" w:rsidRPr="002D0792" w:rsidRDefault="00574F57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клинический центр урологии и нефрологии </w:t>
      </w:r>
      <w:proofErr w:type="spell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им.В.И.Шаповала</w:t>
      </w:r>
      <w:proofErr w:type="spellEnd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г. Харьков, Украина</w:t>
      </w:r>
    </w:p>
    <w:p w:rsidR="002D0792" w:rsidRPr="002D0792" w:rsidRDefault="002D0792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FC" w:rsidRPr="00941FF5" w:rsidRDefault="00B722FC" w:rsidP="002D0792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41FF5">
        <w:rPr>
          <w:rFonts w:ascii="Times New Roman" w:hAnsi="Times New Roman" w:cs="Times New Roman"/>
          <w:b/>
          <w:sz w:val="28"/>
          <w:szCs w:val="28"/>
          <w:lang w:val="en-US"/>
        </w:rPr>
        <w:t>Systemic inflammatory response syndrome as a factor of progression of ischemic heart disease in patients with chronic kidney disease who receive PD therapy.</w:t>
      </w:r>
      <w:proofErr w:type="gramEnd"/>
      <w:r w:rsidRPr="00941FF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722FC" w:rsidRPr="00941FF5" w:rsidRDefault="00B722FC" w:rsidP="002D079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41FF5">
        <w:rPr>
          <w:rFonts w:ascii="Times New Roman" w:hAnsi="Times New Roman" w:cs="Times New Roman"/>
          <w:b/>
          <w:sz w:val="28"/>
          <w:szCs w:val="28"/>
          <w:lang w:val="en-US"/>
        </w:rPr>
        <w:t>V.N.Lesovoy, N.M.Andonieva, E.A.Guts.</w:t>
      </w:r>
      <w:proofErr w:type="gramEnd"/>
      <w:r w:rsidRPr="00941FF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1FF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722FC" w:rsidRPr="00941FF5" w:rsidRDefault="00B722FC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Kharkiv National Medical University.</w:t>
      </w:r>
      <w:proofErr w:type="gramEnd"/>
    </w:p>
    <w:p w:rsidR="00574F57" w:rsidRDefault="006A03F7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</w:t>
      </w:r>
      <w:r w:rsidR="00D34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poval</w:t>
      </w:r>
      <w:proofErr w:type="spellEnd"/>
      <w:r w:rsid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Kharkov regional clinical </w:t>
      </w:r>
      <w:proofErr w:type="spellStart"/>
      <w:r w:rsid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</w:t>
      </w:r>
      <w:r w:rsidR="00D34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="00D34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Urology and </w:t>
      </w:r>
      <w:proofErr w:type="spellStart"/>
      <w:r w:rsidR="00D34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Nefrology</w:t>
      </w:r>
      <w:proofErr w:type="spellEnd"/>
      <w:r w:rsidR="00D34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722FC"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                           </w:t>
      </w:r>
      <w:proofErr w:type="spellStart"/>
      <w:r w:rsidR="00B722FC"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Kharkiv</w:t>
      </w:r>
      <w:proofErr w:type="spellEnd"/>
      <w:r w:rsidR="00B722FC"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Ukraine</w:t>
      </w:r>
    </w:p>
    <w:p w:rsidR="00FB7780" w:rsidRPr="00941FF5" w:rsidRDefault="00FB7780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574F57" w:rsidRPr="002D0792" w:rsidRDefault="00574F57" w:rsidP="002D0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2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2D0792">
        <w:rPr>
          <w:rFonts w:ascii="Times New Roman" w:hAnsi="Times New Roman" w:cs="Times New Roman"/>
          <w:sz w:val="24"/>
          <w:szCs w:val="24"/>
        </w:rPr>
        <w:t xml:space="preserve"> хроническая болезнь почек, </w:t>
      </w:r>
      <w:proofErr w:type="spellStart"/>
      <w:r w:rsidRPr="002D0792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2D0792">
        <w:rPr>
          <w:rFonts w:ascii="Times New Roman" w:hAnsi="Times New Roman" w:cs="Times New Roman"/>
          <w:sz w:val="24"/>
          <w:szCs w:val="24"/>
        </w:rPr>
        <w:t xml:space="preserve"> диализ, прогрессирование ишемической болезни сердца, системная воспалительная реакция, </w:t>
      </w:r>
      <w:proofErr w:type="spellStart"/>
      <w:r w:rsidRPr="002D0792">
        <w:rPr>
          <w:rFonts w:ascii="Times New Roman" w:hAnsi="Times New Roman" w:cs="Times New Roman"/>
          <w:sz w:val="24"/>
          <w:szCs w:val="24"/>
        </w:rPr>
        <w:t>интерлейкины</w:t>
      </w:r>
      <w:proofErr w:type="spellEnd"/>
      <w:r w:rsidRPr="002D0792">
        <w:rPr>
          <w:rFonts w:ascii="Times New Roman" w:hAnsi="Times New Roman" w:cs="Times New Roman"/>
          <w:sz w:val="24"/>
          <w:szCs w:val="24"/>
        </w:rPr>
        <w:t>, белки острой фазы воспаления.</w:t>
      </w:r>
    </w:p>
    <w:p w:rsidR="00D149E3" w:rsidRPr="002D0792" w:rsidRDefault="00574F57" w:rsidP="0009449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792">
        <w:rPr>
          <w:rFonts w:ascii="Times New Roman" w:hAnsi="Times New Roman" w:cs="Times New Roman"/>
          <w:b/>
          <w:sz w:val="24"/>
          <w:szCs w:val="24"/>
        </w:rPr>
        <w:t>В статье предс</w:t>
      </w:r>
      <w:r w:rsidR="00F60348" w:rsidRPr="002D0792">
        <w:rPr>
          <w:rFonts w:ascii="Times New Roman" w:hAnsi="Times New Roman" w:cs="Times New Roman"/>
          <w:b/>
          <w:sz w:val="24"/>
          <w:szCs w:val="24"/>
        </w:rPr>
        <w:t>тавлены ре</w:t>
      </w:r>
      <w:r w:rsidR="00C65E69" w:rsidRPr="002D0792">
        <w:rPr>
          <w:rFonts w:ascii="Times New Roman" w:hAnsi="Times New Roman" w:cs="Times New Roman"/>
          <w:b/>
          <w:sz w:val="24"/>
          <w:szCs w:val="24"/>
        </w:rPr>
        <w:t>зультаты исследования</w:t>
      </w:r>
      <w:r w:rsidR="00F60348"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792">
        <w:rPr>
          <w:rFonts w:ascii="Times New Roman" w:hAnsi="Times New Roman" w:cs="Times New Roman"/>
          <w:b/>
          <w:sz w:val="24"/>
          <w:szCs w:val="24"/>
        </w:rPr>
        <w:t>иммунологических (</w:t>
      </w:r>
      <w:proofErr w:type="spellStart"/>
      <w:r w:rsidRPr="002D0792">
        <w:rPr>
          <w:rFonts w:ascii="Times New Roman" w:hAnsi="Times New Roman" w:cs="Times New Roman"/>
          <w:b/>
          <w:sz w:val="24"/>
          <w:szCs w:val="24"/>
        </w:rPr>
        <w:t>интерлейкины</w:t>
      </w:r>
      <w:proofErr w:type="spellEnd"/>
      <w:r w:rsidRPr="002D0792">
        <w:rPr>
          <w:rFonts w:ascii="Times New Roman" w:hAnsi="Times New Roman" w:cs="Times New Roman"/>
          <w:b/>
          <w:sz w:val="24"/>
          <w:szCs w:val="24"/>
        </w:rPr>
        <w:t xml:space="preserve"> и белки острой фазы воспаления) и метаболичес</w:t>
      </w:r>
      <w:r w:rsidR="00C65E69" w:rsidRPr="002D0792">
        <w:rPr>
          <w:rFonts w:ascii="Times New Roman" w:hAnsi="Times New Roman" w:cs="Times New Roman"/>
          <w:b/>
          <w:sz w:val="24"/>
          <w:szCs w:val="24"/>
        </w:rPr>
        <w:t>ких параметров у пациентов с хронической</w:t>
      </w:r>
      <w:r w:rsidR="00EF3467" w:rsidRPr="002D0792">
        <w:rPr>
          <w:rFonts w:ascii="Times New Roman" w:hAnsi="Times New Roman" w:cs="Times New Roman"/>
          <w:b/>
          <w:sz w:val="24"/>
          <w:szCs w:val="24"/>
        </w:rPr>
        <w:t xml:space="preserve"> болезнь</w:t>
      </w:r>
      <w:r w:rsidR="00C65E69" w:rsidRPr="002D0792">
        <w:rPr>
          <w:rFonts w:ascii="Times New Roman" w:hAnsi="Times New Roman" w:cs="Times New Roman"/>
          <w:b/>
          <w:sz w:val="24"/>
          <w:szCs w:val="24"/>
        </w:rPr>
        <w:t>ю</w:t>
      </w:r>
      <w:r w:rsidR="00EF3467" w:rsidRPr="002D0792">
        <w:rPr>
          <w:rFonts w:ascii="Times New Roman" w:hAnsi="Times New Roman" w:cs="Times New Roman"/>
          <w:b/>
          <w:sz w:val="24"/>
          <w:szCs w:val="24"/>
        </w:rPr>
        <w:t xml:space="preserve"> почек</w:t>
      </w:r>
      <w:r w:rsidR="00C65E69" w:rsidRPr="002D0792">
        <w:rPr>
          <w:rFonts w:ascii="Times New Roman" w:hAnsi="Times New Roman" w:cs="Times New Roman"/>
          <w:b/>
          <w:sz w:val="24"/>
          <w:szCs w:val="24"/>
        </w:rPr>
        <w:t xml:space="preserve"> (ХБП)</w:t>
      </w:r>
      <w:r w:rsidR="00A45BDD" w:rsidRPr="002D0792">
        <w:rPr>
          <w:rFonts w:ascii="Times New Roman" w:hAnsi="Times New Roman" w:cs="Times New Roman"/>
          <w:b/>
          <w:sz w:val="24"/>
          <w:szCs w:val="24"/>
        </w:rPr>
        <w:t xml:space="preserve"> на перитонеальном диализе (ПД), (срок пребывания на диализе от 12 до 108 месяцев)</w:t>
      </w:r>
      <w:r w:rsidR="00610A5D" w:rsidRPr="002D0792">
        <w:rPr>
          <w:rFonts w:ascii="Times New Roman" w:hAnsi="Times New Roman" w:cs="Times New Roman"/>
          <w:b/>
          <w:sz w:val="24"/>
          <w:szCs w:val="24"/>
        </w:rPr>
        <w:t>,</w:t>
      </w:r>
      <w:r w:rsidRPr="002D0792">
        <w:rPr>
          <w:rFonts w:ascii="Times New Roman" w:hAnsi="Times New Roman" w:cs="Times New Roman"/>
          <w:b/>
          <w:sz w:val="24"/>
          <w:szCs w:val="24"/>
        </w:rPr>
        <w:t xml:space="preserve"> в разли</w:t>
      </w:r>
      <w:r w:rsidR="00AB38BB">
        <w:rPr>
          <w:rFonts w:ascii="Times New Roman" w:hAnsi="Times New Roman" w:cs="Times New Roman"/>
          <w:b/>
          <w:sz w:val="24"/>
          <w:szCs w:val="24"/>
        </w:rPr>
        <w:t>чных клинических группах</w:t>
      </w:r>
      <w:r w:rsidRPr="002D07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38BB">
        <w:rPr>
          <w:rFonts w:ascii="Times New Roman" w:hAnsi="Times New Roman" w:cs="Times New Roman"/>
          <w:b/>
          <w:sz w:val="24"/>
          <w:szCs w:val="24"/>
        </w:rPr>
        <w:t xml:space="preserve">пациентов, </w:t>
      </w:r>
      <w:r w:rsidRPr="002D0792">
        <w:rPr>
          <w:rFonts w:ascii="Times New Roman" w:hAnsi="Times New Roman" w:cs="Times New Roman"/>
          <w:b/>
          <w:sz w:val="24"/>
          <w:szCs w:val="24"/>
        </w:rPr>
        <w:t>страдающих стабильной стенокардией; безболевой ишемией миокарда; ишемической дилятационной кардиомиопатией; перенесших острый инфаркт миокарда</w:t>
      </w:r>
      <w:r w:rsidR="00AB38BB">
        <w:rPr>
          <w:rFonts w:ascii="Times New Roman" w:hAnsi="Times New Roman" w:cs="Times New Roman"/>
          <w:b/>
          <w:sz w:val="24"/>
          <w:szCs w:val="24"/>
        </w:rPr>
        <w:t xml:space="preserve"> в период исследования и не имеющих признаков</w:t>
      </w:r>
      <w:r w:rsidR="00C65E69" w:rsidRPr="002D0792">
        <w:rPr>
          <w:rFonts w:ascii="Times New Roman" w:hAnsi="Times New Roman" w:cs="Times New Roman"/>
          <w:b/>
          <w:sz w:val="24"/>
          <w:szCs w:val="24"/>
        </w:rPr>
        <w:t xml:space="preserve"> ишемической болезни сердца (ИБС)</w:t>
      </w:r>
      <w:r w:rsidR="00610A5D" w:rsidRPr="002D0792">
        <w:rPr>
          <w:rFonts w:ascii="Times New Roman" w:hAnsi="Times New Roman" w:cs="Times New Roman"/>
          <w:b/>
          <w:sz w:val="24"/>
          <w:szCs w:val="24"/>
        </w:rPr>
        <w:t>.</w:t>
      </w:r>
    </w:p>
    <w:p w:rsidR="00610A5D" w:rsidRPr="002D0792" w:rsidRDefault="00A45BDD" w:rsidP="002D079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792">
        <w:rPr>
          <w:rFonts w:ascii="Times New Roman" w:hAnsi="Times New Roman" w:cs="Times New Roman"/>
          <w:b/>
          <w:sz w:val="24"/>
          <w:szCs w:val="24"/>
        </w:rPr>
        <w:t xml:space="preserve">      У</w:t>
      </w:r>
      <w:r w:rsidR="00610A5D" w:rsidRPr="002D0792">
        <w:rPr>
          <w:rFonts w:ascii="Times New Roman" w:hAnsi="Times New Roman" w:cs="Times New Roman"/>
          <w:b/>
          <w:sz w:val="24"/>
          <w:szCs w:val="24"/>
        </w:rPr>
        <w:t xml:space="preserve"> пациентов, перенесших острый инфаркт миокарда в период исследования,</w:t>
      </w:r>
      <w:r w:rsidR="00B324FF" w:rsidRPr="002D0792">
        <w:rPr>
          <w:rFonts w:ascii="Times New Roman" w:hAnsi="Times New Roman" w:cs="Times New Roman"/>
          <w:b/>
          <w:sz w:val="24"/>
          <w:szCs w:val="24"/>
        </w:rPr>
        <w:t xml:space="preserve"> отмечалось повышение фактора некроза опухоли альфа ( ФН</w:t>
      </w:r>
      <w:proofErr w:type="gramStart"/>
      <w:r w:rsidR="00B324FF" w:rsidRPr="002D079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B324FF" w:rsidRPr="002D0792">
        <w:rPr>
          <w:rFonts w:ascii="Times New Roman" w:hAnsi="Times New Roman" w:cs="Times New Roman"/>
          <w:b/>
          <w:sz w:val="24"/>
          <w:szCs w:val="24"/>
        </w:rPr>
        <w:t>α)</w:t>
      </w:r>
      <w:r w:rsidR="001D3B9E" w:rsidRPr="002D07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D3B9E" w:rsidRPr="002D0792">
        <w:rPr>
          <w:rFonts w:ascii="Times New Roman" w:hAnsi="Times New Roman" w:cs="Times New Roman"/>
          <w:b/>
          <w:sz w:val="24"/>
          <w:szCs w:val="24"/>
        </w:rPr>
        <w:t>интерлейкина</w:t>
      </w:r>
      <w:proofErr w:type="spellEnd"/>
      <w:r w:rsidR="001D3B9E" w:rsidRPr="002D0792">
        <w:rPr>
          <w:rFonts w:ascii="Times New Roman" w:hAnsi="Times New Roman" w:cs="Times New Roman"/>
          <w:b/>
          <w:sz w:val="24"/>
          <w:szCs w:val="24"/>
        </w:rPr>
        <w:t xml:space="preserve"> 1β (ИЛ-1β) и</w:t>
      </w:r>
      <w:r w:rsidR="00B324FF" w:rsidRPr="002D0792">
        <w:rPr>
          <w:rFonts w:ascii="Times New Roman" w:hAnsi="Times New Roman" w:cs="Times New Roman"/>
          <w:b/>
          <w:sz w:val="24"/>
          <w:szCs w:val="24"/>
        </w:rPr>
        <w:t xml:space="preserve"> С-реактивного белка (СРБ)</w:t>
      </w:r>
      <w:r w:rsidR="001D3B9E" w:rsidRPr="002D0792">
        <w:rPr>
          <w:rFonts w:ascii="Times New Roman" w:hAnsi="Times New Roman" w:cs="Times New Roman"/>
          <w:b/>
          <w:sz w:val="24"/>
          <w:szCs w:val="24"/>
        </w:rPr>
        <w:t xml:space="preserve"> за несколько месяцев до произошедшего острого коронарного события.</w:t>
      </w:r>
    </w:p>
    <w:p w:rsidR="00574F57" w:rsidRPr="00F10FCE" w:rsidRDefault="00F57194" w:rsidP="002D079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79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94BB9" w:rsidRPr="002D0792">
        <w:rPr>
          <w:rFonts w:ascii="Times New Roman" w:hAnsi="Times New Roman" w:cs="Times New Roman"/>
          <w:b/>
          <w:sz w:val="24"/>
          <w:szCs w:val="24"/>
        </w:rPr>
        <w:t xml:space="preserve">Комбинация </w:t>
      </w:r>
      <w:r w:rsidR="0040623E" w:rsidRPr="002D0792">
        <w:rPr>
          <w:rFonts w:ascii="Times New Roman" w:hAnsi="Times New Roman" w:cs="Times New Roman"/>
          <w:b/>
          <w:sz w:val="24"/>
          <w:szCs w:val="24"/>
        </w:rPr>
        <w:t>в</w:t>
      </w:r>
      <w:r w:rsidR="00B94BB9" w:rsidRPr="002D0792">
        <w:rPr>
          <w:rFonts w:ascii="Times New Roman" w:hAnsi="Times New Roman" w:cs="Times New Roman"/>
          <w:b/>
          <w:sz w:val="24"/>
          <w:szCs w:val="24"/>
        </w:rPr>
        <w:t>ысоких</w:t>
      </w:r>
      <w:r w:rsidR="00AB38BB">
        <w:rPr>
          <w:rFonts w:ascii="Times New Roman" w:hAnsi="Times New Roman" w:cs="Times New Roman"/>
          <w:b/>
          <w:sz w:val="24"/>
          <w:szCs w:val="24"/>
        </w:rPr>
        <w:t xml:space="preserve"> показателей</w:t>
      </w:r>
      <w:r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792">
        <w:rPr>
          <w:rFonts w:ascii="Times New Roman" w:hAnsi="Times New Roman" w:cs="Times New Roman"/>
          <w:b/>
          <w:sz w:val="24"/>
          <w:szCs w:val="24"/>
        </w:rPr>
        <w:t>интерлейкина</w:t>
      </w:r>
      <w:proofErr w:type="spellEnd"/>
      <w:r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08A" w:rsidRPr="002D0792">
        <w:rPr>
          <w:rFonts w:ascii="Times New Roman" w:hAnsi="Times New Roman" w:cs="Times New Roman"/>
          <w:b/>
          <w:sz w:val="24"/>
          <w:szCs w:val="24"/>
        </w:rPr>
        <w:t>(ИЛ-8);</w:t>
      </w:r>
      <w:r w:rsidR="002D0792"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08A" w:rsidRPr="002D0792">
        <w:rPr>
          <w:rFonts w:ascii="Times New Roman" w:hAnsi="Times New Roman" w:cs="Times New Roman"/>
          <w:b/>
          <w:sz w:val="24"/>
          <w:szCs w:val="24"/>
        </w:rPr>
        <w:t>сывороточного амилоида А</w:t>
      </w:r>
      <w:r w:rsidR="00EC1E6F">
        <w:rPr>
          <w:rFonts w:ascii="Times New Roman" w:hAnsi="Times New Roman" w:cs="Times New Roman"/>
          <w:b/>
          <w:sz w:val="24"/>
          <w:szCs w:val="24"/>
        </w:rPr>
        <w:t>-1</w:t>
      </w:r>
      <w:r w:rsidR="0000608A" w:rsidRPr="002D0792">
        <w:rPr>
          <w:rFonts w:ascii="Times New Roman" w:hAnsi="Times New Roman" w:cs="Times New Roman"/>
          <w:b/>
          <w:sz w:val="24"/>
          <w:szCs w:val="24"/>
        </w:rPr>
        <w:t xml:space="preserve"> (САА</w:t>
      </w:r>
      <w:r w:rsidR="00EC1E6F">
        <w:rPr>
          <w:rFonts w:ascii="Times New Roman" w:hAnsi="Times New Roman" w:cs="Times New Roman"/>
          <w:b/>
          <w:sz w:val="24"/>
          <w:szCs w:val="24"/>
        </w:rPr>
        <w:t>-1</w:t>
      </w:r>
      <w:r w:rsidR="0000608A" w:rsidRPr="002D0792">
        <w:rPr>
          <w:rFonts w:ascii="Times New Roman" w:hAnsi="Times New Roman" w:cs="Times New Roman"/>
          <w:b/>
          <w:sz w:val="24"/>
          <w:szCs w:val="24"/>
        </w:rPr>
        <w:t>)</w:t>
      </w:r>
      <w:r w:rsidR="00574F57" w:rsidRPr="002D0792">
        <w:rPr>
          <w:rFonts w:ascii="Times New Roman" w:hAnsi="Times New Roman" w:cs="Times New Roman"/>
          <w:b/>
          <w:sz w:val="24"/>
          <w:szCs w:val="24"/>
        </w:rPr>
        <w:t>,</w:t>
      </w:r>
      <w:r w:rsidR="0000608A" w:rsidRPr="002D0792">
        <w:rPr>
          <w:rFonts w:ascii="Times New Roman" w:hAnsi="Times New Roman" w:cs="Times New Roman"/>
          <w:b/>
          <w:sz w:val="24"/>
          <w:szCs w:val="24"/>
        </w:rPr>
        <w:t xml:space="preserve"> триглицеридов (ТГ)</w:t>
      </w:r>
      <w:r w:rsidR="00F95E62" w:rsidRPr="002D07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3CE6" w:rsidRPr="002D0792">
        <w:rPr>
          <w:rFonts w:ascii="Times New Roman" w:hAnsi="Times New Roman" w:cs="Times New Roman"/>
          <w:b/>
          <w:sz w:val="24"/>
          <w:szCs w:val="24"/>
        </w:rPr>
        <w:t>фосфорно-кальциевого произведения (</w:t>
      </w:r>
      <w:proofErr w:type="spellStart"/>
      <w:proofErr w:type="gramStart"/>
      <w:r w:rsidR="00F95E62" w:rsidRPr="002D07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95E62" w:rsidRPr="002D0792">
        <w:rPr>
          <w:rFonts w:ascii="Times New Roman" w:hAnsi="Times New Roman" w:cs="Times New Roman"/>
          <w:b/>
          <w:sz w:val="24"/>
          <w:szCs w:val="24"/>
        </w:rPr>
        <w:t>×Са</w:t>
      </w:r>
      <w:proofErr w:type="spellEnd"/>
      <w:r w:rsidR="00A53CE6" w:rsidRPr="002D0792">
        <w:rPr>
          <w:rFonts w:ascii="Times New Roman" w:hAnsi="Times New Roman" w:cs="Times New Roman"/>
          <w:b/>
          <w:sz w:val="24"/>
          <w:szCs w:val="24"/>
        </w:rPr>
        <w:t>)</w:t>
      </w:r>
      <w:r w:rsidR="00F95E62" w:rsidRPr="002D0792">
        <w:rPr>
          <w:rFonts w:ascii="Times New Roman" w:hAnsi="Times New Roman" w:cs="Times New Roman"/>
          <w:b/>
          <w:sz w:val="24"/>
          <w:szCs w:val="24"/>
        </w:rPr>
        <w:t>,</w:t>
      </w:r>
      <w:r w:rsidR="00A53CE6"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CE6" w:rsidRPr="002D0792">
        <w:rPr>
          <w:rFonts w:ascii="Times New Roman" w:hAnsi="Times New Roman" w:cs="Times New Roman"/>
          <w:b/>
          <w:sz w:val="24"/>
          <w:szCs w:val="24"/>
        </w:rPr>
        <w:t>интактного</w:t>
      </w:r>
      <w:proofErr w:type="spellEnd"/>
      <w:r w:rsidR="00A53CE6" w:rsidRPr="002D0792">
        <w:rPr>
          <w:rFonts w:ascii="Times New Roman" w:hAnsi="Times New Roman" w:cs="Times New Roman"/>
          <w:b/>
          <w:sz w:val="24"/>
          <w:szCs w:val="24"/>
        </w:rPr>
        <w:t xml:space="preserve"> паратиреоидного гормона (</w:t>
      </w:r>
      <w:r w:rsidR="00F95E62" w:rsidRPr="002D0792">
        <w:rPr>
          <w:rFonts w:ascii="Times New Roman" w:hAnsi="Times New Roman" w:cs="Times New Roman"/>
          <w:b/>
          <w:sz w:val="24"/>
          <w:szCs w:val="24"/>
        </w:rPr>
        <w:t>и-ПТГ</w:t>
      </w:r>
      <w:r w:rsidR="00063C48" w:rsidRPr="002D0792">
        <w:rPr>
          <w:rFonts w:ascii="Times New Roman" w:hAnsi="Times New Roman" w:cs="Times New Roman"/>
          <w:b/>
          <w:sz w:val="24"/>
          <w:szCs w:val="24"/>
        </w:rPr>
        <w:t>)</w:t>
      </w:r>
      <w:r w:rsidR="00D260C1" w:rsidRPr="002D0792">
        <w:rPr>
          <w:rFonts w:ascii="Times New Roman" w:hAnsi="Times New Roman" w:cs="Times New Roman"/>
          <w:b/>
          <w:sz w:val="24"/>
          <w:szCs w:val="24"/>
        </w:rPr>
        <w:t xml:space="preserve"> была</w:t>
      </w:r>
      <w:r w:rsidR="00063C48"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0C1" w:rsidRPr="002D0792">
        <w:rPr>
          <w:rFonts w:ascii="Times New Roman" w:hAnsi="Times New Roman" w:cs="Times New Roman"/>
          <w:b/>
          <w:sz w:val="24"/>
          <w:szCs w:val="24"/>
        </w:rPr>
        <w:t xml:space="preserve">наиболее характерна </w:t>
      </w:r>
      <w:r w:rsidR="00D260C1" w:rsidRPr="002D0792">
        <w:rPr>
          <w:rFonts w:ascii="Times New Roman" w:hAnsi="Times New Roman" w:cs="Times New Roman"/>
          <w:b/>
          <w:sz w:val="24"/>
          <w:szCs w:val="24"/>
        </w:rPr>
        <w:lastRenderedPageBreak/>
        <w:t>для</w:t>
      </w:r>
      <w:r w:rsidR="00063C48" w:rsidRPr="002D0792">
        <w:rPr>
          <w:rFonts w:ascii="Times New Roman" w:hAnsi="Times New Roman" w:cs="Times New Roman"/>
          <w:b/>
          <w:sz w:val="24"/>
          <w:szCs w:val="24"/>
        </w:rPr>
        <w:t xml:space="preserve"> пациенто</w:t>
      </w:r>
      <w:r w:rsidR="00D260C1" w:rsidRPr="002D0792">
        <w:rPr>
          <w:rFonts w:ascii="Times New Roman" w:hAnsi="Times New Roman" w:cs="Times New Roman"/>
          <w:b/>
          <w:sz w:val="24"/>
          <w:szCs w:val="24"/>
        </w:rPr>
        <w:t>в с безболевой ишемией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 xml:space="preserve"> миокарда;</w:t>
      </w:r>
      <w:r w:rsidR="00D260C1" w:rsidRPr="002D0792">
        <w:rPr>
          <w:rFonts w:ascii="Times New Roman" w:hAnsi="Times New Roman" w:cs="Times New Roman"/>
          <w:b/>
          <w:sz w:val="24"/>
          <w:szCs w:val="24"/>
        </w:rPr>
        <w:t xml:space="preserve"> в меньшей степени</w:t>
      </w:r>
      <w:r w:rsidR="002D0792"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>-</w:t>
      </w:r>
      <w:r w:rsidR="00D260C1"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 xml:space="preserve">для больных с </w:t>
      </w:r>
      <w:r w:rsidR="00574F57" w:rsidRPr="002D0792">
        <w:rPr>
          <w:rFonts w:ascii="Times New Roman" w:hAnsi="Times New Roman" w:cs="Times New Roman"/>
          <w:b/>
          <w:sz w:val="24"/>
          <w:szCs w:val="24"/>
        </w:rPr>
        <w:t>ишемическо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 xml:space="preserve">й дилятационной кардиомиопатией. </w:t>
      </w:r>
      <w:r w:rsidR="00063C48" w:rsidRPr="002D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AC" w:rsidRPr="002D0792">
        <w:rPr>
          <w:rFonts w:ascii="Times New Roman" w:hAnsi="Times New Roman" w:cs="Times New Roman"/>
          <w:b/>
          <w:sz w:val="24"/>
          <w:szCs w:val="24"/>
        </w:rPr>
        <w:t>Значительно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>е повышение показателей  липопротеинов низкой плотности (ЛПНП)</w:t>
      </w:r>
      <w:r w:rsidR="002D5AAC" w:rsidRPr="002D0792">
        <w:rPr>
          <w:rFonts w:ascii="Times New Roman" w:hAnsi="Times New Roman" w:cs="Times New Roman"/>
          <w:b/>
          <w:sz w:val="24"/>
          <w:szCs w:val="24"/>
        </w:rPr>
        <w:t xml:space="preserve"> и ТГ наблю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>дало</w:t>
      </w:r>
      <w:r w:rsidR="002D5AAC" w:rsidRPr="002D0792">
        <w:rPr>
          <w:rFonts w:ascii="Times New Roman" w:hAnsi="Times New Roman" w:cs="Times New Roman"/>
          <w:b/>
          <w:sz w:val="24"/>
          <w:szCs w:val="24"/>
        </w:rPr>
        <w:t>сь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 xml:space="preserve"> в группе пациентов</w:t>
      </w:r>
      <w:r w:rsidR="00574F57" w:rsidRPr="002D0792">
        <w:rPr>
          <w:rFonts w:ascii="Times New Roman" w:hAnsi="Times New Roman" w:cs="Times New Roman"/>
          <w:b/>
          <w:sz w:val="24"/>
          <w:szCs w:val="24"/>
        </w:rPr>
        <w:t>, страда</w:t>
      </w:r>
      <w:r w:rsidR="00434B69" w:rsidRPr="002D0792">
        <w:rPr>
          <w:rFonts w:ascii="Times New Roman" w:hAnsi="Times New Roman" w:cs="Times New Roman"/>
          <w:b/>
          <w:sz w:val="24"/>
          <w:szCs w:val="24"/>
        </w:rPr>
        <w:t>ющих стабильной стено</w:t>
      </w:r>
      <w:r w:rsidR="00AB38BB">
        <w:rPr>
          <w:rFonts w:ascii="Times New Roman" w:hAnsi="Times New Roman" w:cs="Times New Roman"/>
          <w:b/>
          <w:sz w:val="24"/>
          <w:szCs w:val="24"/>
        </w:rPr>
        <w:t>кардией. У больных, не имеющих признаков ИБС, наблюдалось снижение</w:t>
      </w:r>
      <w:r w:rsidRPr="002D0792">
        <w:rPr>
          <w:rFonts w:ascii="Times New Roman" w:hAnsi="Times New Roman" w:cs="Times New Roman"/>
          <w:b/>
          <w:sz w:val="24"/>
          <w:szCs w:val="24"/>
        </w:rPr>
        <w:t xml:space="preserve"> липопротеинов высокой плотности (</w:t>
      </w:r>
      <w:r w:rsidR="002D5AAC" w:rsidRPr="002D0792">
        <w:rPr>
          <w:rFonts w:ascii="Times New Roman" w:hAnsi="Times New Roman" w:cs="Times New Roman"/>
          <w:b/>
          <w:sz w:val="24"/>
          <w:szCs w:val="24"/>
        </w:rPr>
        <w:t>ЛПВП</w:t>
      </w:r>
      <w:r w:rsidRPr="002D0792">
        <w:rPr>
          <w:rFonts w:ascii="Times New Roman" w:hAnsi="Times New Roman" w:cs="Times New Roman"/>
          <w:b/>
          <w:sz w:val="24"/>
          <w:szCs w:val="24"/>
        </w:rPr>
        <w:t>)</w:t>
      </w:r>
      <w:r w:rsidR="00AB38BB">
        <w:rPr>
          <w:rFonts w:ascii="Times New Roman" w:hAnsi="Times New Roman" w:cs="Times New Roman"/>
          <w:b/>
          <w:sz w:val="24"/>
          <w:szCs w:val="24"/>
        </w:rPr>
        <w:t>, характерное</w:t>
      </w:r>
      <w:r w:rsidR="002D5AAC" w:rsidRPr="002D0792">
        <w:rPr>
          <w:rFonts w:ascii="Times New Roman" w:hAnsi="Times New Roman" w:cs="Times New Roman"/>
          <w:b/>
          <w:sz w:val="24"/>
          <w:szCs w:val="24"/>
        </w:rPr>
        <w:t xml:space="preserve"> практически для всех пациентов на ПД</w:t>
      </w:r>
      <w:r w:rsidR="00574F57" w:rsidRPr="002D0792">
        <w:rPr>
          <w:rFonts w:ascii="Times New Roman" w:hAnsi="Times New Roman" w:cs="Times New Roman"/>
          <w:b/>
          <w:sz w:val="24"/>
          <w:szCs w:val="24"/>
        </w:rPr>
        <w:t>.</w:t>
      </w:r>
      <w:r w:rsidR="00897B2D" w:rsidRPr="002D0792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="001D3B9E" w:rsidRPr="002D0792">
        <w:rPr>
          <w:rFonts w:ascii="Times New Roman" w:hAnsi="Times New Roman" w:cs="Times New Roman"/>
          <w:b/>
          <w:sz w:val="24"/>
          <w:szCs w:val="24"/>
        </w:rPr>
        <w:t>,</w:t>
      </w:r>
      <w:r w:rsidR="00897B2D" w:rsidRPr="002D0792">
        <w:rPr>
          <w:rFonts w:ascii="Times New Roman" w:hAnsi="Times New Roman" w:cs="Times New Roman"/>
          <w:b/>
          <w:sz w:val="24"/>
          <w:szCs w:val="24"/>
        </w:rPr>
        <w:t xml:space="preserve"> системная воспалительная реакция может рассматриваться как фактор прогрессирования ИБС у пациентов с ХБП на ПД только в комбинации с дислипидемией и нарушениями костно-минерального обмена.</w:t>
      </w:r>
    </w:p>
    <w:p w:rsidR="00CA5E3B" w:rsidRDefault="00CA5E3B" w:rsidP="005645C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FF5" w:rsidRDefault="00B722FC" w:rsidP="005645C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article presents the results of the research into the immunological (interleukins and acute-inflammatory-phase proteins) and metabolic parameters in patients with 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chronic kidney disease </w:t>
      </w:r>
      <w:r w:rsidR="00F10FC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CKD</w:t>
      </w:r>
      <w:r w:rsidR="00F10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who receive 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peritoneal dialysis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>PD therapy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from 12 to 108 months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different clinical patient groups: the patients who suffer stable angina pectoris; painless myocardial ischemia; ischemic dilated cardiomyopathy; and the patients who suffered acute myocardial infarction during the  research and without 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ischemic heart disease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>IHD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  <w:r w:rsidR="00941FF5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22FC" w:rsidRPr="00941FF5" w:rsidRDefault="00B722FC" w:rsidP="005645C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high parameters of </w:t>
      </w:r>
      <w:r w:rsidR="00F10FCE">
        <w:rPr>
          <w:rFonts w:ascii="Times New Roman" w:hAnsi="Times New Roman" w:cs="Times New Roman"/>
          <w:b/>
          <w:sz w:val="24"/>
          <w:szCs w:val="24"/>
          <w:lang w:val="en-US"/>
        </w:rPr>
        <w:t>tumor necrosis factor-alpha</w:t>
      </w:r>
      <w:r w:rsidR="00F10FCE" w:rsidRPr="00F10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0FC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>TNF-</w:t>
      </w:r>
      <w:r w:rsidR="00F10FCE" w:rsidRPr="002D0792">
        <w:rPr>
          <w:rFonts w:ascii="Times New Roman" w:hAnsi="Times New Roman" w:cs="Times New Roman"/>
          <w:b/>
          <w:sz w:val="24"/>
          <w:szCs w:val="24"/>
        </w:rPr>
        <w:t>α</w:t>
      </w:r>
      <w:r w:rsidR="00F10FC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5A1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interleukin </w:t>
      </w:r>
      <w:r w:rsidR="005A1FE8" w:rsidRPr="005A1FE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A1FE8">
        <w:rPr>
          <w:rFonts w:ascii="Times New Roman" w:hAnsi="Times New Roman" w:cs="Times New Roman"/>
          <w:b/>
          <w:sz w:val="24"/>
          <w:szCs w:val="24"/>
        </w:rPr>
        <w:t>β</w:t>
      </w:r>
      <w:r w:rsidR="005A1FE8" w:rsidRPr="005A1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5A1FE8"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r w:rsidR="005A1FE8" w:rsidRPr="005A1FE8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5A1FE8" w:rsidRPr="00941FF5">
        <w:rPr>
          <w:rFonts w:ascii="Times New Roman" w:hAnsi="Times New Roman" w:cs="Times New Roman"/>
          <w:b/>
          <w:sz w:val="24"/>
          <w:szCs w:val="24"/>
        </w:rPr>
        <w:t>β</w:t>
      </w:r>
      <w:r w:rsidR="005A1FE8" w:rsidRPr="005A1FE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A1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F10FCE" w:rsidRPr="002D0792">
        <w:rPr>
          <w:rFonts w:ascii="Times New Roman" w:hAnsi="Times New Roman" w:cs="Times New Roman"/>
          <w:b/>
          <w:sz w:val="24"/>
          <w:szCs w:val="24"/>
        </w:rPr>
        <w:t>С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>-reactive protein</w:t>
      </w:r>
      <w:r w:rsidR="00F10FCE" w:rsidRPr="00F10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10FCE" w:rsidRPr="002D0792">
        <w:rPr>
          <w:rFonts w:ascii="Times New Roman" w:hAnsi="Times New Roman" w:cs="Times New Roman"/>
          <w:b/>
          <w:sz w:val="24"/>
          <w:szCs w:val="24"/>
        </w:rPr>
        <w:t>С</w:t>
      </w:r>
      <w:r w:rsidR="00F10FCE" w:rsidRPr="00941FF5">
        <w:rPr>
          <w:rFonts w:ascii="Times New Roman" w:hAnsi="Times New Roman" w:cs="Times New Roman"/>
          <w:b/>
          <w:sz w:val="24"/>
          <w:szCs w:val="24"/>
          <w:lang w:val="en-US"/>
        </w:rPr>
        <w:t>RP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had been detected </w:t>
      </w:r>
      <w:r w:rsidR="005A1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several months </w:t>
      </w:r>
      <w:r w:rsidR="00FB7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before </w:t>
      </w:r>
      <w:r w:rsidR="00A40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acute coronary syndrome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patients who suffered acute myocardial infarction </w:t>
      </w:r>
      <w:r w:rsidR="005A1FE8">
        <w:rPr>
          <w:rFonts w:ascii="Times New Roman" w:hAnsi="Times New Roman" w:cs="Times New Roman"/>
          <w:b/>
          <w:sz w:val="24"/>
          <w:szCs w:val="24"/>
          <w:lang w:val="en-US"/>
        </w:rPr>
        <w:t>during the research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B722FC" w:rsidRPr="00941FF5" w:rsidRDefault="00B722FC" w:rsidP="005645C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FB7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combination of </w:t>
      </w:r>
      <w:r w:rsidR="007961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 parameters of 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>interleukin 8</w:t>
      </w:r>
      <w:r w:rsidR="00F933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>IL-8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); 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>serum amyloid A</w:t>
      </w:r>
      <w:r w:rsidR="00EC1E6F">
        <w:rPr>
          <w:rFonts w:ascii="Times New Roman" w:hAnsi="Times New Roman" w:cs="Times New Roman"/>
          <w:b/>
          <w:sz w:val="24"/>
          <w:szCs w:val="24"/>
        </w:rPr>
        <w:t>-1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>SAA</w:t>
      </w:r>
      <w:r w:rsidR="00EC1E6F">
        <w:rPr>
          <w:rFonts w:ascii="Times New Roman" w:hAnsi="Times New Roman" w:cs="Times New Roman"/>
          <w:b/>
          <w:sz w:val="24"/>
          <w:szCs w:val="24"/>
        </w:rPr>
        <w:t>-1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); 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triglycerides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); </w:t>
      </w:r>
      <w:r w:rsidRPr="002D0792">
        <w:rPr>
          <w:rFonts w:ascii="Times New Roman" w:hAnsi="Times New Roman" w:cs="Times New Roman"/>
          <w:b/>
          <w:sz w:val="24"/>
          <w:szCs w:val="24"/>
        </w:rPr>
        <w:t>Р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×</w:t>
      </w:r>
      <w:r w:rsidRPr="002D0792">
        <w:rPr>
          <w:rFonts w:ascii="Times New Roman" w:hAnsi="Times New Roman" w:cs="Times New Roman"/>
          <w:b/>
          <w:sz w:val="24"/>
          <w:szCs w:val="24"/>
        </w:rPr>
        <w:t>Са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i-PTH 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>was most typical of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patients with painless myocardial ischemia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and, to a degree, of</w:t>
      </w:r>
      <w:r w:rsidR="00941FF5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44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941FF5" w:rsidRPr="00941FF5">
        <w:rPr>
          <w:rFonts w:ascii="Times New Roman" w:hAnsi="Times New Roman" w:cs="Times New Roman"/>
          <w:b/>
          <w:sz w:val="24"/>
          <w:szCs w:val="24"/>
          <w:lang w:val="en-US"/>
        </w:rPr>
        <w:t>patients with ischemic dilated cardiomyopathy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The </w:t>
      </w:r>
      <w:r w:rsidRPr="00941FF5">
        <w:rPr>
          <w:rFonts w:ascii="Times New Roman" w:hAnsi="Times New Roman" w:cs="Times New Roman"/>
          <w:b/>
          <w:iCs/>
          <w:sz w:val="24"/>
          <w:szCs w:val="24"/>
          <w:lang w:val="en-US"/>
        </w:rPr>
        <w:t>considerably heightened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parameters of 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 density lipoproteins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93356" w:rsidRPr="00941FF5">
        <w:rPr>
          <w:rFonts w:ascii="Times New Roman" w:hAnsi="Times New Roman" w:cs="Times New Roman"/>
          <w:b/>
          <w:sz w:val="24"/>
          <w:szCs w:val="24"/>
          <w:lang w:val="en-US"/>
        </w:rPr>
        <w:t>LDL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>) and TG were observed in the group of p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>atients who suffer stable angina. There was a decrease in</w:t>
      </w:r>
      <w:r w:rsidR="00FA0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level of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155A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="0075155A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density lipoproteins</w:t>
      </w:r>
      <w:r w:rsidR="007515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056B" w:rsidRPr="00941F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5155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75155A" w:rsidRPr="00941FF5">
        <w:rPr>
          <w:rFonts w:ascii="Times New Roman" w:hAnsi="Times New Roman" w:cs="Times New Roman"/>
          <w:b/>
          <w:sz w:val="24"/>
          <w:szCs w:val="24"/>
          <w:lang w:val="en-US"/>
        </w:rPr>
        <w:t>DL</w:t>
      </w:r>
      <w:r w:rsidR="00FA056B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>in t</w:t>
      </w:r>
      <w:r w:rsidR="00941FF5"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patients who didn’t suffer IHD 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is </w:t>
      </w:r>
      <w:r w:rsidR="00941FF5">
        <w:rPr>
          <w:rFonts w:ascii="Times New Roman" w:hAnsi="Times New Roman" w:cs="Times New Roman"/>
          <w:b/>
          <w:sz w:val="24"/>
          <w:szCs w:val="24"/>
          <w:lang w:val="en-US"/>
        </w:rPr>
        <w:t>characteristic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practically all patients receiving PD therapy. In general systemic inflammatory response syndrome can be regarded as a factor of progression of ischemic heart disease in patients with CKD receiving PD therapy just in combination with </w:t>
      </w:r>
      <w:r w:rsidRPr="00941FF5">
        <w:rPr>
          <w:rFonts w:ascii="Times New Roman" w:hAnsi="Times New Roman" w:cs="Times New Roman"/>
          <w:b/>
          <w:iCs/>
          <w:sz w:val="24"/>
          <w:szCs w:val="24"/>
          <w:lang w:val="en-US"/>
        </w:rPr>
        <w:t>lipid metabolism malfunction</w:t>
      </w:r>
      <w:r w:rsidRPr="00941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mineral and bone disorder.</w:t>
      </w:r>
    </w:p>
    <w:p w:rsidR="00CA5E3B" w:rsidRPr="00941FF5" w:rsidRDefault="00CA5E3B" w:rsidP="00CA5E3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FF5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941FF5">
        <w:rPr>
          <w:rFonts w:ascii="Times New Roman" w:hAnsi="Times New Roman" w:cs="Times New Roman"/>
          <w:sz w:val="24"/>
          <w:szCs w:val="24"/>
          <w:lang w:val="en-US"/>
        </w:rPr>
        <w:t xml:space="preserve"> chronic kidney disease, peritoneal dialysis, progression of ischemic heart disease, systemic inflammatory response syndrome, interleukins, acute-inflammatory-phase proteins.</w:t>
      </w:r>
    </w:p>
    <w:p w:rsidR="00574F57" w:rsidRPr="00941FF5" w:rsidRDefault="00574F57" w:rsidP="002D07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285" w:rsidRPr="002D0792" w:rsidRDefault="00C65E69" w:rsidP="002D0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78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D0792">
        <w:rPr>
          <w:rFonts w:ascii="Times New Roman" w:hAnsi="Times New Roman" w:cs="Times New Roman"/>
          <w:sz w:val="24"/>
          <w:szCs w:val="24"/>
        </w:rPr>
        <w:t>С</w:t>
      </w:r>
      <w:r w:rsidR="006C4285" w:rsidRPr="002D0792">
        <w:rPr>
          <w:rFonts w:ascii="Times New Roman" w:hAnsi="Times New Roman" w:cs="Times New Roman"/>
          <w:sz w:val="24"/>
          <w:szCs w:val="24"/>
        </w:rPr>
        <w:t xml:space="preserve">овременные рекомендации по профилактике </w:t>
      </w:r>
      <w:proofErr w:type="gramStart"/>
      <w:r w:rsidR="006C4285" w:rsidRPr="002D079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6C4285" w:rsidRPr="002D0792">
        <w:rPr>
          <w:rFonts w:ascii="Times New Roman" w:hAnsi="Times New Roman" w:cs="Times New Roman"/>
          <w:sz w:val="24"/>
          <w:szCs w:val="24"/>
        </w:rPr>
        <w:t xml:space="preserve"> заболеваний уделяют большое внимание выявлению и коррекции факторов риска, оценке вероятности р</w:t>
      </w:r>
      <w:r w:rsidR="00C84AE0" w:rsidRPr="002D0792">
        <w:rPr>
          <w:rFonts w:ascii="Times New Roman" w:hAnsi="Times New Roman" w:cs="Times New Roman"/>
          <w:sz w:val="24"/>
          <w:szCs w:val="24"/>
        </w:rPr>
        <w:t>азвития осложнений и прогнозу ка</w:t>
      </w:r>
      <w:r w:rsidR="006C4285" w:rsidRPr="002D0792">
        <w:rPr>
          <w:rFonts w:ascii="Times New Roman" w:hAnsi="Times New Roman" w:cs="Times New Roman"/>
          <w:sz w:val="24"/>
          <w:szCs w:val="24"/>
        </w:rPr>
        <w:t>рдиоваскулярной патологии [</w:t>
      </w:r>
      <w:r w:rsidR="00F57194" w:rsidRPr="002D0792">
        <w:rPr>
          <w:rFonts w:ascii="Times New Roman" w:hAnsi="Times New Roman" w:cs="Times New Roman"/>
          <w:sz w:val="24"/>
          <w:szCs w:val="24"/>
        </w:rPr>
        <w:t>4,13,17</w:t>
      </w:r>
      <w:r w:rsidR="006C4285" w:rsidRPr="002D0792">
        <w:rPr>
          <w:rFonts w:ascii="Times New Roman" w:hAnsi="Times New Roman" w:cs="Times New Roman"/>
          <w:sz w:val="24"/>
          <w:szCs w:val="24"/>
        </w:rPr>
        <w:t>]</w:t>
      </w:r>
      <w:r w:rsidR="00574F57" w:rsidRPr="002D0792">
        <w:rPr>
          <w:rFonts w:ascii="Times New Roman" w:hAnsi="Times New Roman" w:cs="Times New Roman"/>
          <w:sz w:val="24"/>
          <w:szCs w:val="24"/>
        </w:rPr>
        <w:t>.</w:t>
      </w:r>
      <w:r w:rsidR="00F95E62" w:rsidRPr="002D0792">
        <w:rPr>
          <w:rFonts w:ascii="Times New Roman" w:hAnsi="Times New Roman" w:cs="Times New Roman"/>
          <w:sz w:val="24"/>
          <w:szCs w:val="24"/>
        </w:rPr>
        <w:t xml:space="preserve"> ИБС</w:t>
      </w:r>
      <w:r w:rsidR="00807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E62" w:rsidRPr="002D0792">
        <w:rPr>
          <w:rFonts w:ascii="Times New Roman" w:hAnsi="Times New Roman" w:cs="Times New Roman"/>
          <w:sz w:val="24"/>
          <w:szCs w:val="24"/>
        </w:rPr>
        <w:t>-</w:t>
      </w:r>
      <w:r w:rsidR="00807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E62" w:rsidRPr="002D0792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F95E62" w:rsidRPr="002D0792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причин кардиальной патологии у пациентов с ХБП на ПД, </w:t>
      </w:r>
      <w:r w:rsidR="00AB38BB">
        <w:rPr>
          <w:rFonts w:ascii="Times New Roman" w:hAnsi="Times New Roman" w:cs="Times New Roman"/>
          <w:sz w:val="24"/>
          <w:szCs w:val="24"/>
        </w:rPr>
        <w:t xml:space="preserve">которая, даже на фоне адекватной почечно-заместительной терапии, </w:t>
      </w:r>
      <w:r w:rsidR="00F95E62" w:rsidRPr="002D0792">
        <w:rPr>
          <w:rFonts w:ascii="Times New Roman" w:hAnsi="Times New Roman" w:cs="Times New Roman"/>
          <w:sz w:val="24"/>
          <w:szCs w:val="24"/>
        </w:rPr>
        <w:t>имеет тенденцию к прогресси</w:t>
      </w:r>
      <w:r w:rsidR="00AB38BB">
        <w:rPr>
          <w:rFonts w:ascii="Times New Roman" w:hAnsi="Times New Roman" w:cs="Times New Roman"/>
          <w:sz w:val="24"/>
          <w:szCs w:val="24"/>
        </w:rPr>
        <w:t>рованию, проявляющемуся</w:t>
      </w:r>
      <w:r w:rsidR="00874EF2" w:rsidRPr="002D0792">
        <w:rPr>
          <w:rFonts w:ascii="Times New Roman" w:hAnsi="Times New Roman" w:cs="Times New Roman"/>
          <w:sz w:val="24"/>
          <w:szCs w:val="24"/>
        </w:rPr>
        <w:t xml:space="preserve"> острым коронарным синдромом или хронической сердечной недостаточностью [</w:t>
      </w:r>
      <w:r w:rsidR="00741188" w:rsidRPr="002D0792">
        <w:rPr>
          <w:rFonts w:ascii="Times New Roman" w:hAnsi="Times New Roman" w:cs="Times New Roman"/>
          <w:sz w:val="24"/>
          <w:szCs w:val="24"/>
        </w:rPr>
        <w:t>8,14</w:t>
      </w:r>
      <w:r w:rsidR="00874EF2" w:rsidRPr="002D0792">
        <w:rPr>
          <w:rFonts w:ascii="Times New Roman" w:hAnsi="Times New Roman" w:cs="Times New Roman"/>
          <w:sz w:val="24"/>
          <w:szCs w:val="24"/>
        </w:rPr>
        <w:t>].</w:t>
      </w:r>
      <w:r w:rsidR="00574F57" w:rsidRPr="002D0792">
        <w:rPr>
          <w:rFonts w:ascii="Times New Roman" w:hAnsi="Times New Roman" w:cs="Times New Roman"/>
          <w:sz w:val="24"/>
          <w:szCs w:val="24"/>
        </w:rPr>
        <w:t xml:space="preserve"> </w:t>
      </w:r>
      <w:r w:rsidR="006C4285" w:rsidRPr="002D0792">
        <w:rPr>
          <w:rFonts w:ascii="Times New Roman" w:hAnsi="Times New Roman" w:cs="Times New Roman"/>
          <w:sz w:val="24"/>
          <w:szCs w:val="24"/>
        </w:rPr>
        <w:t>При изучении особенностей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 метода</w:t>
      </w:r>
      <w:r w:rsidR="006C4285" w:rsidRPr="002D0792">
        <w:rPr>
          <w:rFonts w:ascii="Times New Roman" w:hAnsi="Times New Roman" w:cs="Times New Roman"/>
          <w:sz w:val="24"/>
          <w:szCs w:val="24"/>
        </w:rPr>
        <w:t xml:space="preserve"> ПД были выделены наиболее значимые для данного вида диализа факторы коронарных рисков, к которым относятся </w:t>
      </w:r>
      <w:proofErr w:type="spellStart"/>
      <w:r w:rsidR="006C4285" w:rsidRPr="002D0792">
        <w:rPr>
          <w:rFonts w:ascii="Times New Roman" w:hAnsi="Times New Roman" w:cs="Times New Roman"/>
          <w:sz w:val="24"/>
          <w:szCs w:val="24"/>
        </w:rPr>
        <w:t>дислипидемия</w:t>
      </w:r>
      <w:proofErr w:type="spellEnd"/>
      <w:r w:rsidR="006C4285" w:rsidRPr="002D0792">
        <w:rPr>
          <w:rFonts w:ascii="Times New Roman" w:hAnsi="Times New Roman" w:cs="Times New Roman"/>
          <w:sz w:val="24"/>
          <w:szCs w:val="24"/>
        </w:rPr>
        <w:t xml:space="preserve"> и хрон</w:t>
      </w:r>
      <w:r w:rsidR="00741188" w:rsidRPr="002D0792">
        <w:rPr>
          <w:rFonts w:ascii="Times New Roman" w:hAnsi="Times New Roman" w:cs="Times New Roman"/>
          <w:sz w:val="24"/>
          <w:szCs w:val="24"/>
        </w:rPr>
        <w:t>ическое системное воспаление [5,12</w:t>
      </w:r>
      <w:r w:rsidR="006C4285" w:rsidRPr="002D0792">
        <w:rPr>
          <w:rFonts w:ascii="Times New Roman" w:hAnsi="Times New Roman" w:cs="Times New Roman"/>
          <w:sz w:val="24"/>
          <w:szCs w:val="24"/>
        </w:rPr>
        <w:t xml:space="preserve">], играющие большую роль в процессах </w:t>
      </w:r>
      <w:proofErr w:type="spellStart"/>
      <w:r w:rsidR="006C4285" w:rsidRPr="002D0792">
        <w:rPr>
          <w:rFonts w:ascii="Times New Roman" w:hAnsi="Times New Roman" w:cs="Times New Roman"/>
          <w:sz w:val="24"/>
          <w:szCs w:val="24"/>
        </w:rPr>
        <w:t>атерогенеза</w:t>
      </w:r>
      <w:proofErr w:type="spellEnd"/>
      <w:r w:rsidR="006C4285" w:rsidRPr="002D0792">
        <w:rPr>
          <w:rFonts w:ascii="Times New Roman" w:hAnsi="Times New Roman" w:cs="Times New Roman"/>
          <w:sz w:val="24"/>
          <w:szCs w:val="24"/>
        </w:rPr>
        <w:t>, включая инициацию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 атерогенного процесса</w:t>
      </w:r>
      <w:r w:rsidR="006C4285" w:rsidRPr="002D0792">
        <w:rPr>
          <w:rFonts w:ascii="Times New Roman" w:hAnsi="Times New Roman" w:cs="Times New Roman"/>
          <w:sz w:val="24"/>
          <w:szCs w:val="24"/>
        </w:rPr>
        <w:t>, развитие повреждения с</w:t>
      </w:r>
      <w:r w:rsidR="00323EFB" w:rsidRPr="002D0792">
        <w:rPr>
          <w:rFonts w:ascii="Times New Roman" w:hAnsi="Times New Roman" w:cs="Times New Roman"/>
          <w:sz w:val="24"/>
          <w:szCs w:val="24"/>
        </w:rPr>
        <w:t>осудистой стенки, нестабильность</w:t>
      </w:r>
      <w:r w:rsidR="006C4285" w:rsidRPr="002D0792">
        <w:rPr>
          <w:rFonts w:ascii="Times New Roman" w:hAnsi="Times New Roman" w:cs="Times New Roman"/>
          <w:sz w:val="24"/>
          <w:szCs w:val="24"/>
        </w:rPr>
        <w:t xml:space="preserve"> атеромы и </w:t>
      </w:r>
      <w:r w:rsidR="005D71E8" w:rsidRPr="002D0792">
        <w:rPr>
          <w:rFonts w:ascii="Times New Roman" w:hAnsi="Times New Roman" w:cs="Times New Roman"/>
          <w:sz w:val="24"/>
          <w:szCs w:val="24"/>
        </w:rPr>
        <w:t>возникнове</w:t>
      </w:r>
      <w:r w:rsidR="00874EF2" w:rsidRPr="002D0792">
        <w:rPr>
          <w:rFonts w:ascii="Times New Roman" w:hAnsi="Times New Roman" w:cs="Times New Roman"/>
          <w:sz w:val="24"/>
          <w:szCs w:val="24"/>
        </w:rPr>
        <w:t>ние тромботических осложнений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. </w:t>
      </w:r>
      <w:r w:rsidR="005D71E8" w:rsidRPr="002D0792">
        <w:rPr>
          <w:rFonts w:ascii="Times New Roman" w:hAnsi="Times New Roman" w:cs="Times New Roman"/>
          <w:sz w:val="24"/>
          <w:szCs w:val="24"/>
        </w:rPr>
        <w:t>Синергическими эффектами обладают нарушения м</w:t>
      </w:r>
      <w:r w:rsidR="00874EF2" w:rsidRPr="002D0792">
        <w:rPr>
          <w:rFonts w:ascii="Times New Roman" w:hAnsi="Times New Roman" w:cs="Times New Roman"/>
          <w:sz w:val="24"/>
          <w:szCs w:val="24"/>
        </w:rPr>
        <w:t>инерального и костного обменов</w:t>
      </w:r>
      <w:r w:rsidR="00741188" w:rsidRPr="002D0792">
        <w:rPr>
          <w:rFonts w:ascii="Times New Roman" w:hAnsi="Times New Roman" w:cs="Times New Roman"/>
          <w:sz w:val="24"/>
          <w:szCs w:val="24"/>
        </w:rPr>
        <w:t>, которые характерны для пациентов с ХБП на ПД</w:t>
      </w:r>
      <w:r w:rsidR="00874EF2" w:rsidRPr="002D0792">
        <w:rPr>
          <w:rFonts w:ascii="Times New Roman" w:hAnsi="Times New Roman" w:cs="Times New Roman"/>
          <w:sz w:val="24"/>
          <w:szCs w:val="24"/>
        </w:rPr>
        <w:t xml:space="preserve"> [</w:t>
      </w:r>
      <w:r w:rsidR="00741188" w:rsidRPr="002D0792">
        <w:rPr>
          <w:rFonts w:ascii="Times New Roman" w:hAnsi="Times New Roman" w:cs="Times New Roman"/>
          <w:sz w:val="24"/>
          <w:szCs w:val="24"/>
        </w:rPr>
        <w:t>2</w:t>
      </w:r>
      <w:r w:rsidR="00874EF2" w:rsidRPr="002D0792">
        <w:rPr>
          <w:rFonts w:ascii="Times New Roman" w:hAnsi="Times New Roman" w:cs="Times New Roman"/>
          <w:sz w:val="24"/>
          <w:szCs w:val="24"/>
        </w:rPr>
        <w:t xml:space="preserve">].             </w:t>
      </w:r>
    </w:p>
    <w:p w:rsidR="005D71E8" w:rsidRPr="002D0792" w:rsidRDefault="005D71E8" w:rsidP="002D0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2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 К основным медиаторам</w:t>
      </w:r>
      <w:r w:rsidR="006340E9" w:rsidRPr="002D0792">
        <w:rPr>
          <w:rFonts w:ascii="Times New Roman" w:hAnsi="Times New Roman" w:cs="Times New Roman"/>
          <w:sz w:val="24"/>
          <w:szCs w:val="24"/>
        </w:rPr>
        <w:t xml:space="preserve"> системной воспалительной реакции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6340E9" w:rsidRPr="002D0792">
        <w:rPr>
          <w:rFonts w:ascii="Times New Roman" w:hAnsi="Times New Roman" w:cs="Times New Roman"/>
          <w:sz w:val="24"/>
          <w:szCs w:val="24"/>
        </w:rPr>
        <w:t>: ФНОα, который способен «запустить» каскад синтеза провоспалительных цитокинов, в том числе ИЛ-1β,</w:t>
      </w:r>
      <w:r w:rsidR="008479EA">
        <w:rPr>
          <w:rFonts w:ascii="Times New Roman" w:hAnsi="Times New Roman" w:cs="Times New Roman"/>
          <w:sz w:val="24"/>
          <w:szCs w:val="24"/>
        </w:rPr>
        <w:t xml:space="preserve"> вызывающего пролиферацию макрофагов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, и </w:t>
      </w:r>
      <w:r w:rsidR="006340E9" w:rsidRPr="002D0792">
        <w:rPr>
          <w:rFonts w:ascii="Times New Roman" w:hAnsi="Times New Roman" w:cs="Times New Roman"/>
          <w:sz w:val="24"/>
          <w:szCs w:val="24"/>
        </w:rPr>
        <w:t xml:space="preserve"> ИЛ-8, стимулирующего направленную миграцию нейтрофилов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 к очагу повреждения сосудистой стенки</w:t>
      </w:r>
      <w:r w:rsidR="006340E9" w:rsidRPr="002D0792">
        <w:rPr>
          <w:rFonts w:ascii="Times New Roman" w:hAnsi="Times New Roman" w:cs="Times New Roman"/>
          <w:sz w:val="24"/>
          <w:szCs w:val="24"/>
        </w:rPr>
        <w:t xml:space="preserve"> и активирующего пролиферацию </w:t>
      </w:r>
      <w:proofErr w:type="spellStart"/>
      <w:r w:rsidR="006340E9" w:rsidRPr="002D0792">
        <w:rPr>
          <w:rFonts w:ascii="Times New Roman" w:hAnsi="Times New Roman" w:cs="Times New Roman"/>
          <w:sz w:val="24"/>
          <w:szCs w:val="24"/>
        </w:rPr>
        <w:t>эндотелиоцитов</w:t>
      </w:r>
      <w:proofErr w:type="spellEnd"/>
      <w:r w:rsidR="006340E9" w:rsidRPr="002D0792">
        <w:rPr>
          <w:rFonts w:ascii="Times New Roman" w:hAnsi="Times New Roman" w:cs="Times New Roman"/>
          <w:sz w:val="24"/>
          <w:szCs w:val="24"/>
        </w:rPr>
        <w:t xml:space="preserve"> и гладкомышечн</w:t>
      </w:r>
      <w:r w:rsidR="00874EF2" w:rsidRPr="002D0792">
        <w:rPr>
          <w:rFonts w:ascii="Times New Roman" w:hAnsi="Times New Roman" w:cs="Times New Roman"/>
          <w:sz w:val="24"/>
          <w:szCs w:val="24"/>
        </w:rPr>
        <w:t>ых</w:t>
      </w:r>
      <w:r w:rsidR="00741188" w:rsidRPr="002D0792">
        <w:rPr>
          <w:rFonts w:ascii="Times New Roman" w:hAnsi="Times New Roman" w:cs="Times New Roman"/>
          <w:sz w:val="24"/>
          <w:szCs w:val="24"/>
        </w:rPr>
        <w:t xml:space="preserve"> </w:t>
      </w:r>
      <w:r w:rsidR="006340E9" w:rsidRPr="002D0792">
        <w:rPr>
          <w:rFonts w:ascii="Times New Roman" w:hAnsi="Times New Roman" w:cs="Times New Roman"/>
          <w:sz w:val="24"/>
          <w:szCs w:val="24"/>
        </w:rPr>
        <w:t xml:space="preserve">клеток </w:t>
      </w:r>
      <w:r w:rsidR="00345DA1" w:rsidRPr="002D0792">
        <w:rPr>
          <w:rFonts w:ascii="Times New Roman" w:hAnsi="Times New Roman" w:cs="Times New Roman"/>
          <w:sz w:val="24"/>
          <w:szCs w:val="24"/>
        </w:rPr>
        <w:t xml:space="preserve"> в повреждённой сосудистой стенке </w:t>
      </w:r>
      <w:r w:rsidR="006340E9" w:rsidRPr="002D0792">
        <w:rPr>
          <w:rFonts w:ascii="Times New Roman" w:hAnsi="Times New Roman" w:cs="Times New Roman"/>
          <w:sz w:val="24"/>
          <w:szCs w:val="24"/>
        </w:rPr>
        <w:t>[</w:t>
      </w:r>
      <w:r w:rsidR="00741188" w:rsidRPr="002D0792">
        <w:rPr>
          <w:rFonts w:ascii="Times New Roman" w:hAnsi="Times New Roman" w:cs="Times New Roman"/>
          <w:sz w:val="24"/>
          <w:szCs w:val="24"/>
        </w:rPr>
        <w:t>3, 11</w:t>
      </w:r>
      <w:r w:rsidR="006340E9" w:rsidRPr="002D0792">
        <w:rPr>
          <w:rFonts w:ascii="Times New Roman" w:hAnsi="Times New Roman" w:cs="Times New Roman"/>
          <w:sz w:val="24"/>
          <w:szCs w:val="24"/>
        </w:rPr>
        <w:t>].</w:t>
      </w:r>
      <w:r w:rsidR="00345DA1" w:rsidRPr="002D0792">
        <w:rPr>
          <w:rFonts w:ascii="Times New Roman" w:hAnsi="Times New Roman" w:cs="Times New Roman"/>
          <w:sz w:val="24"/>
          <w:szCs w:val="24"/>
        </w:rPr>
        <w:t xml:space="preserve"> Инициатором воспаления в данном случае являются модифицированные в ходе окислительного стресса липопротеины [</w:t>
      </w:r>
      <w:r w:rsidR="00741188" w:rsidRPr="002D0792">
        <w:rPr>
          <w:rFonts w:ascii="Times New Roman" w:hAnsi="Times New Roman" w:cs="Times New Roman"/>
          <w:sz w:val="24"/>
          <w:szCs w:val="24"/>
        </w:rPr>
        <w:t>1,9,10</w:t>
      </w:r>
      <w:r w:rsidR="00345DA1" w:rsidRPr="002D0792">
        <w:rPr>
          <w:rFonts w:ascii="Times New Roman" w:hAnsi="Times New Roman" w:cs="Times New Roman"/>
          <w:sz w:val="24"/>
          <w:szCs w:val="24"/>
        </w:rPr>
        <w:t xml:space="preserve">], которые являются также транспортными системами для некоторых белков острой фазы воспаления, а именно, СРБ, САА и </w:t>
      </w:r>
      <w:proofErr w:type="spellStart"/>
      <w:r w:rsidR="00345DA1" w:rsidRPr="002D0792">
        <w:rPr>
          <w:rFonts w:ascii="Times New Roman" w:hAnsi="Times New Roman" w:cs="Times New Roman"/>
          <w:sz w:val="24"/>
          <w:szCs w:val="24"/>
        </w:rPr>
        <w:t>ап</w:t>
      </w:r>
      <w:proofErr w:type="gramStart"/>
      <w:r w:rsidR="00345DA1" w:rsidRPr="002D07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45DA1" w:rsidRPr="002D07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5DA1" w:rsidRPr="002D0792">
        <w:rPr>
          <w:rFonts w:ascii="Times New Roman" w:hAnsi="Times New Roman" w:cs="Times New Roman"/>
          <w:sz w:val="24"/>
          <w:szCs w:val="24"/>
        </w:rPr>
        <w:t>а</w:t>
      </w:r>
      <w:r w:rsidR="003819B6" w:rsidRPr="002D0792">
        <w:rPr>
          <w:rFonts w:ascii="Times New Roman" w:hAnsi="Times New Roman" w:cs="Times New Roman"/>
          <w:sz w:val="24"/>
          <w:szCs w:val="24"/>
        </w:rPr>
        <w:t>1</w:t>
      </w:r>
      <w:r w:rsidR="00345DA1" w:rsidRPr="002D0792">
        <w:rPr>
          <w:rFonts w:ascii="Times New Roman" w:hAnsi="Times New Roman" w:cs="Times New Roman"/>
          <w:sz w:val="24"/>
          <w:szCs w:val="24"/>
        </w:rPr>
        <w:t>)</w:t>
      </w:r>
      <w:r w:rsidR="003819B6" w:rsidRPr="002D0792">
        <w:rPr>
          <w:rFonts w:ascii="Times New Roman" w:hAnsi="Times New Roman" w:cs="Times New Roman"/>
          <w:sz w:val="24"/>
          <w:szCs w:val="24"/>
        </w:rPr>
        <w:t>-липопротеинов</w:t>
      </w:r>
      <w:r w:rsidR="00345DA1" w:rsidRPr="002D0792">
        <w:rPr>
          <w:rFonts w:ascii="Times New Roman" w:hAnsi="Times New Roman" w:cs="Times New Roman"/>
          <w:sz w:val="24"/>
          <w:szCs w:val="24"/>
        </w:rPr>
        <w:t xml:space="preserve">, которые обладают высокой </w:t>
      </w:r>
      <w:proofErr w:type="spellStart"/>
      <w:r w:rsidR="00345DA1" w:rsidRPr="002D0792">
        <w:rPr>
          <w:rFonts w:ascii="Times New Roman" w:hAnsi="Times New Roman" w:cs="Times New Roman"/>
          <w:sz w:val="24"/>
          <w:szCs w:val="24"/>
        </w:rPr>
        <w:t>тропностью</w:t>
      </w:r>
      <w:proofErr w:type="spellEnd"/>
      <w:r w:rsidR="00345DA1" w:rsidRPr="002D0792">
        <w:rPr>
          <w:rFonts w:ascii="Times New Roman" w:hAnsi="Times New Roman" w:cs="Times New Roman"/>
          <w:sz w:val="24"/>
          <w:szCs w:val="24"/>
        </w:rPr>
        <w:t xml:space="preserve"> к липидам и циркулируют в крови в ассоциации с</w:t>
      </w:r>
      <w:r w:rsidR="003819B6" w:rsidRPr="002D0792">
        <w:rPr>
          <w:rFonts w:ascii="Times New Roman" w:hAnsi="Times New Roman" w:cs="Times New Roman"/>
          <w:sz w:val="24"/>
          <w:szCs w:val="24"/>
        </w:rPr>
        <w:t xml:space="preserve"> разными классами липопротеинов</w:t>
      </w:r>
      <w:r w:rsidR="00574F57" w:rsidRPr="002D0792">
        <w:rPr>
          <w:rFonts w:ascii="Times New Roman" w:hAnsi="Times New Roman" w:cs="Times New Roman"/>
          <w:sz w:val="24"/>
          <w:szCs w:val="24"/>
        </w:rPr>
        <w:t xml:space="preserve"> </w:t>
      </w:r>
      <w:r w:rsidR="00345DA1" w:rsidRPr="002D0792">
        <w:rPr>
          <w:rFonts w:ascii="Times New Roman" w:hAnsi="Times New Roman" w:cs="Times New Roman"/>
          <w:sz w:val="24"/>
          <w:szCs w:val="24"/>
        </w:rPr>
        <w:t>[</w:t>
      </w:r>
      <w:r w:rsidR="003819B6" w:rsidRPr="002D0792">
        <w:rPr>
          <w:rFonts w:ascii="Times New Roman" w:hAnsi="Times New Roman" w:cs="Times New Roman"/>
          <w:sz w:val="24"/>
          <w:szCs w:val="24"/>
        </w:rPr>
        <w:t>1,</w:t>
      </w:r>
      <w:r w:rsidR="002D0792" w:rsidRPr="002D0792">
        <w:rPr>
          <w:rFonts w:ascii="Times New Roman" w:hAnsi="Times New Roman" w:cs="Times New Roman"/>
          <w:sz w:val="24"/>
          <w:szCs w:val="24"/>
        </w:rPr>
        <w:t>15</w:t>
      </w:r>
      <w:r w:rsidR="00345DA1" w:rsidRPr="002D0792">
        <w:rPr>
          <w:rFonts w:ascii="Times New Roman" w:hAnsi="Times New Roman" w:cs="Times New Roman"/>
          <w:sz w:val="24"/>
          <w:szCs w:val="24"/>
        </w:rPr>
        <w:t xml:space="preserve">]. Более вероятно, что в острой фазе воспаления, </w:t>
      </w:r>
      <w:proofErr w:type="spellStart"/>
      <w:r w:rsidR="00345DA1" w:rsidRPr="002D0792"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 w:rsidR="00345DA1" w:rsidRPr="002D0792">
        <w:rPr>
          <w:rFonts w:ascii="Times New Roman" w:hAnsi="Times New Roman" w:cs="Times New Roman"/>
          <w:sz w:val="24"/>
          <w:szCs w:val="24"/>
        </w:rPr>
        <w:t xml:space="preserve"> секретируют в кровь не липопротеины</w:t>
      </w:r>
      <w:r w:rsidR="00425813" w:rsidRPr="002D0792">
        <w:rPr>
          <w:rFonts w:ascii="Times New Roman" w:hAnsi="Times New Roman" w:cs="Times New Roman"/>
          <w:sz w:val="24"/>
          <w:szCs w:val="24"/>
        </w:rPr>
        <w:t xml:space="preserve">, а уже функциональные комплексы: ЛПОНП-СРБ и </w:t>
      </w:r>
      <w:proofErr w:type="spellStart"/>
      <w:r w:rsidR="00425813" w:rsidRPr="002D0792">
        <w:rPr>
          <w:rFonts w:ascii="Times New Roman" w:hAnsi="Times New Roman" w:cs="Times New Roman"/>
          <w:sz w:val="24"/>
          <w:szCs w:val="24"/>
        </w:rPr>
        <w:t>ап</w:t>
      </w:r>
      <w:proofErr w:type="gramStart"/>
      <w:r w:rsidR="00425813" w:rsidRPr="002D07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25813" w:rsidRPr="002D07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5813" w:rsidRPr="002D0792">
        <w:rPr>
          <w:rFonts w:ascii="Times New Roman" w:hAnsi="Times New Roman" w:cs="Times New Roman"/>
          <w:sz w:val="24"/>
          <w:szCs w:val="24"/>
        </w:rPr>
        <w:t xml:space="preserve">а1)-ЛПВП-САА  </w:t>
      </w:r>
      <w:r w:rsidR="00574F57" w:rsidRPr="002D0792">
        <w:rPr>
          <w:rFonts w:ascii="Times New Roman" w:hAnsi="Times New Roman" w:cs="Times New Roman"/>
          <w:sz w:val="24"/>
          <w:szCs w:val="24"/>
        </w:rPr>
        <w:t xml:space="preserve">   </w:t>
      </w:r>
      <w:r w:rsidR="00425813" w:rsidRPr="002D0792">
        <w:rPr>
          <w:rFonts w:ascii="Times New Roman" w:hAnsi="Times New Roman" w:cs="Times New Roman"/>
          <w:sz w:val="24"/>
          <w:szCs w:val="24"/>
        </w:rPr>
        <w:t>[</w:t>
      </w:r>
      <w:r w:rsidR="003819B6" w:rsidRPr="002D0792">
        <w:rPr>
          <w:rFonts w:ascii="Times New Roman" w:hAnsi="Times New Roman" w:cs="Times New Roman"/>
          <w:sz w:val="24"/>
          <w:szCs w:val="24"/>
        </w:rPr>
        <w:t>8,16</w:t>
      </w:r>
      <w:r w:rsidR="00425813" w:rsidRPr="002D0792">
        <w:rPr>
          <w:rFonts w:ascii="Times New Roman" w:hAnsi="Times New Roman" w:cs="Times New Roman"/>
          <w:sz w:val="24"/>
          <w:szCs w:val="24"/>
        </w:rPr>
        <w:t>].</w:t>
      </w:r>
    </w:p>
    <w:p w:rsidR="003819B6" w:rsidRPr="002D0792" w:rsidRDefault="003819B6" w:rsidP="002D0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2">
        <w:rPr>
          <w:rFonts w:ascii="Times New Roman" w:hAnsi="Times New Roman" w:cs="Times New Roman"/>
          <w:sz w:val="24"/>
          <w:szCs w:val="24"/>
        </w:rPr>
        <w:t xml:space="preserve">       Опубликованы против</w:t>
      </w:r>
      <w:r w:rsidR="00425813" w:rsidRPr="002D0792">
        <w:rPr>
          <w:rFonts w:ascii="Times New Roman" w:hAnsi="Times New Roman" w:cs="Times New Roman"/>
          <w:sz w:val="24"/>
          <w:szCs w:val="24"/>
        </w:rPr>
        <w:t>оречивые данные проспективных исследований в общей популяции больных о прямой корреляции уровня СРБ или САА в комбинации с различными классами липопротеинов с прогрессированием ИБС [</w:t>
      </w:r>
      <w:r w:rsidRPr="002D0792">
        <w:rPr>
          <w:rFonts w:ascii="Times New Roman" w:hAnsi="Times New Roman" w:cs="Times New Roman"/>
          <w:sz w:val="24"/>
          <w:szCs w:val="24"/>
        </w:rPr>
        <w:t xml:space="preserve">8, </w:t>
      </w:r>
      <w:r w:rsidR="002D0792" w:rsidRPr="002D0792">
        <w:rPr>
          <w:rFonts w:ascii="Times New Roman" w:hAnsi="Times New Roman" w:cs="Times New Roman"/>
          <w:sz w:val="24"/>
          <w:szCs w:val="24"/>
        </w:rPr>
        <w:t>1</w:t>
      </w:r>
      <w:r w:rsidRPr="002D0792">
        <w:rPr>
          <w:rFonts w:ascii="Times New Roman" w:hAnsi="Times New Roman" w:cs="Times New Roman"/>
          <w:sz w:val="24"/>
          <w:szCs w:val="24"/>
        </w:rPr>
        <w:t>1].</w:t>
      </w:r>
    </w:p>
    <w:p w:rsidR="00D47C76" w:rsidRPr="00FA056B" w:rsidRDefault="003819B6" w:rsidP="002D07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2">
        <w:rPr>
          <w:rFonts w:ascii="Times New Roman" w:hAnsi="Times New Roman" w:cs="Times New Roman"/>
          <w:sz w:val="24"/>
          <w:szCs w:val="24"/>
        </w:rPr>
        <w:t xml:space="preserve">       </w:t>
      </w:r>
      <w:r w:rsidR="002D0792" w:rsidRPr="002D0792">
        <w:rPr>
          <w:rFonts w:ascii="Times New Roman" w:hAnsi="Times New Roman" w:cs="Times New Roman"/>
          <w:sz w:val="24"/>
          <w:szCs w:val="24"/>
        </w:rPr>
        <w:t>Ц</w:t>
      </w:r>
      <w:r w:rsidRPr="002D0792">
        <w:rPr>
          <w:rFonts w:ascii="Times New Roman" w:hAnsi="Times New Roman" w:cs="Times New Roman"/>
          <w:sz w:val="24"/>
          <w:szCs w:val="24"/>
        </w:rPr>
        <w:t>ель</w:t>
      </w:r>
      <w:r w:rsidR="00B479A8" w:rsidRPr="002D0792">
        <w:rPr>
          <w:rFonts w:ascii="Times New Roman" w:hAnsi="Times New Roman" w:cs="Times New Roman"/>
          <w:sz w:val="24"/>
          <w:szCs w:val="24"/>
        </w:rPr>
        <w:t>ю настоящего</w:t>
      </w:r>
      <w:r w:rsidRPr="002D079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B479A8" w:rsidRPr="002D0792">
        <w:rPr>
          <w:rFonts w:ascii="Times New Roman" w:hAnsi="Times New Roman" w:cs="Times New Roman"/>
          <w:sz w:val="24"/>
          <w:szCs w:val="24"/>
        </w:rPr>
        <w:t xml:space="preserve"> явилось изучение значения </w:t>
      </w:r>
      <w:r w:rsidR="00921DFF" w:rsidRPr="002D0792">
        <w:rPr>
          <w:rFonts w:ascii="Times New Roman" w:hAnsi="Times New Roman" w:cs="Times New Roman"/>
          <w:sz w:val="24"/>
          <w:szCs w:val="24"/>
        </w:rPr>
        <w:t xml:space="preserve">провоспалительных  </w:t>
      </w:r>
      <w:r w:rsidRPr="002D0792">
        <w:rPr>
          <w:rFonts w:ascii="Times New Roman" w:hAnsi="Times New Roman" w:cs="Times New Roman"/>
          <w:sz w:val="24"/>
          <w:szCs w:val="24"/>
        </w:rPr>
        <w:t xml:space="preserve">интерлейкинов и </w:t>
      </w:r>
      <w:r w:rsidR="00921DFF" w:rsidRPr="002D0792">
        <w:rPr>
          <w:rFonts w:ascii="Times New Roman" w:hAnsi="Times New Roman" w:cs="Times New Roman"/>
          <w:sz w:val="24"/>
          <w:szCs w:val="24"/>
        </w:rPr>
        <w:t>белков острой фазы воспаления</w:t>
      </w:r>
      <w:r w:rsidR="00B479A8" w:rsidRPr="002D0792">
        <w:rPr>
          <w:rFonts w:ascii="Times New Roman" w:hAnsi="Times New Roman" w:cs="Times New Roman"/>
          <w:sz w:val="24"/>
          <w:szCs w:val="24"/>
        </w:rPr>
        <w:t xml:space="preserve">  </w:t>
      </w:r>
      <w:r w:rsidR="00921DFF" w:rsidRPr="002D0792">
        <w:rPr>
          <w:rFonts w:ascii="Times New Roman" w:hAnsi="Times New Roman" w:cs="Times New Roman"/>
          <w:sz w:val="24"/>
          <w:szCs w:val="24"/>
        </w:rPr>
        <w:t xml:space="preserve"> </w:t>
      </w:r>
      <w:r w:rsidR="00323EFB" w:rsidRPr="002D0792">
        <w:rPr>
          <w:rFonts w:ascii="Times New Roman" w:hAnsi="Times New Roman" w:cs="Times New Roman"/>
          <w:sz w:val="24"/>
          <w:szCs w:val="24"/>
        </w:rPr>
        <w:t xml:space="preserve"> как </w:t>
      </w:r>
      <w:r w:rsidR="00B479A8" w:rsidRPr="002D0792">
        <w:rPr>
          <w:rFonts w:ascii="Times New Roman" w:hAnsi="Times New Roman" w:cs="Times New Roman"/>
          <w:sz w:val="24"/>
          <w:szCs w:val="24"/>
        </w:rPr>
        <w:t>факторов</w:t>
      </w:r>
      <w:r w:rsidR="00AB38BB">
        <w:rPr>
          <w:rFonts w:ascii="Times New Roman" w:hAnsi="Times New Roman" w:cs="Times New Roman"/>
          <w:sz w:val="24"/>
          <w:szCs w:val="24"/>
        </w:rPr>
        <w:t xml:space="preserve"> прогрессирования ИБС у пациентов</w:t>
      </w:r>
      <w:r w:rsidR="00B479A8" w:rsidRPr="002D0792">
        <w:rPr>
          <w:rFonts w:ascii="Times New Roman" w:hAnsi="Times New Roman" w:cs="Times New Roman"/>
          <w:sz w:val="24"/>
          <w:szCs w:val="24"/>
        </w:rPr>
        <w:t xml:space="preserve"> с ХБП на ПД</w:t>
      </w:r>
      <w:r w:rsidR="00921DFF" w:rsidRPr="002D0792">
        <w:rPr>
          <w:rFonts w:ascii="Times New Roman" w:hAnsi="Times New Roman" w:cs="Times New Roman"/>
          <w:sz w:val="24"/>
          <w:szCs w:val="24"/>
        </w:rPr>
        <w:t>.</w:t>
      </w:r>
    </w:p>
    <w:p w:rsidR="0006175C" w:rsidRPr="002D0792" w:rsidRDefault="00574F57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методы.</w:t>
      </w:r>
      <w:r w:rsidR="00874EF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обследовано 80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получа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перитонеальным диа</w:t>
      </w:r>
      <w:r w:rsidR="00B479A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лизом на протяжении от</w:t>
      </w:r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9A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до </w:t>
      </w:r>
      <w:r w:rsidR="00874EF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108 месяцев (медиана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EF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EF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36 месяцев)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возраст которых составил 47</w:t>
      </w:r>
      <w:r w:rsidR="00B479A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±1,8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Из них</w:t>
      </w:r>
      <w:r w:rsidR="0065346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женщин и 41</w:t>
      </w:r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распределились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нозологическ</w:t>
      </w:r>
      <w:r w:rsidR="00874EF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единицам следующим образом: 5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6175C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(63,7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- пациенты с хроническим </w:t>
      </w:r>
      <w:proofErr w:type="spell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гломерулонефритом</w:t>
      </w:r>
      <w:proofErr w:type="spellEnd"/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13 (16,3%) - пациенты с </w:t>
      </w:r>
      <w:proofErr w:type="spellStart"/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поликистозом</w:t>
      </w:r>
      <w:proofErr w:type="spellEnd"/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почек; 11 (13,8%) - пациенты с диабетическим </w:t>
      </w:r>
      <w:proofErr w:type="spellStart"/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гломерулосклерозом</w:t>
      </w:r>
      <w:proofErr w:type="spellEnd"/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; 3 (</w:t>
      </w:r>
      <w:r w:rsidR="0006175C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пациенты с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гипертонической болезнью, </w:t>
      </w:r>
      <w:proofErr w:type="spell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нефроангиосклерозом</w:t>
      </w:r>
      <w:proofErr w:type="spellEnd"/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175C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(2,5%)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75C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75C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</w:t>
      </w:r>
      <w:proofErr w:type="gramStart"/>
      <w:r w:rsidR="0006175C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175C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 пиелонефритом. </w:t>
      </w:r>
    </w:p>
    <w:p w:rsidR="00574F57" w:rsidRPr="002D0792" w:rsidRDefault="0006175C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прогрессирования ИБС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выявления безболевой ишемии миокарда,</w:t>
      </w:r>
      <w:r w:rsidR="0097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</w:t>
      </w:r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были проанализированы результаты </w:t>
      </w:r>
      <w:proofErr w:type="spellStart"/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</w:t>
      </w:r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-эхокардиографических</w:t>
      </w:r>
      <w:proofErr w:type="spellEnd"/>
      <w:r w:rsidR="00A0553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</w:t>
      </w:r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в динамике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предыдущие 1-3 года пребывания их на ПД с вычислением систолического утолще</w:t>
      </w:r>
      <w:r w:rsidR="0065346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миокарда левого желудочка;</w:t>
      </w:r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нагрузочн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proofErr w:type="spellStart"/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велоэргометрические</w:t>
      </w:r>
      <w:proofErr w:type="spellEnd"/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ЭКГ-пробы</w:t>
      </w:r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соответствие с полученными данными </w:t>
      </w:r>
      <w:r w:rsidR="00AB38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результатами последующего наблюдения за больными, в динам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через 3-6 месяцев, </w:t>
      </w:r>
      <w:r w:rsidR="008614A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больные были разделены на 5 клинических групп: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F57" w:rsidRPr="002D0792" w:rsidRDefault="00FA056B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FA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- пациенты, перенесшие 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миокарда, в течение 1-2</w:t>
      </w:r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="0097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я  (острый коронарный синдром)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F57" w:rsidRPr="002D0792" w:rsidRDefault="00FA056B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FA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пациенты, страдающие стабильной стенокардией ра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функциональных классов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50F9" w:rsidRPr="002D0792" w:rsidRDefault="00574F57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056B" w:rsidRPr="00FA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- 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с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ишемической</w:t>
      </w:r>
      <w:proofErr w:type="gramEnd"/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дилятационной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кардиомиопатией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F57" w:rsidRPr="002D0792" w:rsidRDefault="006450F9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056B" w:rsidRPr="00FA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безболевой ишемией миокарда.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149C" w:rsidRPr="002D0792" w:rsidRDefault="006450F9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056B" w:rsidRPr="00FA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056B" w:rsidRPr="00FA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 паци</w:t>
      </w:r>
      <w:r w:rsidR="003264A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енты, не имеющие признаков ИБС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F57" w:rsidRPr="002D0792" w:rsidRDefault="0067149C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исследование не включались пациенты с </w:t>
      </w:r>
      <w:proofErr w:type="gram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острыми</w:t>
      </w:r>
      <w:proofErr w:type="gramEnd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обострением хронических воспалительных заболеваний; пациенты, перенесшие инфаркт миокарда или диализный перитонит за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 до начала исследования.</w:t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F57" w:rsidRPr="002D0792" w:rsidRDefault="00574F57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E8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работы</w:t>
      </w:r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пациентам</w:t>
      </w:r>
      <w:r w:rsidR="0097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общеклинические и иммунологические исследования,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включающие определение ИЛ-1</w:t>
      </w:r>
      <w:r w:rsidR="0072569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ИЛ-8</w:t>
      </w:r>
      <w:r w:rsidR="0097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ФН</w:t>
      </w:r>
      <w:proofErr w:type="gramStart"/>
      <w:r w:rsidR="0097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77E5A">
        <w:rPr>
          <w:rFonts w:ascii="Times New Roman" w:eastAsia="Times New Roman" w:hAnsi="Times New Roman" w:cs="Times New Roman"/>
          <w:sz w:val="24"/>
          <w:szCs w:val="24"/>
          <w:lang w:eastAsia="ru-RU"/>
        </w:rPr>
        <w:t>α,</w:t>
      </w:r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</w:t>
      </w:r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 острой фазы воспаления (СРБ и САА</w:t>
      </w:r>
      <w:r w:rsidR="00EC1E6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569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иммуноферментными методами; определялись показатели </w:t>
      </w:r>
      <w:r w:rsidR="006450F9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липидного обмена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proofErr w:type="spell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колометрической</w:t>
      </w:r>
      <w:proofErr w:type="spellEnd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фотометрии</w:t>
      </w:r>
      <w:r w:rsidR="0065346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оценивались показатели фосфорно-кальциевого обмена (содержание фосфора; кальция, скорректиро</w:t>
      </w:r>
      <w:r w:rsidR="0065346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по альбумину; и-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ПТГ; рассчитывалось фосфорно-кальциевое произведение).</w:t>
      </w:r>
    </w:p>
    <w:p w:rsidR="0065346F" w:rsidRPr="002D0792" w:rsidRDefault="0065346F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Статистическую обработку данных проводили с помощью пакета статистических программ для персонального компьютера STATISTIKA6.</w:t>
      </w:r>
    </w:p>
    <w:p w:rsidR="00617CF6" w:rsidRPr="002D0792" w:rsidRDefault="000540F3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574F57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обсуждение</w:t>
      </w:r>
      <w:r w:rsidR="00574F57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C06AE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диагностики прогрессирования ИБС 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допплерэхокардиографические</w:t>
      </w:r>
      <w:proofErr w:type="spellEnd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проводились в динамике ежегодно с расчётом 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систолического утолщения стенки миокарда левого желудочка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безболевой ишемии миокарда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Тревожным сигналом несоответствия потребности 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окарда в 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</w:t>
      </w:r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 и его кровоснабжении является ангинозная боль, но 50-75% эпизодов ишемии 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окарда 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</w:t>
      </w:r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безболевыми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связывают</w:t>
      </w:r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чувствительности </w:t>
      </w:r>
      <w:proofErr w:type="spellStart"/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внутрикардиальных</w:t>
      </w:r>
      <w:proofErr w:type="spellEnd"/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нервных окончаний вследствие нейропатии, 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развивающейся, в том числе при  токсическом действии некоторых цитокинов при ХПН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Прогностически</w:t>
      </w:r>
      <w:proofErr w:type="spellEnd"/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неблагоприятно, так как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трети больных ИБС с безболевой ишемией миокарда, инфаркт миокарда развивается в 5-6 раз чаще, в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раз</w:t>
      </w:r>
      <w:r w:rsidR="00E65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риск развития</w:t>
      </w:r>
      <w:r w:rsidR="00E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сердечной недостаточности (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</w:t>
      </w:r>
      <w:r w:rsidR="00E651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2D079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динамического наблюдения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больными в нашем исследовании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у одного из пациентов не появилось клинических и ЭКГ признаков стабильной стенокардии </w:t>
      </w:r>
      <w:proofErr w:type="spellStart"/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novo</w:t>
      </w:r>
      <w:proofErr w:type="spellEnd"/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увеличения функционального класса уже имеющейся стабильной стенокардии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BA04A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пятеро</w:t>
      </w:r>
      <w:r w:rsid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</w:t>
      </w:r>
      <w:r w:rsidR="00E65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острый инфаркт миокарда (4</w:t>
      </w:r>
      <w:r w:rsid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групп</w:t>
      </w:r>
      <w:r w:rsidR="00E65187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безболевой ишемии миокарда и 1</w:t>
      </w:r>
      <w:r w:rsid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группы пациентов, не имевших признаков ИБС,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впервые возникшее острое коронарное событие</w:t>
      </w:r>
      <w:r w:rsidR="00E651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1E1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9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="009A4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эхокардиографическом</w:t>
      </w:r>
      <w:proofErr w:type="spellEnd"/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C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9A4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проведенном за 1-3 месяца до перенесенного инфаркта</w:t>
      </w:r>
      <w:r w:rsidR="007B61CD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</w:t>
      </w:r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 всех пациентов имели место концентрическая гипертрофия миокарда левого желудочка и наличие </w:t>
      </w:r>
      <w:proofErr w:type="spellStart"/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кальцинатов</w:t>
      </w:r>
      <w:proofErr w:type="spellEnd"/>
      <w:r w:rsidR="00FF2238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створках митрального клапана.</w:t>
      </w:r>
    </w:p>
    <w:p w:rsidR="00574F57" w:rsidRPr="002D0792" w:rsidRDefault="00833C89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типа сосудистой кальцификации, разделяемой по локализации и связи с образованием атеросклеротической бляшки. Первый тип</w:t>
      </w:r>
      <w:r w:rsidR="0017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атеросклеротическая</w:t>
      </w:r>
      <w:proofErr w:type="gramEnd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кальцификация, которая локализуется в интимальном слое, протекает с гибелью клеток, воспалением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отложением липидов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в последующем атеросклеротической бляшки</w:t>
      </w:r>
      <w:r w:rsidR="0017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острых коронарных рисков. Второй тип</w:t>
      </w:r>
      <w:r w:rsidR="0017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минеральные отложения по окружности одной или нескольких эластических слоёв медии сосуда</w:t>
      </w:r>
      <w:r w:rsidR="0017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ос</w:t>
      </w:r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факторов развития ГМЛЖ,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ремоделирования</w:t>
      </w:r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левого желудочка с исходом в </w:t>
      </w:r>
      <w:proofErr w:type="gramStart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ишемическую</w:t>
      </w:r>
      <w:proofErr w:type="gramEnd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дилятационную</w:t>
      </w:r>
      <w:proofErr w:type="spellEnd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кардиомиопатию</w:t>
      </w:r>
      <w:proofErr w:type="spellEnd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8,16</w:t>
      </w:r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]. В прогрессировании ИБС у пациентов с ХБП на ПД оба вида сосудистой кальцификации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весомую роль, наряду с  системной воспалительной реакцией, как одним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</w:t>
      </w:r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</w:t>
      </w:r>
      <w:proofErr w:type="spellStart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атерогенеза</w:t>
      </w:r>
      <w:proofErr w:type="spellEnd"/>
      <w:r w:rsidR="000D1127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 стадий которого, от момента формирования начальных изменений до развития осложнений характерно присутствие маркеров воспаления</w:t>
      </w:r>
      <w:r w:rsidR="00953E8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провоспалительных интерлейкинов (ИЛ-1β; ИЛ-8; ФН</w:t>
      </w:r>
      <w:proofErr w:type="gramStart"/>
      <w:r w:rsidR="00953E8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53E8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α) и белков острой фазы воспаления (СРБ и САА)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8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17CF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4,12</w:t>
      </w:r>
      <w:r w:rsidR="00953E86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C06AE" w:rsidRPr="002D0792" w:rsidRDefault="00953E86" w:rsidP="00175B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представлены показатели интерлейк</w:t>
      </w:r>
      <w:r w:rsidR="00D66AA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инов для всех групп пациентов 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значений</w:t>
      </w:r>
      <w:r w:rsidR="00D66AA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динамике, т.к. для всех клинических групп</w:t>
      </w:r>
      <w:r w:rsidR="009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тенденция их изменения  осталась практически идентичной исходным показателям</w:t>
      </w:r>
      <w:r w:rsidR="00D66AA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пациентов, перенесших острый инфаркт миокарда, у которых за 1-2 месяца до острого коронарного события  исходно высокие уровни ФНО-α 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-13,2±0,5 (</w:t>
      </w:r>
      <w:proofErr w:type="gramStart"/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F42E1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ИЛ-1β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12,9±0,09 (р</w:t>
      </w:r>
      <w:r w:rsidR="00565044" w:rsidRPr="002D0792">
        <w:rPr>
          <w:rFonts w:ascii="Calibri" w:eastAsia="Times New Roman" w:hAnsi="Calibri" w:cs="Calibri"/>
          <w:sz w:val="24"/>
          <w:szCs w:val="24"/>
          <w:lang w:eastAsia="ru-RU"/>
        </w:rPr>
        <w:t>˂0,01)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AA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к норме, 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как и значения СРБ</w:t>
      </w:r>
      <w:r w:rsidR="00D66AA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видно из таблицы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AA2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выражен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достоверные иммун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ологические и метаболические</w:t>
      </w:r>
      <w:r w:rsidR="009A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оказались  у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безболевой ишемией миокарда: 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показатели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ИЛ-8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71,3±1,6 (</w:t>
      </w:r>
      <w:proofErr w:type="gramStart"/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B7FBF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0,05);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САА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2,5±0,9 (р</w:t>
      </w:r>
      <w:r w:rsidR="00FB7FBF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5); ТГ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2,7±0,9 (р</w:t>
      </w:r>
      <w:r w:rsidR="00FB7FBF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0,05</w:t>
      </w:r>
      <w:r w:rsidR="00FB7FBF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Р×Са</w:t>
      </w:r>
      <w:proofErr w:type="spellEnd"/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5,4±0,7(р</w:t>
      </w:r>
      <w:r w:rsidR="005F42E1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0,01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Идентичные, но несколько ниже по значениям, они и в клиническ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группе пациентов с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ишемической ди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лятационной кардиомиопатией. У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больных, страдающих стабильной сте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нокардией, нами выявлены</w:t>
      </w:r>
      <w:r w:rsidR="003B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выраженные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липидного обмена: повышение ЛПНП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3,1±0,8 (</w:t>
      </w:r>
      <w:proofErr w:type="gramStart"/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F42E1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0,01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2,2±0,8 (р</w:t>
      </w:r>
      <w:r w:rsidR="005F42E1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0,01</w:t>
      </w:r>
      <w:r w:rsidR="005F42E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70B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пациентов</w:t>
      </w:r>
      <w:r w:rsidR="006A0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признаков</w:t>
      </w:r>
      <w:r w:rsidR="004670B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ИБС, показатели иммунологического и костно-минерального обмена были в пределах нормы, кроме ЛПВП-1,1±0,7 (</w:t>
      </w:r>
      <w:proofErr w:type="gramStart"/>
      <w:r w:rsidR="004670B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670B5" w:rsidRPr="002D0792">
        <w:rPr>
          <w:rFonts w:ascii="Calibri" w:eastAsia="Times New Roman" w:hAnsi="Calibri" w:cs="Calibri"/>
          <w:sz w:val="24"/>
          <w:szCs w:val="24"/>
          <w:lang w:eastAsia="ru-RU"/>
        </w:rPr>
        <w:t>˂</w:t>
      </w:r>
      <w:r w:rsidR="006A03F7">
        <w:rPr>
          <w:rFonts w:ascii="Times New Roman" w:eastAsia="Times New Roman" w:hAnsi="Times New Roman" w:cs="Times New Roman"/>
          <w:sz w:val="24"/>
          <w:szCs w:val="24"/>
          <w:lang w:eastAsia="ru-RU"/>
        </w:rPr>
        <w:t>0,5), низкие</w:t>
      </w:r>
      <w:r w:rsidR="004670B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которых наблюдал</w:t>
      </w:r>
      <w:r w:rsidR="003B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во всех клинических группах, но в данной группе были наиболее низкими.</w:t>
      </w:r>
    </w:p>
    <w:p w:rsidR="00EC06AE" w:rsidRPr="002D0792" w:rsidRDefault="00EC06AE" w:rsidP="002D07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57" w:rsidRPr="002D0792" w:rsidRDefault="00574F57" w:rsidP="002D07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="004032F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</w:t>
      </w:r>
      <w:r w:rsidR="004032F5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интерлейкинов для всех групп пациентов</w:t>
      </w:r>
    </w:p>
    <w:p w:rsidR="00574F57" w:rsidRPr="002D0792" w:rsidRDefault="00574F57" w:rsidP="002D0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9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122"/>
        <w:gridCol w:w="1890"/>
        <w:gridCol w:w="1890"/>
        <w:gridCol w:w="1890"/>
      </w:tblGrid>
      <w:tr w:rsidR="004A54CC" w:rsidRPr="002D0792" w:rsidTr="00F66CB4">
        <w:trPr>
          <w:trHeight w:val="837"/>
        </w:trPr>
        <w:tc>
          <w:tcPr>
            <w:tcW w:w="4122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0792">
              <w:rPr>
                <w:b/>
                <w:sz w:val="24"/>
                <w:szCs w:val="24"/>
              </w:rPr>
              <w:t>Клинические группы</w:t>
            </w:r>
          </w:p>
        </w:tc>
        <w:tc>
          <w:tcPr>
            <w:tcW w:w="1890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 xml:space="preserve">Ил-1 </w:t>
            </w:r>
            <w:proofErr w:type="spellStart"/>
            <w:r w:rsidRPr="002D0792">
              <w:rPr>
                <w:sz w:val="24"/>
                <w:szCs w:val="24"/>
              </w:rPr>
              <w:t>пг</w:t>
            </w:r>
            <w:proofErr w:type="spellEnd"/>
            <w:r w:rsidRPr="002D0792">
              <w:rPr>
                <w:sz w:val="24"/>
                <w:szCs w:val="24"/>
              </w:rPr>
              <w:t>/мл</w:t>
            </w:r>
          </w:p>
        </w:tc>
        <w:tc>
          <w:tcPr>
            <w:tcW w:w="1890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 xml:space="preserve">Ил-8 </w:t>
            </w:r>
            <w:proofErr w:type="spellStart"/>
            <w:r w:rsidRPr="002D0792">
              <w:rPr>
                <w:sz w:val="24"/>
                <w:szCs w:val="24"/>
              </w:rPr>
              <w:t>пг</w:t>
            </w:r>
            <w:proofErr w:type="spellEnd"/>
            <w:r w:rsidRPr="002D0792">
              <w:rPr>
                <w:sz w:val="24"/>
                <w:szCs w:val="24"/>
              </w:rPr>
              <w:t>/мл</w:t>
            </w:r>
          </w:p>
        </w:tc>
        <w:tc>
          <w:tcPr>
            <w:tcW w:w="1890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ФН</w:t>
            </w:r>
            <w:proofErr w:type="gramStart"/>
            <w:r w:rsidRPr="002D0792">
              <w:rPr>
                <w:sz w:val="24"/>
                <w:szCs w:val="24"/>
              </w:rPr>
              <w:t>О-</w:t>
            </w:r>
            <w:proofErr w:type="gramEnd"/>
            <w:r w:rsidRPr="002D0792">
              <w:rPr>
                <w:sz w:val="24"/>
                <w:szCs w:val="24"/>
              </w:rPr>
              <w:t>α</w:t>
            </w:r>
            <w:r w:rsidR="00F66CB4" w:rsidRPr="002D0792">
              <w:rPr>
                <w:sz w:val="24"/>
                <w:szCs w:val="24"/>
              </w:rPr>
              <w:t xml:space="preserve"> </w:t>
            </w:r>
            <w:proofErr w:type="spellStart"/>
            <w:r w:rsidRPr="002D0792">
              <w:rPr>
                <w:sz w:val="24"/>
                <w:szCs w:val="24"/>
              </w:rPr>
              <w:t>пг</w:t>
            </w:r>
            <w:proofErr w:type="spellEnd"/>
            <w:r w:rsidRPr="002D0792">
              <w:rPr>
                <w:sz w:val="24"/>
                <w:szCs w:val="24"/>
              </w:rPr>
              <w:t>/мл</w:t>
            </w:r>
          </w:p>
        </w:tc>
      </w:tr>
      <w:tr w:rsidR="004A54CC" w:rsidRPr="002D0792" w:rsidTr="00F66CB4">
        <w:trPr>
          <w:trHeight w:val="703"/>
        </w:trPr>
        <w:tc>
          <w:tcPr>
            <w:tcW w:w="4122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0792">
              <w:rPr>
                <w:b/>
                <w:sz w:val="24"/>
                <w:szCs w:val="24"/>
              </w:rPr>
              <w:t xml:space="preserve">Перенесшие инфаркт миокарда </w:t>
            </w:r>
            <w:r w:rsidR="00F66CB4" w:rsidRPr="002D0792">
              <w:rPr>
                <w:b/>
                <w:sz w:val="24"/>
                <w:szCs w:val="24"/>
              </w:rPr>
              <w:t xml:space="preserve">       </w:t>
            </w:r>
            <w:proofErr w:type="gramStart"/>
            <w:r w:rsidRPr="002D0792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D0792">
              <w:rPr>
                <w:b/>
                <w:sz w:val="24"/>
                <w:szCs w:val="24"/>
              </w:rPr>
              <w:t>n=5)</w:t>
            </w:r>
          </w:p>
        </w:tc>
        <w:tc>
          <w:tcPr>
            <w:tcW w:w="1890" w:type="dxa"/>
            <w:vAlign w:val="center"/>
          </w:tcPr>
          <w:p w:rsidR="004A54CC" w:rsidRPr="002D0792" w:rsidRDefault="00565044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12</w:t>
            </w:r>
            <w:r w:rsidR="004A54CC" w:rsidRPr="002D0792">
              <w:rPr>
                <w:sz w:val="24"/>
                <w:szCs w:val="24"/>
              </w:rPr>
              <w:t>,9±0.</w:t>
            </w:r>
            <w:r w:rsidR="006F3462" w:rsidRPr="002D0792">
              <w:rPr>
                <w:sz w:val="24"/>
                <w:szCs w:val="24"/>
              </w:rPr>
              <w:t>0</w:t>
            </w:r>
            <w:r w:rsidR="004A54CC" w:rsidRPr="002D0792">
              <w:rPr>
                <w:sz w:val="24"/>
                <w:szCs w:val="24"/>
              </w:rPr>
              <w:t>9</w:t>
            </w:r>
            <w:r w:rsidRPr="002D0792">
              <w:rPr>
                <w:sz w:val="24"/>
                <w:szCs w:val="24"/>
              </w:rPr>
              <w:t>*</w:t>
            </w:r>
          </w:p>
        </w:tc>
        <w:tc>
          <w:tcPr>
            <w:tcW w:w="1890" w:type="dxa"/>
            <w:vAlign w:val="center"/>
          </w:tcPr>
          <w:p w:rsidR="004A54CC" w:rsidRPr="002D0792" w:rsidRDefault="004032F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0,5±0,02</w:t>
            </w:r>
          </w:p>
        </w:tc>
        <w:tc>
          <w:tcPr>
            <w:tcW w:w="1890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</w:t>
            </w:r>
            <w:r w:rsidR="004A54CC" w:rsidRPr="002D0792">
              <w:rPr>
                <w:sz w:val="24"/>
                <w:szCs w:val="24"/>
              </w:rPr>
              <w:t>3,2±0,5*</w:t>
            </w:r>
          </w:p>
        </w:tc>
      </w:tr>
      <w:tr w:rsidR="004A54CC" w:rsidRPr="002D0792" w:rsidTr="00F66CB4">
        <w:trPr>
          <w:trHeight w:val="897"/>
        </w:trPr>
        <w:tc>
          <w:tcPr>
            <w:tcW w:w="4122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2D0792">
              <w:rPr>
                <w:b/>
                <w:sz w:val="24"/>
                <w:szCs w:val="24"/>
              </w:rPr>
              <w:t>Страдающие</w:t>
            </w:r>
            <w:proofErr w:type="gramEnd"/>
            <w:r w:rsidRPr="002D0792">
              <w:rPr>
                <w:b/>
                <w:sz w:val="24"/>
                <w:szCs w:val="24"/>
              </w:rPr>
              <w:t xml:space="preserve"> стабильной стенокардией</w:t>
            </w:r>
            <w:r w:rsidR="006F3462" w:rsidRPr="002D0792">
              <w:rPr>
                <w:b/>
                <w:sz w:val="24"/>
                <w:szCs w:val="24"/>
              </w:rPr>
              <w:t xml:space="preserve"> (n=7</w:t>
            </w:r>
            <w:r w:rsidRPr="002D0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</w:t>
            </w:r>
            <w:r w:rsidR="004A54CC" w:rsidRPr="002D0792">
              <w:rPr>
                <w:sz w:val="24"/>
                <w:szCs w:val="24"/>
              </w:rPr>
              <w:t>,8±0,</w:t>
            </w:r>
            <w:r w:rsidRPr="002D0792">
              <w:rPr>
                <w:sz w:val="24"/>
                <w:szCs w:val="24"/>
              </w:rPr>
              <w:t>0</w:t>
            </w:r>
            <w:r w:rsidR="004A54CC" w:rsidRPr="002D0792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4A54CC" w:rsidRPr="002D0792" w:rsidRDefault="004032F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0,4±0,01</w:t>
            </w:r>
          </w:p>
          <w:p w:rsidR="004032F5" w:rsidRPr="002D0792" w:rsidRDefault="004032F5" w:rsidP="002D07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</w:t>
            </w:r>
            <w:r w:rsidR="004A54CC" w:rsidRPr="002D0792">
              <w:rPr>
                <w:sz w:val="24"/>
                <w:szCs w:val="24"/>
              </w:rPr>
              <w:t>,5±0,4</w:t>
            </w:r>
          </w:p>
        </w:tc>
      </w:tr>
      <w:tr w:rsidR="004A54CC" w:rsidRPr="002D0792" w:rsidTr="00F66CB4">
        <w:trPr>
          <w:trHeight w:val="703"/>
        </w:trPr>
        <w:tc>
          <w:tcPr>
            <w:tcW w:w="4122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2D0792">
              <w:rPr>
                <w:b/>
                <w:sz w:val="24"/>
                <w:szCs w:val="24"/>
              </w:rPr>
              <w:t>Страдающие</w:t>
            </w:r>
            <w:proofErr w:type="gramEnd"/>
            <w:r w:rsidRPr="002D0792">
              <w:rPr>
                <w:b/>
                <w:sz w:val="24"/>
                <w:szCs w:val="24"/>
              </w:rPr>
              <w:t xml:space="preserve"> безболевой ишемией миокарда (n-19)</w:t>
            </w:r>
          </w:p>
        </w:tc>
        <w:tc>
          <w:tcPr>
            <w:tcW w:w="1890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27,2±0,3</w:t>
            </w:r>
          </w:p>
        </w:tc>
        <w:tc>
          <w:tcPr>
            <w:tcW w:w="1890" w:type="dxa"/>
            <w:vAlign w:val="center"/>
          </w:tcPr>
          <w:p w:rsidR="004A54CC" w:rsidRPr="002D0792" w:rsidRDefault="004032F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71,3±1,6</w:t>
            </w:r>
            <w:r w:rsidR="00CA2836" w:rsidRPr="002D0792">
              <w:rPr>
                <w:sz w:val="24"/>
                <w:szCs w:val="24"/>
              </w:rPr>
              <w:t>**</w:t>
            </w:r>
          </w:p>
        </w:tc>
        <w:tc>
          <w:tcPr>
            <w:tcW w:w="1890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0,7±0,03</w:t>
            </w:r>
          </w:p>
        </w:tc>
      </w:tr>
      <w:tr w:rsidR="004A54CC" w:rsidRPr="002D0792" w:rsidTr="00F66CB4">
        <w:trPr>
          <w:trHeight w:val="703"/>
        </w:trPr>
        <w:tc>
          <w:tcPr>
            <w:tcW w:w="4122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0792">
              <w:rPr>
                <w:b/>
                <w:sz w:val="24"/>
                <w:szCs w:val="24"/>
              </w:rPr>
              <w:t>Страдающие ишемической кардиомиопатией, ХСН (n</w:t>
            </w:r>
            <w:r w:rsidR="004032F5" w:rsidRPr="002D0792">
              <w:rPr>
                <w:b/>
                <w:sz w:val="24"/>
                <w:szCs w:val="24"/>
              </w:rPr>
              <w:t>=40</w:t>
            </w:r>
            <w:r w:rsidRPr="002D0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11,3±0,6</w:t>
            </w:r>
          </w:p>
        </w:tc>
        <w:tc>
          <w:tcPr>
            <w:tcW w:w="1890" w:type="dxa"/>
            <w:vAlign w:val="center"/>
          </w:tcPr>
          <w:p w:rsidR="004A54CC" w:rsidRPr="002D0792" w:rsidRDefault="004032F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 xml:space="preserve">  37,9±0,8</w:t>
            </w:r>
          </w:p>
        </w:tc>
        <w:tc>
          <w:tcPr>
            <w:tcW w:w="1890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0,8±0,04</w:t>
            </w:r>
          </w:p>
        </w:tc>
      </w:tr>
      <w:tr w:rsidR="004A54CC" w:rsidRPr="002D0792" w:rsidTr="00F66CB4">
        <w:trPr>
          <w:trHeight w:val="703"/>
        </w:trPr>
        <w:tc>
          <w:tcPr>
            <w:tcW w:w="4122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0792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2D0792">
              <w:rPr>
                <w:b/>
                <w:sz w:val="24"/>
                <w:szCs w:val="24"/>
              </w:rPr>
              <w:t>имеющие</w:t>
            </w:r>
            <w:proofErr w:type="gramEnd"/>
            <w:r w:rsidRPr="002D0792">
              <w:rPr>
                <w:b/>
                <w:sz w:val="24"/>
                <w:szCs w:val="24"/>
              </w:rPr>
              <w:t xml:space="preserve"> признаков ИБС (n=9)</w:t>
            </w:r>
          </w:p>
        </w:tc>
        <w:tc>
          <w:tcPr>
            <w:tcW w:w="1890" w:type="dxa"/>
            <w:vAlign w:val="center"/>
          </w:tcPr>
          <w:p w:rsidR="004A54CC" w:rsidRPr="002D0792" w:rsidRDefault="006F3462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</w:t>
            </w:r>
            <w:r w:rsidR="004A54CC" w:rsidRPr="002D0792">
              <w:rPr>
                <w:sz w:val="24"/>
                <w:szCs w:val="24"/>
              </w:rPr>
              <w:t>,4±0,</w:t>
            </w:r>
            <w:r w:rsidRPr="002D0792">
              <w:rPr>
                <w:sz w:val="24"/>
                <w:szCs w:val="24"/>
              </w:rPr>
              <w:t>0</w:t>
            </w:r>
            <w:r w:rsidR="004A54CC" w:rsidRPr="002D0792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4A54CC" w:rsidRPr="002D0792" w:rsidRDefault="004032F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0,02±0,01</w:t>
            </w:r>
          </w:p>
        </w:tc>
        <w:tc>
          <w:tcPr>
            <w:tcW w:w="1890" w:type="dxa"/>
            <w:vAlign w:val="center"/>
          </w:tcPr>
          <w:p w:rsidR="004A54CC" w:rsidRPr="002D0792" w:rsidRDefault="004A54C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3,7±0,7</w:t>
            </w:r>
          </w:p>
        </w:tc>
      </w:tr>
    </w:tbl>
    <w:p w:rsidR="00574F57" w:rsidRPr="002D0792" w:rsidRDefault="00574F57" w:rsidP="002D0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4CC" w:rsidRPr="002D0792" w:rsidRDefault="004A54CC" w:rsidP="002D0792">
      <w:pPr>
        <w:spacing w:after="0" w:line="240" w:lineRule="auto"/>
        <w:ind w:left="-600" w:right="-2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57" w:rsidRPr="002D0792" w:rsidRDefault="00574F57" w:rsidP="002D0792">
      <w:pPr>
        <w:spacing w:after="0" w:line="240" w:lineRule="auto"/>
        <w:ind w:left="-600" w:right="-2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&lt;0,01 **р&lt;0,05 - по сравнению с группой пациентов, не имеющих признаков ИБС</w:t>
      </w:r>
    </w:p>
    <w:p w:rsidR="00CA2836" w:rsidRPr="002D0792" w:rsidRDefault="00CA2836" w:rsidP="002D0792">
      <w:pPr>
        <w:spacing w:after="0" w:line="240" w:lineRule="auto"/>
        <w:ind w:left="-600" w:right="-2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36" w:rsidRPr="002D0792" w:rsidRDefault="00CA2836" w:rsidP="002D0792">
      <w:pPr>
        <w:spacing w:after="0" w:line="240" w:lineRule="auto"/>
        <w:ind w:left="-600" w:right="-2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36" w:rsidRPr="002D0792" w:rsidRDefault="00CA2836" w:rsidP="002D0792">
      <w:pPr>
        <w:spacing w:after="0" w:line="240" w:lineRule="auto"/>
        <w:ind w:left="-600" w:right="-2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Показатели белков острой фазы воспаления, костно-минерального и липидного </w:t>
      </w:r>
    </w:p>
    <w:p w:rsidR="00CA2836" w:rsidRPr="002D0792" w:rsidRDefault="00CA2836" w:rsidP="002D0792">
      <w:pPr>
        <w:spacing w:after="0" w:line="240" w:lineRule="auto"/>
        <w:ind w:left="-600" w:right="-2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обменов.</w:t>
      </w: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280"/>
        <w:gridCol w:w="1080"/>
        <w:gridCol w:w="1200"/>
        <w:gridCol w:w="1080"/>
        <w:gridCol w:w="1080"/>
        <w:gridCol w:w="1200"/>
        <w:gridCol w:w="1200"/>
        <w:gridCol w:w="1320"/>
      </w:tblGrid>
      <w:tr w:rsidR="00574F57" w:rsidRPr="002D0792" w:rsidTr="00F27F4E">
        <w:trPr>
          <w:trHeight w:val="837"/>
        </w:trPr>
        <w:tc>
          <w:tcPr>
            <w:tcW w:w="22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0792">
              <w:rPr>
                <w:b/>
                <w:sz w:val="24"/>
                <w:szCs w:val="24"/>
              </w:rPr>
              <w:t>Клинические группы</w:t>
            </w:r>
          </w:p>
        </w:tc>
        <w:tc>
          <w:tcPr>
            <w:tcW w:w="1080" w:type="dxa"/>
            <w:vAlign w:val="center"/>
          </w:tcPr>
          <w:p w:rsidR="00574F57" w:rsidRPr="002D0792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СРБ</w:t>
            </w:r>
            <w:r w:rsidR="008074D5">
              <w:rPr>
                <w:sz w:val="24"/>
                <w:szCs w:val="24"/>
                <w:lang w:val="en-US"/>
              </w:rPr>
              <w:t xml:space="preserve"> </w:t>
            </w:r>
            <w:r w:rsidR="00F46E94" w:rsidRPr="002D0792">
              <w:rPr>
                <w:sz w:val="24"/>
                <w:szCs w:val="24"/>
              </w:rPr>
              <w:t>мг/мл</w:t>
            </w:r>
          </w:p>
        </w:tc>
        <w:tc>
          <w:tcPr>
            <w:tcW w:w="1200" w:type="dxa"/>
            <w:vAlign w:val="center"/>
          </w:tcPr>
          <w:p w:rsidR="00EC1E6F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САА</w:t>
            </w:r>
            <w:proofErr w:type="gramStart"/>
            <w:r w:rsidR="00EC1E6F">
              <w:rPr>
                <w:sz w:val="24"/>
                <w:szCs w:val="24"/>
              </w:rPr>
              <w:t>1</w:t>
            </w:r>
            <w:proofErr w:type="gramEnd"/>
          </w:p>
          <w:p w:rsidR="00574F57" w:rsidRPr="002D0792" w:rsidRDefault="00EC1E6F" w:rsidP="002D079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F46E94" w:rsidRPr="002D0792">
              <w:rPr>
                <w:sz w:val="24"/>
                <w:szCs w:val="24"/>
              </w:rPr>
              <w:t>г/мл</w:t>
            </w:r>
          </w:p>
        </w:tc>
        <w:tc>
          <w:tcPr>
            <w:tcW w:w="10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D0792">
              <w:rPr>
                <w:sz w:val="24"/>
                <w:szCs w:val="24"/>
              </w:rPr>
              <w:t>Са×</w:t>
            </w:r>
            <w:proofErr w:type="gramStart"/>
            <w:r w:rsidRPr="002D079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</w:p>
          <w:p w:rsidR="00574F57" w:rsidRPr="002D0792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и-</w:t>
            </w:r>
            <w:r w:rsidR="00574F57" w:rsidRPr="002D0792">
              <w:rPr>
                <w:sz w:val="24"/>
                <w:szCs w:val="24"/>
              </w:rPr>
              <w:t>ПТГ</w:t>
            </w:r>
          </w:p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D0792">
              <w:rPr>
                <w:sz w:val="24"/>
                <w:szCs w:val="24"/>
              </w:rPr>
              <w:t>пг</w:t>
            </w:r>
            <w:proofErr w:type="spellEnd"/>
            <w:r w:rsidRPr="002D0792">
              <w:rPr>
                <w:sz w:val="24"/>
                <w:szCs w:val="24"/>
              </w:rPr>
              <w:t>/мл</w:t>
            </w:r>
          </w:p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ЛПВП</w:t>
            </w:r>
          </w:p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 xml:space="preserve">ммоль/л                          </w:t>
            </w:r>
          </w:p>
        </w:tc>
        <w:tc>
          <w:tcPr>
            <w:tcW w:w="120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ЛПНП</w:t>
            </w:r>
          </w:p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 xml:space="preserve">ммоль/л                          </w:t>
            </w:r>
          </w:p>
        </w:tc>
        <w:tc>
          <w:tcPr>
            <w:tcW w:w="132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ТГ</w:t>
            </w:r>
          </w:p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 xml:space="preserve">ммоль/л                          </w:t>
            </w:r>
          </w:p>
        </w:tc>
      </w:tr>
      <w:tr w:rsidR="00574F57" w:rsidRPr="002D0792" w:rsidTr="00F27F4E">
        <w:trPr>
          <w:trHeight w:val="703"/>
        </w:trPr>
        <w:tc>
          <w:tcPr>
            <w:tcW w:w="2280" w:type="dxa"/>
            <w:vAlign w:val="center"/>
          </w:tcPr>
          <w:p w:rsidR="00574F57" w:rsidRPr="002D0792" w:rsidRDefault="00574F57" w:rsidP="00175BD8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2D0792">
              <w:rPr>
                <w:b/>
                <w:sz w:val="24"/>
                <w:szCs w:val="24"/>
              </w:rPr>
              <w:t>Перенесшие</w:t>
            </w:r>
            <w:proofErr w:type="gramEnd"/>
            <w:r w:rsidRPr="002D0792">
              <w:rPr>
                <w:b/>
                <w:sz w:val="24"/>
                <w:szCs w:val="24"/>
              </w:rPr>
              <w:t xml:space="preserve"> инфаркт миокарда (n=5)</w:t>
            </w:r>
          </w:p>
        </w:tc>
        <w:tc>
          <w:tcPr>
            <w:tcW w:w="1080" w:type="dxa"/>
            <w:vAlign w:val="center"/>
          </w:tcPr>
          <w:p w:rsidR="00574F57" w:rsidRPr="002D0792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24,5±0,3</w:t>
            </w:r>
          </w:p>
        </w:tc>
        <w:tc>
          <w:tcPr>
            <w:tcW w:w="1200" w:type="dxa"/>
            <w:vAlign w:val="center"/>
          </w:tcPr>
          <w:p w:rsidR="00574F57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0,4±0,03</w:t>
            </w:r>
          </w:p>
        </w:tc>
        <w:tc>
          <w:tcPr>
            <w:tcW w:w="1080" w:type="dxa"/>
            <w:vAlign w:val="center"/>
          </w:tcPr>
          <w:p w:rsidR="00574F57" w:rsidRPr="002D0792" w:rsidRDefault="00CA2836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6,1±0,2</w:t>
            </w:r>
          </w:p>
        </w:tc>
        <w:tc>
          <w:tcPr>
            <w:tcW w:w="10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984</w:t>
            </w:r>
            <w:r w:rsidR="002076BA" w:rsidRPr="002D0792">
              <w:rPr>
                <w:sz w:val="24"/>
                <w:szCs w:val="24"/>
              </w:rPr>
              <w:t>±2,7</w:t>
            </w:r>
          </w:p>
        </w:tc>
        <w:tc>
          <w:tcPr>
            <w:tcW w:w="1200" w:type="dxa"/>
            <w:vAlign w:val="center"/>
          </w:tcPr>
          <w:p w:rsidR="00574F57" w:rsidRPr="002D0792" w:rsidRDefault="004670B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1,2</w:t>
            </w:r>
            <w:r w:rsidR="00574F57" w:rsidRPr="002D0792">
              <w:rPr>
                <w:sz w:val="24"/>
                <w:szCs w:val="24"/>
              </w:rPr>
              <w:t>±0,9</w:t>
            </w:r>
          </w:p>
        </w:tc>
        <w:tc>
          <w:tcPr>
            <w:tcW w:w="1200" w:type="dxa"/>
            <w:vAlign w:val="center"/>
          </w:tcPr>
          <w:p w:rsidR="00574F57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4</w:t>
            </w:r>
            <w:r w:rsidR="00574F57" w:rsidRPr="002D0792">
              <w:rPr>
                <w:sz w:val="24"/>
                <w:szCs w:val="24"/>
              </w:rPr>
              <w:t>,3±0,8</w:t>
            </w:r>
          </w:p>
        </w:tc>
        <w:tc>
          <w:tcPr>
            <w:tcW w:w="132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1,9±0,3</w:t>
            </w:r>
          </w:p>
        </w:tc>
      </w:tr>
      <w:tr w:rsidR="00574F57" w:rsidRPr="002D0792" w:rsidTr="00F27F4E">
        <w:trPr>
          <w:trHeight w:val="897"/>
        </w:trPr>
        <w:tc>
          <w:tcPr>
            <w:tcW w:w="22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2D0792">
              <w:rPr>
                <w:b/>
                <w:sz w:val="24"/>
                <w:szCs w:val="24"/>
              </w:rPr>
              <w:t>Страдающие</w:t>
            </w:r>
            <w:proofErr w:type="gramEnd"/>
            <w:r w:rsidRPr="002D0792">
              <w:rPr>
                <w:b/>
                <w:sz w:val="24"/>
                <w:szCs w:val="24"/>
              </w:rPr>
              <w:t xml:space="preserve"> стабильной стенокардией</w:t>
            </w:r>
            <w:r w:rsidR="002076BA" w:rsidRPr="002D0792">
              <w:rPr>
                <w:b/>
                <w:sz w:val="24"/>
                <w:szCs w:val="24"/>
              </w:rPr>
              <w:t xml:space="preserve"> (n=7</w:t>
            </w:r>
            <w:r w:rsidRPr="002D0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574F57" w:rsidRPr="002D0792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0,3±0,02</w:t>
            </w:r>
          </w:p>
        </w:tc>
        <w:tc>
          <w:tcPr>
            <w:tcW w:w="1200" w:type="dxa"/>
            <w:vAlign w:val="center"/>
          </w:tcPr>
          <w:p w:rsidR="00574F57" w:rsidRPr="002D0792" w:rsidRDefault="00F46E94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0,6±0,04</w:t>
            </w:r>
          </w:p>
        </w:tc>
        <w:tc>
          <w:tcPr>
            <w:tcW w:w="10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4,1±0,4</w:t>
            </w:r>
          </w:p>
        </w:tc>
        <w:tc>
          <w:tcPr>
            <w:tcW w:w="10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483</w:t>
            </w:r>
            <w:r w:rsidR="002076BA" w:rsidRPr="002D0792">
              <w:rPr>
                <w:sz w:val="24"/>
                <w:szCs w:val="24"/>
              </w:rPr>
              <w:t>±1</w:t>
            </w:r>
            <w:r w:rsidRPr="002D0792">
              <w:rPr>
                <w:sz w:val="24"/>
                <w:szCs w:val="24"/>
              </w:rPr>
              <w:t>,4</w:t>
            </w:r>
          </w:p>
        </w:tc>
        <w:tc>
          <w:tcPr>
            <w:tcW w:w="1200" w:type="dxa"/>
            <w:vAlign w:val="center"/>
          </w:tcPr>
          <w:p w:rsidR="00574F57" w:rsidRPr="002D0792" w:rsidRDefault="004670B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1,3-</w:t>
            </w:r>
            <w:r w:rsidR="00574F57" w:rsidRPr="002D0792">
              <w:rPr>
                <w:sz w:val="24"/>
                <w:szCs w:val="24"/>
              </w:rPr>
              <w:t>±0,8</w:t>
            </w:r>
          </w:p>
        </w:tc>
        <w:tc>
          <w:tcPr>
            <w:tcW w:w="1200" w:type="dxa"/>
            <w:vAlign w:val="center"/>
          </w:tcPr>
          <w:p w:rsidR="00574F57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3</w:t>
            </w:r>
            <w:r w:rsidR="00574F57" w:rsidRPr="002D0792">
              <w:rPr>
                <w:sz w:val="24"/>
                <w:szCs w:val="24"/>
              </w:rPr>
              <w:t>,1±0,8</w:t>
            </w:r>
            <w:r w:rsidR="00565044" w:rsidRPr="002D0792">
              <w:rPr>
                <w:sz w:val="24"/>
                <w:szCs w:val="24"/>
              </w:rPr>
              <w:t>*</w:t>
            </w:r>
          </w:p>
        </w:tc>
        <w:tc>
          <w:tcPr>
            <w:tcW w:w="132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2,2±0,8</w:t>
            </w:r>
            <w:r w:rsidR="00565044" w:rsidRPr="002D0792">
              <w:rPr>
                <w:sz w:val="24"/>
                <w:szCs w:val="24"/>
              </w:rPr>
              <w:t>*</w:t>
            </w:r>
          </w:p>
        </w:tc>
      </w:tr>
      <w:tr w:rsidR="004A54CC" w:rsidRPr="002D0792" w:rsidTr="00F27F4E">
        <w:trPr>
          <w:trHeight w:val="703"/>
        </w:trPr>
        <w:tc>
          <w:tcPr>
            <w:tcW w:w="2280" w:type="dxa"/>
            <w:vAlign w:val="center"/>
          </w:tcPr>
          <w:p w:rsidR="004A54CC" w:rsidRPr="002D0792" w:rsidRDefault="001C0E7C" w:rsidP="008074D5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2D0792">
              <w:rPr>
                <w:b/>
                <w:sz w:val="24"/>
                <w:szCs w:val="24"/>
              </w:rPr>
              <w:t>Страдающие</w:t>
            </w:r>
            <w:proofErr w:type="gramEnd"/>
            <w:r w:rsidRPr="002D0792">
              <w:rPr>
                <w:b/>
                <w:sz w:val="24"/>
                <w:szCs w:val="24"/>
              </w:rPr>
              <w:t xml:space="preserve"> безболевой </w:t>
            </w:r>
            <w:r w:rsidRPr="002D0792">
              <w:rPr>
                <w:b/>
                <w:sz w:val="24"/>
                <w:szCs w:val="24"/>
              </w:rPr>
              <w:lastRenderedPageBreak/>
              <w:t>ишемией миокарда</w:t>
            </w:r>
            <w:r w:rsidR="008074D5">
              <w:rPr>
                <w:b/>
                <w:sz w:val="24"/>
                <w:szCs w:val="24"/>
                <w:lang w:val="en-US"/>
              </w:rPr>
              <w:t xml:space="preserve"> </w:t>
            </w:r>
            <w:r w:rsidR="002076BA" w:rsidRPr="002D0792">
              <w:rPr>
                <w:b/>
                <w:sz w:val="24"/>
                <w:szCs w:val="24"/>
              </w:rPr>
              <w:t>(n-19)</w:t>
            </w:r>
          </w:p>
        </w:tc>
        <w:tc>
          <w:tcPr>
            <w:tcW w:w="1080" w:type="dxa"/>
            <w:vAlign w:val="center"/>
          </w:tcPr>
          <w:p w:rsidR="004A54CC" w:rsidRPr="002D0792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lastRenderedPageBreak/>
              <w:t>0,9±0,04</w:t>
            </w:r>
          </w:p>
        </w:tc>
        <w:tc>
          <w:tcPr>
            <w:tcW w:w="1200" w:type="dxa"/>
            <w:vAlign w:val="center"/>
          </w:tcPr>
          <w:p w:rsidR="004A54CC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2,5±0,9</w:t>
            </w:r>
            <w:r w:rsidR="00CA2836" w:rsidRPr="002D0792">
              <w:rPr>
                <w:sz w:val="24"/>
                <w:szCs w:val="24"/>
              </w:rPr>
              <w:t>**</w:t>
            </w:r>
          </w:p>
        </w:tc>
        <w:tc>
          <w:tcPr>
            <w:tcW w:w="1080" w:type="dxa"/>
            <w:vAlign w:val="center"/>
          </w:tcPr>
          <w:p w:rsidR="004A54CC" w:rsidRPr="002D0792" w:rsidRDefault="00F46E94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5,4±0,7</w:t>
            </w:r>
            <w:r w:rsidR="00CA2836" w:rsidRPr="002D0792">
              <w:rPr>
                <w:sz w:val="24"/>
                <w:szCs w:val="24"/>
              </w:rPr>
              <w:t>*</w:t>
            </w:r>
          </w:p>
        </w:tc>
        <w:tc>
          <w:tcPr>
            <w:tcW w:w="1080" w:type="dxa"/>
            <w:vAlign w:val="center"/>
          </w:tcPr>
          <w:p w:rsidR="004A54CC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784±0,8</w:t>
            </w:r>
          </w:p>
        </w:tc>
        <w:tc>
          <w:tcPr>
            <w:tcW w:w="1200" w:type="dxa"/>
            <w:vAlign w:val="center"/>
          </w:tcPr>
          <w:p w:rsidR="004A54CC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0,9±0,07</w:t>
            </w:r>
          </w:p>
        </w:tc>
        <w:tc>
          <w:tcPr>
            <w:tcW w:w="1200" w:type="dxa"/>
            <w:vAlign w:val="center"/>
          </w:tcPr>
          <w:p w:rsidR="002076BA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5,3±0,6</w:t>
            </w:r>
          </w:p>
        </w:tc>
        <w:tc>
          <w:tcPr>
            <w:tcW w:w="1320" w:type="dxa"/>
            <w:vAlign w:val="center"/>
          </w:tcPr>
          <w:p w:rsidR="004A54CC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2,7±0,9</w:t>
            </w:r>
          </w:p>
        </w:tc>
      </w:tr>
      <w:tr w:rsidR="00574F57" w:rsidRPr="002D0792" w:rsidTr="00F27F4E">
        <w:trPr>
          <w:trHeight w:val="703"/>
        </w:trPr>
        <w:tc>
          <w:tcPr>
            <w:tcW w:w="2280" w:type="dxa"/>
            <w:vAlign w:val="center"/>
          </w:tcPr>
          <w:p w:rsidR="00574F57" w:rsidRPr="002D0792" w:rsidRDefault="00574F57" w:rsidP="008074D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0792">
              <w:rPr>
                <w:b/>
                <w:sz w:val="24"/>
                <w:szCs w:val="24"/>
              </w:rPr>
              <w:lastRenderedPageBreak/>
              <w:t>Страдающие ишемической кардиомиопатией, ХСН (n</w:t>
            </w:r>
            <w:r w:rsidR="002076BA" w:rsidRPr="002D0792">
              <w:rPr>
                <w:b/>
                <w:sz w:val="24"/>
                <w:szCs w:val="24"/>
              </w:rPr>
              <w:t>=40</w:t>
            </w:r>
            <w:r w:rsidRPr="002D0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574F57" w:rsidRPr="002D0792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1,5±</w:t>
            </w:r>
            <w:r w:rsidR="002076BA" w:rsidRPr="002D0792">
              <w:rPr>
                <w:sz w:val="24"/>
                <w:szCs w:val="24"/>
              </w:rPr>
              <w:t>0,7</w:t>
            </w:r>
          </w:p>
        </w:tc>
        <w:tc>
          <w:tcPr>
            <w:tcW w:w="1200" w:type="dxa"/>
            <w:vAlign w:val="center"/>
          </w:tcPr>
          <w:p w:rsidR="00574F57" w:rsidRPr="002D0792" w:rsidRDefault="00F46E94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2,3±0,7</w:t>
            </w:r>
          </w:p>
        </w:tc>
        <w:tc>
          <w:tcPr>
            <w:tcW w:w="10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5,3±0,8</w:t>
            </w:r>
          </w:p>
        </w:tc>
        <w:tc>
          <w:tcPr>
            <w:tcW w:w="1080" w:type="dxa"/>
            <w:vAlign w:val="center"/>
          </w:tcPr>
          <w:p w:rsidR="00574F57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621±2</w:t>
            </w:r>
            <w:r w:rsidR="00574F57" w:rsidRPr="002D0792">
              <w:rPr>
                <w:sz w:val="24"/>
                <w:szCs w:val="24"/>
              </w:rPr>
              <w:t>,2</w:t>
            </w:r>
          </w:p>
        </w:tc>
        <w:tc>
          <w:tcPr>
            <w:tcW w:w="1200" w:type="dxa"/>
            <w:vAlign w:val="center"/>
          </w:tcPr>
          <w:p w:rsidR="00574F57" w:rsidRPr="002D0792" w:rsidRDefault="00CA2836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0,9±0,4</w:t>
            </w:r>
          </w:p>
        </w:tc>
        <w:tc>
          <w:tcPr>
            <w:tcW w:w="120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5,9±0,7**</w:t>
            </w:r>
          </w:p>
        </w:tc>
        <w:tc>
          <w:tcPr>
            <w:tcW w:w="132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3,1±0,2**</w:t>
            </w:r>
          </w:p>
        </w:tc>
      </w:tr>
      <w:tr w:rsidR="00574F57" w:rsidRPr="002D0792" w:rsidTr="00F27F4E">
        <w:trPr>
          <w:trHeight w:val="703"/>
        </w:trPr>
        <w:tc>
          <w:tcPr>
            <w:tcW w:w="22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D0792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2D0792">
              <w:rPr>
                <w:b/>
                <w:sz w:val="24"/>
                <w:szCs w:val="24"/>
              </w:rPr>
              <w:t>имеющие</w:t>
            </w:r>
            <w:proofErr w:type="gramEnd"/>
            <w:r w:rsidRPr="002D0792">
              <w:rPr>
                <w:b/>
                <w:sz w:val="24"/>
                <w:szCs w:val="24"/>
              </w:rPr>
              <w:t xml:space="preserve"> признаков ИБС (n=9)</w:t>
            </w:r>
          </w:p>
        </w:tc>
        <w:tc>
          <w:tcPr>
            <w:tcW w:w="1080" w:type="dxa"/>
            <w:vAlign w:val="center"/>
          </w:tcPr>
          <w:p w:rsidR="00574F57" w:rsidRPr="002D0792" w:rsidRDefault="001C0E7C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0,06±</w:t>
            </w:r>
            <w:r w:rsidR="002076BA" w:rsidRPr="002D0792">
              <w:rPr>
                <w:sz w:val="24"/>
                <w:szCs w:val="24"/>
              </w:rPr>
              <w:t>0,1</w:t>
            </w:r>
          </w:p>
        </w:tc>
        <w:tc>
          <w:tcPr>
            <w:tcW w:w="1200" w:type="dxa"/>
            <w:vAlign w:val="center"/>
          </w:tcPr>
          <w:p w:rsidR="00574F57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0,3±0,02</w:t>
            </w:r>
          </w:p>
        </w:tc>
        <w:tc>
          <w:tcPr>
            <w:tcW w:w="108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3,7±0,5</w:t>
            </w:r>
          </w:p>
        </w:tc>
        <w:tc>
          <w:tcPr>
            <w:tcW w:w="1080" w:type="dxa"/>
            <w:vAlign w:val="center"/>
          </w:tcPr>
          <w:p w:rsidR="00574F57" w:rsidRPr="002D0792" w:rsidRDefault="002076BA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294±1</w:t>
            </w:r>
            <w:r w:rsidR="00574F57" w:rsidRPr="002D0792">
              <w:rPr>
                <w:sz w:val="24"/>
                <w:szCs w:val="24"/>
              </w:rPr>
              <w:t>,9</w:t>
            </w:r>
          </w:p>
        </w:tc>
        <w:tc>
          <w:tcPr>
            <w:tcW w:w="1200" w:type="dxa"/>
            <w:vAlign w:val="center"/>
          </w:tcPr>
          <w:p w:rsidR="00574F57" w:rsidRPr="002D0792" w:rsidRDefault="004670B5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1,1</w:t>
            </w:r>
            <w:r w:rsidR="00574F57" w:rsidRPr="002D0792">
              <w:rPr>
                <w:sz w:val="24"/>
                <w:szCs w:val="24"/>
              </w:rPr>
              <w:t>±0,7</w:t>
            </w:r>
            <w:r w:rsidR="00565044" w:rsidRPr="002D0792">
              <w:rPr>
                <w:sz w:val="24"/>
                <w:szCs w:val="24"/>
              </w:rPr>
              <w:t>**</w:t>
            </w:r>
          </w:p>
        </w:tc>
        <w:tc>
          <w:tcPr>
            <w:tcW w:w="120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4,2±0,2</w:t>
            </w:r>
          </w:p>
        </w:tc>
        <w:tc>
          <w:tcPr>
            <w:tcW w:w="1320" w:type="dxa"/>
            <w:vAlign w:val="center"/>
          </w:tcPr>
          <w:p w:rsidR="00574F57" w:rsidRPr="002D0792" w:rsidRDefault="00574F57" w:rsidP="002D0792">
            <w:pPr>
              <w:contextualSpacing/>
              <w:jc w:val="both"/>
              <w:rPr>
                <w:sz w:val="24"/>
                <w:szCs w:val="24"/>
              </w:rPr>
            </w:pPr>
            <w:r w:rsidRPr="002D0792">
              <w:rPr>
                <w:sz w:val="24"/>
                <w:szCs w:val="24"/>
              </w:rPr>
              <w:t>1,5±0,8</w:t>
            </w:r>
          </w:p>
        </w:tc>
      </w:tr>
    </w:tbl>
    <w:p w:rsidR="00A93E84" w:rsidRPr="002D0792" w:rsidRDefault="00A93E84" w:rsidP="002D0792">
      <w:pPr>
        <w:spacing w:after="0" w:line="240" w:lineRule="auto"/>
        <w:ind w:left="-600" w:right="-2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&lt;0,01 **р&lt;0,05 - по сравнению с группой пациентов, не имеющих признаков ИБС</w:t>
      </w:r>
    </w:p>
    <w:p w:rsidR="00A93E84" w:rsidRPr="002D0792" w:rsidRDefault="00A93E84" w:rsidP="002D0792">
      <w:pPr>
        <w:spacing w:after="0" w:line="240" w:lineRule="auto"/>
        <w:ind w:left="-600" w:right="-2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57" w:rsidRPr="002D0792" w:rsidRDefault="00574F57" w:rsidP="002D07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57" w:rsidRPr="002D0792" w:rsidRDefault="004670B5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нами данные совпадают с результатами п</w:t>
      </w:r>
      <w:r w:rsidR="00565044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роспективных исследований ЕСАТ, а также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Johnson B.D. и соавторов, которые подтвердили важную роль САА в патогенезе атеросклероза</w:t>
      </w:r>
      <w:r w:rsidR="00B1522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прогрессировании хронической ишемической болезни сердца,</w:t>
      </w: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как предиктора острых</w:t>
      </w:r>
      <w:r w:rsidR="00B1522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522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="00B1522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[</w:t>
      </w:r>
      <w:r w:rsidR="00EB7C0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B1522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gramStart"/>
      <w:r w:rsidR="00B1522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значительное повышение САА</w:t>
      </w:r>
      <w:r w:rsidR="00EC1E6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1522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2-3 раза) и ИЛ-8 в группе пациентов с безболевой ишемией миокарда и ишемической дилятационной кардиомиопатией, свидетельствует о стойко существующей выраженной общей реакции воспаления в данных клинических группах, направленной на уменьшение эндотелиального повреждения</w:t>
      </w:r>
      <w:r w:rsidR="00EB7C0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ограничение</w:t>
      </w:r>
      <w:r w:rsidR="006A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некроза</w:t>
      </w:r>
      <w:r w:rsidR="00EB7C0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</w:t>
      </w:r>
      <w:r w:rsidR="006A03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760F0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ишемических очагов в миокарде с развитием в последующем дифф</w:t>
      </w:r>
      <w:r w:rsidR="00EB7C0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узного кардиосклероза и </w:t>
      </w:r>
      <w:r w:rsidR="00A760F0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сердечной недостаточности.</w:t>
      </w:r>
      <w:proofErr w:type="gramEnd"/>
      <w:r w:rsidR="00A760F0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="006A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A760F0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ограничить</w:t>
      </w:r>
      <w:r w:rsidR="006A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некроза такого мелкого ишемического</w:t>
      </w:r>
      <w:r w:rsidR="00A760F0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</w:t>
      </w:r>
      <w:r w:rsidR="006A03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60F0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миокарда иммунологическим участникам общей реакции воспаления не удаётся, </w:t>
      </w:r>
      <w:r w:rsidR="00EB7C01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вероятнее всего, </w:t>
      </w:r>
      <w:r w:rsidR="00A760F0"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острое коронарное событие.</w:t>
      </w:r>
    </w:p>
    <w:p w:rsidR="00F87B41" w:rsidRPr="002D0792" w:rsidRDefault="00574F57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87B41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Системная воспалительная реакция у пациентов с ХБП на ПД  как фактор прогрессирования ИБС тесно связана с дислипидемией и </w:t>
      </w:r>
      <w:proofErr w:type="gramStart"/>
      <w:r w:rsidR="00F87B41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сосудистой</w:t>
      </w:r>
      <w:proofErr w:type="gramEnd"/>
      <w:r w:rsidR="00F87B41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кальцификацией на фоне</w:t>
      </w: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87B41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нарушений минерального и костного обменов.</w:t>
      </w:r>
    </w:p>
    <w:p w:rsidR="008102ED" w:rsidRPr="002D0792" w:rsidRDefault="00F87B41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провоспалительных интерлейкинов и белков острой фазы воспаления</w:t>
      </w:r>
      <w:r w:rsidR="005F42EE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комбинация высоких показателей ИЛ-8, САА</w:t>
      </w:r>
      <w:r w:rsidR="008102ED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proofErr w:type="spellStart"/>
      <w:r w:rsidR="008102ED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гипертриглицеридемией</w:t>
      </w:r>
      <w:proofErr w:type="spellEnd"/>
      <w:r w:rsidR="008102ED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высоким фосфорно-кальциевым произведением </w:t>
      </w:r>
      <w:r w:rsidR="008102ED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может служить  фактором </w:t>
      </w:r>
      <w:r w:rsidR="005F42EE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прогрессирования хронической ИБС</w:t>
      </w:r>
      <w:r w:rsidR="008102ED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развитием ишемической дилятационной кардиомиопатии  и сердечной недостаточности.</w:t>
      </w:r>
      <w:r w:rsidR="00574F57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056B" w:rsidRDefault="00EB7C01" w:rsidP="0066748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Предикторами острых коронарных рисков могут быть</w:t>
      </w:r>
      <w:r w:rsidR="008102ED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4F2E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повышение ФН</w:t>
      </w:r>
      <w:proofErr w:type="gramStart"/>
      <w:r w:rsidR="00904F2E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904F2E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α</w:t>
      </w: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ИЛ-1β</w:t>
      </w:r>
      <w:r w:rsidR="002A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СРБ </w:t>
      </w: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1-2 месяца до произоше</w:t>
      </w:r>
      <w:r w:rsidR="007858FE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дшего  острого коронарного события</w:t>
      </w:r>
      <w:r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4F57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4F57" w:rsidRPr="002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786A" w:rsidRDefault="002A786A" w:rsidP="0066748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86A" w:rsidRPr="002A786A" w:rsidRDefault="002A786A" w:rsidP="0066748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67481" w:rsidRPr="00F10FCE" w:rsidRDefault="00667481" w:rsidP="0066748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37" w:rsidRPr="00B87737" w:rsidRDefault="00B87737" w:rsidP="00B877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ЛИТЕРАТУРА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Бурместер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Г.-Р., Пецутто А. Наглядная иммунология / Бином. Лаборатория знаний. - 2009. - С.266-295.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Вельков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Клинико-лабораторный консилиум. Научно-практический журнал, 2008, 2 (21),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.37-48, Россия, г. Пу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Демьянова А.В., Котов А.Ю., Симбирцев А.С. Диагностическая ценность исследования уровней цитокинов в клинической практике. // Цитокины и Воспаление. - 2003. - №3.   -т.2. - С.20-34. 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Королёва О.С., </w:t>
      </w:r>
      <w:proofErr w:type="gramStart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Затейщиков</w:t>
      </w:r>
      <w:proofErr w:type="gramEnd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«Биомаркеры в кардиологии: регистрация внутрисосудистого воспаления», Кардиология и общая терапия, №8/9 (143)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2009, С.17-22.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Мерай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Юровский А.Ю., Павликова Е.П., Ефремовцева М.А., Моисеев В.С. Прогностическое значение функционального состояния почек у пациентов с острой декомпенсацией хронической сердечной недостаточности // Кардиоваскулярная терапия и профилактика. - 2008. - т.7, №4. - С.54-58.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Насонов Е.Л. Иммунологические маркеры атеросклероза. Терапевтический архив. – 2002. - №5. - С.80-85.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Скворцова В.И, Константинов Е.В., Тимофеев В.Т. «Провоспалительные цитокины у больных с острым ишемическим инсультом и инфарктом миокарда», «Неврологический вестник», 2007, т.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XXXLX</w:t>
      </w: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1, С.22-25.</w:t>
      </w:r>
    </w:p>
    <w:p w:rsidR="00B87737" w:rsidRPr="00941FF5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Francis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Zhang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Weiss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AJP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Heart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</w:t>
      </w:r>
      <w:proofErr w:type="spellEnd"/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Physiol</w:t>
      </w:r>
      <w:proofErr w:type="spellEnd"/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2004.  </w:t>
      </w:r>
      <w:proofErr w:type="spellStart"/>
      <w:proofErr w:type="gram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. 287.</w:t>
      </w:r>
      <w:proofErr w:type="gramEnd"/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791-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797.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Hallenbeck</w:t>
      </w:r>
      <w:proofErr w:type="spellEnd"/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Hansson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Immunology</w:t>
      </w:r>
      <w:r w:rsidRPr="0094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2005.  Vol. 26. 10. P. 550-556.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Hillis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G.S.,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Terregino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C.A., Taggart P. et al. // Ann.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Emerg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Med.</w:t>
      </w:r>
      <w:proofErr w:type="gram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2003.  Vol. 42.  P. 337-342.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</w:t>
      </w:r>
      <w:r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Iadecola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Alexander M. //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Curr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Opin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Neurol.</w:t>
      </w:r>
      <w:proofErr w:type="gram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2001.  Vol. 14.  P. 89-94.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</w:t>
      </w:r>
      <w:r w:rsidRPr="00B8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Kanda T.,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Hirao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Oschima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 // J.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1996.  Vol. 77.  P. 304-307.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Kossmann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Stahel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P.F.,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Lenzlinger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P.M. et al. // J.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Cereb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Blood.</w:t>
      </w:r>
      <w:proofErr w:type="gram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Flow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Metab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1997.  Vol. 17 (3).  P. 280-289.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14.</w:t>
      </w:r>
      <w:r w:rsidRPr="0094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Orgogozo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J.M., </w:t>
      </w:r>
      <w:proofErr w:type="spell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Dartigues</w:t>
      </w:r>
      <w:proofErr w:type="spell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J.F. Acute brain ischemia. </w:t>
      </w:r>
      <w:proofErr w:type="gramStart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 and surgical therapy.</w:t>
      </w:r>
      <w:proofErr w:type="gramEnd"/>
      <w:r w:rsidRPr="00B8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N. Battistini et al. (eds.)  New York, 1986.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15.</w:t>
      </w:r>
      <w:r w:rsidRPr="00941FF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Perini F., Morra M., Alecci M. et al. // Neurol Sci.  2001.  Vol. 22.  P. 289-296.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16.</w:t>
      </w:r>
      <w:r w:rsidRPr="00941FF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Um J.Y. et al. // Brain Res. Mol. Brain Res.  2003.  Vol. 115.  P. 50-54.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773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17.</w:t>
      </w:r>
      <w:r w:rsidRPr="00941FF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8773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Van de Werf, Ardissino D., Betriu A. et al. // Eur. Heart. J.  2003.  Vol. 24.  P. 28-66</w:t>
      </w:r>
    </w:p>
    <w:p w:rsidR="00B87737" w:rsidRPr="00B87737" w:rsidRDefault="00B87737" w:rsidP="00B87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7737" w:rsidRPr="002D0792" w:rsidRDefault="00B87737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57" w:rsidRPr="002D0792" w:rsidRDefault="00574F57" w:rsidP="002D07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74F57" w:rsidRPr="002D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85"/>
    <w:rsid w:val="000016BF"/>
    <w:rsid w:val="0000608A"/>
    <w:rsid w:val="000067CA"/>
    <w:rsid w:val="00016EA9"/>
    <w:rsid w:val="00031ABE"/>
    <w:rsid w:val="000365F2"/>
    <w:rsid w:val="000540F3"/>
    <w:rsid w:val="000547E3"/>
    <w:rsid w:val="00055A46"/>
    <w:rsid w:val="0006175C"/>
    <w:rsid w:val="00061F22"/>
    <w:rsid w:val="00063C48"/>
    <w:rsid w:val="00063C63"/>
    <w:rsid w:val="000655CA"/>
    <w:rsid w:val="00092399"/>
    <w:rsid w:val="0009378E"/>
    <w:rsid w:val="0009449C"/>
    <w:rsid w:val="000B09EE"/>
    <w:rsid w:val="000B46D7"/>
    <w:rsid w:val="000D03ED"/>
    <w:rsid w:val="000D1127"/>
    <w:rsid w:val="000D35D2"/>
    <w:rsid w:val="000D5778"/>
    <w:rsid w:val="000E4BCE"/>
    <w:rsid w:val="000E6A1F"/>
    <w:rsid w:val="00102436"/>
    <w:rsid w:val="00106327"/>
    <w:rsid w:val="0011200B"/>
    <w:rsid w:val="00125A52"/>
    <w:rsid w:val="001328CB"/>
    <w:rsid w:val="00136D08"/>
    <w:rsid w:val="00137093"/>
    <w:rsid w:val="00144A4D"/>
    <w:rsid w:val="00145C4D"/>
    <w:rsid w:val="00147F5E"/>
    <w:rsid w:val="001552F0"/>
    <w:rsid w:val="00160A0E"/>
    <w:rsid w:val="001742D0"/>
    <w:rsid w:val="0017474C"/>
    <w:rsid w:val="00175BD8"/>
    <w:rsid w:val="001944F3"/>
    <w:rsid w:val="001A118C"/>
    <w:rsid w:val="001A3D58"/>
    <w:rsid w:val="001A52BF"/>
    <w:rsid w:val="001A713F"/>
    <w:rsid w:val="001C01B3"/>
    <w:rsid w:val="001C0233"/>
    <w:rsid w:val="001C0E7C"/>
    <w:rsid w:val="001C103E"/>
    <w:rsid w:val="001C4108"/>
    <w:rsid w:val="001C7187"/>
    <w:rsid w:val="001D3B9E"/>
    <w:rsid w:val="001D5573"/>
    <w:rsid w:val="001D77BC"/>
    <w:rsid w:val="001E344E"/>
    <w:rsid w:val="001E6110"/>
    <w:rsid w:val="001E76A4"/>
    <w:rsid w:val="001F080D"/>
    <w:rsid w:val="002076BA"/>
    <w:rsid w:val="00213066"/>
    <w:rsid w:val="00224D45"/>
    <w:rsid w:val="00240BF9"/>
    <w:rsid w:val="00244C09"/>
    <w:rsid w:val="00264039"/>
    <w:rsid w:val="00265B55"/>
    <w:rsid w:val="00267ED7"/>
    <w:rsid w:val="0027258C"/>
    <w:rsid w:val="0027581C"/>
    <w:rsid w:val="00280271"/>
    <w:rsid w:val="00283C17"/>
    <w:rsid w:val="00283EF0"/>
    <w:rsid w:val="002842B7"/>
    <w:rsid w:val="002846B0"/>
    <w:rsid w:val="00291B8F"/>
    <w:rsid w:val="002937A7"/>
    <w:rsid w:val="00296909"/>
    <w:rsid w:val="002A7664"/>
    <w:rsid w:val="002A786A"/>
    <w:rsid w:val="002C3891"/>
    <w:rsid w:val="002C6AFA"/>
    <w:rsid w:val="002C7988"/>
    <w:rsid w:val="002D0792"/>
    <w:rsid w:val="002D2496"/>
    <w:rsid w:val="002D5AAC"/>
    <w:rsid w:val="002E26D2"/>
    <w:rsid w:val="002E2B2D"/>
    <w:rsid w:val="002E5370"/>
    <w:rsid w:val="002F4A60"/>
    <w:rsid w:val="00305833"/>
    <w:rsid w:val="00323EFB"/>
    <w:rsid w:val="003264A9"/>
    <w:rsid w:val="0033797D"/>
    <w:rsid w:val="00344130"/>
    <w:rsid w:val="00344790"/>
    <w:rsid w:val="0034533D"/>
    <w:rsid w:val="00345DA1"/>
    <w:rsid w:val="00345ED2"/>
    <w:rsid w:val="00347884"/>
    <w:rsid w:val="0035402E"/>
    <w:rsid w:val="0035786F"/>
    <w:rsid w:val="00377AE0"/>
    <w:rsid w:val="003819B6"/>
    <w:rsid w:val="00382CB4"/>
    <w:rsid w:val="00384D7A"/>
    <w:rsid w:val="00391A11"/>
    <w:rsid w:val="00397521"/>
    <w:rsid w:val="003A28AC"/>
    <w:rsid w:val="003A5C63"/>
    <w:rsid w:val="003B5F86"/>
    <w:rsid w:val="003C0F0F"/>
    <w:rsid w:val="003D5510"/>
    <w:rsid w:val="003D6649"/>
    <w:rsid w:val="003D6A52"/>
    <w:rsid w:val="003E12D1"/>
    <w:rsid w:val="003E36D3"/>
    <w:rsid w:val="003F2C86"/>
    <w:rsid w:val="003F7866"/>
    <w:rsid w:val="004032F5"/>
    <w:rsid w:val="00405F67"/>
    <w:rsid w:val="0040623E"/>
    <w:rsid w:val="00415004"/>
    <w:rsid w:val="004230FC"/>
    <w:rsid w:val="00425813"/>
    <w:rsid w:val="00434B69"/>
    <w:rsid w:val="0044091A"/>
    <w:rsid w:val="004573CD"/>
    <w:rsid w:val="004670B5"/>
    <w:rsid w:val="004A0E2B"/>
    <w:rsid w:val="004A54CC"/>
    <w:rsid w:val="004B2494"/>
    <w:rsid w:val="004E32C7"/>
    <w:rsid w:val="004E7DA4"/>
    <w:rsid w:val="004F05F3"/>
    <w:rsid w:val="004F1076"/>
    <w:rsid w:val="004F700A"/>
    <w:rsid w:val="0051594B"/>
    <w:rsid w:val="00520739"/>
    <w:rsid w:val="0052382C"/>
    <w:rsid w:val="00530679"/>
    <w:rsid w:val="005503DA"/>
    <w:rsid w:val="00550D30"/>
    <w:rsid w:val="00563740"/>
    <w:rsid w:val="005645CB"/>
    <w:rsid w:val="00564D7E"/>
    <w:rsid w:val="00565044"/>
    <w:rsid w:val="00567314"/>
    <w:rsid w:val="00571972"/>
    <w:rsid w:val="00571AB5"/>
    <w:rsid w:val="00574F57"/>
    <w:rsid w:val="005751FB"/>
    <w:rsid w:val="00576B84"/>
    <w:rsid w:val="005808F1"/>
    <w:rsid w:val="00582802"/>
    <w:rsid w:val="00593D37"/>
    <w:rsid w:val="005A1FE8"/>
    <w:rsid w:val="005A6DF1"/>
    <w:rsid w:val="005B1FC4"/>
    <w:rsid w:val="005B3804"/>
    <w:rsid w:val="005D1BFB"/>
    <w:rsid w:val="005D3ADD"/>
    <w:rsid w:val="005D48BF"/>
    <w:rsid w:val="005D71E8"/>
    <w:rsid w:val="005E1EB1"/>
    <w:rsid w:val="005E209F"/>
    <w:rsid w:val="005F1A5F"/>
    <w:rsid w:val="005F42E1"/>
    <w:rsid w:val="005F42EE"/>
    <w:rsid w:val="00610A5D"/>
    <w:rsid w:val="00617CF6"/>
    <w:rsid w:val="00624A8E"/>
    <w:rsid w:val="006340E9"/>
    <w:rsid w:val="006341A4"/>
    <w:rsid w:val="006442BF"/>
    <w:rsid w:val="00644697"/>
    <w:rsid w:val="006450F9"/>
    <w:rsid w:val="0065346F"/>
    <w:rsid w:val="00653E4A"/>
    <w:rsid w:val="00665990"/>
    <w:rsid w:val="00667481"/>
    <w:rsid w:val="00670F5F"/>
    <w:rsid w:val="0067149C"/>
    <w:rsid w:val="00673256"/>
    <w:rsid w:val="00673F4E"/>
    <w:rsid w:val="00681965"/>
    <w:rsid w:val="0068743F"/>
    <w:rsid w:val="006971F9"/>
    <w:rsid w:val="006A03F7"/>
    <w:rsid w:val="006A0F20"/>
    <w:rsid w:val="006B6469"/>
    <w:rsid w:val="006C4285"/>
    <w:rsid w:val="006D2216"/>
    <w:rsid w:val="006D4D5A"/>
    <w:rsid w:val="006D557C"/>
    <w:rsid w:val="006D6697"/>
    <w:rsid w:val="006E19B8"/>
    <w:rsid w:val="006E3670"/>
    <w:rsid w:val="006E5D82"/>
    <w:rsid w:val="006F3462"/>
    <w:rsid w:val="006F375F"/>
    <w:rsid w:val="00702A3A"/>
    <w:rsid w:val="007037AD"/>
    <w:rsid w:val="00704A2A"/>
    <w:rsid w:val="007107AE"/>
    <w:rsid w:val="007166F0"/>
    <w:rsid w:val="00721417"/>
    <w:rsid w:val="00725694"/>
    <w:rsid w:val="007270A2"/>
    <w:rsid w:val="00741188"/>
    <w:rsid w:val="0074303C"/>
    <w:rsid w:val="0075155A"/>
    <w:rsid w:val="00754BFB"/>
    <w:rsid w:val="00762A8F"/>
    <w:rsid w:val="00762F9F"/>
    <w:rsid w:val="00767C5C"/>
    <w:rsid w:val="007858FE"/>
    <w:rsid w:val="00796145"/>
    <w:rsid w:val="007B61CD"/>
    <w:rsid w:val="007C26ED"/>
    <w:rsid w:val="007C2913"/>
    <w:rsid w:val="007C5CFE"/>
    <w:rsid w:val="007D3F46"/>
    <w:rsid w:val="007E1D1A"/>
    <w:rsid w:val="007F16C4"/>
    <w:rsid w:val="00801682"/>
    <w:rsid w:val="00805110"/>
    <w:rsid w:val="008074D5"/>
    <w:rsid w:val="008102ED"/>
    <w:rsid w:val="00813245"/>
    <w:rsid w:val="008166DF"/>
    <w:rsid w:val="00827ADB"/>
    <w:rsid w:val="00830893"/>
    <w:rsid w:val="00833C89"/>
    <w:rsid w:val="008363CB"/>
    <w:rsid w:val="0083731D"/>
    <w:rsid w:val="00845CE6"/>
    <w:rsid w:val="008479EA"/>
    <w:rsid w:val="00851ED5"/>
    <w:rsid w:val="00856A88"/>
    <w:rsid w:val="008614AF"/>
    <w:rsid w:val="0086389F"/>
    <w:rsid w:val="00872ECA"/>
    <w:rsid w:val="00874323"/>
    <w:rsid w:val="00874EF2"/>
    <w:rsid w:val="00876EFB"/>
    <w:rsid w:val="008822E9"/>
    <w:rsid w:val="00892772"/>
    <w:rsid w:val="00897B2D"/>
    <w:rsid w:val="008A02E1"/>
    <w:rsid w:val="008A058D"/>
    <w:rsid w:val="008B0D40"/>
    <w:rsid w:val="008B7EE3"/>
    <w:rsid w:val="008C53B1"/>
    <w:rsid w:val="008F0685"/>
    <w:rsid w:val="008F710B"/>
    <w:rsid w:val="009037E0"/>
    <w:rsid w:val="00904F2E"/>
    <w:rsid w:val="00917E4D"/>
    <w:rsid w:val="009204D8"/>
    <w:rsid w:val="00921DFF"/>
    <w:rsid w:val="009340CA"/>
    <w:rsid w:val="00941FF5"/>
    <w:rsid w:val="00953E86"/>
    <w:rsid w:val="0095494E"/>
    <w:rsid w:val="00955A71"/>
    <w:rsid w:val="0095626B"/>
    <w:rsid w:val="00961355"/>
    <w:rsid w:val="0096283C"/>
    <w:rsid w:val="009714C2"/>
    <w:rsid w:val="00977E5A"/>
    <w:rsid w:val="0098014F"/>
    <w:rsid w:val="009866A2"/>
    <w:rsid w:val="00993F04"/>
    <w:rsid w:val="009940CB"/>
    <w:rsid w:val="009954A1"/>
    <w:rsid w:val="009A13F7"/>
    <w:rsid w:val="009A48B5"/>
    <w:rsid w:val="009A6C09"/>
    <w:rsid w:val="009B1D4E"/>
    <w:rsid w:val="009B3C34"/>
    <w:rsid w:val="009B47FF"/>
    <w:rsid w:val="009C06C7"/>
    <w:rsid w:val="009C4212"/>
    <w:rsid w:val="009D61EC"/>
    <w:rsid w:val="009E05BD"/>
    <w:rsid w:val="00A05539"/>
    <w:rsid w:val="00A159F7"/>
    <w:rsid w:val="00A1757F"/>
    <w:rsid w:val="00A237A7"/>
    <w:rsid w:val="00A334BA"/>
    <w:rsid w:val="00A407F6"/>
    <w:rsid w:val="00A408CE"/>
    <w:rsid w:val="00A4174D"/>
    <w:rsid w:val="00A45BDD"/>
    <w:rsid w:val="00A52B03"/>
    <w:rsid w:val="00A53CE6"/>
    <w:rsid w:val="00A54E9B"/>
    <w:rsid w:val="00A72468"/>
    <w:rsid w:val="00A760F0"/>
    <w:rsid w:val="00A77CF7"/>
    <w:rsid w:val="00A80068"/>
    <w:rsid w:val="00A80C63"/>
    <w:rsid w:val="00A83059"/>
    <w:rsid w:val="00A85563"/>
    <w:rsid w:val="00A85806"/>
    <w:rsid w:val="00A93E84"/>
    <w:rsid w:val="00AA0811"/>
    <w:rsid w:val="00AB38BB"/>
    <w:rsid w:val="00AB69F0"/>
    <w:rsid w:val="00AC0604"/>
    <w:rsid w:val="00AC1250"/>
    <w:rsid w:val="00AC3BB4"/>
    <w:rsid w:val="00AD5A51"/>
    <w:rsid w:val="00AE39E1"/>
    <w:rsid w:val="00AF1851"/>
    <w:rsid w:val="00AF2C74"/>
    <w:rsid w:val="00B11E72"/>
    <w:rsid w:val="00B1366D"/>
    <w:rsid w:val="00B15221"/>
    <w:rsid w:val="00B16A5B"/>
    <w:rsid w:val="00B27D19"/>
    <w:rsid w:val="00B324FF"/>
    <w:rsid w:val="00B40C66"/>
    <w:rsid w:val="00B47448"/>
    <w:rsid w:val="00B479A8"/>
    <w:rsid w:val="00B67EFB"/>
    <w:rsid w:val="00B71E15"/>
    <w:rsid w:val="00B722FC"/>
    <w:rsid w:val="00B75F4B"/>
    <w:rsid w:val="00B8020F"/>
    <w:rsid w:val="00B817CF"/>
    <w:rsid w:val="00B858BB"/>
    <w:rsid w:val="00B8609A"/>
    <w:rsid w:val="00B87737"/>
    <w:rsid w:val="00B94BB9"/>
    <w:rsid w:val="00BA04AD"/>
    <w:rsid w:val="00BC280A"/>
    <w:rsid w:val="00BC2E16"/>
    <w:rsid w:val="00BC50F4"/>
    <w:rsid w:val="00BC6919"/>
    <w:rsid w:val="00BC7D85"/>
    <w:rsid w:val="00BD1819"/>
    <w:rsid w:val="00BD72E5"/>
    <w:rsid w:val="00BE385B"/>
    <w:rsid w:val="00BF0CE9"/>
    <w:rsid w:val="00BF22CB"/>
    <w:rsid w:val="00BF7627"/>
    <w:rsid w:val="00BF7A28"/>
    <w:rsid w:val="00C01B30"/>
    <w:rsid w:val="00C03F3F"/>
    <w:rsid w:val="00C0750C"/>
    <w:rsid w:val="00C160D0"/>
    <w:rsid w:val="00C24394"/>
    <w:rsid w:val="00C33C67"/>
    <w:rsid w:val="00C443C9"/>
    <w:rsid w:val="00C44C77"/>
    <w:rsid w:val="00C6162C"/>
    <w:rsid w:val="00C65848"/>
    <w:rsid w:val="00C65E69"/>
    <w:rsid w:val="00C74A4E"/>
    <w:rsid w:val="00C8005F"/>
    <w:rsid w:val="00C80672"/>
    <w:rsid w:val="00C81046"/>
    <w:rsid w:val="00C84AE0"/>
    <w:rsid w:val="00CA2836"/>
    <w:rsid w:val="00CA5E3B"/>
    <w:rsid w:val="00CA69C4"/>
    <w:rsid w:val="00CC4636"/>
    <w:rsid w:val="00CC7A92"/>
    <w:rsid w:val="00CD4113"/>
    <w:rsid w:val="00CD6272"/>
    <w:rsid w:val="00CD79A0"/>
    <w:rsid w:val="00CE0787"/>
    <w:rsid w:val="00CE0F7C"/>
    <w:rsid w:val="00CE1BDD"/>
    <w:rsid w:val="00CF2E9A"/>
    <w:rsid w:val="00D00598"/>
    <w:rsid w:val="00D051A9"/>
    <w:rsid w:val="00D0524C"/>
    <w:rsid w:val="00D149E3"/>
    <w:rsid w:val="00D163E8"/>
    <w:rsid w:val="00D2183F"/>
    <w:rsid w:val="00D23B8F"/>
    <w:rsid w:val="00D260C1"/>
    <w:rsid w:val="00D34DF5"/>
    <w:rsid w:val="00D47C76"/>
    <w:rsid w:val="00D51565"/>
    <w:rsid w:val="00D66AA2"/>
    <w:rsid w:val="00D76027"/>
    <w:rsid w:val="00D77A92"/>
    <w:rsid w:val="00D874B0"/>
    <w:rsid w:val="00D87629"/>
    <w:rsid w:val="00D928A6"/>
    <w:rsid w:val="00D96AF6"/>
    <w:rsid w:val="00DA01C3"/>
    <w:rsid w:val="00DA6DC2"/>
    <w:rsid w:val="00DB0C2D"/>
    <w:rsid w:val="00DB1182"/>
    <w:rsid w:val="00DB2EBB"/>
    <w:rsid w:val="00DB399C"/>
    <w:rsid w:val="00DB66CE"/>
    <w:rsid w:val="00DB6E58"/>
    <w:rsid w:val="00DC4BA3"/>
    <w:rsid w:val="00DC6768"/>
    <w:rsid w:val="00DD5380"/>
    <w:rsid w:val="00DE0375"/>
    <w:rsid w:val="00DE1858"/>
    <w:rsid w:val="00DE7AB0"/>
    <w:rsid w:val="00E1304D"/>
    <w:rsid w:val="00E13182"/>
    <w:rsid w:val="00E15BFD"/>
    <w:rsid w:val="00E17E53"/>
    <w:rsid w:val="00E22FB7"/>
    <w:rsid w:val="00E46812"/>
    <w:rsid w:val="00E56EC5"/>
    <w:rsid w:val="00E65187"/>
    <w:rsid w:val="00E653BB"/>
    <w:rsid w:val="00E71709"/>
    <w:rsid w:val="00E74478"/>
    <w:rsid w:val="00E74D42"/>
    <w:rsid w:val="00E80099"/>
    <w:rsid w:val="00E91129"/>
    <w:rsid w:val="00E93429"/>
    <w:rsid w:val="00EB6ECE"/>
    <w:rsid w:val="00EB7C01"/>
    <w:rsid w:val="00EC06AE"/>
    <w:rsid w:val="00EC1E6F"/>
    <w:rsid w:val="00EC2548"/>
    <w:rsid w:val="00EC73DB"/>
    <w:rsid w:val="00ED0F57"/>
    <w:rsid w:val="00ED2D85"/>
    <w:rsid w:val="00ED5F14"/>
    <w:rsid w:val="00EF3467"/>
    <w:rsid w:val="00F10FCE"/>
    <w:rsid w:val="00F15538"/>
    <w:rsid w:val="00F22CA5"/>
    <w:rsid w:val="00F23334"/>
    <w:rsid w:val="00F25428"/>
    <w:rsid w:val="00F254B1"/>
    <w:rsid w:val="00F264AE"/>
    <w:rsid w:val="00F36E8C"/>
    <w:rsid w:val="00F37EFA"/>
    <w:rsid w:val="00F46E94"/>
    <w:rsid w:val="00F5049F"/>
    <w:rsid w:val="00F527B5"/>
    <w:rsid w:val="00F57194"/>
    <w:rsid w:val="00F60348"/>
    <w:rsid w:val="00F6175E"/>
    <w:rsid w:val="00F66CB4"/>
    <w:rsid w:val="00F66E08"/>
    <w:rsid w:val="00F72172"/>
    <w:rsid w:val="00F87B41"/>
    <w:rsid w:val="00F93356"/>
    <w:rsid w:val="00F9454C"/>
    <w:rsid w:val="00F948F7"/>
    <w:rsid w:val="00F95E62"/>
    <w:rsid w:val="00FA056B"/>
    <w:rsid w:val="00FB7780"/>
    <w:rsid w:val="00FB7FBF"/>
    <w:rsid w:val="00FC11C1"/>
    <w:rsid w:val="00FC2EAD"/>
    <w:rsid w:val="00FE0BE1"/>
    <w:rsid w:val="00FE782F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Varya</cp:lastModifiedBy>
  <cp:revision>2</cp:revision>
  <dcterms:created xsi:type="dcterms:W3CDTF">2013-03-26T22:20:00Z</dcterms:created>
  <dcterms:modified xsi:type="dcterms:W3CDTF">2013-03-26T22:20:00Z</dcterms:modified>
</cp:coreProperties>
</file>