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72" w:rsidRPr="00E91572" w:rsidRDefault="00E91572" w:rsidP="00E9157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72">
        <w:rPr>
          <w:rFonts w:ascii="Times New Roman" w:hAnsi="Times New Roman" w:cs="Times New Roman"/>
          <w:b/>
          <w:sz w:val="28"/>
          <w:szCs w:val="28"/>
        </w:rPr>
        <w:t>ОСОБЕННОСТИ ГИСТИОЦИТОЗА ИЗ КЛЕТОК ЛАНГЕРГАНСА У ДЕТЕЙ</w:t>
      </w:r>
    </w:p>
    <w:p w:rsidR="00E91572" w:rsidRDefault="00E91572" w:rsidP="00E91572">
      <w:pPr>
        <w:suppressAutoHyphens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1572">
        <w:rPr>
          <w:rFonts w:ascii="Times New Roman" w:hAnsi="Times New Roman" w:cs="Times New Roman"/>
          <w:i/>
          <w:sz w:val="28"/>
          <w:szCs w:val="28"/>
        </w:rPr>
        <w:t>Одинец</w:t>
      </w:r>
      <w:proofErr w:type="spellEnd"/>
      <w:r w:rsidRPr="00E91572">
        <w:rPr>
          <w:rFonts w:ascii="Times New Roman" w:hAnsi="Times New Roman" w:cs="Times New Roman"/>
          <w:i/>
          <w:sz w:val="28"/>
          <w:szCs w:val="28"/>
        </w:rPr>
        <w:t xml:space="preserve"> Ю.В., </w:t>
      </w:r>
      <w:proofErr w:type="spellStart"/>
      <w:r w:rsidRPr="00E91572">
        <w:rPr>
          <w:rFonts w:ascii="Times New Roman" w:hAnsi="Times New Roman" w:cs="Times New Roman"/>
          <w:i/>
          <w:sz w:val="28"/>
          <w:szCs w:val="28"/>
        </w:rPr>
        <w:t>Поддубная</w:t>
      </w:r>
      <w:proofErr w:type="spellEnd"/>
      <w:r w:rsidRPr="00E91572">
        <w:rPr>
          <w:rFonts w:ascii="Times New Roman" w:hAnsi="Times New Roman" w:cs="Times New Roman"/>
          <w:i/>
          <w:sz w:val="28"/>
          <w:szCs w:val="28"/>
        </w:rPr>
        <w:t xml:space="preserve"> И.Н., </w:t>
      </w:r>
      <w:proofErr w:type="spellStart"/>
      <w:r w:rsidRPr="00E91572">
        <w:rPr>
          <w:rFonts w:ascii="Times New Roman" w:hAnsi="Times New Roman" w:cs="Times New Roman"/>
          <w:i/>
          <w:sz w:val="28"/>
          <w:szCs w:val="28"/>
        </w:rPr>
        <w:t>Панфилова</w:t>
      </w:r>
      <w:proofErr w:type="spellEnd"/>
      <w:r w:rsidRPr="00E91572">
        <w:rPr>
          <w:rFonts w:ascii="Times New Roman" w:hAnsi="Times New Roman" w:cs="Times New Roman"/>
          <w:i/>
          <w:sz w:val="28"/>
          <w:szCs w:val="28"/>
        </w:rPr>
        <w:t xml:space="preserve"> Е.А., </w:t>
      </w:r>
      <w:proofErr w:type="spellStart"/>
      <w:r w:rsidRPr="00E91572">
        <w:rPr>
          <w:rFonts w:ascii="Times New Roman" w:hAnsi="Times New Roman" w:cs="Times New Roman"/>
          <w:i/>
          <w:sz w:val="28"/>
          <w:szCs w:val="28"/>
        </w:rPr>
        <w:t>Белоусова</w:t>
      </w:r>
      <w:proofErr w:type="spellEnd"/>
      <w:r w:rsidRPr="00E91572">
        <w:rPr>
          <w:rFonts w:ascii="Times New Roman" w:hAnsi="Times New Roman" w:cs="Times New Roman"/>
          <w:i/>
          <w:sz w:val="28"/>
          <w:szCs w:val="28"/>
        </w:rPr>
        <w:t xml:space="preserve"> Л.С.*, </w:t>
      </w:r>
    </w:p>
    <w:p w:rsidR="00E91572" w:rsidRPr="00E91572" w:rsidRDefault="00E91572" w:rsidP="00E91572">
      <w:pPr>
        <w:suppressAutoHyphens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91572">
        <w:rPr>
          <w:rFonts w:ascii="Times New Roman" w:hAnsi="Times New Roman" w:cs="Times New Roman"/>
          <w:i/>
          <w:sz w:val="28"/>
          <w:szCs w:val="28"/>
        </w:rPr>
        <w:t>Маренич</w:t>
      </w:r>
      <w:proofErr w:type="spellEnd"/>
      <w:r w:rsidRPr="00E91572">
        <w:rPr>
          <w:rFonts w:ascii="Times New Roman" w:hAnsi="Times New Roman" w:cs="Times New Roman"/>
          <w:i/>
          <w:sz w:val="28"/>
          <w:szCs w:val="28"/>
        </w:rPr>
        <w:t xml:space="preserve"> Л.П.*</w:t>
      </w:r>
    </w:p>
    <w:p w:rsidR="00E91572" w:rsidRPr="00E91572" w:rsidRDefault="00E91572" w:rsidP="00E9157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1572">
        <w:rPr>
          <w:rFonts w:ascii="Times New Roman" w:hAnsi="Times New Roman" w:cs="Times New Roman"/>
          <w:sz w:val="28"/>
          <w:szCs w:val="28"/>
        </w:rPr>
        <w:t>Харьковский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Национальный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медицинский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университет</w:t>
      </w:r>
      <w:proofErr w:type="spellEnd"/>
    </w:p>
    <w:p w:rsidR="00E91572" w:rsidRPr="00E91572" w:rsidRDefault="00E91572" w:rsidP="00E9157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91572">
        <w:rPr>
          <w:rFonts w:ascii="Times New Roman" w:hAnsi="Times New Roman" w:cs="Times New Roman"/>
          <w:sz w:val="28"/>
          <w:szCs w:val="28"/>
        </w:rPr>
        <w:t xml:space="preserve"> Кафедра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педиатрии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E91572" w:rsidRPr="00E91572" w:rsidRDefault="00E91572" w:rsidP="00E9157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91572">
        <w:rPr>
          <w:rFonts w:ascii="Times New Roman" w:hAnsi="Times New Roman" w:cs="Times New Roman"/>
          <w:sz w:val="28"/>
          <w:szCs w:val="28"/>
        </w:rPr>
        <w:t>*КУОЗ «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Харьковская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городская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клиническая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детская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бол</w:t>
      </w:r>
      <w:r w:rsidRPr="00E91572">
        <w:rPr>
          <w:rFonts w:ascii="Times New Roman" w:hAnsi="Times New Roman" w:cs="Times New Roman"/>
          <w:sz w:val="28"/>
          <w:szCs w:val="28"/>
        </w:rPr>
        <w:t>ь</w:t>
      </w:r>
      <w:r w:rsidRPr="00E91572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№16»</w:t>
      </w:r>
    </w:p>
    <w:p w:rsidR="00E91572" w:rsidRPr="00E91572" w:rsidRDefault="00E91572" w:rsidP="00E91572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572" w:rsidRPr="00E91572" w:rsidRDefault="00E91572" w:rsidP="00E9157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572">
        <w:rPr>
          <w:rFonts w:ascii="Times New Roman" w:hAnsi="Times New Roman" w:cs="Times New Roman"/>
          <w:sz w:val="28"/>
          <w:szCs w:val="28"/>
        </w:rPr>
        <w:t>Цель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Гистиоцитоз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из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клеток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Лангерганса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редкое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заболевание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детском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возрасте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встречается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частотой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3-4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случая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на 1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миллион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детского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населения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в год.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Целью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данной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являлась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демонстрация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особенностей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гистиоцитоза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клеток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Лангерганса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детском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возрасте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>.</w:t>
      </w:r>
    </w:p>
    <w:p w:rsidR="00E91572" w:rsidRPr="00E91572" w:rsidRDefault="00E91572" w:rsidP="00E91572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. Нами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проанализированы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историй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болезни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страдавших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гистиоцитозом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клеток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Лангерганса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находившихся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лечении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гематологическом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отделении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городской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клинической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больницы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№16 г.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Харькова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в 2003-2012г.г.</w:t>
      </w:r>
    </w:p>
    <w:p w:rsidR="00E91572" w:rsidRPr="00E91572" w:rsidRDefault="00E91572" w:rsidP="00E91572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91572">
        <w:rPr>
          <w:rFonts w:ascii="Times New Roman" w:hAnsi="Times New Roman" w:cs="Times New Roman"/>
          <w:sz w:val="28"/>
          <w:szCs w:val="28"/>
        </w:rPr>
        <w:t>Результаты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Под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нашим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наблюдением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период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с 2003г. по 2012г. находилось 10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детей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возрасте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от 9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месяцев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до 17 лет,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из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них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мальчиков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9,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девочка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– 1. У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всех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детей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диагностирована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эозинофильная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гранулема.</w:t>
      </w:r>
    </w:p>
    <w:p w:rsidR="00E91572" w:rsidRPr="00E91572" w:rsidRDefault="00E91572" w:rsidP="00E91572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Клиническая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симптоматика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варьировала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одиночных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очагов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поражений до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прогрессирующих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диссеминированных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форм,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приводящих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к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полиорганной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недостаточности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Выраженные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ранние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клинические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признаки включали лихорадку (80%),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гепатомегалию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(60%),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спленомегалию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(10%),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не</w:t>
      </w:r>
      <w:r w:rsidRPr="00E91572">
        <w:rPr>
          <w:rFonts w:ascii="Times New Roman" w:hAnsi="Times New Roman" w:cs="Times New Roman"/>
          <w:bCs/>
          <w:sz w:val="28"/>
          <w:szCs w:val="28"/>
        </w:rPr>
        <w:t>в</w:t>
      </w:r>
      <w:r w:rsidRPr="00E91572">
        <w:rPr>
          <w:rFonts w:ascii="Times New Roman" w:hAnsi="Times New Roman" w:cs="Times New Roman"/>
          <w:bCs/>
          <w:sz w:val="28"/>
          <w:szCs w:val="28"/>
        </w:rPr>
        <w:t>рологические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симптомы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(20%),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сыпь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(10%) и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лимфаденопатию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(10%).</w:t>
      </w:r>
    </w:p>
    <w:p w:rsidR="00E91572" w:rsidRPr="00E91572" w:rsidRDefault="00E91572" w:rsidP="00E91572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Наиболее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часто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встречались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одиночные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или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множественные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поражения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костей: кости черепа (60%),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позвоночник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(50%), кости конечностей (20%).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Поражение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костей проявлялось болями и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опухолью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исходящей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из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очага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деструкции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Поражение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височной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кости и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сосцевидного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отростка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сопровождалось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развитием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среднего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отита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. При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расположении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патологических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очагов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ретроорбитально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наблюдался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экзофтальм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(20%). В 10%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случаев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встречалось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поражения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кожи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папулодесквамозного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типа.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Гипоталамическая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дисфункция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проявляющаяся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ожирением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встречалась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в 10%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случаев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91572" w:rsidRPr="00E91572" w:rsidRDefault="00E91572" w:rsidP="00E91572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Поражение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легких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является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редким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(2%)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начальным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частым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(60%)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поздним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прогностически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неблагоприятным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симптомом у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детей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. На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lastRenderedPageBreak/>
        <w:t>рентгенограмме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легких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определялась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очаговая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диссеминация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фоне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усиленного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сетчато-тяжистого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легочного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рисунка. По мере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прогрессирования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ГКЛ в 30%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случаев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появлялись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клинические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симптомы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виде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непродуктивного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кашля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одышки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физической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нагрузке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Следующая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стадия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поражения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легких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характеризовалась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фиброзным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замещением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очагов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поражения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рентгенологически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нарастали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изменения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легочного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рисунка с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грубой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деформацией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возникали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эмфизематозные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изменения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формировалась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картина "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сотового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легкого".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Эти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изменения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локализовались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как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правило, по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периферии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верхнего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среднего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легочных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полей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91572" w:rsidRPr="00E91572" w:rsidRDefault="00E91572" w:rsidP="00E91572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Лабораторная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диагностика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включала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анализ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крови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клинический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+ гематокрит +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тромбоциты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функциональные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печеночные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пробы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протеинограмму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коагулограмму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рентгенографию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грудной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клетки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скелетограмму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УЗИ,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КТ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сцинтиграфию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костей с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технецием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>, ЯМР (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если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рентгенограмма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сцинтиграфия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технецием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негативны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),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костномозговая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пункцию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биопсию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зачастую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неоднократную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),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определение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функции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легких,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исследование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тонкого кишечника с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биопсией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(по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показаниям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),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ко</w:t>
      </w:r>
      <w:r w:rsidRPr="00E91572">
        <w:rPr>
          <w:rFonts w:ascii="Times New Roman" w:hAnsi="Times New Roman" w:cs="Times New Roman"/>
          <w:bCs/>
          <w:sz w:val="28"/>
          <w:szCs w:val="28"/>
        </w:rPr>
        <w:t>н</w:t>
      </w:r>
      <w:r w:rsidRPr="00E91572">
        <w:rPr>
          <w:rFonts w:ascii="Times New Roman" w:hAnsi="Times New Roman" w:cs="Times New Roman"/>
          <w:bCs/>
          <w:sz w:val="28"/>
          <w:szCs w:val="28"/>
        </w:rPr>
        <w:t>сультация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хирурга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ЛОР-врача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>.</w:t>
      </w:r>
    </w:p>
    <w:p w:rsidR="00E91572" w:rsidRPr="00E91572" w:rsidRDefault="00E91572" w:rsidP="00E91572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57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клиническом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анализе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крови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отмечались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ускорение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СОЭ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(80%),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нейтрофилез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(50%) и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эозинофилия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(30%).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Повышение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острофазовых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показателей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выявлено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у 70%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пациентов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91572" w:rsidRPr="00E91572" w:rsidRDefault="00E91572" w:rsidP="00E91572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Дифференциальный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диагноз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проводился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себорейным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дерматитом, 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остеомиелитом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костной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формой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туберкулеза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остеосаркомой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нейробластомой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фиброзной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остеодистрофией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лимфомой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лимфогранулематозом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>, лейкозом.</w:t>
      </w:r>
    </w:p>
    <w:p w:rsidR="00E91572" w:rsidRPr="00E91572" w:rsidRDefault="00E91572" w:rsidP="00E91572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Лечение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проводилось по протоколу LCH III для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пациентов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групп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низкого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повышенного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риска, а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также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пациентов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мультифокальным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поражением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костей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или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специфических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мест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соответс</w:t>
      </w:r>
      <w:r w:rsidRPr="00E91572">
        <w:rPr>
          <w:rFonts w:ascii="Times New Roman" w:hAnsi="Times New Roman" w:cs="Times New Roman"/>
          <w:bCs/>
          <w:sz w:val="28"/>
          <w:szCs w:val="28"/>
        </w:rPr>
        <w:t>т</w:t>
      </w:r>
      <w:r w:rsidRPr="00E91572">
        <w:rPr>
          <w:rFonts w:ascii="Times New Roman" w:hAnsi="Times New Roman" w:cs="Times New Roman"/>
          <w:bCs/>
          <w:sz w:val="28"/>
          <w:szCs w:val="28"/>
        </w:rPr>
        <w:t>венно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>.</w:t>
      </w:r>
    </w:p>
    <w:p w:rsidR="00E91572" w:rsidRPr="00E91572" w:rsidRDefault="00E91572" w:rsidP="00E91572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57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настоящее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время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поддерживающей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терапии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находится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4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ребенка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у 1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наступил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летальный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исход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генерализации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процесса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развития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геморрагического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синдрома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дыхательной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недостаточн</w:t>
      </w:r>
      <w:r w:rsidRPr="00E91572">
        <w:rPr>
          <w:rFonts w:ascii="Times New Roman" w:hAnsi="Times New Roman" w:cs="Times New Roman"/>
          <w:bCs/>
          <w:sz w:val="28"/>
          <w:szCs w:val="28"/>
        </w:rPr>
        <w:t>о</w:t>
      </w:r>
      <w:r w:rsidRPr="00E91572">
        <w:rPr>
          <w:rFonts w:ascii="Times New Roman" w:hAnsi="Times New Roman" w:cs="Times New Roman"/>
          <w:bCs/>
          <w:sz w:val="28"/>
          <w:szCs w:val="28"/>
        </w:rPr>
        <w:t>сти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5 –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сняты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учета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>.</w:t>
      </w:r>
    </w:p>
    <w:p w:rsidR="00E91572" w:rsidRPr="00E91572" w:rsidRDefault="00E91572" w:rsidP="00E91572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Выводы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>:</w:t>
      </w:r>
    </w:p>
    <w:p w:rsidR="00E91572" w:rsidRPr="00E91572" w:rsidRDefault="00E91572" w:rsidP="00E91572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Гистиоцитоз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является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нечастым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но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тяжелым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заболеванием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требующим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тщательной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дифференциальной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диагностики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>.</w:t>
      </w:r>
    </w:p>
    <w:p w:rsidR="00E91572" w:rsidRPr="00E91572" w:rsidRDefault="00E91572" w:rsidP="00E91572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Отсутствие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патогномоничных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клинических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проявлений и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полиморфизм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гистиоцитозе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клеток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Лангерганса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обусловливают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трудности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диагностики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данного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заболевания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Иногда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даже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гистологическое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исследование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всегда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правильный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ответ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диктует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необходимость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многократных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морфологических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исследований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разных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участков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пораженных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Pr="00E91572">
        <w:rPr>
          <w:rFonts w:ascii="Times New Roman" w:hAnsi="Times New Roman" w:cs="Times New Roman"/>
          <w:sz w:val="28"/>
          <w:szCs w:val="28"/>
        </w:rPr>
        <w:t>.</w:t>
      </w:r>
    </w:p>
    <w:p w:rsidR="00E91572" w:rsidRPr="00E91572" w:rsidRDefault="00E91572" w:rsidP="00E91572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572">
        <w:rPr>
          <w:rFonts w:ascii="Times New Roman" w:hAnsi="Times New Roman" w:cs="Times New Roman"/>
          <w:sz w:val="28"/>
          <w:szCs w:val="28"/>
        </w:rPr>
        <w:lastRenderedPageBreak/>
        <w:t xml:space="preserve"> При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своевременном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выявлении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лечении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гистиоцитоза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выживаемость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1572">
        <w:rPr>
          <w:rFonts w:ascii="Times New Roman" w:hAnsi="Times New Roman" w:cs="Times New Roman"/>
          <w:bCs/>
          <w:sz w:val="28"/>
          <w:szCs w:val="28"/>
        </w:rPr>
        <w:t>составила</w:t>
      </w:r>
      <w:proofErr w:type="spellEnd"/>
      <w:r w:rsidRPr="00E91572">
        <w:rPr>
          <w:rFonts w:ascii="Times New Roman" w:hAnsi="Times New Roman" w:cs="Times New Roman"/>
          <w:bCs/>
          <w:sz w:val="28"/>
          <w:szCs w:val="28"/>
        </w:rPr>
        <w:t xml:space="preserve"> 90%.</w:t>
      </w:r>
    </w:p>
    <w:p w:rsidR="00E91572" w:rsidRPr="00E91572" w:rsidRDefault="00E91572" w:rsidP="00E91572">
      <w:pPr>
        <w:rPr>
          <w:rFonts w:ascii="Times New Roman" w:hAnsi="Times New Roman" w:cs="Times New Roman"/>
          <w:sz w:val="28"/>
          <w:szCs w:val="28"/>
        </w:rPr>
      </w:pPr>
    </w:p>
    <w:p w:rsidR="00000000" w:rsidRPr="00E91572" w:rsidRDefault="00E91572">
      <w:pPr>
        <w:rPr>
          <w:rFonts w:ascii="Times New Roman" w:hAnsi="Times New Roman" w:cs="Times New Roman"/>
          <w:sz w:val="28"/>
          <w:szCs w:val="28"/>
        </w:rPr>
      </w:pPr>
    </w:p>
    <w:sectPr w:rsidR="00000000" w:rsidRPr="00E915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7582"/>
    <w:multiLevelType w:val="hybridMultilevel"/>
    <w:tmpl w:val="9CB8D7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E91572"/>
    <w:rsid w:val="00E9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2766</Words>
  <Characters>1578</Characters>
  <Application>Microsoft Office Word</Application>
  <DocSecurity>0</DocSecurity>
  <Lines>13</Lines>
  <Paragraphs>8</Paragraphs>
  <ScaleCrop>false</ScaleCrop>
  <Company>Hewlett-Packard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2013-11-17T19:11:00Z</dcterms:created>
  <dcterms:modified xsi:type="dcterms:W3CDTF">2013-11-17T19:11:00Z</dcterms:modified>
</cp:coreProperties>
</file>