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C1" w:rsidRPr="00F4525B" w:rsidRDefault="00F4525B" w:rsidP="00BE14AD">
      <w:pPr>
        <w:ind w:left="-567"/>
        <w:jc w:val="center"/>
        <w:rPr>
          <w:b/>
          <w:sz w:val="28"/>
          <w:szCs w:val="28"/>
        </w:rPr>
      </w:pPr>
      <w:r w:rsidRPr="00F4525B">
        <w:rPr>
          <w:b/>
          <w:sz w:val="28"/>
          <w:szCs w:val="28"/>
          <w:lang w:val="uk-UA"/>
        </w:rPr>
        <w:t>IL-1β та ФНП-α</w:t>
      </w:r>
      <w:r>
        <w:rPr>
          <w:b/>
          <w:sz w:val="28"/>
          <w:szCs w:val="28"/>
          <w:lang w:val="uk-UA"/>
        </w:rPr>
        <w:t xml:space="preserve"> В ІНДУКОВАННОМУ МОКРОТИННІ</w:t>
      </w:r>
      <w:r w:rsidR="002E0680" w:rsidRPr="00F4525B">
        <w:rPr>
          <w:b/>
          <w:sz w:val="28"/>
          <w:szCs w:val="28"/>
        </w:rPr>
        <w:t xml:space="preserve"> У ДІТЕЙ ІЗ БРОНХОЛЕГЕНЕВОЮ ДИСПЛАЗІЄЮ</w:t>
      </w:r>
    </w:p>
    <w:p w:rsidR="002E0680" w:rsidRDefault="002E0680" w:rsidP="0032715D">
      <w:pPr>
        <w:ind w:left="-567"/>
        <w:rPr>
          <w:sz w:val="28"/>
          <w:szCs w:val="28"/>
        </w:rPr>
      </w:pPr>
      <w:r>
        <w:rPr>
          <w:sz w:val="28"/>
          <w:szCs w:val="28"/>
        </w:rPr>
        <w:t>Черненко</w:t>
      </w:r>
      <w:r w:rsidR="001B5AE4" w:rsidRPr="001B5AE4">
        <w:rPr>
          <w:sz w:val="28"/>
          <w:szCs w:val="28"/>
        </w:rPr>
        <w:t xml:space="preserve"> </w:t>
      </w:r>
      <w:r w:rsidR="001B5AE4">
        <w:rPr>
          <w:sz w:val="28"/>
          <w:szCs w:val="28"/>
        </w:rPr>
        <w:t>Л.М.</w:t>
      </w:r>
    </w:p>
    <w:p w:rsidR="002E0680" w:rsidRDefault="002E0680" w:rsidP="0032715D">
      <w:pPr>
        <w:ind w:left="-567"/>
        <w:rPr>
          <w:i/>
          <w:sz w:val="28"/>
          <w:szCs w:val="28"/>
          <w:lang w:val="uk-UA"/>
        </w:rPr>
      </w:pPr>
      <w:proofErr w:type="spellStart"/>
      <w:r w:rsidRPr="002E0680">
        <w:rPr>
          <w:i/>
          <w:sz w:val="28"/>
          <w:szCs w:val="28"/>
        </w:rPr>
        <w:t>Харк</w:t>
      </w:r>
      <w:r w:rsidRPr="002E0680">
        <w:rPr>
          <w:i/>
          <w:sz w:val="28"/>
          <w:szCs w:val="28"/>
          <w:lang w:val="uk-UA"/>
        </w:rPr>
        <w:t>івський</w:t>
      </w:r>
      <w:proofErr w:type="spellEnd"/>
      <w:r w:rsidRPr="002E0680">
        <w:rPr>
          <w:i/>
          <w:sz w:val="28"/>
          <w:szCs w:val="28"/>
          <w:lang w:val="uk-UA"/>
        </w:rPr>
        <w:t xml:space="preserve"> національний медичний університет</w:t>
      </w:r>
    </w:p>
    <w:p w:rsidR="00F4525B" w:rsidRPr="002E0680" w:rsidRDefault="00F4525B" w:rsidP="0032715D">
      <w:pPr>
        <w:ind w:left="-567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Кафедра педіатрії №1 та неонатології</w:t>
      </w:r>
    </w:p>
    <w:p w:rsidR="00A12BC1" w:rsidRDefault="0032715D" w:rsidP="0032715D">
      <w:pPr>
        <w:ind w:left="-567"/>
        <w:jc w:val="both"/>
        <w:rPr>
          <w:sz w:val="28"/>
          <w:szCs w:val="28"/>
          <w:lang w:val="uk-UA"/>
        </w:rPr>
      </w:pPr>
      <w:r w:rsidRPr="0032715D">
        <w:rPr>
          <w:b/>
          <w:sz w:val="28"/>
          <w:szCs w:val="28"/>
          <w:lang w:val="uk-UA"/>
        </w:rPr>
        <w:t>Актуальність.</w:t>
      </w:r>
      <w:r>
        <w:rPr>
          <w:sz w:val="28"/>
          <w:szCs w:val="28"/>
          <w:lang w:val="uk-UA"/>
        </w:rPr>
        <w:t xml:space="preserve"> </w:t>
      </w:r>
      <w:r w:rsidRPr="0032715D">
        <w:rPr>
          <w:sz w:val="28"/>
          <w:szCs w:val="28"/>
          <w:lang w:val="uk-UA"/>
        </w:rPr>
        <w:t xml:space="preserve">Бронхолегенева дисплазія  (БЛД) уявляє собою варіант хронічного запалення на фоні морфологічно змінених структур бронхолегеневої системи та характеризується </w:t>
      </w:r>
      <w:proofErr w:type="spellStart"/>
      <w:r w:rsidRPr="0032715D">
        <w:rPr>
          <w:sz w:val="28"/>
          <w:szCs w:val="28"/>
          <w:lang w:val="uk-UA"/>
        </w:rPr>
        <w:t>персистенцією</w:t>
      </w:r>
      <w:proofErr w:type="spellEnd"/>
      <w:r w:rsidRPr="0032715D">
        <w:rPr>
          <w:sz w:val="28"/>
          <w:szCs w:val="28"/>
          <w:lang w:val="uk-UA"/>
        </w:rPr>
        <w:t xml:space="preserve"> хронічного </w:t>
      </w:r>
      <w:r w:rsidR="009C378C">
        <w:rPr>
          <w:sz w:val="28"/>
          <w:szCs w:val="28"/>
          <w:lang w:val="uk-UA"/>
        </w:rPr>
        <w:t>процесу</w:t>
      </w:r>
      <w:r w:rsidRPr="0032715D">
        <w:rPr>
          <w:sz w:val="28"/>
          <w:szCs w:val="28"/>
          <w:lang w:val="uk-UA"/>
        </w:rPr>
        <w:t xml:space="preserve"> низької інтенсивності з активацією клітинної ланки імунітету. Ключова роль в реалізації запальної реакції і в цілому реакцій першої лінії імунного захисту належить інтерлейкіну-1ß  (</w:t>
      </w:r>
      <w:r w:rsidRPr="0032715D">
        <w:rPr>
          <w:sz w:val="28"/>
          <w:szCs w:val="28"/>
        </w:rPr>
        <w:t>IL</w:t>
      </w:r>
      <w:r w:rsidRPr="0032715D">
        <w:rPr>
          <w:sz w:val="28"/>
          <w:szCs w:val="28"/>
          <w:lang w:val="uk-UA"/>
        </w:rPr>
        <w:t>-1ß) та фактору  некрозу пухлин -</w:t>
      </w:r>
      <w:r w:rsidRPr="0032715D">
        <w:rPr>
          <w:sz w:val="28"/>
          <w:szCs w:val="28"/>
        </w:rPr>
        <w:t>α</w:t>
      </w:r>
      <w:r w:rsidRPr="0032715D">
        <w:rPr>
          <w:sz w:val="28"/>
          <w:szCs w:val="28"/>
          <w:lang w:val="uk-UA"/>
        </w:rPr>
        <w:t xml:space="preserve"> (ФНП-</w:t>
      </w:r>
      <w:r w:rsidRPr="0032715D">
        <w:rPr>
          <w:sz w:val="28"/>
          <w:szCs w:val="28"/>
        </w:rPr>
        <w:t>α</w:t>
      </w:r>
      <w:r w:rsidRPr="0032715D">
        <w:rPr>
          <w:sz w:val="28"/>
          <w:szCs w:val="28"/>
          <w:lang w:val="uk-UA"/>
        </w:rPr>
        <w:t xml:space="preserve">). </w:t>
      </w:r>
    </w:p>
    <w:p w:rsidR="0032715D" w:rsidRDefault="0032715D" w:rsidP="0032715D">
      <w:pPr>
        <w:ind w:left="-567"/>
        <w:jc w:val="both"/>
        <w:rPr>
          <w:sz w:val="28"/>
          <w:szCs w:val="28"/>
          <w:lang w:val="uk-UA"/>
        </w:rPr>
      </w:pPr>
      <w:r w:rsidRPr="0032715D">
        <w:rPr>
          <w:b/>
          <w:sz w:val="28"/>
          <w:szCs w:val="28"/>
          <w:lang w:val="uk-UA"/>
        </w:rPr>
        <w:t>Мета дослідження</w:t>
      </w:r>
      <w:r>
        <w:rPr>
          <w:sz w:val="28"/>
          <w:szCs w:val="28"/>
          <w:lang w:val="uk-UA"/>
        </w:rPr>
        <w:t xml:space="preserve">: </w:t>
      </w:r>
      <w:r w:rsidRPr="0032715D">
        <w:rPr>
          <w:sz w:val="28"/>
          <w:szCs w:val="28"/>
          <w:lang w:val="uk-UA"/>
        </w:rPr>
        <w:t>оцінити рівні IL-1ß  та ФНП-α в індукованій мокроті дітей із бронхолегеневою дисплазією</w:t>
      </w:r>
      <w:r>
        <w:rPr>
          <w:sz w:val="28"/>
          <w:szCs w:val="28"/>
          <w:lang w:val="uk-UA"/>
        </w:rPr>
        <w:t>.</w:t>
      </w:r>
    </w:p>
    <w:p w:rsidR="0032715D" w:rsidRDefault="0032715D" w:rsidP="0032715D">
      <w:pPr>
        <w:ind w:left="-567"/>
        <w:jc w:val="both"/>
        <w:rPr>
          <w:sz w:val="28"/>
          <w:szCs w:val="28"/>
          <w:lang w:val="uk-UA"/>
        </w:rPr>
      </w:pPr>
      <w:r w:rsidRPr="0032715D">
        <w:rPr>
          <w:b/>
          <w:sz w:val="28"/>
          <w:szCs w:val="28"/>
          <w:lang w:val="uk-UA"/>
        </w:rPr>
        <w:t>Матеріали та методи</w:t>
      </w:r>
      <w:r>
        <w:rPr>
          <w:b/>
          <w:sz w:val="28"/>
          <w:szCs w:val="28"/>
          <w:lang w:val="uk-UA"/>
        </w:rPr>
        <w:t xml:space="preserve">. </w:t>
      </w:r>
      <w:r w:rsidRPr="0032715D">
        <w:rPr>
          <w:sz w:val="28"/>
          <w:szCs w:val="28"/>
          <w:lang w:val="uk-UA"/>
        </w:rPr>
        <w:t xml:space="preserve"> Обстежено 68 дітей віком від 1 місяця до 3 років, серед яких у 33 пацієнтів  діагностовано класичну форму БЛД  (1-а група), у 18 – нову форму БЛД   (2-а група), у 17 – БЛД доношених (3-я група). Групу контролю склали 20 здорових дітей.</w:t>
      </w:r>
      <w:r>
        <w:rPr>
          <w:sz w:val="28"/>
          <w:szCs w:val="28"/>
          <w:lang w:val="uk-UA"/>
        </w:rPr>
        <w:t xml:space="preserve"> </w:t>
      </w:r>
      <w:r w:rsidRPr="0032715D">
        <w:rPr>
          <w:sz w:val="28"/>
          <w:szCs w:val="28"/>
          <w:lang w:val="uk-UA"/>
        </w:rPr>
        <w:t xml:space="preserve">Забір 0,5 </w:t>
      </w:r>
      <w:proofErr w:type="spellStart"/>
      <w:r w:rsidRPr="0032715D">
        <w:rPr>
          <w:sz w:val="28"/>
          <w:szCs w:val="28"/>
          <w:lang w:val="uk-UA"/>
        </w:rPr>
        <w:t>мл</w:t>
      </w:r>
      <w:proofErr w:type="spellEnd"/>
      <w:r w:rsidRPr="0032715D">
        <w:rPr>
          <w:sz w:val="28"/>
          <w:szCs w:val="28"/>
          <w:lang w:val="uk-UA"/>
        </w:rPr>
        <w:t xml:space="preserve">  індукованої мокроти проводився усім пацієнтам із БЛД натще після ін</w:t>
      </w:r>
      <w:r w:rsidR="00AA310F">
        <w:rPr>
          <w:sz w:val="28"/>
          <w:szCs w:val="28"/>
          <w:lang w:val="uk-UA"/>
        </w:rPr>
        <w:t>галяції фізіологічного розчину.</w:t>
      </w:r>
      <w:r>
        <w:rPr>
          <w:sz w:val="28"/>
          <w:szCs w:val="28"/>
          <w:lang w:val="uk-UA"/>
        </w:rPr>
        <w:t xml:space="preserve"> </w:t>
      </w:r>
      <w:r w:rsidRPr="0032715D">
        <w:rPr>
          <w:sz w:val="28"/>
          <w:szCs w:val="28"/>
          <w:lang w:val="uk-UA"/>
        </w:rPr>
        <w:t xml:space="preserve">Статистичну обробку отриманих даних проводили за допомогою статистичного пакету програми </w:t>
      </w:r>
      <w:proofErr w:type="spellStart"/>
      <w:r w:rsidRPr="0032715D">
        <w:rPr>
          <w:sz w:val="28"/>
          <w:szCs w:val="28"/>
          <w:lang w:val="uk-UA"/>
        </w:rPr>
        <w:t>Statistica</w:t>
      </w:r>
      <w:proofErr w:type="spellEnd"/>
      <w:r w:rsidRPr="0032715D">
        <w:rPr>
          <w:sz w:val="28"/>
          <w:szCs w:val="28"/>
          <w:lang w:val="uk-UA"/>
        </w:rPr>
        <w:t xml:space="preserve"> 7.0.</w:t>
      </w:r>
    </w:p>
    <w:p w:rsidR="0032715D" w:rsidRDefault="0032715D" w:rsidP="0032715D">
      <w:pPr>
        <w:ind w:left="-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Результати. </w:t>
      </w:r>
      <w:r w:rsidRPr="0032715D">
        <w:rPr>
          <w:sz w:val="28"/>
          <w:szCs w:val="28"/>
          <w:lang w:val="uk-UA"/>
        </w:rPr>
        <w:t>В індукованій мокроті дітей із різними формами БЛД, порівняно з контролем,  відзначалося вірогідне підвищення рівнів  IL-1ß та ФНП-α.</w:t>
      </w:r>
      <w:r>
        <w:rPr>
          <w:sz w:val="28"/>
          <w:szCs w:val="28"/>
          <w:lang w:val="uk-UA"/>
        </w:rPr>
        <w:t xml:space="preserve"> </w:t>
      </w:r>
      <w:r w:rsidRPr="0032715D">
        <w:rPr>
          <w:sz w:val="28"/>
          <w:szCs w:val="28"/>
          <w:lang w:val="uk-UA"/>
        </w:rPr>
        <w:t xml:space="preserve">Під час проведення дисперсійного аналізу було з’ясовано, що критерій </w:t>
      </w:r>
      <w:proofErr w:type="spellStart"/>
      <w:r w:rsidRPr="0032715D">
        <w:rPr>
          <w:sz w:val="28"/>
          <w:szCs w:val="28"/>
          <w:lang w:val="uk-UA"/>
        </w:rPr>
        <w:t>Краскла-Уолліса</w:t>
      </w:r>
      <w:proofErr w:type="spellEnd"/>
      <w:r w:rsidR="00F74746" w:rsidRPr="00F74746">
        <w:rPr>
          <w:sz w:val="28"/>
          <w:szCs w:val="28"/>
          <w:lang w:val="uk-UA"/>
        </w:rPr>
        <w:t xml:space="preserve"> </w:t>
      </w:r>
      <w:r w:rsidR="00F74746">
        <w:rPr>
          <w:sz w:val="28"/>
          <w:szCs w:val="28"/>
          <w:lang w:val="uk-UA"/>
        </w:rPr>
        <w:t>(</w:t>
      </w:r>
      <w:r w:rsidR="00F74746" w:rsidRPr="00F74746">
        <w:rPr>
          <w:sz w:val="28"/>
          <w:szCs w:val="28"/>
          <w:lang w:val="uk-UA"/>
        </w:rPr>
        <w:t>KW</w:t>
      </w:r>
      <w:r w:rsidR="00F74746">
        <w:rPr>
          <w:sz w:val="28"/>
          <w:szCs w:val="28"/>
          <w:lang w:val="uk-UA"/>
        </w:rPr>
        <w:t>)</w:t>
      </w:r>
      <w:r w:rsidRPr="0032715D">
        <w:rPr>
          <w:sz w:val="28"/>
          <w:szCs w:val="28"/>
          <w:lang w:val="uk-UA"/>
        </w:rPr>
        <w:t xml:space="preserve"> значущий як для  рівня  IL-1β, так і для рівня ФНП-α. Під час оцінювання попарного порівняння, U-критерій </w:t>
      </w:r>
      <w:proofErr w:type="spellStart"/>
      <w:r w:rsidRPr="0032715D">
        <w:rPr>
          <w:sz w:val="28"/>
          <w:szCs w:val="28"/>
          <w:lang w:val="uk-UA"/>
        </w:rPr>
        <w:t>Манна-Уітні</w:t>
      </w:r>
      <w:proofErr w:type="spellEnd"/>
      <w:r w:rsidRPr="0032715D">
        <w:rPr>
          <w:sz w:val="28"/>
          <w:szCs w:val="28"/>
          <w:lang w:val="uk-UA"/>
        </w:rPr>
        <w:t xml:space="preserve"> </w:t>
      </w:r>
      <w:r w:rsidR="00F74746">
        <w:rPr>
          <w:sz w:val="28"/>
          <w:szCs w:val="28"/>
          <w:lang w:val="uk-UA"/>
        </w:rPr>
        <w:t>(</w:t>
      </w:r>
      <w:r w:rsidR="00F74746" w:rsidRPr="00F74746">
        <w:rPr>
          <w:sz w:val="28"/>
          <w:szCs w:val="28"/>
          <w:lang w:val="uk-UA"/>
        </w:rPr>
        <w:t>MW</w:t>
      </w:r>
      <w:r w:rsidR="00F74746">
        <w:rPr>
          <w:sz w:val="28"/>
          <w:szCs w:val="28"/>
          <w:lang w:val="uk-UA"/>
        </w:rPr>
        <w:t>)</w:t>
      </w:r>
      <w:r w:rsidR="00F74746" w:rsidRPr="00F74746">
        <w:rPr>
          <w:sz w:val="28"/>
          <w:szCs w:val="28"/>
          <w:lang w:val="uk-UA"/>
        </w:rPr>
        <w:t xml:space="preserve"> </w:t>
      </w:r>
      <w:r w:rsidRPr="0032715D">
        <w:rPr>
          <w:sz w:val="28"/>
          <w:szCs w:val="28"/>
          <w:lang w:val="uk-UA"/>
        </w:rPr>
        <w:t>незначущий. Це дає право стверджувати, що статистичні характеристики  відповідних  показників різних груп статистично не відрізняється  між собою, а рівень активності досліджених рівнів прозапальних цитокінів вірогідно підвищений порівняно з контролем, та не залежить від приналежності дитини із БЛД до тієї чи іншої групи (табл. 1).</w:t>
      </w:r>
    </w:p>
    <w:p w:rsidR="0032715D" w:rsidRPr="0032715D" w:rsidRDefault="0032715D" w:rsidP="0032715D">
      <w:pPr>
        <w:rPr>
          <w:sz w:val="28"/>
          <w:szCs w:val="28"/>
          <w:lang w:val="uk-UA"/>
        </w:rPr>
      </w:pPr>
      <w:r w:rsidRPr="0032715D">
        <w:rPr>
          <w:b/>
          <w:sz w:val="28"/>
          <w:szCs w:val="28"/>
          <w:lang w:val="uk-UA"/>
        </w:rPr>
        <w:t>Табл. 1.</w:t>
      </w:r>
      <w:r w:rsidRPr="0032715D">
        <w:rPr>
          <w:sz w:val="28"/>
          <w:szCs w:val="28"/>
          <w:lang w:val="uk-UA"/>
        </w:rPr>
        <w:t xml:space="preserve"> Статистичні характеристики  рівнів IL-1β та ФНП-α у дітей із БЛД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217"/>
        <w:gridCol w:w="1839"/>
        <w:gridCol w:w="1839"/>
        <w:gridCol w:w="1839"/>
        <w:gridCol w:w="1870"/>
      </w:tblGrid>
      <w:tr w:rsidR="00A12BC1" w:rsidRPr="002E0680" w:rsidTr="00AA310F">
        <w:tc>
          <w:tcPr>
            <w:tcW w:w="2217" w:type="dxa"/>
          </w:tcPr>
          <w:p w:rsidR="00A12BC1" w:rsidRPr="0032715D" w:rsidRDefault="00A12BC1" w:rsidP="002E06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39" w:type="dxa"/>
          </w:tcPr>
          <w:p w:rsidR="00A12BC1" w:rsidRPr="002E0680" w:rsidRDefault="00A12BC1" w:rsidP="002E0680">
            <w:pPr>
              <w:rPr>
                <w:sz w:val="28"/>
                <w:szCs w:val="28"/>
              </w:rPr>
            </w:pPr>
            <w:r w:rsidRPr="002E0680">
              <w:rPr>
                <w:sz w:val="28"/>
                <w:szCs w:val="28"/>
              </w:rPr>
              <w:t xml:space="preserve">1-а </w:t>
            </w:r>
            <w:proofErr w:type="spellStart"/>
            <w:r w:rsidRPr="002E0680">
              <w:rPr>
                <w:sz w:val="28"/>
                <w:szCs w:val="28"/>
              </w:rPr>
              <w:t>група</w:t>
            </w:r>
            <w:proofErr w:type="spellEnd"/>
          </w:p>
        </w:tc>
        <w:tc>
          <w:tcPr>
            <w:tcW w:w="1839" w:type="dxa"/>
          </w:tcPr>
          <w:p w:rsidR="00A12BC1" w:rsidRPr="002E0680" w:rsidRDefault="00A12BC1" w:rsidP="002E0680">
            <w:pPr>
              <w:rPr>
                <w:sz w:val="28"/>
                <w:szCs w:val="28"/>
              </w:rPr>
            </w:pPr>
            <w:r w:rsidRPr="002E0680">
              <w:rPr>
                <w:sz w:val="28"/>
                <w:szCs w:val="28"/>
              </w:rPr>
              <w:t xml:space="preserve">2-а </w:t>
            </w:r>
            <w:proofErr w:type="spellStart"/>
            <w:r w:rsidRPr="002E0680">
              <w:rPr>
                <w:sz w:val="28"/>
                <w:szCs w:val="28"/>
              </w:rPr>
              <w:t>група</w:t>
            </w:r>
            <w:proofErr w:type="spellEnd"/>
          </w:p>
        </w:tc>
        <w:tc>
          <w:tcPr>
            <w:tcW w:w="1839" w:type="dxa"/>
          </w:tcPr>
          <w:p w:rsidR="00A12BC1" w:rsidRPr="002E0680" w:rsidRDefault="00A12BC1" w:rsidP="002E0680">
            <w:pPr>
              <w:rPr>
                <w:sz w:val="28"/>
                <w:szCs w:val="28"/>
              </w:rPr>
            </w:pPr>
            <w:r w:rsidRPr="002E0680">
              <w:rPr>
                <w:sz w:val="28"/>
                <w:szCs w:val="28"/>
              </w:rPr>
              <w:t xml:space="preserve">3-я </w:t>
            </w:r>
            <w:proofErr w:type="spellStart"/>
            <w:r w:rsidRPr="002E0680">
              <w:rPr>
                <w:sz w:val="28"/>
                <w:szCs w:val="28"/>
              </w:rPr>
              <w:t>група</w:t>
            </w:r>
            <w:proofErr w:type="spellEnd"/>
          </w:p>
        </w:tc>
        <w:tc>
          <w:tcPr>
            <w:tcW w:w="1870" w:type="dxa"/>
          </w:tcPr>
          <w:p w:rsidR="00A12BC1" w:rsidRPr="002E0680" w:rsidRDefault="00A12BC1" w:rsidP="002E0680">
            <w:pPr>
              <w:rPr>
                <w:sz w:val="28"/>
                <w:szCs w:val="28"/>
              </w:rPr>
            </w:pPr>
            <w:r w:rsidRPr="002E0680">
              <w:rPr>
                <w:sz w:val="28"/>
                <w:szCs w:val="28"/>
              </w:rPr>
              <w:t xml:space="preserve">Контроль </w:t>
            </w:r>
          </w:p>
        </w:tc>
      </w:tr>
      <w:tr w:rsidR="00A12BC1" w:rsidRPr="002E0680" w:rsidTr="00AA310F">
        <w:tc>
          <w:tcPr>
            <w:tcW w:w="2217" w:type="dxa"/>
          </w:tcPr>
          <w:p w:rsidR="00A12BC1" w:rsidRPr="002E0680" w:rsidRDefault="00A12BC1" w:rsidP="002E0680">
            <w:pPr>
              <w:rPr>
                <w:sz w:val="28"/>
                <w:szCs w:val="28"/>
              </w:rPr>
            </w:pPr>
            <w:r w:rsidRPr="002E0680">
              <w:rPr>
                <w:sz w:val="28"/>
                <w:szCs w:val="28"/>
                <w:lang w:val="uk-UA"/>
              </w:rPr>
              <w:t xml:space="preserve">Інтерлейкін-1β, </w:t>
            </w:r>
            <w:proofErr w:type="spellStart"/>
            <w:r w:rsidRPr="002E0680">
              <w:rPr>
                <w:sz w:val="28"/>
                <w:szCs w:val="28"/>
                <w:lang w:val="uk-UA"/>
              </w:rPr>
              <w:t>пг</w:t>
            </w:r>
            <w:proofErr w:type="spellEnd"/>
            <w:r w:rsidRPr="002E0680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2E0680">
              <w:rPr>
                <w:sz w:val="28"/>
                <w:szCs w:val="28"/>
                <w:lang w:val="uk-UA"/>
              </w:rPr>
              <w:t>мл</w:t>
            </w:r>
            <w:proofErr w:type="spellEnd"/>
          </w:p>
        </w:tc>
        <w:tc>
          <w:tcPr>
            <w:tcW w:w="1839" w:type="dxa"/>
          </w:tcPr>
          <w:p w:rsidR="00A12BC1" w:rsidRPr="002E0680" w:rsidRDefault="00A12BC1" w:rsidP="002E0680">
            <w:pPr>
              <w:rPr>
                <w:sz w:val="28"/>
                <w:szCs w:val="28"/>
              </w:rPr>
            </w:pPr>
            <w:r w:rsidRPr="002E0680">
              <w:rPr>
                <w:sz w:val="28"/>
                <w:szCs w:val="28"/>
                <w:lang w:val="uk-UA"/>
              </w:rPr>
              <w:t>25,40</w:t>
            </w:r>
          </w:p>
        </w:tc>
        <w:tc>
          <w:tcPr>
            <w:tcW w:w="1839" w:type="dxa"/>
          </w:tcPr>
          <w:p w:rsidR="00A12BC1" w:rsidRPr="002E0680" w:rsidRDefault="00A12BC1" w:rsidP="002E0680">
            <w:pPr>
              <w:rPr>
                <w:sz w:val="28"/>
                <w:szCs w:val="28"/>
              </w:rPr>
            </w:pPr>
            <w:r w:rsidRPr="002E0680">
              <w:rPr>
                <w:sz w:val="28"/>
                <w:szCs w:val="28"/>
                <w:lang w:val="uk-UA"/>
              </w:rPr>
              <w:t>26,61</w:t>
            </w:r>
          </w:p>
        </w:tc>
        <w:tc>
          <w:tcPr>
            <w:tcW w:w="1839" w:type="dxa"/>
          </w:tcPr>
          <w:p w:rsidR="00A12BC1" w:rsidRPr="002E0680" w:rsidRDefault="00A12BC1" w:rsidP="002E0680">
            <w:pPr>
              <w:rPr>
                <w:sz w:val="28"/>
                <w:szCs w:val="28"/>
              </w:rPr>
            </w:pPr>
            <w:r w:rsidRPr="002E0680">
              <w:rPr>
                <w:sz w:val="28"/>
                <w:szCs w:val="28"/>
                <w:lang w:val="uk-UA"/>
              </w:rPr>
              <w:t>29,20</w:t>
            </w:r>
          </w:p>
        </w:tc>
        <w:tc>
          <w:tcPr>
            <w:tcW w:w="1870" w:type="dxa"/>
          </w:tcPr>
          <w:p w:rsidR="00A12BC1" w:rsidRPr="002E0680" w:rsidRDefault="00A12BC1" w:rsidP="002E0680">
            <w:pPr>
              <w:rPr>
                <w:sz w:val="28"/>
                <w:szCs w:val="28"/>
              </w:rPr>
            </w:pPr>
            <w:r w:rsidRPr="002E0680">
              <w:rPr>
                <w:sz w:val="28"/>
                <w:szCs w:val="28"/>
              </w:rPr>
              <w:t>17,47</w:t>
            </w:r>
          </w:p>
        </w:tc>
      </w:tr>
      <w:tr w:rsidR="00A12BC1" w:rsidRPr="002E0680" w:rsidTr="00AA310F">
        <w:tc>
          <w:tcPr>
            <w:tcW w:w="2217" w:type="dxa"/>
          </w:tcPr>
          <w:p w:rsidR="00A12BC1" w:rsidRPr="002E0680" w:rsidRDefault="00A12BC1" w:rsidP="002E0680">
            <w:pPr>
              <w:rPr>
                <w:sz w:val="28"/>
                <w:szCs w:val="28"/>
                <w:lang w:val="uk-UA"/>
              </w:rPr>
            </w:pPr>
            <w:proofErr w:type="spellStart"/>
            <w:r w:rsidRPr="002E0680">
              <w:rPr>
                <w:sz w:val="28"/>
                <w:szCs w:val="28"/>
                <w:lang w:val="uk-UA"/>
              </w:rPr>
              <w:t>р</w:t>
            </w:r>
            <w:r w:rsidRPr="002E0680">
              <w:rPr>
                <w:sz w:val="28"/>
                <w:szCs w:val="28"/>
                <w:vertAlign w:val="subscript"/>
                <w:lang w:val="uk-UA"/>
              </w:rPr>
              <w:t>к</w:t>
            </w:r>
            <w:proofErr w:type="spellEnd"/>
          </w:p>
        </w:tc>
        <w:tc>
          <w:tcPr>
            <w:tcW w:w="1839" w:type="dxa"/>
          </w:tcPr>
          <w:p w:rsidR="00A12BC1" w:rsidRPr="002E0680" w:rsidRDefault="00A12BC1" w:rsidP="00C5118B">
            <w:pPr>
              <w:jc w:val="center"/>
              <w:rPr>
                <w:sz w:val="28"/>
                <w:szCs w:val="28"/>
                <w:lang w:val="uk-UA"/>
              </w:rPr>
            </w:pPr>
            <w:r w:rsidRPr="002E0680">
              <w:rPr>
                <w:sz w:val="28"/>
                <w:szCs w:val="28"/>
                <w:lang w:val="uk-UA"/>
              </w:rPr>
              <w:t>0,0000</w:t>
            </w:r>
          </w:p>
        </w:tc>
        <w:tc>
          <w:tcPr>
            <w:tcW w:w="1839" w:type="dxa"/>
          </w:tcPr>
          <w:p w:rsidR="00A12BC1" w:rsidRPr="002E0680" w:rsidRDefault="00A12BC1" w:rsidP="00C5118B">
            <w:pPr>
              <w:jc w:val="center"/>
              <w:rPr>
                <w:sz w:val="28"/>
                <w:szCs w:val="28"/>
                <w:lang w:val="uk-UA"/>
              </w:rPr>
            </w:pPr>
            <w:r w:rsidRPr="002E0680">
              <w:rPr>
                <w:sz w:val="28"/>
                <w:szCs w:val="28"/>
                <w:lang w:val="uk-UA"/>
              </w:rPr>
              <w:t>0,0002</w:t>
            </w:r>
          </w:p>
        </w:tc>
        <w:tc>
          <w:tcPr>
            <w:tcW w:w="1839" w:type="dxa"/>
          </w:tcPr>
          <w:p w:rsidR="00A12BC1" w:rsidRPr="002E0680" w:rsidRDefault="00A12BC1" w:rsidP="00C5118B">
            <w:pPr>
              <w:jc w:val="center"/>
              <w:rPr>
                <w:sz w:val="28"/>
                <w:szCs w:val="28"/>
                <w:lang w:val="uk-UA"/>
              </w:rPr>
            </w:pPr>
            <w:r w:rsidRPr="002E0680">
              <w:rPr>
                <w:sz w:val="28"/>
                <w:szCs w:val="28"/>
                <w:lang w:val="uk-UA"/>
              </w:rPr>
              <w:t>0,0000</w:t>
            </w:r>
          </w:p>
        </w:tc>
        <w:tc>
          <w:tcPr>
            <w:tcW w:w="1870" w:type="dxa"/>
          </w:tcPr>
          <w:p w:rsidR="00A12BC1" w:rsidRPr="002E0680" w:rsidRDefault="00A12BC1" w:rsidP="00C5118B">
            <w:pPr>
              <w:jc w:val="center"/>
              <w:rPr>
                <w:sz w:val="28"/>
                <w:szCs w:val="28"/>
              </w:rPr>
            </w:pPr>
            <w:r w:rsidRPr="002E0680">
              <w:rPr>
                <w:sz w:val="28"/>
                <w:szCs w:val="28"/>
                <w:lang w:val="uk-UA"/>
              </w:rPr>
              <w:t>0,0000</w:t>
            </w:r>
          </w:p>
        </w:tc>
      </w:tr>
      <w:tr w:rsidR="00A12BC1" w:rsidRPr="002E0680" w:rsidTr="00AA310F">
        <w:tc>
          <w:tcPr>
            <w:tcW w:w="2217" w:type="dxa"/>
          </w:tcPr>
          <w:p w:rsidR="00A12BC1" w:rsidRPr="002E0680" w:rsidRDefault="00A12BC1" w:rsidP="0032715D">
            <w:pPr>
              <w:rPr>
                <w:sz w:val="28"/>
                <w:szCs w:val="28"/>
                <w:lang w:val="uk-UA"/>
              </w:rPr>
            </w:pPr>
            <w:r w:rsidRPr="002E0680">
              <w:rPr>
                <w:sz w:val="28"/>
                <w:szCs w:val="28"/>
                <w:lang w:val="uk-UA"/>
              </w:rPr>
              <w:t>KW</w:t>
            </w:r>
          </w:p>
        </w:tc>
        <w:tc>
          <w:tcPr>
            <w:tcW w:w="7387" w:type="dxa"/>
            <w:gridSpan w:val="4"/>
          </w:tcPr>
          <w:p w:rsidR="00A12BC1" w:rsidRPr="002E0680" w:rsidRDefault="00A12BC1" w:rsidP="00C5118B">
            <w:pPr>
              <w:jc w:val="center"/>
              <w:rPr>
                <w:sz w:val="28"/>
                <w:szCs w:val="28"/>
                <w:lang w:val="uk-UA"/>
              </w:rPr>
            </w:pPr>
            <w:r w:rsidRPr="002E0680">
              <w:rPr>
                <w:sz w:val="28"/>
                <w:szCs w:val="28"/>
                <w:lang w:val="uk-UA"/>
              </w:rPr>
              <w:t>H=22,62; p=0,0000</w:t>
            </w:r>
          </w:p>
        </w:tc>
      </w:tr>
      <w:tr w:rsidR="00A12BC1" w:rsidRPr="002E0680" w:rsidTr="00AA310F">
        <w:tc>
          <w:tcPr>
            <w:tcW w:w="2217" w:type="dxa"/>
          </w:tcPr>
          <w:p w:rsidR="00A12BC1" w:rsidRPr="002E0680" w:rsidRDefault="00A12BC1" w:rsidP="0032715D">
            <w:pPr>
              <w:rPr>
                <w:sz w:val="28"/>
                <w:szCs w:val="28"/>
                <w:lang w:val="uk-UA"/>
              </w:rPr>
            </w:pPr>
            <w:r w:rsidRPr="002E0680">
              <w:rPr>
                <w:sz w:val="28"/>
                <w:szCs w:val="28"/>
                <w:lang w:val="uk-UA"/>
              </w:rPr>
              <w:t>MW</w:t>
            </w:r>
          </w:p>
        </w:tc>
        <w:tc>
          <w:tcPr>
            <w:tcW w:w="7387" w:type="dxa"/>
            <w:gridSpan w:val="4"/>
          </w:tcPr>
          <w:p w:rsidR="00A12BC1" w:rsidRPr="002E0680" w:rsidRDefault="00A12BC1" w:rsidP="00C5118B">
            <w:pPr>
              <w:jc w:val="center"/>
              <w:rPr>
                <w:sz w:val="28"/>
                <w:szCs w:val="28"/>
                <w:lang w:val="uk-UA"/>
              </w:rPr>
            </w:pPr>
            <w:r w:rsidRPr="002E0680">
              <w:rPr>
                <w:sz w:val="28"/>
                <w:szCs w:val="28"/>
                <w:lang w:val="uk-UA"/>
              </w:rPr>
              <w:t>р</w:t>
            </w:r>
            <w:r w:rsidRPr="002E0680">
              <w:rPr>
                <w:sz w:val="28"/>
                <w:szCs w:val="28"/>
                <w:vertAlign w:val="subscript"/>
                <w:lang w:val="uk-UA"/>
              </w:rPr>
              <w:t>1-2</w:t>
            </w:r>
            <w:r w:rsidRPr="002E0680">
              <w:rPr>
                <w:sz w:val="28"/>
                <w:szCs w:val="28"/>
                <w:lang w:val="uk-UA"/>
              </w:rPr>
              <w:t>=0,7007</w:t>
            </w:r>
            <w:r w:rsidRPr="002E0680">
              <w:rPr>
                <w:sz w:val="28"/>
                <w:szCs w:val="28"/>
                <w:vertAlign w:val="subscript"/>
                <w:lang w:val="uk-UA"/>
              </w:rPr>
              <w:t xml:space="preserve">   </w:t>
            </w:r>
            <w:r w:rsidRPr="002E0680">
              <w:rPr>
                <w:sz w:val="28"/>
                <w:szCs w:val="28"/>
                <w:lang w:val="uk-UA"/>
              </w:rPr>
              <w:t>р</w:t>
            </w:r>
            <w:r w:rsidRPr="002E0680">
              <w:rPr>
                <w:sz w:val="28"/>
                <w:szCs w:val="28"/>
                <w:vertAlign w:val="subscript"/>
                <w:lang w:val="uk-UA"/>
              </w:rPr>
              <w:t xml:space="preserve"> 1-3</w:t>
            </w:r>
            <w:r w:rsidRPr="002E0680">
              <w:rPr>
                <w:sz w:val="28"/>
                <w:szCs w:val="28"/>
                <w:lang w:val="uk-UA"/>
              </w:rPr>
              <w:t>=</w:t>
            </w:r>
            <w:r w:rsidRPr="002E0680"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2E0680">
              <w:rPr>
                <w:sz w:val="28"/>
                <w:szCs w:val="28"/>
                <w:lang w:val="uk-UA"/>
              </w:rPr>
              <w:t>0,1969</w:t>
            </w:r>
            <w:r w:rsidRPr="002E0680">
              <w:rPr>
                <w:sz w:val="28"/>
                <w:szCs w:val="28"/>
                <w:vertAlign w:val="subscript"/>
                <w:lang w:val="uk-UA"/>
              </w:rPr>
              <w:t xml:space="preserve">   </w:t>
            </w:r>
            <w:r w:rsidRPr="002E0680">
              <w:rPr>
                <w:sz w:val="28"/>
                <w:szCs w:val="28"/>
                <w:lang w:val="uk-UA"/>
              </w:rPr>
              <w:t>р</w:t>
            </w:r>
            <w:r w:rsidRPr="002E0680">
              <w:rPr>
                <w:sz w:val="28"/>
                <w:szCs w:val="28"/>
                <w:vertAlign w:val="subscript"/>
                <w:lang w:val="uk-UA"/>
              </w:rPr>
              <w:t xml:space="preserve"> 2-3 </w:t>
            </w:r>
            <w:r w:rsidRPr="002E0680">
              <w:rPr>
                <w:sz w:val="28"/>
                <w:szCs w:val="28"/>
                <w:lang w:val="uk-UA"/>
              </w:rPr>
              <w:t>=</w:t>
            </w:r>
            <w:r w:rsidRPr="002E0680"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2E0680">
              <w:rPr>
                <w:sz w:val="28"/>
                <w:szCs w:val="28"/>
                <w:lang w:val="uk-UA"/>
              </w:rPr>
              <w:t>0,6558</w:t>
            </w:r>
          </w:p>
        </w:tc>
      </w:tr>
      <w:tr w:rsidR="00A12BC1" w:rsidRPr="002E0680" w:rsidTr="00AA310F">
        <w:tc>
          <w:tcPr>
            <w:tcW w:w="2217" w:type="dxa"/>
          </w:tcPr>
          <w:p w:rsidR="00A12BC1" w:rsidRPr="002E0680" w:rsidRDefault="00A12BC1" w:rsidP="0032715D">
            <w:pPr>
              <w:rPr>
                <w:sz w:val="28"/>
                <w:szCs w:val="28"/>
                <w:lang w:val="uk-UA"/>
              </w:rPr>
            </w:pPr>
            <w:r w:rsidRPr="002E0680">
              <w:rPr>
                <w:sz w:val="28"/>
                <w:szCs w:val="28"/>
                <w:lang w:val="uk-UA"/>
              </w:rPr>
              <w:t xml:space="preserve">Фактор некрозу пухлин-α, </w:t>
            </w:r>
            <w:proofErr w:type="spellStart"/>
            <w:r w:rsidRPr="002E0680">
              <w:rPr>
                <w:sz w:val="28"/>
                <w:szCs w:val="28"/>
                <w:lang w:val="uk-UA"/>
              </w:rPr>
              <w:t>пг</w:t>
            </w:r>
            <w:proofErr w:type="spellEnd"/>
            <w:r w:rsidRPr="002E0680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2E0680">
              <w:rPr>
                <w:sz w:val="28"/>
                <w:szCs w:val="28"/>
                <w:lang w:val="uk-UA"/>
              </w:rPr>
              <w:t>мл</w:t>
            </w:r>
            <w:proofErr w:type="spellEnd"/>
          </w:p>
        </w:tc>
        <w:tc>
          <w:tcPr>
            <w:tcW w:w="1839" w:type="dxa"/>
          </w:tcPr>
          <w:p w:rsidR="00A12BC1" w:rsidRPr="002E0680" w:rsidRDefault="00A12BC1" w:rsidP="002E0680">
            <w:pPr>
              <w:jc w:val="center"/>
              <w:rPr>
                <w:sz w:val="28"/>
                <w:szCs w:val="28"/>
                <w:lang w:val="uk-UA"/>
              </w:rPr>
            </w:pPr>
            <w:r w:rsidRPr="002E0680">
              <w:rPr>
                <w:sz w:val="28"/>
                <w:szCs w:val="28"/>
                <w:lang w:val="uk-UA"/>
              </w:rPr>
              <w:t>36,96</w:t>
            </w:r>
          </w:p>
        </w:tc>
        <w:tc>
          <w:tcPr>
            <w:tcW w:w="1839" w:type="dxa"/>
          </w:tcPr>
          <w:p w:rsidR="00A12BC1" w:rsidRPr="002E0680" w:rsidRDefault="00A12BC1" w:rsidP="002E0680">
            <w:pPr>
              <w:rPr>
                <w:sz w:val="28"/>
                <w:szCs w:val="28"/>
              </w:rPr>
            </w:pPr>
            <w:r w:rsidRPr="002E0680">
              <w:rPr>
                <w:sz w:val="28"/>
                <w:szCs w:val="28"/>
                <w:lang w:val="uk-UA"/>
              </w:rPr>
              <w:t>36,75</w:t>
            </w:r>
          </w:p>
        </w:tc>
        <w:tc>
          <w:tcPr>
            <w:tcW w:w="1839" w:type="dxa"/>
          </w:tcPr>
          <w:p w:rsidR="00A12BC1" w:rsidRPr="002E0680" w:rsidRDefault="00A12BC1" w:rsidP="002E0680">
            <w:pPr>
              <w:rPr>
                <w:sz w:val="28"/>
                <w:szCs w:val="28"/>
              </w:rPr>
            </w:pPr>
            <w:r w:rsidRPr="002E0680">
              <w:rPr>
                <w:sz w:val="28"/>
                <w:szCs w:val="28"/>
                <w:lang w:val="uk-UA"/>
              </w:rPr>
              <w:t>38,13</w:t>
            </w:r>
          </w:p>
        </w:tc>
        <w:tc>
          <w:tcPr>
            <w:tcW w:w="1870" w:type="dxa"/>
          </w:tcPr>
          <w:p w:rsidR="00A12BC1" w:rsidRPr="002E0680" w:rsidRDefault="00A12BC1" w:rsidP="002E0680">
            <w:pPr>
              <w:rPr>
                <w:sz w:val="28"/>
                <w:szCs w:val="28"/>
              </w:rPr>
            </w:pPr>
            <w:r w:rsidRPr="002E0680">
              <w:rPr>
                <w:sz w:val="28"/>
                <w:szCs w:val="28"/>
              </w:rPr>
              <w:t>25,75</w:t>
            </w:r>
          </w:p>
        </w:tc>
      </w:tr>
      <w:tr w:rsidR="00A12BC1" w:rsidRPr="002E0680" w:rsidTr="00AA310F">
        <w:tc>
          <w:tcPr>
            <w:tcW w:w="2217" w:type="dxa"/>
          </w:tcPr>
          <w:p w:rsidR="00A12BC1" w:rsidRPr="002E0680" w:rsidRDefault="0032715D" w:rsidP="002E0680">
            <w:pPr>
              <w:rPr>
                <w:sz w:val="28"/>
                <w:szCs w:val="28"/>
              </w:rPr>
            </w:pPr>
            <w:proofErr w:type="spellStart"/>
            <w:r w:rsidRPr="002E0680">
              <w:rPr>
                <w:sz w:val="28"/>
                <w:szCs w:val="28"/>
                <w:lang w:val="uk-UA"/>
              </w:rPr>
              <w:t>р</w:t>
            </w:r>
            <w:r w:rsidRPr="002E0680">
              <w:rPr>
                <w:sz w:val="28"/>
                <w:szCs w:val="28"/>
                <w:vertAlign w:val="subscript"/>
                <w:lang w:val="uk-UA"/>
              </w:rPr>
              <w:t>к</w:t>
            </w:r>
            <w:proofErr w:type="spellEnd"/>
          </w:p>
        </w:tc>
        <w:tc>
          <w:tcPr>
            <w:tcW w:w="1839" w:type="dxa"/>
          </w:tcPr>
          <w:p w:rsidR="00A12BC1" w:rsidRPr="002E0680" w:rsidRDefault="00A12BC1" w:rsidP="00C5118B">
            <w:pPr>
              <w:jc w:val="center"/>
              <w:rPr>
                <w:sz w:val="28"/>
                <w:szCs w:val="28"/>
              </w:rPr>
            </w:pPr>
            <w:r w:rsidRPr="002E0680">
              <w:rPr>
                <w:sz w:val="28"/>
                <w:szCs w:val="28"/>
                <w:lang w:val="uk-UA"/>
              </w:rPr>
              <w:t>0,0000</w:t>
            </w:r>
          </w:p>
        </w:tc>
        <w:tc>
          <w:tcPr>
            <w:tcW w:w="1839" w:type="dxa"/>
          </w:tcPr>
          <w:p w:rsidR="00A12BC1" w:rsidRPr="002E0680" w:rsidRDefault="00A12BC1" w:rsidP="00C5118B">
            <w:pPr>
              <w:jc w:val="center"/>
              <w:rPr>
                <w:sz w:val="28"/>
                <w:szCs w:val="28"/>
              </w:rPr>
            </w:pPr>
            <w:r w:rsidRPr="002E0680">
              <w:rPr>
                <w:sz w:val="28"/>
                <w:szCs w:val="28"/>
                <w:lang w:val="uk-UA"/>
              </w:rPr>
              <w:t>0,0000</w:t>
            </w:r>
          </w:p>
        </w:tc>
        <w:tc>
          <w:tcPr>
            <w:tcW w:w="1839" w:type="dxa"/>
          </w:tcPr>
          <w:p w:rsidR="00A12BC1" w:rsidRPr="002E0680" w:rsidRDefault="00A12BC1" w:rsidP="00C5118B">
            <w:pPr>
              <w:jc w:val="center"/>
              <w:rPr>
                <w:sz w:val="28"/>
                <w:szCs w:val="28"/>
              </w:rPr>
            </w:pPr>
            <w:r w:rsidRPr="002E0680">
              <w:rPr>
                <w:sz w:val="28"/>
                <w:szCs w:val="28"/>
                <w:lang w:val="uk-UA"/>
              </w:rPr>
              <w:t>0,0000</w:t>
            </w:r>
          </w:p>
        </w:tc>
        <w:tc>
          <w:tcPr>
            <w:tcW w:w="1870" w:type="dxa"/>
          </w:tcPr>
          <w:p w:rsidR="00A12BC1" w:rsidRPr="002E0680" w:rsidRDefault="00A12BC1" w:rsidP="00C5118B">
            <w:pPr>
              <w:jc w:val="center"/>
              <w:rPr>
                <w:sz w:val="28"/>
                <w:szCs w:val="28"/>
              </w:rPr>
            </w:pPr>
            <w:r w:rsidRPr="002E0680">
              <w:rPr>
                <w:sz w:val="28"/>
                <w:szCs w:val="28"/>
                <w:lang w:val="uk-UA"/>
              </w:rPr>
              <w:t>0,0000</w:t>
            </w:r>
          </w:p>
        </w:tc>
      </w:tr>
      <w:tr w:rsidR="00A12BC1" w:rsidRPr="002E0680" w:rsidTr="00AA310F">
        <w:tc>
          <w:tcPr>
            <w:tcW w:w="2217" w:type="dxa"/>
          </w:tcPr>
          <w:p w:rsidR="00A12BC1" w:rsidRPr="002E0680" w:rsidRDefault="00A12BC1" w:rsidP="002E0680">
            <w:pPr>
              <w:rPr>
                <w:sz w:val="28"/>
                <w:szCs w:val="28"/>
              </w:rPr>
            </w:pPr>
            <w:r w:rsidRPr="002E0680">
              <w:rPr>
                <w:sz w:val="28"/>
                <w:szCs w:val="28"/>
                <w:lang w:val="uk-UA"/>
              </w:rPr>
              <w:t xml:space="preserve">KW </w:t>
            </w:r>
          </w:p>
        </w:tc>
        <w:tc>
          <w:tcPr>
            <w:tcW w:w="7387" w:type="dxa"/>
            <w:gridSpan w:val="4"/>
          </w:tcPr>
          <w:p w:rsidR="00A12BC1" w:rsidRPr="002E0680" w:rsidRDefault="00A12BC1" w:rsidP="00C5118B">
            <w:pPr>
              <w:jc w:val="center"/>
              <w:rPr>
                <w:sz w:val="28"/>
                <w:szCs w:val="28"/>
              </w:rPr>
            </w:pPr>
            <w:r w:rsidRPr="002E0680">
              <w:rPr>
                <w:sz w:val="28"/>
                <w:szCs w:val="28"/>
                <w:lang w:val="uk-UA"/>
              </w:rPr>
              <w:t>Н=29,02; р=0,0000</w:t>
            </w:r>
          </w:p>
        </w:tc>
      </w:tr>
      <w:tr w:rsidR="00A12BC1" w:rsidRPr="002E0680" w:rsidTr="00AA310F">
        <w:tc>
          <w:tcPr>
            <w:tcW w:w="2217" w:type="dxa"/>
          </w:tcPr>
          <w:p w:rsidR="00A12BC1" w:rsidRPr="002E0680" w:rsidRDefault="00A12BC1" w:rsidP="002E0680">
            <w:pPr>
              <w:rPr>
                <w:sz w:val="28"/>
                <w:szCs w:val="28"/>
              </w:rPr>
            </w:pPr>
            <w:r w:rsidRPr="002E0680">
              <w:rPr>
                <w:sz w:val="28"/>
                <w:szCs w:val="28"/>
                <w:lang w:val="uk-UA"/>
              </w:rPr>
              <w:t>MW</w:t>
            </w:r>
          </w:p>
        </w:tc>
        <w:tc>
          <w:tcPr>
            <w:tcW w:w="7387" w:type="dxa"/>
            <w:gridSpan w:val="4"/>
          </w:tcPr>
          <w:p w:rsidR="00A12BC1" w:rsidRPr="002E0680" w:rsidRDefault="00A12BC1" w:rsidP="00C5118B">
            <w:pPr>
              <w:jc w:val="center"/>
              <w:rPr>
                <w:sz w:val="28"/>
                <w:szCs w:val="28"/>
              </w:rPr>
            </w:pPr>
            <w:r w:rsidRPr="002E0680">
              <w:rPr>
                <w:sz w:val="28"/>
                <w:szCs w:val="28"/>
                <w:lang w:val="uk-UA"/>
              </w:rPr>
              <w:t>р</w:t>
            </w:r>
            <w:r w:rsidRPr="002E0680">
              <w:rPr>
                <w:sz w:val="28"/>
                <w:szCs w:val="28"/>
                <w:vertAlign w:val="subscript"/>
                <w:lang w:val="uk-UA"/>
              </w:rPr>
              <w:t>1-2</w:t>
            </w:r>
            <w:r w:rsidRPr="002E0680">
              <w:rPr>
                <w:sz w:val="28"/>
                <w:szCs w:val="28"/>
                <w:lang w:val="uk-UA"/>
              </w:rPr>
              <w:t>=0,3341</w:t>
            </w:r>
            <w:r w:rsidRPr="002E0680">
              <w:rPr>
                <w:sz w:val="28"/>
                <w:szCs w:val="28"/>
                <w:vertAlign w:val="subscript"/>
                <w:lang w:val="uk-UA"/>
              </w:rPr>
              <w:t xml:space="preserve">   </w:t>
            </w:r>
            <w:r w:rsidRPr="002E0680">
              <w:rPr>
                <w:sz w:val="28"/>
                <w:szCs w:val="28"/>
                <w:lang w:val="uk-UA"/>
              </w:rPr>
              <w:t>р</w:t>
            </w:r>
            <w:r w:rsidRPr="002E0680">
              <w:rPr>
                <w:sz w:val="28"/>
                <w:szCs w:val="28"/>
                <w:vertAlign w:val="subscript"/>
                <w:lang w:val="uk-UA"/>
              </w:rPr>
              <w:t xml:space="preserve"> 1-3</w:t>
            </w:r>
            <w:r w:rsidRPr="002E0680">
              <w:rPr>
                <w:sz w:val="28"/>
                <w:szCs w:val="28"/>
                <w:lang w:val="uk-UA"/>
              </w:rPr>
              <w:t>=</w:t>
            </w:r>
            <w:r w:rsidRPr="002E0680"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2E0680">
              <w:rPr>
                <w:sz w:val="28"/>
                <w:szCs w:val="28"/>
                <w:lang w:val="uk-UA"/>
              </w:rPr>
              <w:t>0,4547</w:t>
            </w:r>
            <w:r w:rsidRPr="002E0680">
              <w:rPr>
                <w:sz w:val="28"/>
                <w:szCs w:val="28"/>
                <w:vertAlign w:val="subscript"/>
                <w:lang w:val="uk-UA"/>
              </w:rPr>
              <w:t xml:space="preserve">   </w:t>
            </w:r>
            <w:r w:rsidRPr="002E0680">
              <w:rPr>
                <w:sz w:val="28"/>
                <w:szCs w:val="28"/>
                <w:lang w:val="uk-UA"/>
              </w:rPr>
              <w:t>р</w:t>
            </w:r>
            <w:r w:rsidRPr="002E0680">
              <w:rPr>
                <w:sz w:val="28"/>
                <w:szCs w:val="28"/>
                <w:vertAlign w:val="subscript"/>
                <w:lang w:val="uk-UA"/>
              </w:rPr>
              <w:t xml:space="preserve"> 2-3 </w:t>
            </w:r>
            <w:r w:rsidRPr="002E0680">
              <w:rPr>
                <w:sz w:val="28"/>
                <w:szCs w:val="28"/>
                <w:lang w:val="uk-UA"/>
              </w:rPr>
              <w:t>=</w:t>
            </w:r>
            <w:r w:rsidRPr="002E0680"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2E0680">
              <w:rPr>
                <w:sz w:val="28"/>
                <w:szCs w:val="28"/>
                <w:lang w:val="uk-UA"/>
              </w:rPr>
              <w:t>0,1656</w:t>
            </w:r>
          </w:p>
        </w:tc>
      </w:tr>
    </w:tbl>
    <w:p w:rsidR="00AA310F" w:rsidRDefault="00AA310F" w:rsidP="002E0680">
      <w:pPr>
        <w:rPr>
          <w:b/>
          <w:sz w:val="28"/>
          <w:szCs w:val="28"/>
          <w:lang w:val="uk-UA"/>
        </w:rPr>
      </w:pPr>
    </w:p>
    <w:p w:rsidR="00A12BC1" w:rsidRPr="00C5118B" w:rsidRDefault="0032715D" w:rsidP="00223BDE">
      <w:pPr>
        <w:ind w:left="-567"/>
        <w:jc w:val="both"/>
        <w:rPr>
          <w:sz w:val="28"/>
          <w:szCs w:val="28"/>
          <w:lang w:val="uk-UA"/>
        </w:rPr>
      </w:pPr>
      <w:r w:rsidRPr="00203551">
        <w:rPr>
          <w:b/>
          <w:sz w:val="28"/>
          <w:szCs w:val="28"/>
          <w:lang w:val="uk-UA"/>
        </w:rPr>
        <w:t>Висновок</w:t>
      </w:r>
      <w:r>
        <w:rPr>
          <w:b/>
          <w:sz w:val="28"/>
          <w:szCs w:val="28"/>
          <w:lang w:val="uk-UA"/>
        </w:rPr>
        <w:t>.</w:t>
      </w:r>
      <w:r w:rsidRPr="00203551">
        <w:rPr>
          <w:sz w:val="28"/>
          <w:szCs w:val="28"/>
          <w:lang w:val="uk-UA"/>
        </w:rPr>
        <w:t xml:space="preserve"> БЛД – це хронічний процес, зумовлений морфологічними змінами бронхолегеневої системи на які нашаровується хронічний запальний проце</w:t>
      </w:r>
      <w:r w:rsidR="009C378C">
        <w:rPr>
          <w:sz w:val="28"/>
          <w:szCs w:val="28"/>
          <w:lang w:val="uk-UA"/>
        </w:rPr>
        <w:t xml:space="preserve">с, що супроводжується підвищенням рівнів у </w:t>
      </w:r>
      <w:r w:rsidRPr="00203551">
        <w:rPr>
          <w:sz w:val="28"/>
          <w:szCs w:val="28"/>
          <w:lang w:val="uk-UA"/>
        </w:rPr>
        <w:t xml:space="preserve"> індукованій мокроті  прозапальних цитокінів - інтерл</w:t>
      </w:r>
      <w:bookmarkStart w:id="0" w:name="_GoBack"/>
      <w:bookmarkEnd w:id="0"/>
      <w:r w:rsidRPr="00203551">
        <w:rPr>
          <w:sz w:val="28"/>
          <w:szCs w:val="28"/>
          <w:lang w:val="uk-UA"/>
        </w:rPr>
        <w:t>ейкіну-1ß  та фактору  некрозу пухлин –</w:t>
      </w:r>
      <w:r w:rsidRPr="0032715D">
        <w:rPr>
          <w:sz w:val="28"/>
          <w:szCs w:val="28"/>
        </w:rPr>
        <w:t>α</w:t>
      </w:r>
      <w:r w:rsidR="00C5118B">
        <w:rPr>
          <w:sz w:val="28"/>
          <w:szCs w:val="28"/>
          <w:lang w:val="uk-UA"/>
        </w:rPr>
        <w:t>.</w:t>
      </w:r>
    </w:p>
    <w:sectPr w:rsidR="00A12BC1" w:rsidRPr="00C5118B" w:rsidSect="0032715D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C1"/>
    <w:rsid w:val="000F756C"/>
    <w:rsid w:val="001B5AE4"/>
    <w:rsid w:val="00203551"/>
    <w:rsid w:val="00223BDE"/>
    <w:rsid w:val="00225A6E"/>
    <w:rsid w:val="002B5BE7"/>
    <w:rsid w:val="002E0680"/>
    <w:rsid w:val="0032715D"/>
    <w:rsid w:val="0069132D"/>
    <w:rsid w:val="009C378C"/>
    <w:rsid w:val="00A12BC1"/>
    <w:rsid w:val="00A238E7"/>
    <w:rsid w:val="00AA310F"/>
    <w:rsid w:val="00BE14AD"/>
    <w:rsid w:val="00C5118B"/>
    <w:rsid w:val="00F4525B"/>
    <w:rsid w:val="00F74746"/>
    <w:rsid w:val="00FA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B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2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B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2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cp:lastPrinted>2012-04-23T05:50:00Z</cp:lastPrinted>
  <dcterms:created xsi:type="dcterms:W3CDTF">2013-11-06T17:00:00Z</dcterms:created>
  <dcterms:modified xsi:type="dcterms:W3CDTF">2013-11-06T17:00:00Z</dcterms:modified>
</cp:coreProperties>
</file>