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10" w:rsidRPr="00255510" w:rsidRDefault="00255510" w:rsidP="00255510">
      <w:pPr>
        <w:ind w:firstLine="709"/>
        <w:jc w:val="both"/>
        <w:rPr>
          <w:sz w:val="28"/>
          <w:szCs w:val="28"/>
          <w:lang w:val="uk-UA"/>
        </w:rPr>
      </w:pPr>
      <w:r w:rsidRPr="00255510">
        <w:rPr>
          <w:sz w:val="28"/>
          <w:szCs w:val="28"/>
          <w:lang w:val="uk-UA"/>
        </w:rPr>
        <w:t>УДК 616.34 – 008.13:547.962.6] -056.7 -053.2:616.1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>Омельченко О.В.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</w:rPr>
        <w:t> 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b/>
          <w:bCs/>
          <w:sz w:val="28"/>
          <w:szCs w:val="28"/>
          <w:lang w:val="uk-UA"/>
        </w:rPr>
        <w:t>ОСОБЛИВОСТІ ФУНКЦІОНАЛЬНОГО СТАНУ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b/>
          <w:bCs/>
          <w:sz w:val="28"/>
          <w:szCs w:val="28"/>
          <w:lang w:val="uk-UA"/>
        </w:rPr>
        <w:t> СЕРЦЕВО-СУДИННОЇ СИСТЕМИ У ДІТЕЙ ІЗ ЦЕЛІАКІЄЮ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>Кафедра педіатрії № 1 та неонатології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i/>
          <w:iCs/>
          <w:sz w:val="28"/>
          <w:szCs w:val="28"/>
          <w:lang w:val="uk-UA"/>
        </w:rPr>
        <w:t>Ключові слова</w:t>
      </w:r>
      <w:r w:rsidRPr="00255510">
        <w:rPr>
          <w:sz w:val="28"/>
          <w:szCs w:val="28"/>
          <w:lang w:val="uk-UA"/>
        </w:rPr>
        <w:t xml:space="preserve">: серцево-судинна система, </w:t>
      </w:r>
      <w:proofErr w:type="spellStart"/>
      <w:r w:rsidRPr="00255510">
        <w:rPr>
          <w:sz w:val="28"/>
          <w:szCs w:val="28"/>
          <w:lang w:val="uk-UA"/>
        </w:rPr>
        <w:t>целіакія</w:t>
      </w:r>
      <w:proofErr w:type="spellEnd"/>
      <w:r w:rsidRPr="00255510">
        <w:rPr>
          <w:sz w:val="28"/>
          <w:szCs w:val="28"/>
          <w:lang w:val="uk-UA"/>
        </w:rPr>
        <w:t>, діти.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</w:rPr>
        <w:t> 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 xml:space="preserve">Відомо, що одним із найбільш поширених генетично детермінованих захворювань в дитячому віці, при яких спостерігаються хронічні ураження органів травної системи, є </w:t>
      </w:r>
      <w:proofErr w:type="spellStart"/>
      <w:r w:rsidRPr="00255510">
        <w:rPr>
          <w:sz w:val="28"/>
          <w:szCs w:val="28"/>
          <w:lang w:val="uk-UA"/>
        </w:rPr>
        <w:t>целіакія</w:t>
      </w:r>
      <w:proofErr w:type="spellEnd"/>
      <w:r w:rsidRPr="00255510">
        <w:rPr>
          <w:sz w:val="28"/>
          <w:szCs w:val="28"/>
          <w:lang w:val="uk-UA"/>
        </w:rPr>
        <w:t xml:space="preserve">. Притаманні їй порушення метаболічних процесів можуть спричинити не тільки ураження органів травної системи, але і багатьох інших органів і систем, зокрема серцево-судинної [1]. Останній належить найважливіша роль в забезпеченні життєдіяльності організму. Рівень її </w:t>
      </w:r>
      <w:proofErr w:type="spellStart"/>
      <w:r w:rsidRPr="00255510">
        <w:rPr>
          <w:sz w:val="28"/>
          <w:szCs w:val="28"/>
          <w:lang w:val="uk-UA"/>
        </w:rPr>
        <w:t>функціювання</w:t>
      </w:r>
      <w:proofErr w:type="spellEnd"/>
      <w:r w:rsidRPr="00255510">
        <w:rPr>
          <w:sz w:val="28"/>
          <w:szCs w:val="28"/>
          <w:lang w:val="uk-UA"/>
        </w:rPr>
        <w:t xml:space="preserve"> тісно пов’язаний з рівнем </w:t>
      </w:r>
      <w:proofErr w:type="spellStart"/>
      <w:r w:rsidRPr="00255510">
        <w:rPr>
          <w:sz w:val="28"/>
          <w:szCs w:val="28"/>
          <w:lang w:val="uk-UA"/>
        </w:rPr>
        <w:t>функціювання</w:t>
      </w:r>
      <w:proofErr w:type="spellEnd"/>
      <w:r w:rsidRPr="00255510">
        <w:rPr>
          <w:sz w:val="28"/>
          <w:szCs w:val="28"/>
          <w:lang w:val="uk-UA"/>
        </w:rPr>
        <w:t xml:space="preserve"> всього організму, тому ССС розглядається як універсальний індикатор адаптаційно-пристосувальної діяльності організму в цілому [2,3]. Нерідко зміни з боку ССС турбують хворих дітей, їх батьків і лікарів не менше, ніж суто ураження кишечника. Проте в літературі наявні лише поодинокі публікації щодо особливостей функції ССС у дітей із </w:t>
      </w:r>
      <w:proofErr w:type="spellStart"/>
      <w:r w:rsidRPr="00255510">
        <w:rPr>
          <w:sz w:val="28"/>
          <w:szCs w:val="28"/>
          <w:lang w:val="uk-UA"/>
        </w:rPr>
        <w:t>целіакією</w:t>
      </w:r>
      <w:proofErr w:type="spellEnd"/>
      <w:r w:rsidRPr="00255510">
        <w:rPr>
          <w:sz w:val="28"/>
          <w:szCs w:val="28"/>
          <w:lang w:val="uk-UA"/>
        </w:rPr>
        <w:t xml:space="preserve">, що робить дослідження в даному напрямку актуальними. Тому метою даного дослідження є вивчення функціонального стану ССС у дітей, хворих на </w:t>
      </w:r>
      <w:proofErr w:type="spellStart"/>
      <w:r w:rsidRPr="00255510">
        <w:rPr>
          <w:sz w:val="28"/>
          <w:szCs w:val="28"/>
          <w:lang w:val="uk-UA"/>
        </w:rPr>
        <w:t>целіакію</w:t>
      </w:r>
      <w:proofErr w:type="spellEnd"/>
      <w:r w:rsidRPr="00255510">
        <w:rPr>
          <w:sz w:val="28"/>
          <w:szCs w:val="28"/>
          <w:lang w:val="uk-UA"/>
        </w:rPr>
        <w:t>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  <w:lang w:val="uk-UA"/>
        </w:rPr>
      </w:pPr>
      <w:r w:rsidRPr="00255510">
        <w:rPr>
          <w:b/>
          <w:bCs/>
          <w:sz w:val="28"/>
          <w:szCs w:val="28"/>
          <w:lang w:val="uk-UA"/>
        </w:rPr>
        <w:t>Матеріали і методи дослідження</w:t>
      </w:r>
      <w:r w:rsidRPr="00255510">
        <w:rPr>
          <w:sz w:val="28"/>
          <w:szCs w:val="28"/>
          <w:lang w:val="uk-UA"/>
        </w:rPr>
        <w:t xml:space="preserve">. Обстежено 19 хворих із </w:t>
      </w:r>
      <w:proofErr w:type="spellStart"/>
      <w:r w:rsidRPr="00255510">
        <w:rPr>
          <w:sz w:val="28"/>
          <w:szCs w:val="28"/>
          <w:lang w:val="uk-UA"/>
        </w:rPr>
        <w:t>целіакією</w:t>
      </w:r>
      <w:proofErr w:type="spellEnd"/>
      <w:r w:rsidRPr="00255510">
        <w:rPr>
          <w:sz w:val="28"/>
          <w:szCs w:val="28"/>
          <w:lang w:val="uk-UA"/>
        </w:rPr>
        <w:t xml:space="preserve"> віком від 9 місяців до 17 років, що знаходились на лікуванні в гастроентерологічному відділенні Харківської обласної дитячої клінічної лікарні протягом 2006–2009 років. Серед обстежених домінували (р&lt;0,01) хворі з типовою формою </w:t>
      </w:r>
      <w:proofErr w:type="spellStart"/>
      <w:r w:rsidRPr="00255510">
        <w:rPr>
          <w:sz w:val="28"/>
          <w:szCs w:val="28"/>
          <w:lang w:val="uk-UA"/>
        </w:rPr>
        <w:t>целіакії</w:t>
      </w:r>
      <w:proofErr w:type="spellEnd"/>
      <w:r w:rsidRPr="00255510">
        <w:rPr>
          <w:sz w:val="28"/>
          <w:szCs w:val="28"/>
          <w:lang w:val="uk-UA"/>
        </w:rPr>
        <w:t xml:space="preserve"> (17 дітей – 89,5%). Верифікація діагнозу проводилась на підставі визначення титру </w:t>
      </w:r>
      <w:proofErr w:type="spellStart"/>
      <w:r w:rsidRPr="00255510">
        <w:rPr>
          <w:sz w:val="28"/>
          <w:szCs w:val="28"/>
          <w:lang w:val="uk-UA"/>
        </w:rPr>
        <w:t>антигліадинових</w:t>
      </w:r>
      <w:proofErr w:type="spellEnd"/>
      <w:r w:rsidRPr="00255510">
        <w:rPr>
          <w:sz w:val="28"/>
          <w:szCs w:val="28"/>
          <w:lang w:val="uk-UA"/>
        </w:rPr>
        <w:t xml:space="preserve"> антитіл, рівня тканинної </w:t>
      </w:r>
      <w:proofErr w:type="spellStart"/>
      <w:r w:rsidRPr="00255510">
        <w:rPr>
          <w:sz w:val="28"/>
          <w:szCs w:val="28"/>
          <w:lang w:val="uk-UA"/>
        </w:rPr>
        <w:t>трансглютамінази</w:t>
      </w:r>
      <w:proofErr w:type="spellEnd"/>
      <w:r w:rsidRPr="00255510">
        <w:rPr>
          <w:sz w:val="28"/>
          <w:szCs w:val="28"/>
          <w:lang w:val="uk-UA"/>
        </w:rPr>
        <w:t xml:space="preserve"> та морфологічних особливостей слизової оболонки тонкої кишки.  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>Для вивчення функціонального стану ССС поряд із ретельним клінічним дослідженням хворих використовувалася електрокардіографія (ЕКГ) (електрокардіографом «Bioset-6000», Германія), доплерехокардіографія (</w:t>
      </w:r>
      <w:proofErr w:type="spellStart"/>
      <w:r w:rsidRPr="00255510">
        <w:rPr>
          <w:sz w:val="28"/>
          <w:szCs w:val="28"/>
          <w:lang w:val="uk-UA"/>
        </w:rPr>
        <w:t>ДпЕХОКГ</w:t>
      </w:r>
      <w:proofErr w:type="spellEnd"/>
      <w:r w:rsidRPr="00255510">
        <w:rPr>
          <w:sz w:val="28"/>
          <w:szCs w:val="28"/>
          <w:lang w:val="uk-UA"/>
        </w:rPr>
        <w:t>) (ультразвуковим апаратом «AU 3 Par-</w:t>
      </w:r>
      <w:proofErr w:type="spellStart"/>
      <w:r w:rsidRPr="00255510">
        <w:rPr>
          <w:sz w:val="28"/>
          <w:szCs w:val="28"/>
          <w:lang w:val="uk-UA"/>
        </w:rPr>
        <w:t>tner</w:t>
      </w:r>
      <w:proofErr w:type="spellEnd"/>
      <w:r w:rsidRPr="00255510">
        <w:rPr>
          <w:sz w:val="28"/>
          <w:szCs w:val="28"/>
          <w:lang w:val="uk-UA"/>
        </w:rPr>
        <w:t>» фірми «</w:t>
      </w:r>
      <w:proofErr w:type="spellStart"/>
      <w:r w:rsidRPr="00255510">
        <w:rPr>
          <w:sz w:val="28"/>
          <w:szCs w:val="28"/>
          <w:lang w:val="uk-UA"/>
        </w:rPr>
        <w:t>Esaote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Biomedica</w:t>
      </w:r>
      <w:proofErr w:type="spellEnd"/>
      <w:r w:rsidRPr="00255510">
        <w:rPr>
          <w:sz w:val="28"/>
          <w:szCs w:val="28"/>
          <w:lang w:val="uk-UA"/>
        </w:rPr>
        <w:t>», Італія). Функціональний стан вегетативної нервової системи (ВНС) оцінювався на підставі дослідження вихідного вегетативного тонусу (за таблицею, розробленою у відділі вегетативної патології I ММІ) [4]. Статистична обробка даних проведена за допомогою пакета аналізу програми Microsoft Excel-97.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  <w:lang w:val="uk-UA"/>
        </w:rPr>
      </w:pPr>
      <w:r w:rsidRPr="00255510">
        <w:rPr>
          <w:b/>
          <w:bCs/>
          <w:sz w:val="28"/>
          <w:szCs w:val="28"/>
          <w:lang w:val="uk-UA"/>
        </w:rPr>
        <w:t>Результати дослідження та їх обговорення</w:t>
      </w:r>
      <w:r w:rsidRPr="00255510">
        <w:rPr>
          <w:sz w:val="28"/>
          <w:szCs w:val="28"/>
          <w:lang w:val="uk-UA"/>
        </w:rPr>
        <w:t xml:space="preserve">. На початку маніфестації захворювання у дітей діагностувалась різна патологія; найчастіше констатувалась наявність синдрому </w:t>
      </w:r>
      <w:proofErr w:type="spellStart"/>
      <w:r w:rsidRPr="00255510">
        <w:rPr>
          <w:sz w:val="28"/>
          <w:szCs w:val="28"/>
          <w:lang w:val="uk-UA"/>
        </w:rPr>
        <w:t>мальабсорбції</w:t>
      </w:r>
      <w:proofErr w:type="spellEnd"/>
      <w:r w:rsidRPr="00255510">
        <w:rPr>
          <w:sz w:val="28"/>
          <w:szCs w:val="28"/>
          <w:lang w:val="uk-UA"/>
        </w:rPr>
        <w:t xml:space="preserve"> у 26,9% дітей, анемії  у 30,8%, затримка фізичного розвитку у 19,2% хворих.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lastRenderedPageBreak/>
        <w:t>При госпіталізації пацієнти мали велику кількість різноманітних скарг. Найчастіше хворі скаржились на абдомінальний біль (89,5% ±7,0, р&lt;0,001), зниження апетиту (31,6%±10,6), підвищену втомлюваність (21,1%± 9,3), блювоту (26,3%±10,1), часті пінясті випорожнення (26,3%±10,1); у п’ятої частини хворих мала місце схильність до закрепів. На колючий біль в ділянці серця після фізичних і емоційних навантажень скаржились 2 (10,5%) дитини шкільного віку. Таким чином, поряд із скаргами, притаманними патології травної системи, нерідко у хворих відзначалися скарги, з боку нервової і серцево-судинної систем.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>При вивченні анамнезу хворих встановлено, що патологічний перебіг вагітності  відзначаються у 70% матерів. У більшості матерів з ускладненим акушерським анамнезом (55,5%) несприятливі фактори впливали на плід у першій половині вагітності. Патологічний перебіг пологів (слабкість пологової діяльності, тривалі, стрімкі, з медикаментозною стимуляцією та ін.) мав місце у 46,2% матерів. Кожна п’ята дитина  перенесла хронічну гіпоксію в пренатальному періоді, 11,5% - пологову травму, у 7,7% - діагностовано пренатальна гіпотрофія.   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 xml:space="preserve">У ранньому віці у 1/4 частини дітей спостерігались неспокій, дратливість, порушення сну, зниження апетиту; раннє штучне вигодовування мало місце у 62% дітей. У 4 (15,4%) було встановлено </w:t>
      </w:r>
      <w:proofErr w:type="spellStart"/>
      <w:r w:rsidRPr="00255510">
        <w:rPr>
          <w:sz w:val="28"/>
          <w:szCs w:val="28"/>
          <w:lang w:val="uk-UA"/>
        </w:rPr>
        <w:t>атопічний</w:t>
      </w:r>
      <w:proofErr w:type="spellEnd"/>
      <w:r w:rsidRPr="00255510">
        <w:rPr>
          <w:sz w:val="28"/>
          <w:szCs w:val="28"/>
          <w:lang w:val="uk-UA"/>
        </w:rPr>
        <w:t xml:space="preserve"> дерматит. Високий інфекційний індекс мали 2/3 пацієнтів. Недостатність лактози відзначалась у 2 (7,7%)  дітей. У 3 (11,5%) пацієнтів – </w:t>
      </w:r>
      <w:proofErr w:type="spellStart"/>
      <w:r w:rsidRPr="00255510">
        <w:rPr>
          <w:sz w:val="28"/>
          <w:szCs w:val="28"/>
          <w:lang w:val="uk-UA"/>
        </w:rPr>
        <w:t>антибіотикасоційована</w:t>
      </w:r>
      <w:proofErr w:type="spellEnd"/>
      <w:r w:rsidRPr="00255510">
        <w:rPr>
          <w:sz w:val="28"/>
          <w:szCs w:val="28"/>
          <w:lang w:val="uk-UA"/>
        </w:rPr>
        <w:t xml:space="preserve"> діарея. В родинах 11,5% хворих несприятливий психологічний клімат.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  <w:lang w:val="uk-UA"/>
        </w:rPr>
      </w:pPr>
      <w:r w:rsidRPr="00255510">
        <w:rPr>
          <w:sz w:val="28"/>
          <w:szCs w:val="28"/>
          <w:lang w:val="uk-UA"/>
        </w:rPr>
        <w:t xml:space="preserve">У 1/3 дітей має місце обтяжений сімейний анамнез. Родичі 10 (38,5%) пацієнтів мають захворювання ШКТ, 15,4% батьків хворіють на цукровий діабет та 3  (11,5%) </w:t>
      </w:r>
      <w:proofErr w:type="spellStart"/>
      <w:r w:rsidRPr="00255510">
        <w:rPr>
          <w:sz w:val="28"/>
          <w:szCs w:val="28"/>
          <w:lang w:val="uk-UA"/>
        </w:rPr>
        <w:t>атопічний</w:t>
      </w:r>
      <w:proofErr w:type="spellEnd"/>
      <w:r w:rsidRPr="00255510">
        <w:rPr>
          <w:sz w:val="28"/>
          <w:szCs w:val="28"/>
          <w:lang w:val="uk-UA"/>
        </w:rPr>
        <w:t xml:space="preserve"> дерматит. На захворювання ССС страждали близькі родичі 6 (23%) пацієнтів.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 xml:space="preserve"> При об’єктивному обстежені звертали на себе увагу блідість шкіри пацієнтів (89,4%± 7,1, р&lt;0,001), </w:t>
      </w:r>
      <w:proofErr w:type="spellStart"/>
      <w:r w:rsidRPr="00255510">
        <w:rPr>
          <w:sz w:val="28"/>
          <w:szCs w:val="28"/>
          <w:lang w:val="uk-UA"/>
        </w:rPr>
        <w:t>періорбітальні</w:t>
      </w:r>
      <w:proofErr w:type="spellEnd"/>
      <w:r w:rsidRPr="00255510">
        <w:rPr>
          <w:sz w:val="28"/>
          <w:szCs w:val="28"/>
          <w:lang w:val="uk-UA"/>
        </w:rPr>
        <w:t xml:space="preserve"> тіні (31,5%±10,6), </w:t>
      </w:r>
      <w:proofErr w:type="spellStart"/>
      <w:r w:rsidRPr="00255510">
        <w:rPr>
          <w:sz w:val="28"/>
          <w:szCs w:val="28"/>
          <w:lang w:val="uk-UA"/>
        </w:rPr>
        <w:t>обкладеність</w:t>
      </w:r>
      <w:proofErr w:type="spellEnd"/>
      <w:r w:rsidRPr="00255510">
        <w:rPr>
          <w:sz w:val="28"/>
          <w:szCs w:val="28"/>
          <w:lang w:val="uk-UA"/>
        </w:rPr>
        <w:t xml:space="preserve"> язика (73,7%±10,1, р&lt;0,05), болісність живота при пальпації переважно в </w:t>
      </w:r>
      <w:proofErr w:type="spellStart"/>
      <w:r w:rsidRPr="00255510">
        <w:rPr>
          <w:sz w:val="28"/>
          <w:szCs w:val="28"/>
          <w:lang w:val="uk-UA"/>
        </w:rPr>
        <w:t>епігастрії</w:t>
      </w:r>
      <w:proofErr w:type="spellEnd"/>
      <w:r w:rsidRPr="00255510">
        <w:rPr>
          <w:sz w:val="28"/>
          <w:szCs w:val="28"/>
          <w:lang w:val="uk-UA"/>
        </w:rPr>
        <w:t xml:space="preserve"> (63,2% ±11,1, р&lt;0,01) та в правому підребер’ї (36,8%±11,1). Емоційна лабільність мала місце у 52,6%±11,4 дітей, ознаки </w:t>
      </w:r>
      <w:proofErr w:type="spellStart"/>
      <w:r w:rsidRPr="00255510">
        <w:rPr>
          <w:sz w:val="28"/>
          <w:szCs w:val="28"/>
          <w:lang w:val="uk-UA"/>
        </w:rPr>
        <w:t>дисплазії</w:t>
      </w:r>
      <w:proofErr w:type="spellEnd"/>
      <w:r w:rsidRPr="00255510">
        <w:rPr>
          <w:sz w:val="28"/>
          <w:szCs w:val="28"/>
          <w:lang w:val="uk-UA"/>
        </w:rPr>
        <w:t xml:space="preserve"> сполучної тканини – у 57,8%±11,3, </w:t>
      </w:r>
      <w:proofErr w:type="spellStart"/>
      <w:r w:rsidRPr="00255510">
        <w:rPr>
          <w:sz w:val="28"/>
          <w:szCs w:val="28"/>
          <w:lang w:val="uk-UA"/>
        </w:rPr>
        <w:t>полімікроаденія</w:t>
      </w:r>
      <w:proofErr w:type="spellEnd"/>
      <w:r w:rsidRPr="00255510">
        <w:rPr>
          <w:sz w:val="28"/>
          <w:szCs w:val="28"/>
          <w:lang w:val="uk-UA"/>
        </w:rPr>
        <w:t xml:space="preserve"> – у 52,6%±11,4.                             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 xml:space="preserve">Серед  </w:t>
      </w:r>
      <w:proofErr w:type="spellStart"/>
      <w:r w:rsidRPr="00255510">
        <w:rPr>
          <w:sz w:val="28"/>
          <w:szCs w:val="28"/>
          <w:lang w:val="uk-UA"/>
        </w:rPr>
        <w:t>аутоіммунних</w:t>
      </w:r>
      <w:proofErr w:type="spellEnd"/>
      <w:r w:rsidRPr="00255510">
        <w:rPr>
          <w:sz w:val="28"/>
          <w:szCs w:val="28"/>
          <w:lang w:val="uk-UA"/>
        </w:rPr>
        <w:t xml:space="preserve"> захворювань, асоційованих із захворюваннями органів травлення на тлі спадкової патології обміну речовин, зустрічались наступні: цироз печінки у 1, цукровий діабет у 1 пацієнта, </w:t>
      </w:r>
      <w:proofErr w:type="spellStart"/>
      <w:r w:rsidRPr="00255510">
        <w:rPr>
          <w:sz w:val="28"/>
          <w:szCs w:val="28"/>
          <w:lang w:val="uk-UA"/>
        </w:rPr>
        <w:t>аутоімунний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тиреоїдит</w:t>
      </w:r>
      <w:proofErr w:type="spellEnd"/>
      <w:r w:rsidRPr="00255510">
        <w:rPr>
          <w:sz w:val="28"/>
          <w:szCs w:val="28"/>
          <w:lang w:val="uk-UA"/>
        </w:rPr>
        <w:t xml:space="preserve"> у 1, жировий </w:t>
      </w:r>
      <w:proofErr w:type="spellStart"/>
      <w:r w:rsidRPr="00255510">
        <w:rPr>
          <w:sz w:val="28"/>
          <w:szCs w:val="28"/>
          <w:lang w:val="uk-UA"/>
        </w:rPr>
        <w:t>гепатоз</w:t>
      </w:r>
      <w:proofErr w:type="spellEnd"/>
      <w:r w:rsidRPr="00255510">
        <w:rPr>
          <w:sz w:val="28"/>
          <w:szCs w:val="28"/>
          <w:lang w:val="uk-UA"/>
        </w:rPr>
        <w:t xml:space="preserve"> у 1 дитини.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 xml:space="preserve">В гемограмі відмічалась анемія у 47% дітей. Ознаки згущення крові, котрі розвивалися внаслідок багаторазової блювоти у 32% дітей. В показниках біохімічного дослідження крові реєструвались: зниження холестерину та бета-ліпопротеїдів у 53% дітей. Порушення водно-електролітного обміну мало місце у 32% хворих. При мікроскопічному дослідженні калових мас виділено наступні симптоми: </w:t>
      </w:r>
      <w:proofErr w:type="spellStart"/>
      <w:r w:rsidRPr="00255510">
        <w:rPr>
          <w:sz w:val="28"/>
          <w:szCs w:val="28"/>
          <w:lang w:val="uk-UA"/>
        </w:rPr>
        <w:t>стеаторея</w:t>
      </w:r>
      <w:proofErr w:type="spellEnd"/>
      <w:r w:rsidRPr="00255510">
        <w:rPr>
          <w:sz w:val="28"/>
          <w:szCs w:val="28"/>
          <w:lang w:val="uk-UA"/>
        </w:rPr>
        <w:t xml:space="preserve"> у 32% дітей, </w:t>
      </w:r>
      <w:proofErr w:type="spellStart"/>
      <w:r w:rsidRPr="00255510">
        <w:rPr>
          <w:sz w:val="28"/>
          <w:szCs w:val="28"/>
          <w:lang w:val="uk-UA"/>
        </w:rPr>
        <w:t>креаторея</w:t>
      </w:r>
      <w:proofErr w:type="spellEnd"/>
      <w:r w:rsidRPr="00255510">
        <w:rPr>
          <w:sz w:val="28"/>
          <w:szCs w:val="28"/>
          <w:lang w:val="uk-UA"/>
        </w:rPr>
        <w:t xml:space="preserve"> у 47%, </w:t>
      </w:r>
      <w:proofErr w:type="spellStart"/>
      <w:r w:rsidRPr="00255510">
        <w:rPr>
          <w:sz w:val="28"/>
          <w:szCs w:val="28"/>
          <w:lang w:val="uk-UA"/>
        </w:rPr>
        <w:t>амілорея</w:t>
      </w:r>
      <w:proofErr w:type="spellEnd"/>
      <w:r w:rsidRPr="00255510">
        <w:rPr>
          <w:sz w:val="28"/>
          <w:szCs w:val="28"/>
          <w:lang w:val="uk-UA"/>
        </w:rPr>
        <w:t xml:space="preserve"> у 58%.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lastRenderedPageBreak/>
        <w:t xml:space="preserve">Детальний аналіз клінічних даних з боку ССС (табл. 1) показав, що у більшості хворих спостерігався систолічний шум функціонального характеру (переважно на верхівці і/або в IV </w:t>
      </w:r>
      <w:proofErr w:type="spellStart"/>
      <w:r w:rsidRPr="00255510">
        <w:rPr>
          <w:sz w:val="28"/>
          <w:szCs w:val="28"/>
          <w:lang w:val="uk-UA"/>
        </w:rPr>
        <w:t>міжребір’ї</w:t>
      </w:r>
      <w:proofErr w:type="spellEnd"/>
      <w:r w:rsidRPr="00255510">
        <w:rPr>
          <w:sz w:val="28"/>
          <w:szCs w:val="28"/>
          <w:lang w:val="uk-UA"/>
        </w:rPr>
        <w:t xml:space="preserve"> у лівого краю грудини), у чверті пацієнтів мала місце приглушеність першого або обох тонів серця; при цьому межі відносної тупості серця в усіх хворих були в нормі. ЧСС лише у третини дітей не виходила за межі нормативу; помірна брадикардія спостерігалася частіше, ніж тахікардія; САТ у більшості хворих був на нормальному рівні, а ДАТ – дещо знижений.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>Таблиця 1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 xml:space="preserve">Дані об’єктивного дослідження серцево-судинної системи у хворих на </w:t>
      </w:r>
      <w:proofErr w:type="spellStart"/>
      <w:r w:rsidRPr="00255510">
        <w:rPr>
          <w:sz w:val="28"/>
          <w:szCs w:val="28"/>
          <w:lang w:val="uk-UA"/>
        </w:rPr>
        <w:t>целіакію</w:t>
      </w:r>
      <w:proofErr w:type="spellEnd"/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14"/>
        <w:gridCol w:w="3488"/>
        <w:gridCol w:w="4348"/>
      </w:tblGrid>
      <w:tr w:rsidR="00255510" w:rsidRPr="00255510" w:rsidTr="00255510">
        <w:trPr>
          <w:tblCellSpacing w:w="0" w:type="dxa"/>
          <w:jc w:val="center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Клінічні параметри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Кількість хворих (у % ) (n=19)</w:t>
            </w:r>
          </w:p>
        </w:tc>
      </w:tr>
      <w:tr w:rsidR="00255510" w:rsidRPr="00255510" w:rsidTr="00255510">
        <w:trPr>
          <w:tblCellSpacing w:w="0" w:type="dxa"/>
          <w:jc w:val="center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Приглушеність тонів серця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26,3±10,1</w:t>
            </w:r>
          </w:p>
        </w:tc>
      </w:tr>
      <w:tr w:rsidR="00255510" w:rsidRPr="00255510" w:rsidTr="00255510">
        <w:trPr>
          <w:tblCellSpacing w:w="0" w:type="dxa"/>
          <w:jc w:val="center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Систолічний шум функціонального характеру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52,6±11,4</w:t>
            </w:r>
          </w:p>
        </w:tc>
      </w:tr>
      <w:tr w:rsidR="00255510" w:rsidRPr="00255510" w:rsidTr="00255510">
        <w:trPr>
          <w:tblCellSpacing w:w="0" w:type="dxa"/>
          <w:jc w:val="center"/>
        </w:trPr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ЧСС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підвищення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26,3±10,1</w:t>
            </w:r>
          </w:p>
        </w:tc>
      </w:tr>
      <w:tr w:rsidR="00255510" w:rsidRPr="00255510" w:rsidTr="00255510">
        <w:trPr>
          <w:trHeight w:val="169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55510" w:rsidRPr="00255510" w:rsidRDefault="00255510" w:rsidP="002555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зниження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36,8±11,0</w:t>
            </w:r>
          </w:p>
        </w:tc>
      </w:tr>
      <w:tr w:rsidR="00255510" w:rsidRPr="00255510" w:rsidTr="00255510">
        <w:trPr>
          <w:trHeight w:val="16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55510" w:rsidRPr="00255510" w:rsidRDefault="00255510" w:rsidP="002555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36,8±11,0</w:t>
            </w:r>
          </w:p>
        </w:tc>
      </w:tr>
      <w:tr w:rsidR="00255510" w:rsidRPr="00255510" w:rsidTr="00255510">
        <w:trPr>
          <w:tblCellSpacing w:w="0" w:type="dxa"/>
          <w:jc w:val="center"/>
        </w:trPr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САТ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підвищення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10,5±7,0</w:t>
            </w:r>
          </w:p>
        </w:tc>
      </w:tr>
      <w:tr w:rsidR="00255510" w:rsidRPr="00255510" w:rsidTr="00255510">
        <w:trPr>
          <w:trHeight w:val="169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55510" w:rsidRPr="00255510" w:rsidRDefault="00255510" w:rsidP="002555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зниження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15,8±8,4</w:t>
            </w:r>
          </w:p>
        </w:tc>
      </w:tr>
      <w:tr w:rsidR="00255510" w:rsidRPr="00255510" w:rsidTr="00255510">
        <w:trPr>
          <w:trHeight w:val="16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55510" w:rsidRPr="00255510" w:rsidRDefault="00255510" w:rsidP="002555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73,7±10,1*</w:t>
            </w:r>
          </w:p>
        </w:tc>
      </w:tr>
      <w:tr w:rsidR="00255510" w:rsidRPr="00255510" w:rsidTr="00255510">
        <w:trPr>
          <w:tblCellSpacing w:w="0" w:type="dxa"/>
          <w:jc w:val="center"/>
        </w:trPr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ДАТ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підвищення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5,3±5,1</w:t>
            </w:r>
          </w:p>
        </w:tc>
      </w:tr>
      <w:tr w:rsidR="00255510" w:rsidRPr="00255510" w:rsidTr="00255510">
        <w:trPr>
          <w:trHeight w:val="169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55510" w:rsidRPr="00255510" w:rsidRDefault="00255510" w:rsidP="002555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зниження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21,1±9,4</w:t>
            </w:r>
          </w:p>
        </w:tc>
      </w:tr>
      <w:tr w:rsidR="00255510" w:rsidRPr="00255510" w:rsidTr="00255510">
        <w:trPr>
          <w:trHeight w:val="16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55510" w:rsidRPr="00255510" w:rsidRDefault="00255510" w:rsidP="002555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73,7±10,1*</w:t>
            </w:r>
          </w:p>
        </w:tc>
      </w:tr>
    </w:tbl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>Примітки: 1).   * - р&lt;0,05.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>             2). ЧСС – частота серцевих скорочень, САТ, ДАТ – систолічний та діастолічний                    артеріальний тиск.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  <w:lang w:val="uk-UA"/>
        </w:rPr>
      </w:pPr>
      <w:r w:rsidRPr="00255510">
        <w:rPr>
          <w:sz w:val="28"/>
          <w:szCs w:val="28"/>
          <w:lang w:val="uk-UA"/>
        </w:rPr>
        <w:t xml:space="preserve">Результати </w:t>
      </w:r>
      <w:proofErr w:type="spellStart"/>
      <w:r w:rsidRPr="00255510">
        <w:rPr>
          <w:sz w:val="28"/>
          <w:szCs w:val="28"/>
          <w:lang w:val="uk-UA"/>
        </w:rPr>
        <w:t>ЕКГ-дослідження</w:t>
      </w:r>
      <w:proofErr w:type="spellEnd"/>
      <w:r w:rsidRPr="00255510">
        <w:rPr>
          <w:sz w:val="28"/>
          <w:szCs w:val="28"/>
          <w:lang w:val="uk-UA"/>
        </w:rPr>
        <w:t xml:space="preserve"> дітей показали, що лише у 5 (21,1%) хворих немає змін на ЕКГ. В усіх інших дітей встановлені різні порушення ритму серця, провідності і збудливості міокарду, процесів реполяризації. Помірне подовження інтервалу QRS мало місце у 15,7%±8,3 пацієнтів, інтервалу QT – у 21,0%±9,3, скорочення інтервалу QT</w:t>
      </w:r>
      <w:r w:rsidRPr="00255510">
        <w:rPr>
          <w:sz w:val="28"/>
          <w:szCs w:val="28"/>
          <w:vertAlign w:val="subscript"/>
          <w:lang w:val="uk-UA"/>
        </w:rPr>
        <w:t>1</w:t>
      </w:r>
      <w:r w:rsidRPr="00255510">
        <w:rPr>
          <w:sz w:val="28"/>
          <w:szCs w:val="28"/>
          <w:lang w:val="uk-UA"/>
        </w:rPr>
        <w:t xml:space="preserve"> – у 26,3%±10,1,  розширення зубця Т – у 36,8%±11,1, зміщення сегменту ST вище ізолінії – у 31,6%±10,6, нижче ізолінії – у 15,7%±8,3. Тобто на ЕКГ у хворих переважали зміни, які відбивають порушення процесів реполяризації міокарду шлуночків. При вивченні функції автоматизму у хворих за даними ЕКГ встановлено домінування </w:t>
      </w:r>
      <w:proofErr w:type="spellStart"/>
      <w:r w:rsidRPr="00255510">
        <w:rPr>
          <w:sz w:val="28"/>
          <w:szCs w:val="28"/>
          <w:lang w:val="uk-UA"/>
        </w:rPr>
        <w:t>номотопних</w:t>
      </w:r>
      <w:proofErr w:type="spellEnd"/>
      <w:r w:rsidRPr="00255510">
        <w:rPr>
          <w:sz w:val="28"/>
          <w:szCs w:val="28"/>
          <w:lang w:val="uk-UA"/>
        </w:rPr>
        <w:t xml:space="preserve"> порушень ритму серця (у 52,6%±11,4), а серед них – </w:t>
      </w:r>
      <w:proofErr w:type="spellStart"/>
      <w:r w:rsidRPr="00255510">
        <w:rPr>
          <w:sz w:val="28"/>
          <w:szCs w:val="28"/>
          <w:lang w:val="uk-UA"/>
        </w:rPr>
        <w:t>синусової</w:t>
      </w:r>
      <w:proofErr w:type="spellEnd"/>
      <w:r w:rsidRPr="00255510">
        <w:rPr>
          <w:sz w:val="28"/>
          <w:szCs w:val="28"/>
          <w:lang w:val="uk-UA"/>
        </w:rPr>
        <w:t xml:space="preserve"> тахікардії (у 40,0%±16,3). </w:t>
      </w:r>
      <w:proofErr w:type="spellStart"/>
      <w:r w:rsidRPr="00255510">
        <w:rPr>
          <w:sz w:val="28"/>
          <w:szCs w:val="28"/>
          <w:lang w:val="uk-UA"/>
        </w:rPr>
        <w:t>Гетеротопні</w:t>
      </w:r>
      <w:proofErr w:type="spellEnd"/>
      <w:r w:rsidRPr="00255510">
        <w:rPr>
          <w:sz w:val="28"/>
          <w:szCs w:val="28"/>
          <w:lang w:val="uk-UA"/>
        </w:rPr>
        <w:t xml:space="preserve"> аритмії (</w:t>
      </w:r>
      <w:proofErr w:type="spellStart"/>
      <w:r w:rsidRPr="00255510">
        <w:rPr>
          <w:sz w:val="28"/>
          <w:szCs w:val="28"/>
          <w:lang w:val="uk-UA"/>
        </w:rPr>
        <w:t>верхньоправопередсердний</w:t>
      </w:r>
      <w:proofErr w:type="spellEnd"/>
      <w:r w:rsidRPr="00255510">
        <w:rPr>
          <w:sz w:val="28"/>
          <w:szCs w:val="28"/>
          <w:lang w:val="uk-UA"/>
        </w:rPr>
        <w:t xml:space="preserve"> ритм, міграція водія ритму, екстрасистолія) реєструвалися у 2 рази рідше (у 26,3%±10,3).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 xml:space="preserve">            За даними ЕКГ ознак органічної патології серця у жодного з хворих не було, що підтверджено ЕХОКГ, яка виявила у частини хворих наявність малих структурних аномалій серця та помірно виражені </w:t>
      </w:r>
      <w:r w:rsidRPr="00255510">
        <w:rPr>
          <w:sz w:val="28"/>
          <w:szCs w:val="28"/>
          <w:lang w:val="uk-UA"/>
        </w:rPr>
        <w:lastRenderedPageBreak/>
        <w:t xml:space="preserve">морфологічні зміни камер серця та магістральних судин. З малих структурних аномалій серця частіше зустрічався </w:t>
      </w:r>
      <w:proofErr w:type="spellStart"/>
      <w:r w:rsidRPr="00255510">
        <w:rPr>
          <w:sz w:val="28"/>
          <w:szCs w:val="28"/>
          <w:lang w:val="uk-UA"/>
        </w:rPr>
        <w:t>пролапс</w:t>
      </w:r>
      <w:proofErr w:type="spellEnd"/>
      <w:r w:rsidRPr="00255510">
        <w:rPr>
          <w:sz w:val="28"/>
          <w:szCs w:val="28"/>
          <w:lang w:val="uk-UA"/>
        </w:rPr>
        <w:t xml:space="preserve"> стулок мітрального клапану (у 36,8%±11,1) та аномальні хорди лівого шлуночка (ЛШ) (у 31,6%±10,6).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 xml:space="preserve">Морфологічні зміни камер серця та магістральних судин у дітей з </w:t>
      </w:r>
      <w:proofErr w:type="spellStart"/>
      <w:r w:rsidRPr="00255510">
        <w:rPr>
          <w:sz w:val="28"/>
          <w:szCs w:val="28"/>
          <w:lang w:val="uk-UA"/>
        </w:rPr>
        <w:t>целіакією</w:t>
      </w:r>
      <w:proofErr w:type="spellEnd"/>
      <w:r w:rsidRPr="00255510">
        <w:rPr>
          <w:sz w:val="28"/>
          <w:szCs w:val="28"/>
          <w:lang w:val="uk-UA"/>
        </w:rPr>
        <w:t xml:space="preserve"> представлені у таблиці 2. Вони мали місце лише у трьох хворих: в однієї дитини виявлене незначне збільшення лівих відділів серця, у двох пацієнтів – правих. Розміри магістральних судин та градієнти тиску на їх клапанах відповідали нормативним даним. Середній тиск у стовбурі легеневої артерії складав від 14 до 20 мм </w:t>
      </w:r>
      <w:proofErr w:type="spellStart"/>
      <w:r w:rsidRPr="00255510">
        <w:rPr>
          <w:sz w:val="28"/>
          <w:szCs w:val="28"/>
          <w:lang w:val="uk-UA"/>
        </w:rPr>
        <w:t>рт</w:t>
      </w:r>
      <w:proofErr w:type="spellEnd"/>
      <w:r w:rsidRPr="00255510">
        <w:rPr>
          <w:sz w:val="28"/>
          <w:szCs w:val="28"/>
          <w:lang w:val="uk-UA"/>
        </w:rPr>
        <w:t>. ст.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>Таблиця 2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 xml:space="preserve">Відхилення від нормативу анатомо-фізіологічних показників серця за даними </w:t>
      </w:r>
      <w:proofErr w:type="spellStart"/>
      <w:r>
        <w:rPr>
          <w:sz w:val="28"/>
          <w:szCs w:val="28"/>
          <w:lang w:val="uk-UA"/>
        </w:rPr>
        <w:t>допплерехокардіографії</w:t>
      </w:r>
      <w:proofErr w:type="spellEnd"/>
      <w:r w:rsidRPr="00255510">
        <w:rPr>
          <w:sz w:val="28"/>
          <w:szCs w:val="28"/>
          <w:lang w:val="uk-UA"/>
        </w:rPr>
        <w:t> </w:t>
      </w:r>
    </w:p>
    <w:tbl>
      <w:tblPr>
        <w:tblW w:w="96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6"/>
        <w:gridCol w:w="1660"/>
        <w:gridCol w:w="3059"/>
      </w:tblGrid>
      <w:tr w:rsidR="00255510" w:rsidRPr="00255510" w:rsidTr="00255510">
        <w:trPr>
          <w:tblCellSpacing w:w="0" w:type="dxa"/>
        </w:trPr>
        <w:tc>
          <w:tcPr>
            <w:tcW w:w="6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1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Кількість хворих у %</w:t>
            </w:r>
          </w:p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(n=12)</w:t>
            </w:r>
          </w:p>
        </w:tc>
      </w:tr>
      <w:tr w:rsidR="00255510" w:rsidRPr="00255510" w:rsidTr="00255510">
        <w:trPr>
          <w:trHeight w:val="145"/>
          <w:tblCellSpacing w:w="0" w:type="dxa"/>
        </w:trPr>
        <w:tc>
          <w:tcPr>
            <w:tcW w:w="4928" w:type="dxa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Правий шлуночок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дилатація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16,6±11,2</w:t>
            </w:r>
          </w:p>
        </w:tc>
      </w:tr>
      <w:tr w:rsidR="00255510" w:rsidRPr="00255510" w:rsidTr="00255510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5510" w:rsidRPr="00255510" w:rsidRDefault="00255510" w:rsidP="002555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83,4±11,2***</w:t>
            </w:r>
          </w:p>
        </w:tc>
      </w:tr>
      <w:tr w:rsidR="00255510" w:rsidRPr="00255510" w:rsidTr="00255510">
        <w:trPr>
          <w:trHeight w:val="145"/>
          <w:tblCellSpacing w:w="0" w:type="dxa"/>
        </w:trPr>
        <w:tc>
          <w:tcPr>
            <w:tcW w:w="4928" w:type="dxa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Праве передсердя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дилатація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16,6±11,2</w:t>
            </w:r>
          </w:p>
        </w:tc>
      </w:tr>
      <w:tr w:rsidR="00255510" w:rsidRPr="00255510" w:rsidTr="00255510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5510" w:rsidRPr="00255510" w:rsidRDefault="00255510" w:rsidP="002555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83,4±11,2***</w:t>
            </w:r>
          </w:p>
        </w:tc>
      </w:tr>
      <w:tr w:rsidR="00255510" w:rsidRPr="00255510" w:rsidTr="00255510">
        <w:trPr>
          <w:trHeight w:val="145"/>
          <w:tblCellSpacing w:w="0" w:type="dxa"/>
        </w:trPr>
        <w:tc>
          <w:tcPr>
            <w:tcW w:w="4928" w:type="dxa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Лівий шлуночок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дилатація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8,3±8,3</w:t>
            </w:r>
          </w:p>
        </w:tc>
      </w:tr>
      <w:tr w:rsidR="00255510" w:rsidRPr="00255510" w:rsidTr="00255510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5510" w:rsidRPr="00255510" w:rsidRDefault="00255510" w:rsidP="002555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91,7±8,3***</w:t>
            </w:r>
          </w:p>
        </w:tc>
      </w:tr>
      <w:tr w:rsidR="00255510" w:rsidRPr="00255510" w:rsidTr="00255510">
        <w:trPr>
          <w:trHeight w:val="145"/>
          <w:tblCellSpacing w:w="0" w:type="dxa"/>
        </w:trPr>
        <w:tc>
          <w:tcPr>
            <w:tcW w:w="4928" w:type="dxa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Ліве передсердя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дилатація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8,3±8,3</w:t>
            </w:r>
          </w:p>
        </w:tc>
      </w:tr>
      <w:tr w:rsidR="00255510" w:rsidRPr="00255510" w:rsidTr="00255510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5510" w:rsidRPr="00255510" w:rsidRDefault="00255510" w:rsidP="002555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91,7±8,3***</w:t>
            </w:r>
          </w:p>
        </w:tc>
      </w:tr>
      <w:tr w:rsidR="00255510" w:rsidRPr="00255510" w:rsidTr="00255510">
        <w:trPr>
          <w:trHeight w:val="145"/>
          <w:tblCellSpacing w:w="0" w:type="dxa"/>
        </w:trPr>
        <w:tc>
          <w:tcPr>
            <w:tcW w:w="4928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Діаметр легеневої артерії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100***</w:t>
            </w:r>
          </w:p>
        </w:tc>
      </w:tr>
      <w:tr w:rsidR="00255510" w:rsidRPr="00255510" w:rsidTr="00255510">
        <w:trPr>
          <w:trHeight w:val="145"/>
          <w:tblCellSpacing w:w="0" w:type="dxa"/>
        </w:trPr>
        <w:tc>
          <w:tcPr>
            <w:tcW w:w="4928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Діаметр аорти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100***</w:t>
            </w:r>
          </w:p>
        </w:tc>
      </w:tr>
      <w:tr w:rsidR="00255510" w:rsidRPr="00255510" w:rsidTr="00255510">
        <w:trPr>
          <w:trHeight w:val="140"/>
          <w:tblCellSpacing w:w="0" w:type="dxa"/>
        </w:trPr>
        <w:tc>
          <w:tcPr>
            <w:tcW w:w="4928" w:type="dxa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 xml:space="preserve">Кінетика </w:t>
            </w:r>
            <w:proofErr w:type="spellStart"/>
            <w:r w:rsidRPr="00255510">
              <w:rPr>
                <w:sz w:val="28"/>
                <w:szCs w:val="28"/>
                <w:lang w:val="uk-UA"/>
              </w:rPr>
              <w:t>міжшлуночкової</w:t>
            </w:r>
            <w:proofErr w:type="spellEnd"/>
            <w:r w:rsidRPr="00255510">
              <w:rPr>
                <w:sz w:val="28"/>
                <w:szCs w:val="28"/>
                <w:lang w:val="uk-UA"/>
              </w:rPr>
              <w:t xml:space="preserve"> перетинки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знижена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33,3±14,2</w:t>
            </w:r>
          </w:p>
        </w:tc>
      </w:tr>
      <w:tr w:rsidR="00255510" w:rsidRPr="00255510" w:rsidTr="00255510">
        <w:trPr>
          <w:trHeight w:val="13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5510" w:rsidRPr="00255510" w:rsidRDefault="00255510" w:rsidP="002555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66,7±14,2</w:t>
            </w:r>
          </w:p>
        </w:tc>
      </w:tr>
      <w:tr w:rsidR="00255510" w:rsidRPr="00255510" w:rsidTr="00255510">
        <w:trPr>
          <w:trHeight w:val="145"/>
          <w:tblCellSpacing w:w="0" w:type="dxa"/>
        </w:trPr>
        <w:tc>
          <w:tcPr>
            <w:tcW w:w="4928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Кінетика задньої стінки лівого шлуночка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100***</w:t>
            </w:r>
          </w:p>
        </w:tc>
      </w:tr>
      <w:tr w:rsidR="00255510" w:rsidRPr="00255510" w:rsidTr="00255510">
        <w:trPr>
          <w:trHeight w:val="145"/>
          <w:tblCellSpacing w:w="0" w:type="dxa"/>
        </w:trPr>
        <w:tc>
          <w:tcPr>
            <w:tcW w:w="4928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Градієнт тиску на клапанах легеневої артерії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100***</w:t>
            </w:r>
          </w:p>
        </w:tc>
      </w:tr>
      <w:tr w:rsidR="00255510" w:rsidRPr="00255510" w:rsidTr="00255510">
        <w:trPr>
          <w:trHeight w:val="145"/>
          <w:tblCellSpacing w:w="0" w:type="dxa"/>
        </w:trPr>
        <w:tc>
          <w:tcPr>
            <w:tcW w:w="4928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Градієнт тиску на клапанах аорти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100***</w:t>
            </w:r>
          </w:p>
        </w:tc>
      </w:tr>
      <w:tr w:rsidR="00255510" w:rsidRPr="00255510" w:rsidTr="00255510">
        <w:trPr>
          <w:trHeight w:val="145"/>
          <w:tblCellSpacing w:w="0" w:type="dxa"/>
        </w:trPr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Середній тиск у стовбурі легеневої артерії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5510" w:rsidRDefault="00255510" w:rsidP="00255510">
            <w:pPr>
              <w:jc w:val="both"/>
              <w:rPr>
                <w:sz w:val="28"/>
                <w:szCs w:val="28"/>
              </w:rPr>
            </w:pPr>
            <w:r w:rsidRPr="00255510">
              <w:rPr>
                <w:sz w:val="28"/>
                <w:szCs w:val="28"/>
                <w:lang w:val="uk-UA"/>
              </w:rPr>
              <w:t>100***</w:t>
            </w:r>
          </w:p>
        </w:tc>
      </w:tr>
    </w:tbl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>Примітка.   *** - р&lt;0,001.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</w:rPr>
        <w:t> 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  <w:lang w:val="uk-UA"/>
        </w:rPr>
      </w:pPr>
      <w:r w:rsidRPr="00255510">
        <w:rPr>
          <w:sz w:val="28"/>
          <w:szCs w:val="28"/>
          <w:lang w:val="uk-UA"/>
        </w:rPr>
        <w:t xml:space="preserve">Аналіз показників центральної гемодинаміки (ЦГ) показав, що у більшості хворих (8 дітей – 66,7%) мала місце </w:t>
      </w:r>
      <w:proofErr w:type="spellStart"/>
      <w:r w:rsidRPr="00255510">
        <w:rPr>
          <w:sz w:val="28"/>
          <w:szCs w:val="28"/>
          <w:lang w:val="uk-UA"/>
        </w:rPr>
        <w:t>нормодинамія</w:t>
      </w:r>
      <w:proofErr w:type="spellEnd"/>
      <w:r w:rsidRPr="00255510">
        <w:rPr>
          <w:sz w:val="28"/>
          <w:szCs w:val="28"/>
          <w:lang w:val="uk-UA"/>
        </w:rPr>
        <w:t xml:space="preserve"> (СІ = 99,2% від нормативу) при нормальних показниках ЧСС (103,4% від нормативу) і фракції викиду (ФВ) (97,6% від нормативу). У 3 пацієнтів (25,0%) встановлено </w:t>
      </w:r>
      <w:proofErr w:type="spellStart"/>
      <w:r w:rsidRPr="00255510">
        <w:rPr>
          <w:sz w:val="28"/>
          <w:szCs w:val="28"/>
          <w:lang w:val="uk-UA"/>
        </w:rPr>
        <w:t>гіподинамічний</w:t>
      </w:r>
      <w:proofErr w:type="spellEnd"/>
      <w:r w:rsidRPr="00255510">
        <w:rPr>
          <w:sz w:val="28"/>
          <w:szCs w:val="28"/>
          <w:lang w:val="uk-UA"/>
        </w:rPr>
        <w:t xml:space="preserve"> режим ЦГ (СІ = 69,1%±11,3 від нормативу). Це були хворі з типовою формою </w:t>
      </w:r>
      <w:proofErr w:type="spellStart"/>
      <w:r w:rsidRPr="00255510">
        <w:rPr>
          <w:sz w:val="28"/>
          <w:szCs w:val="28"/>
          <w:lang w:val="uk-UA"/>
        </w:rPr>
        <w:t>целіакії</w:t>
      </w:r>
      <w:proofErr w:type="spellEnd"/>
      <w:r w:rsidRPr="00255510">
        <w:rPr>
          <w:sz w:val="28"/>
          <w:szCs w:val="28"/>
          <w:lang w:val="uk-UA"/>
        </w:rPr>
        <w:t xml:space="preserve"> в тяжкому стані, який був обумовлений </w:t>
      </w:r>
      <w:proofErr w:type="spellStart"/>
      <w:r w:rsidRPr="00255510">
        <w:rPr>
          <w:sz w:val="28"/>
          <w:szCs w:val="28"/>
          <w:lang w:val="uk-UA"/>
        </w:rPr>
        <w:t>диспептичним</w:t>
      </w:r>
      <w:proofErr w:type="spellEnd"/>
      <w:r w:rsidRPr="00255510">
        <w:rPr>
          <w:sz w:val="28"/>
          <w:szCs w:val="28"/>
          <w:lang w:val="uk-UA"/>
        </w:rPr>
        <w:t xml:space="preserve"> синдромом (блювота, часті  випорожнення) з </w:t>
      </w:r>
      <w:proofErr w:type="spellStart"/>
      <w:r w:rsidRPr="00255510">
        <w:rPr>
          <w:sz w:val="28"/>
          <w:szCs w:val="28"/>
          <w:lang w:val="uk-UA"/>
        </w:rPr>
        <w:lastRenderedPageBreak/>
        <w:t>дизелектролітними</w:t>
      </w:r>
      <w:proofErr w:type="spellEnd"/>
      <w:r w:rsidRPr="00255510">
        <w:rPr>
          <w:sz w:val="28"/>
          <w:szCs w:val="28"/>
          <w:lang w:val="uk-UA"/>
        </w:rPr>
        <w:t xml:space="preserve"> розладами. У однієї (8,3%) дитини із типовою </w:t>
      </w:r>
      <w:proofErr w:type="spellStart"/>
      <w:r w:rsidRPr="00255510">
        <w:rPr>
          <w:sz w:val="28"/>
          <w:szCs w:val="28"/>
          <w:lang w:val="uk-UA"/>
        </w:rPr>
        <w:t>целіакією</w:t>
      </w:r>
      <w:proofErr w:type="spellEnd"/>
      <w:r w:rsidRPr="00255510">
        <w:rPr>
          <w:sz w:val="28"/>
          <w:szCs w:val="28"/>
          <w:lang w:val="uk-UA"/>
        </w:rPr>
        <w:t xml:space="preserve"> у сполученні із дефіцитною анемією  середньої тяжкості виявлено </w:t>
      </w:r>
      <w:proofErr w:type="spellStart"/>
      <w:r w:rsidRPr="00255510">
        <w:rPr>
          <w:sz w:val="28"/>
          <w:szCs w:val="28"/>
          <w:lang w:val="uk-UA"/>
        </w:rPr>
        <w:t>гіпердинамічний</w:t>
      </w:r>
      <w:proofErr w:type="spellEnd"/>
      <w:r w:rsidRPr="00255510">
        <w:rPr>
          <w:sz w:val="28"/>
          <w:szCs w:val="28"/>
          <w:lang w:val="uk-UA"/>
        </w:rPr>
        <w:t xml:space="preserve"> режим ЦГ (СІ = 119,8% від нормативу) за рахунок тахікардії (ЧСС = 125,1% від нормативу), спричиненої активацією симпатичного відділу ВНС (вірогідність переважання симпатичних проявів (</w:t>
      </w:r>
      <w:proofErr w:type="spellStart"/>
      <w:r w:rsidRPr="00255510">
        <w:rPr>
          <w:sz w:val="28"/>
          <w:szCs w:val="28"/>
          <w:lang w:val="uk-UA"/>
        </w:rPr>
        <w:t>Рс</w:t>
      </w:r>
      <w:proofErr w:type="spellEnd"/>
      <w:r w:rsidRPr="00255510">
        <w:rPr>
          <w:sz w:val="28"/>
          <w:szCs w:val="28"/>
          <w:lang w:val="uk-UA"/>
        </w:rPr>
        <w:t>) – 76,8% [5]).   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255510">
        <w:rPr>
          <w:sz w:val="28"/>
          <w:szCs w:val="28"/>
          <w:lang w:val="uk-UA"/>
        </w:rPr>
        <w:t>Міокардіальна</w:t>
      </w:r>
      <w:proofErr w:type="spellEnd"/>
      <w:r w:rsidRPr="00255510">
        <w:rPr>
          <w:sz w:val="28"/>
          <w:szCs w:val="28"/>
          <w:lang w:val="uk-UA"/>
        </w:rPr>
        <w:t xml:space="preserve"> дисфункція встановлена у 7 (58,3%) дітей. Систолічна </w:t>
      </w:r>
      <w:proofErr w:type="spellStart"/>
      <w:r w:rsidRPr="00255510">
        <w:rPr>
          <w:sz w:val="28"/>
          <w:szCs w:val="28"/>
          <w:lang w:val="uk-UA"/>
        </w:rPr>
        <w:t>міокардіальна</w:t>
      </w:r>
      <w:proofErr w:type="spellEnd"/>
      <w:r w:rsidRPr="00255510">
        <w:rPr>
          <w:sz w:val="28"/>
          <w:szCs w:val="28"/>
          <w:lang w:val="uk-UA"/>
        </w:rPr>
        <w:t xml:space="preserve"> дисфункція (зниження скоротливої та насосної функції серця) мала місце у 2 (16,6%) хворих. Із них у однієї дитини (9 років) спостерігався </w:t>
      </w:r>
      <w:proofErr w:type="spellStart"/>
      <w:r w:rsidRPr="00255510">
        <w:rPr>
          <w:sz w:val="28"/>
          <w:szCs w:val="28"/>
          <w:lang w:val="uk-UA"/>
        </w:rPr>
        <w:t>гіподинамічний</w:t>
      </w:r>
      <w:proofErr w:type="spellEnd"/>
      <w:r w:rsidRPr="00255510">
        <w:rPr>
          <w:sz w:val="28"/>
          <w:szCs w:val="28"/>
          <w:lang w:val="uk-UA"/>
        </w:rPr>
        <w:t xml:space="preserve"> режим ЦГ при зниженій ФВ та помірній брадикардії, у другої дитини (3 років) мав місце </w:t>
      </w:r>
      <w:proofErr w:type="spellStart"/>
      <w:r w:rsidRPr="00255510">
        <w:rPr>
          <w:sz w:val="28"/>
          <w:szCs w:val="28"/>
          <w:lang w:val="uk-UA"/>
        </w:rPr>
        <w:t>нормодинамічний</w:t>
      </w:r>
      <w:proofErr w:type="spellEnd"/>
      <w:r w:rsidRPr="00255510">
        <w:rPr>
          <w:sz w:val="28"/>
          <w:szCs w:val="28"/>
          <w:lang w:val="uk-UA"/>
        </w:rPr>
        <w:t xml:space="preserve"> режим ЦГ при помірній </w:t>
      </w:r>
      <w:proofErr w:type="spellStart"/>
      <w:r w:rsidRPr="00255510">
        <w:rPr>
          <w:sz w:val="28"/>
          <w:szCs w:val="28"/>
          <w:lang w:val="uk-UA"/>
        </w:rPr>
        <w:t>гіпокінезії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міжшлуночкової</w:t>
      </w:r>
      <w:proofErr w:type="spellEnd"/>
      <w:r w:rsidRPr="00255510">
        <w:rPr>
          <w:sz w:val="28"/>
          <w:szCs w:val="28"/>
          <w:lang w:val="uk-UA"/>
        </w:rPr>
        <w:t xml:space="preserve"> перетинки, тенденцією до брадикардії та </w:t>
      </w:r>
      <w:proofErr w:type="spellStart"/>
      <w:r w:rsidRPr="00255510">
        <w:rPr>
          <w:sz w:val="28"/>
          <w:szCs w:val="28"/>
          <w:lang w:val="uk-UA"/>
        </w:rPr>
        <w:t>парасимпатикотонічним</w:t>
      </w:r>
      <w:proofErr w:type="spellEnd"/>
      <w:r w:rsidRPr="00255510">
        <w:rPr>
          <w:sz w:val="28"/>
          <w:szCs w:val="28"/>
          <w:lang w:val="uk-UA"/>
        </w:rPr>
        <w:t xml:space="preserve"> вихідним вегетативним тонусом.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  <w:lang w:val="uk-UA"/>
        </w:rPr>
      </w:pPr>
      <w:r w:rsidRPr="00255510">
        <w:rPr>
          <w:sz w:val="28"/>
          <w:szCs w:val="28"/>
          <w:lang w:val="uk-UA"/>
        </w:rPr>
        <w:t xml:space="preserve">Порушення трансмітрального потоку, яке свідчить про наявність у хворих діастолічної міокардіальної дисфункції, спостерігалось у 5 (41,7%) хворих. У 3-х із них (60,0%) встановлено </w:t>
      </w:r>
      <w:proofErr w:type="spellStart"/>
      <w:r w:rsidRPr="00255510">
        <w:rPr>
          <w:sz w:val="28"/>
          <w:szCs w:val="28"/>
          <w:lang w:val="uk-UA"/>
        </w:rPr>
        <w:t>рестриктивний</w:t>
      </w:r>
      <w:proofErr w:type="spellEnd"/>
      <w:r w:rsidRPr="00255510">
        <w:rPr>
          <w:sz w:val="28"/>
          <w:szCs w:val="28"/>
          <w:lang w:val="uk-UA"/>
        </w:rPr>
        <w:t xml:space="preserve"> тип, у 2-х (40,0%) – </w:t>
      </w:r>
      <w:proofErr w:type="spellStart"/>
      <w:r w:rsidRPr="00255510">
        <w:rPr>
          <w:sz w:val="28"/>
          <w:szCs w:val="28"/>
          <w:lang w:val="uk-UA"/>
        </w:rPr>
        <w:t>псевдонормалізація</w:t>
      </w:r>
      <w:proofErr w:type="spellEnd"/>
      <w:r w:rsidRPr="00255510">
        <w:rPr>
          <w:sz w:val="28"/>
          <w:szCs w:val="28"/>
          <w:lang w:val="uk-UA"/>
        </w:rPr>
        <w:t xml:space="preserve"> мітрального потоку. Анормальний (гіпертрофічний) тип розслаблення міокарду у наших пацієнтів не реєструвався. Це можна пояснити значною тривалістю їх захворювання (4,8±3,6 років) та маніфестацією </w:t>
      </w:r>
      <w:proofErr w:type="spellStart"/>
      <w:r w:rsidRPr="00255510">
        <w:rPr>
          <w:sz w:val="28"/>
          <w:szCs w:val="28"/>
          <w:lang w:val="uk-UA"/>
        </w:rPr>
        <w:t>целіакії</w:t>
      </w:r>
      <w:proofErr w:type="spellEnd"/>
      <w:r w:rsidRPr="00255510">
        <w:rPr>
          <w:sz w:val="28"/>
          <w:szCs w:val="28"/>
          <w:lang w:val="uk-UA"/>
        </w:rPr>
        <w:t xml:space="preserve"> на першому році життя (у 2 із 5 дітей), що обумовлює порушення еластичних властивостей міокарду, що є характерним для </w:t>
      </w:r>
      <w:proofErr w:type="spellStart"/>
      <w:r w:rsidRPr="00255510">
        <w:rPr>
          <w:sz w:val="28"/>
          <w:szCs w:val="28"/>
          <w:lang w:val="uk-UA"/>
        </w:rPr>
        <w:t>рестриктивного</w:t>
      </w:r>
      <w:proofErr w:type="spellEnd"/>
      <w:r w:rsidRPr="00255510">
        <w:rPr>
          <w:sz w:val="28"/>
          <w:szCs w:val="28"/>
          <w:lang w:val="uk-UA"/>
        </w:rPr>
        <w:t xml:space="preserve"> типу і </w:t>
      </w:r>
      <w:proofErr w:type="spellStart"/>
      <w:r w:rsidRPr="00255510">
        <w:rPr>
          <w:sz w:val="28"/>
          <w:szCs w:val="28"/>
          <w:lang w:val="uk-UA"/>
        </w:rPr>
        <w:t>псевдонормалізації</w:t>
      </w:r>
      <w:proofErr w:type="spellEnd"/>
      <w:r w:rsidRPr="00255510">
        <w:rPr>
          <w:sz w:val="28"/>
          <w:szCs w:val="28"/>
          <w:lang w:val="uk-UA"/>
        </w:rPr>
        <w:t xml:space="preserve"> мітрального потоку. У хворих із </w:t>
      </w:r>
      <w:proofErr w:type="spellStart"/>
      <w:r w:rsidRPr="00255510">
        <w:rPr>
          <w:sz w:val="28"/>
          <w:szCs w:val="28"/>
          <w:lang w:val="uk-UA"/>
        </w:rPr>
        <w:t>рестриктивним</w:t>
      </w:r>
      <w:proofErr w:type="spellEnd"/>
      <w:r w:rsidRPr="00255510">
        <w:rPr>
          <w:sz w:val="28"/>
          <w:szCs w:val="28"/>
          <w:lang w:val="uk-UA"/>
        </w:rPr>
        <w:t xml:space="preserve"> типом діастолічної дисфункції відзначалось вірогідне збільшення співвідношення пікових швидкостей (Е/А=2,36±0,09, р&lt;0,05), зменшення часу сповільнення раннього наповнювання лівого шлуночка (</w:t>
      </w:r>
      <w:proofErr w:type="spellStart"/>
      <w:r w:rsidRPr="00255510">
        <w:rPr>
          <w:sz w:val="28"/>
          <w:szCs w:val="28"/>
          <w:lang w:val="uk-UA"/>
        </w:rPr>
        <w:t>ДТе</w:t>
      </w:r>
      <w:proofErr w:type="spellEnd"/>
      <w:r w:rsidRPr="00255510">
        <w:rPr>
          <w:sz w:val="28"/>
          <w:szCs w:val="28"/>
          <w:lang w:val="uk-UA"/>
        </w:rPr>
        <w:t xml:space="preserve">) до 0,11±0,008 с та часу </w:t>
      </w:r>
      <w:proofErr w:type="spellStart"/>
      <w:r w:rsidRPr="00255510">
        <w:rPr>
          <w:sz w:val="28"/>
          <w:szCs w:val="28"/>
          <w:lang w:val="uk-UA"/>
        </w:rPr>
        <w:t>ізоволюмічного</w:t>
      </w:r>
      <w:proofErr w:type="spellEnd"/>
      <w:r w:rsidRPr="00255510">
        <w:rPr>
          <w:sz w:val="28"/>
          <w:szCs w:val="28"/>
          <w:lang w:val="uk-UA"/>
        </w:rPr>
        <w:t xml:space="preserve"> розслаблення (IVRT) до 0,053±0,004 с (р&lt;0,05).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  <w:lang w:val="uk-UA"/>
        </w:rPr>
      </w:pPr>
      <w:r w:rsidRPr="00255510">
        <w:rPr>
          <w:sz w:val="28"/>
          <w:szCs w:val="28"/>
          <w:lang w:val="uk-UA"/>
        </w:rPr>
        <w:t xml:space="preserve">Таким чином, діастолічна </w:t>
      </w:r>
      <w:proofErr w:type="spellStart"/>
      <w:r w:rsidRPr="00255510">
        <w:rPr>
          <w:sz w:val="28"/>
          <w:szCs w:val="28"/>
          <w:lang w:val="uk-UA"/>
        </w:rPr>
        <w:t>міокардіальна</w:t>
      </w:r>
      <w:proofErr w:type="spellEnd"/>
      <w:r w:rsidRPr="00255510">
        <w:rPr>
          <w:sz w:val="28"/>
          <w:szCs w:val="28"/>
          <w:lang w:val="uk-UA"/>
        </w:rPr>
        <w:t xml:space="preserve"> дисфункція у наших пацієнтів відзначалася у 2,5 рази частіше, ніж систолічна. Причиною цього може бути вплив на </w:t>
      </w:r>
      <w:proofErr w:type="spellStart"/>
      <w:r w:rsidRPr="00255510">
        <w:rPr>
          <w:sz w:val="28"/>
          <w:szCs w:val="28"/>
          <w:lang w:val="uk-UA"/>
        </w:rPr>
        <w:t>комплайнс</w:t>
      </w:r>
      <w:proofErr w:type="spellEnd"/>
      <w:r w:rsidRPr="00255510">
        <w:rPr>
          <w:sz w:val="28"/>
          <w:szCs w:val="28"/>
          <w:lang w:val="uk-UA"/>
        </w:rPr>
        <w:t xml:space="preserve"> камер серця та </w:t>
      </w:r>
      <w:proofErr w:type="spellStart"/>
      <w:r w:rsidRPr="00255510">
        <w:rPr>
          <w:sz w:val="28"/>
          <w:szCs w:val="28"/>
          <w:lang w:val="uk-UA"/>
        </w:rPr>
        <w:t>діастолічне</w:t>
      </w:r>
      <w:proofErr w:type="spellEnd"/>
      <w:r w:rsidRPr="00255510">
        <w:rPr>
          <w:sz w:val="28"/>
          <w:szCs w:val="28"/>
          <w:lang w:val="uk-UA"/>
        </w:rPr>
        <w:t xml:space="preserve"> наповнення ЛШ порушень електролітного та фосфорно-кальцієвого обміну (</w:t>
      </w:r>
      <w:proofErr w:type="spellStart"/>
      <w:r w:rsidRPr="00255510">
        <w:rPr>
          <w:sz w:val="28"/>
          <w:szCs w:val="28"/>
          <w:lang w:val="uk-UA"/>
        </w:rPr>
        <w:t>гіпофосфатемії</w:t>
      </w:r>
      <w:proofErr w:type="spellEnd"/>
      <w:r w:rsidRPr="00255510">
        <w:rPr>
          <w:sz w:val="28"/>
          <w:szCs w:val="28"/>
          <w:lang w:val="uk-UA"/>
        </w:rPr>
        <w:t xml:space="preserve">, </w:t>
      </w:r>
      <w:proofErr w:type="spellStart"/>
      <w:r w:rsidRPr="00255510">
        <w:rPr>
          <w:sz w:val="28"/>
          <w:szCs w:val="28"/>
          <w:lang w:val="uk-UA"/>
        </w:rPr>
        <w:t>гіпомагніємії</w:t>
      </w:r>
      <w:proofErr w:type="spellEnd"/>
      <w:r w:rsidRPr="00255510">
        <w:rPr>
          <w:sz w:val="28"/>
          <w:szCs w:val="28"/>
          <w:lang w:val="uk-UA"/>
        </w:rPr>
        <w:t xml:space="preserve">, </w:t>
      </w:r>
      <w:proofErr w:type="spellStart"/>
      <w:r w:rsidRPr="00255510">
        <w:rPr>
          <w:sz w:val="28"/>
          <w:szCs w:val="28"/>
          <w:lang w:val="uk-UA"/>
        </w:rPr>
        <w:t>гіпокальціємії</w:t>
      </w:r>
      <w:proofErr w:type="spellEnd"/>
      <w:r w:rsidRPr="00255510">
        <w:rPr>
          <w:sz w:val="28"/>
          <w:szCs w:val="28"/>
          <w:lang w:val="uk-UA"/>
        </w:rPr>
        <w:t xml:space="preserve"> та </w:t>
      </w:r>
      <w:proofErr w:type="spellStart"/>
      <w:r w:rsidRPr="00255510">
        <w:rPr>
          <w:sz w:val="28"/>
          <w:szCs w:val="28"/>
          <w:lang w:val="uk-UA"/>
        </w:rPr>
        <w:t>гіперкальціурії</w:t>
      </w:r>
      <w:proofErr w:type="spellEnd"/>
      <w:r w:rsidRPr="00255510">
        <w:rPr>
          <w:sz w:val="28"/>
          <w:szCs w:val="28"/>
          <w:lang w:val="uk-UA"/>
        </w:rPr>
        <w:t xml:space="preserve">), які спостерігаються при синдромі </w:t>
      </w:r>
      <w:proofErr w:type="spellStart"/>
      <w:r w:rsidRPr="00255510">
        <w:rPr>
          <w:sz w:val="28"/>
          <w:szCs w:val="28"/>
          <w:lang w:val="uk-UA"/>
        </w:rPr>
        <w:t>мальабсорбції</w:t>
      </w:r>
      <w:proofErr w:type="spellEnd"/>
      <w:r w:rsidRPr="00255510">
        <w:rPr>
          <w:sz w:val="28"/>
          <w:szCs w:val="28"/>
          <w:lang w:val="uk-UA"/>
        </w:rPr>
        <w:t xml:space="preserve">. Такі порушення мали місце у 6 (31,5%) хворих, в тому числі в усіх дітей із </w:t>
      </w:r>
      <w:proofErr w:type="spellStart"/>
      <w:r w:rsidRPr="00255510">
        <w:rPr>
          <w:sz w:val="28"/>
          <w:szCs w:val="28"/>
          <w:lang w:val="uk-UA"/>
        </w:rPr>
        <w:t>діастолічною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міокардіальною</w:t>
      </w:r>
      <w:proofErr w:type="spellEnd"/>
      <w:r w:rsidRPr="00255510">
        <w:rPr>
          <w:sz w:val="28"/>
          <w:szCs w:val="28"/>
          <w:lang w:val="uk-UA"/>
        </w:rPr>
        <w:t xml:space="preserve"> дисфункцією. Крім того, розвитку останньої сприяє тривалість хвороби. Про це свідчать результати проведеного нами кореляційного аналізу. З’ясовано, що між типом діастолічної дисфункції та часом діастоли і тривалістю захворювання має місце високий кореляційний зв’язок (відповідно r = +0,78, r = +0,84), що посередньо відбиває можливість прогресування діастолічної дисфункції з втратою </w:t>
      </w:r>
      <w:proofErr w:type="spellStart"/>
      <w:r w:rsidRPr="00255510">
        <w:rPr>
          <w:sz w:val="28"/>
          <w:szCs w:val="28"/>
          <w:lang w:val="uk-UA"/>
        </w:rPr>
        <w:t>комплайнсу</w:t>
      </w:r>
      <w:proofErr w:type="spellEnd"/>
      <w:r w:rsidRPr="00255510">
        <w:rPr>
          <w:sz w:val="28"/>
          <w:szCs w:val="28"/>
          <w:lang w:val="uk-UA"/>
        </w:rPr>
        <w:t xml:space="preserve"> міокарда по мірі збільшення стажу захворювання без відповідної </w:t>
      </w:r>
      <w:proofErr w:type="spellStart"/>
      <w:r w:rsidRPr="00255510">
        <w:rPr>
          <w:sz w:val="28"/>
          <w:szCs w:val="28"/>
          <w:lang w:val="uk-UA"/>
        </w:rPr>
        <w:t>кардіометаболічної</w:t>
      </w:r>
      <w:proofErr w:type="spellEnd"/>
      <w:r w:rsidRPr="00255510">
        <w:rPr>
          <w:sz w:val="28"/>
          <w:szCs w:val="28"/>
          <w:lang w:val="uk-UA"/>
        </w:rPr>
        <w:t xml:space="preserve"> підтримки та корекції водно-електролітних розладів.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>У 5 (41,7%) хворих параметри трансмітрального потоку не відрізнялися від нормативних значень. Це діти, які перебували на контрольному обстеженні в стані клініко-лабораторної ремісії захворювання. Клініко-</w:t>
      </w:r>
      <w:r w:rsidRPr="00255510">
        <w:rPr>
          <w:sz w:val="28"/>
          <w:szCs w:val="28"/>
          <w:lang w:val="uk-UA"/>
        </w:rPr>
        <w:lastRenderedPageBreak/>
        <w:t>інструментальних ознак серцевої недостатності не виявлено у жодного з пацієнтів.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255510">
        <w:rPr>
          <w:b/>
          <w:bCs/>
          <w:sz w:val="28"/>
          <w:szCs w:val="28"/>
          <w:lang w:val="uk-UA"/>
        </w:rPr>
        <w:t>Заключення</w:t>
      </w:r>
      <w:proofErr w:type="spellEnd"/>
      <w:r w:rsidRPr="00255510">
        <w:rPr>
          <w:b/>
          <w:bCs/>
          <w:sz w:val="28"/>
          <w:szCs w:val="28"/>
          <w:lang w:val="uk-UA"/>
        </w:rPr>
        <w:t>.</w:t>
      </w:r>
      <w:r w:rsidRPr="00255510">
        <w:rPr>
          <w:sz w:val="28"/>
          <w:szCs w:val="28"/>
          <w:lang w:val="uk-UA"/>
        </w:rPr>
        <w:t xml:space="preserve"> У більшості дітей (78,9%), хворих на </w:t>
      </w:r>
      <w:proofErr w:type="spellStart"/>
      <w:r w:rsidRPr="00255510">
        <w:rPr>
          <w:sz w:val="28"/>
          <w:szCs w:val="28"/>
          <w:lang w:val="uk-UA"/>
        </w:rPr>
        <w:t>целіакію</w:t>
      </w:r>
      <w:proofErr w:type="spellEnd"/>
      <w:r w:rsidRPr="00255510">
        <w:rPr>
          <w:sz w:val="28"/>
          <w:szCs w:val="28"/>
          <w:lang w:val="uk-UA"/>
        </w:rPr>
        <w:t xml:space="preserve">, спостерігаються функціональні зміни ССС (вторинна кардіоміопатія, судинна дистонія), які маніфестують скаргами на біль в ділянці серця, приглушеністю тонів серця, наявністю систолічного шуму функціонального характеру, помірними відхиленнями від нормативу ЧСС і артеріального тиску, змінами на ЕКГ (здебільше порушеннями ритму серця (переважно </w:t>
      </w:r>
      <w:proofErr w:type="spellStart"/>
      <w:r w:rsidRPr="00255510">
        <w:rPr>
          <w:sz w:val="28"/>
          <w:szCs w:val="28"/>
          <w:lang w:val="uk-UA"/>
        </w:rPr>
        <w:t>номотопними</w:t>
      </w:r>
      <w:proofErr w:type="spellEnd"/>
      <w:r w:rsidRPr="00255510">
        <w:rPr>
          <w:sz w:val="28"/>
          <w:szCs w:val="28"/>
          <w:lang w:val="uk-UA"/>
        </w:rPr>
        <w:t xml:space="preserve">) та процесів реполяризації), </w:t>
      </w:r>
      <w:proofErr w:type="spellStart"/>
      <w:r w:rsidRPr="00255510">
        <w:rPr>
          <w:sz w:val="28"/>
          <w:szCs w:val="28"/>
          <w:lang w:val="uk-UA"/>
        </w:rPr>
        <w:t>ехокардіографічними</w:t>
      </w:r>
      <w:proofErr w:type="spellEnd"/>
      <w:r w:rsidRPr="00255510">
        <w:rPr>
          <w:sz w:val="28"/>
          <w:szCs w:val="28"/>
          <w:lang w:val="uk-UA"/>
        </w:rPr>
        <w:t xml:space="preserve"> ознаками порушення центральної гемодинаміки та міокардіальної дисфункції (переважно діастолічної). Важливими чинниками розвитку </w:t>
      </w:r>
      <w:proofErr w:type="spellStart"/>
      <w:r w:rsidRPr="00255510">
        <w:rPr>
          <w:sz w:val="28"/>
          <w:szCs w:val="28"/>
          <w:lang w:val="uk-UA"/>
        </w:rPr>
        <w:t>кардіоваскулярного</w:t>
      </w:r>
      <w:proofErr w:type="spellEnd"/>
      <w:r w:rsidRPr="00255510">
        <w:rPr>
          <w:sz w:val="28"/>
          <w:szCs w:val="28"/>
          <w:lang w:val="uk-UA"/>
        </w:rPr>
        <w:t xml:space="preserve"> синдрому у дітей з </w:t>
      </w:r>
      <w:proofErr w:type="spellStart"/>
      <w:r w:rsidRPr="00255510">
        <w:rPr>
          <w:sz w:val="28"/>
          <w:szCs w:val="28"/>
          <w:lang w:val="uk-UA"/>
        </w:rPr>
        <w:t>целікією</w:t>
      </w:r>
      <w:proofErr w:type="spellEnd"/>
      <w:r w:rsidRPr="00255510">
        <w:rPr>
          <w:sz w:val="28"/>
          <w:szCs w:val="28"/>
          <w:lang w:val="uk-UA"/>
        </w:rPr>
        <w:t xml:space="preserve"> є порушення обміну речовин внаслідок синдрому </w:t>
      </w:r>
      <w:proofErr w:type="spellStart"/>
      <w:r w:rsidRPr="00255510">
        <w:rPr>
          <w:sz w:val="28"/>
          <w:szCs w:val="28"/>
          <w:lang w:val="uk-UA"/>
        </w:rPr>
        <w:t>мальабсорбції</w:t>
      </w:r>
      <w:proofErr w:type="spellEnd"/>
      <w:r w:rsidRPr="00255510">
        <w:rPr>
          <w:sz w:val="28"/>
          <w:szCs w:val="28"/>
          <w:lang w:val="uk-UA"/>
        </w:rPr>
        <w:t xml:space="preserve"> і порушення нейрогуморальної регуляції ССС внаслідок вегетативної дисфункції. Відсутність у дітей скарг з боку ССС не виключає наявність у них вторинної кардіоміопатії і судинної дистонії, тому крім детального об’єктивного огляду ССС обов’язково необхідно проводити інструментальні дослідження (ЕКГ, ЕХОКГ, </w:t>
      </w:r>
      <w:proofErr w:type="spellStart"/>
      <w:r w:rsidRPr="00255510">
        <w:rPr>
          <w:sz w:val="28"/>
          <w:szCs w:val="28"/>
          <w:lang w:val="uk-UA"/>
        </w:rPr>
        <w:t>ДпЕХОКГ</w:t>
      </w:r>
      <w:proofErr w:type="spellEnd"/>
      <w:r w:rsidRPr="00255510">
        <w:rPr>
          <w:sz w:val="28"/>
          <w:szCs w:val="28"/>
          <w:lang w:val="uk-UA"/>
        </w:rPr>
        <w:t xml:space="preserve">) та визначати функціональний стан ВНС. Відхилення з боку серцево-судинної системи у дітей з </w:t>
      </w:r>
      <w:proofErr w:type="spellStart"/>
      <w:r w:rsidRPr="00255510">
        <w:rPr>
          <w:sz w:val="28"/>
          <w:szCs w:val="28"/>
          <w:lang w:val="uk-UA"/>
        </w:rPr>
        <w:t>целіакією</w:t>
      </w:r>
      <w:proofErr w:type="spellEnd"/>
      <w:r w:rsidRPr="00255510">
        <w:rPr>
          <w:sz w:val="28"/>
          <w:szCs w:val="28"/>
          <w:lang w:val="uk-UA"/>
        </w:rPr>
        <w:t xml:space="preserve"> обумовлюють необхідність своєчасної корекції </w:t>
      </w:r>
      <w:proofErr w:type="spellStart"/>
      <w:r w:rsidRPr="00255510">
        <w:rPr>
          <w:sz w:val="28"/>
          <w:szCs w:val="28"/>
          <w:lang w:val="uk-UA"/>
        </w:rPr>
        <w:t>водно-електолітних</w:t>
      </w:r>
      <w:proofErr w:type="spellEnd"/>
      <w:r w:rsidRPr="00255510">
        <w:rPr>
          <w:sz w:val="28"/>
          <w:szCs w:val="28"/>
          <w:lang w:val="uk-UA"/>
        </w:rPr>
        <w:t xml:space="preserve"> розладів та призначення </w:t>
      </w:r>
      <w:proofErr w:type="spellStart"/>
      <w:r w:rsidRPr="00255510">
        <w:rPr>
          <w:sz w:val="28"/>
          <w:szCs w:val="28"/>
          <w:lang w:val="uk-UA"/>
        </w:rPr>
        <w:t>кардіометаболічної</w:t>
      </w:r>
      <w:proofErr w:type="spellEnd"/>
      <w:r w:rsidRPr="00255510">
        <w:rPr>
          <w:sz w:val="28"/>
          <w:szCs w:val="28"/>
          <w:lang w:val="uk-UA"/>
        </w:rPr>
        <w:t xml:space="preserve"> терапії.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  <w:lang w:val="uk-UA"/>
        </w:rPr>
      </w:pPr>
      <w:r w:rsidRPr="00255510">
        <w:rPr>
          <w:b/>
          <w:bCs/>
          <w:sz w:val="28"/>
          <w:szCs w:val="28"/>
        </w:rPr>
        <w:t> 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  <w:lang w:val="uk-UA"/>
        </w:rPr>
      </w:pPr>
      <w:r w:rsidRPr="00255510">
        <w:rPr>
          <w:b/>
          <w:bCs/>
          <w:sz w:val="28"/>
          <w:szCs w:val="28"/>
        </w:rPr>
        <w:t> 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  <w:lang w:val="uk-UA"/>
        </w:rPr>
      </w:pPr>
      <w:r w:rsidRPr="00255510">
        <w:rPr>
          <w:b/>
          <w:bCs/>
          <w:sz w:val="28"/>
          <w:szCs w:val="28"/>
          <w:lang w:val="uk-UA"/>
        </w:rPr>
        <w:t>СПИСОК ЛІТЕРАТУРИ: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  <w:lang w:val="en-US"/>
        </w:rPr>
      </w:pPr>
      <w:r w:rsidRPr="00255510">
        <w:rPr>
          <w:sz w:val="28"/>
          <w:szCs w:val="28"/>
          <w:lang w:val="uk-UA"/>
        </w:rPr>
        <w:t>1.     </w:t>
      </w:r>
      <w:proofErr w:type="spellStart"/>
      <w:r w:rsidRPr="00255510">
        <w:rPr>
          <w:sz w:val="28"/>
          <w:szCs w:val="28"/>
          <w:lang w:val="uk-UA"/>
        </w:rPr>
        <w:t>E.K.Janatuinen</w:t>
      </w:r>
      <w:proofErr w:type="spellEnd"/>
      <w:r w:rsidRPr="00255510">
        <w:rPr>
          <w:sz w:val="28"/>
          <w:szCs w:val="28"/>
          <w:lang w:val="uk-UA"/>
        </w:rPr>
        <w:t xml:space="preserve">, </w:t>
      </w:r>
      <w:proofErr w:type="spellStart"/>
      <w:r w:rsidRPr="00255510">
        <w:rPr>
          <w:sz w:val="28"/>
          <w:szCs w:val="28"/>
          <w:lang w:val="uk-UA"/>
        </w:rPr>
        <w:t>T.A.Kemppainen</w:t>
      </w:r>
      <w:proofErr w:type="spellEnd"/>
      <w:r w:rsidRPr="00255510">
        <w:rPr>
          <w:sz w:val="28"/>
          <w:szCs w:val="28"/>
          <w:lang w:val="uk-UA"/>
        </w:rPr>
        <w:t xml:space="preserve">, </w:t>
      </w:r>
      <w:proofErr w:type="spellStart"/>
      <w:r w:rsidRPr="00255510">
        <w:rPr>
          <w:sz w:val="28"/>
          <w:szCs w:val="28"/>
          <w:lang w:val="uk-UA"/>
        </w:rPr>
        <w:t>R.J.Julkunen</w:t>
      </w:r>
      <w:proofErr w:type="spellEnd"/>
      <w:r w:rsidRPr="00255510">
        <w:rPr>
          <w:sz w:val="28"/>
          <w:szCs w:val="28"/>
          <w:lang w:val="uk-UA"/>
        </w:rPr>
        <w:t xml:space="preserve"> et </w:t>
      </w:r>
      <w:proofErr w:type="spellStart"/>
      <w:r w:rsidRPr="00255510">
        <w:rPr>
          <w:sz w:val="28"/>
          <w:szCs w:val="28"/>
          <w:lang w:val="uk-UA"/>
        </w:rPr>
        <w:t>al</w:t>
      </w:r>
      <w:proofErr w:type="spellEnd"/>
      <w:r w:rsidRPr="00255510">
        <w:rPr>
          <w:sz w:val="28"/>
          <w:szCs w:val="28"/>
          <w:lang w:val="uk-UA"/>
        </w:rPr>
        <w:t> .</w:t>
      </w:r>
      <w:r w:rsidRPr="00255510">
        <w:rPr>
          <w:sz w:val="28"/>
          <w:szCs w:val="28"/>
          <w:lang w:val="en-US"/>
        </w:rPr>
        <w:t> </w:t>
      </w:r>
      <w:proofErr w:type="spellStart"/>
      <w:r w:rsidRPr="00255510">
        <w:rPr>
          <w:sz w:val="28"/>
          <w:szCs w:val="28"/>
          <w:lang w:val="uk-UA"/>
        </w:rPr>
        <w:t>No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harm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from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five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year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ingestion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of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oats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in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coeliac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disease</w:t>
      </w:r>
      <w:proofErr w:type="spellEnd"/>
      <w:r w:rsidRPr="00255510">
        <w:rPr>
          <w:sz w:val="28"/>
          <w:szCs w:val="28"/>
          <w:lang w:val="en-US"/>
        </w:rPr>
        <w:t>//</w:t>
      </w:r>
      <w:r w:rsidRPr="00255510">
        <w:rPr>
          <w:sz w:val="28"/>
          <w:szCs w:val="28"/>
          <w:lang w:val="uk-UA"/>
        </w:rPr>
        <w:t xml:space="preserve">– </w:t>
      </w:r>
      <w:proofErr w:type="spellStart"/>
      <w:r w:rsidRPr="00255510">
        <w:rPr>
          <w:sz w:val="28"/>
          <w:szCs w:val="28"/>
          <w:lang w:val="uk-UA"/>
        </w:rPr>
        <w:t>Gut</w:t>
      </w:r>
      <w:proofErr w:type="spellEnd"/>
      <w:r w:rsidRPr="00255510">
        <w:rPr>
          <w:sz w:val="28"/>
          <w:szCs w:val="28"/>
          <w:lang w:val="uk-UA"/>
        </w:rPr>
        <w:t>. – 2006. – Vol.50  – Р.332–335.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>2.     </w:t>
      </w:r>
      <w:proofErr w:type="spellStart"/>
      <w:r w:rsidRPr="00255510">
        <w:rPr>
          <w:sz w:val="28"/>
          <w:szCs w:val="28"/>
          <w:lang w:val="uk-UA"/>
        </w:rPr>
        <w:t>Баевский</w:t>
      </w:r>
      <w:proofErr w:type="spellEnd"/>
      <w:r w:rsidRPr="00255510">
        <w:rPr>
          <w:sz w:val="28"/>
          <w:szCs w:val="28"/>
          <w:lang w:val="uk-UA"/>
        </w:rPr>
        <w:t xml:space="preserve"> Р.М. </w:t>
      </w:r>
      <w:proofErr w:type="spellStart"/>
      <w:r w:rsidRPr="00255510">
        <w:rPr>
          <w:sz w:val="28"/>
          <w:szCs w:val="28"/>
          <w:lang w:val="uk-UA"/>
        </w:rPr>
        <w:t>Математический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анализ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изменений</w:t>
      </w:r>
      <w:proofErr w:type="spellEnd"/>
      <w:r w:rsidRPr="00255510">
        <w:rPr>
          <w:sz w:val="28"/>
          <w:szCs w:val="28"/>
          <w:lang w:val="uk-UA"/>
        </w:rPr>
        <w:t xml:space="preserve"> сердечного </w:t>
      </w:r>
      <w:proofErr w:type="spellStart"/>
      <w:r w:rsidRPr="00255510">
        <w:rPr>
          <w:sz w:val="28"/>
          <w:szCs w:val="28"/>
          <w:lang w:val="uk-UA"/>
        </w:rPr>
        <w:t>ритма</w:t>
      </w:r>
      <w:proofErr w:type="spellEnd"/>
      <w:r w:rsidRPr="00255510">
        <w:rPr>
          <w:sz w:val="28"/>
          <w:szCs w:val="28"/>
          <w:lang w:val="uk-UA"/>
        </w:rPr>
        <w:t xml:space="preserve"> при </w:t>
      </w:r>
      <w:proofErr w:type="spellStart"/>
      <w:r w:rsidRPr="00255510">
        <w:rPr>
          <w:sz w:val="28"/>
          <w:szCs w:val="28"/>
          <w:lang w:val="uk-UA"/>
        </w:rPr>
        <w:t>стрессе</w:t>
      </w:r>
      <w:proofErr w:type="spellEnd"/>
      <w:r w:rsidRPr="00255510">
        <w:rPr>
          <w:sz w:val="28"/>
          <w:szCs w:val="28"/>
        </w:rPr>
        <w:t>.</w:t>
      </w:r>
      <w:r w:rsidRPr="00255510">
        <w:rPr>
          <w:sz w:val="28"/>
          <w:szCs w:val="28"/>
          <w:lang w:val="uk-UA"/>
        </w:rPr>
        <w:t>– М.:Наука, 2004. – 221 с.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>3.     </w:t>
      </w:r>
      <w:proofErr w:type="spellStart"/>
      <w:r w:rsidRPr="00255510">
        <w:rPr>
          <w:sz w:val="28"/>
          <w:szCs w:val="28"/>
          <w:lang w:val="uk-UA"/>
        </w:rPr>
        <w:t>Баевский</w:t>
      </w:r>
      <w:proofErr w:type="spellEnd"/>
      <w:r w:rsidRPr="00255510">
        <w:rPr>
          <w:sz w:val="28"/>
          <w:szCs w:val="28"/>
          <w:lang w:val="uk-UA"/>
        </w:rPr>
        <w:t xml:space="preserve"> Р.М. </w:t>
      </w:r>
      <w:proofErr w:type="spellStart"/>
      <w:r w:rsidRPr="00255510">
        <w:rPr>
          <w:sz w:val="28"/>
          <w:szCs w:val="28"/>
          <w:lang w:val="uk-UA"/>
        </w:rPr>
        <w:t>Прогнозирование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состояния</w:t>
      </w:r>
      <w:proofErr w:type="spellEnd"/>
      <w:r w:rsidRPr="00255510">
        <w:rPr>
          <w:sz w:val="28"/>
          <w:szCs w:val="28"/>
          <w:lang w:val="uk-UA"/>
        </w:rPr>
        <w:t xml:space="preserve"> на грани </w:t>
      </w:r>
      <w:proofErr w:type="spellStart"/>
      <w:r w:rsidRPr="00255510">
        <w:rPr>
          <w:sz w:val="28"/>
          <w:szCs w:val="28"/>
          <w:lang w:val="uk-UA"/>
        </w:rPr>
        <w:t>нормы</w:t>
      </w:r>
      <w:proofErr w:type="spellEnd"/>
      <w:r w:rsidRPr="00255510">
        <w:rPr>
          <w:sz w:val="28"/>
          <w:szCs w:val="28"/>
          <w:lang w:val="uk-UA"/>
        </w:rPr>
        <w:t xml:space="preserve"> и патологи</w:t>
      </w:r>
      <w:r w:rsidRPr="00255510">
        <w:rPr>
          <w:sz w:val="28"/>
          <w:szCs w:val="28"/>
        </w:rPr>
        <w:t>.</w:t>
      </w:r>
      <w:r w:rsidRPr="00255510">
        <w:rPr>
          <w:sz w:val="28"/>
          <w:szCs w:val="28"/>
          <w:lang w:val="en-US"/>
        </w:rPr>
        <w:t> </w:t>
      </w:r>
      <w:r w:rsidRPr="00255510">
        <w:rPr>
          <w:sz w:val="28"/>
          <w:szCs w:val="28"/>
          <w:lang w:val="uk-UA"/>
        </w:rPr>
        <w:t>– М.: Медицина, 2001. – 118</w:t>
      </w:r>
      <w:r w:rsidRPr="00255510">
        <w:rPr>
          <w:sz w:val="28"/>
          <w:szCs w:val="28"/>
          <w:lang w:val="en-US"/>
        </w:rPr>
        <w:t> c</w:t>
      </w:r>
      <w:r w:rsidRPr="00255510">
        <w:rPr>
          <w:sz w:val="28"/>
          <w:szCs w:val="28"/>
          <w:lang w:val="uk-UA"/>
        </w:rPr>
        <w:t>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>4.      </w:t>
      </w:r>
      <w:proofErr w:type="spellStart"/>
      <w:r w:rsidRPr="00255510">
        <w:rPr>
          <w:sz w:val="28"/>
          <w:szCs w:val="28"/>
          <w:lang w:val="uk-UA"/>
        </w:rPr>
        <w:t>Белоусов</w:t>
      </w:r>
      <w:proofErr w:type="spellEnd"/>
      <w:r w:rsidRPr="00255510">
        <w:rPr>
          <w:sz w:val="28"/>
          <w:szCs w:val="28"/>
          <w:lang w:val="uk-UA"/>
        </w:rPr>
        <w:t xml:space="preserve"> Ю.В. </w:t>
      </w:r>
      <w:proofErr w:type="spellStart"/>
      <w:r w:rsidRPr="00255510">
        <w:rPr>
          <w:sz w:val="28"/>
          <w:szCs w:val="28"/>
          <w:lang w:val="uk-UA"/>
        </w:rPr>
        <w:t>Синтропия</w:t>
      </w:r>
      <w:proofErr w:type="spellEnd"/>
      <w:r w:rsidRPr="00255510">
        <w:rPr>
          <w:sz w:val="28"/>
          <w:szCs w:val="28"/>
          <w:lang w:val="uk-UA"/>
        </w:rPr>
        <w:t xml:space="preserve"> и </w:t>
      </w:r>
      <w:proofErr w:type="spellStart"/>
      <w:r w:rsidRPr="00255510">
        <w:rPr>
          <w:sz w:val="28"/>
          <w:szCs w:val="28"/>
          <w:lang w:val="uk-UA"/>
        </w:rPr>
        <w:t>интерференция</w:t>
      </w:r>
      <w:proofErr w:type="spellEnd"/>
      <w:r w:rsidRPr="00255510">
        <w:rPr>
          <w:sz w:val="28"/>
          <w:szCs w:val="28"/>
          <w:lang w:val="uk-UA"/>
        </w:rPr>
        <w:t xml:space="preserve"> в </w:t>
      </w:r>
      <w:proofErr w:type="spellStart"/>
      <w:r w:rsidRPr="00255510">
        <w:rPr>
          <w:sz w:val="28"/>
          <w:szCs w:val="28"/>
          <w:lang w:val="uk-UA"/>
        </w:rPr>
        <w:t>детской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гастроэнтерологии</w:t>
      </w:r>
      <w:proofErr w:type="spellEnd"/>
      <w:r w:rsidRPr="00255510">
        <w:rPr>
          <w:sz w:val="28"/>
          <w:szCs w:val="28"/>
          <w:lang w:val="uk-UA"/>
        </w:rPr>
        <w:t xml:space="preserve"> // </w:t>
      </w:r>
      <w:proofErr w:type="spellStart"/>
      <w:r w:rsidRPr="00255510">
        <w:rPr>
          <w:sz w:val="28"/>
          <w:szCs w:val="28"/>
          <w:lang w:val="uk-UA"/>
        </w:rPr>
        <w:t>Українськ</w:t>
      </w:r>
      <w:proofErr w:type="spellEnd"/>
      <w:r w:rsidRPr="00255510">
        <w:rPr>
          <w:sz w:val="28"/>
          <w:szCs w:val="28"/>
          <w:lang w:val="uk-UA"/>
        </w:rPr>
        <w:t xml:space="preserve">. </w:t>
      </w:r>
      <w:proofErr w:type="spellStart"/>
      <w:r w:rsidRPr="00255510">
        <w:rPr>
          <w:sz w:val="28"/>
          <w:szCs w:val="28"/>
          <w:lang w:val="uk-UA"/>
        </w:rPr>
        <w:t>науково-практрич</w:t>
      </w:r>
      <w:proofErr w:type="spellEnd"/>
      <w:r w:rsidRPr="00255510">
        <w:rPr>
          <w:sz w:val="28"/>
          <w:szCs w:val="28"/>
          <w:lang w:val="uk-UA"/>
        </w:rPr>
        <w:t xml:space="preserve">. </w:t>
      </w:r>
      <w:proofErr w:type="spellStart"/>
      <w:r w:rsidRPr="00255510">
        <w:rPr>
          <w:sz w:val="28"/>
          <w:szCs w:val="28"/>
          <w:lang w:val="uk-UA"/>
        </w:rPr>
        <w:t>Конференц</w:t>
      </w:r>
      <w:proofErr w:type="spellEnd"/>
      <w:r w:rsidRPr="00255510">
        <w:rPr>
          <w:sz w:val="28"/>
          <w:szCs w:val="28"/>
          <w:lang w:val="uk-UA"/>
        </w:rPr>
        <w:t xml:space="preserve">. з нагоди 115-річчя заснування </w:t>
      </w:r>
      <w:proofErr w:type="spellStart"/>
      <w:r w:rsidRPr="00255510">
        <w:rPr>
          <w:sz w:val="28"/>
          <w:szCs w:val="28"/>
          <w:lang w:val="uk-UA"/>
        </w:rPr>
        <w:t>каф.педіатрії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Харківськ</w:t>
      </w:r>
      <w:proofErr w:type="spellEnd"/>
      <w:r w:rsidRPr="00255510">
        <w:rPr>
          <w:sz w:val="28"/>
          <w:szCs w:val="28"/>
          <w:lang w:val="uk-UA"/>
        </w:rPr>
        <w:t xml:space="preserve">. </w:t>
      </w:r>
      <w:proofErr w:type="spellStart"/>
      <w:r w:rsidRPr="00255510">
        <w:rPr>
          <w:sz w:val="28"/>
          <w:szCs w:val="28"/>
          <w:lang w:val="uk-UA"/>
        </w:rPr>
        <w:t>держ</w:t>
      </w:r>
      <w:proofErr w:type="spellEnd"/>
      <w:r w:rsidRPr="00255510">
        <w:rPr>
          <w:sz w:val="28"/>
          <w:szCs w:val="28"/>
          <w:lang w:val="uk-UA"/>
        </w:rPr>
        <w:t>. мед. університету «Сучасна педіатрія. Проблеми та перспективи», 17-18 січня 2008 р.: збірник матеріалів. – Харків, 2007. –   С. 53-54.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  <w:lang w:val="uk-UA"/>
        </w:rPr>
        <w:t xml:space="preserve">5.      А.М. </w:t>
      </w:r>
      <w:proofErr w:type="spellStart"/>
      <w:r w:rsidRPr="00255510">
        <w:rPr>
          <w:sz w:val="28"/>
          <w:szCs w:val="28"/>
          <w:lang w:val="uk-UA"/>
        </w:rPr>
        <w:t>Вейн</w:t>
      </w:r>
      <w:proofErr w:type="spellEnd"/>
      <w:r w:rsidRPr="00255510">
        <w:rPr>
          <w:sz w:val="28"/>
          <w:szCs w:val="28"/>
        </w:rPr>
        <w:t>.</w:t>
      </w:r>
      <w:r w:rsidRPr="00255510">
        <w:rPr>
          <w:sz w:val="28"/>
          <w:szCs w:val="28"/>
          <w:lang w:val="en-US"/>
        </w:rPr>
        <w:t> </w:t>
      </w:r>
      <w:proofErr w:type="spellStart"/>
      <w:r w:rsidRPr="00255510">
        <w:rPr>
          <w:sz w:val="28"/>
          <w:szCs w:val="28"/>
          <w:lang w:val="uk-UA"/>
        </w:rPr>
        <w:t>Вегетативные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расстройства</w:t>
      </w:r>
      <w:proofErr w:type="spellEnd"/>
      <w:r w:rsidRPr="00255510">
        <w:rPr>
          <w:sz w:val="28"/>
          <w:szCs w:val="28"/>
          <w:lang w:val="uk-UA"/>
        </w:rPr>
        <w:t xml:space="preserve">: </w:t>
      </w:r>
      <w:proofErr w:type="spellStart"/>
      <w:r w:rsidRPr="00255510">
        <w:rPr>
          <w:sz w:val="28"/>
          <w:szCs w:val="28"/>
          <w:lang w:val="uk-UA"/>
        </w:rPr>
        <w:t>Клиника</w:t>
      </w:r>
      <w:proofErr w:type="spellEnd"/>
      <w:r w:rsidRPr="00255510">
        <w:rPr>
          <w:sz w:val="28"/>
          <w:szCs w:val="28"/>
          <w:lang w:val="uk-UA"/>
        </w:rPr>
        <w:t xml:space="preserve">, </w:t>
      </w:r>
      <w:proofErr w:type="spellStart"/>
      <w:r w:rsidRPr="00255510">
        <w:rPr>
          <w:sz w:val="28"/>
          <w:szCs w:val="28"/>
          <w:lang w:val="uk-UA"/>
        </w:rPr>
        <w:t>лечение</w:t>
      </w:r>
      <w:proofErr w:type="spellEnd"/>
      <w:r w:rsidRPr="00255510">
        <w:rPr>
          <w:sz w:val="28"/>
          <w:szCs w:val="28"/>
          <w:lang w:val="uk-UA"/>
        </w:rPr>
        <w:t>, діагностика</w:t>
      </w:r>
      <w:r w:rsidRPr="00255510">
        <w:rPr>
          <w:sz w:val="28"/>
          <w:szCs w:val="28"/>
        </w:rPr>
        <w:t>.</w:t>
      </w:r>
      <w:r w:rsidRPr="00255510">
        <w:rPr>
          <w:sz w:val="28"/>
          <w:szCs w:val="28"/>
          <w:lang w:val="en-US"/>
        </w:rPr>
        <w:t> </w:t>
      </w:r>
      <w:r w:rsidRPr="00255510">
        <w:rPr>
          <w:sz w:val="28"/>
          <w:szCs w:val="28"/>
          <w:lang w:val="uk-UA"/>
        </w:rPr>
        <w:t xml:space="preserve">– М.: Мед. </w:t>
      </w:r>
      <w:proofErr w:type="spellStart"/>
      <w:r w:rsidRPr="00255510">
        <w:rPr>
          <w:sz w:val="28"/>
          <w:szCs w:val="28"/>
          <w:lang w:val="uk-UA"/>
        </w:rPr>
        <w:t>информ</w:t>
      </w:r>
      <w:proofErr w:type="spellEnd"/>
      <w:r w:rsidRPr="00255510">
        <w:rPr>
          <w:sz w:val="28"/>
          <w:szCs w:val="28"/>
          <w:lang w:val="uk-UA"/>
        </w:rPr>
        <w:t>. агентство, 1998. – 752 с.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b/>
          <w:bCs/>
          <w:sz w:val="28"/>
          <w:szCs w:val="28"/>
          <w:lang w:val="uk-UA"/>
        </w:rPr>
        <w:t>Резюме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  <w:lang w:val="uk-UA"/>
        </w:rPr>
      </w:pPr>
      <w:r w:rsidRPr="00255510">
        <w:rPr>
          <w:sz w:val="28"/>
          <w:szCs w:val="28"/>
          <w:lang w:val="uk-UA"/>
        </w:rPr>
        <w:t xml:space="preserve">Вивчено функціональний стан серцево-судинної системи (ССС) у 19 дітей віком 9 міс. – 17 років, хворих на </w:t>
      </w:r>
      <w:proofErr w:type="spellStart"/>
      <w:r w:rsidRPr="00255510">
        <w:rPr>
          <w:sz w:val="28"/>
          <w:szCs w:val="28"/>
          <w:lang w:val="uk-UA"/>
        </w:rPr>
        <w:t>целіакію</w:t>
      </w:r>
      <w:proofErr w:type="spellEnd"/>
      <w:r w:rsidRPr="00255510">
        <w:rPr>
          <w:sz w:val="28"/>
          <w:szCs w:val="28"/>
          <w:lang w:val="uk-UA"/>
        </w:rPr>
        <w:t xml:space="preserve">. У 78,9% хворих, виявлені функціональні зміни ССС (вторинна кардіоміопатія, судинна дистонія), які </w:t>
      </w:r>
      <w:proofErr w:type="spellStart"/>
      <w:r w:rsidRPr="00255510">
        <w:rPr>
          <w:sz w:val="28"/>
          <w:szCs w:val="28"/>
          <w:lang w:val="uk-UA"/>
        </w:rPr>
        <w:t>маніфестуються</w:t>
      </w:r>
      <w:proofErr w:type="spellEnd"/>
      <w:r w:rsidRPr="00255510">
        <w:rPr>
          <w:sz w:val="28"/>
          <w:szCs w:val="28"/>
          <w:lang w:val="uk-UA"/>
        </w:rPr>
        <w:t xml:space="preserve"> скаргами на біль в ділянці серця, приглушеністю тонів, систолічним шумом функціонального характеру, відхиленнями від нормативу ЧСС і артеріального тиску, змінами на ЕКГ (здебільше порушеннями ритму серця та процесів реполяризації), </w:t>
      </w:r>
      <w:proofErr w:type="spellStart"/>
      <w:r w:rsidRPr="00255510">
        <w:rPr>
          <w:sz w:val="28"/>
          <w:szCs w:val="28"/>
          <w:lang w:val="uk-UA"/>
        </w:rPr>
        <w:t>ехокардіографічними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r w:rsidRPr="00255510">
        <w:rPr>
          <w:sz w:val="28"/>
          <w:szCs w:val="28"/>
          <w:lang w:val="uk-UA"/>
        </w:rPr>
        <w:lastRenderedPageBreak/>
        <w:t xml:space="preserve">ознаками порушення центральної гемодинаміки та міокардіальної дисфункції. Важливими чинниками розвитку </w:t>
      </w:r>
      <w:proofErr w:type="spellStart"/>
      <w:r w:rsidRPr="00255510">
        <w:rPr>
          <w:sz w:val="28"/>
          <w:szCs w:val="28"/>
          <w:lang w:val="uk-UA"/>
        </w:rPr>
        <w:t>кардіоваскулярного</w:t>
      </w:r>
      <w:proofErr w:type="spellEnd"/>
      <w:r w:rsidRPr="00255510">
        <w:rPr>
          <w:sz w:val="28"/>
          <w:szCs w:val="28"/>
          <w:lang w:val="uk-UA"/>
        </w:rPr>
        <w:t xml:space="preserve"> синдрому є порушення обміну речовин внаслідок синдрому </w:t>
      </w:r>
      <w:proofErr w:type="spellStart"/>
      <w:r w:rsidRPr="00255510">
        <w:rPr>
          <w:sz w:val="28"/>
          <w:szCs w:val="28"/>
          <w:lang w:val="uk-UA"/>
        </w:rPr>
        <w:t>мальабсорбції</w:t>
      </w:r>
      <w:proofErr w:type="spellEnd"/>
      <w:r w:rsidRPr="00255510">
        <w:rPr>
          <w:sz w:val="28"/>
          <w:szCs w:val="28"/>
          <w:lang w:val="uk-UA"/>
        </w:rPr>
        <w:t xml:space="preserve"> і порушення нейрогуморальної регуляції ССС внаслідок вегетативної дисфункції. Відхилення з боку ССС у дітей з </w:t>
      </w:r>
      <w:proofErr w:type="spellStart"/>
      <w:r w:rsidRPr="00255510">
        <w:rPr>
          <w:sz w:val="28"/>
          <w:szCs w:val="28"/>
          <w:lang w:val="uk-UA"/>
        </w:rPr>
        <w:t>целіакією</w:t>
      </w:r>
      <w:proofErr w:type="spellEnd"/>
      <w:r w:rsidRPr="00255510">
        <w:rPr>
          <w:sz w:val="28"/>
          <w:szCs w:val="28"/>
          <w:lang w:val="uk-UA"/>
        </w:rPr>
        <w:t xml:space="preserve"> обумовлюють необхідність своєчасної корекції </w:t>
      </w:r>
      <w:proofErr w:type="spellStart"/>
      <w:r w:rsidRPr="00255510">
        <w:rPr>
          <w:sz w:val="28"/>
          <w:szCs w:val="28"/>
          <w:lang w:val="uk-UA"/>
        </w:rPr>
        <w:t>водно-електолітних</w:t>
      </w:r>
      <w:proofErr w:type="spellEnd"/>
      <w:r w:rsidRPr="00255510">
        <w:rPr>
          <w:sz w:val="28"/>
          <w:szCs w:val="28"/>
          <w:lang w:val="uk-UA"/>
        </w:rPr>
        <w:t xml:space="preserve"> розладів та призначення </w:t>
      </w:r>
      <w:proofErr w:type="spellStart"/>
      <w:r w:rsidRPr="00255510">
        <w:rPr>
          <w:sz w:val="28"/>
          <w:szCs w:val="28"/>
          <w:lang w:val="uk-UA"/>
        </w:rPr>
        <w:t>кардіометаболічної</w:t>
      </w:r>
      <w:proofErr w:type="spellEnd"/>
      <w:r w:rsidRPr="00255510">
        <w:rPr>
          <w:sz w:val="28"/>
          <w:szCs w:val="28"/>
          <w:lang w:val="uk-UA"/>
        </w:rPr>
        <w:t xml:space="preserve"> терапії.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i/>
          <w:iCs/>
          <w:sz w:val="28"/>
          <w:szCs w:val="28"/>
          <w:lang w:val="uk-UA"/>
        </w:rPr>
        <w:t>Ключові слова</w:t>
      </w:r>
      <w:r w:rsidRPr="00255510">
        <w:rPr>
          <w:sz w:val="28"/>
          <w:szCs w:val="28"/>
          <w:lang w:val="uk-UA"/>
        </w:rPr>
        <w:t xml:space="preserve">: серцево-судинна система, </w:t>
      </w:r>
      <w:proofErr w:type="spellStart"/>
      <w:r w:rsidRPr="00255510">
        <w:rPr>
          <w:sz w:val="28"/>
          <w:szCs w:val="28"/>
          <w:lang w:val="uk-UA"/>
        </w:rPr>
        <w:t>целіакія</w:t>
      </w:r>
      <w:proofErr w:type="spellEnd"/>
      <w:r w:rsidRPr="00255510">
        <w:rPr>
          <w:sz w:val="28"/>
          <w:szCs w:val="28"/>
          <w:lang w:val="uk-UA"/>
        </w:rPr>
        <w:t>, діти.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b/>
          <w:bCs/>
          <w:sz w:val="28"/>
          <w:szCs w:val="28"/>
          <w:lang w:val="uk-UA"/>
        </w:rPr>
        <w:t>Резюме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</w:rPr>
        <w:t xml:space="preserve">Изучено функциональное состояние </w:t>
      </w:r>
      <w:proofErr w:type="spellStart"/>
      <w:proofErr w:type="gramStart"/>
      <w:r w:rsidRPr="00255510">
        <w:rPr>
          <w:sz w:val="28"/>
          <w:szCs w:val="28"/>
        </w:rPr>
        <w:t>сердечно-сосудистой</w:t>
      </w:r>
      <w:proofErr w:type="spellEnd"/>
      <w:proofErr w:type="gramEnd"/>
      <w:r w:rsidRPr="00255510">
        <w:rPr>
          <w:sz w:val="28"/>
          <w:szCs w:val="28"/>
        </w:rPr>
        <w:t xml:space="preserve"> системы (ССС) у 19 детей в возрасте 9 мес.-17 лет, больных </w:t>
      </w:r>
      <w:proofErr w:type="spellStart"/>
      <w:r w:rsidRPr="00255510">
        <w:rPr>
          <w:sz w:val="28"/>
          <w:szCs w:val="28"/>
        </w:rPr>
        <w:t>целиакией</w:t>
      </w:r>
      <w:proofErr w:type="spellEnd"/>
      <w:r w:rsidRPr="00255510">
        <w:rPr>
          <w:sz w:val="28"/>
          <w:szCs w:val="28"/>
        </w:rPr>
        <w:t xml:space="preserve">. </w:t>
      </w:r>
      <w:proofErr w:type="gramStart"/>
      <w:r w:rsidRPr="00255510">
        <w:rPr>
          <w:sz w:val="28"/>
          <w:szCs w:val="28"/>
        </w:rPr>
        <w:t xml:space="preserve">У 78,9% больных установлены функциональные изменения ССС (вторичная </w:t>
      </w:r>
      <w:proofErr w:type="spellStart"/>
      <w:r w:rsidRPr="00255510">
        <w:rPr>
          <w:sz w:val="28"/>
          <w:szCs w:val="28"/>
        </w:rPr>
        <w:t>кардиомиопатия</w:t>
      </w:r>
      <w:proofErr w:type="spellEnd"/>
      <w:r w:rsidRPr="00255510">
        <w:rPr>
          <w:sz w:val="28"/>
          <w:szCs w:val="28"/>
        </w:rPr>
        <w:t xml:space="preserve">, сосудистая </w:t>
      </w:r>
      <w:proofErr w:type="spellStart"/>
      <w:r w:rsidRPr="00255510">
        <w:rPr>
          <w:sz w:val="28"/>
          <w:szCs w:val="28"/>
        </w:rPr>
        <w:t>дистония</w:t>
      </w:r>
      <w:proofErr w:type="spellEnd"/>
      <w:r w:rsidRPr="00255510">
        <w:rPr>
          <w:sz w:val="28"/>
          <w:szCs w:val="28"/>
        </w:rPr>
        <w:t xml:space="preserve">), манифестирующиеся жалобами на боль в области сердца, приглушенностью тонов, систолическим шумом функционального характера, отклонениями от норматива ЧСС и артериального давления, изменениями на ЭКГ (преимущественно нарушениями ритма сердца и процессов реполяризации), </w:t>
      </w:r>
      <w:proofErr w:type="spellStart"/>
      <w:r w:rsidRPr="00255510">
        <w:rPr>
          <w:sz w:val="28"/>
          <w:szCs w:val="28"/>
        </w:rPr>
        <w:t>эхокардиографическими</w:t>
      </w:r>
      <w:proofErr w:type="spellEnd"/>
      <w:r w:rsidRPr="00255510">
        <w:rPr>
          <w:sz w:val="28"/>
          <w:szCs w:val="28"/>
        </w:rPr>
        <w:t xml:space="preserve"> признаками нарушения центральной гемодинамики и </w:t>
      </w:r>
      <w:proofErr w:type="spellStart"/>
      <w:r w:rsidRPr="00255510">
        <w:rPr>
          <w:sz w:val="28"/>
          <w:szCs w:val="28"/>
        </w:rPr>
        <w:t>миокардиальной</w:t>
      </w:r>
      <w:proofErr w:type="spellEnd"/>
      <w:r w:rsidRPr="00255510">
        <w:rPr>
          <w:sz w:val="28"/>
          <w:szCs w:val="28"/>
        </w:rPr>
        <w:t xml:space="preserve"> дисфункции.</w:t>
      </w:r>
      <w:proofErr w:type="gramEnd"/>
      <w:r w:rsidRPr="00255510">
        <w:rPr>
          <w:sz w:val="28"/>
          <w:szCs w:val="28"/>
        </w:rPr>
        <w:t xml:space="preserve"> Важными причинами развития кардиоваскулярного синдрома являются нарушения обмена веще</w:t>
      </w:r>
      <w:proofErr w:type="gramStart"/>
      <w:r w:rsidRPr="00255510">
        <w:rPr>
          <w:sz w:val="28"/>
          <w:szCs w:val="28"/>
        </w:rPr>
        <w:t>ств всл</w:t>
      </w:r>
      <w:proofErr w:type="gramEnd"/>
      <w:r w:rsidRPr="00255510">
        <w:rPr>
          <w:sz w:val="28"/>
          <w:szCs w:val="28"/>
        </w:rPr>
        <w:t xml:space="preserve">едствие синдрома </w:t>
      </w:r>
      <w:proofErr w:type="spellStart"/>
      <w:r w:rsidRPr="00255510">
        <w:rPr>
          <w:sz w:val="28"/>
          <w:szCs w:val="28"/>
        </w:rPr>
        <w:t>мальабсорбции</w:t>
      </w:r>
      <w:proofErr w:type="spellEnd"/>
      <w:r w:rsidRPr="00255510">
        <w:rPr>
          <w:sz w:val="28"/>
          <w:szCs w:val="28"/>
        </w:rPr>
        <w:t xml:space="preserve"> и нарушения нейрогуморальной регуляции ССС вследствие вегетативной дисфункции. Отклонения со стороны ССС у детей с </w:t>
      </w:r>
      <w:proofErr w:type="spellStart"/>
      <w:r w:rsidRPr="00255510">
        <w:rPr>
          <w:sz w:val="28"/>
          <w:szCs w:val="28"/>
        </w:rPr>
        <w:t>целиакией</w:t>
      </w:r>
      <w:proofErr w:type="spellEnd"/>
      <w:r w:rsidRPr="00255510">
        <w:rPr>
          <w:sz w:val="28"/>
          <w:szCs w:val="28"/>
        </w:rPr>
        <w:t xml:space="preserve"> обусловливают необходимость своевременной коррекции </w:t>
      </w:r>
      <w:proofErr w:type="spellStart"/>
      <w:r w:rsidRPr="00255510">
        <w:rPr>
          <w:sz w:val="28"/>
          <w:szCs w:val="28"/>
        </w:rPr>
        <w:t>водноэлектролитных</w:t>
      </w:r>
      <w:proofErr w:type="spellEnd"/>
      <w:r w:rsidRPr="00255510">
        <w:rPr>
          <w:sz w:val="28"/>
          <w:szCs w:val="28"/>
        </w:rPr>
        <w:t xml:space="preserve"> расстройств и назначения </w:t>
      </w:r>
      <w:proofErr w:type="spellStart"/>
      <w:r w:rsidRPr="00255510">
        <w:rPr>
          <w:sz w:val="28"/>
          <w:szCs w:val="28"/>
        </w:rPr>
        <w:t>кардиометаболической</w:t>
      </w:r>
      <w:proofErr w:type="spellEnd"/>
      <w:r w:rsidRPr="00255510">
        <w:rPr>
          <w:sz w:val="28"/>
          <w:szCs w:val="28"/>
        </w:rPr>
        <w:t xml:space="preserve"> терапии.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i/>
          <w:iCs/>
          <w:sz w:val="28"/>
          <w:szCs w:val="28"/>
        </w:rPr>
        <w:t>Ключевые слова:</w:t>
      </w:r>
      <w:r w:rsidRPr="00255510">
        <w:rPr>
          <w:sz w:val="28"/>
          <w:szCs w:val="28"/>
        </w:rPr>
        <w:t> </w:t>
      </w:r>
      <w:proofErr w:type="spellStart"/>
      <w:proofErr w:type="gramStart"/>
      <w:r w:rsidRPr="00255510">
        <w:rPr>
          <w:sz w:val="28"/>
          <w:szCs w:val="28"/>
        </w:rPr>
        <w:t>сердечно-сосудистая</w:t>
      </w:r>
      <w:proofErr w:type="spellEnd"/>
      <w:proofErr w:type="gramEnd"/>
      <w:r w:rsidRPr="00255510">
        <w:rPr>
          <w:sz w:val="28"/>
          <w:szCs w:val="28"/>
        </w:rPr>
        <w:t xml:space="preserve"> система, </w:t>
      </w:r>
      <w:proofErr w:type="spellStart"/>
      <w:r w:rsidRPr="00255510">
        <w:rPr>
          <w:sz w:val="28"/>
          <w:szCs w:val="28"/>
        </w:rPr>
        <w:t>целиакия</w:t>
      </w:r>
      <w:proofErr w:type="spellEnd"/>
      <w:r w:rsidRPr="00255510">
        <w:rPr>
          <w:sz w:val="28"/>
          <w:szCs w:val="28"/>
        </w:rPr>
        <w:t>, дети.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</w:rPr>
      </w:pPr>
      <w:r w:rsidRPr="00255510">
        <w:rPr>
          <w:sz w:val="28"/>
          <w:szCs w:val="28"/>
        </w:rPr>
        <w:t> 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  <w:lang w:val="en-US"/>
        </w:rPr>
      </w:pPr>
      <w:proofErr w:type="spellStart"/>
      <w:r w:rsidRPr="00255510">
        <w:rPr>
          <w:sz w:val="28"/>
          <w:szCs w:val="28"/>
          <w:lang w:val="uk-UA"/>
        </w:rPr>
        <w:t>Summary</w:t>
      </w:r>
      <w:proofErr w:type="spellEnd"/>
    </w:p>
    <w:p w:rsidR="00255510" w:rsidRPr="00255510" w:rsidRDefault="00255510" w:rsidP="00255510">
      <w:pPr>
        <w:ind w:firstLine="709"/>
        <w:jc w:val="both"/>
        <w:rPr>
          <w:sz w:val="28"/>
          <w:szCs w:val="28"/>
          <w:lang w:val="en-US"/>
        </w:rPr>
      </w:pPr>
      <w:proofErr w:type="spellStart"/>
      <w:r w:rsidRPr="00255510">
        <w:rPr>
          <w:sz w:val="28"/>
          <w:szCs w:val="28"/>
          <w:lang w:val="uk-UA"/>
        </w:rPr>
        <w:t>The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functional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state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of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the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cardiovascular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system</w:t>
      </w:r>
      <w:proofErr w:type="spellEnd"/>
      <w:r w:rsidRPr="00255510">
        <w:rPr>
          <w:sz w:val="28"/>
          <w:szCs w:val="28"/>
          <w:lang w:val="uk-UA"/>
        </w:rPr>
        <w:t xml:space="preserve"> (CVS) </w:t>
      </w:r>
      <w:proofErr w:type="spellStart"/>
      <w:r w:rsidRPr="00255510">
        <w:rPr>
          <w:sz w:val="28"/>
          <w:szCs w:val="28"/>
          <w:lang w:val="uk-UA"/>
        </w:rPr>
        <w:t>of</w:t>
      </w:r>
      <w:proofErr w:type="spellEnd"/>
      <w:r w:rsidRPr="00255510">
        <w:rPr>
          <w:sz w:val="28"/>
          <w:szCs w:val="28"/>
          <w:lang w:val="uk-UA"/>
        </w:rPr>
        <w:t xml:space="preserve"> 19 </w:t>
      </w:r>
      <w:proofErr w:type="spellStart"/>
      <w:r w:rsidRPr="00255510">
        <w:rPr>
          <w:sz w:val="28"/>
          <w:szCs w:val="28"/>
          <w:lang w:val="uk-UA"/>
        </w:rPr>
        <w:t>children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aged</w:t>
      </w:r>
      <w:proofErr w:type="spellEnd"/>
      <w:r w:rsidRPr="00255510">
        <w:rPr>
          <w:sz w:val="28"/>
          <w:szCs w:val="28"/>
          <w:lang w:val="uk-UA"/>
        </w:rPr>
        <w:t xml:space="preserve"> 9 months-17 </w:t>
      </w:r>
      <w:proofErr w:type="spellStart"/>
      <w:r w:rsidRPr="00255510">
        <w:rPr>
          <w:sz w:val="28"/>
          <w:szCs w:val="28"/>
          <w:lang w:val="uk-UA"/>
        </w:rPr>
        <w:t>years</w:t>
      </w:r>
      <w:proofErr w:type="spellEnd"/>
      <w:r w:rsidRPr="00255510">
        <w:rPr>
          <w:sz w:val="28"/>
          <w:szCs w:val="28"/>
          <w:lang w:val="uk-UA"/>
        </w:rPr>
        <w:t xml:space="preserve">, </w:t>
      </w:r>
      <w:proofErr w:type="spellStart"/>
      <w:r w:rsidRPr="00255510">
        <w:rPr>
          <w:sz w:val="28"/>
          <w:szCs w:val="28"/>
          <w:lang w:val="uk-UA"/>
        </w:rPr>
        <w:t>patients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with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celiac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disease</w:t>
      </w:r>
      <w:proofErr w:type="spellEnd"/>
      <w:r w:rsidRPr="00255510">
        <w:rPr>
          <w:sz w:val="28"/>
          <w:szCs w:val="28"/>
          <w:lang w:val="uk-UA"/>
        </w:rPr>
        <w:t xml:space="preserve">. </w:t>
      </w:r>
      <w:proofErr w:type="spellStart"/>
      <w:r w:rsidRPr="00255510">
        <w:rPr>
          <w:sz w:val="28"/>
          <w:szCs w:val="28"/>
          <w:lang w:val="uk-UA"/>
        </w:rPr>
        <w:t>In</w:t>
      </w:r>
      <w:proofErr w:type="spellEnd"/>
      <w:r w:rsidRPr="00255510">
        <w:rPr>
          <w:sz w:val="28"/>
          <w:szCs w:val="28"/>
          <w:lang w:val="uk-UA"/>
        </w:rPr>
        <w:t xml:space="preserve"> 78.9% </w:t>
      </w:r>
      <w:proofErr w:type="spellStart"/>
      <w:r w:rsidRPr="00255510">
        <w:rPr>
          <w:sz w:val="28"/>
          <w:szCs w:val="28"/>
          <w:lang w:val="uk-UA"/>
        </w:rPr>
        <w:t>of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patients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with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established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functional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changes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of</w:t>
      </w:r>
      <w:proofErr w:type="spellEnd"/>
      <w:r w:rsidRPr="00255510">
        <w:rPr>
          <w:sz w:val="28"/>
          <w:szCs w:val="28"/>
          <w:lang w:val="uk-UA"/>
        </w:rPr>
        <w:t xml:space="preserve"> CVS (</w:t>
      </w:r>
      <w:proofErr w:type="spellStart"/>
      <w:r w:rsidRPr="00255510">
        <w:rPr>
          <w:sz w:val="28"/>
          <w:szCs w:val="28"/>
          <w:lang w:val="uk-UA"/>
        </w:rPr>
        <w:t>secondary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cardiomyopathy</w:t>
      </w:r>
      <w:proofErr w:type="spellEnd"/>
      <w:r w:rsidRPr="00255510">
        <w:rPr>
          <w:sz w:val="28"/>
          <w:szCs w:val="28"/>
          <w:lang w:val="uk-UA"/>
        </w:rPr>
        <w:t xml:space="preserve">, </w:t>
      </w:r>
      <w:proofErr w:type="spellStart"/>
      <w:r w:rsidRPr="00255510">
        <w:rPr>
          <w:sz w:val="28"/>
          <w:szCs w:val="28"/>
          <w:lang w:val="uk-UA"/>
        </w:rPr>
        <w:t>dystonia</w:t>
      </w:r>
      <w:proofErr w:type="spellEnd"/>
      <w:r w:rsidRPr="00255510">
        <w:rPr>
          <w:sz w:val="28"/>
          <w:szCs w:val="28"/>
          <w:lang w:val="uk-UA"/>
        </w:rPr>
        <w:t xml:space="preserve">), </w:t>
      </w:r>
      <w:proofErr w:type="spellStart"/>
      <w:r w:rsidRPr="00255510">
        <w:rPr>
          <w:sz w:val="28"/>
          <w:szCs w:val="28"/>
          <w:lang w:val="uk-UA"/>
        </w:rPr>
        <w:t>manifesting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complained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of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pain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in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the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heart</w:t>
      </w:r>
      <w:proofErr w:type="spellEnd"/>
      <w:r w:rsidRPr="00255510">
        <w:rPr>
          <w:sz w:val="28"/>
          <w:szCs w:val="28"/>
          <w:lang w:val="uk-UA"/>
        </w:rPr>
        <w:t xml:space="preserve">, </w:t>
      </w:r>
      <w:proofErr w:type="spellStart"/>
      <w:r w:rsidRPr="00255510">
        <w:rPr>
          <w:sz w:val="28"/>
          <w:szCs w:val="28"/>
          <w:lang w:val="uk-UA"/>
        </w:rPr>
        <w:t>subdued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colors</w:t>
      </w:r>
      <w:proofErr w:type="spellEnd"/>
      <w:r w:rsidRPr="00255510">
        <w:rPr>
          <w:sz w:val="28"/>
          <w:szCs w:val="28"/>
          <w:lang w:val="uk-UA"/>
        </w:rPr>
        <w:t xml:space="preserve">, </w:t>
      </w:r>
      <w:proofErr w:type="spellStart"/>
      <w:r w:rsidRPr="00255510">
        <w:rPr>
          <w:sz w:val="28"/>
          <w:szCs w:val="28"/>
          <w:lang w:val="uk-UA"/>
        </w:rPr>
        <w:t>systolic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murmur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of</w:t>
      </w:r>
      <w:proofErr w:type="spellEnd"/>
      <w:r w:rsidRPr="00255510">
        <w:rPr>
          <w:sz w:val="28"/>
          <w:szCs w:val="28"/>
          <w:lang w:val="uk-UA"/>
        </w:rPr>
        <w:t xml:space="preserve"> a </w:t>
      </w:r>
      <w:proofErr w:type="spellStart"/>
      <w:r w:rsidRPr="00255510">
        <w:rPr>
          <w:sz w:val="28"/>
          <w:szCs w:val="28"/>
          <w:lang w:val="uk-UA"/>
        </w:rPr>
        <w:t>functional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nature</w:t>
      </w:r>
      <w:proofErr w:type="spellEnd"/>
      <w:r w:rsidRPr="00255510">
        <w:rPr>
          <w:sz w:val="28"/>
          <w:szCs w:val="28"/>
          <w:lang w:val="uk-UA"/>
        </w:rPr>
        <w:t xml:space="preserve">, </w:t>
      </w:r>
      <w:proofErr w:type="spellStart"/>
      <w:r w:rsidRPr="00255510">
        <w:rPr>
          <w:sz w:val="28"/>
          <w:szCs w:val="28"/>
          <w:lang w:val="uk-UA"/>
        </w:rPr>
        <w:t>deviations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from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the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standard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heart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rate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and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blood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pressure</w:t>
      </w:r>
      <w:proofErr w:type="spellEnd"/>
      <w:r w:rsidRPr="00255510">
        <w:rPr>
          <w:sz w:val="28"/>
          <w:szCs w:val="28"/>
          <w:lang w:val="uk-UA"/>
        </w:rPr>
        <w:t xml:space="preserve">, ECG </w:t>
      </w:r>
      <w:proofErr w:type="spellStart"/>
      <w:r w:rsidRPr="00255510">
        <w:rPr>
          <w:sz w:val="28"/>
          <w:szCs w:val="28"/>
          <w:lang w:val="uk-UA"/>
        </w:rPr>
        <w:t>changes</w:t>
      </w:r>
      <w:proofErr w:type="spellEnd"/>
      <w:r w:rsidRPr="00255510">
        <w:rPr>
          <w:sz w:val="28"/>
          <w:szCs w:val="28"/>
          <w:lang w:val="uk-UA"/>
        </w:rPr>
        <w:t xml:space="preserve"> (</w:t>
      </w:r>
      <w:proofErr w:type="spellStart"/>
      <w:r w:rsidRPr="00255510">
        <w:rPr>
          <w:sz w:val="28"/>
          <w:szCs w:val="28"/>
          <w:lang w:val="uk-UA"/>
        </w:rPr>
        <w:t>mainly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cardiac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arrhythmias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and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the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process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of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repolarization</w:t>
      </w:r>
      <w:proofErr w:type="spellEnd"/>
      <w:r w:rsidRPr="00255510">
        <w:rPr>
          <w:sz w:val="28"/>
          <w:szCs w:val="28"/>
          <w:lang w:val="uk-UA"/>
        </w:rPr>
        <w:t xml:space="preserve">), </w:t>
      </w:r>
      <w:proofErr w:type="spellStart"/>
      <w:r w:rsidRPr="00255510">
        <w:rPr>
          <w:sz w:val="28"/>
          <w:szCs w:val="28"/>
          <w:lang w:val="uk-UA"/>
        </w:rPr>
        <w:t>echocardiographic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signs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of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the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central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hemodynamics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and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myocardial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dysfunction</w:t>
      </w:r>
      <w:proofErr w:type="spellEnd"/>
      <w:r w:rsidRPr="00255510">
        <w:rPr>
          <w:sz w:val="28"/>
          <w:szCs w:val="28"/>
          <w:lang w:val="uk-UA"/>
        </w:rPr>
        <w:t xml:space="preserve">. </w:t>
      </w:r>
      <w:proofErr w:type="spellStart"/>
      <w:r w:rsidRPr="00255510">
        <w:rPr>
          <w:sz w:val="28"/>
          <w:szCs w:val="28"/>
          <w:lang w:val="uk-UA"/>
        </w:rPr>
        <w:t>Important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risk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factors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for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cardiovascular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syndrome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is</w:t>
      </w:r>
      <w:proofErr w:type="spellEnd"/>
      <w:r w:rsidRPr="00255510">
        <w:rPr>
          <w:sz w:val="28"/>
          <w:szCs w:val="28"/>
          <w:lang w:val="uk-UA"/>
        </w:rPr>
        <w:t xml:space="preserve"> a </w:t>
      </w:r>
      <w:proofErr w:type="spellStart"/>
      <w:r w:rsidRPr="00255510">
        <w:rPr>
          <w:sz w:val="28"/>
          <w:szCs w:val="28"/>
          <w:lang w:val="uk-UA"/>
        </w:rPr>
        <w:t>metabolic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disorder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due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to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malabsorption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syndrome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and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disorders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due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to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neurohumoral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regulation</w:t>
      </w:r>
      <w:proofErr w:type="spellEnd"/>
      <w:r w:rsidRPr="00255510">
        <w:rPr>
          <w:sz w:val="28"/>
          <w:szCs w:val="28"/>
          <w:lang w:val="uk-UA"/>
        </w:rPr>
        <w:t xml:space="preserve"> CVS </w:t>
      </w:r>
      <w:proofErr w:type="spellStart"/>
      <w:r w:rsidRPr="00255510">
        <w:rPr>
          <w:sz w:val="28"/>
          <w:szCs w:val="28"/>
          <w:lang w:val="uk-UA"/>
        </w:rPr>
        <w:t>autonomic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dysfunction</w:t>
      </w:r>
      <w:proofErr w:type="spellEnd"/>
      <w:r w:rsidRPr="00255510">
        <w:rPr>
          <w:sz w:val="28"/>
          <w:szCs w:val="28"/>
          <w:lang w:val="uk-UA"/>
        </w:rPr>
        <w:t xml:space="preserve">. </w:t>
      </w:r>
      <w:proofErr w:type="spellStart"/>
      <w:r w:rsidRPr="00255510">
        <w:rPr>
          <w:sz w:val="28"/>
          <w:szCs w:val="28"/>
          <w:lang w:val="uk-UA"/>
        </w:rPr>
        <w:t>Deviations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from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the</w:t>
      </w:r>
      <w:proofErr w:type="spellEnd"/>
      <w:r w:rsidRPr="00255510">
        <w:rPr>
          <w:sz w:val="28"/>
          <w:szCs w:val="28"/>
          <w:lang w:val="uk-UA"/>
        </w:rPr>
        <w:t xml:space="preserve"> CVS </w:t>
      </w:r>
      <w:proofErr w:type="spellStart"/>
      <w:r w:rsidRPr="00255510">
        <w:rPr>
          <w:sz w:val="28"/>
          <w:szCs w:val="28"/>
          <w:lang w:val="uk-UA"/>
        </w:rPr>
        <w:t>in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children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with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celiac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disease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necessitate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timely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correction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of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water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and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electrolytes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disorders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and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cardiometabolic</w:t>
      </w:r>
      <w:proofErr w:type="spellEnd"/>
      <w:r w:rsidRPr="00255510">
        <w:rPr>
          <w:sz w:val="28"/>
          <w:szCs w:val="28"/>
          <w:lang w:val="uk-UA"/>
        </w:rPr>
        <w:t xml:space="preserve">  </w:t>
      </w:r>
      <w:proofErr w:type="spellStart"/>
      <w:r w:rsidRPr="00255510">
        <w:rPr>
          <w:sz w:val="28"/>
          <w:szCs w:val="28"/>
          <w:lang w:val="uk-UA"/>
        </w:rPr>
        <w:t>therapy</w:t>
      </w:r>
      <w:proofErr w:type="spellEnd"/>
      <w:r w:rsidRPr="00255510">
        <w:rPr>
          <w:sz w:val="28"/>
          <w:szCs w:val="28"/>
          <w:lang w:val="uk-UA"/>
        </w:rPr>
        <w:t>.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  <w:lang w:val="en-US"/>
        </w:rPr>
      </w:pPr>
      <w:r w:rsidRPr="00255510">
        <w:rPr>
          <w:sz w:val="28"/>
          <w:szCs w:val="28"/>
          <w:lang w:val="en-US"/>
        </w:rPr>
        <w:t> </w:t>
      </w:r>
    </w:p>
    <w:p w:rsidR="00255510" w:rsidRPr="00255510" w:rsidRDefault="00255510" w:rsidP="00255510">
      <w:pPr>
        <w:ind w:firstLine="709"/>
        <w:jc w:val="both"/>
        <w:rPr>
          <w:sz w:val="28"/>
          <w:szCs w:val="28"/>
          <w:lang w:val="en-US"/>
        </w:rPr>
      </w:pPr>
      <w:proofErr w:type="spellStart"/>
      <w:r w:rsidRPr="00255510">
        <w:rPr>
          <w:sz w:val="28"/>
          <w:szCs w:val="28"/>
          <w:lang w:val="uk-UA"/>
        </w:rPr>
        <w:t>Key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words</w:t>
      </w:r>
      <w:proofErr w:type="spellEnd"/>
      <w:r w:rsidRPr="00255510">
        <w:rPr>
          <w:sz w:val="28"/>
          <w:szCs w:val="28"/>
          <w:lang w:val="uk-UA"/>
        </w:rPr>
        <w:t xml:space="preserve">: </w:t>
      </w:r>
      <w:proofErr w:type="spellStart"/>
      <w:r w:rsidRPr="00255510">
        <w:rPr>
          <w:sz w:val="28"/>
          <w:szCs w:val="28"/>
          <w:lang w:val="uk-UA"/>
        </w:rPr>
        <w:t>cardiovascular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system</w:t>
      </w:r>
      <w:proofErr w:type="spellEnd"/>
      <w:r w:rsidRPr="00255510">
        <w:rPr>
          <w:sz w:val="28"/>
          <w:szCs w:val="28"/>
          <w:lang w:val="uk-UA"/>
        </w:rPr>
        <w:t xml:space="preserve">, </w:t>
      </w:r>
      <w:proofErr w:type="spellStart"/>
      <w:r w:rsidRPr="00255510">
        <w:rPr>
          <w:sz w:val="28"/>
          <w:szCs w:val="28"/>
          <w:lang w:val="uk-UA"/>
        </w:rPr>
        <w:t>celiac</w:t>
      </w:r>
      <w:proofErr w:type="spellEnd"/>
      <w:r w:rsidRPr="00255510">
        <w:rPr>
          <w:sz w:val="28"/>
          <w:szCs w:val="28"/>
          <w:lang w:val="uk-UA"/>
        </w:rPr>
        <w:t xml:space="preserve"> </w:t>
      </w:r>
      <w:proofErr w:type="spellStart"/>
      <w:r w:rsidRPr="00255510">
        <w:rPr>
          <w:sz w:val="28"/>
          <w:szCs w:val="28"/>
          <w:lang w:val="uk-UA"/>
        </w:rPr>
        <w:t>disease</w:t>
      </w:r>
      <w:proofErr w:type="spellEnd"/>
      <w:r w:rsidRPr="00255510">
        <w:rPr>
          <w:sz w:val="28"/>
          <w:szCs w:val="28"/>
          <w:lang w:val="uk-UA"/>
        </w:rPr>
        <w:t xml:space="preserve">, </w:t>
      </w:r>
      <w:proofErr w:type="spellStart"/>
      <w:r w:rsidRPr="00255510">
        <w:rPr>
          <w:sz w:val="28"/>
          <w:szCs w:val="28"/>
          <w:lang w:val="uk-UA"/>
        </w:rPr>
        <w:t>children</w:t>
      </w:r>
      <w:proofErr w:type="spellEnd"/>
      <w:r w:rsidRPr="00255510">
        <w:rPr>
          <w:sz w:val="28"/>
          <w:szCs w:val="28"/>
          <w:lang w:val="uk-UA"/>
        </w:rPr>
        <w:t>.</w:t>
      </w:r>
    </w:p>
    <w:p w:rsidR="00DB5A06" w:rsidRPr="00255510" w:rsidRDefault="00DB5A06" w:rsidP="00255510">
      <w:pPr>
        <w:ind w:firstLine="709"/>
        <w:jc w:val="both"/>
        <w:rPr>
          <w:sz w:val="28"/>
          <w:szCs w:val="28"/>
          <w:lang w:val="en-US"/>
        </w:rPr>
      </w:pPr>
    </w:p>
    <w:sectPr w:rsidR="00DB5A06" w:rsidRPr="00255510" w:rsidSect="004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5510"/>
    <w:rsid w:val="00130A73"/>
    <w:rsid w:val="001715F0"/>
    <w:rsid w:val="00187364"/>
    <w:rsid w:val="00255510"/>
    <w:rsid w:val="002D028E"/>
    <w:rsid w:val="00383381"/>
    <w:rsid w:val="003A5F44"/>
    <w:rsid w:val="00437344"/>
    <w:rsid w:val="004A4536"/>
    <w:rsid w:val="004D7C92"/>
    <w:rsid w:val="007104F8"/>
    <w:rsid w:val="00724DF4"/>
    <w:rsid w:val="007D3B1C"/>
    <w:rsid w:val="00811BCD"/>
    <w:rsid w:val="00843A84"/>
    <w:rsid w:val="00890E96"/>
    <w:rsid w:val="00C86A92"/>
    <w:rsid w:val="00CD3737"/>
    <w:rsid w:val="00D13F11"/>
    <w:rsid w:val="00D623A5"/>
    <w:rsid w:val="00DB5A06"/>
    <w:rsid w:val="00F9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1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83381"/>
    <w:pPr>
      <w:shd w:val="clear" w:color="auto" w:fill="4B6EA8"/>
      <w:spacing w:after="111"/>
      <w:outlineLvl w:val="0"/>
    </w:pPr>
    <w:rPr>
      <w:b/>
      <w:bCs/>
      <w:color w:val="FFFFFF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8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833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33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38338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338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38338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383381"/>
    <w:rPr>
      <w:rFonts w:ascii="Times New Roman" w:hAnsi="Times New Roman"/>
      <w:b/>
      <w:bCs/>
      <w:color w:val="FFFFFF"/>
      <w:kern w:val="36"/>
      <w:sz w:val="16"/>
      <w:szCs w:val="16"/>
      <w:shd w:val="clear" w:color="auto" w:fill="4B6EA8"/>
    </w:rPr>
  </w:style>
  <w:style w:type="character" w:customStyle="1" w:styleId="20">
    <w:name w:val="Заголовок 2 Знак"/>
    <w:basedOn w:val="a0"/>
    <w:link w:val="2"/>
    <w:uiPriority w:val="9"/>
    <w:rsid w:val="00383381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383381"/>
    <w:rPr>
      <w:b/>
      <w:bCs/>
    </w:rPr>
  </w:style>
  <w:style w:type="paragraph" w:styleId="a9">
    <w:name w:val="No Spacing"/>
    <w:uiPriority w:val="1"/>
    <w:qFormat/>
    <w:rsid w:val="00383381"/>
    <w:rPr>
      <w:rFonts w:ascii="Times New Roman" w:eastAsia="Times New Roman" w:hAnsi="Times New Roman"/>
    </w:rPr>
  </w:style>
  <w:style w:type="character" w:styleId="aa">
    <w:name w:val="Hyperlink"/>
    <w:basedOn w:val="a0"/>
    <w:uiPriority w:val="99"/>
    <w:unhideWhenUsed/>
    <w:rsid w:val="00255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2635</Words>
  <Characters>15026</Characters>
  <Application>Microsoft Office Word</Application>
  <DocSecurity>0</DocSecurity>
  <Lines>125</Lines>
  <Paragraphs>35</Paragraphs>
  <ScaleCrop>false</ScaleCrop>
  <Company>Krokoz™</Company>
  <LinksUpToDate>false</LinksUpToDate>
  <CharactersWithSpaces>17626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2013-10-18T19:08:00Z</dcterms:created>
  <dcterms:modified xsi:type="dcterms:W3CDTF">2013-10-18T19:10:00Z</dcterms:modified>
</cp:coreProperties>
</file>