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599" w:rsidRPr="002D7F02" w:rsidRDefault="00A25599" w:rsidP="002D7F02">
      <w:pPr>
        <w:spacing w:line="480" w:lineRule="auto"/>
        <w:jc w:val="center"/>
        <w:rPr>
          <w:b/>
          <w:caps/>
          <w:color w:val="000000" w:themeColor="text1"/>
          <w:lang w:val="en-US"/>
        </w:rPr>
      </w:pPr>
      <w:r w:rsidRPr="002D7F02">
        <w:rPr>
          <w:b/>
          <w:caps/>
          <w:color w:val="000000" w:themeColor="text1"/>
          <w:lang w:val="en-US"/>
        </w:rPr>
        <w:t xml:space="preserve">An integrated approach </w:t>
      </w:r>
      <w:r w:rsidR="00352429" w:rsidRPr="002D7F02">
        <w:rPr>
          <w:b/>
          <w:caps/>
          <w:color w:val="000000" w:themeColor="text1"/>
          <w:lang w:val="en-US"/>
        </w:rPr>
        <w:t xml:space="preserve">to </w:t>
      </w:r>
      <w:r w:rsidRPr="002D7F02">
        <w:rPr>
          <w:b/>
          <w:caps/>
          <w:color w:val="000000" w:themeColor="text1"/>
          <w:lang w:val="en-US"/>
        </w:rPr>
        <w:t xml:space="preserve">the morphological diagnosis of </w:t>
      </w:r>
      <w:r w:rsidR="00836D15" w:rsidRPr="002D7F02">
        <w:rPr>
          <w:b/>
          <w:caps/>
          <w:color w:val="000000" w:themeColor="text1"/>
          <w:lang w:val="en-US"/>
        </w:rPr>
        <w:t>different</w:t>
      </w:r>
      <w:r w:rsidR="00EF0209" w:rsidRPr="002D7F02">
        <w:rPr>
          <w:b/>
          <w:caps/>
          <w:color w:val="000000" w:themeColor="text1"/>
          <w:lang w:val="en-US"/>
        </w:rPr>
        <w:t xml:space="preserve"> types of</w:t>
      </w:r>
      <w:r w:rsidR="00836D15" w:rsidRPr="002D7F02">
        <w:rPr>
          <w:b/>
          <w:caps/>
          <w:color w:val="000000" w:themeColor="text1"/>
          <w:lang w:val="en-US"/>
        </w:rPr>
        <w:t xml:space="preserve"> </w:t>
      </w:r>
      <w:r w:rsidRPr="002D7F02">
        <w:rPr>
          <w:b/>
          <w:caps/>
          <w:color w:val="000000" w:themeColor="text1"/>
          <w:lang w:val="en-US"/>
        </w:rPr>
        <w:t>pleomorphic adenoma</w:t>
      </w:r>
      <w:r w:rsidR="00CA6905" w:rsidRPr="002D7F02">
        <w:rPr>
          <w:b/>
          <w:caps/>
          <w:color w:val="000000" w:themeColor="text1"/>
          <w:lang w:val="en-US"/>
        </w:rPr>
        <w:t>s</w:t>
      </w:r>
      <w:r w:rsidRPr="002D7F02">
        <w:rPr>
          <w:b/>
          <w:caps/>
          <w:color w:val="000000" w:themeColor="text1"/>
          <w:lang w:val="en-US"/>
        </w:rPr>
        <w:t xml:space="preserve"> of the salivary gland: </w:t>
      </w:r>
      <w:r w:rsidR="00277463" w:rsidRPr="002D7F02">
        <w:rPr>
          <w:b/>
          <w:caps/>
          <w:color w:val="000000" w:themeColor="text1"/>
          <w:lang w:val="en-US"/>
        </w:rPr>
        <w:t xml:space="preserve">long-term research </w:t>
      </w:r>
      <w:r w:rsidRPr="002D7F02">
        <w:rPr>
          <w:b/>
          <w:caps/>
          <w:color w:val="000000" w:themeColor="text1"/>
          <w:lang w:val="en-US"/>
        </w:rPr>
        <w:t xml:space="preserve">results </w:t>
      </w:r>
    </w:p>
    <w:p w:rsidR="00CC1CAC" w:rsidRPr="00765990" w:rsidRDefault="003909EB" w:rsidP="002D7F02">
      <w:pPr>
        <w:spacing w:line="480" w:lineRule="auto"/>
        <w:jc w:val="center"/>
        <w:rPr>
          <w:vertAlign w:val="superscript"/>
          <w:lang w:val="en-US"/>
        </w:rPr>
      </w:pPr>
      <w:proofErr w:type="spellStart"/>
      <w:r w:rsidRPr="00765990">
        <w:rPr>
          <w:rFonts w:eastAsia="TimesNewRoman"/>
          <w:lang w:val="en-US"/>
        </w:rPr>
        <w:t>Mykhailo</w:t>
      </w:r>
      <w:proofErr w:type="spellEnd"/>
      <w:r w:rsidRPr="00765990">
        <w:rPr>
          <w:rFonts w:eastAsia="TimesNewRoman"/>
          <w:lang w:val="en-US"/>
        </w:rPr>
        <w:t> </w:t>
      </w:r>
      <w:r w:rsidR="002D7F02" w:rsidRPr="00765990">
        <w:rPr>
          <w:rFonts w:eastAsia="TimesNewRoman"/>
          <w:lang w:val="en-US"/>
        </w:rPr>
        <w:t>S. </w:t>
      </w:r>
      <w:proofErr w:type="spellStart"/>
      <w:r w:rsidRPr="00765990">
        <w:rPr>
          <w:rFonts w:eastAsia="TimesNewRoman"/>
          <w:lang w:val="en-US"/>
        </w:rPr>
        <w:t>Myroshnychenko</w:t>
      </w:r>
      <w:proofErr w:type="spellEnd"/>
      <w:r w:rsidR="004D7E4A" w:rsidRPr="00765990">
        <w:rPr>
          <w:rFonts w:eastAsia="TimesNewRoman"/>
          <w:lang w:val="en-US"/>
        </w:rPr>
        <w:t> </w:t>
      </w:r>
      <w:r w:rsidR="004D7E4A" w:rsidRPr="00765990">
        <w:rPr>
          <w:rFonts w:eastAsia="TimesNewRoman"/>
          <w:vertAlign w:val="superscript"/>
          <w:lang w:val="en-US"/>
        </w:rPr>
        <w:t>1</w:t>
      </w:r>
      <w:r w:rsidRPr="00765990">
        <w:rPr>
          <w:rFonts w:eastAsia="TimesNewRoman"/>
          <w:lang w:val="en-US"/>
        </w:rPr>
        <w:t>,</w:t>
      </w:r>
      <w:r w:rsidRPr="00765990">
        <w:rPr>
          <w:lang w:val="en-US"/>
        </w:rPr>
        <w:t xml:space="preserve"> Igor </w:t>
      </w:r>
      <w:r w:rsidR="002D7F02" w:rsidRPr="00765990">
        <w:rPr>
          <w:lang w:val="en-US"/>
        </w:rPr>
        <w:t>S</w:t>
      </w:r>
      <w:r w:rsidR="002D7F02" w:rsidRPr="00765990">
        <w:rPr>
          <w:lang w:val="uk-UA"/>
        </w:rPr>
        <w:t>.</w:t>
      </w:r>
      <w:r w:rsidR="002D7F02" w:rsidRPr="00765990">
        <w:rPr>
          <w:lang w:val="en-US"/>
        </w:rPr>
        <w:t> </w:t>
      </w:r>
      <w:proofErr w:type="spellStart"/>
      <w:r w:rsidRPr="00765990">
        <w:rPr>
          <w:lang w:val="en-US"/>
        </w:rPr>
        <w:t>Brodetskyi</w:t>
      </w:r>
      <w:proofErr w:type="spellEnd"/>
      <w:r w:rsidR="004D7E4A" w:rsidRPr="00765990">
        <w:rPr>
          <w:lang w:val="en-US"/>
        </w:rPr>
        <w:t> </w:t>
      </w:r>
      <w:r w:rsidR="004D7E4A" w:rsidRPr="00765990">
        <w:rPr>
          <w:vertAlign w:val="superscript"/>
          <w:lang w:val="en-US"/>
        </w:rPr>
        <w:t>2</w:t>
      </w:r>
      <w:r w:rsidRPr="00765990">
        <w:rPr>
          <w:lang w:val="en-US"/>
        </w:rPr>
        <w:t>,</w:t>
      </w:r>
      <w:r w:rsidR="00DD3FF8" w:rsidRPr="00765990">
        <w:rPr>
          <w:lang w:val="en-US"/>
        </w:rPr>
        <w:t xml:space="preserve"> </w:t>
      </w:r>
      <w:proofErr w:type="spellStart"/>
      <w:r w:rsidR="00F31FD4" w:rsidRPr="00765990">
        <w:rPr>
          <w:kern w:val="2"/>
          <w:lang w:val="en-US"/>
        </w:rPr>
        <w:t>Vladislav</w:t>
      </w:r>
      <w:proofErr w:type="spellEnd"/>
      <w:r w:rsidR="00F31FD4" w:rsidRPr="00765990">
        <w:rPr>
          <w:kern w:val="2"/>
          <w:lang w:val="en-US"/>
        </w:rPr>
        <w:t> </w:t>
      </w:r>
      <w:r w:rsidR="002D7F02" w:rsidRPr="00765990">
        <w:rPr>
          <w:kern w:val="2"/>
          <w:lang w:val="en-US"/>
        </w:rPr>
        <w:t>A. </w:t>
      </w:r>
      <w:proofErr w:type="spellStart"/>
      <w:r w:rsidR="00F31FD4" w:rsidRPr="00765990">
        <w:rPr>
          <w:kern w:val="2"/>
          <w:lang w:val="en-US"/>
        </w:rPr>
        <w:t>Malanchuk</w:t>
      </w:r>
      <w:proofErr w:type="spellEnd"/>
      <w:r w:rsidR="00483181" w:rsidRPr="00765990">
        <w:rPr>
          <w:kern w:val="2"/>
          <w:lang w:val="en-US"/>
        </w:rPr>
        <w:t> </w:t>
      </w:r>
      <w:r w:rsidR="00765990" w:rsidRPr="00765990">
        <w:rPr>
          <w:kern w:val="2"/>
          <w:vertAlign w:val="superscript"/>
          <w:lang w:val="en-US"/>
        </w:rPr>
        <w:t>2</w:t>
      </w:r>
      <w:r w:rsidR="00F31FD4" w:rsidRPr="00765990">
        <w:rPr>
          <w:kern w:val="2"/>
          <w:lang w:val="en-US"/>
        </w:rPr>
        <w:t xml:space="preserve">, </w:t>
      </w:r>
      <w:proofErr w:type="spellStart"/>
      <w:r w:rsidRPr="00765990">
        <w:rPr>
          <w:lang w:val="en-US"/>
        </w:rPr>
        <w:t>Olena</w:t>
      </w:r>
      <w:proofErr w:type="spellEnd"/>
      <w:r w:rsidRPr="00765990">
        <w:rPr>
          <w:lang w:val="en-US"/>
        </w:rPr>
        <w:t> </w:t>
      </w:r>
      <w:r w:rsidR="002D7F02" w:rsidRPr="00765990">
        <w:rPr>
          <w:lang w:val="en-US"/>
        </w:rPr>
        <w:t>O. </w:t>
      </w:r>
      <w:proofErr w:type="spellStart"/>
      <w:r w:rsidRPr="00765990">
        <w:rPr>
          <w:kern w:val="2"/>
          <w:lang w:val="en-US"/>
        </w:rPr>
        <w:t>Dyadyk</w:t>
      </w:r>
      <w:proofErr w:type="spellEnd"/>
      <w:r w:rsidR="00483181" w:rsidRPr="00765990">
        <w:rPr>
          <w:kern w:val="2"/>
          <w:lang w:val="en-US"/>
        </w:rPr>
        <w:t> </w:t>
      </w:r>
      <w:r w:rsidR="00765990" w:rsidRPr="00765990">
        <w:rPr>
          <w:kern w:val="2"/>
          <w:vertAlign w:val="superscript"/>
          <w:lang w:val="en-US"/>
        </w:rPr>
        <w:t>3</w:t>
      </w:r>
      <w:r w:rsidRPr="00765990">
        <w:rPr>
          <w:kern w:val="2"/>
          <w:lang w:val="en-US"/>
        </w:rPr>
        <w:t xml:space="preserve">, </w:t>
      </w:r>
      <w:proofErr w:type="spellStart"/>
      <w:r w:rsidR="00443760" w:rsidRPr="00765990">
        <w:rPr>
          <w:bCs/>
          <w:lang w:val="en-US"/>
        </w:rPr>
        <w:t>Oleksandr</w:t>
      </w:r>
      <w:proofErr w:type="spellEnd"/>
      <w:r w:rsidR="00443760" w:rsidRPr="00765990">
        <w:rPr>
          <w:bCs/>
          <w:lang w:val="en-US"/>
        </w:rPr>
        <w:t> </w:t>
      </w:r>
      <w:r w:rsidR="002D7F02" w:rsidRPr="00765990">
        <w:rPr>
          <w:bCs/>
          <w:lang w:val="en-US"/>
        </w:rPr>
        <w:t>V. </w:t>
      </w:r>
      <w:proofErr w:type="spellStart"/>
      <w:r w:rsidR="00443760" w:rsidRPr="00765990">
        <w:rPr>
          <w:bCs/>
          <w:lang w:val="en-US"/>
        </w:rPr>
        <w:t>Arseniev</w:t>
      </w:r>
      <w:proofErr w:type="spellEnd"/>
      <w:r w:rsidR="00443760" w:rsidRPr="00765990">
        <w:rPr>
          <w:bCs/>
          <w:lang w:val="en-US"/>
        </w:rPr>
        <w:t> </w:t>
      </w:r>
      <w:r w:rsidR="00765990" w:rsidRPr="00765990">
        <w:rPr>
          <w:bCs/>
          <w:vertAlign w:val="superscript"/>
          <w:lang w:val="en-US"/>
        </w:rPr>
        <w:t>4</w:t>
      </w:r>
      <w:r w:rsidR="00443760" w:rsidRPr="00765990">
        <w:rPr>
          <w:bCs/>
          <w:lang w:val="en-US"/>
        </w:rPr>
        <w:t xml:space="preserve">, </w:t>
      </w:r>
      <w:proofErr w:type="spellStart"/>
      <w:r w:rsidRPr="00765990">
        <w:rPr>
          <w:shd w:val="clear" w:color="auto" w:fill="FFFFFF"/>
          <w:lang w:val="en-US"/>
        </w:rPr>
        <w:t>Yaroslava</w:t>
      </w:r>
      <w:proofErr w:type="spellEnd"/>
      <w:r w:rsidRPr="00765990">
        <w:rPr>
          <w:shd w:val="clear" w:color="auto" w:fill="FFFFFF"/>
          <w:lang w:val="en-US"/>
        </w:rPr>
        <w:t> </w:t>
      </w:r>
      <w:r w:rsidR="002D7F02" w:rsidRPr="00765990">
        <w:rPr>
          <w:shd w:val="clear" w:color="auto" w:fill="FFFFFF"/>
        </w:rPr>
        <w:t>А</w:t>
      </w:r>
      <w:r w:rsidR="002D7F02" w:rsidRPr="00765990">
        <w:rPr>
          <w:shd w:val="clear" w:color="auto" w:fill="FFFFFF"/>
          <w:lang w:val="en-US"/>
        </w:rPr>
        <w:t>. </w:t>
      </w:r>
      <w:proofErr w:type="spellStart"/>
      <w:r w:rsidRPr="00765990">
        <w:rPr>
          <w:shd w:val="clear" w:color="auto" w:fill="FFFFFF"/>
          <w:lang w:val="en-US"/>
        </w:rPr>
        <w:t>Kulbashna</w:t>
      </w:r>
      <w:proofErr w:type="spellEnd"/>
      <w:r w:rsidR="00483181" w:rsidRPr="00765990">
        <w:rPr>
          <w:shd w:val="clear" w:color="auto" w:fill="FFFFFF"/>
          <w:lang w:val="en-US"/>
        </w:rPr>
        <w:t> </w:t>
      </w:r>
      <w:r w:rsidR="00765990" w:rsidRPr="00765990">
        <w:rPr>
          <w:shd w:val="clear" w:color="auto" w:fill="FFFFFF"/>
          <w:vertAlign w:val="superscript"/>
          <w:lang w:val="en-US"/>
        </w:rPr>
        <w:t>2</w:t>
      </w:r>
      <w:r w:rsidRPr="00765990">
        <w:rPr>
          <w:shd w:val="clear" w:color="auto" w:fill="FFFFFF"/>
          <w:lang w:val="en-US"/>
        </w:rPr>
        <w:t xml:space="preserve">, </w:t>
      </w:r>
      <w:proofErr w:type="spellStart"/>
      <w:r w:rsidRPr="00765990">
        <w:rPr>
          <w:lang w:val="en-US"/>
        </w:rPr>
        <w:t>Olena</w:t>
      </w:r>
      <w:proofErr w:type="spellEnd"/>
      <w:r w:rsidRPr="00765990">
        <w:rPr>
          <w:lang w:val="en-US"/>
        </w:rPr>
        <w:t> </w:t>
      </w:r>
      <w:r w:rsidR="002D7F02" w:rsidRPr="00765990">
        <w:rPr>
          <w:lang w:val="en-US"/>
        </w:rPr>
        <w:t>O. </w:t>
      </w:r>
      <w:proofErr w:type="spellStart"/>
      <w:r w:rsidRPr="00765990">
        <w:rPr>
          <w:lang w:val="en-US"/>
        </w:rPr>
        <w:t>Astapenko</w:t>
      </w:r>
      <w:proofErr w:type="spellEnd"/>
      <w:r w:rsidR="006902D8" w:rsidRPr="00765990">
        <w:rPr>
          <w:lang w:val="en-US"/>
        </w:rPr>
        <w:t> </w:t>
      </w:r>
      <w:r w:rsidR="00765990" w:rsidRPr="00765990">
        <w:rPr>
          <w:vertAlign w:val="superscript"/>
          <w:lang w:val="en-US"/>
        </w:rPr>
        <w:t>2</w:t>
      </w:r>
      <w:r w:rsidRPr="00765990">
        <w:rPr>
          <w:lang w:val="en-US"/>
        </w:rPr>
        <w:t xml:space="preserve">, </w:t>
      </w:r>
      <w:proofErr w:type="spellStart"/>
      <w:r w:rsidR="00DD3FF8" w:rsidRPr="00765990">
        <w:rPr>
          <w:lang w:val="en-US"/>
        </w:rPr>
        <w:t>L</w:t>
      </w:r>
      <w:r w:rsidRPr="00765990">
        <w:rPr>
          <w:lang w:val="en-US" w:eastAsia="uk-UA"/>
        </w:rPr>
        <w:t>iudmyla</w:t>
      </w:r>
      <w:proofErr w:type="spellEnd"/>
      <w:r w:rsidRPr="00765990">
        <w:rPr>
          <w:lang w:val="uk-UA" w:eastAsia="uk-UA"/>
        </w:rPr>
        <w:t> </w:t>
      </w:r>
      <w:r w:rsidR="002D7F02" w:rsidRPr="00765990">
        <w:rPr>
          <w:lang w:val="en-US" w:eastAsia="uk-UA"/>
        </w:rPr>
        <w:t>O</w:t>
      </w:r>
      <w:r w:rsidR="002D7F02" w:rsidRPr="00765990">
        <w:rPr>
          <w:lang w:val="uk-UA" w:eastAsia="uk-UA"/>
        </w:rPr>
        <w:t>.</w:t>
      </w:r>
      <w:r w:rsidR="002D7F02" w:rsidRPr="00765990">
        <w:rPr>
          <w:lang w:val="en-US" w:eastAsia="uk-UA"/>
        </w:rPr>
        <w:t> </w:t>
      </w:r>
      <w:proofErr w:type="spellStart"/>
      <w:r w:rsidRPr="00765990">
        <w:rPr>
          <w:lang w:val="en-US" w:eastAsia="uk-UA"/>
        </w:rPr>
        <w:t>Brodetska</w:t>
      </w:r>
      <w:proofErr w:type="spellEnd"/>
      <w:r w:rsidR="005979EC" w:rsidRPr="00765990">
        <w:rPr>
          <w:lang w:val="en-US" w:eastAsia="uk-UA"/>
        </w:rPr>
        <w:t> </w:t>
      </w:r>
      <w:r w:rsidR="00765990" w:rsidRPr="00765990">
        <w:rPr>
          <w:vertAlign w:val="superscript"/>
          <w:lang w:val="en-US" w:eastAsia="uk-UA"/>
        </w:rPr>
        <w:t>2</w:t>
      </w:r>
      <w:r w:rsidRPr="00765990">
        <w:rPr>
          <w:lang w:val="en-US" w:eastAsia="uk-UA"/>
        </w:rPr>
        <w:t>,</w:t>
      </w:r>
      <w:r w:rsidR="00C50B7B" w:rsidRPr="00765990">
        <w:rPr>
          <w:lang w:val="en-US" w:eastAsia="uk-UA"/>
        </w:rPr>
        <w:t xml:space="preserve"> </w:t>
      </w:r>
      <w:r w:rsidR="007B258E" w:rsidRPr="00765990">
        <w:rPr>
          <w:rFonts w:eastAsia="TimesNewRoman"/>
          <w:lang w:val="en-US"/>
        </w:rPr>
        <w:t>Sergey</w:t>
      </w:r>
      <w:r w:rsidR="007B258E" w:rsidRPr="00765990">
        <w:rPr>
          <w:lang w:val="en-US"/>
        </w:rPr>
        <w:t> </w:t>
      </w:r>
      <w:r w:rsidR="002D7F02" w:rsidRPr="00765990">
        <w:rPr>
          <w:lang w:val="en-US"/>
        </w:rPr>
        <w:t>B</w:t>
      </w:r>
      <w:r w:rsidR="002D7F02" w:rsidRPr="00765990">
        <w:rPr>
          <w:lang w:val="uk-UA"/>
        </w:rPr>
        <w:t>.</w:t>
      </w:r>
      <w:r w:rsidR="002D7F02" w:rsidRPr="00765990">
        <w:rPr>
          <w:lang w:val="en-US"/>
        </w:rPr>
        <w:t> </w:t>
      </w:r>
      <w:proofErr w:type="spellStart"/>
      <w:r w:rsidR="007B258E" w:rsidRPr="00765990">
        <w:rPr>
          <w:lang w:val="en-US"/>
        </w:rPr>
        <w:t>Brodetskyi</w:t>
      </w:r>
      <w:proofErr w:type="spellEnd"/>
      <w:r w:rsidR="005979EC" w:rsidRPr="00765990">
        <w:rPr>
          <w:lang w:val="en-US"/>
        </w:rPr>
        <w:t> </w:t>
      </w:r>
      <w:r w:rsidR="00765990" w:rsidRPr="00765990">
        <w:rPr>
          <w:vertAlign w:val="superscript"/>
          <w:lang w:val="en-US"/>
        </w:rPr>
        <w:t>5</w:t>
      </w:r>
      <w:r w:rsidR="00CC1CAC" w:rsidRPr="00765990">
        <w:rPr>
          <w:lang w:val="en-US"/>
        </w:rPr>
        <w:t xml:space="preserve">, </w:t>
      </w:r>
      <w:proofErr w:type="spellStart"/>
      <w:r w:rsidR="00CC1CAC" w:rsidRPr="00765990">
        <w:rPr>
          <w:lang w:val="en-US"/>
        </w:rPr>
        <w:t>Viktoriia</w:t>
      </w:r>
      <w:proofErr w:type="spellEnd"/>
      <w:r w:rsidR="002D7F02" w:rsidRPr="00765990">
        <w:rPr>
          <w:lang w:val="en-US"/>
        </w:rPr>
        <w:t> O. </w:t>
      </w:r>
      <w:proofErr w:type="spellStart"/>
      <w:r w:rsidR="00DD3FF8" w:rsidRPr="00765990">
        <w:rPr>
          <w:lang w:val="en-US"/>
        </w:rPr>
        <w:t>Bibichenko</w:t>
      </w:r>
      <w:proofErr w:type="spellEnd"/>
      <w:r w:rsidR="00DD3FF8" w:rsidRPr="00765990">
        <w:rPr>
          <w:lang w:val="en-US"/>
        </w:rPr>
        <w:t> </w:t>
      </w:r>
      <w:r w:rsidR="00765990" w:rsidRPr="00765990">
        <w:rPr>
          <w:vertAlign w:val="superscript"/>
          <w:lang w:val="en-US"/>
        </w:rPr>
        <w:t>1</w:t>
      </w:r>
    </w:p>
    <w:p w:rsidR="007B258E" w:rsidRPr="002D7F02" w:rsidRDefault="004D7E4A" w:rsidP="00765990">
      <w:pPr>
        <w:spacing w:line="480" w:lineRule="auto"/>
        <w:jc w:val="center"/>
        <w:rPr>
          <w:color w:val="000000"/>
          <w:kern w:val="2"/>
          <w:lang w:val="en-US"/>
        </w:rPr>
      </w:pPr>
      <w:r w:rsidRPr="002D7F02">
        <w:rPr>
          <w:vertAlign w:val="superscript"/>
          <w:lang w:val="en-US"/>
        </w:rPr>
        <w:t>1</w:t>
      </w:r>
      <w:r w:rsidR="00681B42" w:rsidRPr="002D7F02">
        <w:rPr>
          <w:lang w:val="en-US"/>
        </w:rPr>
        <w:t> </w:t>
      </w:r>
      <w:proofErr w:type="spellStart"/>
      <w:r w:rsidRPr="002D7F02">
        <w:rPr>
          <w:lang w:val="en-US"/>
        </w:rPr>
        <w:t>Kharkiv</w:t>
      </w:r>
      <w:proofErr w:type="spellEnd"/>
      <w:r w:rsidRPr="002D7F02">
        <w:rPr>
          <w:lang w:val="en-US"/>
        </w:rPr>
        <w:t xml:space="preserve"> National Medical University, </w:t>
      </w:r>
      <w:proofErr w:type="spellStart"/>
      <w:r w:rsidRPr="002D7F02">
        <w:rPr>
          <w:lang w:val="en-US"/>
        </w:rPr>
        <w:t>Kharkiv</w:t>
      </w:r>
      <w:proofErr w:type="spellEnd"/>
      <w:r w:rsidRPr="002D7F02">
        <w:rPr>
          <w:lang w:val="en-US"/>
        </w:rPr>
        <w:t>, Ukraine</w:t>
      </w:r>
    </w:p>
    <w:p w:rsidR="004D7E4A" w:rsidRPr="002D7F02" w:rsidRDefault="00483181" w:rsidP="00765990">
      <w:pPr>
        <w:spacing w:line="480" w:lineRule="auto"/>
        <w:jc w:val="center"/>
        <w:rPr>
          <w:color w:val="000000"/>
          <w:lang w:val="en-US"/>
        </w:rPr>
      </w:pPr>
      <w:r w:rsidRPr="002D7F02">
        <w:rPr>
          <w:color w:val="000000"/>
          <w:vertAlign w:val="superscript"/>
          <w:lang w:val="en-US"/>
        </w:rPr>
        <w:t>2</w:t>
      </w:r>
      <w:r w:rsidRPr="002D7F02">
        <w:rPr>
          <w:color w:val="000000"/>
          <w:lang w:val="en-US"/>
        </w:rPr>
        <w:t> </w:t>
      </w:r>
      <w:proofErr w:type="spellStart"/>
      <w:r w:rsidRPr="002D7F02">
        <w:rPr>
          <w:color w:val="000000"/>
          <w:lang w:val="en-US"/>
        </w:rPr>
        <w:t>Bohomolets</w:t>
      </w:r>
      <w:proofErr w:type="spellEnd"/>
      <w:r w:rsidRPr="002D7F02">
        <w:rPr>
          <w:color w:val="000000"/>
          <w:lang w:val="en-US"/>
        </w:rPr>
        <w:t xml:space="preserve"> National Medical University, Kiev, Ukraine</w:t>
      </w:r>
    </w:p>
    <w:p w:rsidR="00483181" w:rsidRPr="002D7F02" w:rsidRDefault="00765990" w:rsidP="00765990">
      <w:pPr>
        <w:spacing w:line="480" w:lineRule="auto"/>
        <w:jc w:val="center"/>
        <w:rPr>
          <w:lang w:val="en-US"/>
        </w:rPr>
      </w:pPr>
      <w:r>
        <w:rPr>
          <w:color w:val="000000"/>
          <w:vertAlign w:val="superscript"/>
          <w:lang w:val="en-US"/>
        </w:rPr>
        <w:t>3</w:t>
      </w:r>
      <w:r w:rsidR="00483181" w:rsidRPr="002D7F02">
        <w:rPr>
          <w:color w:val="000000"/>
          <w:lang w:val="en-US"/>
        </w:rPr>
        <w:t> </w:t>
      </w:r>
      <w:proofErr w:type="spellStart"/>
      <w:r w:rsidR="00483181" w:rsidRPr="002D7F02">
        <w:rPr>
          <w:lang w:val="en-US"/>
        </w:rPr>
        <w:t>Shupyk</w:t>
      </w:r>
      <w:proofErr w:type="spellEnd"/>
      <w:r w:rsidR="00483181" w:rsidRPr="002D7F02">
        <w:rPr>
          <w:lang w:val="en-US"/>
        </w:rPr>
        <w:t xml:space="preserve"> National Healthcare University of Ukraine, Kyiv, Ukraine</w:t>
      </w:r>
    </w:p>
    <w:p w:rsidR="00443760" w:rsidRPr="002D7F02" w:rsidRDefault="00765990" w:rsidP="00765990">
      <w:pPr>
        <w:spacing w:line="480" w:lineRule="auto"/>
        <w:jc w:val="center"/>
        <w:rPr>
          <w:lang w:val="en-US"/>
        </w:rPr>
      </w:pPr>
      <w:r>
        <w:rPr>
          <w:vertAlign w:val="superscript"/>
          <w:lang w:val="en-US"/>
        </w:rPr>
        <w:t>4</w:t>
      </w:r>
      <w:r w:rsidR="00443760" w:rsidRPr="002D7F02">
        <w:rPr>
          <w:lang w:val="en-US"/>
        </w:rPr>
        <w:t> </w:t>
      </w:r>
      <w:proofErr w:type="spellStart"/>
      <w:r w:rsidR="00443760" w:rsidRPr="002D7F02">
        <w:rPr>
          <w:lang w:val="en-US"/>
        </w:rPr>
        <w:t>Kharkiv</w:t>
      </w:r>
      <w:proofErr w:type="spellEnd"/>
      <w:r w:rsidR="00443760" w:rsidRPr="002D7F02">
        <w:rPr>
          <w:lang w:val="en-US"/>
        </w:rPr>
        <w:t xml:space="preserve"> </w:t>
      </w:r>
      <w:r w:rsidR="00B119C3" w:rsidRPr="002D7F02">
        <w:rPr>
          <w:lang w:val="en-US"/>
        </w:rPr>
        <w:t xml:space="preserve">International </w:t>
      </w:r>
      <w:r w:rsidR="00443760" w:rsidRPr="002D7F02">
        <w:rPr>
          <w:lang w:val="en-US"/>
        </w:rPr>
        <w:t xml:space="preserve">Medical </w:t>
      </w:r>
      <w:proofErr w:type="gramStart"/>
      <w:r w:rsidR="00443760" w:rsidRPr="002D7F02">
        <w:rPr>
          <w:lang w:val="en-US"/>
        </w:rPr>
        <w:t>University</w:t>
      </w:r>
      <w:proofErr w:type="gramEnd"/>
      <w:r w:rsidR="00443760" w:rsidRPr="002D7F02">
        <w:rPr>
          <w:lang w:val="en-US"/>
        </w:rPr>
        <w:t xml:space="preserve">, </w:t>
      </w:r>
      <w:proofErr w:type="spellStart"/>
      <w:r w:rsidR="00443760" w:rsidRPr="002D7F02">
        <w:rPr>
          <w:lang w:val="en-US"/>
        </w:rPr>
        <w:t>Kharkiv</w:t>
      </w:r>
      <w:proofErr w:type="spellEnd"/>
      <w:r w:rsidR="00443760" w:rsidRPr="002D7F02">
        <w:rPr>
          <w:lang w:val="en-US"/>
        </w:rPr>
        <w:t>, Ukraine</w:t>
      </w:r>
    </w:p>
    <w:p w:rsidR="00DD3FF8" w:rsidRPr="002D7F02" w:rsidRDefault="00765990" w:rsidP="00765990">
      <w:pPr>
        <w:spacing w:line="480" w:lineRule="auto"/>
        <w:jc w:val="center"/>
        <w:rPr>
          <w:color w:val="000000"/>
          <w:lang w:val="en-US"/>
        </w:rPr>
      </w:pPr>
      <w:r>
        <w:rPr>
          <w:color w:val="000000"/>
          <w:vertAlign w:val="superscript"/>
          <w:lang w:val="en-US"/>
        </w:rPr>
        <w:t>5</w:t>
      </w:r>
      <w:r w:rsidR="00DD3FF8" w:rsidRPr="002D7F02">
        <w:rPr>
          <w:color w:val="000000"/>
          <w:lang w:val="en-US"/>
        </w:rPr>
        <w:t> </w:t>
      </w:r>
      <w:proofErr w:type="spellStart"/>
      <w:r w:rsidR="00DD3FF8" w:rsidRPr="002D7F02">
        <w:rPr>
          <w:lang w:val="en-US"/>
        </w:rPr>
        <w:t>Taras</w:t>
      </w:r>
      <w:proofErr w:type="spellEnd"/>
      <w:r w:rsidR="00DD3FF8" w:rsidRPr="002D7F02">
        <w:rPr>
          <w:lang w:val="en-US"/>
        </w:rPr>
        <w:t xml:space="preserve"> Shevchenko National University of Kyiv, </w:t>
      </w:r>
      <w:r w:rsidR="00DD3FF8" w:rsidRPr="002D7F02">
        <w:rPr>
          <w:color w:val="000000"/>
          <w:lang w:val="en-US"/>
        </w:rPr>
        <w:t>Kyiv, Ukraine</w:t>
      </w:r>
    </w:p>
    <w:p w:rsidR="006A0DFD" w:rsidRPr="002D7F02" w:rsidRDefault="006A0DFD" w:rsidP="00387BB0">
      <w:pPr>
        <w:spacing w:line="480" w:lineRule="auto"/>
        <w:ind w:firstLine="708"/>
        <w:jc w:val="both"/>
        <w:rPr>
          <w:b/>
          <w:color w:val="000000"/>
          <w:lang w:val="en-US"/>
        </w:rPr>
      </w:pPr>
      <w:r w:rsidRPr="002D7F02">
        <w:rPr>
          <w:b/>
          <w:color w:val="000000"/>
          <w:lang w:val="en-US"/>
        </w:rPr>
        <w:t>Abstract</w:t>
      </w:r>
    </w:p>
    <w:p w:rsidR="00387BB0" w:rsidRDefault="00765990" w:rsidP="00387BB0">
      <w:pPr>
        <w:spacing w:line="480" w:lineRule="auto"/>
        <w:ind w:firstLine="708"/>
        <w:jc w:val="both"/>
        <w:rPr>
          <w:color w:val="000000" w:themeColor="text1"/>
          <w:lang w:val="en-US"/>
        </w:rPr>
      </w:pPr>
      <w:proofErr w:type="gramStart"/>
      <w:r w:rsidRPr="00721125">
        <w:rPr>
          <w:b/>
          <w:color w:val="000000" w:themeColor="text1"/>
          <w:lang w:val="en-US"/>
        </w:rPr>
        <w:t>Introduction.</w:t>
      </w:r>
      <w:proofErr w:type="gramEnd"/>
      <w:r>
        <w:rPr>
          <w:color w:val="000000" w:themeColor="text1"/>
          <w:lang w:val="en-US"/>
        </w:rPr>
        <w:t xml:space="preserve"> </w:t>
      </w:r>
      <w:r w:rsidR="00387BB0" w:rsidRPr="002D7F02">
        <w:rPr>
          <w:color w:val="000000" w:themeColor="text1"/>
          <w:lang w:val="en-US"/>
        </w:rPr>
        <w:t xml:space="preserve">Morphological research methods play an important role in the diagnosis of pleomorphic adenoma in the preoperative and postoperative periods. </w:t>
      </w:r>
      <w:r w:rsidR="00387BB0" w:rsidRPr="002D7F02">
        <w:rPr>
          <w:lang w:val="en-US"/>
        </w:rPr>
        <w:t xml:space="preserve">Pleomorphic adenoma is histologically extremely </w:t>
      </w:r>
      <w:proofErr w:type="spellStart"/>
      <w:r w:rsidR="00387BB0" w:rsidRPr="002D7F02">
        <w:rPr>
          <w:lang w:val="en-US"/>
        </w:rPr>
        <w:t>heterogenous</w:t>
      </w:r>
      <w:proofErr w:type="spellEnd"/>
      <w:r w:rsidR="00387BB0" w:rsidRPr="002D7F02">
        <w:rPr>
          <w:lang w:val="en-US"/>
        </w:rPr>
        <w:t xml:space="preserve"> and has a complex structure, which sometimes causes certain difficulties and </w:t>
      </w:r>
      <w:r w:rsidR="00387BB0" w:rsidRPr="002D7F02">
        <w:rPr>
          <w:color w:val="000000"/>
          <w:lang w:val="en-US"/>
        </w:rPr>
        <w:t>misdiagnosis</w:t>
      </w:r>
      <w:r w:rsidR="00387BB0" w:rsidRPr="002D7F02">
        <w:rPr>
          <w:lang w:val="en-US"/>
        </w:rPr>
        <w:t xml:space="preserve"> for pathologists in the morphological diagnosis of this tumor and its histological variant determination. Pathologists emphasize that pleomorphic adenoma may be confused with </w:t>
      </w:r>
      <w:proofErr w:type="spellStart"/>
      <w:r w:rsidR="00387BB0" w:rsidRPr="002D7F02">
        <w:rPr>
          <w:lang w:val="en-US"/>
        </w:rPr>
        <w:t>myoepithelioma</w:t>
      </w:r>
      <w:proofErr w:type="spellEnd"/>
      <w:r w:rsidR="00387BB0" w:rsidRPr="002D7F02">
        <w:rPr>
          <w:lang w:val="en-US"/>
        </w:rPr>
        <w:t xml:space="preserve">, adenoid cystic carcinoma, </w:t>
      </w:r>
      <w:proofErr w:type="spellStart"/>
      <w:r w:rsidR="00387BB0" w:rsidRPr="002D7F02">
        <w:rPr>
          <w:lang w:val="en-US"/>
        </w:rPr>
        <w:t>mucoepidermoid</w:t>
      </w:r>
      <w:proofErr w:type="spellEnd"/>
      <w:r w:rsidR="00387BB0" w:rsidRPr="002D7F02">
        <w:rPr>
          <w:lang w:val="en-US"/>
        </w:rPr>
        <w:t xml:space="preserve"> carcinoma, basal cell adenoma because of its varied </w:t>
      </w:r>
      <w:proofErr w:type="spellStart"/>
      <w:r w:rsidR="00387BB0" w:rsidRPr="002D7F02">
        <w:rPr>
          <w:lang w:val="en-US"/>
        </w:rPr>
        <w:t>histopathological</w:t>
      </w:r>
      <w:proofErr w:type="spellEnd"/>
      <w:r w:rsidR="00387BB0">
        <w:rPr>
          <w:lang w:val="en-US"/>
        </w:rPr>
        <w:t xml:space="preserve"> presentation</w:t>
      </w:r>
      <w:r w:rsidR="00387BB0" w:rsidRPr="002D7F02">
        <w:rPr>
          <w:lang w:val="en-US"/>
        </w:rPr>
        <w:t xml:space="preserve">. </w:t>
      </w:r>
      <w:r w:rsidR="00387BB0" w:rsidRPr="002D7F02">
        <w:rPr>
          <w:color w:val="000000" w:themeColor="text1"/>
          <w:lang w:val="en-US"/>
        </w:rPr>
        <w:t xml:space="preserve">The results of our own long-term research allow us to identify certain morphological features of various pleomorphic adenomas and, on their basis, to formulate an integrated approach to the morphological diagnosis of these tumor variants. </w:t>
      </w:r>
    </w:p>
    <w:p w:rsidR="00387BB0" w:rsidRPr="002D7F02" w:rsidRDefault="00387BB0" w:rsidP="00387BB0">
      <w:pPr>
        <w:spacing w:line="480" w:lineRule="auto"/>
        <w:ind w:firstLine="708"/>
        <w:jc w:val="both"/>
        <w:rPr>
          <w:color w:val="000000" w:themeColor="text1"/>
          <w:lang w:val="en-US"/>
        </w:rPr>
      </w:pPr>
      <w:r w:rsidRPr="00387BB0">
        <w:rPr>
          <w:b/>
          <w:color w:val="000000" w:themeColor="text1"/>
          <w:lang w:val="en-US"/>
        </w:rPr>
        <w:t>The aim</w:t>
      </w:r>
      <w:r w:rsidRPr="002D7F02">
        <w:rPr>
          <w:color w:val="000000" w:themeColor="text1"/>
          <w:lang w:val="en-US"/>
        </w:rPr>
        <w:t xml:space="preserve"> is to describe an integrated approach to the morphological diagnosis of different types of pleomorphic adenomas of the salivary gland.</w:t>
      </w:r>
    </w:p>
    <w:p w:rsidR="00765990" w:rsidRPr="00387BB0" w:rsidRDefault="00387BB0" w:rsidP="002D7F02">
      <w:pPr>
        <w:spacing w:line="480" w:lineRule="auto"/>
        <w:jc w:val="both"/>
        <w:rPr>
          <w:color w:val="000000" w:themeColor="text1"/>
          <w:lang w:val="en-US"/>
        </w:rPr>
      </w:pPr>
      <w:r>
        <w:rPr>
          <w:color w:val="000000" w:themeColor="text1"/>
          <w:lang w:val="en-US"/>
        </w:rPr>
        <w:lastRenderedPageBreak/>
        <w:tab/>
      </w:r>
      <w:proofErr w:type="gramStart"/>
      <w:r w:rsidRPr="0034173B">
        <w:rPr>
          <w:b/>
          <w:lang w:val="en-US"/>
        </w:rPr>
        <w:t>Materials and methods.</w:t>
      </w:r>
      <w:proofErr w:type="gramEnd"/>
      <w:r>
        <w:rPr>
          <w:lang w:val="en-US"/>
        </w:rPr>
        <w:t xml:space="preserve"> </w:t>
      </w:r>
      <w:r w:rsidRPr="002D7F02">
        <w:rPr>
          <w:color w:val="000000"/>
          <w:lang w:val="en-US"/>
        </w:rPr>
        <w:t>Surgical and biopsy material from 30 patients with pleomorphic adenomas</w:t>
      </w:r>
      <w:r w:rsidR="009B0A9C">
        <w:rPr>
          <w:color w:val="000000"/>
          <w:lang w:val="en-US"/>
        </w:rPr>
        <w:t xml:space="preserve"> of e</w:t>
      </w:r>
      <w:r w:rsidR="009B0A9C" w:rsidRPr="00721125">
        <w:rPr>
          <w:color w:val="000000"/>
          <w:lang w:val="en-US"/>
        </w:rPr>
        <w:t xml:space="preserve">pithelial, mixed and </w:t>
      </w:r>
      <w:proofErr w:type="spellStart"/>
      <w:r w:rsidR="009B0A9C" w:rsidRPr="00721125">
        <w:rPr>
          <w:color w:val="000000"/>
          <w:lang w:val="en-US"/>
        </w:rPr>
        <w:t>mesenchymal</w:t>
      </w:r>
      <w:proofErr w:type="spellEnd"/>
      <w:r w:rsidR="009B0A9C" w:rsidRPr="00721125">
        <w:rPr>
          <w:color w:val="000000"/>
          <w:lang w:val="en-US"/>
        </w:rPr>
        <w:t xml:space="preserve"> variants</w:t>
      </w:r>
      <w:r w:rsidR="009B0A9C" w:rsidRPr="002D7F02">
        <w:rPr>
          <w:color w:val="000000"/>
          <w:lang w:val="en-US"/>
        </w:rPr>
        <w:t xml:space="preserve"> </w:t>
      </w:r>
      <w:r w:rsidRPr="002D7F02">
        <w:rPr>
          <w:color w:val="000000"/>
          <w:lang w:val="en-US"/>
        </w:rPr>
        <w:t xml:space="preserve">was studied using histological, </w:t>
      </w:r>
      <w:proofErr w:type="spellStart"/>
      <w:r w:rsidRPr="002D7F02">
        <w:rPr>
          <w:color w:val="000000"/>
          <w:lang w:val="en-US"/>
        </w:rPr>
        <w:t>immunohistochemical</w:t>
      </w:r>
      <w:proofErr w:type="spellEnd"/>
      <w:r w:rsidRPr="002D7F02">
        <w:rPr>
          <w:color w:val="000000"/>
          <w:lang w:val="en-US"/>
        </w:rPr>
        <w:t>, genetic, morphometric</w:t>
      </w:r>
      <w:r w:rsidR="009B0A9C">
        <w:rPr>
          <w:color w:val="000000"/>
          <w:lang w:val="en-US"/>
        </w:rPr>
        <w:t xml:space="preserve"> and</w:t>
      </w:r>
      <w:r w:rsidRPr="002D7F02">
        <w:rPr>
          <w:color w:val="000000"/>
          <w:lang w:val="en-US"/>
        </w:rPr>
        <w:t xml:space="preserve"> statistical methods.</w:t>
      </w:r>
    </w:p>
    <w:p w:rsidR="00E4551C" w:rsidRPr="002D7F02" w:rsidRDefault="009B0A9C" w:rsidP="002D7F02">
      <w:pPr>
        <w:spacing w:line="480" w:lineRule="auto"/>
        <w:jc w:val="both"/>
        <w:rPr>
          <w:noProof/>
          <w:lang w:val="en-US"/>
        </w:rPr>
      </w:pPr>
      <w:r>
        <w:rPr>
          <w:lang w:val="en-US"/>
        </w:rPr>
        <w:tab/>
      </w:r>
      <w:proofErr w:type="gramStart"/>
      <w:r w:rsidRPr="00B92BA2">
        <w:rPr>
          <w:b/>
          <w:color w:val="000000"/>
          <w:lang w:val="en-US"/>
        </w:rPr>
        <w:t>Results.</w:t>
      </w:r>
      <w:proofErr w:type="gramEnd"/>
      <w:r>
        <w:rPr>
          <w:color w:val="000000"/>
          <w:lang w:val="en-US"/>
        </w:rPr>
        <w:t xml:space="preserve"> </w:t>
      </w:r>
      <w:r w:rsidR="000C3958" w:rsidRPr="002D7F02">
        <w:rPr>
          <w:lang w:val="en-US"/>
        </w:rPr>
        <w:t xml:space="preserve">The results of </w:t>
      </w:r>
      <w:r w:rsidR="008C158A" w:rsidRPr="002D7F02">
        <w:rPr>
          <w:lang w:val="en-US"/>
        </w:rPr>
        <w:t>r</w:t>
      </w:r>
      <w:r w:rsidR="000C3958" w:rsidRPr="002D7F02">
        <w:rPr>
          <w:lang w:val="en-US"/>
        </w:rPr>
        <w:t xml:space="preserve">esearch allowed us to identify </w:t>
      </w:r>
      <w:r w:rsidR="00C62AA5" w:rsidRPr="002D7F02">
        <w:rPr>
          <w:lang w:val="en-US"/>
        </w:rPr>
        <w:t xml:space="preserve">methods for determination the </w:t>
      </w:r>
      <w:r w:rsidR="00CF3BB5" w:rsidRPr="002D7F02">
        <w:rPr>
          <w:lang w:val="en-US"/>
        </w:rPr>
        <w:t xml:space="preserve">pleomorphic adenomas </w:t>
      </w:r>
      <w:r w:rsidR="00C62AA5" w:rsidRPr="002D7F02">
        <w:rPr>
          <w:lang w:val="en-US"/>
        </w:rPr>
        <w:t xml:space="preserve">types. </w:t>
      </w:r>
      <w:r w:rsidR="00E4551C" w:rsidRPr="002D7F02">
        <w:rPr>
          <w:lang w:val="en-US"/>
        </w:rPr>
        <w:t xml:space="preserve">The first method requires an </w:t>
      </w:r>
      <w:proofErr w:type="spellStart"/>
      <w:r w:rsidR="00E4551C" w:rsidRPr="002D7F02">
        <w:rPr>
          <w:lang w:val="en-US"/>
        </w:rPr>
        <w:t>immunohistochemical</w:t>
      </w:r>
      <w:proofErr w:type="spellEnd"/>
      <w:r w:rsidR="00E4551C" w:rsidRPr="002D7F02">
        <w:rPr>
          <w:lang w:val="en-US"/>
        </w:rPr>
        <w:t xml:space="preserve"> reaction with a </w:t>
      </w:r>
      <w:r w:rsidR="007A36D1" w:rsidRPr="002D7F02">
        <w:rPr>
          <w:color w:val="000000"/>
          <w:lang w:val="en-US"/>
        </w:rPr>
        <w:t>monoclonal antibody</w:t>
      </w:r>
      <w:r w:rsidR="007A36D1" w:rsidRPr="002D7F02">
        <w:rPr>
          <w:lang w:val="en-US"/>
        </w:rPr>
        <w:t xml:space="preserve"> </w:t>
      </w:r>
      <w:r w:rsidR="00E4551C" w:rsidRPr="002D7F02">
        <w:rPr>
          <w:lang w:val="en-US"/>
        </w:rPr>
        <w:t xml:space="preserve">to </w:t>
      </w:r>
      <w:r w:rsidR="007A36D1" w:rsidRPr="002D7F02">
        <w:rPr>
          <w:color w:val="000000"/>
          <w:lang w:val="en-US"/>
        </w:rPr>
        <w:t>human papillomavirus</w:t>
      </w:r>
      <w:r w:rsidR="007A36D1" w:rsidRPr="002D7F02">
        <w:rPr>
          <w:lang w:val="en-US"/>
        </w:rPr>
        <w:t xml:space="preserve"> </w:t>
      </w:r>
      <w:r w:rsidR="00E4551C" w:rsidRPr="002D7F02">
        <w:rPr>
          <w:lang w:val="en-US"/>
        </w:rPr>
        <w:t>type 16, followed by counting the percentage of positively s</w:t>
      </w:r>
      <w:r w:rsidR="008C158A" w:rsidRPr="002D7F02">
        <w:rPr>
          <w:lang w:val="en-US"/>
        </w:rPr>
        <w:t>tained cells in the tumor</w:t>
      </w:r>
      <w:r w:rsidR="00E4551C" w:rsidRPr="002D7F02">
        <w:rPr>
          <w:lang w:val="en-US"/>
        </w:rPr>
        <w:t xml:space="preserve">. </w:t>
      </w:r>
      <w:r w:rsidR="00E4551C" w:rsidRPr="002D7F02">
        <w:rPr>
          <w:color w:val="000000"/>
          <w:kern w:val="1"/>
          <w:lang w:val="en-US"/>
        </w:rPr>
        <w:t xml:space="preserve">Thus, the </w:t>
      </w:r>
      <w:proofErr w:type="spellStart"/>
      <w:r w:rsidR="00E4551C" w:rsidRPr="002D7F02">
        <w:rPr>
          <w:color w:val="000000"/>
          <w:kern w:val="1"/>
          <w:lang w:val="en-US"/>
        </w:rPr>
        <w:t>mesenchymal</w:t>
      </w:r>
      <w:proofErr w:type="spellEnd"/>
      <w:r w:rsidR="00E4551C" w:rsidRPr="002D7F02">
        <w:rPr>
          <w:color w:val="000000"/>
          <w:kern w:val="1"/>
          <w:lang w:val="en-US"/>
        </w:rPr>
        <w:t xml:space="preserve"> variant of the tumor is diagnosed when the percentage of positively stained cells is &lt; 40%. In the mixed variant, this indicator is ≥ 40%, but ≤ 70%, and in epithelial variant – &gt; 70%. The second </w:t>
      </w:r>
      <w:r w:rsidR="00E4551C" w:rsidRPr="002D7F02">
        <w:rPr>
          <w:lang w:val="en-US"/>
        </w:rPr>
        <w:t>method</w:t>
      </w:r>
      <w:r w:rsidR="00E4551C" w:rsidRPr="002D7F02">
        <w:rPr>
          <w:color w:val="000000"/>
          <w:kern w:val="1"/>
          <w:lang w:val="en-US"/>
        </w:rPr>
        <w:t xml:space="preserve"> was based on the multivariate discriminant analysis. T</w:t>
      </w:r>
      <w:r w:rsidR="00E4551C" w:rsidRPr="002D7F02">
        <w:rPr>
          <w:noProof/>
          <w:lang w:val="uk-UA"/>
        </w:rPr>
        <w:t>hree formula</w:t>
      </w:r>
      <w:r w:rsidR="00E4551C" w:rsidRPr="002D7F02">
        <w:rPr>
          <w:noProof/>
          <w:lang w:val="en-US"/>
        </w:rPr>
        <w:t>e</w:t>
      </w:r>
      <w:r w:rsidR="00E4551C" w:rsidRPr="002D7F02">
        <w:rPr>
          <w:noProof/>
          <w:lang w:val="uk-UA"/>
        </w:rPr>
        <w:t xml:space="preserve"> were derived </w:t>
      </w:r>
      <w:r w:rsidR="00E4551C" w:rsidRPr="002D7F02">
        <w:rPr>
          <w:noProof/>
          <w:lang w:val="en-US"/>
        </w:rPr>
        <w:t>to</w:t>
      </w:r>
      <w:r w:rsidR="00E4551C" w:rsidRPr="002D7F02">
        <w:rPr>
          <w:noProof/>
          <w:lang w:val="uk-UA"/>
        </w:rPr>
        <w:t xml:space="preserve"> determine the </w:t>
      </w:r>
      <w:r w:rsidR="00333AC4" w:rsidRPr="002D7F02">
        <w:rPr>
          <w:noProof/>
          <w:lang w:val="en-US"/>
        </w:rPr>
        <w:t xml:space="preserve">tumor types </w:t>
      </w:r>
      <w:r w:rsidR="00E4551C" w:rsidRPr="002D7F02">
        <w:rPr>
          <w:noProof/>
          <w:lang w:val="uk-UA"/>
        </w:rPr>
        <w:t>(</w:t>
      </w:r>
      <w:r w:rsidR="00E4551C" w:rsidRPr="002D7F02">
        <w:rPr>
          <w:lang w:val="en-US"/>
        </w:rPr>
        <w:t>F</w:t>
      </w:r>
      <w:r w:rsidR="00E4551C" w:rsidRPr="002D7F02">
        <w:rPr>
          <w:noProof/>
          <w:vertAlign w:val="subscript"/>
          <w:lang w:val="uk-UA"/>
        </w:rPr>
        <w:t>mesenchymal</w:t>
      </w:r>
      <w:r w:rsidR="00E4551C" w:rsidRPr="002D7F02">
        <w:rPr>
          <w:lang w:val="en-US"/>
        </w:rPr>
        <w:t xml:space="preserve"> = - 41.03 + 4.96</w:t>
      </w:r>
      <w:r w:rsidR="00E4551C" w:rsidRPr="002D7F02">
        <w:t>Х</w:t>
      </w:r>
      <w:r w:rsidR="00E4551C" w:rsidRPr="002D7F02">
        <w:rPr>
          <w:vertAlign w:val="subscript"/>
          <w:lang w:val="en-US"/>
        </w:rPr>
        <w:t xml:space="preserve">1 </w:t>
      </w:r>
      <w:r w:rsidR="00E4551C" w:rsidRPr="002D7F02">
        <w:rPr>
          <w:lang w:val="en-US"/>
        </w:rPr>
        <w:t>+ 1.11</w:t>
      </w:r>
      <w:r w:rsidR="00E4551C" w:rsidRPr="002D7F02">
        <w:t>Х</w:t>
      </w:r>
      <w:r w:rsidR="00E4551C" w:rsidRPr="002D7F02">
        <w:rPr>
          <w:vertAlign w:val="subscript"/>
          <w:lang w:val="en-US"/>
        </w:rPr>
        <w:t>2</w:t>
      </w:r>
      <w:r w:rsidR="00E4551C" w:rsidRPr="002D7F02">
        <w:rPr>
          <w:lang w:val="en-US"/>
        </w:rPr>
        <w:t>, F</w:t>
      </w:r>
      <w:r w:rsidR="00E4551C" w:rsidRPr="002D7F02">
        <w:rPr>
          <w:noProof/>
          <w:vertAlign w:val="subscript"/>
          <w:lang w:val="uk-UA"/>
        </w:rPr>
        <w:t>epithelial</w:t>
      </w:r>
      <w:r w:rsidR="00E4551C" w:rsidRPr="002D7F02">
        <w:rPr>
          <w:vertAlign w:val="subscript"/>
          <w:lang w:val="en-US"/>
        </w:rPr>
        <w:t xml:space="preserve"> </w:t>
      </w:r>
      <w:r w:rsidR="00E4551C" w:rsidRPr="002D7F02">
        <w:rPr>
          <w:lang w:val="en-US"/>
        </w:rPr>
        <w:t>= - 22.27 + 3.46</w:t>
      </w:r>
      <w:r w:rsidR="00E4551C" w:rsidRPr="002D7F02">
        <w:t>Х</w:t>
      </w:r>
      <w:r w:rsidR="00E4551C" w:rsidRPr="002D7F02">
        <w:rPr>
          <w:vertAlign w:val="subscript"/>
          <w:lang w:val="en-US"/>
        </w:rPr>
        <w:t>1</w:t>
      </w:r>
      <w:r w:rsidR="00E4551C" w:rsidRPr="002D7F02">
        <w:rPr>
          <w:lang w:val="en-US"/>
        </w:rPr>
        <w:t xml:space="preserve"> + 0.85</w:t>
      </w:r>
      <w:r w:rsidR="00E4551C" w:rsidRPr="002D7F02">
        <w:t>Х</w:t>
      </w:r>
      <w:r w:rsidR="00E4551C" w:rsidRPr="002D7F02">
        <w:rPr>
          <w:vertAlign w:val="subscript"/>
          <w:lang w:val="en-US"/>
        </w:rPr>
        <w:t>2</w:t>
      </w:r>
      <w:r w:rsidR="00E4551C" w:rsidRPr="002D7F02">
        <w:rPr>
          <w:lang w:val="en-US"/>
        </w:rPr>
        <w:t>, F</w:t>
      </w:r>
      <w:r w:rsidR="00E4551C" w:rsidRPr="002D7F02">
        <w:rPr>
          <w:noProof/>
          <w:vertAlign w:val="subscript"/>
          <w:lang w:val="uk-UA"/>
        </w:rPr>
        <w:t>mixed</w:t>
      </w:r>
      <w:r w:rsidR="00E4551C" w:rsidRPr="002D7F02">
        <w:rPr>
          <w:vertAlign w:val="subscript"/>
          <w:lang w:val="en-US"/>
        </w:rPr>
        <w:t xml:space="preserve"> </w:t>
      </w:r>
      <w:r w:rsidR="00E4551C" w:rsidRPr="002D7F02">
        <w:rPr>
          <w:lang w:val="en-US"/>
        </w:rPr>
        <w:t>= - 122.25 + 5.63</w:t>
      </w:r>
      <w:r w:rsidR="00E4551C" w:rsidRPr="002D7F02">
        <w:t>Х</w:t>
      </w:r>
      <w:r w:rsidR="00E4551C" w:rsidRPr="002D7F02">
        <w:rPr>
          <w:vertAlign w:val="subscript"/>
          <w:lang w:val="en-US"/>
        </w:rPr>
        <w:t>1</w:t>
      </w:r>
      <w:r w:rsidR="00E4551C" w:rsidRPr="002D7F02">
        <w:rPr>
          <w:lang w:val="en-US"/>
        </w:rPr>
        <w:t xml:space="preserve"> + 3.2</w:t>
      </w:r>
      <w:r w:rsidR="00E4551C" w:rsidRPr="002D7F02">
        <w:rPr>
          <w:lang w:val="uk-UA"/>
        </w:rPr>
        <w:t>Х</w:t>
      </w:r>
      <w:r w:rsidR="00E4551C" w:rsidRPr="002D7F02">
        <w:rPr>
          <w:vertAlign w:val="subscript"/>
          <w:lang w:val="uk-UA"/>
        </w:rPr>
        <w:t>2</w:t>
      </w:r>
      <w:r w:rsidR="00E4551C" w:rsidRPr="002D7F02">
        <w:rPr>
          <w:lang w:val="uk-UA"/>
        </w:rPr>
        <w:t>,</w:t>
      </w:r>
      <w:r w:rsidR="00E4551C" w:rsidRPr="002D7F02">
        <w:rPr>
          <w:lang w:val="en-US"/>
        </w:rPr>
        <w:t xml:space="preserve"> here </w:t>
      </w:r>
      <w:r w:rsidR="00E4551C" w:rsidRPr="002D7F02">
        <w:t>Х</w:t>
      </w:r>
      <w:r w:rsidR="00E4551C" w:rsidRPr="002D7F02">
        <w:rPr>
          <w:vertAlign w:val="subscript"/>
          <w:lang w:val="en-US"/>
        </w:rPr>
        <w:t>1</w:t>
      </w:r>
      <w:r w:rsidR="00E4551C" w:rsidRPr="002D7F02">
        <w:rPr>
          <w:lang w:val="en-US"/>
        </w:rPr>
        <w:t xml:space="preserve"> - number of vessels, </w:t>
      </w:r>
      <w:r w:rsidR="00E4551C" w:rsidRPr="002D7F02">
        <w:t>Х</w:t>
      </w:r>
      <w:r w:rsidR="00E4551C" w:rsidRPr="002D7F02">
        <w:rPr>
          <w:vertAlign w:val="subscript"/>
          <w:lang w:val="en-US"/>
        </w:rPr>
        <w:t>2</w:t>
      </w:r>
      <w:r w:rsidR="00E4551C" w:rsidRPr="002D7F02">
        <w:rPr>
          <w:lang w:val="en-US"/>
        </w:rPr>
        <w:t xml:space="preserve"> </w:t>
      </w:r>
      <w:r w:rsidR="00C84C1C" w:rsidRPr="002D7F02">
        <w:rPr>
          <w:lang w:val="en-US"/>
        </w:rPr>
        <w:t>– specific volume of parenchyma</w:t>
      </w:r>
      <w:r w:rsidR="00E4551C" w:rsidRPr="002D7F02">
        <w:rPr>
          <w:noProof/>
          <w:lang w:val="uk-UA"/>
        </w:rPr>
        <w:t>).</w:t>
      </w:r>
    </w:p>
    <w:p w:rsidR="009B0A9C" w:rsidRDefault="009B0A9C" w:rsidP="009B0A9C">
      <w:pPr>
        <w:spacing w:line="480" w:lineRule="auto"/>
        <w:ind w:firstLine="708"/>
        <w:jc w:val="both"/>
        <w:rPr>
          <w:noProof/>
          <w:lang w:val="en-US"/>
        </w:rPr>
      </w:pPr>
      <w:proofErr w:type="gramStart"/>
      <w:r w:rsidRPr="00B92BA2">
        <w:rPr>
          <w:b/>
          <w:color w:val="000000"/>
          <w:lang w:val="en-US"/>
        </w:rPr>
        <w:t>Conclusions</w:t>
      </w:r>
      <w:r w:rsidRPr="00B92BA2">
        <w:rPr>
          <w:color w:val="000000"/>
          <w:lang w:val="en-US"/>
        </w:rPr>
        <w:t>.</w:t>
      </w:r>
      <w:proofErr w:type="gramEnd"/>
      <w:r>
        <w:rPr>
          <w:color w:val="000000"/>
          <w:lang w:val="en-US"/>
        </w:rPr>
        <w:t xml:space="preserve"> T</w:t>
      </w:r>
      <w:r w:rsidRPr="002D7F02">
        <w:rPr>
          <w:color w:val="000000"/>
          <w:lang w:val="en-US"/>
        </w:rPr>
        <w:t>he authors identified several methods for determining the histological variants of pleomorphic adenomas. These methods will improve the morphological diagnosis of pleomorphic adenomas variants in the preoperative and postoperative periods.</w:t>
      </w:r>
    </w:p>
    <w:p w:rsidR="009B0A9C" w:rsidRDefault="009B0A9C" w:rsidP="009B0A9C">
      <w:pPr>
        <w:spacing w:line="480" w:lineRule="auto"/>
        <w:ind w:firstLine="708"/>
        <w:jc w:val="both"/>
        <w:rPr>
          <w:noProof/>
          <w:lang w:val="en-US"/>
        </w:rPr>
      </w:pPr>
      <w:r w:rsidRPr="002D7F02">
        <w:rPr>
          <w:b/>
          <w:color w:val="000000"/>
          <w:lang w:val="en-US"/>
        </w:rPr>
        <w:t>Key words:</w:t>
      </w:r>
      <w:r w:rsidRPr="002D7F02">
        <w:rPr>
          <w:color w:val="000000"/>
          <w:lang w:val="en-US"/>
        </w:rPr>
        <w:t xml:space="preserve"> </w:t>
      </w:r>
      <w:r w:rsidR="00EE02AB" w:rsidRPr="002D7F02">
        <w:rPr>
          <w:color w:val="000000"/>
          <w:lang w:val="en-US"/>
        </w:rPr>
        <w:t>diagnosis,</w:t>
      </w:r>
      <w:r w:rsidR="00EE02AB">
        <w:rPr>
          <w:color w:val="000000"/>
          <w:lang w:val="en-US"/>
        </w:rPr>
        <w:t xml:space="preserve"> </w:t>
      </w:r>
      <w:r w:rsidR="00EE02AB" w:rsidRPr="002D7F02">
        <w:rPr>
          <w:color w:val="000000"/>
          <w:lang w:val="en-US"/>
        </w:rPr>
        <w:t>morphology,</w:t>
      </w:r>
      <w:r w:rsidR="00EE02AB">
        <w:rPr>
          <w:color w:val="000000"/>
          <w:lang w:val="en-US"/>
        </w:rPr>
        <w:t xml:space="preserve"> </w:t>
      </w:r>
      <w:r w:rsidR="00EE02AB" w:rsidRPr="002D7F02">
        <w:rPr>
          <w:color w:val="000000"/>
          <w:lang w:val="en-US"/>
        </w:rPr>
        <w:t>pleomorphic adenomas types,</w:t>
      </w:r>
      <w:r w:rsidR="00EE02AB">
        <w:rPr>
          <w:color w:val="000000"/>
          <w:lang w:val="en-US"/>
        </w:rPr>
        <w:t xml:space="preserve"> </w:t>
      </w:r>
      <w:r w:rsidRPr="002D7F02">
        <w:rPr>
          <w:color w:val="000000"/>
          <w:lang w:val="en-US"/>
        </w:rPr>
        <w:t>salivary gland.</w:t>
      </w:r>
    </w:p>
    <w:p w:rsidR="009B0A9C" w:rsidRDefault="009B0A9C" w:rsidP="009B0A9C">
      <w:pPr>
        <w:spacing w:line="480" w:lineRule="auto"/>
        <w:ind w:firstLine="708"/>
        <w:jc w:val="both"/>
        <w:rPr>
          <w:noProof/>
          <w:lang w:val="en-US"/>
        </w:rPr>
      </w:pPr>
    </w:p>
    <w:p w:rsidR="00194FDD" w:rsidRPr="002D7F02" w:rsidRDefault="00BB6E91" w:rsidP="002D7F02">
      <w:pPr>
        <w:spacing w:line="480" w:lineRule="auto"/>
        <w:ind w:firstLine="708"/>
        <w:jc w:val="both"/>
        <w:rPr>
          <w:color w:val="212121"/>
          <w:shd w:val="clear" w:color="auto" w:fill="FFFFFF"/>
          <w:lang w:val="en-US"/>
        </w:rPr>
      </w:pPr>
      <w:proofErr w:type="gramStart"/>
      <w:r w:rsidRPr="002D7F02">
        <w:rPr>
          <w:b/>
          <w:lang w:val="en-US"/>
        </w:rPr>
        <w:t>Introduction.</w:t>
      </w:r>
      <w:proofErr w:type="gramEnd"/>
      <w:r w:rsidRPr="002D7F02">
        <w:rPr>
          <w:b/>
          <w:lang w:val="en-US"/>
        </w:rPr>
        <w:t xml:space="preserve"> </w:t>
      </w:r>
      <w:r w:rsidR="00F45905" w:rsidRPr="002D7F02">
        <w:rPr>
          <w:lang w:val="en-US"/>
        </w:rPr>
        <w:t xml:space="preserve">Salivary gland </w:t>
      </w:r>
      <w:r w:rsidR="00867A02" w:rsidRPr="002D7F02">
        <w:rPr>
          <w:lang w:val="en-US"/>
        </w:rPr>
        <w:t xml:space="preserve">neoplasms are a </w:t>
      </w:r>
      <w:r w:rsidR="00194FDD" w:rsidRPr="002D7F02">
        <w:rPr>
          <w:lang w:val="en-US"/>
        </w:rPr>
        <w:t>heterogeneous</w:t>
      </w:r>
      <w:r w:rsidR="00867A02" w:rsidRPr="002D7F02">
        <w:rPr>
          <w:lang w:val="en-US"/>
        </w:rPr>
        <w:t xml:space="preserve"> group of tumors</w:t>
      </w:r>
      <w:r w:rsidR="00F45905" w:rsidRPr="002D7F02">
        <w:rPr>
          <w:lang w:val="en-US"/>
        </w:rPr>
        <w:t xml:space="preserve">, </w:t>
      </w:r>
      <w:r w:rsidR="00867A02" w:rsidRPr="002D7F02">
        <w:rPr>
          <w:lang w:val="en-US"/>
        </w:rPr>
        <w:t xml:space="preserve">accounting for </w:t>
      </w:r>
      <w:r w:rsidR="00F45905" w:rsidRPr="002D7F02">
        <w:rPr>
          <w:lang w:val="en-US"/>
        </w:rPr>
        <w:t>only 3</w:t>
      </w:r>
      <w:r w:rsidR="00867A02" w:rsidRPr="002D7F02">
        <w:rPr>
          <w:lang w:val="en-US"/>
        </w:rPr>
        <w:t xml:space="preserve"> to </w:t>
      </w:r>
      <w:r w:rsidR="00F45905" w:rsidRPr="002D7F02">
        <w:rPr>
          <w:lang w:val="en-US"/>
        </w:rPr>
        <w:t xml:space="preserve">10% </w:t>
      </w:r>
      <w:r w:rsidR="00867A02" w:rsidRPr="002D7F02">
        <w:rPr>
          <w:lang w:val="en-US"/>
        </w:rPr>
        <w:t xml:space="preserve">of all </w:t>
      </w:r>
      <w:r w:rsidR="00F45905" w:rsidRPr="002D7F02">
        <w:rPr>
          <w:lang w:val="en-US"/>
        </w:rPr>
        <w:t>head and neck neoplas</w:t>
      </w:r>
      <w:r w:rsidR="00867A02" w:rsidRPr="002D7F02">
        <w:rPr>
          <w:lang w:val="en-US"/>
        </w:rPr>
        <w:t>tic processes</w:t>
      </w:r>
      <w:r w:rsidR="00BE24D0" w:rsidRPr="002D7F02">
        <w:rPr>
          <w:lang w:val="en-US"/>
        </w:rPr>
        <w:t> </w:t>
      </w:r>
      <w:r w:rsidR="00163BAC" w:rsidRPr="002D7F02">
        <w:rPr>
          <w:lang w:val="en-US"/>
        </w:rPr>
        <w:t>[</w:t>
      </w:r>
      <w:r w:rsidR="00CB7F0B" w:rsidRPr="002D7F02">
        <w:rPr>
          <w:lang w:val="en-US"/>
        </w:rPr>
        <w:t>1,</w:t>
      </w:r>
      <w:r w:rsidR="00BE24D0" w:rsidRPr="002D7F02">
        <w:rPr>
          <w:lang w:val="en-US"/>
        </w:rPr>
        <w:t> </w:t>
      </w:r>
      <w:r w:rsidR="00163BAC" w:rsidRPr="002D7F02">
        <w:rPr>
          <w:lang w:val="en-US"/>
        </w:rPr>
        <w:t>2]</w:t>
      </w:r>
      <w:r w:rsidR="00194FDD" w:rsidRPr="002D7F02">
        <w:rPr>
          <w:color w:val="212121"/>
          <w:shd w:val="clear" w:color="auto" w:fill="FFFFFF"/>
          <w:lang w:val="en-US"/>
        </w:rPr>
        <w:t>.</w:t>
      </w:r>
    </w:p>
    <w:p w:rsidR="0091366E" w:rsidRPr="002D7F02" w:rsidRDefault="0016116A" w:rsidP="002D7F02">
      <w:pPr>
        <w:spacing w:line="480" w:lineRule="auto"/>
        <w:ind w:firstLine="708"/>
        <w:jc w:val="both"/>
        <w:rPr>
          <w:lang w:val="en-US"/>
        </w:rPr>
      </w:pPr>
      <w:r w:rsidRPr="002D7F02">
        <w:rPr>
          <w:lang w:val="en-US"/>
        </w:rPr>
        <w:t>Pleomorphic adenoma is the most common benign tumor of the salivary glands with an incidence rate between 4.2-4.9</w:t>
      </w:r>
      <w:r w:rsidRPr="002D7F02">
        <w:rPr>
          <w:lang w:val="uk-UA"/>
        </w:rPr>
        <w:t xml:space="preserve">/100,000 </w:t>
      </w:r>
      <w:r w:rsidRPr="002D7F02">
        <w:rPr>
          <w:lang w:val="en-US"/>
        </w:rPr>
        <w:t>person-years</w:t>
      </w:r>
      <w:r w:rsidR="00CB7F0B" w:rsidRPr="002D7F02">
        <w:rPr>
          <w:lang w:val="en-US"/>
        </w:rPr>
        <w:t xml:space="preserve"> </w:t>
      </w:r>
      <w:r w:rsidR="006A4A59" w:rsidRPr="002D7F02">
        <w:rPr>
          <w:lang w:val="en-US"/>
        </w:rPr>
        <w:t>[</w:t>
      </w:r>
      <w:r w:rsidR="00CB7F0B" w:rsidRPr="002D7F02">
        <w:rPr>
          <w:lang w:val="en-US"/>
        </w:rPr>
        <w:t>3</w:t>
      </w:r>
      <w:r w:rsidR="006A4A59" w:rsidRPr="002D7F02">
        <w:rPr>
          <w:lang w:val="en-US"/>
        </w:rPr>
        <w:t>]</w:t>
      </w:r>
      <w:r w:rsidRPr="002D7F02">
        <w:rPr>
          <w:lang w:val="en-US"/>
        </w:rPr>
        <w:t>.</w:t>
      </w:r>
      <w:r w:rsidR="001B00DA" w:rsidRPr="002D7F02">
        <w:rPr>
          <w:lang w:val="en-US"/>
        </w:rPr>
        <w:t xml:space="preserve"> </w:t>
      </w:r>
      <w:r w:rsidR="0091366E" w:rsidRPr="002D7F02">
        <w:rPr>
          <w:lang w:val="en-US"/>
        </w:rPr>
        <w:t>The frequency of pleomorphic adenoma among all salivary gland tumors range</w:t>
      </w:r>
      <w:r w:rsidR="00CA6905" w:rsidRPr="002D7F02">
        <w:rPr>
          <w:lang w:val="en-US"/>
        </w:rPr>
        <w:t>s</w:t>
      </w:r>
      <w:r w:rsidR="0091366E" w:rsidRPr="002D7F02">
        <w:rPr>
          <w:lang w:val="en-US"/>
        </w:rPr>
        <w:t xml:space="preserve"> from 32.6 to 78.6%</w:t>
      </w:r>
      <w:r w:rsidR="00CB7F0B" w:rsidRPr="002D7F02">
        <w:rPr>
          <w:lang w:val="en-US"/>
        </w:rPr>
        <w:t xml:space="preserve"> </w:t>
      </w:r>
      <w:r w:rsidR="006A4A59" w:rsidRPr="002D7F02">
        <w:rPr>
          <w:lang w:val="en-US"/>
        </w:rPr>
        <w:t>[4]</w:t>
      </w:r>
      <w:r w:rsidR="0091366E" w:rsidRPr="002D7F02">
        <w:rPr>
          <w:lang w:val="en-US"/>
        </w:rPr>
        <w:t xml:space="preserve">. </w:t>
      </w:r>
    </w:p>
    <w:p w:rsidR="005D66E2" w:rsidRPr="002D7F02" w:rsidRDefault="00140932" w:rsidP="002D7F02">
      <w:pPr>
        <w:spacing w:line="480" w:lineRule="auto"/>
        <w:ind w:firstLine="708"/>
        <w:jc w:val="both"/>
        <w:rPr>
          <w:color w:val="000000" w:themeColor="text1"/>
          <w:lang w:val="en-US"/>
        </w:rPr>
      </w:pPr>
      <w:r w:rsidRPr="002D7F02">
        <w:rPr>
          <w:lang w:val="en-US"/>
        </w:rPr>
        <w:t xml:space="preserve">Pleomorphic </w:t>
      </w:r>
      <w:r w:rsidRPr="002D7F02">
        <w:rPr>
          <w:color w:val="000000" w:themeColor="text1"/>
          <w:lang w:val="en-US"/>
        </w:rPr>
        <w:t xml:space="preserve">adenoma </w:t>
      </w:r>
      <w:r w:rsidR="00E55AD9" w:rsidRPr="002D7F02">
        <w:rPr>
          <w:color w:val="000000" w:themeColor="text1"/>
          <w:lang w:val="en-US"/>
        </w:rPr>
        <w:t xml:space="preserve">is more often localized </w:t>
      </w:r>
      <w:r w:rsidR="00836D15" w:rsidRPr="002D7F02">
        <w:rPr>
          <w:color w:val="000000" w:themeColor="text1"/>
          <w:lang w:val="en-US"/>
        </w:rPr>
        <w:t xml:space="preserve">in </w:t>
      </w:r>
      <w:r w:rsidR="00E55AD9" w:rsidRPr="002D7F02">
        <w:rPr>
          <w:color w:val="000000" w:themeColor="text1"/>
          <w:lang w:val="en-US"/>
        </w:rPr>
        <w:t>parotid glands (85%), minor salivary glands (10%) and submandibular glands (5%)</w:t>
      </w:r>
      <w:r w:rsidR="001B1319" w:rsidRPr="002D7F02">
        <w:rPr>
          <w:color w:val="000000" w:themeColor="text1"/>
          <w:lang w:val="en-US"/>
        </w:rPr>
        <w:t>.</w:t>
      </w:r>
      <w:r w:rsidR="00E55AD9" w:rsidRPr="002D7F02">
        <w:rPr>
          <w:color w:val="000000" w:themeColor="text1"/>
          <w:lang w:val="en-US"/>
        </w:rPr>
        <w:t xml:space="preserve"> </w:t>
      </w:r>
      <w:r w:rsidR="001B1319" w:rsidRPr="002D7F02">
        <w:rPr>
          <w:color w:val="000000" w:themeColor="text1"/>
          <w:lang w:val="en-US"/>
        </w:rPr>
        <w:t xml:space="preserve">It can also be located in </w:t>
      </w:r>
      <w:r w:rsidR="00352429" w:rsidRPr="002D7F02">
        <w:rPr>
          <w:color w:val="000000" w:themeColor="text1"/>
          <w:lang w:val="en-US"/>
        </w:rPr>
        <w:t xml:space="preserve">the </w:t>
      </w:r>
      <w:r w:rsidR="001B1319" w:rsidRPr="002D7F02">
        <w:rPr>
          <w:color w:val="000000" w:themeColor="text1"/>
          <w:lang w:val="en-US"/>
        </w:rPr>
        <w:t xml:space="preserve">lip, cheek, tongue, </w:t>
      </w:r>
      <w:r w:rsidR="001B1319" w:rsidRPr="002D7F02">
        <w:rPr>
          <w:color w:val="000000" w:themeColor="text1"/>
          <w:lang w:val="en-US"/>
        </w:rPr>
        <w:lastRenderedPageBreak/>
        <w:t>floor of the mouth, etc.</w:t>
      </w:r>
      <w:r w:rsidR="00284AE5" w:rsidRPr="002D7F02">
        <w:rPr>
          <w:color w:val="000000" w:themeColor="text1"/>
          <w:lang w:val="en-US"/>
        </w:rPr>
        <w:t xml:space="preserve"> </w:t>
      </w:r>
      <w:r w:rsidRPr="002D7F02">
        <w:rPr>
          <w:color w:val="000000" w:themeColor="text1"/>
          <w:lang w:val="en-US"/>
        </w:rPr>
        <w:t xml:space="preserve">This tumor </w:t>
      </w:r>
      <w:r w:rsidR="001A7A3F" w:rsidRPr="002D7F02">
        <w:rPr>
          <w:color w:val="000000" w:themeColor="text1"/>
          <w:lang w:val="en-US"/>
        </w:rPr>
        <w:t>definitely shows a female predilection with male-</w:t>
      </w:r>
      <w:r w:rsidRPr="002D7F02">
        <w:rPr>
          <w:color w:val="000000" w:themeColor="text1"/>
          <w:lang w:val="en-US"/>
        </w:rPr>
        <w:t>f</w:t>
      </w:r>
      <w:r w:rsidR="001A7A3F" w:rsidRPr="002D7F02">
        <w:rPr>
          <w:color w:val="000000" w:themeColor="text1"/>
          <w:lang w:val="en-US"/>
        </w:rPr>
        <w:t>emale ratio of 8:13</w:t>
      </w:r>
      <w:r w:rsidR="00CB7F0B" w:rsidRPr="002D7F02">
        <w:rPr>
          <w:color w:val="000000" w:themeColor="text1"/>
          <w:lang w:val="en-US"/>
        </w:rPr>
        <w:t xml:space="preserve"> (5)</w:t>
      </w:r>
      <w:r w:rsidRPr="002D7F02">
        <w:rPr>
          <w:color w:val="000000" w:themeColor="text1"/>
          <w:lang w:val="en-US"/>
        </w:rPr>
        <w:t>.</w:t>
      </w:r>
      <w:r w:rsidR="005D66E2" w:rsidRPr="002D7F02">
        <w:rPr>
          <w:color w:val="000000" w:themeColor="text1"/>
          <w:lang w:val="en-US"/>
        </w:rPr>
        <w:t xml:space="preserve"> Pleomorphic adenoma may be diagnosed at any age, with a maximum incidence in the 4</w:t>
      </w:r>
      <w:r w:rsidR="005D66E2" w:rsidRPr="002D7F02">
        <w:rPr>
          <w:color w:val="000000" w:themeColor="text1"/>
          <w:vertAlign w:val="superscript"/>
          <w:lang w:val="en-US"/>
        </w:rPr>
        <w:t>th</w:t>
      </w:r>
      <w:r w:rsidR="005D66E2" w:rsidRPr="002D7F02">
        <w:rPr>
          <w:color w:val="000000" w:themeColor="text1"/>
          <w:lang w:val="en-US"/>
        </w:rPr>
        <w:t xml:space="preserve"> life decade </w:t>
      </w:r>
      <w:r w:rsidR="006A4A59" w:rsidRPr="002D7F02">
        <w:rPr>
          <w:color w:val="000000" w:themeColor="text1"/>
          <w:lang w:val="en-US"/>
        </w:rPr>
        <w:t>[</w:t>
      </w:r>
      <w:r w:rsidR="00CB7F0B" w:rsidRPr="002D7F02">
        <w:rPr>
          <w:color w:val="000000" w:themeColor="text1"/>
          <w:lang w:val="en-US"/>
        </w:rPr>
        <w:t>1</w:t>
      </w:r>
      <w:r w:rsidR="006A4A59" w:rsidRPr="002D7F02">
        <w:rPr>
          <w:color w:val="000000" w:themeColor="text1"/>
          <w:lang w:val="en-US"/>
        </w:rPr>
        <w:t>]</w:t>
      </w:r>
      <w:r w:rsidR="005D66E2" w:rsidRPr="002D7F02">
        <w:rPr>
          <w:color w:val="000000" w:themeColor="text1"/>
          <w:lang w:val="en-US"/>
        </w:rPr>
        <w:t>.</w:t>
      </w:r>
    </w:p>
    <w:p w:rsidR="0059770B" w:rsidRPr="002D7F02" w:rsidRDefault="001E47C4" w:rsidP="002D7F02">
      <w:pPr>
        <w:spacing w:line="480" w:lineRule="auto"/>
        <w:ind w:firstLine="708"/>
        <w:jc w:val="both"/>
        <w:rPr>
          <w:color w:val="000000" w:themeColor="text1"/>
          <w:lang w:val="en-US"/>
        </w:rPr>
      </w:pPr>
      <w:r w:rsidRPr="002D7F02">
        <w:rPr>
          <w:color w:val="000000" w:themeColor="text1"/>
          <w:lang w:val="en-US"/>
        </w:rPr>
        <w:t xml:space="preserve">The </w:t>
      </w:r>
      <w:proofErr w:type="spellStart"/>
      <w:r w:rsidRPr="002D7F02">
        <w:rPr>
          <w:color w:val="000000" w:themeColor="text1"/>
          <w:lang w:val="en-US"/>
        </w:rPr>
        <w:t>histogenesis</w:t>
      </w:r>
      <w:proofErr w:type="spellEnd"/>
      <w:r w:rsidRPr="002D7F02">
        <w:rPr>
          <w:color w:val="000000" w:themeColor="text1"/>
          <w:lang w:val="en-US"/>
        </w:rPr>
        <w:t xml:space="preserve"> </w:t>
      </w:r>
      <w:r w:rsidR="00B31510" w:rsidRPr="002D7F02">
        <w:rPr>
          <w:color w:val="000000" w:themeColor="text1"/>
          <w:lang w:val="en-US"/>
        </w:rPr>
        <w:t>o</w:t>
      </w:r>
      <w:r w:rsidRPr="002D7F02">
        <w:rPr>
          <w:color w:val="000000" w:themeColor="text1"/>
          <w:lang w:val="en-US"/>
        </w:rPr>
        <w:t xml:space="preserve">f pleomorphic adenoma continues to </w:t>
      </w:r>
      <w:r w:rsidR="00352429" w:rsidRPr="002D7F02">
        <w:rPr>
          <w:color w:val="000000" w:themeColor="text1"/>
          <w:lang w:val="en-US"/>
        </w:rPr>
        <w:t>be</w:t>
      </w:r>
      <w:r w:rsidRPr="002D7F02">
        <w:rPr>
          <w:color w:val="000000" w:themeColor="text1"/>
          <w:lang w:val="en-US"/>
        </w:rPr>
        <w:t xml:space="preserve"> a controversial subject. Thus, while some authors suggest</w:t>
      </w:r>
      <w:r w:rsidR="00352429" w:rsidRPr="002D7F02">
        <w:rPr>
          <w:color w:val="000000" w:themeColor="text1"/>
          <w:lang w:val="en-US"/>
        </w:rPr>
        <w:t xml:space="preserve"> that </w:t>
      </w:r>
      <w:r w:rsidRPr="002D7F02">
        <w:rPr>
          <w:color w:val="000000" w:themeColor="text1"/>
          <w:lang w:val="en-US"/>
        </w:rPr>
        <w:t xml:space="preserve">the two tumor components (parenchyma and </w:t>
      </w:r>
      <w:proofErr w:type="spellStart"/>
      <w:r w:rsidRPr="002D7F02">
        <w:rPr>
          <w:color w:val="000000" w:themeColor="text1"/>
          <w:lang w:val="en-US"/>
        </w:rPr>
        <w:t>stroma</w:t>
      </w:r>
      <w:proofErr w:type="spellEnd"/>
      <w:r w:rsidR="00352429" w:rsidRPr="002D7F02">
        <w:rPr>
          <w:color w:val="000000" w:themeColor="text1"/>
          <w:lang w:val="en-US"/>
        </w:rPr>
        <w:t>)</w:t>
      </w:r>
      <w:r w:rsidR="00285209" w:rsidRPr="002D7F02">
        <w:rPr>
          <w:color w:val="000000" w:themeColor="text1"/>
          <w:lang w:val="en-US"/>
        </w:rPr>
        <w:t xml:space="preserve"> </w:t>
      </w:r>
      <w:r w:rsidR="00352429" w:rsidRPr="002D7F02">
        <w:rPr>
          <w:color w:val="000000" w:themeColor="text1"/>
          <w:lang w:val="en-US"/>
        </w:rPr>
        <w:t xml:space="preserve">originate from </w:t>
      </w:r>
      <w:r w:rsidR="00285209" w:rsidRPr="002D7F02">
        <w:rPr>
          <w:color w:val="000000" w:themeColor="text1"/>
          <w:lang w:val="en-US"/>
        </w:rPr>
        <w:t xml:space="preserve">different sources, </w:t>
      </w:r>
      <w:proofErr w:type="spellStart"/>
      <w:r w:rsidR="00285209" w:rsidRPr="002D7F02">
        <w:rPr>
          <w:color w:val="000000" w:themeColor="text1"/>
          <w:lang w:val="en-US"/>
        </w:rPr>
        <w:t>mesenchymal</w:t>
      </w:r>
      <w:proofErr w:type="spellEnd"/>
      <w:r w:rsidR="00285209" w:rsidRPr="002D7F02">
        <w:rPr>
          <w:color w:val="000000" w:themeColor="text1"/>
          <w:lang w:val="en-US"/>
        </w:rPr>
        <w:t xml:space="preserve"> and </w:t>
      </w:r>
      <w:proofErr w:type="gramStart"/>
      <w:r w:rsidR="00285209" w:rsidRPr="002D7F02">
        <w:rPr>
          <w:color w:val="000000" w:themeColor="text1"/>
          <w:lang w:val="en-US"/>
        </w:rPr>
        <w:t>epithelial,</w:t>
      </w:r>
      <w:proofErr w:type="gramEnd"/>
      <w:r w:rsidR="00285209" w:rsidRPr="002D7F02">
        <w:rPr>
          <w:color w:val="000000" w:themeColor="text1"/>
          <w:lang w:val="en-US"/>
        </w:rPr>
        <w:t xml:space="preserve"> other</w:t>
      </w:r>
      <w:r w:rsidR="00352429" w:rsidRPr="002D7F02">
        <w:rPr>
          <w:color w:val="000000" w:themeColor="text1"/>
          <w:lang w:val="en-US"/>
        </w:rPr>
        <w:t>s</w:t>
      </w:r>
      <w:r w:rsidR="00285209" w:rsidRPr="002D7F02">
        <w:rPr>
          <w:color w:val="000000" w:themeColor="text1"/>
          <w:lang w:val="en-US"/>
        </w:rPr>
        <w:t xml:space="preserve"> support the unicellular origin of this tumor</w:t>
      </w:r>
      <w:r w:rsidR="00CB7F0B" w:rsidRPr="002D7F02">
        <w:rPr>
          <w:color w:val="000000" w:themeColor="text1"/>
          <w:lang w:val="en-US"/>
        </w:rPr>
        <w:t xml:space="preserve"> </w:t>
      </w:r>
      <w:r w:rsidR="006A4A59" w:rsidRPr="002D7F02">
        <w:rPr>
          <w:color w:val="000000" w:themeColor="text1"/>
          <w:lang w:val="en-US"/>
        </w:rPr>
        <w:t>[</w:t>
      </w:r>
      <w:r w:rsidR="00CB7F0B" w:rsidRPr="002D7F02">
        <w:rPr>
          <w:color w:val="000000" w:themeColor="text1"/>
          <w:lang w:val="en-US"/>
        </w:rPr>
        <w:t>1</w:t>
      </w:r>
      <w:r w:rsidR="006A4A59" w:rsidRPr="002D7F02">
        <w:rPr>
          <w:color w:val="000000" w:themeColor="text1"/>
          <w:lang w:val="en-US"/>
        </w:rPr>
        <w:t>]</w:t>
      </w:r>
      <w:r w:rsidR="00A25599" w:rsidRPr="002D7F02">
        <w:rPr>
          <w:color w:val="000000" w:themeColor="text1"/>
          <w:lang w:val="en-US"/>
        </w:rPr>
        <w:t>.</w:t>
      </w:r>
      <w:r w:rsidR="00084841" w:rsidRPr="002D7F02">
        <w:rPr>
          <w:color w:val="000000" w:themeColor="text1"/>
          <w:lang w:val="en-US"/>
        </w:rPr>
        <w:t xml:space="preserve"> Some scientists explain the development of pleomorphic adenoma </w:t>
      </w:r>
      <w:r w:rsidR="00352429" w:rsidRPr="002D7F02">
        <w:rPr>
          <w:color w:val="000000" w:themeColor="text1"/>
          <w:lang w:val="en-US"/>
        </w:rPr>
        <w:t xml:space="preserve">by the </w:t>
      </w:r>
      <w:r w:rsidR="005B2ECB" w:rsidRPr="002D7F02">
        <w:rPr>
          <w:color w:val="000000" w:themeColor="text1"/>
          <w:lang w:val="en-US"/>
        </w:rPr>
        <w:t>p</w:t>
      </w:r>
      <w:r w:rsidR="00084841" w:rsidRPr="002D7F02">
        <w:rPr>
          <w:color w:val="000000" w:themeColor="text1"/>
          <w:lang w:val="en-US"/>
        </w:rPr>
        <w:t xml:space="preserve">resence of reserve cells in the tumor that can </w:t>
      </w:r>
      <w:r w:rsidR="005B2ECB" w:rsidRPr="002D7F02">
        <w:rPr>
          <w:color w:val="000000" w:themeColor="text1"/>
          <w:lang w:val="en-US"/>
        </w:rPr>
        <w:t xml:space="preserve">transform </w:t>
      </w:r>
      <w:r w:rsidR="00084841" w:rsidRPr="002D7F02">
        <w:rPr>
          <w:color w:val="000000" w:themeColor="text1"/>
          <w:lang w:val="en-US"/>
        </w:rPr>
        <w:t>in</w:t>
      </w:r>
      <w:r w:rsidR="0059770B" w:rsidRPr="002D7F02">
        <w:rPr>
          <w:color w:val="000000" w:themeColor="text1"/>
          <w:lang w:val="en-US"/>
        </w:rPr>
        <w:t>to</w:t>
      </w:r>
      <w:r w:rsidR="00084841" w:rsidRPr="002D7F02">
        <w:rPr>
          <w:color w:val="000000" w:themeColor="text1"/>
          <w:lang w:val="en-US"/>
        </w:rPr>
        <w:t xml:space="preserve"> different directions</w:t>
      </w:r>
      <w:r w:rsidR="00CB7F0B" w:rsidRPr="002D7F02">
        <w:rPr>
          <w:color w:val="000000" w:themeColor="text1"/>
          <w:lang w:val="en-US"/>
        </w:rPr>
        <w:t xml:space="preserve"> </w:t>
      </w:r>
      <w:r w:rsidR="006A4A59" w:rsidRPr="002D7F02">
        <w:rPr>
          <w:color w:val="000000" w:themeColor="text1"/>
          <w:lang w:val="en-US"/>
        </w:rPr>
        <w:t>[</w:t>
      </w:r>
      <w:r w:rsidR="00CB7F0B" w:rsidRPr="002D7F02">
        <w:rPr>
          <w:color w:val="000000" w:themeColor="text1"/>
          <w:lang w:val="en-US"/>
        </w:rPr>
        <w:t>2</w:t>
      </w:r>
      <w:r w:rsidR="006A4A59" w:rsidRPr="002D7F02">
        <w:rPr>
          <w:color w:val="000000" w:themeColor="text1"/>
          <w:lang w:val="en-US"/>
        </w:rPr>
        <w:t>]</w:t>
      </w:r>
      <w:r w:rsidR="0059770B" w:rsidRPr="002D7F02">
        <w:rPr>
          <w:color w:val="000000" w:themeColor="text1"/>
          <w:lang w:val="en-US"/>
        </w:rPr>
        <w:t>.</w:t>
      </w:r>
    </w:p>
    <w:p w:rsidR="00A25599" w:rsidRPr="002D7F02" w:rsidRDefault="00277463" w:rsidP="002D7F02">
      <w:pPr>
        <w:spacing w:line="480" w:lineRule="auto"/>
        <w:ind w:firstLine="708"/>
        <w:jc w:val="both"/>
        <w:rPr>
          <w:lang w:val="en-US"/>
        </w:rPr>
      </w:pPr>
      <w:r w:rsidRPr="002D7F02">
        <w:rPr>
          <w:lang w:val="en-US"/>
        </w:rPr>
        <w:t xml:space="preserve">The risk of malignant transformation </w:t>
      </w:r>
      <w:r w:rsidR="00BF435F" w:rsidRPr="002D7F02">
        <w:rPr>
          <w:lang w:val="en-US"/>
        </w:rPr>
        <w:t xml:space="preserve">of pleomorphic adenomas </w:t>
      </w:r>
      <w:r w:rsidRPr="002D7F02">
        <w:rPr>
          <w:lang w:val="en-US"/>
        </w:rPr>
        <w:t>is rare</w:t>
      </w:r>
      <w:r w:rsidR="005B2ECB" w:rsidRPr="002D7F02">
        <w:rPr>
          <w:lang w:val="en-US"/>
        </w:rPr>
        <w:t>.</w:t>
      </w:r>
      <w:r w:rsidRPr="002D7F02">
        <w:rPr>
          <w:lang w:val="en-US"/>
        </w:rPr>
        <w:t xml:space="preserve"> </w:t>
      </w:r>
      <w:r w:rsidR="009E27CD" w:rsidRPr="002D7F02">
        <w:rPr>
          <w:lang w:val="en-US"/>
        </w:rPr>
        <w:t>O</w:t>
      </w:r>
      <w:r w:rsidRPr="002D7F02">
        <w:rPr>
          <w:lang w:val="en-US"/>
        </w:rPr>
        <w:t>nly 3% recur at 12.5-year follow-up, of which 6% seem t</w:t>
      </w:r>
      <w:r w:rsidR="00BF435F" w:rsidRPr="002D7F02">
        <w:rPr>
          <w:lang w:val="en-US"/>
        </w:rPr>
        <w:t>o show malignant transformation</w:t>
      </w:r>
      <w:r w:rsidR="00356377" w:rsidRPr="002D7F02">
        <w:rPr>
          <w:lang w:val="en-US"/>
        </w:rPr>
        <w:t xml:space="preserve"> (carcinoma ex pleomorphic adenoma)</w:t>
      </w:r>
      <w:r w:rsidR="00CB7F0B" w:rsidRPr="002D7F02">
        <w:rPr>
          <w:lang w:val="en-US"/>
        </w:rPr>
        <w:t xml:space="preserve"> </w:t>
      </w:r>
      <w:r w:rsidR="006A4A59" w:rsidRPr="002D7F02">
        <w:rPr>
          <w:lang w:val="en-US"/>
        </w:rPr>
        <w:t>[</w:t>
      </w:r>
      <w:r w:rsidR="00CB7F0B" w:rsidRPr="002D7F02">
        <w:rPr>
          <w:lang w:val="en-US"/>
        </w:rPr>
        <w:t>6</w:t>
      </w:r>
      <w:r w:rsidR="006A4A59" w:rsidRPr="002D7F02">
        <w:rPr>
          <w:lang w:val="en-US"/>
        </w:rPr>
        <w:t>]</w:t>
      </w:r>
      <w:r w:rsidR="00356377" w:rsidRPr="002D7F02">
        <w:rPr>
          <w:lang w:val="en-US"/>
        </w:rPr>
        <w:t>.</w:t>
      </w:r>
    </w:p>
    <w:p w:rsidR="004C16BB" w:rsidRPr="002D7F02" w:rsidRDefault="001F2534" w:rsidP="002D7F02">
      <w:pPr>
        <w:spacing w:line="480" w:lineRule="auto"/>
        <w:ind w:firstLine="708"/>
        <w:jc w:val="both"/>
        <w:rPr>
          <w:color w:val="000000" w:themeColor="text1"/>
          <w:lang w:val="en-US"/>
        </w:rPr>
      </w:pPr>
      <w:r w:rsidRPr="002D7F02">
        <w:rPr>
          <w:color w:val="000000" w:themeColor="text1"/>
          <w:lang w:val="en-US"/>
        </w:rPr>
        <w:t xml:space="preserve">The diagnosis of pleomorphic adenoma is crucial </w:t>
      </w:r>
      <w:r w:rsidR="00214FDD" w:rsidRPr="002D7F02">
        <w:rPr>
          <w:color w:val="000000" w:themeColor="text1"/>
          <w:lang w:val="en-US"/>
        </w:rPr>
        <w:t xml:space="preserve">in the choice of </w:t>
      </w:r>
      <w:r w:rsidR="00744896" w:rsidRPr="002D7F02">
        <w:rPr>
          <w:color w:val="000000" w:themeColor="text1"/>
          <w:lang w:val="en-US"/>
        </w:rPr>
        <w:t>the tactics of patient treatment</w:t>
      </w:r>
      <w:r w:rsidRPr="002D7F02">
        <w:rPr>
          <w:color w:val="000000" w:themeColor="text1"/>
          <w:lang w:val="en-US"/>
        </w:rPr>
        <w:t xml:space="preserve">, preventing the development of complications and recurrences. </w:t>
      </w:r>
      <w:r w:rsidR="004C16BB" w:rsidRPr="002D7F02">
        <w:rPr>
          <w:color w:val="000000" w:themeColor="text1"/>
          <w:lang w:val="en-US"/>
        </w:rPr>
        <w:t>The diagnosis cannot be established on</w:t>
      </w:r>
      <w:r w:rsidR="009E27CD" w:rsidRPr="002D7F02">
        <w:rPr>
          <w:color w:val="000000" w:themeColor="text1"/>
          <w:lang w:val="en-US"/>
        </w:rPr>
        <w:t xml:space="preserve">ly on </w:t>
      </w:r>
      <w:r w:rsidR="004C16BB" w:rsidRPr="002D7F02">
        <w:rPr>
          <w:color w:val="000000" w:themeColor="text1"/>
          <w:lang w:val="en-US"/>
        </w:rPr>
        <w:t>clinical history and simple physical examination</w:t>
      </w:r>
      <w:r w:rsidR="009E27CD" w:rsidRPr="002D7F02">
        <w:rPr>
          <w:color w:val="000000" w:themeColor="text1"/>
          <w:lang w:val="en-US"/>
        </w:rPr>
        <w:t>,</w:t>
      </w:r>
      <w:r w:rsidR="004C16BB" w:rsidRPr="002D7F02">
        <w:rPr>
          <w:color w:val="000000" w:themeColor="text1"/>
          <w:lang w:val="en-US"/>
        </w:rPr>
        <w:t xml:space="preserve"> and requires complementary diagnostic methods</w:t>
      </w:r>
      <w:r w:rsidR="00CB7F0B" w:rsidRPr="002D7F02">
        <w:rPr>
          <w:color w:val="000000" w:themeColor="text1"/>
          <w:lang w:val="en-US"/>
        </w:rPr>
        <w:t xml:space="preserve"> </w:t>
      </w:r>
      <w:r w:rsidR="00C94E36" w:rsidRPr="002D7F02">
        <w:rPr>
          <w:color w:val="000000" w:themeColor="text1"/>
          <w:lang w:val="en-US"/>
        </w:rPr>
        <w:t>[</w:t>
      </w:r>
      <w:r w:rsidR="00CB7F0B" w:rsidRPr="002D7F02">
        <w:rPr>
          <w:color w:val="000000" w:themeColor="text1"/>
          <w:lang w:val="en-US"/>
        </w:rPr>
        <w:t>7</w:t>
      </w:r>
      <w:r w:rsidR="00C94E36" w:rsidRPr="002D7F02">
        <w:rPr>
          <w:color w:val="000000" w:themeColor="text1"/>
          <w:lang w:val="en-US"/>
        </w:rPr>
        <w:t>]</w:t>
      </w:r>
      <w:r w:rsidR="004C16BB" w:rsidRPr="002D7F02">
        <w:rPr>
          <w:color w:val="000000" w:themeColor="text1"/>
          <w:lang w:val="en-US"/>
        </w:rPr>
        <w:t>.</w:t>
      </w:r>
    </w:p>
    <w:p w:rsidR="00896C4E" w:rsidRPr="002D7F02" w:rsidRDefault="001F2534" w:rsidP="002D7F02">
      <w:pPr>
        <w:spacing w:line="480" w:lineRule="auto"/>
        <w:ind w:firstLine="708"/>
        <w:jc w:val="both"/>
        <w:rPr>
          <w:color w:val="000000" w:themeColor="text1"/>
          <w:lang w:val="en-US"/>
        </w:rPr>
      </w:pPr>
      <w:r w:rsidRPr="002D7F02">
        <w:rPr>
          <w:color w:val="000000" w:themeColor="text1"/>
          <w:lang w:val="en-US"/>
        </w:rPr>
        <w:t xml:space="preserve">Morphological research methods play an important role in the diagnosis of pleomorphic adenoma </w:t>
      </w:r>
      <w:r w:rsidR="009E27CD" w:rsidRPr="002D7F02">
        <w:rPr>
          <w:color w:val="000000" w:themeColor="text1"/>
          <w:lang w:val="en-US"/>
        </w:rPr>
        <w:t xml:space="preserve">in </w:t>
      </w:r>
      <w:r w:rsidRPr="002D7F02">
        <w:rPr>
          <w:color w:val="000000" w:themeColor="text1"/>
          <w:lang w:val="en-US"/>
        </w:rPr>
        <w:t xml:space="preserve">the preoperative and postoperative </w:t>
      </w:r>
      <w:r w:rsidR="0007279D" w:rsidRPr="002D7F02">
        <w:rPr>
          <w:color w:val="000000" w:themeColor="text1"/>
          <w:lang w:val="en-US"/>
        </w:rPr>
        <w:t>periods</w:t>
      </w:r>
      <w:r w:rsidR="00CB7F0B" w:rsidRPr="002D7F02">
        <w:rPr>
          <w:color w:val="000000" w:themeColor="text1"/>
          <w:lang w:val="en-US"/>
        </w:rPr>
        <w:t xml:space="preserve"> </w:t>
      </w:r>
      <w:r w:rsidR="003F61BE" w:rsidRPr="002D7F02">
        <w:rPr>
          <w:color w:val="000000" w:themeColor="text1"/>
          <w:lang w:val="en-US"/>
        </w:rPr>
        <w:t>[</w:t>
      </w:r>
      <w:r w:rsidR="00CB7F0B" w:rsidRPr="002D7F02">
        <w:rPr>
          <w:color w:val="000000" w:themeColor="text1"/>
          <w:lang w:val="en-US"/>
        </w:rPr>
        <w:t>8</w:t>
      </w:r>
      <w:r w:rsidR="003F61BE" w:rsidRPr="002D7F02">
        <w:rPr>
          <w:color w:val="000000" w:themeColor="text1"/>
          <w:lang w:val="en-US"/>
        </w:rPr>
        <w:t>]</w:t>
      </w:r>
      <w:r w:rsidRPr="002D7F02">
        <w:rPr>
          <w:color w:val="000000" w:themeColor="text1"/>
          <w:lang w:val="en-US"/>
        </w:rPr>
        <w:t>.</w:t>
      </w:r>
      <w:r w:rsidR="00A6626D" w:rsidRPr="002D7F02">
        <w:rPr>
          <w:color w:val="000000" w:themeColor="text1"/>
          <w:lang w:val="en-US"/>
        </w:rPr>
        <w:t xml:space="preserve"> </w:t>
      </w:r>
      <w:r w:rsidR="00A6626D" w:rsidRPr="002D7F02">
        <w:rPr>
          <w:lang w:val="en-US"/>
        </w:rPr>
        <w:t>Pleomorphic adenoma</w:t>
      </w:r>
      <w:r w:rsidR="00B46340" w:rsidRPr="002D7F02">
        <w:rPr>
          <w:lang w:val="en-US"/>
        </w:rPr>
        <w:t xml:space="preserve"> is histologically extremely </w:t>
      </w:r>
      <w:proofErr w:type="spellStart"/>
      <w:r w:rsidR="00B46340" w:rsidRPr="002D7F02">
        <w:rPr>
          <w:lang w:val="en-US"/>
        </w:rPr>
        <w:t>heterogenous</w:t>
      </w:r>
      <w:proofErr w:type="spellEnd"/>
      <w:r w:rsidR="00B46340" w:rsidRPr="002D7F02">
        <w:rPr>
          <w:lang w:val="en-US"/>
        </w:rPr>
        <w:t xml:space="preserve"> and has a complex structure</w:t>
      </w:r>
      <w:r w:rsidR="00CB7F0B" w:rsidRPr="002D7F02">
        <w:rPr>
          <w:lang w:val="en-US"/>
        </w:rPr>
        <w:t xml:space="preserve"> </w:t>
      </w:r>
      <w:r w:rsidR="003F61BE" w:rsidRPr="002D7F02">
        <w:rPr>
          <w:lang w:val="en-US"/>
        </w:rPr>
        <w:t>[</w:t>
      </w:r>
      <w:r w:rsidR="00CB7F0B" w:rsidRPr="002D7F02">
        <w:rPr>
          <w:lang w:val="en-US"/>
        </w:rPr>
        <w:t>9</w:t>
      </w:r>
      <w:r w:rsidR="003F61BE" w:rsidRPr="002D7F02">
        <w:rPr>
          <w:lang w:val="en-US"/>
        </w:rPr>
        <w:t>]</w:t>
      </w:r>
      <w:r w:rsidR="00A6626D" w:rsidRPr="002D7F02">
        <w:rPr>
          <w:lang w:val="en-US"/>
        </w:rPr>
        <w:t xml:space="preserve">, which sometimes causes certain difficulties and </w:t>
      </w:r>
      <w:r w:rsidR="00BF5326" w:rsidRPr="002D7F02">
        <w:rPr>
          <w:color w:val="000000"/>
          <w:lang w:val="en-US"/>
        </w:rPr>
        <w:t>misdiagnosis</w:t>
      </w:r>
      <w:r w:rsidR="00BF5326" w:rsidRPr="002D7F02">
        <w:rPr>
          <w:lang w:val="en-US"/>
        </w:rPr>
        <w:t xml:space="preserve"> </w:t>
      </w:r>
      <w:r w:rsidR="00A6626D" w:rsidRPr="002D7F02">
        <w:rPr>
          <w:lang w:val="en-US"/>
        </w:rPr>
        <w:t xml:space="preserve">for pathologists in the morphological diagnosis of this tumor and </w:t>
      </w:r>
      <w:r w:rsidR="00B46340" w:rsidRPr="002D7F02">
        <w:rPr>
          <w:lang w:val="en-US"/>
        </w:rPr>
        <w:t>its histological variant determination</w:t>
      </w:r>
      <w:r w:rsidR="00A6626D" w:rsidRPr="002D7F02">
        <w:rPr>
          <w:lang w:val="en-US"/>
        </w:rPr>
        <w:t>.</w:t>
      </w:r>
      <w:r w:rsidR="004F675E" w:rsidRPr="002D7F02">
        <w:rPr>
          <w:lang w:val="en-US"/>
        </w:rPr>
        <w:t xml:space="preserve"> </w:t>
      </w:r>
      <w:r w:rsidR="00744896" w:rsidRPr="002D7F02">
        <w:rPr>
          <w:lang w:val="en-US"/>
        </w:rPr>
        <w:t xml:space="preserve">Pathologists emphasize that pleomorphic adenoma may be confused with </w:t>
      </w:r>
      <w:proofErr w:type="spellStart"/>
      <w:r w:rsidR="00744896" w:rsidRPr="002D7F02">
        <w:rPr>
          <w:lang w:val="en-US"/>
        </w:rPr>
        <w:t>myoepithelioma</w:t>
      </w:r>
      <w:proofErr w:type="spellEnd"/>
      <w:r w:rsidR="00744896" w:rsidRPr="002D7F02">
        <w:rPr>
          <w:lang w:val="en-US"/>
        </w:rPr>
        <w:t xml:space="preserve">, adenoid cystic carcinoma, </w:t>
      </w:r>
      <w:proofErr w:type="spellStart"/>
      <w:r w:rsidR="00744896" w:rsidRPr="002D7F02">
        <w:rPr>
          <w:lang w:val="en-US"/>
        </w:rPr>
        <w:t>mucoepidermoid</w:t>
      </w:r>
      <w:proofErr w:type="spellEnd"/>
      <w:r w:rsidR="00744896" w:rsidRPr="002D7F02">
        <w:rPr>
          <w:lang w:val="en-US"/>
        </w:rPr>
        <w:t xml:space="preserve"> carcinoma, basal cell adenoma because</w:t>
      </w:r>
      <w:r w:rsidR="00140932" w:rsidRPr="002D7F02">
        <w:rPr>
          <w:lang w:val="en-US"/>
        </w:rPr>
        <w:t xml:space="preserve"> of its varied </w:t>
      </w:r>
      <w:proofErr w:type="spellStart"/>
      <w:r w:rsidR="00140932" w:rsidRPr="002D7F02">
        <w:rPr>
          <w:lang w:val="en-US"/>
        </w:rPr>
        <w:t>histopathological</w:t>
      </w:r>
      <w:proofErr w:type="spellEnd"/>
      <w:r w:rsidR="00744896" w:rsidRPr="002D7F02">
        <w:rPr>
          <w:lang w:val="en-US"/>
        </w:rPr>
        <w:t xml:space="preserve"> presentation </w:t>
      </w:r>
      <w:r w:rsidR="003F61BE" w:rsidRPr="002D7F02">
        <w:rPr>
          <w:lang w:val="en-US"/>
        </w:rPr>
        <w:t>[</w:t>
      </w:r>
      <w:r w:rsidR="00CB7F0B" w:rsidRPr="002D7F02">
        <w:rPr>
          <w:lang w:val="en-US"/>
        </w:rPr>
        <w:t>5</w:t>
      </w:r>
      <w:r w:rsidR="003F61BE" w:rsidRPr="002D7F02">
        <w:rPr>
          <w:lang w:val="en-US"/>
        </w:rPr>
        <w:t>]</w:t>
      </w:r>
      <w:r w:rsidR="00140932" w:rsidRPr="002D7F02">
        <w:rPr>
          <w:lang w:val="en-US"/>
        </w:rPr>
        <w:t>.</w:t>
      </w:r>
      <w:r w:rsidR="00744896" w:rsidRPr="002D7F02">
        <w:rPr>
          <w:lang w:val="en-US"/>
        </w:rPr>
        <w:t xml:space="preserve"> </w:t>
      </w:r>
      <w:r w:rsidR="006C67AC" w:rsidRPr="002D7F02">
        <w:rPr>
          <w:color w:val="000000" w:themeColor="text1"/>
          <w:lang w:val="en-US"/>
        </w:rPr>
        <w:t xml:space="preserve">The results of </w:t>
      </w:r>
      <w:r w:rsidR="00744896" w:rsidRPr="002D7F02">
        <w:rPr>
          <w:color w:val="000000" w:themeColor="text1"/>
          <w:lang w:val="en-US"/>
        </w:rPr>
        <w:t xml:space="preserve">our </w:t>
      </w:r>
      <w:r w:rsidR="004F675E" w:rsidRPr="002D7F02">
        <w:rPr>
          <w:color w:val="000000" w:themeColor="text1"/>
          <w:lang w:val="en-US"/>
        </w:rPr>
        <w:t xml:space="preserve">own long-term </w:t>
      </w:r>
      <w:r w:rsidR="006C67AC" w:rsidRPr="002D7F02">
        <w:rPr>
          <w:color w:val="000000" w:themeColor="text1"/>
          <w:lang w:val="en-US"/>
        </w:rPr>
        <w:t>research</w:t>
      </w:r>
      <w:r w:rsidR="00207E25" w:rsidRPr="002D7F02">
        <w:rPr>
          <w:color w:val="000000" w:themeColor="text1"/>
          <w:lang w:val="en-US"/>
        </w:rPr>
        <w:t xml:space="preserve"> </w:t>
      </w:r>
      <w:r w:rsidR="003F61BE" w:rsidRPr="002D7F02">
        <w:rPr>
          <w:color w:val="000000" w:themeColor="text1"/>
          <w:lang w:val="en-US"/>
        </w:rPr>
        <w:t>[</w:t>
      </w:r>
      <w:r w:rsidR="00CB7F0B" w:rsidRPr="002D7F02">
        <w:rPr>
          <w:color w:val="000000" w:themeColor="text1"/>
          <w:lang w:val="en-US"/>
        </w:rPr>
        <w:t>10-15</w:t>
      </w:r>
      <w:r w:rsidR="003F61BE" w:rsidRPr="002D7F02">
        <w:rPr>
          <w:color w:val="000000" w:themeColor="text1"/>
          <w:lang w:val="en-US"/>
        </w:rPr>
        <w:t>]</w:t>
      </w:r>
      <w:r w:rsidR="004F675E" w:rsidRPr="002D7F02">
        <w:rPr>
          <w:color w:val="000000" w:themeColor="text1"/>
          <w:lang w:val="en-US"/>
        </w:rPr>
        <w:t xml:space="preserve"> </w:t>
      </w:r>
      <w:r w:rsidR="009E27CD" w:rsidRPr="002D7F02">
        <w:rPr>
          <w:color w:val="000000" w:themeColor="text1"/>
          <w:lang w:val="en-US"/>
        </w:rPr>
        <w:t xml:space="preserve">allow us </w:t>
      </w:r>
      <w:r w:rsidR="004F675E" w:rsidRPr="002D7F02">
        <w:rPr>
          <w:color w:val="000000" w:themeColor="text1"/>
          <w:lang w:val="en-US"/>
        </w:rPr>
        <w:t xml:space="preserve">to identify certain morphological features of various pleomorphic adenomas and, on their basis, to formulate an integrated approach </w:t>
      </w:r>
      <w:r w:rsidR="009E27CD" w:rsidRPr="002D7F02">
        <w:rPr>
          <w:color w:val="000000" w:themeColor="text1"/>
          <w:lang w:val="en-US"/>
        </w:rPr>
        <w:t>to</w:t>
      </w:r>
      <w:r w:rsidR="004F675E" w:rsidRPr="002D7F02">
        <w:rPr>
          <w:color w:val="000000" w:themeColor="text1"/>
          <w:lang w:val="en-US"/>
        </w:rPr>
        <w:t xml:space="preserve"> the morphological diagnosis of these tumor variants.</w:t>
      </w:r>
      <w:r w:rsidR="008418D2" w:rsidRPr="002D7F02">
        <w:rPr>
          <w:color w:val="000000" w:themeColor="text1"/>
          <w:lang w:val="en-US"/>
        </w:rPr>
        <w:t xml:space="preserve"> </w:t>
      </w:r>
      <w:r w:rsidR="00896C4E" w:rsidRPr="002D7F02">
        <w:rPr>
          <w:color w:val="000000" w:themeColor="text1"/>
          <w:lang w:val="en-US"/>
        </w:rPr>
        <w:t xml:space="preserve">The </w:t>
      </w:r>
      <w:r w:rsidR="000C3958" w:rsidRPr="002D7F02">
        <w:rPr>
          <w:color w:val="000000" w:themeColor="text1"/>
          <w:lang w:val="en-US"/>
        </w:rPr>
        <w:lastRenderedPageBreak/>
        <w:t>aim</w:t>
      </w:r>
      <w:r w:rsidR="00896C4E" w:rsidRPr="002D7F02">
        <w:rPr>
          <w:color w:val="000000" w:themeColor="text1"/>
          <w:lang w:val="en-US"/>
        </w:rPr>
        <w:t xml:space="preserve"> of the study </w:t>
      </w:r>
      <w:r w:rsidR="00A77ECD" w:rsidRPr="002D7F02">
        <w:rPr>
          <w:color w:val="000000" w:themeColor="text1"/>
          <w:lang w:val="en-US"/>
        </w:rPr>
        <w:t>is</w:t>
      </w:r>
      <w:r w:rsidR="00896C4E" w:rsidRPr="002D7F02">
        <w:rPr>
          <w:color w:val="000000" w:themeColor="text1"/>
          <w:lang w:val="en-US"/>
        </w:rPr>
        <w:t xml:space="preserve"> to describe an integrated approach </w:t>
      </w:r>
      <w:r w:rsidR="009E27CD" w:rsidRPr="002D7F02">
        <w:rPr>
          <w:color w:val="000000" w:themeColor="text1"/>
          <w:lang w:val="en-US"/>
        </w:rPr>
        <w:t xml:space="preserve">to </w:t>
      </w:r>
      <w:r w:rsidR="00896C4E" w:rsidRPr="002D7F02">
        <w:rPr>
          <w:color w:val="000000" w:themeColor="text1"/>
          <w:lang w:val="en-US"/>
        </w:rPr>
        <w:t xml:space="preserve">the morphological diagnosis of </w:t>
      </w:r>
      <w:r w:rsidR="00E14A5F" w:rsidRPr="002D7F02">
        <w:rPr>
          <w:color w:val="000000" w:themeColor="text1"/>
          <w:lang w:val="en-US"/>
        </w:rPr>
        <w:t xml:space="preserve">different types of </w:t>
      </w:r>
      <w:r w:rsidR="00896C4E" w:rsidRPr="002D7F02">
        <w:rPr>
          <w:color w:val="000000" w:themeColor="text1"/>
          <w:lang w:val="en-US"/>
        </w:rPr>
        <w:t>pleomorphic adenoma</w:t>
      </w:r>
      <w:r w:rsidR="00744896" w:rsidRPr="002D7F02">
        <w:rPr>
          <w:color w:val="000000" w:themeColor="text1"/>
          <w:lang w:val="en-US"/>
        </w:rPr>
        <w:t>s</w:t>
      </w:r>
      <w:r w:rsidR="00896C4E" w:rsidRPr="002D7F02">
        <w:rPr>
          <w:color w:val="000000" w:themeColor="text1"/>
          <w:lang w:val="en-US"/>
        </w:rPr>
        <w:t xml:space="preserve"> of the salivary gland.</w:t>
      </w:r>
    </w:p>
    <w:p w:rsidR="00C3772F" w:rsidRPr="002D7F02" w:rsidRDefault="00233255" w:rsidP="002D7F02">
      <w:pPr>
        <w:spacing w:line="480" w:lineRule="auto"/>
        <w:ind w:firstLine="708"/>
        <w:jc w:val="both"/>
        <w:rPr>
          <w:lang w:val="en-US"/>
        </w:rPr>
      </w:pPr>
      <w:proofErr w:type="gramStart"/>
      <w:r w:rsidRPr="002D7F02">
        <w:rPr>
          <w:b/>
          <w:color w:val="000000" w:themeColor="text1"/>
          <w:lang w:val="en-US"/>
        </w:rPr>
        <w:t xml:space="preserve">Material and </w:t>
      </w:r>
      <w:r w:rsidRPr="002D7F02">
        <w:rPr>
          <w:b/>
          <w:lang w:val="en-US"/>
        </w:rPr>
        <w:t>methods</w:t>
      </w:r>
      <w:r w:rsidR="007A36D1">
        <w:rPr>
          <w:b/>
          <w:lang w:val="en-US"/>
        </w:rPr>
        <w:t>.</w:t>
      </w:r>
      <w:proofErr w:type="gramEnd"/>
      <w:r w:rsidR="007A36D1">
        <w:rPr>
          <w:b/>
          <w:lang w:val="en-US"/>
        </w:rPr>
        <w:t xml:space="preserve"> </w:t>
      </w:r>
      <w:r w:rsidR="00F2127B" w:rsidRPr="002D7F02">
        <w:rPr>
          <w:color w:val="000000"/>
          <w:lang w:val="en-US"/>
        </w:rPr>
        <w:t xml:space="preserve">In this study we used </w:t>
      </w:r>
      <w:r w:rsidR="001B436C" w:rsidRPr="002D7F02">
        <w:rPr>
          <w:color w:val="000000"/>
          <w:lang w:val="en-US"/>
        </w:rPr>
        <w:t xml:space="preserve">surgical and biopsy material from 30 patients </w:t>
      </w:r>
      <w:r w:rsidR="001B436C" w:rsidRPr="002D7F02">
        <w:rPr>
          <w:color w:val="000000" w:themeColor="text1"/>
          <w:lang w:val="en-US"/>
        </w:rPr>
        <w:t>with pleomorphic adenomas of the salivary glands</w:t>
      </w:r>
      <w:r w:rsidR="00CB511E" w:rsidRPr="002D7F02">
        <w:rPr>
          <w:color w:val="000000" w:themeColor="text1"/>
          <w:lang w:val="en-US"/>
        </w:rPr>
        <w:t xml:space="preserve">. The patients </w:t>
      </w:r>
      <w:r w:rsidR="009E27CD" w:rsidRPr="002D7F02">
        <w:rPr>
          <w:color w:val="000000" w:themeColor="text1"/>
          <w:lang w:val="en-US"/>
        </w:rPr>
        <w:t>underwent treatment in</w:t>
      </w:r>
      <w:r w:rsidR="00265E0A" w:rsidRPr="002D7F02">
        <w:rPr>
          <w:color w:val="000000" w:themeColor="text1"/>
          <w:lang w:val="en-US"/>
        </w:rPr>
        <w:t xml:space="preserve"> Kyiv City Clinical Hospital No. 12 (Ukraine, Kiev) from 201</w:t>
      </w:r>
      <w:r w:rsidR="00427ACB" w:rsidRPr="002D7F02">
        <w:rPr>
          <w:color w:val="000000" w:themeColor="text1"/>
          <w:lang w:val="en-US"/>
        </w:rPr>
        <w:t>8</w:t>
      </w:r>
      <w:r w:rsidR="00265E0A" w:rsidRPr="002D7F02">
        <w:rPr>
          <w:color w:val="000000" w:themeColor="text1"/>
          <w:lang w:val="en-US"/>
        </w:rPr>
        <w:t xml:space="preserve"> to 201</w:t>
      </w:r>
      <w:r w:rsidR="00427ACB" w:rsidRPr="002D7F02">
        <w:rPr>
          <w:color w:val="000000" w:themeColor="text1"/>
          <w:lang w:val="en-US"/>
        </w:rPr>
        <w:t>9</w:t>
      </w:r>
      <w:r w:rsidR="00265E0A" w:rsidRPr="002D7F02">
        <w:rPr>
          <w:color w:val="000000" w:themeColor="text1"/>
          <w:lang w:val="en-US"/>
        </w:rPr>
        <w:t xml:space="preserve">. </w:t>
      </w:r>
      <w:r w:rsidR="009E27CD" w:rsidRPr="002D7F02">
        <w:rPr>
          <w:color w:val="000000" w:themeColor="text1"/>
          <w:lang w:val="en-US"/>
        </w:rPr>
        <w:t>T</w:t>
      </w:r>
      <w:r w:rsidR="00C3772F" w:rsidRPr="002D7F02">
        <w:rPr>
          <w:color w:val="000000" w:themeColor="text1"/>
          <w:lang w:val="en-US"/>
        </w:rPr>
        <w:t xml:space="preserve">he Ethics and </w:t>
      </w:r>
      <w:r w:rsidR="00C3772F" w:rsidRPr="002D7F02">
        <w:rPr>
          <w:lang w:val="en-US"/>
        </w:rPr>
        <w:t xml:space="preserve">Bioethics Commission of </w:t>
      </w:r>
      <w:proofErr w:type="spellStart"/>
      <w:r w:rsidR="00C3772F" w:rsidRPr="002D7F02">
        <w:rPr>
          <w:lang w:val="en-US"/>
        </w:rPr>
        <w:t>Kharkiv</w:t>
      </w:r>
      <w:proofErr w:type="spellEnd"/>
      <w:r w:rsidR="00C3772F" w:rsidRPr="002D7F02">
        <w:rPr>
          <w:lang w:val="en-US"/>
        </w:rPr>
        <w:t xml:space="preserve"> National Medical University</w:t>
      </w:r>
      <w:r w:rsidR="00EC29BD" w:rsidRPr="002D7F02">
        <w:rPr>
          <w:lang w:val="en-US"/>
        </w:rPr>
        <w:t xml:space="preserve"> approved the </w:t>
      </w:r>
      <w:proofErr w:type="gramStart"/>
      <w:r w:rsidR="00EC29BD" w:rsidRPr="002D7F02">
        <w:rPr>
          <w:lang w:val="en-US"/>
        </w:rPr>
        <w:t>study,</w:t>
      </w:r>
      <w:proofErr w:type="gramEnd"/>
      <w:r w:rsidR="00EC29BD" w:rsidRPr="002D7F02">
        <w:rPr>
          <w:lang w:val="en-US"/>
        </w:rPr>
        <w:t xml:space="preserve"> </w:t>
      </w:r>
      <w:r w:rsidR="00C3772F" w:rsidRPr="002D7F02">
        <w:rPr>
          <w:lang w:val="en-US"/>
        </w:rPr>
        <w:t xml:space="preserve">all </w:t>
      </w:r>
      <w:r w:rsidR="00EC29BD" w:rsidRPr="002D7F02">
        <w:rPr>
          <w:lang w:val="en-US"/>
        </w:rPr>
        <w:t xml:space="preserve">the </w:t>
      </w:r>
      <w:r w:rsidR="00C3772F" w:rsidRPr="002D7F02">
        <w:rPr>
          <w:lang w:val="en-US"/>
        </w:rPr>
        <w:t>particip</w:t>
      </w:r>
      <w:r w:rsidR="009E27CD" w:rsidRPr="002D7F02">
        <w:rPr>
          <w:lang w:val="en-US"/>
        </w:rPr>
        <w:t>ants signed an informed consent</w:t>
      </w:r>
      <w:r w:rsidR="00C3772F" w:rsidRPr="002D7F02">
        <w:rPr>
          <w:lang w:val="en-US"/>
        </w:rPr>
        <w:t xml:space="preserve"> in accordance with data protection regulation and the Declaration of Helsinki.</w:t>
      </w:r>
    </w:p>
    <w:p w:rsidR="001B393F" w:rsidRPr="002D7F02" w:rsidRDefault="001B393F" w:rsidP="002D7F02">
      <w:pPr>
        <w:spacing w:line="480" w:lineRule="auto"/>
        <w:ind w:firstLine="708"/>
        <w:jc w:val="both"/>
        <w:rPr>
          <w:color w:val="000000"/>
          <w:lang w:val="en-US"/>
        </w:rPr>
      </w:pPr>
      <w:r w:rsidRPr="002D7F02">
        <w:rPr>
          <w:color w:val="000000"/>
          <w:lang w:val="en-US"/>
        </w:rPr>
        <w:t>Morphological study of biopsy and surgical mate</w:t>
      </w:r>
      <w:r w:rsidR="007A36D1">
        <w:rPr>
          <w:color w:val="000000"/>
          <w:lang w:val="en-US"/>
        </w:rPr>
        <w:t xml:space="preserve">rial was carried out at the </w:t>
      </w:r>
      <w:proofErr w:type="spellStart"/>
      <w:r w:rsidRPr="002D7F02">
        <w:rPr>
          <w:color w:val="000000"/>
          <w:lang w:val="en-US"/>
        </w:rPr>
        <w:t>Alpern</w:t>
      </w:r>
      <w:proofErr w:type="spellEnd"/>
      <w:r w:rsidRPr="002D7F02">
        <w:rPr>
          <w:color w:val="000000"/>
          <w:lang w:val="en-US"/>
        </w:rPr>
        <w:t xml:space="preserve"> Department of General and Clinical Pathological Physiology of </w:t>
      </w:r>
      <w:proofErr w:type="spellStart"/>
      <w:r w:rsidRPr="002D7F02">
        <w:rPr>
          <w:color w:val="000000"/>
          <w:lang w:val="en-US"/>
        </w:rPr>
        <w:t>Kharkiv</w:t>
      </w:r>
      <w:proofErr w:type="spellEnd"/>
      <w:r w:rsidRPr="002D7F02">
        <w:rPr>
          <w:color w:val="000000"/>
          <w:lang w:val="en-US"/>
        </w:rPr>
        <w:t xml:space="preserve"> National Medical University</w:t>
      </w:r>
      <w:r w:rsidR="00D8359C" w:rsidRPr="002D7F02">
        <w:rPr>
          <w:color w:val="000000"/>
          <w:lang w:val="en-US"/>
        </w:rPr>
        <w:t xml:space="preserve"> (</w:t>
      </w:r>
      <w:proofErr w:type="spellStart"/>
      <w:r w:rsidR="00D8359C" w:rsidRPr="002D7F02">
        <w:rPr>
          <w:color w:val="000000"/>
          <w:lang w:val="en-US"/>
        </w:rPr>
        <w:t>Kharkiv</w:t>
      </w:r>
      <w:proofErr w:type="spellEnd"/>
      <w:r w:rsidR="00D8359C" w:rsidRPr="002D7F02">
        <w:rPr>
          <w:color w:val="000000"/>
          <w:lang w:val="en-US"/>
        </w:rPr>
        <w:t xml:space="preserve">, Ukraine), </w:t>
      </w:r>
      <w:r w:rsidRPr="002D7F02">
        <w:rPr>
          <w:color w:val="000000"/>
          <w:lang w:val="en-US"/>
        </w:rPr>
        <w:t xml:space="preserve">Department of Pathologic and Topographic Anatomy of </w:t>
      </w:r>
      <w:proofErr w:type="spellStart"/>
      <w:r w:rsidRPr="002D7F02">
        <w:rPr>
          <w:color w:val="000000"/>
          <w:lang w:val="en-US"/>
        </w:rPr>
        <w:t>Shupyk</w:t>
      </w:r>
      <w:proofErr w:type="spellEnd"/>
      <w:r w:rsidRPr="002D7F02">
        <w:rPr>
          <w:color w:val="000000"/>
          <w:lang w:val="en-US"/>
        </w:rPr>
        <w:t xml:space="preserve"> National Healthcare University of Ukraine (Kyiv, Ukraine)</w:t>
      </w:r>
      <w:r w:rsidR="00D8359C" w:rsidRPr="002D7F02">
        <w:rPr>
          <w:color w:val="000000"/>
          <w:lang w:val="en-US"/>
        </w:rPr>
        <w:t xml:space="preserve">. </w:t>
      </w:r>
      <w:r w:rsidR="005F5AE8" w:rsidRPr="002D7F02">
        <w:rPr>
          <w:color w:val="000000"/>
          <w:lang w:val="en-US"/>
        </w:rPr>
        <w:t xml:space="preserve">Among all cases of pleomorphic adenomas, we found a </w:t>
      </w:r>
      <w:proofErr w:type="spellStart"/>
      <w:r w:rsidR="005F5AE8" w:rsidRPr="002D7F02">
        <w:rPr>
          <w:color w:val="000000"/>
          <w:lang w:val="en-US"/>
        </w:rPr>
        <w:t>mesenchymal</w:t>
      </w:r>
      <w:proofErr w:type="spellEnd"/>
      <w:r w:rsidR="005F5AE8" w:rsidRPr="002D7F02">
        <w:rPr>
          <w:color w:val="000000"/>
          <w:lang w:val="en-US"/>
        </w:rPr>
        <w:t xml:space="preserve"> variant in 15 cases, a mixed variant in 10 cases, and an epithelial variant in 5 cases.</w:t>
      </w:r>
    </w:p>
    <w:p w:rsidR="0067341D" w:rsidRPr="002D7F02" w:rsidRDefault="009F75E4" w:rsidP="002D7F02">
      <w:pPr>
        <w:spacing w:line="480" w:lineRule="auto"/>
        <w:ind w:firstLine="708"/>
        <w:jc w:val="both"/>
        <w:rPr>
          <w:lang w:val="en-US"/>
        </w:rPr>
      </w:pPr>
      <w:r w:rsidRPr="002D7F02">
        <w:rPr>
          <w:color w:val="000000"/>
          <w:lang w:val="en-US"/>
        </w:rPr>
        <w:t xml:space="preserve">Surgical and biopsy material </w:t>
      </w:r>
      <w:r w:rsidRPr="002D7F02">
        <w:rPr>
          <w:lang w:val="en-US"/>
        </w:rPr>
        <w:t>was fixed in a 10% solution of neutral buffered formalin, carried out according to the generally accepted method and embedded in paraffin. Serial sections</w:t>
      </w:r>
      <w:r w:rsidR="00DB3FF2" w:rsidRPr="002D7F02">
        <w:rPr>
          <w:lang w:val="en-US"/>
        </w:rPr>
        <w:t xml:space="preserve"> of</w:t>
      </w:r>
      <w:r w:rsidRPr="002D7F02">
        <w:rPr>
          <w:lang w:val="en-US"/>
        </w:rPr>
        <w:t xml:space="preserve"> 3-4 </w:t>
      </w:r>
      <w:proofErr w:type="spellStart"/>
      <w:r w:rsidRPr="002D7F02">
        <w:rPr>
          <w:lang w:val="en-US"/>
        </w:rPr>
        <w:t>μm</w:t>
      </w:r>
      <w:proofErr w:type="spellEnd"/>
      <w:r w:rsidRPr="002D7F02">
        <w:rPr>
          <w:lang w:val="en-US"/>
        </w:rPr>
        <w:t xml:space="preserve"> thick were made from paraffin blocks. </w:t>
      </w:r>
      <w:proofErr w:type="spellStart"/>
      <w:r w:rsidR="0067341D" w:rsidRPr="002D7F02">
        <w:rPr>
          <w:rFonts w:eastAsia="TimesNewRoman"/>
          <w:color w:val="000000"/>
          <w:lang w:val="en-US"/>
        </w:rPr>
        <w:t>Microspecimens</w:t>
      </w:r>
      <w:proofErr w:type="spellEnd"/>
      <w:r w:rsidR="0067341D" w:rsidRPr="002D7F02">
        <w:rPr>
          <w:lang w:val="en-US"/>
        </w:rPr>
        <w:t xml:space="preserve"> stained with </w:t>
      </w:r>
      <w:proofErr w:type="spellStart"/>
      <w:r w:rsidR="0067341D" w:rsidRPr="002D7F02">
        <w:rPr>
          <w:lang w:val="en-US"/>
        </w:rPr>
        <w:t>hematoxylin</w:t>
      </w:r>
      <w:proofErr w:type="spellEnd"/>
      <w:r w:rsidR="0067341D" w:rsidRPr="002D7F02">
        <w:rPr>
          <w:lang w:val="en-US"/>
        </w:rPr>
        <w:t xml:space="preserve"> and eosin were studied, using an Olympus BX-41 microscope (Japan) with subsequent processing with the Olympus DP-soft version 3.1 software, which was used to conduct a morphometric study. By </w:t>
      </w:r>
      <w:proofErr w:type="spellStart"/>
      <w:r w:rsidR="0067341D" w:rsidRPr="002D7F02">
        <w:rPr>
          <w:lang w:val="en-US"/>
        </w:rPr>
        <w:t>morphometry</w:t>
      </w:r>
      <w:proofErr w:type="spellEnd"/>
      <w:r w:rsidR="0067341D" w:rsidRPr="002D7F02">
        <w:rPr>
          <w:lang w:val="en-US"/>
        </w:rPr>
        <w:t xml:space="preserve"> in the tumor tissue, the specific volumes (%) of the parenchyma</w:t>
      </w:r>
      <w:r w:rsidR="0067341D" w:rsidRPr="002D7F02">
        <w:rPr>
          <w:lang w:val="uk-UA"/>
        </w:rPr>
        <w:t xml:space="preserve"> </w:t>
      </w:r>
      <w:r w:rsidR="0067341D" w:rsidRPr="002D7F02">
        <w:rPr>
          <w:lang w:val="en-US"/>
        </w:rPr>
        <w:t xml:space="preserve">and </w:t>
      </w:r>
      <w:proofErr w:type="spellStart"/>
      <w:r w:rsidR="0067341D" w:rsidRPr="002D7F02">
        <w:rPr>
          <w:lang w:val="en-US"/>
        </w:rPr>
        <w:t>stroma</w:t>
      </w:r>
      <w:proofErr w:type="spellEnd"/>
      <w:r w:rsidR="0067341D" w:rsidRPr="002D7F02">
        <w:rPr>
          <w:lang w:val="en-US"/>
        </w:rPr>
        <w:t>, the number of vessels in the field of view of the microscope at × 100 magnification was counted.</w:t>
      </w:r>
    </w:p>
    <w:p w:rsidR="00AD458C" w:rsidRPr="002D7F02" w:rsidRDefault="00F860C4" w:rsidP="002D7F02">
      <w:pPr>
        <w:spacing w:line="480" w:lineRule="auto"/>
        <w:ind w:firstLine="708"/>
        <w:jc w:val="both"/>
        <w:rPr>
          <w:color w:val="000000"/>
          <w:lang w:val="en-US"/>
        </w:rPr>
      </w:pPr>
      <w:r w:rsidRPr="002D7F02">
        <w:rPr>
          <w:color w:val="000000"/>
          <w:lang w:val="en-US"/>
        </w:rPr>
        <w:t>U</w:t>
      </w:r>
      <w:r w:rsidR="00845836" w:rsidRPr="002D7F02">
        <w:rPr>
          <w:color w:val="000000"/>
          <w:lang w:val="en-US"/>
        </w:rPr>
        <w:t>sing mouse monoclonal antibody (MCA) to human papillomavirus</w:t>
      </w:r>
      <w:r w:rsidR="00D968C0" w:rsidRPr="002D7F02">
        <w:rPr>
          <w:color w:val="000000"/>
          <w:lang w:val="en-US"/>
        </w:rPr>
        <w:t xml:space="preserve"> (HPV)</w:t>
      </w:r>
      <w:r w:rsidR="00845836" w:rsidRPr="002D7F02">
        <w:rPr>
          <w:color w:val="000000"/>
          <w:lang w:val="en-US"/>
        </w:rPr>
        <w:t xml:space="preserve"> type 16 (clone CAMVIR-1, </w:t>
      </w:r>
      <w:r w:rsidRPr="002D7F02">
        <w:rPr>
          <w:color w:val="000000"/>
          <w:lang w:val="en-US"/>
        </w:rPr>
        <w:t xml:space="preserve">«Diagnostic </w:t>
      </w:r>
      <w:proofErr w:type="spellStart"/>
      <w:r w:rsidRPr="002D7F02">
        <w:rPr>
          <w:color w:val="000000"/>
          <w:lang w:val="en-US"/>
        </w:rPr>
        <w:t>BioSystems</w:t>
      </w:r>
      <w:proofErr w:type="spellEnd"/>
      <w:r w:rsidRPr="002D7F02">
        <w:rPr>
          <w:color w:val="000000"/>
          <w:lang w:val="en-US"/>
        </w:rPr>
        <w:t xml:space="preserve">», USA), the authors </w:t>
      </w:r>
      <w:r w:rsidR="00784D60" w:rsidRPr="002D7F02">
        <w:rPr>
          <w:color w:val="000000"/>
          <w:lang w:val="en-US"/>
        </w:rPr>
        <w:t xml:space="preserve">have </w:t>
      </w:r>
      <w:r w:rsidR="00EC29BD" w:rsidRPr="002D7F02">
        <w:rPr>
          <w:color w:val="000000"/>
          <w:lang w:val="en-US"/>
        </w:rPr>
        <w:t xml:space="preserve">carried out </w:t>
      </w:r>
      <w:r w:rsidRPr="002D7F02">
        <w:rPr>
          <w:color w:val="000000"/>
          <w:lang w:val="en-US"/>
        </w:rPr>
        <w:t xml:space="preserve">an </w:t>
      </w:r>
      <w:proofErr w:type="spellStart"/>
      <w:r w:rsidR="00784D60" w:rsidRPr="002D7F02">
        <w:rPr>
          <w:color w:val="000000"/>
          <w:lang w:val="en-US"/>
        </w:rPr>
        <w:t>i</w:t>
      </w:r>
      <w:r w:rsidRPr="002D7F02">
        <w:rPr>
          <w:color w:val="000000"/>
          <w:lang w:val="en-US"/>
        </w:rPr>
        <w:t>mmunohistochemical</w:t>
      </w:r>
      <w:proofErr w:type="spellEnd"/>
      <w:r w:rsidRPr="002D7F02">
        <w:rPr>
          <w:color w:val="000000"/>
          <w:lang w:val="en-US"/>
        </w:rPr>
        <w:t xml:space="preserve"> study</w:t>
      </w:r>
      <w:r w:rsidR="00784D60" w:rsidRPr="002D7F02">
        <w:rPr>
          <w:color w:val="000000"/>
          <w:lang w:val="en-US"/>
        </w:rPr>
        <w:t>.</w:t>
      </w:r>
      <w:r w:rsidR="00845836" w:rsidRPr="002D7F02">
        <w:rPr>
          <w:color w:val="000000"/>
          <w:lang w:val="en-US"/>
        </w:rPr>
        <w:t xml:space="preserve"> Brown staining of cell nuclei characterized positive expression </w:t>
      </w:r>
      <w:r w:rsidR="00845836" w:rsidRPr="002D7F02">
        <w:rPr>
          <w:color w:val="000000"/>
          <w:lang w:val="en-US"/>
        </w:rPr>
        <w:lastRenderedPageBreak/>
        <w:t xml:space="preserve">of the marker. Visualization was performed, using an </w:t>
      </w:r>
      <w:proofErr w:type="spellStart"/>
      <w:r w:rsidR="00845836" w:rsidRPr="002D7F02">
        <w:rPr>
          <w:color w:val="000000"/>
          <w:lang w:val="en-US"/>
        </w:rPr>
        <w:t>EnVision</w:t>
      </w:r>
      <w:r w:rsidR="00845836" w:rsidRPr="002D7F02">
        <w:rPr>
          <w:color w:val="000000"/>
          <w:vertAlign w:val="superscript"/>
          <w:lang w:val="en-US"/>
        </w:rPr>
        <w:t>TM</w:t>
      </w:r>
      <w:proofErr w:type="spellEnd"/>
      <w:r w:rsidR="00845836" w:rsidRPr="002D7F02">
        <w:rPr>
          <w:color w:val="000000"/>
          <w:lang w:val="en-US"/>
        </w:rPr>
        <w:t xml:space="preserve"> FLEX detection system (</w:t>
      </w:r>
      <w:proofErr w:type="spellStart"/>
      <w:r w:rsidR="00845836" w:rsidRPr="002D7F02">
        <w:rPr>
          <w:color w:val="000000"/>
          <w:lang w:val="en-US"/>
        </w:rPr>
        <w:t>Dako</w:t>
      </w:r>
      <w:proofErr w:type="spellEnd"/>
      <w:r w:rsidR="00845836" w:rsidRPr="002D7F02">
        <w:rPr>
          <w:color w:val="000000"/>
          <w:lang w:val="en-US"/>
        </w:rPr>
        <w:t xml:space="preserve">, Denmark). Antigen was unmasked in citrate buffer pH 6.0 at </w:t>
      </w:r>
      <w:smartTag w:uri="urn:schemas-microsoft-com:office:smarttags" w:element="metricconverter">
        <w:smartTagPr>
          <w:attr w:name="ProductID" w:val="95 ﾰC"/>
        </w:smartTagPr>
        <w:r w:rsidR="00845836" w:rsidRPr="002D7F02">
          <w:rPr>
            <w:color w:val="000000"/>
            <w:lang w:val="en-US"/>
          </w:rPr>
          <w:t>95 °C</w:t>
        </w:r>
      </w:smartTag>
      <w:r w:rsidR="00845836" w:rsidRPr="002D7F02">
        <w:rPr>
          <w:color w:val="000000"/>
          <w:lang w:val="en-US"/>
        </w:rPr>
        <w:t xml:space="preserve">. Primary antibodies </w:t>
      </w:r>
      <w:r w:rsidR="00784D60" w:rsidRPr="002D7F02">
        <w:rPr>
          <w:color w:val="000000"/>
          <w:lang w:val="en-US"/>
        </w:rPr>
        <w:t xml:space="preserve">were </w:t>
      </w:r>
      <w:r w:rsidR="00845836" w:rsidRPr="002D7F02">
        <w:rPr>
          <w:color w:val="000000"/>
          <w:lang w:val="en-US"/>
        </w:rPr>
        <w:t>incubated at</w:t>
      </w:r>
      <w:r w:rsidR="008C1FB3" w:rsidRPr="002D7F02">
        <w:rPr>
          <w:color w:val="000000"/>
          <w:lang w:val="en-US"/>
        </w:rPr>
        <w:t xml:space="preserve"> room temperature for 30 min, secondary – for 20 min</w:t>
      </w:r>
      <w:r w:rsidR="00845836" w:rsidRPr="002D7F02">
        <w:rPr>
          <w:color w:val="000000"/>
          <w:lang w:val="en-US"/>
        </w:rPr>
        <w:t xml:space="preserve">. Sections were counterstained with Gill </w:t>
      </w:r>
      <w:proofErr w:type="spellStart"/>
      <w:r w:rsidR="00845836" w:rsidRPr="002D7F02">
        <w:rPr>
          <w:color w:val="000000"/>
          <w:lang w:val="en-US"/>
        </w:rPr>
        <w:t>hematoxylin</w:t>
      </w:r>
      <w:proofErr w:type="spellEnd"/>
      <w:r w:rsidR="00845836" w:rsidRPr="002D7F02">
        <w:rPr>
          <w:color w:val="000000"/>
          <w:lang w:val="en-US"/>
        </w:rPr>
        <w:t xml:space="preserve">. The </w:t>
      </w:r>
      <w:r w:rsidR="00784D60" w:rsidRPr="002D7F02">
        <w:rPr>
          <w:color w:val="000000"/>
          <w:lang w:val="en-US"/>
        </w:rPr>
        <w:t xml:space="preserve">authors assessed the </w:t>
      </w:r>
      <w:proofErr w:type="spellStart"/>
      <w:r w:rsidR="00845836" w:rsidRPr="002D7F02">
        <w:rPr>
          <w:color w:val="000000"/>
          <w:lang w:val="en-US"/>
        </w:rPr>
        <w:t>immunohistochemical</w:t>
      </w:r>
      <w:proofErr w:type="spellEnd"/>
      <w:r w:rsidR="00845836" w:rsidRPr="002D7F02">
        <w:rPr>
          <w:color w:val="000000"/>
          <w:lang w:val="en-US"/>
        </w:rPr>
        <w:t xml:space="preserve"> reaction by a semi-quantitative method</w:t>
      </w:r>
      <w:r w:rsidR="00784D60" w:rsidRPr="002D7F02">
        <w:rPr>
          <w:color w:val="000000"/>
          <w:lang w:val="en-US"/>
        </w:rPr>
        <w:t>,</w:t>
      </w:r>
      <w:r w:rsidR="00845836" w:rsidRPr="002D7F02">
        <w:rPr>
          <w:color w:val="000000"/>
          <w:lang w:val="en-US"/>
        </w:rPr>
        <w:t xml:space="preserve"> counting the percentage of positively stained cells in the field of view of a microscope × 400.</w:t>
      </w:r>
    </w:p>
    <w:p w:rsidR="007B2CA7" w:rsidRPr="002D7F02" w:rsidRDefault="007B2CA7" w:rsidP="002D7F02">
      <w:pPr>
        <w:spacing w:line="480" w:lineRule="auto"/>
        <w:ind w:firstLine="708"/>
        <w:jc w:val="both"/>
        <w:rPr>
          <w:color w:val="000000"/>
          <w:lang w:val="en-US"/>
        </w:rPr>
      </w:pPr>
      <w:r w:rsidRPr="002D7F02">
        <w:rPr>
          <w:color w:val="000000"/>
          <w:lang w:val="en-US"/>
        </w:rPr>
        <w:t xml:space="preserve">The expression of microRNA-34a, microRNA-29a was assessed by reverse transcription and quantitative polymerase chain reaction (PCR) in real time. Reverse transcription was performed using a set of </w:t>
      </w:r>
      <w:proofErr w:type="spellStart"/>
      <w:r w:rsidRPr="002D7F02">
        <w:rPr>
          <w:color w:val="000000"/>
          <w:lang w:val="en-US"/>
        </w:rPr>
        <w:t>TaqMan</w:t>
      </w:r>
      <w:proofErr w:type="spellEnd"/>
      <w:r w:rsidRPr="002D7F02">
        <w:rPr>
          <w:color w:val="000000"/>
          <w:lang w:val="en-US"/>
        </w:rPr>
        <w:t xml:space="preserve"> </w:t>
      </w:r>
      <w:r w:rsidR="00832DBC" w:rsidRPr="002D7F02">
        <w:rPr>
          <w:color w:val="000000"/>
          <w:lang w:val="en-US"/>
        </w:rPr>
        <w:t>MicroRNA</w:t>
      </w:r>
      <w:r w:rsidRPr="002D7F02">
        <w:rPr>
          <w:color w:val="000000"/>
          <w:lang w:val="en-US"/>
        </w:rPr>
        <w:t xml:space="preserve"> reagents (Applied </w:t>
      </w:r>
      <w:proofErr w:type="spellStart"/>
      <w:r w:rsidRPr="002D7F02">
        <w:rPr>
          <w:color w:val="000000"/>
          <w:lang w:val="en-US"/>
        </w:rPr>
        <w:t>Biosystems</w:t>
      </w:r>
      <w:proofErr w:type="spellEnd"/>
      <w:r w:rsidRPr="002D7F02">
        <w:rPr>
          <w:color w:val="000000"/>
          <w:lang w:val="en-US"/>
        </w:rPr>
        <w:t>, USA) with a specific primer for microRNA and 10 </w:t>
      </w:r>
      <w:proofErr w:type="spellStart"/>
      <w:r w:rsidRPr="002D7F02">
        <w:rPr>
          <w:color w:val="000000"/>
          <w:lang w:val="en-US"/>
        </w:rPr>
        <w:t>ng</w:t>
      </w:r>
      <w:proofErr w:type="spellEnd"/>
      <w:r w:rsidRPr="002D7F02">
        <w:rPr>
          <w:color w:val="000000"/>
          <w:lang w:val="en-US"/>
        </w:rPr>
        <w:t xml:space="preserve"> of total RNA. Real-time </w:t>
      </w:r>
      <w:proofErr w:type="spellStart"/>
      <w:r w:rsidRPr="002D7F02">
        <w:rPr>
          <w:color w:val="000000"/>
          <w:lang w:val="en-US"/>
        </w:rPr>
        <w:t>qPCR</w:t>
      </w:r>
      <w:proofErr w:type="spellEnd"/>
      <w:r w:rsidRPr="002D7F02">
        <w:rPr>
          <w:color w:val="000000"/>
          <w:lang w:val="en-US"/>
        </w:rPr>
        <w:t xml:space="preserve"> microRNA assays </w:t>
      </w:r>
      <w:proofErr w:type="spellStart"/>
      <w:r w:rsidRPr="002D7F02">
        <w:rPr>
          <w:color w:val="000000"/>
          <w:lang w:val="en-US"/>
        </w:rPr>
        <w:t>TaqMan</w:t>
      </w:r>
      <w:proofErr w:type="spellEnd"/>
      <w:r w:rsidRPr="002D7F02">
        <w:rPr>
          <w:color w:val="000000"/>
          <w:lang w:val="en-US"/>
        </w:rPr>
        <w:t xml:space="preserve"> (Applied </w:t>
      </w:r>
      <w:proofErr w:type="spellStart"/>
      <w:r w:rsidRPr="002D7F02">
        <w:rPr>
          <w:color w:val="000000"/>
          <w:lang w:val="en-US"/>
        </w:rPr>
        <w:t>Biosystems</w:t>
      </w:r>
      <w:proofErr w:type="spellEnd"/>
      <w:r w:rsidRPr="002D7F02">
        <w:rPr>
          <w:color w:val="000000"/>
          <w:lang w:val="en-US"/>
        </w:rPr>
        <w:t xml:space="preserve">, USA) were used: U6 </w:t>
      </w:r>
      <w:proofErr w:type="spellStart"/>
      <w:r w:rsidRPr="002D7F02">
        <w:rPr>
          <w:color w:val="000000"/>
          <w:lang w:val="en-US"/>
        </w:rPr>
        <w:t>snRNA</w:t>
      </w:r>
      <w:proofErr w:type="spellEnd"/>
      <w:r w:rsidRPr="002D7F02">
        <w:rPr>
          <w:color w:val="000000"/>
          <w:lang w:val="en-US"/>
        </w:rPr>
        <w:t xml:space="preserve">, ID001973 (as endogenous control), </w:t>
      </w:r>
      <w:r w:rsidR="00832DBC" w:rsidRPr="002D7F02">
        <w:rPr>
          <w:color w:val="000000"/>
          <w:lang w:val="en-US"/>
        </w:rPr>
        <w:t>hsa-microRNA-34a</w:t>
      </w:r>
      <w:r w:rsidRPr="002D7F02">
        <w:rPr>
          <w:color w:val="000000"/>
          <w:lang w:val="en-US"/>
        </w:rPr>
        <w:t xml:space="preserve">, </w:t>
      </w:r>
      <w:r w:rsidR="00832DBC" w:rsidRPr="002D7F02">
        <w:rPr>
          <w:color w:val="000000"/>
          <w:lang w:val="en-US"/>
        </w:rPr>
        <w:t>hsa-microRNA-29a</w:t>
      </w:r>
      <w:r w:rsidRPr="002D7F02">
        <w:rPr>
          <w:color w:val="000000"/>
          <w:lang w:val="en-US"/>
        </w:rPr>
        <w:t xml:space="preserve">, ID000426, ID002447 (Applied </w:t>
      </w:r>
      <w:proofErr w:type="spellStart"/>
      <w:r w:rsidRPr="002D7F02">
        <w:rPr>
          <w:color w:val="000000"/>
          <w:lang w:val="en-US"/>
        </w:rPr>
        <w:t>Biosystems</w:t>
      </w:r>
      <w:proofErr w:type="spellEnd"/>
      <w:r w:rsidRPr="002D7F02">
        <w:rPr>
          <w:color w:val="000000"/>
          <w:lang w:val="en-US"/>
        </w:rPr>
        <w:t>, USA). Temperature cycles were as follows: initial denaturation step 95°C 10 min; 50 cycles of 95°C –</w:t>
      </w:r>
      <w:r w:rsidR="00832DBC" w:rsidRPr="002D7F02">
        <w:rPr>
          <w:color w:val="000000"/>
          <w:lang w:val="en-US"/>
        </w:rPr>
        <w:t xml:space="preserve"> 15 </w:t>
      </w:r>
      <w:r w:rsidRPr="002D7F02">
        <w:rPr>
          <w:color w:val="000000"/>
          <w:lang w:val="en-US"/>
        </w:rPr>
        <w:t xml:space="preserve">s and 60°C </w:t>
      </w:r>
      <w:r w:rsidR="00832DBC" w:rsidRPr="002D7F02">
        <w:rPr>
          <w:color w:val="000000"/>
          <w:lang w:val="en-US"/>
        </w:rPr>
        <w:t>–</w:t>
      </w:r>
      <w:r w:rsidRPr="002D7F02">
        <w:rPr>
          <w:color w:val="000000"/>
          <w:lang w:val="en-US"/>
        </w:rPr>
        <w:t xml:space="preserve"> </w:t>
      </w:r>
      <w:r w:rsidR="00832DBC" w:rsidRPr="002D7F02">
        <w:rPr>
          <w:color w:val="000000"/>
          <w:lang w:val="en-US"/>
        </w:rPr>
        <w:t>60 </w:t>
      </w:r>
      <w:r w:rsidRPr="002D7F02">
        <w:rPr>
          <w:color w:val="000000"/>
          <w:lang w:val="en-US"/>
        </w:rPr>
        <w:t xml:space="preserve">s. The level of </w:t>
      </w:r>
      <w:r w:rsidR="00832DBC" w:rsidRPr="002D7F02">
        <w:rPr>
          <w:color w:val="000000"/>
          <w:lang w:val="en-US"/>
        </w:rPr>
        <w:t xml:space="preserve">microRNA </w:t>
      </w:r>
      <w:r w:rsidRPr="002D7F02">
        <w:rPr>
          <w:color w:val="000000"/>
          <w:lang w:val="en-US"/>
        </w:rPr>
        <w:t xml:space="preserve">expression was normalized to U6 </w:t>
      </w:r>
      <w:proofErr w:type="spellStart"/>
      <w:r w:rsidRPr="002D7F02">
        <w:rPr>
          <w:color w:val="000000"/>
          <w:lang w:val="en-US"/>
        </w:rPr>
        <w:t>snRNA</w:t>
      </w:r>
      <w:proofErr w:type="spellEnd"/>
      <w:r w:rsidRPr="002D7F02">
        <w:rPr>
          <w:color w:val="000000"/>
          <w:lang w:val="en-US"/>
        </w:rPr>
        <w:t xml:space="preserve"> and was presented in relative units (RU). Amplification was performed using real-time PCR 7500Fast (Applied </w:t>
      </w:r>
      <w:proofErr w:type="spellStart"/>
      <w:r w:rsidRPr="002D7F02">
        <w:rPr>
          <w:color w:val="000000"/>
          <w:lang w:val="en-US"/>
        </w:rPr>
        <w:t>Biosystems</w:t>
      </w:r>
      <w:proofErr w:type="spellEnd"/>
      <w:r w:rsidRPr="002D7F02">
        <w:rPr>
          <w:color w:val="000000"/>
          <w:lang w:val="en-US"/>
        </w:rPr>
        <w:t>, USA).</w:t>
      </w:r>
    </w:p>
    <w:p w:rsidR="00AD458C" w:rsidRPr="002D7F02" w:rsidRDefault="00715230" w:rsidP="002D7F02">
      <w:pPr>
        <w:spacing w:line="480" w:lineRule="auto"/>
        <w:ind w:firstLine="708"/>
        <w:jc w:val="both"/>
        <w:rPr>
          <w:shd w:val="clear" w:color="auto" w:fill="FFFFFF"/>
          <w:lang w:val="en-US"/>
        </w:rPr>
      </w:pPr>
      <w:r w:rsidRPr="002D7F02">
        <w:rPr>
          <w:lang w:val="en-US"/>
        </w:rPr>
        <w:t xml:space="preserve">The </w:t>
      </w:r>
      <w:r w:rsidR="00784D60" w:rsidRPr="002D7F02">
        <w:rPr>
          <w:lang w:val="en-US"/>
        </w:rPr>
        <w:t xml:space="preserve">authors used the following </w:t>
      </w:r>
      <w:r w:rsidRPr="002D7F02">
        <w:rPr>
          <w:lang w:val="en-US"/>
        </w:rPr>
        <w:t>methods of descriptive statistics in the study: means, errors of the mean, confidence interval</w:t>
      </w:r>
      <w:r w:rsidR="001326B8" w:rsidRPr="002D7F02">
        <w:rPr>
          <w:lang w:val="en-US"/>
        </w:rPr>
        <w:t xml:space="preserve"> (</w:t>
      </w:r>
      <w:r w:rsidR="001326B8" w:rsidRPr="002D7F02">
        <w:t>С</w:t>
      </w:r>
      <w:r w:rsidR="001326B8" w:rsidRPr="002D7F02">
        <w:rPr>
          <w:lang w:val="en-US"/>
        </w:rPr>
        <w:t>I)</w:t>
      </w:r>
      <w:r w:rsidRPr="002D7F02">
        <w:rPr>
          <w:lang w:val="en-US"/>
        </w:rPr>
        <w:t xml:space="preserve">. The nonparametric Mann-Whitney U test was used </w:t>
      </w:r>
      <w:r w:rsidR="00784D60" w:rsidRPr="002D7F02">
        <w:rPr>
          <w:lang w:val="en-US"/>
        </w:rPr>
        <w:t xml:space="preserve">to compare </w:t>
      </w:r>
      <w:r w:rsidRPr="002D7F02">
        <w:rPr>
          <w:lang w:val="en-US"/>
        </w:rPr>
        <w:t xml:space="preserve">the </w:t>
      </w:r>
      <w:r w:rsidR="00784D60" w:rsidRPr="002D7F02">
        <w:rPr>
          <w:lang w:val="en-US"/>
        </w:rPr>
        <w:t xml:space="preserve">means </w:t>
      </w:r>
      <w:r w:rsidRPr="002D7F02">
        <w:rPr>
          <w:lang w:val="en-US"/>
        </w:rPr>
        <w:t>in the groups</w:t>
      </w:r>
      <w:r w:rsidR="00CB7F0B" w:rsidRPr="002D7F02">
        <w:rPr>
          <w:lang w:val="en-US"/>
        </w:rPr>
        <w:t xml:space="preserve"> </w:t>
      </w:r>
      <w:r w:rsidR="003F61BE" w:rsidRPr="002D7F02">
        <w:rPr>
          <w:lang w:val="en-US"/>
        </w:rPr>
        <w:t>[</w:t>
      </w:r>
      <w:r w:rsidR="00CB7F0B" w:rsidRPr="002D7F02">
        <w:rPr>
          <w:lang w:val="en-US"/>
        </w:rPr>
        <w:t>16, 17</w:t>
      </w:r>
      <w:r w:rsidR="003F61BE" w:rsidRPr="002D7F02">
        <w:rPr>
          <w:lang w:val="en-US"/>
        </w:rPr>
        <w:t>]</w:t>
      </w:r>
      <w:r w:rsidRPr="002D7F02">
        <w:rPr>
          <w:lang w:val="en-US"/>
        </w:rPr>
        <w:t>.</w:t>
      </w:r>
      <w:r w:rsidR="00AA174B" w:rsidRPr="002D7F02">
        <w:rPr>
          <w:lang w:val="en-US"/>
        </w:rPr>
        <w:t xml:space="preserve"> Differences were considered significant at p&lt;0.05.</w:t>
      </w:r>
      <w:r w:rsidRPr="002D7F02">
        <w:rPr>
          <w:lang w:val="en-US"/>
        </w:rPr>
        <w:t xml:space="preserve"> Methods of multivariate discriminant analysis were used to predict the type of the tumor</w:t>
      </w:r>
      <w:r w:rsidR="00CB7F0B" w:rsidRPr="002D7F02">
        <w:rPr>
          <w:lang w:val="en-US"/>
        </w:rPr>
        <w:t xml:space="preserve"> </w:t>
      </w:r>
      <w:r w:rsidR="003F61BE" w:rsidRPr="002D7F02">
        <w:rPr>
          <w:lang w:val="en-US"/>
        </w:rPr>
        <w:t>[</w:t>
      </w:r>
      <w:r w:rsidR="00CB7F0B" w:rsidRPr="002D7F02">
        <w:rPr>
          <w:lang w:val="en-US"/>
        </w:rPr>
        <w:t>18</w:t>
      </w:r>
      <w:r w:rsidR="003F61BE" w:rsidRPr="002D7F02">
        <w:rPr>
          <w:lang w:val="en-US"/>
        </w:rPr>
        <w:t>]</w:t>
      </w:r>
      <w:r w:rsidRPr="002D7F02">
        <w:rPr>
          <w:lang w:val="en-US"/>
        </w:rPr>
        <w:t>.</w:t>
      </w:r>
      <w:r w:rsidR="009125F9" w:rsidRPr="002D7F02">
        <w:rPr>
          <w:lang w:val="en-US"/>
        </w:rPr>
        <w:t xml:space="preserve"> </w:t>
      </w:r>
      <w:r w:rsidR="00784D60" w:rsidRPr="002D7F02">
        <w:rPr>
          <w:lang w:val="en-US"/>
        </w:rPr>
        <w:t xml:space="preserve">In all calculations, we used </w:t>
      </w:r>
      <w:r w:rsidR="009125F9" w:rsidRPr="002D7F02">
        <w:rPr>
          <w:shd w:val="clear" w:color="auto" w:fill="FFFFFF"/>
          <w:lang w:val="en-US"/>
        </w:rPr>
        <w:t xml:space="preserve">Microsoft Excel. Statistical analysis was performed using IBM SPSS software Statistics 28 (license No. </w:t>
      </w:r>
      <w:proofErr w:type="gramStart"/>
      <w:r w:rsidR="009125F9" w:rsidRPr="002D7F02">
        <w:rPr>
          <w:shd w:val="clear" w:color="auto" w:fill="FFFFFF"/>
          <w:lang w:val="en-US"/>
        </w:rPr>
        <w:t>Z125-3301-14).</w:t>
      </w:r>
      <w:proofErr w:type="gramEnd"/>
    </w:p>
    <w:p w:rsidR="008316C0" w:rsidRPr="002D7F02" w:rsidRDefault="000C2CCE" w:rsidP="002D7F02">
      <w:pPr>
        <w:spacing w:line="480" w:lineRule="auto"/>
        <w:ind w:firstLine="708"/>
        <w:jc w:val="both"/>
        <w:rPr>
          <w:lang w:val="en-US"/>
        </w:rPr>
      </w:pPr>
      <w:proofErr w:type="gramStart"/>
      <w:r w:rsidRPr="002D7F02">
        <w:rPr>
          <w:b/>
          <w:color w:val="000000"/>
          <w:lang w:val="en-US"/>
        </w:rPr>
        <w:t>Results</w:t>
      </w:r>
      <w:r w:rsidR="00165F58" w:rsidRPr="002D7F02">
        <w:rPr>
          <w:b/>
          <w:color w:val="000000"/>
          <w:lang w:val="en-US"/>
        </w:rPr>
        <w:t>.</w:t>
      </w:r>
      <w:proofErr w:type="gramEnd"/>
      <w:r w:rsidR="00165F58" w:rsidRPr="002D7F02">
        <w:rPr>
          <w:b/>
          <w:color w:val="000000"/>
          <w:lang w:val="en-US"/>
        </w:rPr>
        <w:t xml:space="preserve"> </w:t>
      </w:r>
      <w:r w:rsidR="00CF44EB" w:rsidRPr="002D7F02">
        <w:rPr>
          <w:lang w:val="en-US"/>
        </w:rPr>
        <w:t xml:space="preserve">The results of </w:t>
      </w:r>
      <w:r w:rsidR="008316C0" w:rsidRPr="002D7F02">
        <w:rPr>
          <w:lang w:val="en-US"/>
        </w:rPr>
        <w:t xml:space="preserve">long-term research </w:t>
      </w:r>
      <w:r w:rsidR="00CF44EB" w:rsidRPr="002D7F02">
        <w:rPr>
          <w:lang w:val="en-US"/>
        </w:rPr>
        <w:t xml:space="preserve">allowed us to </w:t>
      </w:r>
      <w:r w:rsidR="008316C0" w:rsidRPr="002D7F02">
        <w:rPr>
          <w:lang w:val="en-US"/>
        </w:rPr>
        <w:t xml:space="preserve">identify an integrated approach </w:t>
      </w:r>
      <w:r w:rsidR="00784D60" w:rsidRPr="002D7F02">
        <w:rPr>
          <w:lang w:val="en-US"/>
        </w:rPr>
        <w:t xml:space="preserve">to </w:t>
      </w:r>
      <w:r w:rsidR="008316C0" w:rsidRPr="002D7F02">
        <w:rPr>
          <w:lang w:val="en-US"/>
        </w:rPr>
        <w:t xml:space="preserve">the morphological diagnosis of </w:t>
      </w:r>
      <w:r w:rsidR="00784D60" w:rsidRPr="002D7F02">
        <w:rPr>
          <w:lang w:val="en-US"/>
        </w:rPr>
        <w:t>different</w:t>
      </w:r>
      <w:r w:rsidR="0067341D" w:rsidRPr="002D7F02">
        <w:rPr>
          <w:lang w:val="en-US"/>
        </w:rPr>
        <w:t xml:space="preserve"> types of</w:t>
      </w:r>
      <w:r w:rsidR="00784D60" w:rsidRPr="002D7F02">
        <w:rPr>
          <w:lang w:val="en-US"/>
        </w:rPr>
        <w:t xml:space="preserve"> </w:t>
      </w:r>
      <w:r w:rsidR="008316C0" w:rsidRPr="002D7F02">
        <w:rPr>
          <w:lang w:val="en-US"/>
        </w:rPr>
        <w:t>pleomorphic</w:t>
      </w:r>
      <w:r w:rsidR="00784D60" w:rsidRPr="002D7F02">
        <w:rPr>
          <w:lang w:val="en-US"/>
        </w:rPr>
        <w:t xml:space="preserve"> adenomas of the salivary gland, </w:t>
      </w:r>
      <w:r w:rsidR="008316C0" w:rsidRPr="002D7F02">
        <w:rPr>
          <w:lang w:val="en-US"/>
        </w:rPr>
        <w:t xml:space="preserve">which </w:t>
      </w:r>
      <w:r w:rsidR="00784D60" w:rsidRPr="002D7F02">
        <w:rPr>
          <w:lang w:val="en-US"/>
        </w:rPr>
        <w:t xml:space="preserve">gives us </w:t>
      </w:r>
      <w:r w:rsidR="008316C0" w:rsidRPr="002D7F02">
        <w:rPr>
          <w:lang w:val="en-US"/>
        </w:rPr>
        <w:t xml:space="preserve">several </w:t>
      </w:r>
      <w:r w:rsidR="002520BD" w:rsidRPr="002D7F02">
        <w:rPr>
          <w:lang w:val="en-US"/>
        </w:rPr>
        <w:t>methods</w:t>
      </w:r>
      <w:r w:rsidR="008316C0" w:rsidRPr="002D7F02">
        <w:rPr>
          <w:lang w:val="en-US"/>
        </w:rPr>
        <w:t xml:space="preserve"> of </w:t>
      </w:r>
      <w:r w:rsidR="002520BD" w:rsidRPr="002D7F02">
        <w:rPr>
          <w:lang w:val="en-US"/>
        </w:rPr>
        <w:t>the</w:t>
      </w:r>
      <w:r w:rsidR="00784D60" w:rsidRPr="002D7F02">
        <w:rPr>
          <w:lang w:val="en-US"/>
        </w:rPr>
        <w:t>ir determination</w:t>
      </w:r>
      <w:r w:rsidR="008316C0" w:rsidRPr="002D7F02">
        <w:rPr>
          <w:lang w:val="en-US"/>
        </w:rPr>
        <w:t>.</w:t>
      </w:r>
    </w:p>
    <w:p w:rsidR="002520BD" w:rsidRPr="002D7F02" w:rsidRDefault="00784D60" w:rsidP="002D7F02">
      <w:pPr>
        <w:spacing w:line="480" w:lineRule="auto"/>
        <w:ind w:firstLine="709"/>
        <w:jc w:val="both"/>
        <w:rPr>
          <w:lang w:val="en-US"/>
        </w:rPr>
      </w:pPr>
      <w:r w:rsidRPr="002D7F02">
        <w:rPr>
          <w:lang w:val="en-US"/>
        </w:rPr>
        <w:lastRenderedPageBreak/>
        <w:t>The first method requires</w:t>
      </w:r>
      <w:r w:rsidR="002520BD" w:rsidRPr="002D7F02">
        <w:rPr>
          <w:lang w:val="en-US"/>
        </w:rPr>
        <w:t xml:space="preserve"> an </w:t>
      </w:r>
      <w:proofErr w:type="spellStart"/>
      <w:r w:rsidR="002520BD" w:rsidRPr="002D7F02">
        <w:rPr>
          <w:lang w:val="en-US"/>
        </w:rPr>
        <w:t>immunohistochemical</w:t>
      </w:r>
      <w:proofErr w:type="spellEnd"/>
      <w:r w:rsidR="002520BD" w:rsidRPr="002D7F02">
        <w:rPr>
          <w:lang w:val="en-US"/>
        </w:rPr>
        <w:t xml:space="preserve"> reac</w:t>
      </w:r>
      <w:r w:rsidR="00D3267E" w:rsidRPr="002D7F02">
        <w:rPr>
          <w:lang w:val="en-US"/>
        </w:rPr>
        <w:t xml:space="preserve">tion with a </w:t>
      </w:r>
      <w:r w:rsidR="002520BD" w:rsidRPr="002D7F02">
        <w:rPr>
          <w:lang w:val="en-US"/>
        </w:rPr>
        <w:t xml:space="preserve">MCA to HPV type 16, followed by counting the percentage of positively stained cells in the tumor tissue. This MCA was expressed by the epithelial cells of the nests and strands, solid, trabecular, cystic, glandular, ductal and tubular structures; some </w:t>
      </w:r>
      <w:proofErr w:type="spellStart"/>
      <w:r w:rsidR="002520BD" w:rsidRPr="002D7F02">
        <w:rPr>
          <w:lang w:val="en-US"/>
        </w:rPr>
        <w:t>myoepithelial</w:t>
      </w:r>
      <w:proofErr w:type="spellEnd"/>
      <w:r w:rsidR="002520BD" w:rsidRPr="002D7F02">
        <w:rPr>
          <w:lang w:val="en-US"/>
        </w:rPr>
        <w:t xml:space="preserve"> cells; fibroblast cells, immune cells, vascular </w:t>
      </w:r>
      <w:proofErr w:type="spellStart"/>
      <w:r w:rsidR="002520BD" w:rsidRPr="002D7F02">
        <w:rPr>
          <w:lang w:val="en-US"/>
        </w:rPr>
        <w:t>endotheliocytes</w:t>
      </w:r>
      <w:proofErr w:type="spellEnd"/>
      <w:r w:rsidR="002520BD" w:rsidRPr="002D7F02">
        <w:rPr>
          <w:lang w:val="en-US"/>
        </w:rPr>
        <w:t xml:space="preserve">, cellular elements of </w:t>
      </w:r>
      <w:proofErr w:type="spellStart"/>
      <w:r w:rsidR="002520BD" w:rsidRPr="002D7F02">
        <w:rPr>
          <w:lang w:val="en-US"/>
        </w:rPr>
        <w:t>myxoid</w:t>
      </w:r>
      <w:proofErr w:type="spellEnd"/>
      <w:r w:rsidR="002520BD" w:rsidRPr="002D7F02">
        <w:rPr>
          <w:lang w:val="en-US"/>
        </w:rPr>
        <w:t xml:space="preserve"> and </w:t>
      </w:r>
      <w:proofErr w:type="spellStart"/>
      <w:r w:rsidR="002520BD" w:rsidRPr="002D7F02">
        <w:rPr>
          <w:lang w:val="en-US"/>
        </w:rPr>
        <w:t>mucoid</w:t>
      </w:r>
      <w:proofErr w:type="spellEnd"/>
      <w:r w:rsidR="002520BD" w:rsidRPr="002D7F02">
        <w:rPr>
          <w:lang w:val="en-US"/>
        </w:rPr>
        <w:t xml:space="preserve"> zones. The percentage of positively stained cells significantly (p&lt;0.05) </w:t>
      </w:r>
      <w:r w:rsidR="007F5252" w:rsidRPr="002D7F02">
        <w:rPr>
          <w:lang w:val="en-US"/>
        </w:rPr>
        <w:t xml:space="preserve">varied </w:t>
      </w:r>
      <w:r w:rsidR="002520BD" w:rsidRPr="002D7F02">
        <w:rPr>
          <w:lang w:val="en-US"/>
        </w:rPr>
        <w:t>in different pleomorphic adenoma</w:t>
      </w:r>
      <w:r w:rsidR="00DA4E79" w:rsidRPr="002D7F02">
        <w:rPr>
          <w:lang w:val="en-US"/>
        </w:rPr>
        <w:t>s</w:t>
      </w:r>
      <w:r w:rsidR="002520BD" w:rsidRPr="002D7F02">
        <w:rPr>
          <w:lang w:val="en-US"/>
        </w:rPr>
        <w:t xml:space="preserve"> </w:t>
      </w:r>
      <w:r w:rsidR="007F5252" w:rsidRPr="002D7F02">
        <w:rPr>
          <w:lang w:val="en-US"/>
        </w:rPr>
        <w:t>(Table 1).</w:t>
      </w:r>
    </w:p>
    <w:p w:rsidR="00165F58" w:rsidRPr="002D7F02" w:rsidRDefault="00165F58" w:rsidP="002D7F02">
      <w:pPr>
        <w:spacing w:line="480" w:lineRule="auto"/>
        <w:ind w:firstLine="709"/>
        <w:jc w:val="both"/>
        <w:rPr>
          <w:lang w:val="en-US"/>
        </w:rPr>
      </w:pPr>
      <w:r w:rsidRPr="002D7F02">
        <w:rPr>
          <w:color w:val="000000"/>
          <w:kern w:val="1"/>
          <w:lang w:val="en-US"/>
        </w:rPr>
        <w:t xml:space="preserve">Table 1 shows the values of CI for the means, allowing us to determine the histological variants of pleomorphic adenomas. Thus, the </w:t>
      </w:r>
      <w:proofErr w:type="spellStart"/>
      <w:r w:rsidRPr="002D7F02">
        <w:rPr>
          <w:color w:val="000000"/>
          <w:kern w:val="1"/>
          <w:lang w:val="en-US"/>
        </w:rPr>
        <w:t>mesenchymal</w:t>
      </w:r>
      <w:proofErr w:type="spellEnd"/>
      <w:r w:rsidRPr="002D7F02">
        <w:rPr>
          <w:color w:val="000000"/>
          <w:kern w:val="1"/>
          <w:lang w:val="en-US"/>
        </w:rPr>
        <w:t xml:space="preserve"> variant of the tumor is diagnosed in cases when the percentage of positively stained cells is &lt; 40%. In the mixed variant of the tumor, this indicator is ≥ 40%, but ≤ 70%, and in epithelial variant – &gt; 70%.</w:t>
      </w:r>
    </w:p>
    <w:p w:rsidR="00165F58" w:rsidRPr="002D7F02" w:rsidRDefault="00165F58" w:rsidP="002D7F02">
      <w:pPr>
        <w:spacing w:line="480" w:lineRule="auto"/>
        <w:ind w:firstLine="709"/>
        <w:jc w:val="both"/>
        <w:rPr>
          <w:lang w:val="en-US"/>
        </w:rPr>
      </w:pPr>
    </w:p>
    <w:p w:rsidR="00894584" w:rsidRPr="002D7F02" w:rsidRDefault="00894584" w:rsidP="002D7F02">
      <w:pPr>
        <w:spacing w:line="480" w:lineRule="auto"/>
        <w:jc w:val="both"/>
        <w:rPr>
          <w:lang w:val="en-US"/>
        </w:rPr>
      </w:pPr>
      <w:r w:rsidRPr="002D7F02">
        <w:rPr>
          <w:b/>
          <w:lang w:val="en-US"/>
        </w:rPr>
        <w:t>Table 1:</w:t>
      </w:r>
      <w:r w:rsidRPr="002D7F02">
        <w:rPr>
          <w:lang w:val="en-US"/>
        </w:rPr>
        <w:t xml:space="preserve"> </w:t>
      </w:r>
      <w:r w:rsidR="00DA4E79" w:rsidRPr="002D7F02">
        <w:rPr>
          <w:lang w:val="en-US"/>
        </w:rPr>
        <w:t>The p</w:t>
      </w:r>
      <w:r w:rsidRPr="002D7F02">
        <w:rPr>
          <w:lang w:val="en-US"/>
        </w:rPr>
        <w:t xml:space="preserve">ercentage of positively stained cells in pleomorphic adenomas of various histological variants in an </w:t>
      </w:r>
      <w:proofErr w:type="spellStart"/>
      <w:r w:rsidRPr="002D7F02">
        <w:rPr>
          <w:lang w:val="en-US"/>
        </w:rPr>
        <w:t>immunohistochemical</w:t>
      </w:r>
      <w:proofErr w:type="spellEnd"/>
      <w:r w:rsidRPr="002D7F02">
        <w:rPr>
          <w:lang w:val="en-US"/>
        </w:rPr>
        <w:t xml:space="preserve"> reaction with</w:t>
      </w:r>
      <w:r w:rsidR="00DA4E79" w:rsidRPr="002D7F02">
        <w:rPr>
          <w:lang w:val="en-US"/>
        </w:rPr>
        <w:t xml:space="preserve"> a</w:t>
      </w:r>
      <w:r w:rsidRPr="002D7F02">
        <w:rPr>
          <w:lang w:val="en-US"/>
        </w:rPr>
        <w:t xml:space="preserve"> MCA to HPV type 16.</w:t>
      </w:r>
    </w:p>
    <w:tbl>
      <w:tblPr>
        <w:tblStyle w:val="a6"/>
        <w:tblW w:w="0" w:type="auto"/>
        <w:jc w:val="center"/>
        <w:tblLook w:val="04A0" w:firstRow="1" w:lastRow="0" w:firstColumn="1" w:lastColumn="0" w:noHBand="0" w:noVBand="1"/>
      </w:tblPr>
      <w:tblGrid>
        <w:gridCol w:w="5210"/>
        <w:gridCol w:w="1981"/>
        <w:gridCol w:w="2086"/>
      </w:tblGrid>
      <w:tr w:rsidR="001326B8" w:rsidRPr="002D7F02" w:rsidTr="006D0B6F">
        <w:trPr>
          <w:jc w:val="center"/>
        </w:trPr>
        <w:tc>
          <w:tcPr>
            <w:tcW w:w="5210" w:type="dxa"/>
          </w:tcPr>
          <w:p w:rsidR="001326B8" w:rsidRPr="002D7F02" w:rsidRDefault="007C3837" w:rsidP="002D7F02">
            <w:pPr>
              <w:spacing w:line="480" w:lineRule="auto"/>
              <w:jc w:val="center"/>
              <w:rPr>
                <w:rFonts w:ascii="Times New Roman" w:hAnsi="Times New Roman" w:cs="Times New Roman"/>
                <w:b/>
                <w:lang w:val="en-US"/>
              </w:rPr>
            </w:pPr>
            <w:r w:rsidRPr="002D7F02">
              <w:rPr>
                <w:rFonts w:ascii="Times New Roman" w:hAnsi="Times New Roman" w:cs="Times New Roman"/>
                <w:b/>
                <w:lang w:val="en-US"/>
              </w:rPr>
              <w:t>P</w:t>
            </w:r>
            <w:proofErr w:type="spellStart"/>
            <w:r w:rsidRPr="002D7F02">
              <w:rPr>
                <w:rFonts w:ascii="Times New Roman" w:hAnsi="Times New Roman" w:cs="Times New Roman"/>
                <w:b/>
              </w:rPr>
              <w:t>leomorphic</w:t>
            </w:r>
            <w:proofErr w:type="spellEnd"/>
            <w:r w:rsidRPr="002D7F02">
              <w:rPr>
                <w:rFonts w:ascii="Times New Roman" w:hAnsi="Times New Roman" w:cs="Times New Roman"/>
                <w:b/>
              </w:rPr>
              <w:t xml:space="preserve"> </w:t>
            </w:r>
            <w:proofErr w:type="spellStart"/>
            <w:r w:rsidRPr="002D7F02">
              <w:rPr>
                <w:rFonts w:ascii="Times New Roman" w:hAnsi="Times New Roman" w:cs="Times New Roman"/>
                <w:b/>
              </w:rPr>
              <w:t>adenoma</w:t>
            </w:r>
            <w:proofErr w:type="spellEnd"/>
            <w:r w:rsidR="00DA4E79" w:rsidRPr="002D7F02">
              <w:rPr>
                <w:rFonts w:ascii="Times New Roman" w:hAnsi="Times New Roman" w:cs="Times New Roman"/>
                <w:b/>
                <w:lang w:val="en-US"/>
              </w:rPr>
              <w:t>s</w:t>
            </w:r>
            <w:r w:rsidRPr="002D7F02">
              <w:rPr>
                <w:rFonts w:ascii="Times New Roman" w:hAnsi="Times New Roman" w:cs="Times New Roman"/>
                <w:b/>
              </w:rPr>
              <w:t xml:space="preserve"> </w:t>
            </w:r>
            <w:r w:rsidRPr="002D7F02">
              <w:rPr>
                <w:rFonts w:ascii="Times New Roman" w:hAnsi="Times New Roman" w:cs="Times New Roman"/>
                <w:b/>
                <w:lang w:val="en-US"/>
              </w:rPr>
              <w:t>v</w:t>
            </w:r>
            <w:proofErr w:type="spellStart"/>
            <w:r w:rsidR="00894584" w:rsidRPr="002D7F02">
              <w:rPr>
                <w:rFonts w:ascii="Times New Roman" w:hAnsi="Times New Roman" w:cs="Times New Roman"/>
                <w:b/>
              </w:rPr>
              <w:t>ariant</w:t>
            </w:r>
            <w:proofErr w:type="spellEnd"/>
            <w:r w:rsidR="009372CF" w:rsidRPr="002D7F02">
              <w:rPr>
                <w:rFonts w:ascii="Times New Roman" w:hAnsi="Times New Roman" w:cs="Times New Roman"/>
                <w:b/>
                <w:lang w:val="en-US"/>
              </w:rPr>
              <w:t>s</w:t>
            </w:r>
          </w:p>
        </w:tc>
        <w:tc>
          <w:tcPr>
            <w:tcW w:w="1981" w:type="dxa"/>
          </w:tcPr>
          <w:p w:rsidR="001326B8" w:rsidRPr="002D7F02" w:rsidRDefault="001326B8" w:rsidP="002D7F02">
            <w:pPr>
              <w:spacing w:line="480" w:lineRule="auto"/>
              <w:jc w:val="center"/>
              <w:rPr>
                <w:rFonts w:ascii="Times New Roman" w:hAnsi="Times New Roman" w:cs="Times New Roman"/>
                <w:b/>
              </w:rPr>
            </w:pPr>
            <w:r w:rsidRPr="002D7F02">
              <w:rPr>
                <w:rFonts w:ascii="Times New Roman" w:hAnsi="Times New Roman" w:cs="Times New Roman"/>
                <w:b/>
                <w:lang w:val="en-US"/>
              </w:rPr>
              <w:t>M</w:t>
            </w:r>
            <w:r w:rsidRPr="002D7F02">
              <w:rPr>
                <w:rFonts w:ascii="Times New Roman" w:hAnsi="Times New Roman" w:cs="Times New Roman"/>
                <w:b/>
              </w:rPr>
              <w:t>±</w:t>
            </w:r>
            <w:r w:rsidRPr="002D7F02">
              <w:rPr>
                <w:rFonts w:ascii="Times New Roman" w:hAnsi="Times New Roman" w:cs="Times New Roman"/>
                <w:b/>
                <w:lang w:val="en-US"/>
              </w:rPr>
              <w:t>m</w:t>
            </w:r>
          </w:p>
        </w:tc>
        <w:tc>
          <w:tcPr>
            <w:tcW w:w="2086" w:type="dxa"/>
          </w:tcPr>
          <w:p w:rsidR="001326B8" w:rsidRPr="002D7F02" w:rsidRDefault="001326B8" w:rsidP="002D7F02">
            <w:pPr>
              <w:spacing w:line="480" w:lineRule="auto"/>
              <w:jc w:val="center"/>
              <w:rPr>
                <w:rFonts w:ascii="Times New Roman" w:hAnsi="Times New Roman" w:cs="Times New Roman"/>
                <w:b/>
              </w:rPr>
            </w:pPr>
            <w:r w:rsidRPr="002D7F02">
              <w:rPr>
                <w:rFonts w:ascii="Times New Roman" w:hAnsi="Times New Roman" w:cs="Times New Roman"/>
                <w:b/>
              </w:rPr>
              <w:t>С</w:t>
            </w:r>
            <w:proofErr w:type="gramStart"/>
            <w:r w:rsidRPr="002D7F02">
              <w:rPr>
                <w:rFonts w:ascii="Times New Roman" w:hAnsi="Times New Roman" w:cs="Times New Roman"/>
                <w:b/>
                <w:lang w:val="en-US"/>
              </w:rPr>
              <w:t>I</w:t>
            </w:r>
            <w:proofErr w:type="gramEnd"/>
            <w:r w:rsidRPr="002D7F02">
              <w:rPr>
                <w:rFonts w:ascii="Times New Roman" w:hAnsi="Times New Roman" w:cs="Times New Roman"/>
                <w:b/>
              </w:rPr>
              <w:t xml:space="preserve"> (95%)</w:t>
            </w:r>
          </w:p>
        </w:tc>
      </w:tr>
      <w:tr w:rsidR="001326B8" w:rsidRPr="002D7F02" w:rsidTr="006D0B6F">
        <w:trPr>
          <w:jc w:val="center"/>
        </w:trPr>
        <w:tc>
          <w:tcPr>
            <w:tcW w:w="5210" w:type="dxa"/>
          </w:tcPr>
          <w:p w:rsidR="001326B8" w:rsidRPr="002D7F02" w:rsidRDefault="00894584" w:rsidP="002D7F02">
            <w:pPr>
              <w:spacing w:line="480" w:lineRule="auto"/>
              <w:jc w:val="center"/>
              <w:rPr>
                <w:rFonts w:ascii="Times New Roman" w:hAnsi="Times New Roman" w:cs="Times New Roman"/>
                <w:b/>
              </w:rPr>
            </w:pPr>
            <w:proofErr w:type="spellStart"/>
            <w:r w:rsidRPr="002D7F02">
              <w:rPr>
                <w:rFonts w:ascii="Times New Roman" w:hAnsi="Times New Roman" w:cs="Times New Roman"/>
                <w:b/>
              </w:rPr>
              <w:t>Mesenchymal</w:t>
            </w:r>
            <w:proofErr w:type="spellEnd"/>
          </w:p>
        </w:tc>
        <w:tc>
          <w:tcPr>
            <w:tcW w:w="1981" w:type="dxa"/>
          </w:tcPr>
          <w:p w:rsidR="001326B8" w:rsidRPr="002D7F02" w:rsidRDefault="001326B8" w:rsidP="002D7F02">
            <w:pPr>
              <w:spacing w:line="480" w:lineRule="auto"/>
              <w:jc w:val="center"/>
              <w:rPr>
                <w:rFonts w:ascii="Times New Roman" w:hAnsi="Times New Roman" w:cs="Times New Roman"/>
              </w:rPr>
            </w:pPr>
            <w:r w:rsidRPr="002D7F02">
              <w:rPr>
                <w:rFonts w:ascii="Times New Roman" w:hAnsi="Times New Roman" w:cs="Times New Roman"/>
              </w:rPr>
              <w:t>27</w:t>
            </w:r>
            <w:r w:rsidR="00BD5401" w:rsidRPr="002D7F02">
              <w:rPr>
                <w:rFonts w:ascii="Times New Roman" w:hAnsi="Times New Roman" w:cs="Times New Roman"/>
              </w:rPr>
              <w:t>.</w:t>
            </w:r>
            <w:r w:rsidRPr="002D7F02">
              <w:rPr>
                <w:rFonts w:ascii="Times New Roman" w:hAnsi="Times New Roman" w:cs="Times New Roman"/>
              </w:rPr>
              <w:t>2</w:t>
            </w:r>
            <w:r w:rsidRPr="002D7F02">
              <w:rPr>
                <w:rFonts w:ascii="Times New Roman" w:hAnsi="Times New Roman" w:cs="Times New Roman"/>
                <w:lang w:val="en-US"/>
              </w:rPr>
              <w:t>±</w:t>
            </w:r>
            <w:r w:rsidRPr="002D7F02">
              <w:rPr>
                <w:rFonts w:ascii="Times New Roman" w:hAnsi="Times New Roman" w:cs="Times New Roman"/>
              </w:rPr>
              <w:t>0</w:t>
            </w:r>
            <w:r w:rsidR="00BD5401" w:rsidRPr="002D7F02">
              <w:rPr>
                <w:rFonts w:ascii="Times New Roman" w:hAnsi="Times New Roman" w:cs="Times New Roman"/>
              </w:rPr>
              <w:t>.</w:t>
            </w:r>
            <w:r w:rsidRPr="002D7F02">
              <w:rPr>
                <w:rFonts w:ascii="Times New Roman" w:hAnsi="Times New Roman" w:cs="Times New Roman"/>
              </w:rPr>
              <w:t>69</w:t>
            </w:r>
            <w:r w:rsidR="006D0B6F" w:rsidRPr="002D7F02">
              <w:rPr>
                <w:rFonts w:ascii="Times New Roman" w:hAnsi="Times New Roman" w:cs="Times New Roman"/>
              </w:rPr>
              <w:t xml:space="preserve"> </w:t>
            </w:r>
          </w:p>
        </w:tc>
        <w:tc>
          <w:tcPr>
            <w:tcW w:w="2086" w:type="dxa"/>
          </w:tcPr>
          <w:p w:rsidR="001326B8" w:rsidRPr="002D7F02" w:rsidRDefault="001326B8" w:rsidP="002D7F02">
            <w:pPr>
              <w:spacing w:line="480" w:lineRule="auto"/>
              <w:jc w:val="center"/>
              <w:rPr>
                <w:rFonts w:ascii="Times New Roman" w:hAnsi="Times New Roman" w:cs="Times New Roman"/>
              </w:rPr>
            </w:pPr>
            <w:r w:rsidRPr="002D7F02">
              <w:rPr>
                <w:rFonts w:ascii="Times New Roman" w:hAnsi="Times New Roman" w:cs="Times New Roman"/>
              </w:rPr>
              <w:t>(25</w:t>
            </w:r>
            <w:r w:rsidR="00BD5401" w:rsidRPr="002D7F02">
              <w:rPr>
                <w:rFonts w:ascii="Times New Roman" w:hAnsi="Times New Roman" w:cs="Times New Roman"/>
              </w:rPr>
              <w:t>.</w:t>
            </w:r>
            <w:r w:rsidRPr="002D7F02">
              <w:rPr>
                <w:rFonts w:ascii="Times New Roman" w:hAnsi="Times New Roman" w:cs="Times New Roman"/>
              </w:rPr>
              <w:t>72; 28</w:t>
            </w:r>
            <w:r w:rsidR="00BD5401" w:rsidRPr="002D7F02">
              <w:rPr>
                <w:rFonts w:ascii="Times New Roman" w:hAnsi="Times New Roman" w:cs="Times New Roman"/>
              </w:rPr>
              <w:t>.</w:t>
            </w:r>
            <w:r w:rsidRPr="002D7F02">
              <w:rPr>
                <w:rFonts w:ascii="Times New Roman" w:hAnsi="Times New Roman" w:cs="Times New Roman"/>
              </w:rPr>
              <w:t>63)</w:t>
            </w:r>
          </w:p>
        </w:tc>
      </w:tr>
      <w:tr w:rsidR="001326B8" w:rsidRPr="002D7F02" w:rsidTr="006D0B6F">
        <w:trPr>
          <w:jc w:val="center"/>
        </w:trPr>
        <w:tc>
          <w:tcPr>
            <w:tcW w:w="5210" w:type="dxa"/>
          </w:tcPr>
          <w:p w:rsidR="001326B8" w:rsidRPr="002D7F02" w:rsidRDefault="00894584" w:rsidP="002D7F02">
            <w:pPr>
              <w:spacing w:line="480" w:lineRule="auto"/>
              <w:jc w:val="center"/>
              <w:rPr>
                <w:rFonts w:ascii="Times New Roman" w:hAnsi="Times New Roman" w:cs="Times New Roman"/>
                <w:b/>
              </w:rPr>
            </w:pPr>
            <w:proofErr w:type="spellStart"/>
            <w:r w:rsidRPr="002D7F02">
              <w:rPr>
                <w:rFonts w:ascii="Times New Roman" w:hAnsi="Times New Roman" w:cs="Times New Roman"/>
                <w:b/>
              </w:rPr>
              <w:t>Epithelial</w:t>
            </w:r>
            <w:proofErr w:type="spellEnd"/>
          </w:p>
        </w:tc>
        <w:tc>
          <w:tcPr>
            <w:tcW w:w="1981" w:type="dxa"/>
          </w:tcPr>
          <w:p w:rsidR="001326B8" w:rsidRPr="002D7F02" w:rsidRDefault="001326B8" w:rsidP="002D7F02">
            <w:pPr>
              <w:spacing w:line="480" w:lineRule="auto"/>
              <w:jc w:val="center"/>
              <w:rPr>
                <w:rFonts w:ascii="Times New Roman" w:hAnsi="Times New Roman" w:cs="Times New Roman"/>
              </w:rPr>
            </w:pPr>
            <w:r w:rsidRPr="002D7F02">
              <w:rPr>
                <w:rFonts w:ascii="Times New Roman" w:hAnsi="Times New Roman" w:cs="Times New Roman"/>
              </w:rPr>
              <w:t>75</w:t>
            </w:r>
            <w:r w:rsidR="00BD5401" w:rsidRPr="002D7F02">
              <w:rPr>
                <w:rFonts w:ascii="Times New Roman" w:hAnsi="Times New Roman" w:cs="Times New Roman"/>
              </w:rPr>
              <w:t>.</w:t>
            </w:r>
            <w:r w:rsidRPr="002D7F02">
              <w:rPr>
                <w:rFonts w:ascii="Times New Roman" w:hAnsi="Times New Roman" w:cs="Times New Roman"/>
              </w:rPr>
              <w:t>8</w:t>
            </w:r>
            <w:r w:rsidRPr="002D7F02">
              <w:rPr>
                <w:rFonts w:ascii="Times New Roman" w:hAnsi="Times New Roman" w:cs="Times New Roman"/>
                <w:lang w:val="en-US"/>
              </w:rPr>
              <w:t>±</w:t>
            </w:r>
            <w:r w:rsidRPr="002D7F02">
              <w:rPr>
                <w:rFonts w:ascii="Times New Roman" w:hAnsi="Times New Roman" w:cs="Times New Roman"/>
              </w:rPr>
              <w:t>0</w:t>
            </w:r>
            <w:r w:rsidR="00BD5401" w:rsidRPr="002D7F02">
              <w:rPr>
                <w:rFonts w:ascii="Times New Roman" w:hAnsi="Times New Roman" w:cs="Times New Roman"/>
              </w:rPr>
              <w:t>.</w:t>
            </w:r>
            <w:r w:rsidRPr="002D7F02">
              <w:rPr>
                <w:rFonts w:ascii="Times New Roman" w:hAnsi="Times New Roman" w:cs="Times New Roman"/>
              </w:rPr>
              <w:t>75</w:t>
            </w:r>
            <w:r w:rsidR="006D0B6F" w:rsidRPr="002D7F02">
              <w:rPr>
                <w:rFonts w:ascii="Times New Roman" w:hAnsi="Times New Roman" w:cs="Times New Roman"/>
              </w:rPr>
              <w:t xml:space="preserve"> </w:t>
            </w:r>
            <w:r w:rsidR="006D0B6F" w:rsidRPr="002D7F02">
              <w:rPr>
                <w:rFonts w:ascii="Times New Roman" w:hAnsi="Times New Roman" w:cs="Times New Roman"/>
                <w:i/>
                <w:vertAlign w:val="superscript"/>
              </w:rPr>
              <w:t>1</w:t>
            </w:r>
          </w:p>
        </w:tc>
        <w:tc>
          <w:tcPr>
            <w:tcW w:w="2086" w:type="dxa"/>
          </w:tcPr>
          <w:p w:rsidR="001326B8" w:rsidRPr="002D7F02" w:rsidRDefault="001326B8" w:rsidP="002D7F02">
            <w:pPr>
              <w:spacing w:line="480" w:lineRule="auto"/>
              <w:jc w:val="center"/>
              <w:rPr>
                <w:rFonts w:ascii="Times New Roman" w:hAnsi="Times New Roman" w:cs="Times New Roman"/>
              </w:rPr>
            </w:pPr>
            <w:r w:rsidRPr="002D7F02">
              <w:rPr>
                <w:rFonts w:ascii="Times New Roman" w:hAnsi="Times New Roman" w:cs="Times New Roman"/>
              </w:rPr>
              <w:t>(73</w:t>
            </w:r>
            <w:r w:rsidR="00BD5401" w:rsidRPr="002D7F02">
              <w:rPr>
                <w:rFonts w:ascii="Times New Roman" w:hAnsi="Times New Roman" w:cs="Times New Roman"/>
              </w:rPr>
              <w:t>.</w:t>
            </w:r>
            <w:r w:rsidRPr="002D7F02">
              <w:rPr>
                <w:rFonts w:ascii="Times New Roman" w:hAnsi="Times New Roman" w:cs="Times New Roman"/>
              </w:rPr>
              <w:t>71; 77</w:t>
            </w:r>
            <w:r w:rsidR="00BD5401" w:rsidRPr="002D7F02">
              <w:rPr>
                <w:rFonts w:ascii="Times New Roman" w:hAnsi="Times New Roman" w:cs="Times New Roman"/>
              </w:rPr>
              <w:t>.</w:t>
            </w:r>
            <w:r w:rsidRPr="002D7F02">
              <w:rPr>
                <w:rFonts w:ascii="Times New Roman" w:hAnsi="Times New Roman" w:cs="Times New Roman"/>
              </w:rPr>
              <w:t>89)</w:t>
            </w:r>
          </w:p>
        </w:tc>
      </w:tr>
      <w:tr w:rsidR="001326B8" w:rsidRPr="002D7F02" w:rsidTr="006D0B6F">
        <w:trPr>
          <w:jc w:val="center"/>
        </w:trPr>
        <w:tc>
          <w:tcPr>
            <w:tcW w:w="5210" w:type="dxa"/>
          </w:tcPr>
          <w:p w:rsidR="001326B8" w:rsidRPr="002D7F02" w:rsidRDefault="00894584" w:rsidP="002D7F02">
            <w:pPr>
              <w:spacing w:line="480" w:lineRule="auto"/>
              <w:jc w:val="center"/>
              <w:rPr>
                <w:rFonts w:ascii="Times New Roman" w:hAnsi="Times New Roman" w:cs="Times New Roman"/>
                <w:b/>
              </w:rPr>
            </w:pPr>
            <w:proofErr w:type="spellStart"/>
            <w:r w:rsidRPr="002D7F02">
              <w:rPr>
                <w:rFonts w:ascii="Times New Roman" w:hAnsi="Times New Roman" w:cs="Times New Roman"/>
                <w:b/>
              </w:rPr>
              <w:t>Mixed</w:t>
            </w:r>
            <w:proofErr w:type="spellEnd"/>
          </w:p>
        </w:tc>
        <w:tc>
          <w:tcPr>
            <w:tcW w:w="1981" w:type="dxa"/>
          </w:tcPr>
          <w:p w:rsidR="001326B8" w:rsidRPr="002D7F02" w:rsidRDefault="001326B8" w:rsidP="002D7F02">
            <w:pPr>
              <w:spacing w:line="480" w:lineRule="auto"/>
              <w:jc w:val="center"/>
              <w:rPr>
                <w:rFonts w:ascii="Times New Roman" w:hAnsi="Times New Roman" w:cs="Times New Roman"/>
              </w:rPr>
            </w:pPr>
            <w:r w:rsidRPr="002D7F02">
              <w:rPr>
                <w:rFonts w:ascii="Times New Roman" w:hAnsi="Times New Roman" w:cs="Times New Roman"/>
              </w:rPr>
              <w:t>56</w:t>
            </w:r>
            <w:r w:rsidR="00BD5401" w:rsidRPr="002D7F02">
              <w:rPr>
                <w:rFonts w:ascii="Times New Roman" w:hAnsi="Times New Roman" w:cs="Times New Roman"/>
              </w:rPr>
              <w:t>.</w:t>
            </w:r>
            <w:r w:rsidRPr="002D7F02">
              <w:rPr>
                <w:rFonts w:ascii="Times New Roman" w:hAnsi="Times New Roman" w:cs="Times New Roman"/>
              </w:rPr>
              <w:t>9</w:t>
            </w:r>
            <w:r w:rsidRPr="002D7F02">
              <w:rPr>
                <w:rFonts w:ascii="Times New Roman" w:hAnsi="Times New Roman" w:cs="Times New Roman"/>
                <w:lang w:val="en-US"/>
              </w:rPr>
              <w:t>±</w:t>
            </w:r>
            <w:r w:rsidRPr="002D7F02">
              <w:rPr>
                <w:rFonts w:ascii="Times New Roman" w:hAnsi="Times New Roman" w:cs="Times New Roman"/>
              </w:rPr>
              <w:t>1</w:t>
            </w:r>
            <w:r w:rsidR="00BD5401" w:rsidRPr="002D7F02">
              <w:rPr>
                <w:rFonts w:ascii="Times New Roman" w:hAnsi="Times New Roman" w:cs="Times New Roman"/>
              </w:rPr>
              <w:t>.</w:t>
            </w:r>
            <w:r w:rsidRPr="002D7F02">
              <w:rPr>
                <w:rFonts w:ascii="Times New Roman" w:hAnsi="Times New Roman" w:cs="Times New Roman"/>
              </w:rPr>
              <w:t>7</w:t>
            </w:r>
            <w:r w:rsidR="00BD5401" w:rsidRPr="002D7F02">
              <w:rPr>
                <w:rFonts w:ascii="Times New Roman" w:hAnsi="Times New Roman" w:cs="Times New Roman"/>
              </w:rPr>
              <w:t>0</w:t>
            </w:r>
            <w:r w:rsidR="006D0B6F" w:rsidRPr="002D7F02">
              <w:rPr>
                <w:rFonts w:ascii="Times New Roman" w:hAnsi="Times New Roman" w:cs="Times New Roman"/>
              </w:rPr>
              <w:t xml:space="preserve"> </w:t>
            </w:r>
            <w:r w:rsidR="006D0B6F" w:rsidRPr="002D7F02">
              <w:rPr>
                <w:rFonts w:ascii="Times New Roman" w:hAnsi="Times New Roman" w:cs="Times New Roman"/>
                <w:i/>
                <w:vertAlign w:val="superscript"/>
              </w:rPr>
              <w:t>2,3</w:t>
            </w:r>
          </w:p>
        </w:tc>
        <w:tc>
          <w:tcPr>
            <w:tcW w:w="2086" w:type="dxa"/>
          </w:tcPr>
          <w:p w:rsidR="001326B8" w:rsidRPr="002D7F02" w:rsidRDefault="001326B8" w:rsidP="002D7F02">
            <w:pPr>
              <w:spacing w:line="480" w:lineRule="auto"/>
              <w:jc w:val="center"/>
              <w:rPr>
                <w:rFonts w:ascii="Times New Roman" w:hAnsi="Times New Roman" w:cs="Times New Roman"/>
              </w:rPr>
            </w:pPr>
            <w:r w:rsidRPr="002D7F02">
              <w:rPr>
                <w:rFonts w:ascii="Times New Roman" w:hAnsi="Times New Roman" w:cs="Times New Roman"/>
              </w:rPr>
              <w:t>(53</w:t>
            </w:r>
            <w:r w:rsidR="00BD5401" w:rsidRPr="002D7F02">
              <w:rPr>
                <w:rFonts w:ascii="Times New Roman" w:hAnsi="Times New Roman" w:cs="Times New Roman"/>
              </w:rPr>
              <w:t>.</w:t>
            </w:r>
            <w:r w:rsidRPr="002D7F02">
              <w:rPr>
                <w:rFonts w:ascii="Times New Roman" w:hAnsi="Times New Roman" w:cs="Times New Roman"/>
              </w:rPr>
              <w:t>06; 60</w:t>
            </w:r>
            <w:r w:rsidR="00BD5401" w:rsidRPr="002D7F02">
              <w:rPr>
                <w:rFonts w:ascii="Times New Roman" w:hAnsi="Times New Roman" w:cs="Times New Roman"/>
              </w:rPr>
              <w:t>.</w:t>
            </w:r>
            <w:r w:rsidRPr="002D7F02">
              <w:rPr>
                <w:rFonts w:ascii="Times New Roman" w:hAnsi="Times New Roman" w:cs="Times New Roman"/>
              </w:rPr>
              <w:t>74)</w:t>
            </w:r>
          </w:p>
        </w:tc>
      </w:tr>
    </w:tbl>
    <w:p w:rsidR="004C3649" w:rsidRPr="002D7F02" w:rsidRDefault="004C3649" w:rsidP="002D7F02">
      <w:pPr>
        <w:spacing w:line="480" w:lineRule="auto"/>
        <w:ind w:firstLine="567"/>
        <w:jc w:val="both"/>
        <w:rPr>
          <w:lang w:val="en-US"/>
        </w:rPr>
      </w:pPr>
      <w:r w:rsidRPr="002D7F02">
        <w:rPr>
          <w:i/>
          <w:vertAlign w:val="superscript"/>
          <w:lang w:val="en-US"/>
        </w:rPr>
        <w:t>1</w:t>
      </w:r>
      <w:r w:rsidR="001326B8" w:rsidRPr="002D7F02">
        <w:rPr>
          <w:lang w:val="en-US"/>
        </w:rPr>
        <w:t xml:space="preserve"> </w:t>
      </w:r>
      <w:r w:rsidR="00F32E0A" w:rsidRPr="002D7F02">
        <w:rPr>
          <w:lang w:val="en-US"/>
        </w:rPr>
        <w:t>–</w:t>
      </w:r>
      <w:r w:rsidR="001326B8" w:rsidRPr="002D7F02">
        <w:rPr>
          <w:lang w:val="en-US"/>
        </w:rPr>
        <w:t xml:space="preserve"> </w:t>
      </w:r>
      <w:proofErr w:type="gramStart"/>
      <w:r w:rsidR="00F32E0A" w:rsidRPr="002D7F02">
        <w:rPr>
          <w:lang w:val="en-US"/>
        </w:rPr>
        <w:t>significant</w:t>
      </w:r>
      <w:proofErr w:type="gramEnd"/>
      <w:r w:rsidR="00F32E0A" w:rsidRPr="002D7F02">
        <w:rPr>
          <w:lang w:val="en-US"/>
        </w:rPr>
        <w:t xml:space="preserve"> (p&lt;0.05) differences of indicators in </w:t>
      </w:r>
      <w:proofErr w:type="spellStart"/>
      <w:r w:rsidR="00F32E0A" w:rsidRPr="002D7F02">
        <w:rPr>
          <w:lang w:val="en-US"/>
        </w:rPr>
        <w:t>mesenchymal</w:t>
      </w:r>
      <w:proofErr w:type="spellEnd"/>
      <w:r w:rsidR="00F32E0A" w:rsidRPr="002D7F02">
        <w:rPr>
          <w:lang w:val="en-US"/>
        </w:rPr>
        <w:t xml:space="preserve"> and epithelial variants of the tumor</w:t>
      </w:r>
      <w:r w:rsidRPr="002D7F02">
        <w:rPr>
          <w:lang w:val="en-US"/>
        </w:rPr>
        <w:t>;</w:t>
      </w:r>
      <w:r w:rsidR="00F32E0A" w:rsidRPr="002D7F02">
        <w:rPr>
          <w:lang w:val="en-US"/>
        </w:rPr>
        <w:t xml:space="preserve"> </w:t>
      </w:r>
      <w:r w:rsidRPr="002D7F02">
        <w:rPr>
          <w:i/>
          <w:vertAlign w:val="superscript"/>
          <w:lang w:val="en-US"/>
        </w:rPr>
        <w:t>2</w:t>
      </w:r>
      <w:r w:rsidRPr="002D7F02">
        <w:rPr>
          <w:lang w:val="en-US"/>
        </w:rPr>
        <w:t xml:space="preserve"> </w:t>
      </w:r>
      <w:r w:rsidR="00F32E0A" w:rsidRPr="002D7F02">
        <w:rPr>
          <w:lang w:val="en-US"/>
        </w:rPr>
        <w:t>–</w:t>
      </w:r>
      <w:r w:rsidRPr="002D7F02">
        <w:rPr>
          <w:lang w:val="en-US"/>
        </w:rPr>
        <w:t xml:space="preserve"> </w:t>
      </w:r>
      <w:r w:rsidR="00F32E0A" w:rsidRPr="002D7F02">
        <w:rPr>
          <w:lang w:val="en-US"/>
        </w:rPr>
        <w:t>significant (p&lt;0.05) differences of indicators in epithelial and mixed variants of the tumor</w:t>
      </w:r>
      <w:r w:rsidRPr="002D7F02">
        <w:rPr>
          <w:lang w:val="en-US"/>
        </w:rPr>
        <w:t>;</w:t>
      </w:r>
      <w:r w:rsidR="00F32E0A" w:rsidRPr="002D7F02">
        <w:rPr>
          <w:lang w:val="en-US"/>
        </w:rPr>
        <w:t xml:space="preserve"> </w:t>
      </w:r>
      <w:r w:rsidRPr="002D7F02">
        <w:rPr>
          <w:i/>
          <w:vertAlign w:val="superscript"/>
          <w:lang w:val="en-US"/>
        </w:rPr>
        <w:t>3</w:t>
      </w:r>
      <w:r w:rsidRPr="002D7F02">
        <w:rPr>
          <w:lang w:val="en-US"/>
        </w:rPr>
        <w:t xml:space="preserve"> </w:t>
      </w:r>
      <w:r w:rsidR="00F32E0A" w:rsidRPr="002D7F02">
        <w:rPr>
          <w:lang w:val="en-US"/>
        </w:rPr>
        <w:t>–</w:t>
      </w:r>
      <w:r w:rsidRPr="002D7F02">
        <w:rPr>
          <w:lang w:val="en-US"/>
        </w:rPr>
        <w:t xml:space="preserve"> </w:t>
      </w:r>
      <w:r w:rsidR="00F32E0A" w:rsidRPr="002D7F02">
        <w:rPr>
          <w:lang w:val="en-US"/>
        </w:rPr>
        <w:t xml:space="preserve">significant (p&lt;0.05) differences of indicators in </w:t>
      </w:r>
      <w:proofErr w:type="spellStart"/>
      <w:r w:rsidR="00F32E0A" w:rsidRPr="002D7F02">
        <w:rPr>
          <w:lang w:val="en-US"/>
        </w:rPr>
        <w:t>mesenchymal</w:t>
      </w:r>
      <w:proofErr w:type="spellEnd"/>
      <w:r w:rsidR="00F32E0A" w:rsidRPr="002D7F02">
        <w:rPr>
          <w:lang w:val="en-US"/>
        </w:rPr>
        <w:t xml:space="preserve"> and mixed variants of the tumor</w:t>
      </w:r>
      <w:r w:rsidR="006D0B6F" w:rsidRPr="002D7F02">
        <w:rPr>
          <w:lang w:val="en-US"/>
        </w:rPr>
        <w:t>.</w:t>
      </w:r>
    </w:p>
    <w:p w:rsidR="00DE3404" w:rsidRPr="002D7F02" w:rsidRDefault="00DE3404" w:rsidP="002D7F02">
      <w:pPr>
        <w:spacing w:line="480" w:lineRule="auto"/>
        <w:ind w:firstLine="567"/>
        <w:jc w:val="both"/>
        <w:rPr>
          <w:color w:val="000000"/>
          <w:kern w:val="1"/>
          <w:lang w:val="en-US"/>
        </w:rPr>
      </w:pPr>
    </w:p>
    <w:p w:rsidR="00DE3404" w:rsidRPr="002D7F02" w:rsidRDefault="00803826" w:rsidP="002D7F02">
      <w:pPr>
        <w:spacing w:line="480" w:lineRule="auto"/>
        <w:ind w:firstLine="567"/>
        <w:jc w:val="both"/>
        <w:rPr>
          <w:color w:val="000000"/>
          <w:kern w:val="1"/>
          <w:lang w:val="en-US"/>
        </w:rPr>
      </w:pPr>
      <w:r w:rsidRPr="002D7F02">
        <w:rPr>
          <w:color w:val="000000"/>
          <w:kern w:val="1"/>
          <w:lang w:val="en-US"/>
        </w:rPr>
        <w:t xml:space="preserve">The second </w:t>
      </w:r>
      <w:r w:rsidRPr="002D7F02">
        <w:rPr>
          <w:lang w:val="en-US"/>
        </w:rPr>
        <w:t>method</w:t>
      </w:r>
      <w:r w:rsidRPr="002D7F02">
        <w:rPr>
          <w:color w:val="000000"/>
          <w:kern w:val="1"/>
          <w:lang w:val="en-US"/>
        </w:rPr>
        <w:t xml:space="preserve"> for determining the histological variant</w:t>
      </w:r>
      <w:r w:rsidR="00EC7EF2" w:rsidRPr="002D7F02">
        <w:rPr>
          <w:color w:val="000000"/>
          <w:kern w:val="1"/>
          <w:lang w:val="en-US"/>
        </w:rPr>
        <w:t>s</w:t>
      </w:r>
      <w:r w:rsidRPr="002D7F02">
        <w:rPr>
          <w:color w:val="000000"/>
          <w:kern w:val="1"/>
          <w:lang w:val="en-US"/>
        </w:rPr>
        <w:t xml:space="preserve"> of pleomorphic adenoma</w:t>
      </w:r>
      <w:r w:rsidR="00EC7EF2" w:rsidRPr="002D7F02">
        <w:rPr>
          <w:color w:val="000000"/>
          <w:kern w:val="1"/>
          <w:lang w:val="en-US"/>
        </w:rPr>
        <w:t>s</w:t>
      </w:r>
      <w:r w:rsidRPr="002D7F02">
        <w:rPr>
          <w:color w:val="000000"/>
          <w:kern w:val="1"/>
          <w:lang w:val="en-US"/>
        </w:rPr>
        <w:t xml:space="preserve"> </w:t>
      </w:r>
      <w:r w:rsidR="00EC7EF2" w:rsidRPr="002D7F02">
        <w:rPr>
          <w:color w:val="000000"/>
          <w:kern w:val="1"/>
          <w:lang w:val="en-US"/>
        </w:rPr>
        <w:t>was</w:t>
      </w:r>
      <w:r w:rsidRPr="002D7F02">
        <w:rPr>
          <w:color w:val="000000"/>
          <w:kern w:val="1"/>
          <w:lang w:val="en-US"/>
        </w:rPr>
        <w:t xml:space="preserve"> not as simple as the first one, bas</w:t>
      </w:r>
      <w:r w:rsidR="007F5252" w:rsidRPr="002D7F02">
        <w:rPr>
          <w:color w:val="000000"/>
          <w:kern w:val="1"/>
          <w:lang w:val="en-US"/>
        </w:rPr>
        <w:t xml:space="preserve">ed </w:t>
      </w:r>
      <w:r w:rsidRPr="002D7F02">
        <w:rPr>
          <w:color w:val="000000"/>
          <w:kern w:val="1"/>
          <w:lang w:val="en-US"/>
        </w:rPr>
        <w:t xml:space="preserve">on </w:t>
      </w:r>
      <w:r w:rsidR="007F5252" w:rsidRPr="002D7F02">
        <w:rPr>
          <w:color w:val="000000"/>
          <w:kern w:val="1"/>
          <w:lang w:val="en-US"/>
        </w:rPr>
        <w:t xml:space="preserve">the </w:t>
      </w:r>
      <w:r w:rsidRPr="002D7F02">
        <w:rPr>
          <w:color w:val="000000"/>
          <w:kern w:val="1"/>
          <w:lang w:val="en-US"/>
        </w:rPr>
        <w:t>multivariate discriminant analysis.</w:t>
      </w:r>
      <w:r w:rsidR="001A108A" w:rsidRPr="002D7F02">
        <w:rPr>
          <w:color w:val="000000"/>
          <w:kern w:val="1"/>
          <w:lang w:val="en-US"/>
        </w:rPr>
        <w:t xml:space="preserve"> The </w:t>
      </w:r>
      <w:r w:rsidR="001A108A" w:rsidRPr="002D7F02">
        <w:rPr>
          <w:color w:val="000000"/>
          <w:kern w:val="1"/>
          <w:lang w:val="en-US"/>
        </w:rPr>
        <w:lastRenderedPageBreak/>
        <w:t>purpose of the latter was to determine two discriminant functions (canonical roots), which divided all objects into three groups depending on the histological variant of the tumor.</w:t>
      </w:r>
      <w:r w:rsidR="00C90399" w:rsidRPr="002D7F02">
        <w:rPr>
          <w:color w:val="000000"/>
          <w:kern w:val="1"/>
          <w:lang w:val="en-US"/>
        </w:rPr>
        <w:t xml:space="preserve"> These two discriminant functions are two </w:t>
      </w:r>
      <w:proofErr w:type="spellStart"/>
      <w:r w:rsidR="00C90399" w:rsidRPr="002D7F02">
        <w:rPr>
          <w:color w:val="000000"/>
          <w:kern w:val="1"/>
          <w:lang w:val="en-US"/>
        </w:rPr>
        <w:t>hyperplanes</w:t>
      </w:r>
      <w:proofErr w:type="spellEnd"/>
      <w:r w:rsidR="00F03D8E" w:rsidRPr="002D7F02">
        <w:rPr>
          <w:color w:val="000000"/>
          <w:kern w:val="1"/>
          <w:lang w:val="en-US"/>
        </w:rPr>
        <w:t xml:space="preserve">, which </w:t>
      </w:r>
      <w:r w:rsidR="00C90399" w:rsidRPr="002D7F02">
        <w:rPr>
          <w:color w:val="000000"/>
          <w:kern w:val="1"/>
          <w:lang w:val="en-US"/>
        </w:rPr>
        <w:t>divid</w:t>
      </w:r>
      <w:r w:rsidR="00F03D8E" w:rsidRPr="002D7F02">
        <w:rPr>
          <w:color w:val="000000"/>
          <w:kern w:val="1"/>
          <w:lang w:val="en-US"/>
        </w:rPr>
        <w:t>e</w:t>
      </w:r>
      <w:r w:rsidR="00C90399" w:rsidRPr="002D7F02">
        <w:rPr>
          <w:color w:val="000000"/>
          <w:kern w:val="1"/>
          <w:lang w:val="en-US"/>
        </w:rPr>
        <w:t xml:space="preserve"> the entire n-dimensional space of indicators into three regions corresponding to three tumor variants.</w:t>
      </w:r>
    </w:p>
    <w:p w:rsidR="00605ECB" w:rsidRPr="002D7F02" w:rsidRDefault="00AD6DBC" w:rsidP="002D7F02">
      <w:pPr>
        <w:spacing w:line="480" w:lineRule="auto"/>
        <w:ind w:firstLine="567"/>
        <w:jc w:val="both"/>
        <w:rPr>
          <w:lang w:val="en-US"/>
        </w:rPr>
      </w:pPr>
      <w:r w:rsidRPr="002D7F02">
        <w:rPr>
          <w:lang w:val="en-US"/>
        </w:rPr>
        <w:t xml:space="preserve">The </w:t>
      </w:r>
      <w:r w:rsidR="00F03D8E" w:rsidRPr="002D7F02">
        <w:rPr>
          <w:lang w:val="en-US"/>
        </w:rPr>
        <w:t xml:space="preserve">authors </w:t>
      </w:r>
      <w:r w:rsidRPr="002D7F02">
        <w:rPr>
          <w:lang w:val="en-US"/>
        </w:rPr>
        <w:t>determin</w:t>
      </w:r>
      <w:r w:rsidR="00F03D8E" w:rsidRPr="002D7F02">
        <w:rPr>
          <w:lang w:val="en-US"/>
        </w:rPr>
        <w:t xml:space="preserve">ed the </w:t>
      </w:r>
      <w:r w:rsidRPr="002D7F02">
        <w:rPr>
          <w:lang w:val="en-US"/>
        </w:rPr>
        <w:t xml:space="preserve">indicators for discriminant functions by the method of sequential selection of 5 </w:t>
      </w:r>
      <w:r w:rsidR="000514F8" w:rsidRPr="002D7F02">
        <w:rPr>
          <w:lang w:val="en-US"/>
        </w:rPr>
        <w:t>parameters</w:t>
      </w:r>
      <w:r w:rsidRPr="002D7F02">
        <w:rPr>
          <w:lang w:val="en-US"/>
        </w:rPr>
        <w:t xml:space="preserve"> (specific volume of the parenchyma and </w:t>
      </w:r>
      <w:proofErr w:type="spellStart"/>
      <w:r w:rsidRPr="002D7F02">
        <w:rPr>
          <w:lang w:val="en-US"/>
        </w:rPr>
        <w:t>stroma</w:t>
      </w:r>
      <w:proofErr w:type="spellEnd"/>
      <w:r w:rsidRPr="002D7F02">
        <w:rPr>
          <w:lang w:val="en-US"/>
        </w:rPr>
        <w:t>; number of vessels in the microscope field of view × 100</w:t>
      </w:r>
      <w:r w:rsidR="003F61BE" w:rsidRPr="002D7F02">
        <w:rPr>
          <w:lang w:val="en-US"/>
        </w:rPr>
        <w:t>;</w:t>
      </w:r>
      <w:r w:rsidRPr="002D7F02">
        <w:rPr>
          <w:lang w:val="en-US"/>
        </w:rPr>
        <w:t xml:space="preserve"> expression level of microRNA-34a and microRNA-29a (Table 2))</w:t>
      </w:r>
      <w:r w:rsidR="00CB7F0B" w:rsidRPr="002D7F02">
        <w:rPr>
          <w:lang w:val="en-US"/>
        </w:rPr>
        <w:t xml:space="preserve"> (10, 11)</w:t>
      </w:r>
      <w:r w:rsidRPr="002D7F02">
        <w:rPr>
          <w:lang w:val="en-US"/>
        </w:rPr>
        <w:t xml:space="preserve">. </w:t>
      </w:r>
      <w:r w:rsidR="00EC29BD" w:rsidRPr="002D7F02">
        <w:rPr>
          <w:lang w:val="en-US"/>
        </w:rPr>
        <w:t>We obtained t</w:t>
      </w:r>
      <w:r w:rsidRPr="002D7F02">
        <w:rPr>
          <w:lang w:val="en-US"/>
        </w:rPr>
        <w:t xml:space="preserve">hese </w:t>
      </w:r>
      <w:r w:rsidR="000514F8" w:rsidRPr="002D7F02">
        <w:rPr>
          <w:lang w:val="en-US"/>
        </w:rPr>
        <w:t>parameters</w:t>
      </w:r>
      <w:r w:rsidRPr="002D7F02">
        <w:rPr>
          <w:lang w:val="en-US"/>
        </w:rPr>
        <w:t xml:space="preserve"> by </w:t>
      </w:r>
      <w:r w:rsidR="00EC29BD" w:rsidRPr="002D7F02">
        <w:rPr>
          <w:lang w:val="en-US"/>
        </w:rPr>
        <w:t xml:space="preserve">the </w:t>
      </w:r>
      <w:r w:rsidRPr="002D7F02">
        <w:rPr>
          <w:lang w:val="en-US"/>
        </w:rPr>
        <w:t xml:space="preserve">morphometric study. </w:t>
      </w:r>
      <w:r w:rsidR="00205AC0" w:rsidRPr="002D7F02">
        <w:rPr>
          <w:lang w:val="en-US"/>
        </w:rPr>
        <w:t xml:space="preserve">The values of the specific volume of parenchyma, specific volume of </w:t>
      </w:r>
      <w:proofErr w:type="spellStart"/>
      <w:r w:rsidR="00205AC0" w:rsidRPr="002D7F02">
        <w:rPr>
          <w:lang w:val="en-US"/>
        </w:rPr>
        <w:t>stroma</w:t>
      </w:r>
      <w:proofErr w:type="spellEnd"/>
      <w:r w:rsidR="00205AC0" w:rsidRPr="002D7F02">
        <w:rPr>
          <w:lang w:val="en-US"/>
        </w:rPr>
        <w:t xml:space="preserve">, expression level of microRNA-34a, expression level of microRNA-29a were significantly (p&lt;0.05) different in pleomorphic adenomas types. </w:t>
      </w:r>
      <w:r w:rsidR="00605ECB" w:rsidRPr="002D7F02">
        <w:rPr>
          <w:lang w:val="en-US"/>
        </w:rPr>
        <w:t xml:space="preserve">The absolute number of vessels was large (p&lt;0.05) in the </w:t>
      </w:r>
      <w:proofErr w:type="spellStart"/>
      <w:r w:rsidR="00605ECB" w:rsidRPr="002D7F02">
        <w:rPr>
          <w:lang w:val="en-US"/>
        </w:rPr>
        <w:t>mesenchymal</w:t>
      </w:r>
      <w:proofErr w:type="spellEnd"/>
      <w:r w:rsidR="00605ECB" w:rsidRPr="002D7F02">
        <w:rPr>
          <w:lang w:val="en-US"/>
        </w:rPr>
        <w:t xml:space="preserve"> and mixed variants compared with the epithelial variant. The absolute number of vessels did not differ (p&gt;0.05) in </w:t>
      </w:r>
      <w:proofErr w:type="spellStart"/>
      <w:r w:rsidR="00605ECB" w:rsidRPr="002D7F02">
        <w:rPr>
          <w:lang w:val="en-US"/>
        </w:rPr>
        <w:t>mesenchymal</w:t>
      </w:r>
      <w:proofErr w:type="spellEnd"/>
      <w:r w:rsidR="00605ECB" w:rsidRPr="002D7F02">
        <w:rPr>
          <w:lang w:val="en-US"/>
        </w:rPr>
        <w:t xml:space="preserve"> and mixed variants of the tumor (Table 2).</w:t>
      </w:r>
    </w:p>
    <w:p w:rsidR="000D13DB" w:rsidRPr="002D7F02" w:rsidRDefault="000D13DB" w:rsidP="002D7F02">
      <w:pPr>
        <w:spacing w:line="480" w:lineRule="auto"/>
        <w:ind w:firstLine="567"/>
        <w:jc w:val="both"/>
        <w:rPr>
          <w:lang w:val="en-US"/>
        </w:rPr>
      </w:pPr>
    </w:p>
    <w:p w:rsidR="000D13DB" w:rsidRPr="002D7F02" w:rsidRDefault="000D13DB" w:rsidP="002D7F02">
      <w:pPr>
        <w:spacing w:line="480" w:lineRule="auto"/>
        <w:jc w:val="both"/>
        <w:rPr>
          <w:lang w:val="en-US"/>
        </w:rPr>
      </w:pPr>
      <w:proofErr w:type="gramStart"/>
      <w:r w:rsidRPr="002D7F02">
        <w:rPr>
          <w:b/>
          <w:lang w:val="en-US"/>
        </w:rPr>
        <w:t>Table 2:</w:t>
      </w:r>
      <w:r w:rsidRPr="002D7F02">
        <w:rPr>
          <w:lang w:val="en-US"/>
        </w:rPr>
        <w:t xml:space="preserve"> Morphometric parameters of pleomorphic adenomas variants.</w:t>
      </w:r>
      <w:proofErr w:type="gramEnd"/>
    </w:p>
    <w:tbl>
      <w:tblPr>
        <w:tblStyle w:val="a6"/>
        <w:tblW w:w="0" w:type="auto"/>
        <w:tblInd w:w="108" w:type="dxa"/>
        <w:tblLayout w:type="fixed"/>
        <w:tblLook w:val="04A0" w:firstRow="1" w:lastRow="0" w:firstColumn="1" w:lastColumn="0" w:noHBand="0" w:noVBand="1"/>
      </w:tblPr>
      <w:tblGrid>
        <w:gridCol w:w="2835"/>
        <w:gridCol w:w="2268"/>
        <w:gridCol w:w="2127"/>
        <w:gridCol w:w="2126"/>
      </w:tblGrid>
      <w:tr w:rsidR="000D13DB" w:rsidRPr="002D7F02" w:rsidTr="00B8460B">
        <w:tc>
          <w:tcPr>
            <w:tcW w:w="2835" w:type="dxa"/>
            <w:vMerge w:val="restart"/>
            <w:vAlign w:val="center"/>
          </w:tcPr>
          <w:p w:rsidR="000D13DB" w:rsidRPr="002D7F02" w:rsidRDefault="000D13DB" w:rsidP="002D7F02">
            <w:pPr>
              <w:spacing w:line="480" w:lineRule="auto"/>
              <w:jc w:val="center"/>
              <w:rPr>
                <w:rFonts w:ascii="Times New Roman" w:hAnsi="Times New Roman" w:cs="Times New Roman"/>
                <w:b/>
              </w:rPr>
            </w:pPr>
            <w:proofErr w:type="spellStart"/>
            <w:r w:rsidRPr="002D7F02">
              <w:rPr>
                <w:rFonts w:ascii="Times New Roman" w:hAnsi="Times New Roman" w:cs="Times New Roman"/>
                <w:b/>
              </w:rPr>
              <w:t>Name</w:t>
            </w:r>
            <w:proofErr w:type="spellEnd"/>
            <w:r w:rsidRPr="002D7F02">
              <w:rPr>
                <w:rFonts w:ascii="Times New Roman" w:hAnsi="Times New Roman" w:cs="Times New Roman"/>
                <w:b/>
              </w:rPr>
              <w:t xml:space="preserve"> </w:t>
            </w:r>
            <w:proofErr w:type="spellStart"/>
            <w:r w:rsidRPr="002D7F02">
              <w:rPr>
                <w:rFonts w:ascii="Times New Roman" w:hAnsi="Times New Roman" w:cs="Times New Roman"/>
                <w:b/>
              </w:rPr>
              <w:t>of</w:t>
            </w:r>
            <w:proofErr w:type="spellEnd"/>
            <w:r w:rsidRPr="002D7F02">
              <w:rPr>
                <w:rFonts w:ascii="Times New Roman" w:hAnsi="Times New Roman" w:cs="Times New Roman"/>
                <w:b/>
              </w:rPr>
              <w:t xml:space="preserve"> </w:t>
            </w:r>
            <w:r w:rsidRPr="002D7F02">
              <w:rPr>
                <w:rFonts w:ascii="Times New Roman" w:hAnsi="Times New Roman" w:cs="Times New Roman"/>
                <w:b/>
                <w:lang w:val="en-US"/>
              </w:rPr>
              <w:t>parameter</w:t>
            </w:r>
          </w:p>
        </w:tc>
        <w:tc>
          <w:tcPr>
            <w:tcW w:w="6521" w:type="dxa"/>
            <w:gridSpan w:val="3"/>
          </w:tcPr>
          <w:p w:rsidR="000D13DB" w:rsidRPr="002D7F02" w:rsidRDefault="000D13DB" w:rsidP="002D7F02">
            <w:pPr>
              <w:spacing w:line="480" w:lineRule="auto"/>
              <w:jc w:val="center"/>
              <w:rPr>
                <w:rFonts w:ascii="Times New Roman" w:hAnsi="Times New Roman" w:cs="Times New Roman"/>
                <w:lang w:val="en-US"/>
              </w:rPr>
            </w:pPr>
            <w:proofErr w:type="spellStart"/>
            <w:r w:rsidRPr="002D7F02">
              <w:rPr>
                <w:rFonts w:ascii="Times New Roman" w:hAnsi="Times New Roman" w:cs="Times New Roman"/>
                <w:b/>
              </w:rPr>
              <w:t>Pleomorphic</w:t>
            </w:r>
            <w:proofErr w:type="spellEnd"/>
            <w:r w:rsidRPr="002D7F02">
              <w:rPr>
                <w:rFonts w:ascii="Times New Roman" w:hAnsi="Times New Roman" w:cs="Times New Roman"/>
                <w:b/>
              </w:rPr>
              <w:t xml:space="preserve"> </w:t>
            </w:r>
            <w:proofErr w:type="spellStart"/>
            <w:r w:rsidRPr="002D7F02">
              <w:rPr>
                <w:rFonts w:ascii="Times New Roman" w:hAnsi="Times New Roman" w:cs="Times New Roman"/>
                <w:b/>
              </w:rPr>
              <w:t>adenoma</w:t>
            </w:r>
            <w:proofErr w:type="spellEnd"/>
            <w:r w:rsidRPr="002D7F02">
              <w:rPr>
                <w:rFonts w:ascii="Times New Roman" w:hAnsi="Times New Roman" w:cs="Times New Roman"/>
                <w:b/>
                <w:lang w:val="en-US"/>
              </w:rPr>
              <w:t>s</w:t>
            </w:r>
            <w:r w:rsidRPr="002D7F02">
              <w:rPr>
                <w:rFonts w:ascii="Times New Roman" w:hAnsi="Times New Roman" w:cs="Times New Roman"/>
                <w:b/>
              </w:rPr>
              <w:t xml:space="preserve"> </w:t>
            </w:r>
            <w:proofErr w:type="spellStart"/>
            <w:r w:rsidRPr="002D7F02">
              <w:rPr>
                <w:rFonts w:ascii="Times New Roman" w:hAnsi="Times New Roman" w:cs="Times New Roman"/>
                <w:b/>
              </w:rPr>
              <w:t>variant</w:t>
            </w:r>
            <w:proofErr w:type="spellEnd"/>
            <w:r w:rsidRPr="002D7F02">
              <w:rPr>
                <w:rFonts w:ascii="Times New Roman" w:hAnsi="Times New Roman" w:cs="Times New Roman"/>
                <w:b/>
                <w:lang w:val="en-US"/>
              </w:rPr>
              <w:t>s</w:t>
            </w:r>
          </w:p>
        </w:tc>
      </w:tr>
      <w:tr w:rsidR="000D13DB" w:rsidRPr="002D7F02" w:rsidTr="00B8460B">
        <w:tc>
          <w:tcPr>
            <w:tcW w:w="2835" w:type="dxa"/>
            <w:vMerge/>
          </w:tcPr>
          <w:p w:rsidR="000D13DB" w:rsidRPr="002D7F02" w:rsidRDefault="000D13DB" w:rsidP="002D7F02">
            <w:pPr>
              <w:spacing w:line="480" w:lineRule="auto"/>
              <w:jc w:val="both"/>
              <w:rPr>
                <w:rFonts w:ascii="Times New Roman" w:hAnsi="Times New Roman" w:cs="Times New Roman"/>
              </w:rPr>
            </w:pPr>
          </w:p>
        </w:tc>
        <w:tc>
          <w:tcPr>
            <w:tcW w:w="2268" w:type="dxa"/>
          </w:tcPr>
          <w:p w:rsidR="000D13DB" w:rsidRPr="002D7F02" w:rsidRDefault="000D13DB" w:rsidP="002D7F02">
            <w:pPr>
              <w:spacing w:line="480" w:lineRule="auto"/>
              <w:jc w:val="center"/>
              <w:rPr>
                <w:rFonts w:ascii="Times New Roman" w:hAnsi="Times New Roman" w:cs="Times New Roman"/>
                <w:b/>
              </w:rPr>
            </w:pPr>
            <w:proofErr w:type="spellStart"/>
            <w:r w:rsidRPr="002D7F02">
              <w:rPr>
                <w:rFonts w:ascii="Times New Roman" w:hAnsi="Times New Roman" w:cs="Times New Roman"/>
                <w:b/>
              </w:rPr>
              <w:t>Mesenchymal</w:t>
            </w:r>
            <w:proofErr w:type="spellEnd"/>
          </w:p>
        </w:tc>
        <w:tc>
          <w:tcPr>
            <w:tcW w:w="2127" w:type="dxa"/>
          </w:tcPr>
          <w:p w:rsidR="000D13DB" w:rsidRPr="002D7F02" w:rsidRDefault="000D13DB" w:rsidP="002D7F02">
            <w:pPr>
              <w:spacing w:line="480" w:lineRule="auto"/>
              <w:jc w:val="center"/>
              <w:rPr>
                <w:rFonts w:ascii="Times New Roman" w:hAnsi="Times New Roman" w:cs="Times New Roman"/>
                <w:b/>
              </w:rPr>
            </w:pPr>
            <w:proofErr w:type="spellStart"/>
            <w:r w:rsidRPr="002D7F02">
              <w:rPr>
                <w:rFonts w:ascii="Times New Roman" w:hAnsi="Times New Roman" w:cs="Times New Roman"/>
                <w:b/>
              </w:rPr>
              <w:t>Epithelial</w:t>
            </w:r>
            <w:proofErr w:type="spellEnd"/>
          </w:p>
        </w:tc>
        <w:tc>
          <w:tcPr>
            <w:tcW w:w="2126" w:type="dxa"/>
          </w:tcPr>
          <w:p w:rsidR="000D13DB" w:rsidRPr="002D7F02" w:rsidRDefault="000D13DB" w:rsidP="002D7F02">
            <w:pPr>
              <w:spacing w:line="480" w:lineRule="auto"/>
              <w:jc w:val="center"/>
              <w:rPr>
                <w:rFonts w:ascii="Times New Roman" w:hAnsi="Times New Roman" w:cs="Times New Roman"/>
                <w:b/>
              </w:rPr>
            </w:pPr>
            <w:proofErr w:type="spellStart"/>
            <w:r w:rsidRPr="002D7F02">
              <w:rPr>
                <w:rFonts w:ascii="Times New Roman" w:hAnsi="Times New Roman" w:cs="Times New Roman"/>
                <w:b/>
              </w:rPr>
              <w:t>Mixed</w:t>
            </w:r>
            <w:proofErr w:type="spellEnd"/>
          </w:p>
        </w:tc>
      </w:tr>
      <w:tr w:rsidR="000D13DB" w:rsidRPr="002D7F02" w:rsidTr="00B8460B">
        <w:tc>
          <w:tcPr>
            <w:tcW w:w="2835" w:type="dxa"/>
          </w:tcPr>
          <w:p w:rsidR="000D13DB" w:rsidRPr="002D7F02" w:rsidRDefault="000D13DB" w:rsidP="002D7F02">
            <w:pPr>
              <w:spacing w:line="480" w:lineRule="auto"/>
              <w:jc w:val="center"/>
              <w:rPr>
                <w:rFonts w:ascii="Times New Roman" w:hAnsi="Times New Roman" w:cs="Times New Roman"/>
                <w:b/>
              </w:rPr>
            </w:pPr>
            <w:proofErr w:type="spellStart"/>
            <w:r w:rsidRPr="002D7F02">
              <w:rPr>
                <w:rFonts w:ascii="Times New Roman" w:hAnsi="Times New Roman" w:cs="Times New Roman"/>
                <w:b/>
              </w:rPr>
              <w:t>Specific</w:t>
            </w:r>
            <w:proofErr w:type="spellEnd"/>
            <w:r w:rsidRPr="002D7F02">
              <w:rPr>
                <w:rFonts w:ascii="Times New Roman" w:hAnsi="Times New Roman" w:cs="Times New Roman"/>
                <w:b/>
              </w:rPr>
              <w:t xml:space="preserve"> </w:t>
            </w:r>
            <w:proofErr w:type="spellStart"/>
            <w:r w:rsidRPr="002D7F02">
              <w:rPr>
                <w:rFonts w:ascii="Times New Roman" w:hAnsi="Times New Roman" w:cs="Times New Roman"/>
                <w:b/>
              </w:rPr>
              <w:t>volume</w:t>
            </w:r>
            <w:proofErr w:type="spellEnd"/>
            <w:r w:rsidRPr="002D7F02">
              <w:rPr>
                <w:rFonts w:ascii="Times New Roman" w:hAnsi="Times New Roman" w:cs="Times New Roman"/>
                <w:b/>
              </w:rPr>
              <w:t xml:space="preserve"> </w:t>
            </w:r>
            <w:proofErr w:type="spellStart"/>
            <w:r w:rsidRPr="002D7F02">
              <w:rPr>
                <w:rFonts w:ascii="Times New Roman" w:hAnsi="Times New Roman" w:cs="Times New Roman"/>
                <w:b/>
              </w:rPr>
              <w:t>of</w:t>
            </w:r>
            <w:proofErr w:type="spellEnd"/>
            <w:r w:rsidRPr="002D7F02">
              <w:rPr>
                <w:rFonts w:ascii="Times New Roman" w:hAnsi="Times New Roman" w:cs="Times New Roman"/>
                <w:b/>
              </w:rPr>
              <w:t xml:space="preserve"> </w:t>
            </w:r>
            <w:proofErr w:type="spellStart"/>
            <w:r w:rsidRPr="002D7F02">
              <w:rPr>
                <w:rFonts w:ascii="Times New Roman" w:hAnsi="Times New Roman" w:cs="Times New Roman"/>
                <w:b/>
              </w:rPr>
              <w:t>parenchyma</w:t>
            </w:r>
            <w:proofErr w:type="spellEnd"/>
            <w:r w:rsidRPr="002D7F02">
              <w:rPr>
                <w:rFonts w:ascii="Times New Roman" w:hAnsi="Times New Roman" w:cs="Times New Roman"/>
                <w:b/>
              </w:rPr>
              <w:t>, %</w:t>
            </w:r>
          </w:p>
        </w:tc>
        <w:tc>
          <w:tcPr>
            <w:tcW w:w="2268" w:type="dxa"/>
            <w:vAlign w:val="center"/>
          </w:tcPr>
          <w:p w:rsidR="000D13DB" w:rsidRPr="002D7F02" w:rsidRDefault="000D13DB" w:rsidP="002D7F02">
            <w:pPr>
              <w:spacing w:line="480" w:lineRule="auto"/>
              <w:jc w:val="center"/>
              <w:rPr>
                <w:rFonts w:ascii="Times New Roman" w:hAnsi="Times New Roman" w:cs="Times New Roman"/>
              </w:rPr>
            </w:pPr>
            <w:r w:rsidRPr="002D7F02">
              <w:rPr>
                <w:rFonts w:ascii="Times New Roman" w:hAnsi="Times New Roman" w:cs="Times New Roman"/>
                <w:lang w:val="en-US"/>
              </w:rPr>
              <w:t>15.50±4.44</w:t>
            </w:r>
          </w:p>
        </w:tc>
        <w:tc>
          <w:tcPr>
            <w:tcW w:w="2127" w:type="dxa"/>
            <w:vAlign w:val="center"/>
          </w:tcPr>
          <w:p w:rsidR="000D13DB" w:rsidRPr="002D7F02" w:rsidRDefault="000D13DB" w:rsidP="002D7F02">
            <w:pPr>
              <w:spacing w:line="480" w:lineRule="auto"/>
              <w:jc w:val="center"/>
              <w:rPr>
                <w:rFonts w:ascii="Times New Roman" w:hAnsi="Times New Roman" w:cs="Times New Roman"/>
              </w:rPr>
            </w:pPr>
            <w:r w:rsidRPr="002D7F02">
              <w:rPr>
                <w:rFonts w:ascii="Times New Roman" w:hAnsi="Times New Roman" w:cs="Times New Roman"/>
                <w:lang w:val="en-US"/>
              </w:rPr>
              <w:t>87.86±2.16</w:t>
            </w:r>
            <w:r w:rsidRPr="002D7F02">
              <w:rPr>
                <w:rFonts w:ascii="Times New Roman" w:hAnsi="Times New Roman" w:cs="Times New Roman"/>
              </w:rPr>
              <w:t xml:space="preserve"> </w:t>
            </w:r>
            <w:r w:rsidRPr="002D7F02">
              <w:rPr>
                <w:rFonts w:ascii="Times New Roman" w:hAnsi="Times New Roman" w:cs="Times New Roman"/>
                <w:i/>
                <w:vertAlign w:val="superscript"/>
              </w:rPr>
              <w:t>1</w:t>
            </w:r>
          </w:p>
        </w:tc>
        <w:tc>
          <w:tcPr>
            <w:tcW w:w="2126" w:type="dxa"/>
            <w:vAlign w:val="center"/>
          </w:tcPr>
          <w:p w:rsidR="000D13DB" w:rsidRPr="002D7F02" w:rsidRDefault="000D13DB" w:rsidP="002D7F02">
            <w:pPr>
              <w:spacing w:line="480" w:lineRule="auto"/>
              <w:jc w:val="center"/>
              <w:rPr>
                <w:rFonts w:ascii="Times New Roman" w:hAnsi="Times New Roman" w:cs="Times New Roman"/>
              </w:rPr>
            </w:pPr>
            <w:r w:rsidRPr="002D7F02">
              <w:rPr>
                <w:rFonts w:ascii="Times New Roman" w:hAnsi="Times New Roman" w:cs="Times New Roman"/>
                <w:lang w:val="en-US"/>
              </w:rPr>
              <w:t>53.67±1.49</w:t>
            </w:r>
            <w:r w:rsidRPr="002D7F02">
              <w:rPr>
                <w:rFonts w:ascii="Times New Roman" w:hAnsi="Times New Roman" w:cs="Times New Roman"/>
              </w:rPr>
              <w:t xml:space="preserve"> </w:t>
            </w:r>
            <w:r w:rsidRPr="002D7F02">
              <w:rPr>
                <w:rFonts w:ascii="Times New Roman" w:hAnsi="Times New Roman" w:cs="Times New Roman"/>
                <w:i/>
                <w:vertAlign w:val="superscript"/>
              </w:rPr>
              <w:t>2,3</w:t>
            </w:r>
          </w:p>
        </w:tc>
      </w:tr>
      <w:tr w:rsidR="000D13DB" w:rsidRPr="002D7F02" w:rsidTr="00B8460B">
        <w:tc>
          <w:tcPr>
            <w:tcW w:w="2835" w:type="dxa"/>
          </w:tcPr>
          <w:p w:rsidR="000D13DB" w:rsidRPr="002D7F02" w:rsidRDefault="000D13DB" w:rsidP="002D7F02">
            <w:pPr>
              <w:spacing w:line="480" w:lineRule="auto"/>
              <w:jc w:val="center"/>
              <w:rPr>
                <w:rFonts w:ascii="Times New Roman" w:hAnsi="Times New Roman" w:cs="Times New Roman"/>
                <w:b/>
              </w:rPr>
            </w:pPr>
            <w:proofErr w:type="spellStart"/>
            <w:r w:rsidRPr="002D7F02">
              <w:rPr>
                <w:rFonts w:ascii="Times New Roman" w:hAnsi="Times New Roman" w:cs="Times New Roman"/>
                <w:b/>
              </w:rPr>
              <w:t>Specific</w:t>
            </w:r>
            <w:proofErr w:type="spellEnd"/>
            <w:r w:rsidRPr="002D7F02">
              <w:rPr>
                <w:rFonts w:ascii="Times New Roman" w:hAnsi="Times New Roman" w:cs="Times New Roman"/>
                <w:b/>
              </w:rPr>
              <w:t xml:space="preserve"> </w:t>
            </w:r>
            <w:proofErr w:type="spellStart"/>
            <w:r w:rsidRPr="002D7F02">
              <w:rPr>
                <w:rFonts w:ascii="Times New Roman" w:hAnsi="Times New Roman" w:cs="Times New Roman"/>
                <w:b/>
              </w:rPr>
              <w:t>volume</w:t>
            </w:r>
            <w:proofErr w:type="spellEnd"/>
            <w:r w:rsidRPr="002D7F02">
              <w:rPr>
                <w:rFonts w:ascii="Times New Roman" w:hAnsi="Times New Roman" w:cs="Times New Roman"/>
                <w:b/>
              </w:rPr>
              <w:t xml:space="preserve"> </w:t>
            </w:r>
            <w:proofErr w:type="spellStart"/>
            <w:r w:rsidRPr="002D7F02">
              <w:rPr>
                <w:rFonts w:ascii="Times New Roman" w:hAnsi="Times New Roman" w:cs="Times New Roman"/>
                <w:b/>
              </w:rPr>
              <w:t>of</w:t>
            </w:r>
            <w:proofErr w:type="spellEnd"/>
            <w:r w:rsidRPr="002D7F02">
              <w:rPr>
                <w:rFonts w:ascii="Times New Roman" w:hAnsi="Times New Roman" w:cs="Times New Roman"/>
                <w:b/>
              </w:rPr>
              <w:t xml:space="preserve"> </w:t>
            </w:r>
            <w:proofErr w:type="spellStart"/>
            <w:r w:rsidRPr="002D7F02">
              <w:rPr>
                <w:rFonts w:ascii="Times New Roman" w:hAnsi="Times New Roman" w:cs="Times New Roman"/>
                <w:b/>
              </w:rPr>
              <w:t>stroma</w:t>
            </w:r>
            <w:proofErr w:type="spellEnd"/>
            <w:r w:rsidRPr="002D7F02">
              <w:rPr>
                <w:rFonts w:ascii="Times New Roman" w:hAnsi="Times New Roman" w:cs="Times New Roman"/>
                <w:b/>
              </w:rPr>
              <w:t>, %</w:t>
            </w:r>
          </w:p>
        </w:tc>
        <w:tc>
          <w:tcPr>
            <w:tcW w:w="2268" w:type="dxa"/>
            <w:vAlign w:val="center"/>
          </w:tcPr>
          <w:p w:rsidR="000D13DB" w:rsidRPr="002D7F02" w:rsidRDefault="000D13DB" w:rsidP="002D7F02">
            <w:pPr>
              <w:spacing w:line="480" w:lineRule="auto"/>
              <w:jc w:val="center"/>
              <w:rPr>
                <w:rFonts w:ascii="Times New Roman" w:hAnsi="Times New Roman" w:cs="Times New Roman"/>
              </w:rPr>
            </w:pPr>
            <w:r w:rsidRPr="002D7F02">
              <w:rPr>
                <w:rFonts w:ascii="Times New Roman" w:hAnsi="Times New Roman" w:cs="Times New Roman"/>
                <w:lang w:val="en-US"/>
              </w:rPr>
              <w:t>84.50±4.41</w:t>
            </w:r>
          </w:p>
        </w:tc>
        <w:tc>
          <w:tcPr>
            <w:tcW w:w="2127" w:type="dxa"/>
            <w:vAlign w:val="center"/>
          </w:tcPr>
          <w:p w:rsidR="000D13DB" w:rsidRPr="002D7F02" w:rsidRDefault="000D13DB" w:rsidP="002D7F02">
            <w:pPr>
              <w:spacing w:line="480" w:lineRule="auto"/>
              <w:jc w:val="center"/>
              <w:rPr>
                <w:rFonts w:ascii="Times New Roman" w:hAnsi="Times New Roman" w:cs="Times New Roman"/>
              </w:rPr>
            </w:pPr>
            <w:r w:rsidRPr="002D7F02">
              <w:rPr>
                <w:rFonts w:ascii="Times New Roman" w:hAnsi="Times New Roman" w:cs="Times New Roman"/>
                <w:lang w:val="en-US"/>
              </w:rPr>
              <w:t>12.14±2.18</w:t>
            </w:r>
            <w:r w:rsidRPr="002D7F02">
              <w:rPr>
                <w:rFonts w:ascii="Times New Roman" w:hAnsi="Times New Roman" w:cs="Times New Roman"/>
              </w:rPr>
              <w:t xml:space="preserve"> </w:t>
            </w:r>
            <w:r w:rsidRPr="002D7F02">
              <w:rPr>
                <w:rFonts w:ascii="Times New Roman" w:hAnsi="Times New Roman" w:cs="Times New Roman"/>
                <w:i/>
                <w:vertAlign w:val="superscript"/>
              </w:rPr>
              <w:t>1</w:t>
            </w:r>
          </w:p>
        </w:tc>
        <w:tc>
          <w:tcPr>
            <w:tcW w:w="2126" w:type="dxa"/>
            <w:vAlign w:val="center"/>
          </w:tcPr>
          <w:p w:rsidR="000D13DB" w:rsidRPr="002D7F02" w:rsidRDefault="000D13DB" w:rsidP="002D7F02">
            <w:pPr>
              <w:spacing w:line="480" w:lineRule="auto"/>
              <w:jc w:val="center"/>
              <w:rPr>
                <w:rFonts w:ascii="Times New Roman" w:hAnsi="Times New Roman" w:cs="Times New Roman"/>
              </w:rPr>
            </w:pPr>
            <w:r w:rsidRPr="002D7F02">
              <w:rPr>
                <w:rFonts w:ascii="Times New Roman" w:hAnsi="Times New Roman" w:cs="Times New Roman"/>
                <w:lang w:val="en-US"/>
              </w:rPr>
              <w:t>46.33±1.48</w:t>
            </w:r>
            <w:r w:rsidRPr="002D7F02">
              <w:rPr>
                <w:rFonts w:ascii="Times New Roman" w:hAnsi="Times New Roman" w:cs="Times New Roman"/>
              </w:rPr>
              <w:t xml:space="preserve"> </w:t>
            </w:r>
            <w:r w:rsidRPr="002D7F02">
              <w:rPr>
                <w:rFonts w:ascii="Times New Roman" w:hAnsi="Times New Roman" w:cs="Times New Roman"/>
                <w:i/>
                <w:vertAlign w:val="superscript"/>
              </w:rPr>
              <w:t>2,3</w:t>
            </w:r>
          </w:p>
        </w:tc>
      </w:tr>
      <w:tr w:rsidR="000D13DB" w:rsidRPr="002D7F02" w:rsidTr="00B8460B">
        <w:tc>
          <w:tcPr>
            <w:tcW w:w="2835" w:type="dxa"/>
          </w:tcPr>
          <w:p w:rsidR="000D13DB" w:rsidRPr="002D7F02" w:rsidRDefault="000D13DB" w:rsidP="002D7F02">
            <w:pPr>
              <w:spacing w:line="480" w:lineRule="auto"/>
              <w:jc w:val="center"/>
              <w:rPr>
                <w:rFonts w:ascii="Times New Roman" w:hAnsi="Times New Roman" w:cs="Times New Roman"/>
                <w:b/>
                <w:lang w:val="en-US"/>
              </w:rPr>
            </w:pPr>
            <w:r w:rsidRPr="002D7F02">
              <w:rPr>
                <w:rFonts w:ascii="Times New Roman" w:hAnsi="Times New Roman" w:cs="Times New Roman"/>
                <w:b/>
                <w:lang w:val="en-US"/>
              </w:rPr>
              <w:t>Number of vessels, absolute quantity</w:t>
            </w:r>
          </w:p>
        </w:tc>
        <w:tc>
          <w:tcPr>
            <w:tcW w:w="2268" w:type="dxa"/>
            <w:vAlign w:val="center"/>
          </w:tcPr>
          <w:p w:rsidR="000D13DB" w:rsidRPr="002D7F02" w:rsidRDefault="000D13DB" w:rsidP="002D7F02">
            <w:pPr>
              <w:spacing w:line="480" w:lineRule="auto"/>
              <w:jc w:val="center"/>
              <w:rPr>
                <w:rFonts w:ascii="Times New Roman" w:hAnsi="Times New Roman" w:cs="Times New Roman"/>
              </w:rPr>
            </w:pPr>
            <w:r w:rsidRPr="002D7F02">
              <w:rPr>
                <w:rFonts w:ascii="Times New Roman" w:hAnsi="Times New Roman" w:cs="Times New Roman"/>
                <w:lang w:val="en-US"/>
              </w:rPr>
              <w:t>12.83±1.02</w:t>
            </w:r>
          </w:p>
        </w:tc>
        <w:tc>
          <w:tcPr>
            <w:tcW w:w="2127" w:type="dxa"/>
            <w:vAlign w:val="center"/>
          </w:tcPr>
          <w:p w:rsidR="000D13DB" w:rsidRPr="002D7F02" w:rsidRDefault="000D13DB" w:rsidP="002D7F02">
            <w:pPr>
              <w:spacing w:line="480" w:lineRule="auto"/>
              <w:jc w:val="center"/>
              <w:rPr>
                <w:rFonts w:ascii="Times New Roman" w:hAnsi="Times New Roman" w:cs="Times New Roman"/>
              </w:rPr>
            </w:pPr>
            <w:r w:rsidRPr="002D7F02">
              <w:rPr>
                <w:rFonts w:ascii="Times New Roman" w:hAnsi="Times New Roman" w:cs="Times New Roman"/>
                <w:lang w:val="en-US"/>
              </w:rPr>
              <w:t>8.86±1.02</w:t>
            </w:r>
            <w:r w:rsidRPr="002D7F02">
              <w:rPr>
                <w:rFonts w:ascii="Times New Roman" w:hAnsi="Times New Roman" w:cs="Times New Roman"/>
              </w:rPr>
              <w:t xml:space="preserve"> </w:t>
            </w:r>
            <w:r w:rsidRPr="002D7F02">
              <w:rPr>
                <w:rFonts w:ascii="Times New Roman" w:hAnsi="Times New Roman" w:cs="Times New Roman"/>
                <w:i/>
                <w:vertAlign w:val="superscript"/>
              </w:rPr>
              <w:t>1</w:t>
            </w:r>
          </w:p>
        </w:tc>
        <w:tc>
          <w:tcPr>
            <w:tcW w:w="2126" w:type="dxa"/>
            <w:vAlign w:val="center"/>
          </w:tcPr>
          <w:p w:rsidR="000D13DB" w:rsidRPr="002D7F02" w:rsidRDefault="000D13DB" w:rsidP="002D7F02">
            <w:pPr>
              <w:spacing w:line="480" w:lineRule="auto"/>
              <w:jc w:val="center"/>
              <w:rPr>
                <w:rFonts w:ascii="Times New Roman" w:hAnsi="Times New Roman" w:cs="Times New Roman"/>
              </w:rPr>
            </w:pPr>
            <w:r w:rsidRPr="002D7F02">
              <w:rPr>
                <w:rFonts w:ascii="Times New Roman" w:hAnsi="Times New Roman" w:cs="Times New Roman"/>
                <w:lang w:val="en-US"/>
              </w:rPr>
              <w:t>12.50±0.84</w:t>
            </w:r>
            <w:r w:rsidRPr="002D7F02">
              <w:rPr>
                <w:rFonts w:ascii="Times New Roman" w:hAnsi="Times New Roman" w:cs="Times New Roman"/>
              </w:rPr>
              <w:t xml:space="preserve"> </w:t>
            </w:r>
            <w:r w:rsidRPr="002D7F02">
              <w:rPr>
                <w:rFonts w:ascii="Times New Roman" w:hAnsi="Times New Roman" w:cs="Times New Roman"/>
                <w:i/>
                <w:vertAlign w:val="superscript"/>
              </w:rPr>
              <w:t>2</w:t>
            </w:r>
          </w:p>
        </w:tc>
      </w:tr>
      <w:tr w:rsidR="000D13DB" w:rsidRPr="002D7F02" w:rsidTr="00B8460B">
        <w:tc>
          <w:tcPr>
            <w:tcW w:w="2835" w:type="dxa"/>
          </w:tcPr>
          <w:p w:rsidR="000D13DB" w:rsidRPr="002D7F02" w:rsidRDefault="000D13DB" w:rsidP="002D7F02">
            <w:pPr>
              <w:spacing w:line="480" w:lineRule="auto"/>
              <w:jc w:val="center"/>
              <w:rPr>
                <w:rFonts w:ascii="Times New Roman" w:hAnsi="Times New Roman" w:cs="Times New Roman"/>
                <w:b/>
                <w:lang w:val="en-US"/>
              </w:rPr>
            </w:pPr>
            <w:r w:rsidRPr="002D7F02">
              <w:rPr>
                <w:rFonts w:ascii="Times New Roman" w:hAnsi="Times New Roman" w:cs="Times New Roman"/>
                <w:b/>
                <w:lang w:val="en-US"/>
              </w:rPr>
              <w:t>Expression level of microRNA-34a</w:t>
            </w:r>
            <w:r w:rsidRPr="002D7F02">
              <w:rPr>
                <w:rFonts w:ascii="Times New Roman" w:hAnsi="Times New Roman" w:cs="Times New Roman"/>
                <w:b/>
                <w:color w:val="000000"/>
                <w:lang w:val="en-US"/>
              </w:rPr>
              <w:t>, RU</w:t>
            </w:r>
          </w:p>
        </w:tc>
        <w:tc>
          <w:tcPr>
            <w:tcW w:w="2268" w:type="dxa"/>
            <w:vAlign w:val="center"/>
          </w:tcPr>
          <w:p w:rsidR="000D13DB" w:rsidRPr="002D7F02" w:rsidRDefault="000D13DB" w:rsidP="002D7F02">
            <w:pPr>
              <w:spacing w:line="480" w:lineRule="auto"/>
              <w:jc w:val="center"/>
              <w:rPr>
                <w:rFonts w:ascii="Times New Roman" w:hAnsi="Times New Roman" w:cs="Times New Roman"/>
              </w:rPr>
            </w:pPr>
            <w:r w:rsidRPr="002D7F02">
              <w:rPr>
                <w:rFonts w:ascii="Times New Roman" w:hAnsi="Times New Roman" w:cs="Times New Roman"/>
                <w:bCs/>
                <w:color w:val="000000"/>
              </w:rPr>
              <w:t>630.29</w:t>
            </w:r>
            <w:r w:rsidRPr="002D7F02">
              <w:rPr>
                <w:rFonts w:ascii="Times New Roman" w:hAnsi="Times New Roman" w:cs="Times New Roman"/>
                <w:lang w:val="en-US"/>
              </w:rPr>
              <w:t>±</w:t>
            </w:r>
            <w:r w:rsidRPr="002D7F02">
              <w:rPr>
                <w:rFonts w:ascii="Times New Roman" w:hAnsi="Times New Roman" w:cs="Times New Roman"/>
              </w:rPr>
              <w:t>98.51</w:t>
            </w:r>
          </w:p>
        </w:tc>
        <w:tc>
          <w:tcPr>
            <w:tcW w:w="2127" w:type="dxa"/>
            <w:vAlign w:val="center"/>
          </w:tcPr>
          <w:p w:rsidR="000D13DB" w:rsidRPr="002D7F02" w:rsidRDefault="000D13DB" w:rsidP="002D7F02">
            <w:pPr>
              <w:spacing w:line="480" w:lineRule="auto"/>
              <w:jc w:val="center"/>
              <w:rPr>
                <w:rFonts w:ascii="Times New Roman" w:hAnsi="Times New Roman" w:cs="Times New Roman"/>
              </w:rPr>
            </w:pPr>
            <w:r w:rsidRPr="002D7F02">
              <w:rPr>
                <w:rFonts w:ascii="Times New Roman" w:hAnsi="Times New Roman" w:cs="Times New Roman"/>
                <w:bCs/>
                <w:color w:val="000000"/>
              </w:rPr>
              <w:t>838.62</w:t>
            </w:r>
            <w:r w:rsidRPr="002D7F02">
              <w:rPr>
                <w:rFonts w:ascii="Times New Roman" w:hAnsi="Times New Roman" w:cs="Times New Roman"/>
                <w:lang w:val="en-US"/>
              </w:rPr>
              <w:t>±</w:t>
            </w:r>
            <w:r w:rsidRPr="002D7F02">
              <w:rPr>
                <w:rFonts w:ascii="Times New Roman" w:hAnsi="Times New Roman" w:cs="Times New Roman"/>
              </w:rPr>
              <w:t xml:space="preserve">82.23 </w:t>
            </w:r>
            <w:r w:rsidRPr="002D7F02">
              <w:rPr>
                <w:rFonts w:ascii="Times New Roman" w:hAnsi="Times New Roman" w:cs="Times New Roman"/>
                <w:i/>
                <w:vertAlign w:val="superscript"/>
              </w:rPr>
              <w:t>1</w:t>
            </w:r>
          </w:p>
        </w:tc>
        <w:tc>
          <w:tcPr>
            <w:tcW w:w="2126" w:type="dxa"/>
            <w:vAlign w:val="center"/>
          </w:tcPr>
          <w:p w:rsidR="000D13DB" w:rsidRPr="002D7F02" w:rsidRDefault="000D13DB" w:rsidP="002D7F02">
            <w:pPr>
              <w:spacing w:line="480" w:lineRule="auto"/>
              <w:jc w:val="center"/>
              <w:rPr>
                <w:rFonts w:ascii="Times New Roman" w:hAnsi="Times New Roman" w:cs="Times New Roman"/>
              </w:rPr>
            </w:pPr>
            <w:r w:rsidRPr="002D7F02">
              <w:rPr>
                <w:rFonts w:ascii="Times New Roman" w:hAnsi="Times New Roman" w:cs="Times New Roman"/>
                <w:bCs/>
                <w:color w:val="000000"/>
              </w:rPr>
              <w:t>305.59</w:t>
            </w:r>
            <w:r w:rsidRPr="002D7F02">
              <w:rPr>
                <w:rFonts w:ascii="Times New Roman" w:hAnsi="Times New Roman" w:cs="Times New Roman"/>
                <w:lang w:val="en-US"/>
              </w:rPr>
              <w:t>±</w:t>
            </w:r>
            <w:r w:rsidRPr="002D7F02">
              <w:rPr>
                <w:rFonts w:ascii="Times New Roman" w:hAnsi="Times New Roman" w:cs="Times New Roman"/>
              </w:rPr>
              <w:t xml:space="preserve">57.18 </w:t>
            </w:r>
            <w:r w:rsidRPr="002D7F02">
              <w:rPr>
                <w:rFonts w:ascii="Times New Roman" w:hAnsi="Times New Roman" w:cs="Times New Roman"/>
                <w:i/>
                <w:vertAlign w:val="superscript"/>
              </w:rPr>
              <w:t>2,3</w:t>
            </w:r>
          </w:p>
        </w:tc>
      </w:tr>
      <w:tr w:rsidR="000D13DB" w:rsidRPr="002D7F02" w:rsidTr="00B8460B">
        <w:tc>
          <w:tcPr>
            <w:tcW w:w="2835" w:type="dxa"/>
          </w:tcPr>
          <w:p w:rsidR="000D13DB" w:rsidRPr="002D7F02" w:rsidRDefault="000D13DB" w:rsidP="002D7F02">
            <w:pPr>
              <w:spacing w:line="480" w:lineRule="auto"/>
              <w:jc w:val="center"/>
              <w:rPr>
                <w:rFonts w:ascii="Times New Roman" w:hAnsi="Times New Roman" w:cs="Times New Roman"/>
                <w:b/>
                <w:lang w:val="en-US"/>
              </w:rPr>
            </w:pPr>
            <w:r w:rsidRPr="002D7F02">
              <w:rPr>
                <w:rFonts w:ascii="Times New Roman" w:hAnsi="Times New Roman" w:cs="Times New Roman"/>
                <w:b/>
                <w:lang w:val="en-US"/>
              </w:rPr>
              <w:lastRenderedPageBreak/>
              <w:t>Expression level of microRNA-29a</w:t>
            </w:r>
            <w:r w:rsidRPr="002D7F02">
              <w:rPr>
                <w:rFonts w:ascii="Times New Roman" w:hAnsi="Times New Roman" w:cs="Times New Roman"/>
                <w:b/>
                <w:color w:val="000000"/>
                <w:lang w:val="en-US"/>
              </w:rPr>
              <w:t>, RU</w:t>
            </w:r>
          </w:p>
        </w:tc>
        <w:tc>
          <w:tcPr>
            <w:tcW w:w="2268" w:type="dxa"/>
            <w:vAlign w:val="center"/>
          </w:tcPr>
          <w:p w:rsidR="000D13DB" w:rsidRPr="002D7F02" w:rsidRDefault="000D13DB" w:rsidP="002D7F02">
            <w:pPr>
              <w:spacing w:line="480" w:lineRule="auto"/>
              <w:jc w:val="center"/>
              <w:rPr>
                <w:rFonts w:ascii="Times New Roman" w:hAnsi="Times New Roman" w:cs="Times New Roman"/>
              </w:rPr>
            </w:pPr>
            <w:r w:rsidRPr="002D7F02">
              <w:rPr>
                <w:rFonts w:ascii="Times New Roman" w:hAnsi="Times New Roman" w:cs="Times New Roman"/>
                <w:bCs/>
                <w:color w:val="000000"/>
              </w:rPr>
              <w:t>120.62</w:t>
            </w:r>
            <w:r w:rsidRPr="002D7F02">
              <w:rPr>
                <w:rFonts w:ascii="Times New Roman" w:hAnsi="Times New Roman" w:cs="Times New Roman"/>
                <w:lang w:val="en-US"/>
              </w:rPr>
              <w:t>±</w:t>
            </w:r>
            <w:r w:rsidRPr="002D7F02">
              <w:rPr>
                <w:rFonts w:ascii="Times New Roman" w:hAnsi="Times New Roman" w:cs="Times New Roman"/>
              </w:rPr>
              <w:t>24.47</w:t>
            </w:r>
          </w:p>
        </w:tc>
        <w:tc>
          <w:tcPr>
            <w:tcW w:w="2127" w:type="dxa"/>
            <w:vAlign w:val="center"/>
          </w:tcPr>
          <w:p w:rsidR="000D13DB" w:rsidRPr="002D7F02" w:rsidRDefault="000D13DB" w:rsidP="002D7F02">
            <w:pPr>
              <w:spacing w:line="480" w:lineRule="auto"/>
              <w:jc w:val="center"/>
              <w:rPr>
                <w:rFonts w:ascii="Times New Roman" w:hAnsi="Times New Roman" w:cs="Times New Roman"/>
              </w:rPr>
            </w:pPr>
            <w:r w:rsidRPr="002D7F02">
              <w:rPr>
                <w:rFonts w:ascii="Times New Roman" w:hAnsi="Times New Roman" w:cs="Times New Roman"/>
                <w:bCs/>
                <w:color w:val="000000"/>
              </w:rPr>
              <w:t>78.40</w:t>
            </w:r>
            <w:r w:rsidRPr="002D7F02">
              <w:rPr>
                <w:rFonts w:ascii="Times New Roman" w:hAnsi="Times New Roman" w:cs="Times New Roman"/>
                <w:lang w:val="en-US"/>
              </w:rPr>
              <w:t>±</w:t>
            </w:r>
            <w:r w:rsidRPr="002D7F02">
              <w:rPr>
                <w:rFonts w:ascii="Times New Roman" w:hAnsi="Times New Roman" w:cs="Times New Roman"/>
              </w:rPr>
              <w:t xml:space="preserve">19.73 </w:t>
            </w:r>
            <w:r w:rsidRPr="002D7F02">
              <w:rPr>
                <w:rFonts w:ascii="Times New Roman" w:hAnsi="Times New Roman" w:cs="Times New Roman"/>
                <w:i/>
                <w:vertAlign w:val="superscript"/>
              </w:rPr>
              <w:t>1</w:t>
            </w:r>
          </w:p>
        </w:tc>
        <w:tc>
          <w:tcPr>
            <w:tcW w:w="2126" w:type="dxa"/>
            <w:vAlign w:val="center"/>
          </w:tcPr>
          <w:p w:rsidR="000D13DB" w:rsidRPr="002D7F02" w:rsidRDefault="000D13DB" w:rsidP="002D7F02">
            <w:pPr>
              <w:spacing w:line="480" w:lineRule="auto"/>
              <w:jc w:val="center"/>
              <w:rPr>
                <w:rFonts w:ascii="Times New Roman" w:hAnsi="Times New Roman" w:cs="Times New Roman"/>
              </w:rPr>
            </w:pPr>
            <w:r w:rsidRPr="002D7F02">
              <w:rPr>
                <w:rFonts w:ascii="Times New Roman" w:hAnsi="Times New Roman" w:cs="Times New Roman"/>
                <w:bCs/>
                <w:color w:val="000000"/>
              </w:rPr>
              <w:t>22.23</w:t>
            </w:r>
            <w:r w:rsidRPr="002D7F02">
              <w:rPr>
                <w:rFonts w:ascii="Times New Roman" w:hAnsi="Times New Roman" w:cs="Times New Roman"/>
                <w:lang w:val="en-US"/>
              </w:rPr>
              <w:t>±</w:t>
            </w:r>
            <w:r w:rsidRPr="002D7F02">
              <w:rPr>
                <w:rFonts w:ascii="Times New Roman" w:hAnsi="Times New Roman" w:cs="Times New Roman"/>
              </w:rPr>
              <w:t xml:space="preserve">3.55 </w:t>
            </w:r>
            <w:r w:rsidRPr="002D7F02">
              <w:rPr>
                <w:rFonts w:ascii="Times New Roman" w:hAnsi="Times New Roman" w:cs="Times New Roman"/>
                <w:i/>
                <w:vertAlign w:val="superscript"/>
              </w:rPr>
              <w:t>2,3</w:t>
            </w:r>
          </w:p>
        </w:tc>
      </w:tr>
    </w:tbl>
    <w:p w:rsidR="000D13DB" w:rsidRPr="002D7F02" w:rsidRDefault="000D13DB" w:rsidP="002D7F02">
      <w:pPr>
        <w:spacing w:line="480" w:lineRule="auto"/>
        <w:ind w:firstLine="567"/>
        <w:jc w:val="both"/>
        <w:rPr>
          <w:lang w:val="en-US"/>
        </w:rPr>
      </w:pPr>
      <w:r w:rsidRPr="002D7F02">
        <w:rPr>
          <w:i/>
          <w:vertAlign w:val="superscript"/>
          <w:lang w:val="en-US"/>
        </w:rPr>
        <w:t>1</w:t>
      </w:r>
      <w:r w:rsidRPr="002D7F02">
        <w:rPr>
          <w:lang w:val="en-US"/>
        </w:rPr>
        <w:t xml:space="preserve"> – </w:t>
      </w:r>
      <w:proofErr w:type="gramStart"/>
      <w:r w:rsidRPr="002D7F02">
        <w:rPr>
          <w:lang w:val="en-US"/>
        </w:rPr>
        <w:t>significant</w:t>
      </w:r>
      <w:proofErr w:type="gramEnd"/>
      <w:r w:rsidRPr="002D7F02">
        <w:rPr>
          <w:lang w:val="en-US"/>
        </w:rPr>
        <w:t xml:space="preserve"> differences (p&lt;0.05) of indicators in </w:t>
      </w:r>
      <w:proofErr w:type="spellStart"/>
      <w:r w:rsidRPr="002D7F02">
        <w:rPr>
          <w:lang w:val="en-US"/>
        </w:rPr>
        <w:t>mesenchymal</w:t>
      </w:r>
      <w:proofErr w:type="spellEnd"/>
      <w:r w:rsidRPr="002D7F02">
        <w:rPr>
          <w:lang w:val="en-US"/>
        </w:rPr>
        <w:t xml:space="preserve"> and epithelial variants of the tumor; </w:t>
      </w:r>
      <w:r w:rsidRPr="002D7F02">
        <w:rPr>
          <w:i/>
          <w:vertAlign w:val="superscript"/>
          <w:lang w:val="en-US"/>
        </w:rPr>
        <w:t>2</w:t>
      </w:r>
      <w:r w:rsidRPr="002D7F02">
        <w:rPr>
          <w:lang w:val="en-US"/>
        </w:rPr>
        <w:t xml:space="preserve"> – significant differences (p&lt;0.05) of indicators in epithelial and mixed variants of the tumor; </w:t>
      </w:r>
      <w:r w:rsidRPr="002D7F02">
        <w:rPr>
          <w:i/>
          <w:vertAlign w:val="superscript"/>
          <w:lang w:val="en-US"/>
        </w:rPr>
        <w:t>3</w:t>
      </w:r>
      <w:r w:rsidRPr="002D7F02">
        <w:rPr>
          <w:lang w:val="en-US"/>
        </w:rPr>
        <w:t xml:space="preserve"> – significant differences (p&lt;0.05) of indicators in </w:t>
      </w:r>
      <w:proofErr w:type="spellStart"/>
      <w:r w:rsidRPr="002D7F02">
        <w:rPr>
          <w:lang w:val="en-US"/>
        </w:rPr>
        <w:t>mesenchymal</w:t>
      </w:r>
      <w:proofErr w:type="spellEnd"/>
      <w:r w:rsidRPr="002D7F02">
        <w:rPr>
          <w:lang w:val="en-US"/>
        </w:rPr>
        <w:t xml:space="preserve"> and mixed variants of the tumor.</w:t>
      </w:r>
    </w:p>
    <w:p w:rsidR="00165F58" w:rsidRDefault="00165F58" w:rsidP="002D7F02">
      <w:pPr>
        <w:spacing w:line="480" w:lineRule="auto"/>
        <w:ind w:firstLine="567"/>
        <w:jc w:val="both"/>
        <w:rPr>
          <w:lang w:val="en-US"/>
        </w:rPr>
      </w:pPr>
    </w:p>
    <w:p w:rsidR="007A36D1" w:rsidRPr="002D7F02" w:rsidRDefault="007A36D1" w:rsidP="007A36D1">
      <w:pPr>
        <w:spacing w:line="480" w:lineRule="auto"/>
        <w:ind w:firstLine="567"/>
        <w:jc w:val="both"/>
        <w:rPr>
          <w:lang w:val="en-US"/>
        </w:rPr>
      </w:pPr>
      <w:r w:rsidRPr="002D7F02">
        <w:rPr>
          <w:lang w:val="en-US"/>
        </w:rPr>
        <w:t xml:space="preserve">The authors took into account statistical significance of each parameter and its redundancy for classification. Thus, the discriminant functions contained only two parameters: "specific volume of parenchyma" and "number of vessels". </w:t>
      </w:r>
    </w:p>
    <w:p w:rsidR="007A36D1" w:rsidRPr="002D7F02" w:rsidRDefault="007A36D1" w:rsidP="007A36D1">
      <w:pPr>
        <w:spacing w:line="480" w:lineRule="auto"/>
        <w:ind w:firstLine="567"/>
        <w:jc w:val="both"/>
        <w:rPr>
          <w:lang w:val="en-US"/>
        </w:rPr>
      </w:pPr>
      <w:r w:rsidRPr="002D7F02">
        <w:rPr>
          <w:lang w:val="en-US"/>
        </w:rPr>
        <w:t xml:space="preserve">The statistical significance and quality of the resulting discriminant model were evaluated based on </w:t>
      </w:r>
      <w:proofErr w:type="spellStart"/>
      <w:r w:rsidRPr="002D7F02">
        <w:rPr>
          <w:lang w:val="en-US"/>
        </w:rPr>
        <w:t>Wilks</w:t>
      </w:r>
      <w:proofErr w:type="spellEnd"/>
      <w:r w:rsidRPr="002D7F02">
        <w:rPr>
          <w:lang w:val="en-US"/>
        </w:rPr>
        <w:t xml:space="preserve">’ </w:t>
      </w:r>
      <w:r w:rsidRPr="002D7F02">
        <w:rPr>
          <w:i/>
        </w:rPr>
        <w:t>Λ</w:t>
      </w:r>
      <w:r w:rsidRPr="002D7F02">
        <w:rPr>
          <w:lang w:val="en-US"/>
        </w:rPr>
        <w:t xml:space="preserve">-statistics and amounted to </w:t>
      </w:r>
      <w:r w:rsidRPr="002D7F02">
        <w:rPr>
          <w:i/>
        </w:rPr>
        <w:t>Λ</w:t>
      </w:r>
      <w:r w:rsidRPr="002D7F02">
        <w:rPr>
          <w:lang w:val="en-US"/>
        </w:rPr>
        <w:t>=0.026 at F</w:t>
      </w:r>
      <w:r w:rsidRPr="002D7F02">
        <w:rPr>
          <w:lang w:val="uk-UA"/>
        </w:rPr>
        <w:t> </w:t>
      </w:r>
      <w:r w:rsidRPr="002D7F02">
        <w:rPr>
          <w:lang w:val="en-US"/>
        </w:rPr>
        <w:t>(4.52) = 67.5 (p&lt;0.000).</w:t>
      </w:r>
    </w:p>
    <w:p w:rsidR="007A36D1" w:rsidRPr="002D7F02" w:rsidRDefault="007A36D1" w:rsidP="007A36D1">
      <w:pPr>
        <w:spacing w:line="480" w:lineRule="auto"/>
        <w:ind w:firstLine="567"/>
        <w:jc w:val="both"/>
        <w:rPr>
          <w:lang w:val="en-US"/>
        </w:rPr>
      </w:pPr>
      <w:r w:rsidRPr="002D7F02">
        <w:rPr>
          <w:lang w:val="en-US"/>
        </w:rPr>
        <w:t>The contribution of each parameter to the discriminant function was evaluated using the factor structure matrix (Table 3). Table 3 shows that the highest correlation with the first discriminant function (canonical root) was the indicator "number of vessels", and with the second – the indicator "specific volume of parenchyma".</w:t>
      </w:r>
    </w:p>
    <w:p w:rsidR="007A36D1" w:rsidRPr="002D7F02" w:rsidRDefault="007A36D1" w:rsidP="002D7F02">
      <w:pPr>
        <w:spacing w:line="480" w:lineRule="auto"/>
        <w:ind w:firstLine="567"/>
        <w:jc w:val="both"/>
        <w:rPr>
          <w:lang w:val="en-US"/>
        </w:rPr>
      </w:pPr>
    </w:p>
    <w:p w:rsidR="000B1946" w:rsidRPr="002D7F02" w:rsidRDefault="00F97D96" w:rsidP="002D7F02">
      <w:pPr>
        <w:spacing w:line="480" w:lineRule="auto"/>
        <w:jc w:val="both"/>
        <w:rPr>
          <w:noProof/>
          <w:lang w:val="uk-UA"/>
        </w:rPr>
      </w:pPr>
      <w:r w:rsidRPr="002D7F02">
        <w:rPr>
          <w:b/>
          <w:noProof/>
          <w:lang w:val="uk-UA"/>
        </w:rPr>
        <w:t>Table 3:</w:t>
      </w:r>
      <w:r w:rsidRPr="002D7F02">
        <w:rPr>
          <w:noProof/>
          <w:lang w:val="uk-UA"/>
        </w:rPr>
        <w:t xml:space="preserve"> Factor structure matrix.</w:t>
      </w: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9"/>
        <w:gridCol w:w="2941"/>
        <w:gridCol w:w="2987"/>
      </w:tblGrid>
      <w:tr w:rsidR="00F97D96" w:rsidRPr="002D7F02" w:rsidTr="00605ECB">
        <w:trPr>
          <w:jc w:val="center"/>
        </w:trPr>
        <w:tc>
          <w:tcPr>
            <w:tcW w:w="3449" w:type="dxa"/>
            <w:shd w:val="clear" w:color="auto" w:fill="auto"/>
            <w:vAlign w:val="center"/>
          </w:tcPr>
          <w:p w:rsidR="00F97D96" w:rsidRPr="002D7F02" w:rsidRDefault="00F97D96" w:rsidP="002D7F02">
            <w:pPr>
              <w:spacing w:line="480" w:lineRule="auto"/>
              <w:jc w:val="center"/>
              <w:rPr>
                <w:b/>
              </w:rPr>
            </w:pPr>
            <w:proofErr w:type="spellStart"/>
            <w:r w:rsidRPr="002D7F02">
              <w:rPr>
                <w:b/>
              </w:rPr>
              <w:t>Name</w:t>
            </w:r>
            <w:proofErr w:type="spellEnd"/>
            <w:r w:rsidRPr="002D7F02">
              <w:rPr>
                <w:b/>
              </w:rPr>
              <w:t xml:space="preserve"> </w:t>
            </w:r>
            <w:proofErr w:type="spellStart"/>
            <w:r w:rsidRPr="002D7F02">
              <w:rPr>
                <w:b/>
              </w:rPr>
              <w:t>of</w:t>
            </w:r>
            <w:proofErr w:type="spellEnd"/>
            <w:r w:rsidRPr="002D7F02">
              <w:rPr>
                <w:b/>
              </w:rPr>
              <w:t xml:space="preserve"> </w:t>
            </w:r>
            <w:r w:rsidRPr="002D7F02">
              <w:rPr>
                <w:b/>
                <w:lang w:val="en-US"/>
              </w:rPr>
              <w:t>parameter</w:t>
            </w:r>
          </w:p>
        </w:tc>
        <w:tc>
          <w:tcPr>
            <w:tcW w:w="2941" w:type="dxa"/>
            <w:shd w:val="clear" w:color="auto" w:fill="auto"/>
            <w:vAlign w:val="center"/>
          </w:tcPr>
          <w:p w:rsidR="00F97D96" w:rsidRPr="002D7F02" w:rsidRDefault="00F97D96" w:rsidP="002D7F02">
            <w:pPr>
              <w:spacing w:line="480" w:lineRule="auto"/>
              <w:jc w:val="center"/>
              <w:rPr>
                <w:b/>
                <w:noProof/>
              </w:rPr>
            </w:pPr>
            <w:r w:rsidRPr="002D7F02">
              <w:rPr>
                <w:b/>
                <w:noProof/>
              </w:rPr>
              <w:t>Canonical root 1</w:t>
            </w:r>
          </w:p>
        </w:tc>
        <w:tc>
          <w:tcPr>
            <w:tcW w:w="2987" w:type="dxa"/>
            <w:vAlign w:val="center"/>
          </w:tcPr>
          <w:p w:rsidR="00F97D96" w:rsidRPr="002D7F02" w:rsidRDefault="00F97D96" w:rsidP="002D7F02">
            <w:pPr>
              <w:spacing w:line="480" w:lineRule="auto"/>
              <w:jc w:val="center"/>
              <w:rPr>
                <w:b/>
                <w:noProof/>
              </w:rPr>
            </w:pPr>
            <w:r w:rsidRPr="002D7F02">
              <w:rPr>
                <w:b/>
                <w:noProof/>
              </w:rPr>
              <w:t>Canonical root 2</w:t>
            </w:r>
          </w:p>
        </w:tc>
      </w:tr>
      <w:tr w:rsidR="000B1946" w:rsidRPr="002D7F02" w:rsidTr="00605ECB">
        <w:trPr>
          <w:jc w:val="center"/>
        </w:trPr>
        <w:tc>
          <w:tcPr>
            <w:tcW w:w="3449" w:type="dxa"/>
            <w:shd w:val="clear" w:color="auto" w:fill="auto"/>
            <w:vAlign w:val="center"/>
          </w:tcPr>
          <w:p w:rsidR="000B1946" w:rsidRPr="002D7F02" w:rsidRDefault="00F97D96" w:rsidP="002D7F02">
            <w:pPr>
              <w:spacing w:line="480" w:lineRule="auto"/>
              <w:jc w:val="center"/>
              <w:rPr>
                <w:b/>
                <w:noProof/>
                <w:lang w:val="uk-UA"/>
              </w:rPr>
            </w:pPr>
            <w:proofErr w:type="spellStart"/>
            <w:r w:rsidRPr="002D7F02">
              <w:rPr>
                <w:b/>
              </w:rPr>
              <w:t>Specific</w:t>
            </w:r>
            <w:proofErr w:type="spellEnd"/>
            <w:r w:rsidRPr="002D7F02">
              <w:rPr>
                <w:b/>
              </w:rPr>
              <w:t xml:space="preserve"> </w:t>
            </w:r>
            <w:proofErr w:type="spellStart"/>
            <w:r w:rsidRPr="002D7F02">
              <w:rPr>
                <w:b/>
              </w:rPr>
              <w:t>volume</w:t>
            </w:r>
            <w:proofErr w:type="spellEnd"/>
            <w:r w:rsidRPr="002D7F02">
              <w:rPr>
                <w:b/>
              </w:rPr>
              <w:t xml:space="preserve"> </w:t>
            </w:r>
            <w:proofErr w:type="spellStart"/>
            <w:r w:rsidRPr="002D7F02">
              <w:rPr>
                <w:b/>
              </w:rPr>
              <w:t>of</w:t>
            </w:r>
            <w:proofErr w:type="spellEnd"/>
            <w:r w:rsidRPr="002D7F02">
              <w:rPr>
                <w:b/>
              </w:rPr>
              <w:t xml:space="preserve"> </w:t>
            </w:r>
            <w:proofErr w:type="spellStart"/>
            <w:r w:rsidRPr="002D7F02">
              <w:rPr>
                <w:b/>
              </w:rPr>
              <w:t>parenchyma</w:t>
            </w:r>
            <w:proofErr w:type="spellEnd"/>
          </w:p>
        </w:tc>
        <w:tc>
          <w:tcPr>
            <w:tcW w:w="2941" w:type="dxa"/>
            <w:shd w:val="clear" w:color="auto" w:fill="auto"/>
            <w:vAlign w:val="center"/>
          </w:tcPr>
          <w:p w:rsidR="000B1946" w:rsidRPr="002D7F02" w:rsidRDefault="000B1946" w:rsidP="002D7F02">
            <w:pPr>
              <w:spacing w:line="480" w:lineRule="auto"/>
              <w:jc w:val="center"/>
              <w:rPr>
                <w:noProof/>
              </w:rPr>
            </w:pPr>
            <w:r w:rsidRPr="002D7F02">
              <w:rPr>
                <w:noProof/>
              </w:rPr>
              <w:t>-0,063</w:t>
            </w:r>
          </w:p>
        </w:tc>
        <w:tc>
          <w:tcPr>
            <w:tcW w:w="2987" w:type="dxa"/>
            <w:vAlign w:val="center"/>
          </w:tcPr>
          <w:p w:rsidR="000B1946" w:rsidRPr="002D7F02" w:rsidRDefault="000B1946" w:rsidP="002D7F02">
            <w:pPr>
              <w:spacing w:line="480" w:lineRule="auto"/>
              <w:jc w:val="center"/>
              <w:rPr>
                <w:noProof/>
              </w:rPr>
            </w:pPr>
            <w:r w:rsidRPr="002D7F02">
              <w:rPr>
                <w:noProof/>
              </w:rPr>
              <w:t>-0,998</w:t>
            </w:r>
          </w:p>
        </w:tc>
      </w:tr>
      <w:tr w:rsidR="000B1946" w:rsidRPr="002D7F02" w:rsidTr="00605ECB">
        <w:trPr>
          <w:jc w:val="center"/>
        </w:trPr>
        <w:tc>
          <w:tcPr>
            <w:tcW w:w="3449" w:type="dxa"/>
            <w:shd w:val="clear" w:color="auto" w:fill="auto"/>
            <w:vAlign w:val="center"/>
          </w:tcPr>
          <w:p w:rsidR="000B1946" w:rsidRPr="002D7F02" w:rsidRDefault="00F97D96" w:rsidP="002D7F02">
            <w:pPr>
              <w:spacing w:line="480" w:lineRule="auto"/>
              <w:jc w:val="center"/>
              <w:rPr>
                <w:b/>
                <w:noProof/>
              </w:rPr>
            </w:pPr>
            <w:proofErr w:type="spellStart"/>
            <w:r w:rsidRPr="002D7F02">
              <w:rPr>
                <w:b/>
              </w:rPr>
              <w:t>Number</w:t>
            </w:r>
            <w:proofErr w:type="spellEnd"/>
            <w:r w:rsidRPr="002D7F02">
              <w:rPr>
                <w:b/>
              </w:rPr>
              <w:t xml:space="preserve"> </w:t>
            </w:r>
            <w:proofErr w:type="spellStart"/>
            <w:r w:rsidRPr="002D7F02">
              <w:rPr>
                <w:b/>
              </w:rPr>
              <w:t>of</w:t>
            </w:r>
            <w:proofErr w:type="spellEnd"/>
            <w:r w:rsidRPr="002D7F02">
              <w:rPr>
                <w:b/>
              </w:rPr>
              <w:t xml:space="preserve"> </w:t>
            </w:r>
            <w:proofErr w:type="spellStart"/>
            <w:r w:rsidRPr="002D7F02">
              <w:rPr>
                <w:b/>
              </w:rPr>
              <w:t>vessels</w:t>
            </w:r>
            <w:proofErr w:type="spellEnd"/>
          </w:p>
        </w:tc>
        <w:tc>
          <w:tcPr>
            <w:tcW w:w="2941" w:type="dxa"/>
            <w:shd w:val="clear" w:color="auto" w:fill="auto"/>
            <w:vAlign w:val="center"/>
          </w:tcPr>
          <w:p w:rsidR="000B1946" w:rsidRPr="002D7F02" w:rsidRDefault="000B1946" w:rsidP="002D7F02">
            <w:pPr>
              <w:spacing w:line="480" w:lineRule="auto"/>
              <w:jc w:val="center"/>
              <w:rPr>
                <w:noProof/>
              </w:rPr>
            </w:pPr>
            <w:r w:rsidRPr="002D7F02">
              <w:rPr>
                <w:noProof/>
              </w:rPr>
              <w:t>-0,978</w:t>
            </w:r>
          </w:p>
        </w:tc>
        <w:tc>
          <w:tcPr>
            <w:tcW w:w="2987" w:type="dxa"/>
            <w:vAlign w:val="center"/>
          </w:tcPr>
          <w:p w:rsidR="000B1946" w:rsidRPr="002D7F02" w:rsidRDefault="000B1946" w:rsidP="002D7F02">
            <w:pPr>
              <w:spacing w:line="480" w:lineRule="auto"/>
              <w:jc w:val="center"/>
              <w:rPr>
                <w:noProof/>
              </w:rPr>
            </w:pPr>
            <w:r w:rsidRPr="002D7F02">
              <w:rPr>
                <w:noProof/>
              </w:rPr>
              <w:t>0,205</w:t>
            </w:r>
          </w:p>
        </w:tc>
      </w:tr>
    </w:tbl>
    <w:p w:rsidR="00165F58" w:rsidRPr="002D7F02" w:rsidRDefault="00165F58" w:rsidP="002D7F02">
      <w:pPr>
        <w:spacing w:line="480" w:lineRule="auto"/>
        <w:ind w:firstLine="708"/>
        <w:jc w:val="both"/>
        <w:rPr>
          <w:noProof/>
          <w:lang w:val="en-US"/>
        </w:rPr>
      </w:pPr>
    </w:p>
    <w:p w:rsidR="00512EE1" w:rsidRPr="002D7F02" w:rsidRDefault="00512EE1" w:rsidP="002D7F02">
      <w:pPr>
        <w:spacing w:line="480" w:lineRule="auto"/>
        <w:ind w:firstLine="708"/>
        <w:jc w:val="both"/>
        <w:rPr>
          <w:noProof/>
          <w:lang w:val="uk-UA"/>
        </w:rPr>
      </w:pPr>
      <w:r w:rsidRPr="002D7F02">
        <w:rPr>
          <w:noProof/>
          <w:lang w:val="uk-UA"/>
        </w:rPr>
        <w:t>Thus, three formula</w:t>
      </w:r>
      <w:r w:rsidR="00C468A5" w:rsidRPr="002D7F02">
        <w:rPr>
          <w:noProof/>
          <w:lang w:val="en-US"/>
        </w:rPr>
        <w:t>e</w:t>
      </w:r>
      <w:r w:rsidRPr="002D7F02">
        <w:rPr>
          <w:noProof/>
          <w:lang w:val="uk-UA"/>
        </w:rPr>
        <w:t xml:space="preserve"> were derived </w:t>
      </w:r>
      <w:r w:rsidR="00C468A5" w:rsidRPr="002D7F02">
        <w:rPr>
          <w:noProof/>
          <w:lang w:val="en-US"/>
        </w:rPr>
        <w:t>to</w:t>
      </w:r>
      <w:r w:rsidRPr="002D7F02">
        <w:rPr>
          <w:noProof/>
          <w:lang w:val="uk-UA"/>
        </w:rPr>
        <w:t xml:space="preserve"> determine the histological variant</w:t>
      </w:r>
      <w:r w:rsidR="00EC7EF2" w:rsidRPr="002D7F02">
        <w:rPr>
          <w:noProof/>
          <w:lang w:val="en-US"/>
        </w:rPr>
        <w:t>s</w:t>
      </w:r>
      <w:r w:rsidRPr="002D7F02">
        <w:rPr>
          <w:noProof/>
          <w:lang w:val="uk-UA"/>
        </w:rPr>
        <w:t xml:space="preserve"> of pleomorphic adenoma</w:t>
      </w:r>
      <w:r w:rsidR="00EC7EF2" w:rsidRPr="002D7F02">
        <w:rPr>
          <w:noProof/>
          <w:lang w:val="en-US"/>
        </w:rPr>
        <w:t>s</w:t>
      </w:r>
      <w:r w:rsidRPr="002D7F02">
        <w:rPr>
          <w:noProof/>
          <w:lang w:val="uk-UA"/>
        </w:rPr>
        <w:t xml:space="preserve"> (F</w:t>
      </w:r>
      <w:r w:rsidRPr="002D7F02">
        <w:rPr>
          <w:i/>
          <w:noProof/>
          <w:vertAlign w:val="subscript"/>
          <w:lang w:val="uk-UA"/>
        </w:rPr>
        <w:t>mesenchymal</w:t>
      </w:r>
      <w:r w:rsidRPr="002D7F02">
        <w:rPr>
          <w:noProof/>
          <w:lang w:val="uk-UA"/>
        </w:rPr>
        <w:t>, F</w:t>
      </w:r>
      <w:r w:rsidRPr="002D7F02">
        <w:rPr>
          <w:i/>
          <w:noProof/>
          <w:vertAlign w:val="subscript"/>
          <w:lang w:val="uk-UA"/>
        </w:rPr>
        <w:t>epithelial</w:t>
      </w:r>
      <w:r w:rsidRPr="002D7F02">
        <w:rPr>
          <w:noProof/>
          <w:lang w:val="uk-UA"/>
        </w:rPr>
        <w:t xml:space="preserve"> and F</w:t>
      </w:r>
      <w:r w:rsidRPr="002D7F02">
        <w:rPr>
          <w:i/>
          <w:noProof/>
          <w:vertAlign w:val="subscript"/>
          <w:lang w:val="uk-UA"/>
        </w:rPr>
        <w:t>mixed</w:t>
      </w:r>
      <w:r w:rsidRPr="002D7F02">
        <w:rPr>
          <w:noProof/>
          <w:lang w:val="uk-UA"/>
        </w:rPr>
        <w:t xml:space="preserve">). </w:t>
      </w:r>
      <w:r w:rsidR="00C468A5" w:rsidRPr="002D7F02">
        <w:rPr>
          <w:noProof/>
          <w:lang w:val="en-US"/>
        </w:rPr>
        <w:t>We can determine the</w:t>
      </w:r>
      <w:r w:rsidRPr="002D7F02">
        <w:rPr>
          <w:noProof/>
          <w:lang w:val="uk-UA"/>
        </w:rPr>
        <w:t xml:space="preserve"> type of tumor </w:t>
      </w:r>
      <w:r w:rsidR="00C468A5" w:rsidRPr="002D7F02">
        <w:rPr>
          <w:noProof/>
          <w:lang w:val="en-US"/>
        </w:rPr>
        <w:t xml:space="preserve">with </w:t>
      </w:r>
      <w:r w:rsidRPr="002D7F02">
        <w:rPr>
          <w:noProof/>
          <w:lang w:val="uk-UA"/>
        </w:rPr>
        <w:t>the highest value</w:t>
      </w:r>
      <w:r w:rsidR="00C468A5" w:rsidRPr="002D7F02">
        <w:rPr>
          <w:noProof/>
          <w:lang w:val="en-US"/>
        </w:rPr>
        <w:t xml:space="preserve"> according to the classification function</w:t>
      </w:r>
      <w:r w:rsidRPr="002D7F02">
        <w:rPr>
          <w:noProof/>
          <w:lang w:val="en-US"/>
        </w:rPr>
        <w:t>:</w:t>
      </w:r>
    </w:p>
    <w:p w:rsidR="00512EE1" w:rsidRPr="002D7F02" w:rsidRDefault="00512EE1" w:rsidP="002D7F02">
      <w:pPr>
        <w:pStyle w:val="a7"/>
        <w:spacing w:after="0" w:line="480" w:lineRule="auto"/>
        <w:ind w:left="0" w:right="-1"/>
        <w:jc w:val="center"/>
      </w:pPr>
      <w:r w:rsidRPr="002D7F02">
        <w:lastRenderedPageBreak/>
        <w:t>F</w:t>
      </w:r>
      <w:r w:rsidRPr="002D7F02">
        <w:rPr>
          <w:i/>
          <w:noProof/>
          <w:vertAlign w:val="subscript"/>
          <w:lang w:val="uk-UA"/>
        </w:rPr>
        <w:t>mesenchymal</w:t>
      </w:r>
      <w:r w:rsidRPr="002D7F02">
        <w:t xml:space="preserve"> = - 41.03 + 4.96</w:t>
      </w:r>
      <w:r w:rsidRPr="002D7F02">
        <w:rPr>
          <w:i/>
        </w:rPr>
        <w:t>Х</w:t>
      </w:r>
      <w:proofErr w:type="gramStart"/>
      <w:r w:rsidRPr="002D7F02">
        <w:rPr>
          <w:i/>
          <w:vertAlign w:val="subscript"/>
        </w:rPr>
        <w:t>1</w:t>
      </w:r>
      <w:proofErr w:type="gramEnd"/>
      <w:r w:rsidRPr="002D7F02">
        <w:rPr>
          <w:i/>
          <w:vertAlign w:val="subscript"/>
        </w:rPr>
        <w:t xml:space="preserve"> </w:t>
      </w:r>
      <w:r w:rsidRPr="002D7F02">
        <w:t>+ 1.11</w:t>
      </w:r>
      <w:r w:rsidRPr="002D7F02">
        <w:rPr>
          <w:i/>
        </w:rPr>
        <w:t>Х</w:t>
      </w:r>
      <w:r w:rsidRPr="002D7F02">
        <w:rPr>
          <w:i/>
          <w:vertAlign w:val="subscript"/>
        </w:rPr>
        <w:t>2</w:t>
      </w:r>
      <w:r w:rsidRPr="002D7F02">
        <w:t>,</w:t>
      </w:r>
    </w:p>
    <w:p w:rsidR="00512EE1" w:rsidRPr="002D7F02" w:rsidRDefault="00512EE1" w:rsidP="002D7F02">
      <w:pPr>
        <w:pStyle w:val="a7"/>
        <w:spacing w:after="0" w:line="480" w:lineRule="auto"/>
        <w:ind w:left="0"/>
        <w:jc w:val="center"/>
      </w:pPr>
      <w:r w:rsidRPr="002D7F02">
        <w:t>F</w:t>
      </w:r>
      <w:r w:rsidRPr="002D7F02">
        <w:rPr>
          <w:i/>
          <w:noProof/>
          <w:vertAlign w:val="subscript"/>
          <w:lang w:val="uk-UA"/>
        </w:rPr>
        <w:t>epithelial</w:t>
      </w:r>
      <w:r w:rsidRPr="002D7F02">
        <w:rPr>
          <w:vertAlign w:val="subscript"/>
        </w:rPr>
        <w:t xml:space="preserve"> </w:t>
      </w:r>
      <w:r w:rsidRPr="002D7F02">
        <w:t>= - 22.27 + 3.46</w:t>
      </w:r>
      <w:r w:rsidRPr="002D7F02">
        <w:rPr>
          <w:i/>
        </w:rPr>
        <w:t>Х</w:t>
      </w:r>
      <w:proofErr w:type="gramStart"/>
      <w:r w:rsidRPr="002D7F02">
        <w:rPr>
          <w:i/>
          <w:vertAlign w:val="subscript"/>
        </w:rPr>
        <w:t>1</w:t>
      </w:r>
      <w:proofErr w:type="gramEnd"/>
      <w:r w:rsidRPr="002D7F02">
        <w:t xml:space="preserve"> + 0.85</w:t>
      </w:r>
      <w:r w:rsidRPr="002D7F02">
        <w:rPr>
          <w:i/>
        </w:rPr>
        <w:t>Х</w:t>
      </w:r>
      <w:r w:rsidRPr="002D7F02">
        <w:rPr>
          <w:i/>
          <w:vertAlign w:val="subscript"/>
        </w:rPr>
        <w:t>2</w:t>
      </w:r>
      <w:r w:rsidRPr="002D7F02">
        <w:rPr>
          <w:i/>
        </w:rPr>
        <w:t>,</w:t>
      </w:r>
    </w:p>
    <w:p w:rsidR="00512EE1" w:rsidRPr="002D7F02" w:rsidRDefault="00512EE1" w:rsidP="002D7F02">
      <w:pPr>
        <w:pStyle w:val="a7"/>
        <w:spacing w:after="0" w:line="480" w:lineRule="auto"/>
        <w:ind w:left="0"/>
        <w:jc w:val="center"/>
        <w:rPr>
          <w:lang w:val="uk-UA"/>
        </w:rPr>
      </w:pPr>
      <w:r w:rsidRPr="002D7F02">
        <w:rPr>
          <w:lang w:val="en-US"/>
        </w:rPr>
        <w:t>F</w:t>
      </w:r>
      <w:r w:rsidRPr="002D7F02">
        <w:rPr>
          <w:i/>
          <w:noProof/>
          <w:vertAlign w:val="subscript"/>
          <w:lang w:val="uk-UA"/>
        </w:rPr>
        <w:t>mixed</w:t>
      </w:r>
      <w:r w:rsidRPr="002D7F02">
        <w:rPr>
          <w:vertAlign w:val="subscript"/>
          <w:lang w:val="en-US"/>
        </w:rPr>
        <w:t xml:space="preserve"> </w:t>
      </w:r>
      <w:r w:rsidRPr="002D7F02">
        <w:rPr>
          <w:lang w:val="en-US"/>
        </w:rPr>
        <w:t>= - 122.25 + 5.63</w:t>
      </w:r>
      <w:r w:rsidRPr="002D7F02">
        <w:rPr>
          <w:i/>
        </w:rPr>
        <w:t>Х</w:t>
      </w:r>
      <w:r w:rsidRPr="002D7F02">
        <w:rPr>
          <w:i/>
          <w:vertAlign w:val="subscript"/>
          <w:lang w:val="en-US"/>
        </w:rPr>
        <w:t>1</w:t>
      </w:r>
      <w:r w:rsidRPr="002D7F02">
        <w:rPr>
          <w:lang w:val="en-US"/>
        </w:rPr>
        <w:t xml:space="preserve"> + 3.2</w:t>
      </w:r>
      <w:r w:rsidRPr="002D7F02">
        <w:rPr>
          <w:i/>
          <w:lang w:val="uk-UA"/>
        </w:rPr>
        <w:t>Х</w:t>
      </w:r>
      <w:r w:rsidRPr="002D7F02">
        <w:rPr>
          <w:i/>
          <w:vertAlign w:val="subscript"/>
          <w:lang w:val="uk-UA"/>
        </w:rPr>
        <w:t>2</w:t>
      </w:r>
      <w:r w:rsidRPr="002D7F02">
        <w:rPr>
          <w:i/>
          <w:lang w:val="uk-UA"/>
        </w:rPr>
        <w:t>,</w:t>
      </w:r>
    </w:p>
    <w:p w:rsidR="00512EE1" w:rsidRPr="002D7F02" w:rsidRDefault="00512EE1" w:rsidP="002D7F02">
      <w:pPr>
        <w:spacing w:line="480" w:lineRule="auto"/>
        <w:ind w:firstLine="708"/>
        <w:jc w:val="both"/>
        <w:rPr>
          <w:lang w:val="en-US"/>
        </w:rPr>
      </w:pPr>
      <w:proofErr w:type="gramStart"/>
      <w:r w:rsidRPr="002D7F02">
        <w:rPr>
          <w:lang w:val="en-US"/>
        </w:rPr>
        <w:t>here</w:t>
      </w:r>
      <w:proofErr w:type="gramEnd"/>
      <w:r w:rsidRPr="002D7F02">
        <w:rPr>
          <w:lang w:val="en-US"/>
        </w:rPr>
        <w:t xml:space="preserve"> </w:t>
      </w:r>
      <w:r w:rsidRPr="002D7F02">
        <w:rPr>
          <w:i/>
        </w:rPr>
        <w:t>Х</w:t>
      </w:r>
      <w:r w:rsidRPr="002D7F02">
        <w:rPr>
          <w:i/>
          <w:vertAlign w:val="subscript"/>
          <w:lang w:val="en-US"/>
        </w:rPr>
        <w:t>1</w:t>
      </w:r>
      <w:r w:rsidRPr="002D7F02">
        <w:rPr>
          <w:lang w:val="en-US"/>
        </w:rPr>
        <w:t xml:space="preserve"> - number of vessels, </w:t>
      </w:r>
      <w:r w:rsidRPr="002D7F02">
        <w:rPr>
          <w:i/>
        </w:rPr>
        <w:t>Х</w:t>
      </w:r>
      <w:r w:rsidRPr="002D7F02">
        <w:rPr>
          <w:i/>
          <w:vertAlign w:val="subscript"/>
          <w:lang w:val="en-US"/>
        </w:rPr>
        <w:t>2</w:t>
      </w:r>
      <w:r w:rsidRPr="002D7F02">
        <w:rPr>
          <w:lang w:val="en-US"/>
        </w:rPr>
        <w:t xml:space="preserve"> – specific volume of parenchyma.</w:t>
      </w:r>
    </w:p>
    <w:p w:rsidR="007A36D1" w:rsidRDefault="007A36D1" w:rsidP="002D7F02">
      <w:pPr>
        <w:spacing w:line="480" w:lineRule="auto"/>
        <w:ind w:firstLine="708"/>
        <w:jc w:val="both"/>
        <w:rPr>
          <w:noProof/>
          <w:lang w:val="en-US"/>
        </w:rPr>
      </w:pPr>
    </w:p>
    <w:p w:rsidR="00205AC0" w:rsidRPr="002D7F02" w:rsidRDefault="00512EE1" w:rsidP="002D7F02">
      <w:pPr>
        <w:spacing w:line="480" w:lineRule="auto"/>
        <w:ind w:firstLine="708"/>
        <w:jc w:val="both"/>
        <w:rPr>
          <w:noProof/>
          <w:lang w:val="en-US"/>
        </w:rPr>
      </w:pPr>
      <w:r w:rsidRPr="002D7F02">
        <w:rPr>
          <w:noProof/>
          <w:lang w:val="en-US"/>
        </w:rPr>
        <w:t>The accuracy of determining the histological variant of the tumor using classification fu</w:t>
      </w:r>
      <w:r w:rsidR="00B436A0" w:rsidRPr="002D7F02">
        <w:rPr>
          <w:noProof/>
          <w:lang w:val="en-US"/>
        </w:rPr>
        <w:t>nctions was assessed based on a</w:t>
      </w:r>
      <w:r w:rsidRPr="002D7F02">
        <w:rPr>
          <w:noProof/>
          <w:lang w:val="en-US"/>
        </w:rPr>
        <w:t>posteriori classification.</w:t>
      </w:r>
      <w:r w:rsidR="00B436A0" w:rsidRPr="002D7F02">
        <w:rPr>
          <w:noProof/>
          <w:lang w:val="en-US"/>
        </w:rPr>
        <w:t xml:space="preserve"> This model showed 100% accuracy (Table 4).</w:t>
      </w:r>
    </w:p>
    <w:p w:rsidR="00165F58" w:rsidRPr="002D7F02" w:rsidRDefault="00165F58" w:rsidP="002D7F02">
      <w:pPr>
        <w:spacing w:line="480" w:lineRule="auto"/>
        <w:rPr>
          <w:b/>
          <w:lang w:val="en-US"/>
        </w:rPr>
      </w:pPr>
    </w:p>
    <w:p w:rsidR="00B436A0" w:rsidRPr="002D7F02" w:rsidRDefault="00B436A0" w:rsidP="002D7F02">
      <w:pPr>
        <w:spacing w:line="480" w:lineRule="auto"/>
        <w:rPr>
          <w:lang w:val="uk-UA"/>
        </w:rPr>
      </w:pPr>
      <w:proofErr w:type="spellStart"/>
      <w:r w:rsidRPr="002D7F02">
        <w:rPr>
          <w:b/>
          <w:lang w:val="uk-UA"/>
        </w:rPr>
        <w:t>Table</w:t>
      </w:r>
      <w:proofErr w:type="spellEnd"/>
      <w:r w:rsidRPr="002D7F02">
        <w:rPr>
          <w:b/>
          <w:lang w:val="uk-UA"/>
        </w:rPr>
        <w:t xml:space="preserve"> 4:</w:t>
      </w:r>
      <w:r w:rsidRPr="002D7F02">
        <w:rPr>
          <w:lang w:val="uk-UA"/>
        </w:rPr>
        <w:t xml:space="preserve"> </w:t>
      </w:r>
      <w:proofErr w:type="spellStart"/>
      <w:r w:rsidRPr="002D7F02">
        <w:rPr>
          <w:lang w:val="uk-UA"/>
        </w:rPr>
        <w:t>Matrix</w:t>
      </w:r>
      <w:proofErr w:type="spellEnd"/>
      <w:r w:rsidRPr="002D7F02">
        <w:rPr>
          <w:lang w:val="uk-UA"/>
        </w:rPr>
        <w:t xml:space="preserve"> </w:t>
      </w:r>
      <w:proofErr w:type="spellStart"/>
      <w:r w:rsidRPr="002D7F02">
        <w:rPr>
          <w:lang w:val="uk-UA"/>
        </w:rPr>
        <w:t>of</w:t>
      </w:r>
      <w:proofErr w:type="spellEnd"/>
      <w:r w:rsidRPr="002D7F02">
        <w:rPr>
          <w:lang w:val="uk-UA"/>
        </w:rPr>
        <w:t xml:space="preserve"> </w:t>
      </w:r>
      <w:proofErr w:type="spellStart"/>
      <w:r w:rsidRPr="002D7F02">
        <w:rPr>
          <w:lang w:val="uk-UA"/>
        </w:rPr>
        <w:t>aposteriori</w:t>
      </w:r>
      <w:proofErr w:type="spellEnd"/>
      <w:r w:rsidRPr="002D7F02">
        <w:rPr>
          <w:lang w:val="uk-UA"/>
        </w:rPr>
        <w:t xml:space="preserve"> </w:t>
      </w:r>
      <w:proofErr w:type="spellStart"/>
      <w:r w:rsidRPr="002D7F02">
        <w:rPr>
          <w:lang w:val="uk-UA"/>
        </w:rPr>
        <w:t>classification</w:t>
      </w:r>
      <w:proofErr w:type="spellEnd"/>
      <w:r w:rsidRPr="002D7F02">
        <w:rPr>
          <w:lang w:val="uk-UA"/>
        </w:rPr>
        <w:t>.</w:t>
      </w:r>
    </w:p>
    <w:tbl>
      <w:tblPr>
        <w:tblStyle w:val="a6"/>
        <w:tblW w:w="0" w:type="auto"/>
        <w:tblInd w:w="108" w:type="dxa"/>
        <w:tblLayout w:type="fixed"/>
        <w:tblLook w:val="04A0" w:firstRow="1" w:lastRow="0" w:firstColumn="1" w:lastColumn="0" w:noHBand="0" w:noVBand="1"/>
      </w:tblPr>
      <w:tblGrid>
        <w:gridCol w:w="1985"/>
        <w:gridCol w:w="2126"/>
        <w:gridCol w:w="1985"/>
        <w:gridCol w:w="1713"/>
        <w:gridCol w:w="1547"/>
      </w:tblGrid>
      <w:tr w:rsidR="007C3837" w:rsidRPr="004D2B39" w:rsidTr="007C3837">
        <w:tc>
          <w:tcPr>
            <w:tcW w:w="1985" w:type="dxa"/>
            <w:vMerge w:val="restart"/>
            <w:vAlign w:val="center"/>
          </w:tcPr>
          <w:p w:rsidR="007C3837" w:rsidRPr="002D7F02" w:rsidRDefault="007C3837" w:rsidP="002D7F02">
            <w:pPr>
              <w:spacing w:line="480" w:lineRule="auto"/>
              <w:jc w:val="center"/>
              <w:rPr>
                <w:rFonts w:ascii="Times New Roman" w:hAnsi="Times New Roman" w:cs="Times New Roman"/>
                <w:b/>
                <w:lang w:val="en-US"/>
              </w:rPr>
            </w:pPr>
            <w:r w:rsidRPr="002D7F02">
              <w:rPr>
                <w:rFonts w:ascii="Times New Roman" w:hAnsi="Times New Roman" w:cs="Times New Roman"/>
                <w:b/>
                <w:lang w:val="en-US"/>
              </w:rPr>
              <w:t>P</w:t>
            </w:r>
            <w:proofErr w:type="spellStart"/>
            <w:r w:rsidRPr="002D7F02">
              <w:rPr>
                <w:rFonts w:ascii="Times New Roman" w:hAnsi="Times New Roman" w:cs="Times New Roman"/>
                <w:b/>
              </w:rPr>
              <w:t>leomorphic</w:t>
            </w:r>
            <w:proofErr w:type="spellEnd"/>
            <w:r w:rsidRPr="002D7F02">
              <w:rPr>
                <w:rFonts w:ascii="Times New Roman" w:hAnsi="Times New Roman" w:cs="Times New Roman"/>
                <w:b/>
              </w:rPr>
              <w:t xml:space="preserve"> </w:t>
            </w:r>
            <w:proofErr w:type="spellStart"/>
            <w:r w:rsidRPr="002D7F02">
              <w:rPr>
                <w:rFonts w:ascii="Times New Roman" w:hAnsi="Times New Roman" w:cs="Times New Roman"/>
                <w:b/>
              </w:rPr>
              <w:t>adenoma</w:t>
            </w:r>
            <w:proofErr w:type="spellEnd"/>
            <w:r w:rsidR="00EC7EF2" w:rsidRPr="002D7F02">
              <w:rPr>
                <w:rFonts w:ascii="Times New Roman" w:hAnsi="Times New Roman" w:cs="Times New Roman"/>
                <w:b/>
                <w:lang w:val="en-US"/>
              </w:rPr>
              <w:t>s</w:t>
            </w:r>
            <w:r w:rsidRPr="002D7F02">
              <w:rPr>
                <w:rFonts w:ascii="Times New Roman" w:hAnsi="Times New Roman" w:cs="Times New Roman"/>
                <w:b/>
              </w:rPr>
              <w:t xml:space="preserve"> </w:t>
            </w:r>
            <w:r w:rsidRPr="002D7F02">
              <w:rPr>
                <w:rFonts w:ascii="Times New Roman" w:hAnsi="Times New Roman" w:cs="Times New Roman"/>
                <w:b/>
                <w:lang w:val="en-US"/>
              </w:rPr>
              <w:t>v</w:t>
            </w:r>
            <w:proofErr w:type="spellStart"/>
            <w:r w:rsidRPr="002D7F02">
              <w:rPr>
                <w:rFonts w:ascii="Times New Roman" w:hAnsi="Times New Roman" w:cs="Times New Roman"/>
                <w:b/>
              </w:rPr>
              <w:t>ariant</w:t>
            </w:r>
            <w:proofErr w:type="spellEnd"/>
            <w:r w:rsidR="009372CF" w:rsidRPr="002D7F02">
              <w:rPr>
                <w:rFonts w:ascii="Times New Roman" w:hAnsi="Times New Roman" w:cs="Times New Roman"/>
                <w:b/>
                <w:lang w:val="en-US"/>
              </w:rPr>
              <w:t>s</w:t>
            </w:r>
          </w:p>
        </w:tc>
        <w:tc>
          <w:tcPr>
            <w:tcW w:w="7371" w:type="dxa"/>
            <w:gridSpan w:val="4"/>
            <w:vAlign w:val="center"/>
          </w:tcPr>
          <w:p w:rsidR="007C3837" w:rsidRPr="002D7F02" w:rsidRDefault="007C3837" w:rsidP="002D7F02">
            <w:pPr>
              <w:pStyle w:val="a7"/>
              <w:spacing w:after="0" w:line="480" w:lineRule="auto"/>
              <w:ind w:left="0"/>
              <w:jc w:val="center"/>
              <w:rPr>
                <w:rFonts w:ascii="Times New Roman" w:hAnsi="Times New Roman" w:cs="Times New Roman"/>
                <w:b/>
                <w:lang w:val="uk-UA"/>
              </w:rPr>
            </w:pPr>
            <w:proofErr w:type="spellStart"/>
            <w:r w:rsidRPr="002D7F02">
              <w:rPr>
                <w:rFonts w:ascii="Times New Roman" w:hAnsi="Times New Roman" w:cs="Times New Roman"/>
                <w:b/>
                <w:lang w:val="uk-UA"/>
              </w:rPr>
              <w:t>Rows</w:t>
            </w:r>
            <w:proofErr w:type="spellEnd"/>
            <w:r w:rsidRPr="002D7F02">
              <w:rPr>
                <w:rFonts w:ascii="Times New Roman" w:hAnsi="Times New Roman" w:cs="Times New Roman"/>
                <w:b/>
                <w:lang w:val="uk-UA"/>
              </w:rPr>
              <w:t xml:space="preserve">: </w:t>
            </w:r>
            <w:proofErr w:type="spellStart"/>
            <w:r w:rsidRPr="002D7F02">
              <w:rPr>
                <w:rFonts w:ascii="Times New Roman" w:hAnsi="Times New Roman" w:cs="Times New Roman"/>
                <w:b/>
                <w:lang w:val="uk-UA"/>
              </w:rPr>
              <w:t>observed</w:t>
            </w:r>
            <w:proofErr w:type="spellEnd"/>
            <w:r w:rsidRPr="002D7F02">
              <w:rPr>
                <w:rFonts w:ascii="Times New Roman" w:hAnsi="Times New Roman" w:cs="Times New Roman"/>
                <w:b/>
                <w:lang w:val="uk-UA"/>
              </w:rPr>
              <w:t xml:space="preserve"> </w:t>
            </w:r>
            <w:proofErr w:type="spellStart"/>
            <w:r w:rsidRPr="002D7F02">
              <w:rPr>
                <w:rFonts w:ascii="Times New Roman" w:hAnsi="Times New Roman" w:cs="Times New Roman"/>
                <w:b/>
                <w:lang w:val="uk-UA"/>
              </w:rPr>
              <w:t>groups</w:t>
            </w:r>
            <w:proofErr w:type="spellEnd"/>
          </w:p>
          <w:p w:rsidR="007C3837" w:rsidRPr="002D7F02" w:rsidRDefault="007C3837" w:rsidP="002D7F02">
            <w:pPr>
              <w:spacing w:line="480" w:lineRule="auto"/>
              <w:jc w:val="center"/>
              <w:rPr>
                <w:rFonts w:ascii="Times New Roman" w:hAnsi="Times New Roman" w:cs="Times New Roman"/>
                <w:b/>
                <w:lang w:val="en-US"/>
              </w:rPr>
            </w:pPr>
            <w:r w:rsidRPr="002D7F02">
              <w:rPr>
                <w:rFonts w:ascii="Times New Roman" w:hAnsi="Times New Roman" w:cs="Times New Roman"/>
                <w:b/>
                <w:lang w:val="en-US"/>
              </w:rPr>
              <w:t>Columns: stipulated groups</w:t>
            </w:r>
          </w:p>
        </w:tc>
      </w:tr>
      <w:tr w:rsidR="007C3837" w:rsidRPr="002D7F02" w:rsidTr="00332C78">
        <w:tc>
          <w:tcPr>
            <w:tcW w:w="1985" w:type="dxa"/>
            <w:vMerge/>
            <w:vAlign w:val="center"/>
          </w:tcPr>
          <w:p w:rsidR="007C3837" w:rsidRPr="002D7F02" w:rsidRDefault="007C3837" w:rsidP="002D7F02">
            <w:pPr>
              <w:spacing w:line="480" w:lineRule="auto"/>
              <w:jc w:val="center"/>
              <w:rPr>
                <w:rFonts w:ascii="Times New Roman" w:hAnsi="Times New Roman" w:cs="Times New Roman"/>
                <w:lang w:val="en-US"/>
              </w:rPr>
            </w:pPr>
          </w:p>
        </w:tc>
        <w:tc>
          <w:tcPr>
            <w:tcW w:w="2126" w:type="dxa"/>
            <w:vAlign w:val="center"/>
          </w:tcPr>
          <w:p w:rsidR="007C3837" w:rsidRPr="002D7F02" w:rsidRDefault="007C3837" w:rsidP="002D7F02">
            <w:pPr>
              <w:spacing w:line="480" w:lineRule="auto"/>
              <w:jc w:val="center"/>
              <w:rPr>
                <w:rFonts w:ascii="Times New Roman" w:hAnsi="Times New Roman" w:cs="Times New Roman"/>
                <w:b/>
                <w:lang w:val="en-US"/>
              </w:rPr>
            </w:pPr>
            <w:r w:rsidRPr="002D7F02">
              <w:rPr>
                <w:rFonts w:ascii="Times New Roman" w:hAnsi="Times New Roman" w:cs="Times New Roman"/>
                <w:b/>
                <w:lang w:val="en-US"/>
              </w:rPr>
              <w:t>Percentage of faithful</w:t>
            </w:r>
          </w:p>
        </w:tc>
        <w:tc>
          <w:tcPr>
            <w:tcW w:w="1985" w:type="dxa"/>
            <w:vAlign w:val="center"/>
          </w:tcPr>
          <w:p w:rsidR="007C3837" w:rsidRPr="002D7F02" w:rsidRDefault="007C3837" w:rsidP="002D7F02">
            <w:pPr>
              <w:spacing w:line="480" w:lineRule="auto"/>
              <w:jc w:val="center"/>
              <w:rPr>
                <w:rFonts w:ascii="Times New Roman" w:hAnsi="Times New Roman" w:cs="Times New Roman"/>
                <w:b/>
              </w:rPr>
            </w:pPr>
            <w:proofErr w:type="spellStart"/>
            <w:r w:rsidRPr="002D7F02">
              <w:rPr>
                <w:rFonts w:ascii="Times New Roman" w:hAnsi="Times New Roman" w:cs="Times New Roman"/>
                <w:b/>
              </w:rPr>
              <w:t>Mesenchymal</w:t>
            </w:r>
            <w:proofErr w:type="spellEnd"/>
          </w:p>
        </w:tc>
        <w:tc>
          <w:tcPr>
            <w:tcW w:w="1713" w:type="dxa"/>
            <w:vAlign w:val="center"/>
          </w:tcPr>
          <w:p w:rsidR="007C3837" w:rsidRPr="002D7F02" w:rsidRDefault="007C3837" w:rsidP="002D7F02">
            <w:pPr>
              <w:spacing w:line="480" w:lineRule="auto"/>
              <w:jc w:val="center"/>
              <w:rPr>
                <w:rFonts w:ascii="Times New Roman" w:hAnsi="Times New Roman" w:cs="Times New Roman"/>
                <w:b/>
              </w:rPr>
            </w:pPr>
            <w:proofErr w:type="spellStart"/>
            <w:r w:rsidRPr="002D7F02">
              <w:rPr>
                <w:rFonts w:ascii="Times New Roman" w:hAnsi="Times New Roman" w:cs="Times New Roman"/>
                <w:b/>
              </w:rPr>
              <w:t>Epithelial</w:t>
            </w:r>
            <w:proofErr w:type="spellEnd"/>
          </w:p>
        </w:tc>
        <w:tc>
          <w:tcPr>
            <w:tcW w:w="1547" w:type="dxa"/>
            <w:vAlign w:val="center"/>
          </w:tcPr>
          <w:p w:rsidR="007C3837" w:rsidRPr="002D7F02" w:rsidRDefault="007C3837" w:rsidP="002D7F02">
            <w:pPr>
              <w:spacing w:line="480" w:lineRule="auto"/>
              <w:jc w:val="center"/>
              <w:rPr>
                <w:rFonts w:ascii="Times New Roman" w:hAnsi="Times New Roman" w:cs="Times New Roman"/>
                <w:b/>
              </w:rPr>
            </w:pPr>
            <w:proofErr w:type="spellStart"/>
            <w:r w:rsidRPr="002D7F02">
              <w:rPr>
                <w:rFonts w:ascii="Times New Roman" w:hAnsi="Times New Roman" w:cs="Times New Roman"/>
                <w:b/>
              </w:rPr>
              <w:t>Mixed</w:t>
            </w:r>
            <w:proofErr w:type="spellEnd"/>
          </w:p>
        </w:tc>
      </w:tr>
      <w:tr w:rsidR="007C3837" w:rsidRPr="002D7F02" w:rsidTr="00332C78">
        <w:tc>
          <w:tcPr>
            <w:tcW w:w="1985" w:type="dxa"/>
          </w:tcPr>
          <w:p w:rsidR="007C3837" w:rsidRPr="002D7F02" w:rsidRDefault="007C3837" w:rsidP="002D7F02">
            <w:pPr>
              <w:pStyle w:val="a7"/>
              <w:spacing w:after="0" w:line="480" w:lineRule="auto"/>
              <w:ind w:left="0"/>
              <w:jc w:val="center"/>
              <w:rPr>
                <w:rFonts w:ascii="Times New Roman" w:hAnsi="Times New Roman" w:cs="Times New Roman"/>
                <w:b/>
              </w:rPr>
            </w:pPr>
            <w:proofErr w:type="spellStart"/>
            <w:r w:rsidRPr="002D7F02">
              <w:rPr>
                <w:rFonts w:ascii="Times New Roman" w:hAnsi="Times New Roman" w:cs="Times New Roman"/>
                <w:b/>
              </w:rPr>
              <w:t>Mesenchymal</w:t>
            </w:r>
            <w:proofErr w:type="spellEnd"/>
          </w:p>
        </w:tc>
        <w:tc>
          <w:tcPr>
            <w:tcW w:w="2126" w:type="dxa"/>
          </w:tcPr>
          <w:p w:rsidR="007C3837" w:rsidRPr="002D7F02" w:rsidRDefault="007C3837" w:rsidP="002D7F02">
            <w:pPr>
              <w:pStyle w:val="a7"/>
              <w:spacing w:after="0" w:line="480" w:lineRule="auto"/>
              <w:ind w:left="0"/>
              <w:jc w:val="center"/>
              <w:rPr>
                <w:rFonts w:ascii="Times New Roman" w:hAnsi="Times New Roman" w:cs="Times New Roman"/>
                <w:lang w:val="uk-UA"/>
              </w:rPr>
            </w:pPr>
            <w:r w:rsidRPr="002D7F02">
              <w:rPr>
                <w:rFonts w:ascii="Times New Roman" w:hAnsi="Times New Roman" w:cs="Times New Roman"/>
                <w:lang w:val="uk-UA"/>
              </w:rPr>
              <w:t>100%</w:t>
            </w:r>
          </w:p>
        </w:tc>
        <w:tc>
          <w:tcPr>
            <w:tcW w:w="1985" w:type="dxa"/>
          </w:tcPr>
          <w:p w:rsidR="007C3837" w:rsidRPr="002D7F02" w:rsidRDefault="007C3837" w:rsidP="002D7F02">
            <w:pPr>
              <w:pStyle w:val="a7"/>
              <w:spacing w:after="0" w:line="480" w:lineRule="auto"/>
              <w:ind w:left="0"/>
              <w:jc w:val="center"/>
              <w:rPr>
                <w:rFonts w:ascii="Times New Roman" w:hAnsi="Times New Roman" w:cs="Times New Roman"/>
                <w:lang w:val="uk-UA"/>
              </w:rPr>
            </w:pPr>
            <w:r w:rsidRPr="002D7F02">
              <w:rPr>
                <w:rFonts w:ascii="Times New Roman" w:hAnsi="Times New Roman" w:cs="Times New Roman"/>
                <w:lang w:val="uk-UA"/>
              </w:rPr>
              <w:t>15</w:t>
            </w:r>
          </w:p>
        </w:tc>
        <w:tc>
          <w:tcPr>
            <w:tcW w:w="1713" w:type="dxa"/>
          </w:tcPr>
          <w:p w:rsidR="007C3837" w:rsidRPr="002D7F02" w:rsidRDefault="007C3837" w:rsidP="002D7F02">
            <w:pPr>
              <w:pStyle w:val="a7"/>
              <w:spacing w:after="0" w:line="480" w:lineRule="auto"/>
              <w:ind w:left="0"/>
              <w:jc w:val="center"/>
              <w:rPr>
                <w:rFonts w:ascii="Times New Roman" w:hAnsi="Times New Roman" w:cs="Times New Roman"/>
                <w:lang w:val="uk-UA"/>
              </w:rPr>
            </w:pPr>
            <w:r w:rsidRPr="002D7F02">
              <w:rPr>
                <w:rFonts w:ascii="Times New Roman" w:hAnsi="Times New Roman" w:cs="Times New Roman"/>
                <w:lang w:val="uk-UA"/>
              </w:rPr>
              <w:t>0</w:t>
            </w:r>
          </w:p>
        </w:tc>
        <w:tc>
          <w:tcPr>
            <w:tcW w:w="1547" w:type="dxa"/>
          </w:tcPr>
          <w:p w:rsidR="007C3837" w:rsidRPr="002D7F02" w:rsidRDefault="007C3837" w:rsidP="002D7F02">
            <w:pPr>
              <w:spacing w:line="480" w:lineRule="auto"/>
              <w:jc w:val="center"/>
              <w:rPr>
                <w:rFonts w:ascii="Times New Roman" w:hAnsi="Times New Roman" w:cs="Times New Roman"/>
              </w:rPr>
            </w:pPr>
            <w:r w:rsidRPr="002D7F02">
              <w:rPr>
                <w:rFonts w:ascii="Times New Roman" w:hAnsi="Times New Roman" w:cs="Times New Roman"/>
              </w:rPr>
              <w:t>0</w:t>
            </w:r>
          </w:p>
        </w:tc>
      </w:tr>
      <w:tr w:rsidR="007C3837" w:rsidRPr="002D7F02" w:rsidTr="00332C78">
        <w:tc>
          <w:tcPr>
            <w:tcW w:w="1985" w:type="dxa"/>
          </w:tcPr>
          <w:p w:rsidR="007C3837" w:rsidRPr="002D7F02" w:rsidRDefault="007C3837" w:rsidP="002D7F02">
            <w:pPr>
              <w:pStyle w:val="a7"/>
              <w:spacing w:after="0" w:line="480" w:lineRule="auto"/>
              <w:ind w:left="0"/>
              <w:jc w:val="center"/>
              <w:rPr>
                <w:rFonts w:ascii="Times New Roman" w:hAnsi="Times New Roman" w:cs="Times New Roman"/>
                <w:b/>
              </w:rPr>
            </w:pPr>
            <w:proofErr w:type="spellStart"/>
            <w:r w:rsidRPr="002D7F02">
              <w:rPr>
                <w:rFonts w:ascii="Times New Roman" w:hAnsi="Times New Roman" w:cs="Times New Roman"/>
                <w:b/>
              </w:rPr>
              <w:t>Epithelial</w:t>
            </w:r>
            <w:proofErr w:type="spellEnd"/>
          </w:p>
        </w:tc>
        <w:tc>
          <w:tcPr>
            <w:tcW w:w="2126" w:type="dxa"/>
          </w:tcPr>
          <w:p w:rsidR="007C3837" w:rsidRPr="002D7F02" w:rsidRDefault="007C3837" w:rsidP="002D7F02">
            <w:pPr>
              <w:pStyle w:val="a7"/>
              <w:spacing w:after="0" w:line="480" w:lineRule="auto"/>
              <w:ind w:left="0"/>
              <w:jc w:val="center"/>
              <w:rPr>
                <w:rFonts w:ascii="Times New Roman" w:hAnsi="Times New Roman" w:cs="Times New Roman"/>
                <w:lang w:val="uk-UA"/>
              </w:rPr>
            </w:pPr>
            <w:r w:rsidRPr="002D7F02">
              <w:rPr>
                <w:rFonts w:ascii="Times New Roman" w:hAnsi="Times New Roman" w:cs="Times New Roman"/>
                <w:lang w:val="uk-UA"/>
              </w:rPr>
              <w:t>100%</w:t>
            </w:r>
          </w:p>
        </w:tc>
        <w:tc>
          <w:tcPr>
            <w:tcW w:w="1985" w:type="dxa"/>
          </w:tcPr>
          <w:p w:rsidR="007C3837" w:rsidRPr="002D7F02" w:rsidRDefault="007C3837" w:rsidP="002D7F02">
            <w:pPr>
              <w:pStyle w:val="a7"/>
              <w:spacing w:after="0" w:line="480" w:lineRule="auto"/>
              <w:ind w:left="0"/>
              <w:jc w:val="center"/>
              <w:rPr>
                <w:rFonts w:ascii="Times New Roman" w:hAnsi="Times New Roman" w:cs="Times New Roman"/>
                <w:lang w:val="uk-UA"/>
              </w:rPr>
            </w:pPr>
            <w:r w:rsidRPr="002D7F02">
              <w:rPr>
                <w:rFonts w:ascii="Times New Roman" w:hAnsi="Times New Roman" w:cs="Times New Roman"/>
                <w:lang w:val="uk-UA"/>
              </w:rPr>
              <w:t>0</w:t>
            </w:r>
          </w:p>
        </w:tc>
        <w:tc>
          <w:tcPr>
            <w:tcW w:w="1713" w:type="dxa"/>
          </w:tcPr>
          <w:p w:rsidR="007C3837" w:rsidRPr="002D7F02" w:rsidRDefault="007C3837" w:rsidP="002D7F02">
            <w:pPr>
              <w:pStyle w:val="a7"/>
              <w:spacing w:after="0" w:line="480" w:lineRule="auto"/>
              <w:ind w:left="0"/>
              <w:jc w:val="center"/>
              <w:rPr>
                <w:rFonts w:ascii="Times New Roman" w:hAnsi="Times New Roman" w:cs="Times New Roman"/>
                <w:lang w:val="uk-UA"/>
              </w:rPr>
            </w:pPr>
            <w:r w:rsidRPr="002D7F02">
              <w:rPr>
                <w:rFonts w:ascii="Times New Roman" w:hAnsi="Times New Roman" w:cs="Times New Roman"/>
                <w:lang w:val="uk-UA"/>
              </w:rPr>
              <w:t>5</w:t>
            </w:r>
          </w:p>
        </w:tc>
        <w:tc>
          <w:tcPr>
            <w:tcW w:w="1547" w:type="dxa"/>
          </w:tcPr>
          <w:p w:rsidR="007C3837" w:rsidRPr="002D7F02" w:rsidRDefault="007C3837" w:rsidP="002D7F02">
            <w:pPr>
              <w:spacing w:line="480" w:lineRule="auto"/>
              <w:jc w:val="center"/>
              <w:rPr>
                <w:rFonts w:ascii="Times New Roman" w:hAnsi="Times New Roman" w:cs="Times New Roman"/>
              </w:rPr>
            </w:pPr>
            <w:r w:rsidRPr="002D7F02">
              <w:rPr>
                <w:rFonts w:ascii="Times New Roman" w:hAnsi="Times New Roman" w:cs="Times New Roman"/>
              </w:rPr>
              <w:t>0</w:t>
            </w:r>
          </w:p>
        </w:tc>
      </w:tr>
      <w:tr w:rsidR="007C3837" w:rsidRPr="002D7F02" w:rsidTr="00332C78">
        <w:tc>
          <w:tcPr>
            <w:tcW w:w="1985" w:type="dxa"/>
          </w:tcPr>
          <w:p w:rsidR="007C3837" w:rsidRPr="002D7F02" w:rsidRDefault="007C3837" w:rsidP="002D7F02">
            <w:pPr>
              <w:pStyle w:val="a7"/>
              <w:spacing w:after="0" w:line="480" w:lineRule="auto"/>
              <w:ind w:left="0"/>
              <w:jc w:val="center"/>
              <w:rPr>
                <w:rFonts w:ascii="Times New Roman" w:hAnsi="Times New Roman" w:cs="Times New Roman"/>
                <w:b/>
              </w:rPr>
            </w:pPr>
            <w:proofErr w:type="spellStart"/>
            <w:r w:rsidRPr="002D7F02">
              <w:rPr>
                <w:rFonts w:ascii="Times New Roman" w:hAnsi="Times New Roman" w:cs="Times New Roman"/>
                <w:b/>
              </w:rPr>
              <w:t>Mixed</w:t>
            </w:r>
            <w:proofErr w:type="spellEnd"/>
          </w:p>
        </w:tc>
        <w:tc>
          <w:tcPr>
            <w:tcW w:w="2126" w:type="dxa"/>
          </w:tcPr>
          <w:p w:rsidR="007C3837" w:rsidRPr="002D7F02" w:rsidRDefault="007C3837" w:rsidP="002D7F02">
            <w:pPr>
              <w:pStyle w:val="a7"/>
              <w:spacing w:after="0" w:line="480" w:lineRule="auto"/>
              <w:ind w:left="0"/>
              <w:jc w:val="center"/>
              <w:rPr>
                <w:rFonts w:ascii="Times New Roman" w:hAnsi="Times New Roman" w:cs="Times New Roman"/>
                <w:lang w:val="uk-UA"/>
              </w:rPr>
            </w:pPr>
            <w:r w:rsidRPr="002D7F02">
              <w:rPr>
                <w:rFonts w:ascii="Times New Roman" w:hAnsi="Times New Roman" w:cs="Times New Roman"/>
                <w:lang w:val="uk-UA"/>
              </w:rPr>
              <w:t>100%</w:t>
            </w:r>
          </w:p>
        </w:tc>
        <w:tc>
          <w:tcPr>
            <w:tcW w:w="1985" w:type="dxa"/>
          </w:tcPr>
          <w:p w:rsidR="007C3837" w:rsidRPr="002D7F02" w:rsidRDefault="007C3837" w:rsidP="002D7F02">
            <w:pPr>
              <w:pStyle w:val="a7"/>
              <w:spacing w:after="0" w:line="480" w:lineRule="auto"/>
              <w:ind w:left="0"/>
              <w:jc w:val="center"/>
              <w:rPr>
                <w:rFonts w:ascii="Times New Roman" w:hAnsi="Times New Roman" w:cs="Times New Roman"/>
                <w:lang w:val="uk-UA"/>
              </w:rPr>
            </w:pPr>
            <w:r w:rsidRPr="002D7F02">
              <w:rPr>
                <w:rFonts w:ascii="Times New Roman" w:hAnsi="Times New Roman" w:cs="Times New Roman"/>
                <w:lang w:val="uk-UA"/>
              </w:rPr>
              <w:t>0</w:t>
            </w:r>
          </w:p>
        </w:tc>
        <w:tc>
          <w:tcPr>
            <w:tcW w:w="1713" w:type="dxa"/>
          </w:tcPr>
          <w:p w:rsidR="007C3837" w:rsidRPr="002D7F02" w:rsidRDefault="007C3837" w:rsidP="002D7F02">
            <w:pPr>
              <w:pStyle w:val="a7"/>
              <w:spacing w:after="0" w:line="480" w:lineRule="auto"/>
              <w:ind w:left="0"/>
              <w:jc w:val="center"/>
              <w:rPr>
                <w:rFonts w:ascii="Times New Roman" w:hAnsi="Times New Roman" w:cs="Times New Roman"/>
                <w:lang w:val="uk-UA"/>
              </w:rPr>
            </w:pPr>
            <w:r w:rsidRPr="002D7F02">
              <w:rPr>
                <w:rFonts w:ascii="Times New Roman" w:hAnsi="Times New Roman" w:cs="Times New Roman"/>
                <w:lang w:val="uk-UA"/>
              </w:rPr>
              <w:t>0</w:t>
            </w:r>
          </w:p>
        </w:tc>
        <w:tc>
          <w:tcPr>
            <w:tcW w:w="1547" w:type="dxa"/>
          </w:tcPr>
          <w:p w:rsidR="007C3837" w:rsidRPr="002D7F02" w:rsidRDefault="007C3837" w:rsidP="002D7F02">
            <w:pPr>
              <w:spacing w:line="480" w:lineRule="auto"/>
              <w:jc w:val="center"/>
              <w:rPr>
                <w:rFonts w:ascii="Times New Roman" w:hAnsi="Times New Roman" w:cs="Times New Roman"/>
              </w:rPr>
            </w:pPr>
            <w:r w:rsidRPr="002D7F02">
              <w:rPr>
                <w:rFonts w:ascii="Times New Roman" w:hAnsi="Times New Roman" w:cs="Times New Roman"/>
              </w:rPr>
              <w:t>10</w:t>
            </w:r>
          </w:p>
        </w:tc>
      </w:tr>
      <w:tr w:rsidR="007C3837" w:rsidRPr="002D7F02" w:rsidTr="00332C78">
        <w:tc>
          <w:tcPr>
            <w:tcW w:w="1985" w:type="dxa"/>
          </w:tcPr>
          <w:p w:rsidR="007C3837" w:rsidRPr="002D7F02" w:rsidRDefault="007C3837" w:rsidP="002D7F02">
            <w:pPr>
              <w:pStyle w:val="a7"/>
              <w:spacing w:after="0" w:line="480" w:lineRule="auto"/>
              <w:ind w:left="0"/>
              <w:jc w:val="center"/>
              <w:rPr>
                <w:rFonts w:ascii="Times New Roman" w:hAnsi="Times New Roman" w:cs="Times New Roman"/>
                <w:b/>
                <w:lang w:val="uk-UA"/>
              </w:rPr>
            </w:pPr>
            <w:proofErr w:type="spellStart"/>
            <w:r w:rsidRPr="002D7F02">
              <w:rPr>
                <w:rFonts w:ascii="Times New Roman" w:hAnsi="Times New Roman" w:cs="Times New Roman"/>
                <w:b/>
                <w:lang w:val="uk-UA"/>
              </w:rPr>
              <w:t>Total</w:t>
            </w:r>
            <w:proofErr w:type="spellEnd"/>
          </w:p>
        </w:tc>
        <w:tc>
          <w:tcPr>
            <w:tcW w:w="2126" w:type="dxa"/>
          </w:tcPr>
          <w:p w:rsidR="007C3837" w:rsidRPr="002D7F02" w:rsidRDefault="007C3837" w:rsidP="002D7F02">
            <w:pPr>
              <w:pStyle w:val="a7"/>
              <w:spacing w:after="0" w:line="480" w:lineRule="auto"/>
              <w:ind w:left="0"/>
              <w:jc w:val="center"/>
              <w:rPr>
                <w:rFonts w:ascii="Times New Roman" w:hAnsi="Times New Roman" w:cs="Times New Roman"/>
                <w:lang w:val="uk-UA"/>
              </w:rPr>
            </w:pPr>
            <w:r w:rsidRPr="002D7F02">
              <w:rPr>
                <w:rFonts w:ascii="Times New Roman" w:hAnsi="Times New Roman" w:cs="Times New Roman"/>
                <w:lang w:val="uk-UA"/>
              </w:rPr>
              <w:t>100%</w:t>
            </w:r>
          </w:p>
        </w:tc>
        <w:tc>
          <w:tcPr>
            <w:tcW w:w="1985" w:type="dxa"/>
          </w:tcPr>
          <w:p w:rsidR="007C3837" w:rsidRPr="002D7F02" w:rsidRDefault="007C3837" w:rsidP="002D7F02">
            <w:pPr>
              <w:pStyle w:val="a7"/>
              <w:spacing w:after="0" w:line="480" w:lineRule="auto"/>
              <w:ind w:left="0"/>
              <w:jc w:val="center"/>
              <w:rPr>
                <w:rFonts w:ascii="Times New Roman" w:hAnsi="Times New Roman" w:cs="Times New Roman"/>
                <w:lang w:val="uk-UA"/>
              </w:rPr>
            </w:pPr>
            <w:r w:rsidRPr="002D7F02">
              <w:rPr>
                <w:rFonts w:ascii="Times New Roman" w:hAnsi="Times New Roman" w:cs="Times New Roman"/>
                <w:lang w:val="uk-UA"/>
              </w:rPr>
              <w:t>15</w:t>
            </w:r>
          </w:p>
        </w:tc>
        <w:tc>
          <w:tcPr>
            <w:tcW w:w="1713" w:type="dxa"/>
          </w:tcPr>
          <w:p w:rsidR="007C3837" w:rsidRPr="002D7F02" w:rsidRDefault="007C3837" w:rsidP="002D7F02">
            <w:pPr>
              <w:pStyle w:val="a7"/>
              <w:spacing w:after="0" w:line="480" w:lineRule="auto"/>
              <w:ind w:left="0"/>
              <w:jc w:val="center"/>
              <w:rPr>
                <w:rFonts w:ascii="Times New Roman" w:hAnsi="Times New Roman" w:cs="Times New Roman"/>
                <w:lang w:val="uk-UA"/>
              </w:rPr>
            </w:pPr>
            <w:r w:rsidRPr="002D7F02">
              <w:rPr>
                <w:rFonts w:ascii="Times New Roman" w:hAnsi="Times New Roman" w:cs="Times New Roman"/>
                <w:lang w:val="uk-UA"/>
              </w:rPr>
              <w:t>5</w:t>
            </w:r>
          </w:p>
        </w:tc>
        <w:tc>
          <w:tcPr>
            <w:tcW w:w="1547" w:type="dxa"/>
          </w:tcPr>
          <w:p w:rsidR="007C3837" w:rsidRPr="002D7F02" w:rsidRDefault="007C3837" w:rsidP="002D7F02">
            <w:pPr>
              <w:spacing w:line="480" w:lineRule="auto"/>
              <w:jc w:val="center"/>
              <w:rPr>
                <w:rFonts w:ascii="Times New Roman" w:hAnsi="Times New Roman" w:cs="Times New Roman"/>
              </w:rPr>
            </w:pPr>
            <w:r w:rsidRPr="002D7F02">
              <w:rPr>
                <w:rFonts w:ascii="Times New Roman" w:hAnsi="Times New Roman" w:cs="Times New Roman"/>
              </w:rPr>
              <w:t>10</w:t>
            </w:r>
          </w:p>
        </w:tc>
      </w:tr>
    </w:tbl>
    <w:p w:rsidR="00205AC0" w:rsidRPr="002D7F02" w:rsidRDefault="00285E13" w:rsidP="002D7F02">
      <w:pPr>
        <w:spacing w:line="480" w:lineRule="auto"/>
        <w:jc w:val="both"/>
        <w:rPr>
          <w:lang w:val="en-US"/>
        </w:rPr>
      </w:pPr>
      <w:r w:rsidRPr="002D7F02">
        <w:rPr>
          <w:lang w:val="en-US"/>
        </w:rPr>
        <w:tab/>
      </w:r>
    </w:p>
    <w:p w:rsidR="00CB6A2A" w:rsidRPr="002D7F02" w:rsidRDefault="00BE24D0" w:rsidP="002D7F02">
      <w:pPr>
        <w:spacing w:line="480" w:lineRule="auto"/>
        <w:ind w:firstLine="708"/>
        <w:jc w:val="both"/>
        <w:rPr>
          <w:color w:val="212121"/>
          <w:shd w:val="clear" w:color="auto" w:fill="FFFFFF"/>
          <w:lang w:val="en-US"/>
        </w:rPr>
      </w:pPr>
      <w:proofErr w:type="gramStart"/>
      <w:r w:rsidRPr="002D7F02">
        <w:rPr>
          <w:b/>
          <w:color w:val="000000"/>
          <w:lang w:val="en-US"/>
        </w:rPr>
        <w:t>Discussion</w:t>
      </w:r>
      <w:r w:rsidR="00165F58" w:rsidRPr="002D7F02">
        <w:rPr>
          <w:b/>
          <w:color w:val="000000"/>
          <w:lang w:val="en-US"/>
        </w:rPr>
        <w:t>.</w:t>
      </w:r>
      <w:proofErr w:type="gramEnd"/>
      <w:r w:rsidR="00165F58" w:rsidRPr="002D7F02">
        <w:rPr>
          <w:b/>
          <w:color w:val="000000"/>
          <w:lang w:val="en-US"/>
        </w:rPr>
        <w:t xml:space="preserve"> </w:t>
      </w:r>
      <w:r w:rsidR="00356377" w:rsidRPr="002D7F02">
        <w:rPr>
          <w:lang w:val="en-US"/>
        </w:rPr>
        <w:t>The most common benign salivary gland tumor is pleomorphic adenoma</w:t>
      </w:r>
      <w:r w:rsidR="00045CF7" w:rsidRPr="002D7F02">
        <w:rPr>
          <w:lang w:val="en-US"/>
        </w:rPr>
        <w:t> </w:t>
      </w:r>
      <w:r w:rsidR="003F61BE" w:rsidRPr="002D7F02">
        <w:rPr>
          <w:lang w:val="en-US"/>
        </w:rPr>
        <w:t>[</w:t>
      </w:r>
      <w:r w:rsidR="00CB7F0B" w:rsidRPr="002D7F02">
        <w:rPr>
          <w:lang w:val="en-US"/>
        </w:rPr>
        <w:t>19</w:t>
      </w:r>
      <w:r w:rsidR="003F61BE" w:rsidRPr="002D7F02">
        <w:rPr>
          <w:lang w:val="en-US"/>
        </w:rPr>
        <w:t>]</w:t>
      </w:r>
      <w:r w:rsidR="00356377" w:rsidRPr="002D7F02">
        <w:rPr>
          <w:color w:val="212121"/>
          <w:shd w:val="clear" w:color="auto" w:fill="FFFFFF"/>
          <w:lang w:val="en-US"/>
        </w:rPr>
        <w:t xml:space="preserve">. </w:t>
      </w:r>
      <w:r w:rsidR="00CB6A2A" w:rsidRPr="002D7F02">
        <w:rPr>
          <w:color w:val="212121"/>
          <w:shd w:val="clear" w:color="auto" w:fill="FFFFFF"/>
          <w:lang w:val="en-US"/>
        </w:rPr>
        <w:t>In order to minimize the incidence of this neoplasm, the etiological factors causing it should be well known</w:t>
      </w:r>
      <w:r w:rsidR="00CB7F0B" w:rsidRPr="002D7F02">
        <w:rPr>
          <w:color w:val="212121"/>
          <w:shd w:val="clear" w:color="auto" w:fill="FFFFFF"/>
          <w:lang w:val="en-US"/>
        </w:rPr>
        <w:t xml:space="preserve"> </w:t>
      </w:r>
      <w:r w:rsidR="003F61BE" w:rsidRPr="002D7F02">
        <w:rPr>
          <w:color w:val="212121"/>
          <w:shd w:val="clear" w:color="auto" w:fill="FFFFFF"/>
          <w:lang w:val="en-US"/>
        </w:rPr>
        <w:t>[</w:t>
      </w:r>
      <w:r w:rsidR="00CB7F0B" w:rsidRPr="002D7F02">
        <w:rPr>
          <w:color w:val="212121"/>
          <w:shd w:val="clear" w:color="auto" w:fill="FFFFFF"/>
          <w:lang w:val="en-US"/>
        </w:rPr>
        <w:t>20</w:t>
      </w:r>
      <w:r w:rsidR="003F61BE" w:rsidRPr="002D7F02">
        <w:rPr>
          <w:color w:val="212121"/>
          <w:shd w:val="clear" w:color="auto" w:fill="FFFFFF"/>
          <w:lang w:val="en-US"/>
        </w:rPr>
        <w:t>]</w:t>
      </w:r>
      <w:r w:rsidR="00CB6A2A" w:rsidRPr="002D7F02">
        <w:rPr>
          <w:color w:val="212121"/>
          <w:shd w:val="clear" w:color="auto" w:fill="FFFFFF"/>
          <w:lang w:val="en-US"/>
        </w:rPr>
        <w:t>.</w:t>
      </w:r>
    </w:p>
    <w:p w:rsidR="00802F38" w:rsidRPr="002D7F02" w:rsidRDefault="00C80F13" w:rsidP="002D7F02">
      <w:pPr>
        <w:spacing w:line="480" w:lineRule="auto"/>
        <w:ind w:firstLine="708"/>
        <w:jc w:val="both"/>
        <w:rPr>
          <w:lang w:val="en-US"/>
        </w:rPr>
      </w:pPr>
      <w:r w:rsidRPr="002D7F02">
        <w:rPr>
          <w:color w:val="000000" w:themeColor="text1"/>
          <w:shd w:val="clear" w:color="auto" w:fill="FFFFFF"/>
          <w:lang w:val="en-US"/>
        </w:rPr>
        <w:t>Pleomorphic adenoma</w:t>
      </w:r>
      <w:r w:rsidR="0030168D" w:rsidRPr="002D7F02">
        <w:rPr>
          <w:color w:val="000000" w:themeColor="text1"/>
          <w:shd w:val="clear" w:color="auto" w:fill="FFFFFF"/>
          <w:lang w:val="en-US"/>
        </w:rPr>
        <w:t xml:space="preserve"> </w:t>
      </w:r>
      <w:r w:rsidRPr="002D7F02">
        <w:rPr>
          <w:color w:val="000000" w:themeColor="text1"/>
          <w:shd w:val="clear" w:color="auto" w:fill="FFFFFF"/>
          <w:lang w:val="en-US"/>
        </w:rPr>
        <w:t xml:space="preserve">is a </w:t>
      </w:r>
      <w:proofErr w:type="spellStart"/>
      <w:r w:rsidRPr="002D7F02">
        <w:rPr>
          <w:color w:val="000000" w:themeColor="text1"/>
          <w:shd w:val="clear" w:color="auto" w:fill="FFFFFF"/>
          <w:lang w:val="en-US"/>
        </w:rPr>
        <w:t>polyetiologic</w:t>
      </w:r>
      <w:r w:rsidR="00C468A5" w:rsidRPr="002D7F02">
        <w:rPr>
          <w:color w:val="000000" w:themeColor="text1"/>
          <w:shd w:val="clear" w:color="auto" w:fill="FFFFFF"/>
          <w:lang w:val="en-US"/>
        </w:rPr>
        <w:t>al</w:t>
      </w:r>
      <w:proofErr w:type="spellEnd"/>
      <w:r w:rsidR="00C468A5" w:rsidRPr="002D7F02">
        <w:rPr>
          <w:color w:val="000000" w:themeColor="text1"/>
          <w:shd w:val="clear" w:color="auto" w:fill="FFFFFF"/>
          <w:lang w:val="en-US"/>
        </w:rPr>
        <w:t xml:space="preserve"> tumor. Viruses play a certain role </w:t>
      </w:r>
      <w:r w:rsidRPr="002D7F02">
        <w:rPr>
          <w:color w:val="000000" w:themeColor="text1"/>
          <w:shd w:val="clear" w:color="auto" w:fill="FFFFFF"/>
          <w:lang w:val="en-US"/>
        </w:rPr>
        <w:t xml:space="preserve">in </w:t>
      </w:r>
      <w:r w:rsidR="00C468A5" w:rsidRPr="002D7F02">
        <w:rPr>
          <w:color w:val="000000" w:themeColor="text1"/>
          <w:shd w:val="clear" w:color="auto" w:fill="FFFFFF"/>
          <w:lang w:val="en-US"/>
        </w:rPr>
        <w:t>its</w:t>
      </w:r>
      <w:r w:rsidRPr="002D7F02">
        <w:rPr>
          <w:color w:val="000000" w:themeColor="text1"/>
          <w:shd w:val="clear" w:color="auto" w:fill="FFFFFF"/>
          <w:lang w:val="en-US"/>
        </w:rPr>
        <w:t xml:space="preserve"> development</w:t>
      </w:r>
      <w:r w:rsidR="00C468A5" w:rsidRPr="002D7F02">
        <w:rPr>
          <w:color w:val="000000" w:themeColor="text1"/>
          <w:shd w:val="clear" w:color="auto" w:fill="FFFFFF"/>
          <w:lang w:val="en-US"/>
        </w:rPr>
        <w:t>.</w:t>
      </w:r>
      <w:r w:rsidRPr="002D7F02">
        <w:rPr>
          <w:color w:val="000000" w:themeColor="text1"/>
          <w:shd w:val="clear" w:color="auto" w:fill="FFFFFF"/>
          <w:lang w:val="en-US"/>
        </w:rPr>
        <w:t xml:space="preserve"> </w:t>
      </w:r>
      <w:r w:rsidR="0030168D" w:rsidRPr="002D7F02">
        <w:rPr>
          <w:color w:val="000000" w:themeColor="text1"/>
          <w:shd w:val="clear" w:color="auto" w:fill="FFFFFF"/>
          <w:lang w:val="en-US"/>
        </w:rPr>
        <w:t xml:space="preserve">The </w:t>
      </w:r>
      <w:r w:rsidR="00181121" w:rsidRPr="002D7F02">
        <w:rPr>
          <w:color w:val="000000" w:themeColor="text1"/>
          <w:shd w:val="clear" w:color="auto" w:fill="FFFFFF"/>
          <w:lang w:val="en-US"/>
        </w:rPr>
        <w:t>etiological role</w:t>
      </w:r>
      <w:r w:rsidR="0030168D" w:rsidRPr="002D7F02">
        <w:rPr>
          <w:color w:val="000000" w:themeColor="text1"/>
          <w:shd w:val="clear" w:color="auto" w:fill="FFFFFF"/>
          <w:lang w:val="en-US"/>
        </w:rPr>
        <w:t xml:space="preserve"> of </w:t>
      </w:r>
      <w:r w:rsidR="00181121" w:rsidRPr="002D7F02">
        <w:rPr>
          <w:color w:val="000000" w:themeColor="text1"/>
          <w:shd w:val="clear" w:color="auto" w:fill="FFFFFF"/>
          <w:lang w:val="en-US"/>
        </w:rPr>
        <w:t>HPV</w:t>
      </w:r>
      <w:r w:rsidR="0030168D" w:rsidRPr="002D7F02">
        <w:rPr>
          <w:color w:val="000000" w:themeColor="text1"/>
          <w:shd w:val="clear" w:color="auto" w:fill="FFFFFF"/>
          <w:lang w:val="en-US"/>
        </w:rPr>
        <w:t xml:space="preserve"> type 16 in the genesis of this tumor development is a debatable issue</w:t>
      </w:r>
      <w:r w:rsidR="00CB7F0B" w:rsidRPr="002D7F02">
        <w:rPr>
          <w:color w:val="000000" w:themeColor="text1"/>
          <w:shd w:val="clear" w:color="auto" w:fill="FFFFFF"/>
          <w:lang w:val="en-US"/>
        </w:rPr>
        <w:t xml:space="preserve"> </w:t>
      </w:r>
      <w:r w:rsidR="003F61BE" w:rsidRPr="002D7F02">
        <w:rPr>
          <w:color w:val="000000" w:themeColor="text1"/>
          <w:shd w:val="clear" w:color="auto" w:fill="FFFFFF"/>
          <w:lang w:val="en-US"/>
        </w:rPr>
        <w:t>[</w:t>
      </w:r>
      <w:r w:rsidR="00CB7F0B" w:rsidRPr="002D7F02">
        <w:rPr>
          <w:color w:val="000000" w:themeColor="text1"/>
          <w:shd w:val="clear" w:color="auto" w:fill="FFFFFF"/>
          <w:lang w:val="en-US"/>
        </w:rPr>
        <w:t>21</w:t>
      </w:r>
      <w:r w:rsidR="003F61BE" w:rsidRPr="002D7F02">
        <w:rPr>
          <w:color w:val="000000" w:themeColor="text1"/>
          <w:shd w:val="clear" w:color="auto" w:fill="FFFFFF"/>
          <w:lang w:val="en-US"/>
        </w:rPr>
        <w:t>]</w:t>
      </w:r>
      <w:r w:rsidR="00DE513E" w:rsidRPr="002D7F02">
        <w:rPr>
          <w:color w:val="212121"/>
          <w:shd w:val="clear" w:color="auto" w:fill="FFFFFF"/>
          <w:lang w:val="en-US"/>
        </w:rPr>
        <w:t>.</w:t>
      </w:r>
      <w:r w:rsidR="00EF3863" w:rsidRPr="002D7F02">
        <w:rPr>
          <w:color w:val="212121"/>
          <w:shd w:val="clear" w:color="auto" w:fill="FFFFFF"/>
          <w:lang w:val="en-US"/>
        </w:rPr>
        <w:t xml:space="preserve"> </w:t>
      </w:r>
      <w:r w:rsidR="005D745C" w:rsidRPr="002D7F02">
        <w:rPr>
          <w:color w:val="000000" w:themeColor="text1"/>
          <w:shd w:val="clear" w:color="auto" w:fill="FFFFFF"/>
          <w:lang w:val="en-US"/>
        </w:rPr>
        <w:t xml:space="preserve">HPV type 16 is a </w:t>
      </w:r>
      <w:r w:rsidR="00802F38" w:rsidRPr="002D7F02">
        <w:rPr>
          <w:color w:val="000000" w:themeColor="text1"/>
          <w:shd w:val="clear" w:color="auto" w:fill="FFFFFF"/>
          <w:lang w:val="en-US"/>
        </w:rPr>
        <w:t>high-risk oncogenic virus</w:t>
      </w:r>
      <w:r w:rsidR="00045CF7" w:rsidRPr="002D7F02">
        <w:rPr>
          <w:color w:val="000000" w:themeColor="text1"/>
          <w:shd w:val="clear" w:color="auto" w:fill="FFFFFF"/>
          <w:lang w:val="en-US"/>
        </w:rPr>
        <w:t> </w:t>
      </w:r>
      <w:r w:rsidR="003F61BE" w:rsidRPr="002D7F02">
        <w:rPr>
          <w:color w:val="000000" w:themeColor="text1"/>
          <w:shd w:val="clear" w:color="auto" w:fill="FFFFFF"/>
          <w:lang w:val="en-US"/>
        </w:rPr>
        <w:t>[</w:t>
      </w:r>
      <w:r w:rsidR="00CB7F0B" w:rsidRPr="002D7F02">
        <w:rPr>
          <w:lang w:val="en-US"/>
        </w:rPr>
        <w:t>22, 23</w:t>
      </w:r>
      <w:r w:rsidR="003F61BE" w:rsidRPr="002D7F02">
        <w:rPr>
          <w:lang w:val="en-US"/>
        </w:rPr>
        <w:t>]</w:t>
      </w:r>
      <w:r w:rsidR="00802F38" w:rsidRPr="002D7F02">
        <w:rPr>
          <w:color w:val="212121"/>
          <w:shd w:val="clear" w:color="auto" w:fill="FFFFFF"/>
          <w:lang w:val="en-US"/>
        </w:rPr>
        <w:t>.</w:t>
      </w:r>
    </w:p>
    <w:p w:rsidR="00913729" w:rsidRPr="002D7F02" w:rsidRDefault="00454414" w:rsidP="002D7F02">
      <w:pPr>
        <w:spacing w:line="480" w:lineRule="auto"/>
        <w:ind w:firstLine="708"/>
        <w:jc w:val="both"/>
        <w:rPr>
          <w:color w:val="000000" w:themeColor="text1"/>
          <w:shd w:val="clear" w:color="auto" w:fill="FFFFFF"/>
          <w:lang w:val="en-US"/>
        </w:rPr>
      </w:pPr>
      <w:r w:rsidRPr="002D7F02">
        <w:rPr>
          <w:color w:val="000000"/>
          <w:lang w:val="en-US"/>
        </w:rPr>
        <w:lastRenderedPageBreak/>
        <w:t xml:space="preserve">A comprehensive </w:t>
      </w:r>
      <w:proofErr w:type="spellStart"/>
      <w:r w:rsidRPr="002D7F02">
        <w:rPr>
          <w:color w:val="000000"/>
          <w:lang w:val="en-US"/>
        </w:rPr>
        <w:t>immunohistochemical</w:t>
      </w:r>
      <w:proofErr w:type="spellEnd"/>
      <w:r w:rsidRPr="002D7F02">
        <w:rPr>
          <w:color w:val="000000"/>
          <w:lang w:val="en-US"/>
        </w:rPr>
        <w:t xml:space="preserve"> study with a MCA to </w:t>
      </w:r>
      <w:r w:rsidR="004327F0" w:rsidRPr="002D7F02">
        <w:rPr>
          <w:color w:val="000000"/>
          <w:lang w:val="en-US"/>
        </w:rPr>
        <w:t>HPV</w:t>
      </w:r>
      <w:r w:rsidRPr="002D7F02">
        <w:rPr>
          <w:color w:val="000000"/>
          <w:lang w:val="en-US"/>
        </w:rPr>
        <w:t xml:space="preserve"> type 16 </w:t>
      </w:r>
      <w:r w:rsidR="004327F0" w:rsidRPr="002D7F02">
        <w:rPr>
          <w:color w:val="212121"/>
          <w:shd w:val="clear" w:color="auto" w:fill="FFFFFF"/>
          <w:lang w:val="en-US"/>
        </w:rPr>
        <w:t>allowed us</w:t>
      </w:r>
      <w:r w:rsidR="004327F0" w:rsidRPr="002D7F02">
        <w:rPr>
          <w:color w:val="000000"/>
          <w:lang w:val="en-US"/>
        </w:rPr>
        <w:t xml:space="preserve"> to </w:t>
      </w:r>
      <w:r w:rsidRPr="002D7F02">
        <w:rPr>
          <w:color w:val="000000"/>
          <w:lang w:val="en-US"/>
        </w:rPr>
        <w:t xml:space="preserve">reveal a causal relationship between the infection of a patient with </w:t>
      </w:r>
      <w:r w:rsidR="00802F38" w:rsidRPr="002D7F02">
        <w:rPr>
          <w:color w:val="000000"/>
          <w:lang w:val="en-US"/>
        </w:rPr>
        <w:t>HPV</w:t>
      </w:r>
      <w:r w:rsidRPr="002D7F02">
        <w:rPr>
          <w:color w:val="000000"/>
          <w:lang w:val="en-US"/>
        </w:rPr>
        <w:t xml:space="preserve"> type 16 and development of pleomorphic adenoma of the salivary gland in him</w:t>
      </w:r>
      <w:r w:rsidR="00CB7F0B" w:rsidRPr="002D7F02">
        <w:rPr>
          <w:color w:val="000000"/>
          <w:lang w:val="en-US"/>
        </w:rPr>
        <w:t xml:space="preserve"> </w:t>
      </w:r>
      <w:r w:rsidR="003F61BE" w:rsidRPr="002D7F02">
        <w:rPr>
          <w:color w:val="000000"/>
          <w:lang w:val="en-US"/>
        </w:rPr>
        <w:t>[</w:t>
      </w:r>
      <w:r w:rsidR="00CB7F0B" w:rsidRPr="002D7F02">
        <w:rPr>
          <w:color w:val="000000"/>
          <w:lang w:val="en-US"/>
        </w:rPr>
        <w:t>12</w:t>
      </w:r>
      <w:r w:rsidR="003F61BE" w:rsidRPr="002D7F02">
        <w:rPr>
          <w:color w:val="000000"/>
          <w:lang w:val="en-US"/>
        </w:rPr>
        <w:t>]</w:t>
      </w:r>
      <w:r w:rsidR="008B3CD1" w:rsidRPr="002D7F02">
        <w:rPr>
          <w:color w:val="000000" w:themeColor="text1"/>
          <w:shd w:val="clear" w:color="auto" w:fill="FFFFFF"/>
          <w:lang w:val="en-US"/>
        </w:rPr>
        <w:t xml:space="preserve">. </w:t>
      </w:r>
      <w:r w:rsidR="00D86615" w:rsidRPr="002D7F02">
        <w:rPr>
          <w:color w:val="000000" w:themeColor="text1"/>
          <w:shd w:val="clear" w:color="auto" w:fill="FFFFFF"/>
          <w:lang w:val="en-US"/>
        </w:rPr>
        <w:t xml:space="preserve">The MCA </w:t>
      </w:r>
      <w:r w:rsidR="00D86615" w:rsidRPr="002D7F02">
        <w:rPr>
          <w:color w:val="000000"/>
          <w:lang w:val="en-US"/>
        </w:rPr>
        <w:t xml:space="preserve">to HPV type 16 </w:t>
      </w:r>
      <w:r w:rsidR="00D86615" w:rsidRPr="002D7F02">
        <w:rPr>
          <w:color w:val="000000" w:themeColor="text1"/>
          <w:shd w:val="clear" w:color="auto" w:fill="FFFFFF"/>
          <w:lang w:val="en-US"/>
        </w:rPr>
        <w:t xml:space="preserve">was expressed by the parenchyma and </w:t>
      </w:r>
      <w:proofErr w:type="spellStart"/>
      <w:r w:rsidR="00D86615" w:rsidRPr="002D7F02">
        <w:rPr>
          <w:color w:val="000000" w:themeColor="text1"/>
          <w:shd w:val="clear" w:color="auto" w:fill="FFFFFF"/>
          <w:lang w:val="en-US"/>
        </w:rPr>
        <w:t>stroma</w:t>
      </w:r>
      <w:proofErr w:type="spellEnd"/>
      <w:r w:rsidR="00D86615" w:rsidRPr="002D7F02">
        <w:rPr>
          <w:color w:val="000000" w:themeColor="text1"/>
          <w:shd w:val="clear" w:color="auto" w:fill="FFFFFF"/>
          <w:lang w:val="en-US"/>
        </w:rPr>
        <w:t xml:space="preserve"> cells of pleomorphic adenomas, consistent with the literature data</w:t>
      </w:r>
      <w:r w:rsidR="00CB7F0B" w:rsidRPr="002D7F02">
        <w:rPr>
          <w:color w:val="000000" w:themeColor="text1"/>
          <w:shd w:val="clear" w:color="auto" w:fill="FFFFFF"/>
          <w:lang w:val="en-US"/>
        </w:rPr>
        <w:t xml:space="preserve"> </w:t>
      </w:r>
      <w:r w:rsidR="003F61BE" w:rsidRPr="002D7F02">
        <w:rPr>
          <w:color w:val="000000" w:themeColor="text1"/>
          <w:shd w:val="clear" w:color="auto" w:fill="FFFFFF"/>
          <w:lang w:val="en-US"/>
        </w:rPr>
        <w:t>[</w:t>
      </w:r>
      <w:r w:rsidR="00CB7F0B" w:rsidRPr="002D7F02">
        <w:rPr>
          <w:color w:val="000000" w:themeColor="text1"/>
          <w:shd w:val="clear" w:color="auto" w:fill="FFFFFF"/>
          <w:lang w:val="en-US"/>
        </w:rPr>
        <w:t>20</w:t>
      </w:r>
      <w:r w:rsidR="003F61BE" w:rsidRPr="002D7F02">
        <w:rPr>
          <w:color w:val="000000" w:themeColor="text1"/>
          <w:shd w:val="clear" w:color="auto" w:fill="FFFFFF"/>
          <w:lang w:val="en-US"/>
        </w:rPr>
        <w:t>]</w:t>
      </w:r>
      <w:r w:rsidR="0057231C" w:rsidRPr="002D7F02">
        <w:rPr>
          <w:color w:val="000000" w:themeColor="text1"/>
          <w:shd w:val="clear" w:color="auto" w:fill="FFFFFF"/>
          <w:lang w:val="en-US"/>
        </w:rPr>
        <w:t xml:space="preserve">. </w:t>
      </w:r>
      <w:r w:rsidR="00C468A5" w:rsidRPr="002D7F02">
        <w:rPr>
          <w:color w:val="000000" w:themeColor="text1"/>
          <w:shd w:val="clear" w:color="auto" w:fill="FFFFFF"/>
          <w:lang w:val="en-US"/>
        </w:rPr>
        <w:t>C</w:t>
      </w:r>
      <w:r w:rsidR="004327F0" w:rsidRPr="002D7F02">
        <w:rPr>
          <w:color w:val="000000" w:themeColor="text1"/>
          <w:lang w:val="en-US"/>
        </w:rPr>
        <w:t>alculating the percentage of positively stained cells in various pleomorphic adenomas</w:t>
      </w:r>
      <w:r w:rsidR="0057231C" w:rsidRPr="002D7F02">
        <w:rPr>
          <w:color w:val="000000" w:themeColor="text1"/>
          <w:lang w:val="en-US"/>
        </w:rPr>
        <w:t xml:space="preserve"> </w:t>
      </w:r>
      <w:r w:rsidR="00775F7D" w:rsidRPr="002D7F02">
        <w:rPr>
          <w:color w:val="000000" w:themeColor="text1"/>
          <w:lang w:val="en-US"/>
        </w:rPr>
        <w:t>variants</w:t>
      </w:r>
      <w:r w:rsidR="004327F0" w:rsidRPr="002D7F02">
        <w:rPr>
          <w:color w:val="000000" w:themeColor="text1"/>
          <w:lang w:val="en-US"/>
        </w:rPr>
        <w:t xml:space="preserve">, we found that the maximum, moderate and minimum values, respectively, were in epithelial, mixed and </w:t>
      </w:r>
      <w:proofErr w:type="spellStart"/>
      <w:r w:rsidR="004327F0" w:rsidRPr="002D7F02">
        <w:rPr>
          <w:color w:val="000000" w:themeColor="text1"/>
          <w:lang w:val="en-US"/>
        </w:rPr>
        <w:t>mesenchymal</w:t>
      </w:r>
      <w:proofErr w:type="spellEnd"/>
      <w:r w:rsidR="004327F0" w:rsidRPr="002D7F02">
        <w:rPr>
          <w:color w:val="000000" w:themeColor="text1"/>
          <w:lang w:val="en-US"/>
        </w:rPr>
        <w:t xml:space="preserve"> </w:t>
      </w:r>
      <w:r w:rsidR="0057231C" w:rsidRPr="002D7F02">
        <w:rPr>
          <w:color w:val="000000" w:themeColor="text1"/>
          <w:lang w:val="en-US"/>
        </w:rPr>
        <w:t xml:space="preserve">tumor </w:t>
      </w:r>
      <w:r w:rsidR="004327F0" w:rsidRPr="002D7F02">
        <w:rPr>
          <w:color w:val="000000" w:themeColor="text1"/>
          <w:lang w:val="en-US"/>
        </w:rPr>
        <w:t>variants.</w:t>
      </w:r>
      <w:r w:rsidR="00554C97" w:rsidRPr="002D7F02">
        <w:rPr>
          <w:color w:val="000000" w:themeColor="text1"/>
          <w:lang w:val="en-US"/>
        </w:rPr>
        <w:t xml:space="preserve"> </w:t>
      </w:r>
      <w:r w:rsidR="00C468A5" w:rsidRPr="002D7F02">
        <w:rPr>
          <w:color w:val="000000" w:themeColor="text1"/>
          <w:shd w:val="clear" w:color="auto" w:fill="FFFFFF"/>
          <w:lang w:val="en-US"/>
        </w:rPr>
        <w:t>A</w:t>
      </w:r>
      <w:r w:rsidR="00913729" w:rsidRPr="002D7F02">
        <w:rPr>
          <w:color w:val="000000" w:themeColor="text1"/>
          <w:shd w:val="clear" w:color="auto" w:fill="FFFFFF"/>
          <w:lang w:val="en-US"/>
        </w:rPr>
        <w:t>naly</w:t>
      </w:r>
      <w:r w:rsidR="00C468A5" w:rsidRPr="002D7F02">
        <w:rPr>
          <w:color w:val="000000" w:themeColor="text1"/>
          <w:shd w:val="clear" w:color="auto" w:fill="FFFFFF"/>
          <w:lang w:val="en-US"/>
        </w:rPr>
        <w:t>z</w:t>
      </w:r>
      <w:r w:rsidR="00913729" w:rsidRPr="002D7F02">
        <w:rPr>
          <w:color w:val="000000" w:themeColor="text1"/>
          <w:shd w:val="clear" w:color="auto" w:fill="FFFFFF"/>
          <w:lang w:val="en-US"/>
        </w:rPr>
        <w:t>i</w:t>
      </w:r>
      <w:r w:rsidR="00C468A5" w:rsidRPr="002D7F02">
        <w:rPr>
          <w:color w:val="000000" w:themeColor="text1"/>
          <w:shd w:val="clear" w:color="auto" w:fill="FFFFFF"/>
          <w:lang w:val="en-US"/>
        </w:rPr>
        <w:t xml:space="preserve">ng </w:t>
      </w:r>
      <w:r w:rsidR="00913729" w:rsidRPr="002D7F02">
        <w:rPr>
          <w:color w:val="000000" w:themeColor="text1"/>
          <w:shd w:val="clear" w:color="auto" w:fill="FFFFFF"/>
          <w:lang w:val="en-US"/>
        </w:rPr>
        <w:t xml:space="preserve">the </w:t>
      </w:r>
      <w:r w:rsidR="00896612" w:rsidRPr="002D7F02">
        <w:rPr>
          <w:color w:val="000000" w:themeColor="text1"/>
          <w:shd w:val="clear" w:color="auto" w:fill="FFFFFF"/>
          <w:lang w:val="en-US"/>
        </w:rPr>
        <w:t xml:space="preserve">mean CI </w:t>
      </w:r>
      <w:r w:rsidR="00913729" w:rsidRPr="002D7F02">
        <w:rPr>
          <w:color w:val="000000" w:themeColor="text1"/>
          <w:shd w:val="clear" w:color="auto" w:fill="FFFFFF"/>
          <w:lang w:val="en-US"/>
        </w:rPr>
        <w:t>of positively stained cells</w:t>
      </w:r>
      <w:r w:rsidR="00C468A5" w:rsidRPr="002D7F02">
        <w:rPr>
          <w:color w:val="000000" w:themeColor="text1"/>
          <w:shd w:val="clear" w:color="auto" w:fill="FFFFFF"/>
          <w:lang w:val="en-US"/>
        </w:rPr>
        <w:t xml:space="preserve"> percentage,</w:t>
      </w:r>
      <w:r w:rsidR="00913729" w:rsidRPr="002D7F02">
        <w:rPr>
          <w:color w:val="000000" w:themeColor="text1"/>
          <w:shd w:val="clear" w:color="auto" w:fill="FFFFFF"/>
          <w:lang w:val="en-US"/>
        </w:rPr>
        <w:t xml:space="preserve"> </w:t>
      </w:r>
      <w:r w:rsidR="00C468A5" w:rsidRPr="002D7F02">
        <w:rPr>
          <w:color w:val="000000" w:themeColor="text1"/>
          <w:shd w:val="clear" w:color="auto" w:fill="FFFFFF"/>
          <w:lang w:val="en-US"/>
        </w:rPr>
        <w:t>we</w:t>
      </w:r>
      <w:r w:rsidR="00913729" w:rsidRPr="002D7F02">
        <w:rPr>
          <w:color w:val="000000" w:themeColor="text1"/>
          <w:shd w:val="clear" w:color="auto" w:fill="FFFFFF"/>
          <w:lang w:val="en-US"/>
        </w:rPr>
        <w:t xml:space="preserve"> </w:t>
      </w:r>
      <w:r w:rsidR="00896612" w:rsidRPr="002D7F02">
        <w:rPr>
          <w:color w:val="000000" w:themeColor="text1"/>
          <w:shd w:val="clear" w:color="auto" w:fill="FFFFFF"/>
          <w:lang w:val="en-US"/>
        </w:rPr>
        <w:t>identif</w:t>
      </w:r>
      <w:r w:rsidR="00C468A5" w:rsidRPr="002D7F02">
        <w:rPr>
          <w:color w:val="000000" w:themeColor="text1"/>
          <w:shd w:val="clear" w:color="auto" w:fill="FFFFFF"/>
          <w:lang w:val="en-US"/>
        </w:rPr>
        <w:t xml:space="preserve">ied </w:t>
      </w:r>
      <w:r w:rsidR="00B25C90" w:rsidRPr="002D7F02">
        <w:rPr>
          <w:color w:val="000000" w:themeColor="text1"/>
          <w:shd w:val="clear" w:color="auto" w:fill="FFFFFF"/>
          <w:lang w:val="en-US"/>
        </w:rPr>
        <w:t xml:space="preserve">the </w:t>
      </w:r>
      <w:r w:rsidR="00913729" w:rsidRPr="002D7F02">
        <w:rPr>
          <w:color w:val="000000" w:themeColor="text1"/>
          <w:shd w:val="clear" w:color="auto" w:fill="FFFFFF"/>
          <w:lang w:val="en-US"/>
        </w:rPr>
        <w:t xml:space="preserve">method </w:t>
      </w:r>
      <w:r w:rsidR="00B25C90" w:rsidRPr="002D7F02">
        <w:rPr>
          <w:color w:val="000000"/>
          <w:kern w:val="1"/>
          <w:lang w:val="en-US"/>
        </w:rPr>
        <w:t>for determining the histological variants of pleomorphic adenomas</w:t>
      </w:r>
      <w:r w:rsidR="00B25C90" w:rsidRPr="002D7F02">
        <w:rPr>
          <w:color w:val="000000" w:themeColor="text1"/>
          <w:shd w:val="clear" w:color="auto" w:fill="FFFFFF"/>
          <w:lang w:val="en-US"/>
        </w:rPr>
        <w:t xml:space="preserve"> </w:t>
      </w:r>
      <w:r w:rsidR="00B261FB" w:rsidRPr="002D7F02">
        <w:rPr>
          <w:color w:val="000000" w:themeColor="text1"/>
          <w:shd w:val="clear" w:color="auto" w:fill="FFFFFF"/>
          <w:lang w:val="en-US"/>
        </w:rPr>
        <w:t xml:space="preserve">while </w:t>
      </w:r>
      <w:r w:rsidR="00913729" w:rsidRPr="002D7F02">
        <w:rPr>
          <w:color w:val="000000" w:themeColor="text1"/>
          <w:shd w:val="clear" w:color="auto" w:fill="FFFFFF"/>
          <w:lang w:val="en-US"/>
        </w:rPr>
        <w:t>morphological</w:t>
      </w:r>
      <w:r w:rsidR="00B261FB" w:rsidRPr="002D7F02">
        <w:rPr>
          <w:color w:val="000000" w:themeColor="text1"/>
          <w:shd w:val="clear" w:color="auto" w:fill="FFFFFF"/>
          <w:lang w:val="en-US"/>
        </w:rPr>
        <w:t>ly</w:t>
      </w:r>
      <w:r w:rsidR="00913729" w:rsidRPr="002D7F02">
        <w:rPr>
          <w:color w:val="000000" w:themeColor="text1"/>
          <w:shd w:val="clear" w:color="auto" w:fill="FFFFFF"/>
          <w:lang w:val="en-US"/>
        </w:rPr>
        <w:t xml:space="preserve"> study</w:t>
      </w:r>
      <w:r w:rsidR="00B261FB" w:rsidRPr="002D7F02">
        <w:rPr>
          <w:color w:val="000000" w:themeColor="text1"/>
          <w:shd w:val="clear" w:color="auto" w:fill="FFFFFF"/>
          <w:lang w:val="en-US"/>
        </w:rPr>
        <w:t>ing</w:t>
      </w:r>
      <w:r w:rsidR="00913729" w:rsidRPr="002D7F02">
        <w:rPr>
          <w:color w:val="000000" w:themeColor="text1"/>
          <w:shd w:val="clear" w:color="auto" w:fill="FFFFFF"/>
          <w:lang w:val="en-US"/>
        </w:rPr>
        <w:t xml:space="preserve"> </w:t>
      </w:r>
      <w:r w:rsidR="00B261FB" w:rsidRPr="002D7F02">
        <w:rPr>
          <w:color w:val="000000" w:themeColor="text1"/>
          <w:shd w:val="clear" w:color="auto" w:fill="FFFFFF"/>
          <w:lang w:val="en-US"/>
        </w:rPr>
        <w:t>the</w:t>
      </w:r>
      <w:r w:rsidR="00913729" w:rsidRPr="002D7F02">
        <w:rPr>
          <w:color w:val="000000" w:themeColor="text1"/>
          <w:shd w:val="clear" w:color="auto" w:fill="FFFFFF"/>
          <w:lang w:val="en-US"/>
        </w:rPr>
        <w:t xml:space="preserve"> biopsy or surgical material.</w:t>
      </w:r>
    </w:p>
    <w:p w:rsidR="00605ECB" w:rsidRPr="002D7F02" w:rsidRDefault="00BF5326" w:rsidP="002D7F02">
      <w:pPr>
        <w:spacing w:line="480" w:lineRule="auto"/>
        <w:ind w:firstLine="708"/>
        <w:jc w:val="both"/>
        <w:rPr>
          <w:color w:val="000000" w:themeColor="text1"/>
          <w:lang w:val="en-US"/>
        </w:rPr>
      </w:pPr>
      <w:r w:rsidRPr="002D7F02">
        <w:rPr>
          <w:color w:val="000000" w:themeColor="text1"/>
          <w:shd w:val="clear" w:color="auto" w:fill="FFFFFF"/>
          <w:lang w:val="en-US"/>
        </w:rPr>
        <w:t>In our previous studies</w:t>
      </w:r>
      <w:r w:rsidR="00CB7F0B" w:rsidRPr="002D7F02">
        <w:rPr>
          <w:color w:val="000000" w:themeColor="text1"/>
          <w:shd w:val="clear" w:color="auto" w:fill="FFFFFF"/>
          <w:lang w:val="en-US"/>
        </w:rPr>
        <w:t xml:space="preserve"> </w:t>
      </w:r>
      <w:r w:rsidR="003F61BE" w:rsidRPr="002D7F02">
        <w:rPr>
          <w:color w:val="000000" w:themeColor="text1"/>
          <w:shd w:val="clear" w:color="auto" w:fill="FFFFFF"/>
          <w:lang w:val="en-US"/>
        </w:rPr>
        <w:t>[</w:t>
      </w:r>
      <w:r w:rsidR="00CB7F0B" w:rsidRPr="002D7F02">
        <w:rPr>
          <w:color w:val="000000" w:themeColor="text1"/>
          <w:shd w:val="clear" w:color="auto" w:fill="FFFFFF"/>
          <w:lang w:val="en-US"/>
        </w:rPr>
        <w:t>10</w:t>
      </w:r>
      <w:r w:rsidR="003F61BE" w:rsidRPr="002D7F02">
        <w:rPr>
          <w:color w:val="000000" w:themeColor="text1"/>
          <w:shd w:val="clear" w:color="auto" w:fill="FFFFFF"/>
          <w:lang w:val="en-US"/>
        </w:rPr>
        <w:t>]</w:t>
      </w:r>
      <w:r w:rsidR="00622A41" w:rsidRPr="002D7F02">
        <w:rPr>
          <w:color w:val="000000" w:themeColor="text1"/>
          <w:shd w:val="clear" w:color="auto" w:fill="FFFFFF"/>
          <w:lang w:val="en-US"/>
        </w:rPr>
        <w:t xml:space="preserve"> </w:t>
      </w:r>
      <w:r w:rsidRPr="002D7F02">
        <w:rPr>
          <w:color w:val="000000" w:themeColor="text1"/>
          <w:shd w:val="clear" w:color="auto" w:fill="FFFFFF"/>
          <w:lang w:val="en-US"/>
        </w:rPr>
        <w:t>and literature data</w:t>
      </w:r>
      <w:r w:rsidR="00CB7F0B" w:rsidRPr="002D7F02">
        <w:rPr>
          <w:color w:val="000000" w:themeColor="text1"/>
          <w:shd w:val="clear" w:color="auto" w:fill="FFFFFF"/>
          <w:lang w:val="en-US"/>
        </w:rPr>
        <w:t xml:space="preserve"> </w:t>
      </w:r>
      <w:r w:rsidR="003F61BE" w:rsidRPr="002D7F02">
        <w:rPr>
          <w:color w:val="000000" w:themeColor="text1"/>
          <w:shd w:val="clear" w:color="auto" w:fill="FFFFFF"/>
          <w:lang w:val="en-US"/>
        </w:rPr>
        <w:t>[</w:t>
      </w:r>
      <w:r w:rsidR="00CB7F0B" w:rsidRPr="002D7F02">
        <w:rPr>
          <w:color w:val="000000" w:themeColor="text1"/>
          <w:shd w:val="clear" w:color="auto" w:fill="FFFFFF"/>
          <w:lang w:val="en-US"/>
        </w:rPr>
        <w:t>1</w:t>
      </w:r>
      <w:r w:rsidR="003F61BE" w:rsidRPr="002D7F02">
        <w:rPr>
          <w:color w:val="000000" w:themeColor="text1"/>
          <w:shd w:val="clear" w:color="auto" w:fill="FFFFFF"/>
          <w:lang w:val="en-US"/>
        </w:rPr>
        <w:t>]</w:t>
      </w:r>
      <w:r w:rsidRPr="002D7F02">
        <w:rPr>
          <w:color w:val="000000" w:themeColor="text1"/>
          <w:shd w:val="clear" w:color="auto" w:fill="FFFFFF"/>
          <w:lang w:val="en-US"/>
        </w:rPr>
        <w:t xml:space="preserve">, </w:t>
      </w:r>
      <w:r w:rsidR="00045CF7" w:rsidRPr="002D7F02">
        <w:rPr>
          <w:color w:val="000000" w:themeColor="text1"/>
          <w:shd w:val="clear" w:color="auto" w:fill="FFFFFF"/>
          <w:lang w:val="en-US"/>
        </w:rPr>
        <w:t xml:space="preserve">it was </w:t>
      </w:r>
      <w:r w:rsidRPr="002D7F02">
        <w:rPr>
          <w:color w:val="000000" w:themeColor="text1"/>
          <w:shd w:val="clear" w:color="auto" w:fill="FFFFFF"/>
          <w:lang w:val="en-US"/>
        </w:rPr>
        <w:t xml:space="preserve">noted that pleomorphic adenomas were characterized by a </w:t>
      </w:r>
      <w:r w:rsidR="001A14B1" w:rsidRPr="002D7F02">
        <w:rPr>
          <w:color w:val="000000" w:themeColor="text1"/>
          <w:shd w:val="clear" w:color="auto" w:fill="FFFFFF"/>
          <w:lang w:val="en-US"/>
        </w:rPr>
        <w:t>morphological heterogeneity</w:t>
      </w:r>
      <w:r w:rsidRPr="002D7F02">
        <w:rPr>
          <w:color w:val="000000" w:themeColor="text1"/>
          <w:shd w:val="clear" w:color="auto" w:fill="FFFFFF"/>
          <w:lang w:val="en-US"/>
        </w:rPr>
        <w:t>, the presence of parenchymal</w:t>
      </w:r>
      <w:r w:rsidR="0064611D" w:rsidRPr="002D7F02">
        <w:rPr>
          <w:color w:val="000000" w:themeColor="text1"/>
          <w:shd w:val="clear" w:color="auto" w:fill="FFFFFF"/>
          <w:lang w:val="en-US"/>
        </w:rPr>
        <w:t xml:space="preserve"> (</w:t>
      </w:r>
      <w:r w:rsidR="0064611D" w:rsidRPr="002D7F02">
        <w:rPr>
          <w:lang w:val="en-US"/>
        </w:rPr>
        <w:t>epithelial</w:t>
      </w:r>
      <w:r w:rsidR="0064611D" w:rsidRPr="002D7F02">
        <w:rPr>
          <w:color w:val="000000" w:themeColor="text1"/>
          <w:shd w:val="clear" w:color="auto" w:fill="FFFFFF"/>
          <w:lang w:val="en-US"/>
        </w:rPr>
        <w:t>)</w:t>
      </w:r>
      <w:r w:rsidRPr="002D7F02">
        <w:rPr>
          <w:color w:val="000000" w:themeColor="text1"/>
          <w:shd w:val="clear" w:color="auto" w:fill="FFFFFF"/>
          <w:lang w:val="en-US"/>
        </w:rPr>
        <w:t xml:space="preserve"> and stromal </w:t>
      </w:r>
      <w:r w:rsidR="0064611D" w:rsidRPr="002D7F02">
        <w:rPr>
          <w:color w:val="000000" w:themeColor="text1"/>
          <w:shd w:val="clear" w:color="auto" w:fill="FFFFFF"/>
          <w:lang w:val="en-US"/>
        </w:rPr>
        <w:t>(</w:t>
      </w:r>
      <w:proofErr w:type="spellStart"/>
      <w:r w:rsidR="0064611D" w:rsidRPr="002D7F02">
        <w:rPr>
          <w:lang w:val="en-US"/>
        </w:rPr>
        <w:t>mesenchymal</w:t>
      </w:r>
      <w:proofErr w:type="spellEnd"/>
      <w:r w:rsidR="0064611D" w:rsidRPr="002D7F02">
        <w:rPr>
          <w:color w:val="000000" w:themeColor="text1"/>
          <w:shd w:val="clear" w:color="auto" w:fill="FFFFFF"/>
          <w:lang w:val="en-US"/>
        </w:rPr>
        <w:t xml:space="preserve">) </w:t>
      </w:r>
      <w:r w:rsidRPr="002D7F02">
        <w:rPr>
          <w:color w:val="000000" w:themeColor="text1"/>
          <w:shd w:val="clear" w:color="auto" w:fill="FFFFFF"/>
          <w:lang w:val="en-US"/>
        </w:rPr>
        <w:t xml:space="preserve">components. </w:t>
      </w:r>
      <w:r w:rsidR="0064611D" w:rsidRPr="002D7F02">
        <w:rPr>
          <w:color w:val="000000" w:themeColor="text1"/>
          <w:shd w:val="clear" w:color="auto" w:fill="FFFFFF"/>
          <w:lang w:val="en-US"/>
        </w:rPr>
        <w:t xml:space="preserve">Some scientists separate the </w:t>
      </w:r>
      <w:proofErr w:type="spellStart"/>
      <w:r w:rsidR="0064611D" w:rsidRPr="002D7F02">
        <w:rPr>
          <w:lang w:val="en-US"/>
        </w:rPr>
        <w:t>myoepithelial</w:t>
      </w:r>
      <w:proofErr w:type="spellEnd"/>
      <w:r w:rsidR="0064611D" w:rsidRPr="002D7F02">
        <w:rPr>
          <w:lang w:val="en-US"/>
        </w:rPr>
        <w:t xml:space="preserve"> cell component</w:t>
      </w:r>
      <w:r w:rsidR="00CB7F0B" w:rsidRPr="002D7F02">
        <w:rPr>
          <w:lang w:val="en-US"/>
        </w:rPr>
        <w:t xml:space="preserve"> </w:t>
      </w:r>
      <w:r w:rsidR="003F61BE" w:rsidRPr="002D7F02">
        <w:rPr>
          <w:lang w:val="en-US"/>
        </w:rPr>
        <w:t>[</w:t>
      </w:r>
      <w:r w:rsidR="00CB7F0B" w:rsidRPr="002D7F02">
        <w:rPr>
          <w:lang w:val="en-US"/>
        </w:rPr>
        <w:t>5</w:t>
      </w:r>
      <w:r w:rsidR="003F61BE" w:rsidRPr="002D7F02">
        <w:rPr>
          <w:lang w:val="en-US"/>
        </w:rPr>
        <w:t>]</w:t>
      </w:r>
      <w:r w:rsidR="000F3F5A" w:rsidRPr="002D7F02">
        <w:rPr>
          <w:color w:val="000000" w:themeColor="text1"/>
          <w:shd w:val="clear" w:color="auto" w:fill="FFFFFF"/>
          <w:lang w:val="en-US"/>
        </w:rPr>
        <w:t>.</w:t>
      </w:r>
      <w:r w:rsidR="0064611D" w:rsidRPr="002D7F02">
        <w:rPr>
          <w:lang w:val="en-US"/>
        </w:rPr>
        <w:t xml:space="preserve"> </w:t>
      </w:r>
      <w:r w:rsidRPr="002D7F02">
        <w:rPr>
          <w:color w:val="000000" w:themeColor="text1"/>
          <w:shd w:val="clear" w:color="auto" w:fill="FFFFFF"/>
          <w:lang w:val="en-US"/>
        </w:rPr>
        <w:t xml:space="preserve">The ratio of </w:t>
      </w:r>
      <w:r w:rsidR="0064611D" w:rsidRPr="002D7F02">
        <w:rPr>
          <w:color w:val="000000" w:themeColor="text1"/>
          <w:shd w:val="clear" w:color="auto" w:fill="FFFFFF"/>
          <w:lang w:val="en-US"/>
        </w:rPr>
        <w:t xml:space="preserve">parenchymal and stromal components </w:t>
      </w:r>
      <w:r w:rsidR="00622A41" w:rsidRPr="002D7F02">
        <w:rPr>
          <w:color w:val="000000" w:themeColor="text1"/>
          <w:shd w:val="clear" w:color="auto" w:fill="FFFFFF"/>
          <w:lang w:val="en-US"/>
        </w:rPr>
        <w:t xml:space="preserve">can be different, which </w:t>
      </w:r>
      <w:r w:rsidR="00A90300" w:rsidRPr="002D7F02">
        <w:rPr>
          <w:color w:val="000000" w:themeColor="text1"/>
          <w:shd w:val="clear" w:color="auto" w:fill="FFFFFF"/>
          <w:lang w:val="en-US"/>
        </w:rPr>
        <w:t>ma</w:t>
      </w:r>
      <w:r w:rsidR="004B7AFA" w:rsidRPr="002D7F02">
        <w:rPr>
          <w:color w:val="000000" w:themeColor="text1"/>
          <w:shd w:val="clear" w:color="auto" w:fill="FFFFFF"/>
          <w:lang w:val="en-US"/>
        </w:rPr>
        <w:t>d</w:t>
      </w:r>
      <w:r w:rsidR="00A90300" w:rsidRPr="002D7F02">
        <w:rPr>
          <w:color w:val="000000" w:themeColor="text1"/>
          <w:shd w:val="clear" w:color="auto" w:fill="FFFFFF"/>
          <w:lang w:val="en-US"/>
        </w:rPr>
        <w:t>e</w:t>
      </w:r>
      <w:r w:rsidRPr="002D7F02">
        <w:rPr>
          <w:color w:val="000000" w:themeColor="text1"/>
          <w:shd w:val="clear" w:color="auto" w:fill="FFFFFF"/>
          <w:lang w:val="en-US"/>
        </w:rPr>
        <w:t xml:space="preserve"> it possible</w:t>
      </w:r>
      <w:r w:rsidR="0064611D" w:rsidRPr="002D7F02">
        <w:rPr>
          <w:color w:val="000000" w:themeColor="text1"/>
          <w:shd w:val="clear" w:color="auto" w:fill="FFFFFF"/>
          <w:lang w:val="en-US"/>
        </w:rPr>
        <w:t xml:space="preserve"> for</w:t>
      </w:r>
      <w:r w:rsidRPr="002D7F02">
        <w:rPr>
          <w:color w:val="000000" w:themeColor="text1"/>
          <w:shd w:val="clear" w:color="auto" w:fill="FFFFFF"/>
          <w:lang w:val="en-US"/>
        </w:rPr>
        <w:t xml:space="preserve"> </w:t>
      </w:r>
      <w:r w:rsidR="0064611D" w:rsidRPr="002D7F02">
        <w:rPr>
          <w:color w:val="000000" w:themeColor="text1"/>
          <w:shd w:val="clear" w:color="auto" w:fill="FFFFFF"/>
          <w:lang w:val="en-US"/>
        </w:rPr>
        <w:t>us</w:t>
      </w:r>
      <w:r w:rsidR="005A290C" w:rsidRPr="002D7F02">
        <w:rPr>
          <w:color w:val="000000" w:themeColor="text1"/>
          <w:shd w:val="clear" w:color="auto" w:fill="FFFFFF"/>
          <w:lang w:val="en-US"/>
        </w:rPr>
        <w:t xml:space="preserve"> </w:t>
      </w:r>
      <w:r w:rsidRPr="002D7F02">
        <w:rPr>
          <w:color w:val="000000" w:themeColor="text1"/>
          <w:shd w:val="clear" w:color="auto" w:fill="FFFFFF"/>
          <w:lang w:val="en-US"/>
        </w:rPr>
        <w:t xml:space="preserve">to distinguish </w:t>
      </w:r>
      <w:proofErr w:type="spellStart"/>
      <w:r w:rsidRPr="002D7F02">
        <w:rPr>
          <w:color w:val="000000" w:themeColor="text1"/>
          <w:shd w:val="clear" w:color="auto" w:fill="FFFFFF"/>
          <w:lang w:val="en-US"/>
        </w:rPr>
        <w:t>mesenchymal</w:t>
      </w:r>
      <w:proofErr w:type="spellEnd"/>
      <w:r w:rsidRPr="002D7F02">
        <w:rPr>
          <w:color w:val="000000" w:themeColor="text1"/>
          <w:shd w:val="clear" w:color="auto" w:fill="FFFFFF"/>
          <w:lang w:val="en-US"/>
        </w:rPr>
        <w:t>, epithelial and mixed variants of this tumor</w:t>
      </w:r>
      <w:r w:rsidR="00B261FB" w:rsidRPr="002D7F02">
        <w:rPr>
          <w:lang w:val="en-US"/>
        </w:rPr>
        <w:t xml:space="preserve"> </w:t>
      </w:r>
      <w:r w:rsidR="00B261FB" w:rsidRPr="002D7F02">
        <w:rPr>
          <w:color w:val="000000" w:themeColor="text1"/>
          <w:shd w:val="clear" w:color="auto" w:fill="FFFFFF"/>
          <w:lang w:val="en-US"/>
        </w:rPr>
        <w:t>during morphometric study</w:t>
      </w:r>
      <w:r w:rsidRPr="002D7F02">
        <w:rPr>
          <w:color w:val="000000" w:themeColor="text1"/>
          <w:shd w:val="clear" w:color="auto" w:fill="FFFFFF"/>
          <w:lang w:val="en-US"/>
        </w:rPr>
        <w:t>.</w:t>
      </w:r>
      <w:r w:rsidR="005B08A3" w:rsidRPr="002D7F02">
        <w:rPr>
          <w:color w:val="000000" w:themeColor="text1"/>
          <w:shd w:val="clear" w:color="auto" w:fill="FFFFFF"/>
          <w:lang w:val="en-US"/>
        </w:rPr>
        <w:t xml:space="preserve"> It was noted that </w:t>
      </w:r>
      <w:r w:rsidR="005B08A3" w:rsidRPr="002D7F02">
        <w:rPr>
          <w:color w:val="000000" w:themeColor="text1"/>
          <w:lang w:val="en-US"/>
        </w:rPr>
        <w:t>the maximum, moderate and minimum values of the s</w:t>
      </w:r>
      <w:r w:rsidR="005B08A3" w:rsidRPr="002D7F02">
        <w:rPr>
          <w:lang w:val="en-US"/>
        </w:rPr>
        <w:t>pecific volume of parenchyma</w:t>
      </w:r>
      <w:r w:rsidR="005B08A3" w:rsidRPr="002D7F02">
        <w:rPr>
          <w:color w:val="000000" w:themeColor="text1"/>
          <w:lang w:val="en-US"/>
        </w:rPr>
        <w:t xml:space="preserve"> were in epithelial, mixed and </w:t>
      </w:r>
      <w:proofErr w:type="spellStart"/>
      <w:r w:rsidR="005B08A3" w:rsidRPr="002D7F02">
        <w:rPr>
          <w:color w:val="000000" w:themeColor="text1"/>
          <w:lang w:val="en-US"/>
        </w:rPr>
        <w:t>mesenchymal</w:t>
      </w:r>
      <w:proofErr w:type="spellEnd"/>
      <w:r w:rsidR="005B08A3" w:rsidRPr="002D7F02">
        <w:rPr>
          <w:color w:val="000000" w:themeColor="text1"/>
          <w:lang w:val="en-US"/>
        </w:rPr>
        <w:t xml:space="preserve"> tumor variants. The maximum, moderate and minimum values of the s</w:t>
      </w:r>
      <w:r w:rsidR="005B08A3" w:rsidRPr="002D7F02">
        <w:rPr>
          <w:lang w:val="en-US"/>
        </w:rPr>
        <w:t xml:space="preserve">pecific volume of </w:t>
      </w:r>
      <w:proofErr w:type="spellStart"/>
      <w:r w:rsidR="005B08A3" w:rsidRPr="002D7F02">
        <w:rPr>
          <w:lang w:val="en-US"/>
        </w:rPr>
        <w:t>stroma</w:t>
      </w:r>
      <w:proofErr w:type="spellEnd"/>
      <w:r w:rsidR="005B08A3" w:rsidRPr="002D7F02">
        <w:rPr>
          <w:color w:val="000000" w:themeColor="text1"/>
          <w:lang w:val="en-US"/>
        </w:rPr>
        <w:t xml:space="preserve"> were in </w:t>
      </w:r>
      <w:proofErr w:type="spellStart"/>
      <w:r w:rsidR="005B08A3" w:rsidRPr="002D7F02">
        <w:rPr>
          <w:color w:val="000000" w:themeColor="text1"/>
          <w:lang w:val="en-US"/>
        </w:rPr>
        <w:t>mesenchymal</w:t>
      </w:r>
      <w:proofErr w:type="spellEnd"/>
      <w:r w:rsidR="005B08A3" w:rsidRPr="002D7F02">
        <w:rPr>
          <w:color w:val="000000" w:themeColor="text1"/>
          <w:lang w:val="en-US"/>
        </w:rPr>
        <w:t>, mixed and epithelial tumor variants.</w:t>
      </w:r>
    </w:p>
    <w:p w:rsidR="004E5397" w:rsidRPr="002D7F02" w:rsidRDefault="00C646B6" w:rsidP="002D7F02">
      <w:pPr>
        <w:spacing w:line="480" w:lineRule="auto"/>
        <w:ind w:firstLine="708"/>
        <w:jc w:val="both"/>
        <w:rPr>
          <w:color w:val="000000" w:themeColor="text1"/>
          <w:shd w:val="clear" w:color="auto" w:fill="FFFFFF"/>
          <w:lang w:val="en-US"/>
        </w:rPr>
      </w:pPr>
      <w:r w:rsidRPr="002D7F02">
        <w:rPr>
          <w:color w:val="000000" w:themeColor="text1"/>
          <w:lang w:val="en-US"/>
        </w:rPr>
        <w:t>V</w:t>
      </w:r>
      <w:r w:rsidR="005C4D29" w:rsidRPr="002D7F02">
        <w:rPr>
          <w:color w:val="000000" w:themeColor="text1"/>
          <w:lang w:val="en-US"/>
        </w:rPr>
        <w:t xml:space="preserve">ascularization has rarely been studied in </w:t>
      </w:r>
      <w:r w:rsidRPr="002D7F02">
        <w:rPr>
          <w:color w:val="000000" w:themeColor="text1"/>
          <w:lang w:val="en-US"/>
        </w:rPr>
        <w:t>pleomorphic adenomas. Some scientists have noted that pleomorphic adenoma is a poorly vascularized tumor</w:t>
      </w:r>
      <w:r w:rsidR="00D27956" w:rsidRPr="002D7F02">
        <w:rPr>
          <w:color w:val="000000" w:themeColor="text1"/>
          <w:lang w:val="en-US"/>
        </w:rPr>
        <w:t> </w:t>
      </w:r>
      <w:r w:rsidR="003F61BE" w:rsidRPr="002D7F02">
        <w:rPr>
          <w:color w:val="000000" w:themeColor="text1"/>
          <w:lang w:val="en-US"/>
        </w:rPr>
        <w:t>[</w:t>
      </w:r>
      <w:r w:rsidR="00CB7F0B" w:rsidRPr="002D7F02">
        <w:rPr>
          <w:color w:val="000000" w:themeColor="text1"/>
          <w:lang w:val="en-US"/>
        </w:rPr>
        <w:t>24</w:t>
      </w:r>
      <w:r w:rsidR="003F61BE" w:rsidRPr="002D7F02">
        <w:rPr>
          <w:color w:val="000000" w:themeColor="text1"/>
          <w:lang w:val="en-US"/>
        </w:rPr>
        <w:t>]</w:t>
      </w:r>
      <w:r w:rsidR="004E5397" w:rsidRPr="002D7F02">
        <w:rPr>
          <w:color w:val="000000" w:themeColor="text1"/>
          <w:shd w:val="clear" w:color="auto" w:fill="FFFFFF"/>
          <w:lang w:val="en-US"/>
        </w:rPr>
        <w:t>.</w:t>
      </w:r>
    </w:p>
    <w:p w:rsidR="0090318C" w:rsidRPr="002D7F02" w:rsidRDefault="0090318C" w:rsidP="002D7F02">
      <w:pPr>
        <w:spacing w:line="480" w:lineRule="auto"/>
        <w:ind w:firstLine="708"/>
        <w:jc w:val="both"/>
        <w:rPr>
          <w:color w:val="000000" w:themeColor="text1"/>
          <w:shd w:val="clear" w:color="auto" w:fill="FFFFFF"/>
          <w:lang w:val="en-US"/>
        </w:rPr>
      </w:pPr>
      <w:proofErr w:type="spellStart"/>
      <w:r w:rsidRPr="002D7F02">
        <w:rPr>
          <w:color w:val="000000" w:themeColor="text1"/>
          <w:shd w:val="clear" w:color="auto" w:fill="FFFFFF"/>
          <w:lang w:val="en-US"/>
        </w:rPr>
        <w:t>Swelam</w:t>
      </w:r>
      <w:proofErr w:type="spellEnd"/>
      <w:r w:rsidR="00471FC1" w:rsidRPr="002D7F02">
        <w:rPr>
          <w:color w:val="000000" w:themeColor="text1"/>
          <w:shd w:val="clear" w:color="auto" w:fill="FFFFFF"/>
          <w:lang w:val="en-US"/>
        </w:rPr>
        <w:t> </w:t>
      </w:r>
      <w:r w:rsidRPr="002D7F02">
        <w:rPr>
          <w:color w:val="000000" w:themeColor="text1"/>
          <w:shd w:val="clear" w:color="auto" w:fill="FFFFFF"/>
          <w:lang w:val="en-US"/>
        </w:rPr>
        <w:t xml:space="preserve">W. </w:t>
      </w:r>
      <w:r w:rsidR="00081FCD" w:rsidRPr="002D7F02">
        <w:rPr>
          <w:color w:val="000000" w:themeColor="text1"/>
          <w:shd w:val="clear" w:color="auto" w:fill="FFFFFF"/>
          <w:lang w:val="en-US"/>
        </w:rPr>
        <w:t>et al.</w:t>
      </w:r>
      <w:r w:rsidRPr="002D7F02">
        <w:rPr>
          <w:color w:val="000000" w:themeColor="text1"/>
          <w:shd w:val="clear" w:color="auto" w:fill="FFFFFF"/>
          <w:lang w:val="en-US"/>
        </w:rPr>
        <w:t xml:space="preserve"> </w:t>
      </w:r>
      <w:r w:rsidRPr="002D7F02">
        <w:rPr>
          <w:color w:val="000000" w:themeColor="text1"/>
          <w:lang w:val="en-US"/>
        </w:rPr>
        <w:t xml:space="preserve">suggest that pleomorphic adenoma cells produce </w:t>
      </w:r>
      <w:r w:rsidR="008F5A1B" w:rsidRPr="002D7F02">
        <w:rPr>
          <w:lang w:val="en-US"/>
        </w:rPr>
        <w:t>vascular endothelial growth factor</w:t>
      </w:r>
      <w:r w:rsidR="008F5A1B" w:rsidRPr="002D7F02">
        <w:rPr>
          <w:color w:val="000000" w:themeColor="text1"/>
          <w:lang w:val="en-US"/>
        </w:rPr>
        <w:t xml:space="preserve"> (</w:t>
      </w:r>
      <w:r w:rsidRPr="002D7F02">
        <w:rPr>
          <w:color w:val="000000" w:themeColor="text1"/>
          <w:lang w:val="en-US"/>
        </w:rPr>
        <w:t>VEGF</w:t>
      </w:r>
      <w:r w:rsidR="008F5A1B" w:rsidRPr="002D7F02">
        <w:rPr>
          <w:color w:val="000000" w:themeColor="text1"/>
          <w:lang w:val="en-US"/>
        </w:rPr>
        <w:t>)</w:t>
      </w:r>
      <w:r w:rsidRPr="002D7F02">
        <w:rPr>
          <w:color w:val="000000" w:themeColor="text1"/>
          <w:lang w:val="en-US"/>
        </w:rPr>
        <w:t xml:space="preserve"> in several functional forms for their own proliferation or differentiation, and that the VEGF expression is controlled by hypoxic circumstances of poorly vascularized pleomorphic adenomas</w:t>
      </w:r>
      <w:r w:rsidR="00CB7F0B" w:rsidRPr="002D7F02">
        <w:rPr>
          <w:color w:val="000000" w:themeColor="text1"/>
          <w:lang w:val="en-US"/>
        </w:rPr>
        <w:t xml:space="preserve"> </w:t>
      </w:r>
      <w:r w:rsidR="003F61BE" w:rsidRPr="002D7F02">
        <w:rPr>
          <w:color w:val="000000" w:themeColor="text1"/>
          <w:lang w:val="en-US"/>
        </w:rPr>
        <w:t>[</w:t>
      </w:r>
      <w:r w:rsidR="00CB7F0B" w:rsidRPr="002D7F02">
        <w:rPr>
          <w:color w:val="000000" w:themeColor="text1"/>
          <w:lang w:val="en-US"/>
        </w:rPr>
        <w:t>25</w:t>
      </w:r>
      <w:r w:rsidR="003F61BE" w:rsidRPr="002D7F02">
        <w:rPr>
          <w:color w:val="000000" w:themeColor="text1"/>
          <w:lang w:val="en-US"/>
        </w:rPr>
        <w:t>]</w:t>
      </w:r>
      <w:r w:rsidR="008F5A1B" w:rsidRPr="002D7F02">
        <w:rPr>
          <w:color w:val="000000" w:themeColor="text1"/>
          <w:shd w:val="clear" w:color="auto" w:fill="FFFFFF"/>
          <w:lang w:val="en-US"/>
        </w:rPr>
        <w:t>.</w:t>
      </w:r>
    </w:p>
    <w:p w:rsidR="004E5397" w:rsidRPr="002D7F02" w:rsidRDefault="004E5397" w:rsidP="002D7F02">
      <w:pPr>
        <w:spacing w:line="480" w:lineRule="auto"/>
        <w:ind w:firstLine="708"/>
        <w:jc w:val="both"/>
        <w:rPr>
          <w:lang w:val="en-US"/>
        </w:rPr>
      </w:pPr>
      <w:r w:rsidRPr="002D7F02">
        <w:rPr>
          <w:color w:val="000000" w:themeColor="text1"/>
          <w:lang w:val="en-US"/>
        </w:rPr>
        <w:lastRenderedPageBreak/>
        <w:t>There is no information in the literature about the vascularization features in different histological variants of pleomorphic adenomas.</w:t>
      </w:r>
      <w:r w:rsidR="00C21034" w:rsidRPr="002D7F02">
        <w:rPr>
          <w:color w:val="000000" w:themeColor="text1"/>
          <w:lang w:val="en-US"/>
        </w:rPr>
        <w:t xml:space="preserve"> </w:t>
      </w:r>
      <w:r w:rsidR="00AF7DF4" w:rsidRPr="002D7F02">
        <w:rPr>
          <w:color w:val="000000" w:themeColor="text1"/>
          <w:lang w:val="en-US"/>
        </w:rPr>
        <w:t xml:space="preserve">In our study, we noted </w:t>
      </w:r>
      <w:r w:rsidR="00C21034" w:rsidRPr="002D7F02">
        <w:rPr>
          <w:color w:val="000000" w:themeColor="text1"/>
          <w:lang w:val="en-US"/>
        </w:rPr>
        <w:t xml:space="preserve">that </w:t>
      </w:r>
      <w:r w:rsidR="00C21034" w:rsidRPr="002D7F02">
        <w:rPr>
          <w:lang w:val="en-US"/>
        </w:rPr>
        <w:t xml:space="preserve">the </w:t>
      </w:r>
      <w:proofErr w:type="spellStart"/>
      <w:r w:rsidR="00C21034" w:rsidRPr="002D7F02">
        <w:rPr>
          <w:lang w:val="en-US"/>
        </w:rPr>
        <w:t>mesenchymal</w:t>
      </w:r>
      <w:proofErr w:type="spellEnd"/>
      <w:r w:rsidR="00C21034" w:rsidRPr="002D7F02">
        <w:rPr>
          <w:lang w:val="en-US"/>
        </w:rPr>
        <w:t xml:space="preserve"> and mixed variants were characterized by a large </w:t>
      </w:r>
      <w:r w:rsidR="00AF7DF4" w:rsidRPr="002D7F02">
        <w:rPr>
          <w:lang w:val="en-US"/>
        </w:rPr>
        <w:t xml:space="preserve">number </w:t>
      </w:r>
      <w:r w:rsidR="00C21034" w:rsidRPr="002D7F02">
        <w:rPr>
          <w:lang w:val="en-US"/>
        </w:rPr>
        <w:t>of vessels compared to the epithelial variant.</w:t>
      </w:r>
    </w:p>
    <w:p w:rsidR="00C21034" w:rsidRPr="002D7F02" w:rsidRDefault="00D44512" w:rsidP="002D7F02">
      <w:pPr>
        <w:spacing w:line="480" w:lineRule="auto"/>
        <w:ind w:firstLine="708"/>
        <w:jc w:val="both"/>
        <w:rPr>
          <w:lang w:val="en-US"/>
        </w:rPr>
      </w:pPr>
      <w:r w:rsidRPr="002D7F02">
        <w:rPr>
          <w:lang w:val="en-US"/>
        </w:rPr>
        <w:t>Angiogenesis a</w:t>
      </w:r>
      <w:r w:rsidR="00C21034" w:rsidRPr="002D7F02">
        <w:rPr>
          <w:lang w:val="en-US"/>
        </w:rPr>
        <w:t xml:space="preserve">ctivation was </w:t>
      </w:r>
      <w:r w:rsidR="00AF7DF4" w:rsidRPr="002D7F02">
        <w:rPr>
          <w:lang w:val="en-US"/>
        </w:rPr>
        <w:t xml:space="preserve">found </w:t>
      </w:r>
      <w:r w:rsidR="00C21034" w:rsidRPr="002D7F02">
        <w:rPr>
          <w:lang w:val="en-US"/>
        </w:rPr>
        <w:t xml:space="preserve">in </w:t>
      </w:r>
      <w:r w:rsidR="008F5153" w:rsidRPr="002D7F02">
        <w:rPr>
          <w:color w:val="000000" w:themeColor="text1"/>
          <w:shd w:val="clear" w:color="auto" w:fill="FFFFFF"/>
          <w:lang w:val="en-US"/>
        </w:rPr>
        <w:t xml:space="preserve">carcinoma ex </w:t>
      </w:r>
      <w:r w:rsidR="00C21034" w:rsidRPr="002D7F02">
        <w:rPr>
          <w:color w:val="000000" w:themeColor="text1"/>
          <w:shd w:val="clear" w:color="auto" w:fill="FFFFFF"/>
          <w:lang w:val="en-US"/>
        </w:rPr>
        <w:t>pleomorphic adenoma</w:t>
      </w:r>
      <w:r w:rsidR="00C21034" w:rsidRPr="002D7F02">
        <w:rPr>
          <w:lang w:val="en-US"/>
        </w:rPr>
        <w:t xml:space="preserve"> compared to pleomorphic adenoma.</w:t>
      </w:r>
      <w:r w:rsidR="0090318C" w:rsidRPr="002D7F02">
        <w:rPr>
          <w:lang w:val="en-US"/>
        </w:rPr>
        <w:t xml:space="preserve"> This process is necessary for </w:t>
      </w:r>
      <w:r w:rsidR="0090318C" w:rsidRPr="002D7F02">
        <w:rPr>
          <w:color w:val="000000" w:themeColor="text1"/>
          <w:lang w:val="en-US"/>
        </w:rPr>
        <w:t>tumor growth, invasion and metastasis</w:t>
      </w:r>
      <w:r w:rsidR="00CB7F0B" w:rsidRPr="002D7F02">
        <w:rPr>
          <w:color w:val="000000" w:themeColor="text1"/>
          <w:lang w:val="en-US"/>
        </w:rPr>
        <w:t xml:space="preserve"> </w:t>
      </w:r>
      <w:r w:rsidR="003F61BE" w:rsidRPr="002D7F02">
        <w:rPr>
          <w:color w:val="000000" w:themeColor="text1"/>
          <w:lang w:val="en-US"/>
        </w:rPr>
        <w:t>[</w:t>
      </w:r>
      <w:r w:rsidR="00CB7F0B" w:rsidRPr="002D7F02">
        <w:rPr>
          <w:color w:val="000000" w:themeColor="text1"/>
          <w:lang w:val="en-US"/>
        </w:rPr>
        <w:t>6, 24</w:t>
      </w:r>
      <w:r w:rsidR="00D27956" w:rsidRPr="002D7F02">
        <w:rPr>
          <w:color w:val="000000" w:themeColor="text1"/>
          <w:lang w:val="en-US"/>
        </w:rPr>
        <w:t xml:space="preserve">, </w:t>
      </w:r>
      <w:proofErr w:type="gramStart"/>
      <w:r w:rsidR="00D27956" w:rsidRPr="002D7F02">
        <w:rPr>
          <w:color w:val="000000" w:themeColor="text1"/>
          <w:lang w:val="en-US"/>
        </w:rPr>
        <w:t>25</w:t>
      </w:r>
      <w:proofErr w:type="gramEnd"/>
      <w:r w:rsidR="003F61BE" w:rsidRPr="002D7F02">
        <w:rPr>
          <w:color w:val="000000" w:themeColor="text1"/>
          <w:lang w:val="en-US"/>
        </w:rPr>
        <w:t>]</w:t>
      </w:r>
      <w:r w:rsidR="008F5A1B" w:rsidRPr="002D7F02">
        <w:rPr>
          <w:color w:val="000000" w:themeColor="text1"/>
          <w:shd w:val="clear" w:color="auto" w:fill="FFFFFF"/>
          <w:lang w:val="en-US"/>
        </w:rPr>
        <w:t>.</w:t>
      </w:r>
    </w:p>
    <w:p w:rsidR="00CE4596" w:rsidRPr="002D7F02" w:rsidRDefault="002B1756" w:rsidP="002D7F02">
      <w:pPr>
        <w:spacing w:line="480" w:lineRule="auto"/>
        <w:ind w:firstLine="708"/>
        <w:jc w:val="both"/>
        <w:rPr>
          <w:color w:val="000000" w:themeColor="text1"/>
          <w:lang w:val="en-US"/>
        </w:rPr>
      </w:pPr>
      <w:r w:rsidRPr="002D7F02">
        <w:rPr>
          <w:color w:val="000000" w:themeColor="text1"/>
          <w:lang w:val="en-US"/>
        </w:rPr>
        <w:t xml:space="preserve">The modern genetic direction in the </w:t>
      </w:r>
      <w:r w:rsidR="00D44512" w:rsidRPr="002D7F02">
        <w:rPr>
          <w:color w:val="000000" w:themeColor="text1"/>
          <w:lang w:val="en-US"/>
        </w:rPr>
        <w:t xml:space="preserve">tumors </w:t>
      </w:r>
      <w:r w:rsidRPr="002D7F02">
        <w:rPr>
          <w:color w:val="000000" w:themeColor="text1"/>
          <w:lang w:val="en-US"/>
        </w:rPr>
        <w:t xml:space="preserve">diagnosis is the study of </w:t>
      </w:r>
      <w:r w:rsidR="0024239F" w:rsidRPr="002D7F02">
        <w:rPr>
          <w:lang w:val="en-US"/>
        </w:rPr>
        <w:t>microRNA</w:t>
      </w:r>
      <w:r w:rsidRPr="002D7F02">
        <w:rPr>
          <w:color w:val="000000" w:themeColor="text1"/>
          <w:lang w:val="en-US"/>
        </w:rPr>
        <w:t>s</w:t>
      </w:r>
      <w:r w:rsidR="00AA4F27" w:rsidRPr="002D7F02">
        <w:rPr>
          <w:color w:val="000000" w:themeColor="text1"/>
          <w:lang w:val="en-US"/>
        </w:rPr>
        <w:t xml:space="preserve"> role</w:t>
      </w:r>
      <w:r w:rsidRPr="002D7F02">
        <w:rPr>
          <w:color w:val="000000" w:themeColor="text1"/>
          <w:lang w:val="en-US"/>
        </w:rPr>
        <w:t>.</w:t>
      </w:r>
      <w:r w:rsidR="000803AD" w:rsidRPr="002D7F02">
        <w:rPr>
          <w:color w:val="000000" w:themeColor="text1"/>
          <w:lang w:val="en-US"/>
        </w:rPr>
        <w:t xml:space="preserve"> </w:t>
      </w:r>
      <w:r w:rsidR="00CE4596" w:rsidRPr="002D7F02">
        <w:rPr>
          <w:lang w:val="en-US"/>
        </w:rPr>
        <w:t>MicroRNAs are a group of endogenous 21-25 nucleotide noncoding RNAs which target gene coding in the posttranscriptional level. They are involved in vari</w:t>
      </w:r>
      <w:r w:rsidR="00AA4F27" w:rsidRPr="002D7F02">
        <w:rPr>
          <w:lang w:val="en-US"/>
        </w:rPr>
        <w:t xml:space="preserve">ous </w:t>
      </w:r>
      <w:r w:rsidR="00CE4596" w:rsidRPr="002D7F02">
        <w:rPr>
          <w:lang w:val="en-US"/>
        </w:rPr>
        <w:t>important biological processes such as development, differentiation, proliferation and apoptosis</w:t>
      </w:r>
      <w:r w:rsidR="00CB7F0B" w:rsidRPr="002D7F02">
        <w:rPr>
          <w:lang w:val="en-US"/>
        </w:rPr>
        <w:t xml:space="preserve"> </w:t>
      </w:r>
      <w:r w:rsidR="003F61BE" w:rsidRPr="002D7F02">
        <w:rPr>
          <w:lang w:val="en-US"/>
        </w:rPr>
        <w:t>[</w:t>
      </w:r>
      <w:r w:rsidR="00D27956" w:rsidRPr="002D7F02">
        <w:rPr>
          <w:lang w:val="en-US"/>
        </w:rPr>
        <w:t>26</w:t>
      </w:r>
      <w:r w:rsidR="003F61BE" w:rsidRPr="002D7F02">
        <w:rPr>
          <w:lang w:val="en-US"/>
        </w:rPr>
        <w:t>]</w:t>
      </w:r>
      <w:r w:rsidR="00AB4A34" w:rsidRPr="002D7F02">
        <w:rPr>
          <w:color w:val="212121"/>
          <w:shd w:val="clear" w:color="auto" w:fill="FFFFFF"/>
          <w:lang w:val="en-US"/>
        </w:rPr>
        <w:t>.</w:t>
      </w:r>
      <w:r w:rsidR="00AB4A34" w:rsidRPr="002D7F02">
        <w:rPr>
          <w:lang w:val="en-US"/>
        </w:rPr>
        <w:t xml:space="preserve"> MicroRNA</w:t>
      </w:r>
      <w:r w:rsidR="00AB4A34" w:rsidRPr="002D7F02">
        <w:rPr>
          <w:color w:val="000000" w:themeColor="text1"/>
          <w:lang w:val="en-US"/>
        </w:rPr>
        <w:t>s appear to be new promising biomarkers for tumor diagnosis and prognosis</w:t>
      </w:r>
      <w:r w:rsidR="00D27956" w:rsidRPr="002D7F02">
        <w:rPr>
          <w:color w:val="000000" w:themeColor="text1"/>
          <w:lang w:val="en-US"/>
        </w:rPr>
        <w:t xml:space="preserve"> </w:t>
      </w:r>
      <w:r w:rsidR="003F61BE" w:rsidRPr="002D7F02">
        <w:rPr>
          <w:color w:val="000000" w:themeColor="text1"/>
          <w:lang w:val="en-US"/>
        </w:rPr>
        <w:t>[</w:t>
      </w:r>
      <w:r w:rsidR="00D27956" w:rsidRPr="002D7F02">
        <w:rPr>
          <w:color w:val="000000" w:themeColor="text1"/>
          <w:lang w:val="en-US"/>
        </w:rPr>
        <w:t>27</w:t>
      </w:r>
      <w:r w:rsidR="003F61BE" w:rsidRPr="002D7F02">
        <w:rPr>
          <w:color w:val="000000" w:themeColor="text1"/>
          <w:lang w:val="en-US"/>
        </w:rPr>
        <w:t>]</w:t>
      </w:r>
      <w:r w:rsidR="00AB4A34" w:rsidRPr="002D7F02">
        <w:rPr>
          <w:color w:val="303030"/>
          <w:shd w:val="clear" w:color="auto" w:fill="FFFFFF"/>
          <w:lang w:val="en-US"/>
        </w:rPr>
        <w:t>.</w:t>
      </w:r>
      <w:r w:rsidR="0081267D" w:rsidRPr="002D7F02">
        <w:rPr>
          <w:color w:val="303030"/>
          <w:shd w:val="clear" w:color="auto" w:fill="FFFFFF"/>
          <w:lang w:val="en-US"/>
        </w:rPr>
        <w:t xml:space="preserve"> </w:t>
      </w:r>
      <w:r w:rsidR="0081267D" w:rsidRPr="002D7F02">
        <w:rPr>
          <w:color w:val="000000" w:themeColor="text1"/>
          <w:lang w:val="en-US"/>
        </w:rPr>
        <w:t>Among all microRNAs, molecules responsible for apoptosis controlling (</w:t>
      </w:r>
      <w:proofErr w:type="spellStart"/>
      <w:r w:rsidR="0081267D" w:rsidRPr="002D7F02">
        <w:rPr>
          <w:color w:val="000000" w:themeColor="text1"/>
          <w:lang w:val="en-US"/>
        </w:rPr>
        <w:t>proapoptotic</w:t>
      </w:r>
      <w:proofErr w:type="spellEnd"/>
      <w:r w:rsidR="0081267D" w:rsidRPr="002D7F02">
        <w:rPr>
          <w:color w:val="000000" w:themeColor="text1"/>
          <w:lang w:val="en-US"/>
        </w:rPr>
        <w:t>) (microRNA-29a, microRNA-34a) are of considerable interest.</w:t>
      </w:r>
    </w:p>
    <w:p w:rsidR="00BA30CB" w:rsidRPr="002D7F02" w:rsidRDefault="0034696B" w:rsidP="002D7F02">
      <w:pPr>
        <w:spacing w:line="480" w:lineRule="auto"/>
        <w:ind w:firstLine="708"/>
        <w:jc w:val="both"/>
        <w:rPr>
          <w:color w:val="000000" w:themeColor="text1"/>
          <w:lang w:val="en-US"/>
        </w:rPr>
      </w:pPr>
      <w:r w:rsidRPr="002D7F02">
        <w:rPr>
          <w:color w:val="000000" w:themeColor="text1"/>
          <w:lang w:val="en-US"/>
        </w:rPr>
        <w:t>In our study, we determined the expression level of microRNA-34a, microRNA-29a in various histological variants of pleomorphic adenomas.</w:t>
      </w:r>
      <w:r w:rsidR="00C178B3" w:rsidRPr="002D7F02">
        <w:rPr>
          <w:color w:val="000000" w:themeColor="text1"/>
          <w:lang w:val="en-US"/>
        </w:rPr>
        <w:t xml:space="preserve"> </w:t>
      </w:r>
      <w:r w:rsidR="00BA30CB" w:rsidRPr="002D7F02">
        <w:rPr>
          <w:color w:val="000000" w:themeColor="text1"/>
          <w:lang w:val="en-US"/>
        </w:rPr>
        <w:t xml:space="preserve">In all tumor variants, the expression of these microRNAs was increased compared to the physiological norm. </w:t>
      </w:r>
      <w:r w:rsidR="00AA4F27" w:rsidRPr="002D7F02">
        <w:rPr>
          <w:color w:val="000000" w:themeColor="text1"/>
          <w:lang w:val="en-US"/>
        </w:rPr>
        <w:t>We obtained t</w:t>
      </w:r>
      <w:r w:rsidR="00BA30CB" w:rsidRPr="002D7F02">
        <w:rPr>
          <w:color w:val="000000" w:themeColor="text1"/>
          <w:lang w:val="en-US"/>
        </w:rPr>
        <w:t xml:space="preserve">he </w:t>
      </w:r>
      <w:r w:rsidR="00C178B3" w:rsidRPr="002D7F02">
        <w:rPr>
          <w:color w:val="000000" w:themeColor="text1"/>
          <w:lang w:val="en-US"/>
        </w:rPr>
        <w:t>physiological norm of</w:t>
      </w:r>
      <w:r w:rsidR="00BA30CB" w:rsidRPr="002D7F02">
        <w:rPr>
          <w:color w:val="000000" w:themeColor="text1"/>
          <w:lang w:val="en-US"/>
        </w:rPr>
        <w:t xml:space="preserve"> </w:t>
      </w:r>
      <w:r w:rsidR="00C178B3" w:rsidRPr="002D7F02">
        <w:rPr>
          <w:color w:val="000000" w:themeColor="text1"/>
          <w:lang w:val="en-US"/>
        </w:rPr>
        <w:t xml:space="preserve">microRNA-34a, microRNA-29a </w:t>
      </w:r>
      <w:r w:rsidR="00BA30CB" w:rsidRPr="002D7F02">
        <w:rPr>
          <w:color w:val="000000" w:themeColor="text1"/>
          <w:lang w:val="en-US"/>
        </w:rPr>
        <w:t xml:space="preserve">expression </w:t>
      </w:r>
      <w:r w:rsidR="00C178B3" w:rsidRPr="002D7F02">
        <w:rPr>
          <w:color w:val="000000" w:themeColor="text1"/>
          <w:lang w:val="en-US"/>
        </w:rPr>
        <w:t xml:space="preserve">level </w:t>
      </w:r>
      <w:r w:rsidR="00BA30CB" w:rsidRPr="002D7F02">
        <w:rPr>
          <w:color w:val="000000" w:themeColor="text1"/>
          <w:lang w:val="en-US"/>
        </w:rPr>
        <w:t>earlie</w:t>
      </w:r>
      <w:r w:rsidR="00C178B3" w:rsidRPr="002D7F02">
        <w:rPr>
          <w:color w:val="000000" w:themeColor="text1"/>
          <w:lang w:val="en-US"/>
        </w:rPr>
        <w:t>r</w:t>
      </w:r>
      <w:r w:rsidR="00AA4F27" w:rsidRPr="002D7F02">
        <w:rPr>
          <w:color w:val="000000" w:themeColor="text1"/>
          <w:lang w:val="en-US"/>
        </w:rPr>
        <w:t xml:space="preserve"> </w:t>
      </w:r>
      <w:r w:rsidR="00C178B3" w:rsidRPr="002D7F02">
        <w:rPr>
          <w:color w:val="000000" w:themeColor="text1"/>
          <w:lang w:val="en-US"/>
        </w:rPr>
        <w:t xml:space="preserve">and </w:t>
      </w:r>
      <w:r w:rsidR="00AA4F27" w:rsidRPr="002D7F02">
        <w:rPr>
          <w:color w:val="000000" w:themeColor="text1"/>
          <w:lang w:val="en-US"/>
        </w:rPr>
        <w:t>it amounted</w:t>
      </w:r>
      <w:r w:rsidR="00C178B3" w:rsidRPr="002D7F02">
        <w:rPr>
          <w:color w:val="000000" w:themeColor="text1"/>
          <w:lang w:val="en-US"/>
        </w:rPr>
        <w:t xml:space="preserve"> </w:t>
      </w:r>
      <w:r w:rsidR="00AA4F27" w:rsidRPr="002D7F02">
        <w:rPr>
          <w:color w:val="000000" w:themeColor="text1"/>
          <w:lang w:val="en-US"/>
        </w:rPr>
        <w:t xml:space="preserve">to </w:t>
      </w:r>
      <w:r w:rsidR="00C178B3" w:rsidRPr="002D7F02">
        <w:rPr>
          <w:color w:val="000000" w:themeColor="text1"/>
          <w:lang w:val="en-US"/>
        </w:rPr>
        <w:t>47.72±28.83 and 8.12±4.40</w:t>
      </w:r>
      <w:r w:rsidR="00AA4F27" w:rsidRPr="002D7F02">
        <w:rPr>
          <w:color w:val="000000" w:themeColor="text1"/>
          <w:lang w:val="en-US"/>
        </w:rPr>
        <w:t>, respectively</w:t>
      </w:r>
      <w:r w:rsidR="00D27956" w:rsidRPr="002D7F02">
        <w:rPr>
          <w:color w:val="000000" w:themeColor="text1"/>
          <w:lang w:val="en-US"/>
        </w:rPr>
        <w:t xml:space="preserve"> </w:t>
      </w:r>
      <w:r w:rsidR="003F61BE" w:rsidRPr="002D7F02">
        <w:rPr>
          <w:color w:val="000000" w:themeColor="text1"/>
          <w:lang w:val="en-US"/>
        </w:rPr>
        <w:t>[</w:t>
      </w:r>
      <w:r w:rsidR="00D27956" w:rsidRPr="002D7F02">
        <w:rPr>
          <w:color w:val="000000" w:themeColor="text1"/>
          <w:lang w:val="en-US"/>
        </w:rPr>
        <w:t>11</w:t>
      </w:r>
      <w:r w:rsidR="003F61BE" w:rsidRPr="002D7F02">
        <w:rPr>
          <w:color w:val="000000" w:themeColor="text1"/>
          <w:lang w:val="en-US"/>
        </w:rPr>
        <w:t>]</w:t>
      </w:r>
      <w:r w:rsidR="00C178B3" w:rsidRPr="002D7F02">
        <w:rPr>
          <w:color w:val="000000" w:themeColor="text1"/>
          <w:lang w:val="en-US"/>
        </w:rPr>
        <w:t>.</w:t>
      </w:r>
    </w:p>
    <w:p w:rsidR="00762672" w:rsidRPr="002D7F02" w:rsidRDefault="00AA4F27" w:rsidP="002D7F02">
      <w:pPr>
        <w:spacing w:line="480" w:lineRule="auto"/>
        <w:ind w:firstLine="708"/>
        <w:jc w:val="both"/>
        <w:rPr>
          <w:color w:val="000000" w:themeColor="text1"/>
          <w:lang w:val="en-US"/>
        </w:rPr>
      </w:pPr>
      <w:r w:rsidRPr="002D7F02">
        <w:rPr>
          <w:color w:val="000000" w:themeColor="text1"/>
          <w:shd w:val="clear" w:color="auto" w:fill="FFFFFF"/>
          <w:lang w:val="en-US"/>
        </w:rPr>
        <w:t>A</w:t>
      </w:r>
      <w:r w:rsidR="00762672" w:rsidRPr="002D7F02">
        <w:rPr>
          <w:color w:val="000000" w:themeColor="text1"/>
          <w:lang w:val="en-US"/>
        </w:rPr>
        <w:t>nalyzing the expression level of microRNA-34a, we found that the maxim</w:t>
      </w:r>
      <w:r w:rsidRPr="002D7F02">
        <w:rPr>
          <w:color w:val="000000" w:themeColor="text1"/>
          <w:lang w:val="en-US"/>
        </w:rPr>
        <w:t>um, moderate and minimum values</w:t>
      </w:r>
      <w:r w:rsidR="00762672" w:rsidRPr="002D7F02">
        <w:rPr>
          <w:color w:val="000000" w:themeColor="text1"/>
          <w:lang w:val="en-US"/>
        </w:rPr>
        <w:t xml:space="preserve"> were in epithelial, </w:t>
      </w:r>
      <w:proofErr w:type="spellStart"/>
      <w:r w:rsidR="00762672" w:rsidRPr="002D7F02">
        <w:rPr>
          <w:color w:val="000000" w:themeColor="text1"/>
          <w:lang w:val="en-US"/>
        </w:rPr>
        <w:t>mesenchymal</w:t>
      </w:r>
      <w:proofErr w:type="spellEnd"/>
      <w:r w:rsidR="00762672" w:rsidRPr="002D7F02">
        <w:rPr>
          <w:color w:val="000000" w:themeColor="text1"/>
          <w:lang w:val="en-US"/>
        </w:rPr>
        <w:t xml:space="preserve"> and mixed tumor variants</w:t>
      </w:r>
      <w:r w:rsidRPr="002D7F02">
        <w:rPr>
          <w:color w:val="000000" w:themeColor="text1"/>
          <w:lang w:val="en-US"/>
        </w:rPr>
        <w:t>, respectively.</w:t>
      </w:r>
      <w:r w:rsidR="00762672" w:rsidRPr="002D7F02">
        <w:rPr>
          <w:color w:val="000000" w:themeColor="text1"/>
          <w:lang w:val="en-US"/>
        </w:rPr>
        <w:t xml:space="preserve"> The maximum, moderate and minimum values of the expression level of microRNA-29a were in </w:t>
      </w:r>
      <w:proofErr w:type="spellStart"/>
      <w:r w:rsidR="00762672" w:rsidRPr="002D7F02">
        <w:rPr>
          <w:color w:val="000000" w:themeColor="text1"/>
          <w:lang w:val="en-US"/>
        </w:rPr>
        <w:t>mesenchymal</w:t>
      </w:r>
      <w:proofErr w:type="spellEnd"/>
      <w:r w:rsidR="00762672" w:rsidRPr="002D7F02">
        <w:rPr>
          <w:color w:val="000000" w:themeColor="text1"/>
          <w:lang w:val="en-US"/>
        </w:rPr>
        <w:t>, epithelial and mixed tumor variants.</w:t>
      </w:r>
    </w:p>
    <w:p w:rsidR="00DC72C3" w:rsidRPr="002D7F02" w:rsidRDefault="00DC72C3" w:rsidP="002D7F02">
      <w:pPr>
        <w:spacing w:line="480" w:lineRule="auto"/>
        <w:ind w:firstLine="708"/>
        <w:jc w:val="both"/>
        <w:rPr>
          <w:color w:val="000000" w:themeColor="text1"/>
          <w:lang w:val="en-US"/>
        </w:rPr>
      </w:pPr>
      <w:r w:rsidRPr="002D7F02">
        <w:rPr>
          <w:color w:val="000000" w:themeColor="text1"/>
          <w:lang w:val="en-US"/>
        </w:rPr>
        <w:t>The statistical analysis of the above 5 indicators</w:t>
      </w:r>
      <w:r w:rsidR="008246AD" w:rsidRPr="002D7F02">
        <w:rPr>
          <w:color w:val="000000" w:themeColor="text1"/>
          <w:lang w:val="en-US"/>
        </w:rPr>
        <w:t xml:space="preserve"> </w:t>
      </w:r>
      <w:r w:rsidR="008246AD" w:rsidRPr="002D7F02">
        <w:rPr>
          <w:lang w:val="en-US"/>
        </w:rPr>
        <w:t xml:space="preserve">("specific volume of parenchyma", "specific volume of </w:t>
      </w:r>
      <w:proofErr w:type="spellStart"/>
      <w:r w:rsidR="008246AD" w:rsidRPr="002D7F02">
        <w:rPr>
          <w:lang w:val="en-US"/>
        </w:rPr>
        <w:t>stroma</w:t>
      </w:r>
      <w:proofErr w:type="spellEnd"/>
      <w:r w:rsidR="008246AD" w:rsidRPr="002D7F02">
        <w:rPr>
          <w:lang w:val="en-US"/>
        </w:rPr>
        <w:t xml:space="preserve">", "number of vessels", "expression level of microRNA-34a", </w:t>
      </w:r>
      <w:r w:rsidR="008246AD" w:rsidRPr="002D7F02">
        <w:rPr>
          <w:lang w:val="en-US"/>
        </w:rPr>
        <w:lastRenderedPageBreak/>
        <w:t>"expression level of microRNA-29a")</w:t>
      </w:r>
      <w:r w:rsidRPr="002D7F02">
        <w:rPr>
          <w:color w:val="000000" w:themeColor="text1"/>
          <w:lang w:val="en-US"/>
        </w:rPr>
        <w:t xml:space="preserve"> allowed us to identify </w:t>
      </w:r>
      <w:r w:rsidR="00AA4F27" w:rsidRPr="002D7F02">
        <w:rPr>
          <w:color w:val="000000" w:themeColor="text1"/>
          <w:lang w:val="en-US"/>
        </w:rPr>
        <w:t>two</w:t>
      </w:r>
      <w:r w:rsidRPr="002D7F02">
        <w:rPr>
          <w:color w:val="000000" w:themeColor="text1"/>
          <w:lang w:val="en-US"/>
        </w:rPr>
        <w:t xml:space="preserve"> indicators</w:t>
      </w:r>
      <w:r w:rsidR="006C6357" w:rsidRPr="002D7F02">
        <w:rPr>
          <w:color w:val="000000" w:themeColor="text1"/>
          <w:lang w:val="en-US"/>
        </w:rPr>
        <w:t xml:space="preserve"> (</w:t>
      </w:r>
      <w:r w:rsidR="006C6357" w:rsidRPr="002D7F02">
        <w:rPr>
          <w:lang w:val="en-US"/>
        </w:rPr>
        <w:t>"number of vessels", "specific volume of parenchyma")</w:t>
      </w:r>
      <w:r w:rsidR="00D468F9" w:rsidRPr="002D7F02">
        <w:rPr>
          <w:color w:val="000000" w:themeColor="text1"/>
          <w:lang w:val="en-US"/>
        </w:rPr>
        <w:t xml:space="preserve"> which </w:t>
      </w:r>
      <w:r w:rsidRPr="002D7F02">
        <w:rPr>
          <w:color w:val="000000" w:themeColor="text1"/>
          <w:lang w:val="en-US"/>
        </w:rPr>
        <w:t xml:space="preserve">were </w:t>
      </w:r>
      <w:r w:rsidR="00D468F9" w:rsidRPr="002D7F02">
        <w:rPr>
          <w:color w:val="000000" w:themeColor="text1"/>
          <w:lang w:val="en-US"/>
        </w:rPr>
        <w:t xml:space="preserve">used </w:t>
      </w:r>
      <w:r w:rsidR="00AA4F27" w:rsidRPr="002D7F02">
        <w:rPr>
          <w:color w:val="000000" w:themeColor="text1"/>
          <w:lang w:val="en-US"/>
        </w:rPr>
        <w:t xml:space="preserve">in </w:t>
      </w:r>
      <w:r w:rsidRPr="002D7F02">
        <w:rPr>
          <w:color w:val="000000" w:themeColor="text1"/>
          <w:lang w:val="en-US"/>
        </w:rPr>
        <w:t>determin</w:t>
      </w:r>
      <w:r w:rsidR="00AA4F27" w:rsidRPr="002D7F02">
        <w:rPr>
          <w:color w:val="000000" w:themeColor="text1"/>
          <w:lang w:val="en-US"/>
        </w:rPr>
        <w:t xml:space="preserve">ing </w:t>
      </w:r>
      <w:r w:rsidRPr="002D7F02">
        <w:rPr>
          <w:color w:val="000000" w:themeColor="text1"/>
          <w:lang w:val="en-US"/>
        </w:rPr>
        <w:t>the discriminant functions (formulas).</w:t>
      </w:r>
      <w:r w:rsidR="00D468F9" w:rsidRPr="002D7F02">
        <w:rPr>
          <w:color w:val="000000" w:themeColor="text1"/>
          <w:lang w:val="en-US"/>
        </w:rPr>
        <w:t xml:space="preserve"> These formula</w:t>
      </w:r>
      <w:r w:rsidR="00AA4F27" w:rsidRPr="002D7F02">
        <w:rPr>
          <w:color w:val="000000" w:themeColor="text1"/>
          <w:lang w:val="en-US"/>
        </w:rPr>
        <w:t>e</w:t>
      </w:r>
      <w:r w:rsidR="00D468F9" w:rsidRPr="002D7F02">
        <w:rPr>
          <w:color w:val="000000" w:themeColor="text1"/>
          <w:lang w:val="en-US"/>
        </w:rPr>
        <w:t xml:space="preserve"> </w:t>
      </w:r>
      <w:r w:rsidR="00DA771C" w:rsidRPr="002D7F02">
        <w:rPr>
          <w:color w:val="000000" w:themeColor="text1"/>
          <w:lang w:val="en-US"/>
        </w:rPr>
        <w:t>help</w:t>
      </w:r>
      <w:r w:rsidR="00D468F9" w:rsidRPr="002D7F02">
        <w:rPr>
          <w:color w:val="000000" w:themeColor="text1"/>
          <w:lang w:val="en-US"/>
        </w:rPr>
        <w:t xml:space="preserve"> us to </w:t>
      </w:r>
      <w:r w:rsidR="00B96F54" w:rsidRPr="002D7F02">
        <w:rPr>
          <w:color w:val="000000" w:themeColor="text1"/>
          <w:lang w:val="en-US"/>
        </w:rPr>
        <w:t>identify</w:t>
      </w:r>
      <w:r w:rsidR="00D468F9" w:rsidRPr="002D7F02">
        <w:rPr>
          <w:color w:val="000000" w:themeColor="text1"/>
          <w:lang w:val="en-US"/>
        </w:rPr>
        <w:t xml:space="preserve"> the histological variants of pleomorphic adenomas.</w:t>
      </w:r>
    </w:p>
    <w:p w:rsidR="007D5BE9" w:rsidRDefault="00467A28" w:rsidP="002D7F02">
      <w:pPr>
        <w:spacing w:line="480" w:lineRule="auto"/>
        <w:ind w:firstLine="708"/>
        <w:jc w:val="both"/>
        <w:rPr>
          <w:color w:val="000000"/>
          <w:lang w:val="en-US"/>
        </w:rPr>
      </w:pPr>
      <w:proofErr w:type="gramStart"/>
      <w:r w:rsidRPr="002D7F02">
        <w:rPr>
          <w:b/>
          <w:color w:val="000000"/>
          <w:lang w:val="en-US"/>
        </w:rPr>
        <w:t>Conclusions</w:t>
      </w:r>
      <w:r w:rsidR="00165F58" w:rsidRPr="002D7F02">
        <w:rPr>
          <w:b/>
          <w:color w:val="000000"/>
          <w:lang w:val="en-US"/>
        </w:rPr>
        <w:t>.</w:t>
      </w:r>
      <w:proofErr w:type="gramEnd"/>
      <w:r w:rsidR="00165F58" w:rsidRPr="002D7F02">
        <w:rPr>
          <w:b/>
          <w:color w:val="000000"/>
          <w:lang w:val="en-US"/>
        </w:rPr>
        <w:t xml:space="preserve"> </w:t>
      </w:r>
      <w:r w:rsidRPr="002D7F02">
        <w:rPr>
          <w:color w:val="000000"/>
          <w:lang w:val="en-US"/>
        </w:rPr>
        <w:t>I</w:t>
      </w:r>
      <w:r w:rsidR="00EC748F" w:rsidRPr="002D7F02">
        <w:rPr>
          <w:color w:val="000000"/>
          <w:lang w:val="en-US"/>
        </w:rPr>
        <w:t xml:space="preserve">n consequence of </w:t>
      </w:r>
      <w:r w:rsidR="00AA4F27" w:rsidRPr="002D7F02">
        <w:rPr>
          <w:color w:val="000000"/>
          <w:lang w:val="en-US"/>
        </w:rPr>
        <w:t>a</w:t>
      </w:r>
      <w:r w:rsidR="00B96F54" w:rsidRPr="002D7F02">
        <w:rPr>
          <w:color w:val="000000"/>
          <w:lang w:val="en-US"/>
        </w:rPr>
        <w:t xml:space="preserve"> comprehensive study</w:t>
      </w:r>
      <w:r w:rsidR="00AA4F27" w:rsidRPr="002D7F02">
        <w:rPr>
          <w:color w:val="000000"/>
          <w:lang w:val="en-US"/>
        </w:rPr>
        <w:t xml:space="preserve">, </w:t>
      </w:r>
      <w:r w:rsidR="00B96F54" w:rsidRPr="002D7F02">
        <w:rPr>
          <w:color w:val="000000"/>
          <w:lang w:val="en-US"/>
        </w:rPr>
        <w:t>the authors</w:t>
      </w:r>
      <w:r w:rsidR="00AA4F27" w:rsidRPr="002D7F02">
        <w:rPr>
          <w:color w:val="000000"/>
          <w:lang w:val="en-US"/>
        </w:rPr>
        <w:t xml:space="preserve"> </w:t>
      </w:r>
      <w:r w:rsidR="00B96F54" w:rsidRPr="002D7F02">
        <w:rPr>
          <w:color w:val="000000"/>
          <w:lang w:val="en-US"/>
        </w:rPr>
        <w:t>identif</w:t>
      </w:r>
      <w:r w:rsidR="00AA4F27" w:rsidRPr="002D7F02">
        <w:rPr>
          <w:color w:val="000000"/>
          <w:lang w:val="en-US"/>
        </w:rPr>
        <w:t xml:space="preserve">ied </w:t>
      </w:r>
      <w:r w:rsidR="00B96F54" w:rsidRPr="002D7F02">
        <w:rPr>
          <w:color w:val="000000"/>
          <w:lang w:val="en-US"/>
        </w:rPr>
        <w:t xml:space="preserve">several methods for determining the histological variants of pleomorphic adenomas. These methods will improve the morphological diagnosis of pleomorphic adenomas variants </w:t>
      </w:r>
      <w:r w:rsidR="00AA4F27" w:rsidRPr="002D7F02">
        <w:rPr>
          <w:color w:val="000000"/>
          <w:lang w:val="en-US"/>
        </w:rPr>
        <w:t xml:space="preserve">in </w:t>
      </w:r>
      <w:r w:rsidR="00B96F54" w:rsidRPr="002D7F02">
        <w:rPr>
          <w:color w:val="000000"/>
          <w:lang w:val="en-US"/>
        </w:rPr>
        <w:t>the preoperative and postoperative periods.</w:t>
      </w:r>
    </w:p>
    <w:p w:rsidR="00EC1291" w:rsidRDefault="00EC1291" w:rsidP="007A36D1">
      <w:pPr>
        <w:spacing w:line="480" w:lineRule="auto"/>
        <w:ind w:firstLine="709"/>
        <w:jc w:val="both"/>
        <w:rPr>
          <w:b/>
          <w:color w:val="000000" w:themeColor="text1"/>
          <w:shd w:val="clear" w:color="auto" w:fill="FFFFFF"/>
          <w:lang w:val="en-US"/>
        </w:rPr>
      </w:pPr>
    </w:p>
    <w:p w:rsidR="007A36D1" w:rsidRPr="002D7F02" w:rsidRDefault="007A36D1" w:rsidP="007A36D1">
      <w:pPr>
        <w:spacing w:line="480" w:lineRule="auto"/>
        <w:ind w:firstLine="709"/>
        <w:jc w:val="both"/>
        <w:rPr>
          <w:b/>
          <w:color w:val="000000" w:themeColor="text1"/>
          <w:shd w:val="clear" w:color="auto" w:fill="FFFFFF"/>
          <w:lang w:val="en-US"/>
        </w:rPr>
      </w:pPr>
      <w:r w:rsidRPr="002D7F02">
        <w:rPr>
          <w:b/>
          <w:color w:val="000000" w:themeColor="text1"/>
          <w:shd w:val="clear" w:color="auto" w:fill="FFFFFF"/>
          <w:lang w:val="en-US"/>
        </w:rPr>
        <w:t>References</w:t>
      </w:r>
    </w:p>
    <w:p w:rsidR="007A36D1" w:rsidRPr="002D7F02" w:rsidRDefault="007A36D1" w:rsidP="007A36D1">
      <w:pPr>
        <w:spacing w:line="480" w:lineRule="auto"/>
        <w:ind w:firstLine="709"/>
        <w:jc w:val="both"/>
        <w:rPr>
          <w:color w:val="000000" w:themeColor="text1"/>
          <w:shd w:val="clear" w:color="auto" w:fill="FFFFFF"/>
          <w:lang w:val="en-US"/>
        </w:rPr>
      </w:pPr>
      <w:r w:rsidRPr="002D7F02">
        <w:rPr>
          <w:color w:val="000000" w:themeColor="text1"/>
          <w:shd w:val="clear" w:color="auto" w:fill="FFFFFF"/>
          <w:lang w:val="en-US"/>
        </w:rPr>
        <w:t>1. </w:t>
      </w:r>
      <w:proofErr w:type="spellStart"/>
      <w:r w:rsidRPr="002D7F02">
        <w:rPr>
          <w:color w:val="000000" w:themeColor="text1"/>
          <w:shd w:val="clear" w:color="auto" w:fill="FFFFFF"/>
          <w:lang w:val="en-US"/>
        </w:rPr>
        <w:t>Enescu</w:t>
      </w:r>
      <w:proofErr w:type="spellEnd"/>
      <w:r w:rsidRPr="002D7F02">
        <w:rPr>
          <w:color w:val="000000" w:themeColor="text1"/>
          <w:shd w:val="clear" w:color="auto" w:fill="FFFFFF"/>
          <w:lang w:val="en-US"/>
        </w:rPr>
        <w:t xml:space="preserve"> AŞ, </w:t>
      </w:r>
      <w:proofErr w:type="spellStart"/>
      <w:r w:rsidRPr="002D7F02">
        <w:rPr>
          <w:color w:val="000000" w:themeColor="text1"/>
          <w:shd w:val="clear" w:color="auto" w:fill="FFFFFF"/>
          <w:lang w:val="en-US"/>
        </w:rPr>
        <w:t>Enescu</w:t>
      </w:r>
      <w:proofErr w:type="spellEnd"/>
      <w:r w:rsidRPr="002D7F02">
        <w:rPr>
          <w:color w:val="000000" w:themeColor="text1"/>
          <w:shd w:val="clear" w:color="auto" w:fill="FFFFFF"/>
          <w:lang w:val="en-US"/>
        </w:rPr>
        <w:t xml:space="preserve"> A, </w:t>
      </w:r>
      <w:proofErr w:type="spellStart"/>
      <w:r w:rsidRPr="002D7F02">
        <w:rPr>
          <w:color w:val="000000" w:themeColor="text1"/>
          <w:shd w:val="clear" w:color="auto" w:fill="FFFFFF"/>
          <w:lang w:val="en-US"/>
        </w:rPr>
        <w:t>Bălăşoiu</w:t>
      </w:r>
      <w:proofErr w:type="spellEnd"/>
      <w:r w:rsidRPr="002D7F02">
        <w:rPr>
          <w:color w:val="000000" w:themeColor="text1"/>
          <w:shd w:val="clear" w:color="auto" w:fill="FFFFFF"/>
          <w:lang w:val="en-US"/>
        </w:rPr>
        <w:t xml:space="preserve"> M, et al. </w:t>
      </w:r>
      <w:proofErr w:type="spellStart"/>
      <w:r w:rsidRPr="002D7F02">
        <w:rPr>
          <w:color w:val="000000" w:themeColor="text1"/>
          <w:shd w:val="clear" w:color="auto" w:fill="FFFFFF"/>
          <w:lang w:val="en-US"/>
        </w:rPr>
        <w:t>Histopathological</w:t>
      </w:r>
      <w:proofErr w:type="spellEnd"/>
      <w:r w:rsidRPr="002D7F02">
        <w:rPr>
          <w:color w:val="000000" w:themeColor="text1"/>
          <w:shd w:val="clear" w:color="auto" w:fill="FFFFFF"/>
          <w:lang w:val="en-US"/>
        </w:rPr>
        <w:t xml:space="preserve"> study of pleomorphic adenoma of salivary glands. </w:t>
      </w:r>
      <w:proofErr w:type="gramStart"/>
      <w:r w:rsidRPr="002D7F02">
        <w:rPr>
          <w:color w:val="000000" w:themeColor="text1"/>
          <w:shd w:val="clear" w:color="auto" w:fill="FFFFFF"/>
          <w:lang w:val="en-US"/>
        </w:rPr>
        <w:t xml:space="preserve">Rom J </w:t>
      </w:r>
      <w:proofErr w:type="spellStart"/>
      <w:r w:rsidRPr="002D7F02">
        <w:rPr>
          <w:color w:val="000000" w:themeColor="text1"/>
          <w:shd w:val="clear" w:color="auto" w:fill="FFFFFF"/>
          <w:lang w:val="en-US"/>
        </w:rPr>
        <w:t>Morphol</w:t>
      </w:r>
      <w:proofErr w:type="spellEnd"/>
      <w:r w:rsidRPr="002D7F02">
        <w:rPr>
          <w:color w:val="000000" w:themeColor="text1"/>
          <w:shd w:val="clear" w:color="auto" w:fill="FFFFFF"/>
          <w:lang w:val="en-US"/>
        </w:rPr>
        <w:t xml:space="preserve"> </w:t>
      </w:r>
      <w:proofErr w:type="spellStart"/>
      <w:r w:rsidRPr="002D7F02">
        <w:rPr>
          <w:color w:val="000000" w:themeColor="text1"/>
          <w:shd w:val="clear" w:color="auto" w:fill="FFFFFF"/>
          <w:lang w:val="en-US"/>
        </w:rPr>
        <w:t>Embryol</w:t>
      </w:r>
      <w:proofErr w:type="spellEnd"/>
      <w:r w:rsidRPr="002D7F02">
        <w:rPr>
          <w:color w:val="000000" w:themeColor="text1"/>
          <w:shd w:val="clear" w:color="auto" w:fill="FFFFFF"/>
          <w:lang w:val="en-US"/>
        </w:rPr>
        <w:t>.</w:t>
      </w:r>
      <w:proofErr w:type="gramEnd"/>
      <w:r w:rsidRPr="002D7F02">
        <w:rPr>
          <w:color w:val="000000" w:themeColor="text1"/>
          <w:shd w:val="clear" w:color="auto" w:fill="FFFFFF"/>
          <w:lang w:val="en-US"/>
        </w:rPr>
        <w:t xml:space="preserve"> 2014</w:t>
      </w:r>
      <w:proofErr w:type="gramStart"/>
      <w:r w:rsidRPr="002D7F02">
        <w:rPr>
          <w:color w:val="000000" w:themeColor="text1"/>
          <w:shd w:val="clear" w:color="auto" w:fill="FFFFFF"/>
          <w:lang w:val="en-US"/>
        </w:rPr>
        <w:t>;55</w:t>
      </w:r>
      <w:proofErr w:type="gramEnd"/>
      <w:r w:rsidRPr="002D7F02">
        <w:rPr>
          <w:color w:val="000000" w:themeColor="text1"/>
          <w:shd w:val="clear" w:color="auto" w:fill="FFFFFF"/>
          <w:lang w:val="en-US"/>
        </w:rPr>
        <w:t xml:space="preserve">(3 </w:t>
      </w:r>
      <w:proofErr w:type="spellStart"/>
      <w:r w:rsidRPr="002D7F02">
        <w:rPr>
          <w:color w:val="000000" w:themeColor="text1"/>
          <w:shd w:val="clear" w:color="auto" w:fill="FFFFFF"/>
          <w:lang w:val="en-US"/>
        </w:rPr>
        <w:t>Suppl</w:t>
      </w:r>
      <w:proofErr w:type="spellEnd"/>
      <w:r w:rsidRPr="002D7F02">
        <w:rPr>
          <w:color w:val="000000" w:themeColor="text1"/>
          <w:shd w:val="clear" w:color="auto" w:fill="FFFFFF"/>
          <w:lang w:val="en-US"/>
        </w:rPr>
        <w:t>):1149-1153.</w:t>
      </w:r>
    </w:p>
    <w:p w:rsidR="007A36D1" w:rsidRPr="002D7F02" w:rsidRDefault="007A36D1" w:rsidP="007A36D1">
      <w:pPr>
        <w:spacing w:line="480" w:lineRule="auto"/>
        <w:ind w:firstLine="709"/>
        <w:jc w:val="both"/>
        <w:rPr>
          <w:color w:val="000000" w:themeColor="text1"/>
          <w:shd w:val="clear" w:color="auto" w:fill="FFFFFF"/>
          <w:lang w:val="en-US"/>
        </w:rPr>
      </w:pPr>
      <w:r w:rsidRPr="002D7F02">
        <w:rPr>
          <w:color w:val="000000" w:themeColor="text1"/>
          <w:shd w:val="clear" w:color="auto" w:fill="FFFFFF"/>
          <w:lang w:val="en-US"/>
        </w:rPr>
        <w:t>2. </w:t>
      </w:r>
      <w:proofErr w:type="spellStart"/>
      <w:r w:rsidRPr="002D7F02">
        <w:rPr>
          <w:color w:val="000000" w:themeColor="text1"/>
          <w:shd w:val="clear" w:color="auto" w:fill="FFFFFF"/>
          <w:lang w:val="en-US"/>
        </w:rPr>
        <w:t>Júnior</w:t>
      </w:r>
      <w:proofErr w:type="spellEnd"/>
      <w:r w:rsidRPr="002D7F02">
        <w:rPr>
          <w:color w:val="000000" w:themeColor="text1"/>
          <w:shd w:val="clear" w:color="auto" w:fill="FFFFFF"/>
          <w:lang w:val="en-US"/>
        </w:rPr>
        <w:t xml:space="preserve"> ECF, Dias IJ, </w:t>
      </w:r>
      <w:proofErr w:type="spellStart"/>
      <w:r w:rsidRPr="002D7F02">
        <w:rPr>
          <w:color w:val="000000" w:themeColor="text1"/>
          <w:shd w:val="clear" w:color="auto" w:fill="FFFFFF"/>
          <w:lang w:val="en-US"/>
        </w:rPr>
        <w:t>Alves</w:t>
      </w:r>
      <w:proofErr w:type="spellEnd"/>
      <w:r w:rsidRPr="002D7F02">
        <w:rPr>
          <w:color w:val="000000" w:themeColor="text1"/>
          <w:shd w:val="clear" w:color="auto" w:fill="FFFFFF"/>
          <w:lang w:val="en-US"/>
        </w:rPr>
        <w:t xml:space="preserve"> PM, et al. Pleomorphic adenoma of </w:t>
      </w:r>
      <w:proofErr w:type="spellStart"/>
      <w:r w:rsidRPr="002D7F02">
        <w:rPr>
          <w:color w:val="000000" w:themeColor="text1"/>
          <w:shd w:val="clear" w:color="auto" w:fill="FFFFFF"/>
          <w:lang w:val="en-US"/>
        </w:rPr>
        <w:t>buccal</w:t>
      </w:r>
      <w:proofErr w:type="spellEnd"/>
      <w:r w:rsidRPr="002D7F02">
        <w:rPr>
          <w:color w:val="000000" w:themeColor="text1"/>
          <w:shd w:val="clear" w:color="auto" w:fill="FFFFFF"/>
          <w:lang w:val="en-US"/>
        </w:rPr>
        <w:t xml:space="preserve"> mucosa: a case report and review of the literature. </w:t>
      </w:r>
      <w:proofErr w:type="spellStart"/>
      <w:proofErr w:type="gramStart"/>
      <w:r w:rsidRPr="002D7F02">
        <w:rPr>
          <w:color w:val="000000" w:themeColor="text1"/>
          <w:shd w:val="clear" w:color="auto" w:fill="FFFFFF"/>
          <w:lang w:val="en-US"/>
        </w:rPr>
        <w:t>Stomatologija</w:t>
      </w:r>
      <w:proofErr w:type="spellEnd"/>
      <w:r w:rsidRPr="002D7F02">
        <w:rPr>
          <w:color w:val="000000" w:themeColor="text1"/>
          <w:shd w:val="clear" w:color="auto" w:fill="FFFFFF"/>
          <w:lang w:val="en-US"/>
        </w:rPr>
        <w:t>.</w:t>
      </w:r>
      <w:proofErr w:type="gramEnd"/>
      <w:r w:rsidRPr="002D7F02">
        <w:rPr>
          <w:color w:val="000000" w:themeColor="text1"/>
          <w:shd w:val="clear" w:color="auto" w:fill="FFFFFF"/>
          <w:lang w:val="en-US"/>
        </w:rPr>
        <w:t xml:space="preserve"> 2020</w:t>
      </w:r>
      <w:proofErr w:type="gramStart"/>
      <w:r w:rsidRPr="002D7F02">
        <w:rPr>
          <w:color w:val="000000" w:themeColor="text1"/>
          <w:shd w:val="clear" w:color="auto" w:fill="FFFFFF"/>
          <w:lang w:val="en-US"/>
        </w:rPr>
        <w:t>;22</w:t>
      </w:r>
      <w:proofErr w:type="gramEnd"/>
      <w:r w:rsidRPr="002D7F02">
        <w:rPr>
          <w:color w:val="000000" w:themeColor="text1"/>
          <w:shd w:val="clear" w:color="auto" w:fill="FFFFFF"/>
          <w:lang w:val="en-US"/>
        </w:rPr>
        <w:t>(3):92-96.</w:t>
      </w:r>
    </w:p>
    <w:p w:rsidR="007A36D1" w:rsidRPr="002D7F02" w:rsidRDefault="007A36D1" w:rsidP="007A36D1">
      <w:pPr>
        <w:spacing w:line="480" w:lineRule="auto"/>
        <w:ind w:firstLine="709"/>
        <w:jc w:val="both"/>
        <w:rPr>
          <w:color w:val="000000" w:themeColor="text1"/>
          <w:shd w:val="clear" w:color="auto" w:fill="FFFFFF"/>
          <w:lang w:val="en-US"/>
        </w:rPr>
      </w:pPr>
      <w:r w:rsidRPr="002D7F02">
        <w:rPr>
          <w:color w:val="000000" w:themeColor="text1"/>
          <w:shd w:val="clear" w:color="auto" w:fill="FFFFFF"/>
          <w:lang w:val="en-US"/>
        </w:rPr>
        <w:t>3. </w:t>
      </w:r>
      <w:proofErr w:type="spellStart"/>
      <w:r w:rsidRPr="002D7F02">
        <w:rPr>
          <w:color w:val="000000" w:themeColor="text1"/>
          <w:shd w:val="clear" w:color="auto" w:fill="FFFFFF"/>
          <w:lang w:val="en-US"/>
        </w:rPr>
        <w:t>Aro</w:t>
      </w:r>
      <w:proofErr w:type="spellEnd"/>
      <w:r w:rsidRPr="002D7F02">
        <w:rPr>
          <w:color w:val="000000" w:themeColor="text1"/>
          <w:shd w:val="clear" w:color="auto" w:fill="FFFFFF"/>
          <w:lang w:val="en-US"/>
        </w:rPr>
        <w:t xml:space="preserve"> K, Valle J, </w:t>
      </w:r>
      <w:proofErr w:type="spellStart"/>
      <w:r w:rsidRPr="002D7F02">
        <w:rPr>
          <w:color w:val="000000" w:themeColor="text1"/>
          <w:shd w:val="clear" w:color="auto" w:fill="FFFFFF"/>
          <w:lang w:val="en-US"/>
        </w:rPr>
        <w:t>Tarkkanen</w:t>
      </w:r>
      <w:proofErr w:type="spellEnd"/>
      <w:r w:rsidRPr="002D7F02">
        <w:rPr>
          <w:color w:val="000000" w:themeColor="text1"/>
          <w:shd w:val="clear" w:color="auto" w:fill="FFFFFF"/>
          <w:lang w:val="en-US"/>
        </w:rPr>
        <w:t xml:space="preserve"> J, et al. Repeatedly recurring pleomorphic adenoma: a therapeutic challenge. </w:t>
      </w:r>
      <w:proofErr w:type="spellStart"/>
      <w:r w:rsidRPr="002D7F02">
        <w:rPr>
          <w:color w:val="000000" w:themeColor="text1"/>
          <w:shd w:val="clear" w:color="auto" w:fill="FFFFFF"/>
          <w:lang w:val="en-US"/>
        </w:rPr>
        <w:t>Acta</w:t>
      </w:r>
      <w:proofErr w:type="spellEnd"/>
      <w:r w:rsidRPr="002D7F02">
        <w:rPr>
          <w:color w:val="000000" w:themeColor="text1"/>
          <w:shd w:val="clear" w:color="auto" w:fill="FFFFFF"/>
          <w:lang w:val="en-US"/>
        </w:rPr>
        <w:t xml:space="preserve"> </w:t>
      </w:r>
      <w:proofErr w:type="spellStart"/>
      <w:r w:rsidRPr="002D7F02">
        <w:rPr>
          <w:color w:val="000000" w:themeColor="text1"/>
          <w:shd w:val="clear" w:color="auto" w:fill="FFFFFF"/>
          <w:lang w:val="en-US"/>
        </w:rPr>
        <w:t>Otorhinolaryngol</w:t>
      </w:r>
      <w:proofErr w:type="spellEnd"/>
      <w:r w:rsidRPr="002D7F02">
        <w:rPr>
          <w:color w:val="000000" w:themeColor="text1"/>
          <w:shd w:val="clear" w:color="auto" w:fill="FFFFFF"/>
          <w:lang w:val="en-US"/>
        </w:rPr>
        <w:t xml:space="preserve"> Ital. 2019</w:t>
      </w:r>
      <w:proofErr w:type="gramStart"/>
      <w:r w:rsidRPr="002D7F02">
        <w:rPr>
          <w:color w:val="000000" w:themeColor="text1"/>
          <w:shd w:val="clear" w:color="auto" w:fill="FFFFFF"/>
          <w:lang w:val="en-US"/>
        </w:rPr>
        <w:t>;39</w:t>
      </w:r>
      <w:proofErr w:type="gramEnd"/>
      <w:r w:rsidRPr="002D7F02">
        <w:rPr>
          <w:color w:val="000000" w:themeColor="text1"/>
          <w:shd w:val="clear" w:color="auto" w:fill="FFFFFF"/>
          <w:lang w:val="en-US"/>
        </w:rPr>
        <w:t>(3):156-1561.</w:t>
      </w:r>
    </w:p>
    <w:p w:rsidR="007A36D1" w:rsidRPr="002D7F02" w:rsidRDefault="007A36D1" w:rsidP="007A36D1">
      <w:pPr>
        <w:spacing w:line="480" w:lineRule="auto"/>
        <w:ind w:firstLine="709"/>
        <w:jc w:val="both"/>
        <w:rPr>
          <w:color w:val="000000" w:themeColor="text1"/>
          <w:shd w:val="clear" w:color="auto" w:fill="FFFFFF"/>
          <w:lang w:val="en-US"/>
        </w:rPr>
      </w:pPr>
      <w:r w:rsidRPr="002D7F02">
        <w:rPr>
          <w:color w:val="000000" w:themeColor="text1"/>
          <w:shd w:val="clear" w:color="auto" w:fill="FFFFFF"/>
          <w:lang w:val="en-US"/>
        </w:rPr>
        <w:t>4. </w:t>
      </w:r>
      <w:proofErr w:type="spellStart"/>
      <w:r w:rsidRPr="002D7F02">
        <w:rPr>
          <w:color w:val="000000" w:themeColor="text1"/>
          <w:shd w:val="clear" w:color="auto" w:fill="FFFFFF"/>
          <w:lang w:val="en-US"/>
        </w:rPr>
        <w:t>Reinheimer</w:t>
      </w:r>
      <w:proofErr w:type="spellEnd"/>
      <w:r w:rsidRPr="002D7F02">
        <w:rPr>
          <w:color w:val="000000" w:themeColor="text1"/>
          <w:shd w:val="clear" w:color="auto" w:fill="FFFFFF"/>
          <w:lang w:val="en-US"/>
        </w:rPr>
        <w:t xml:space="preserve"> A, Vieira DS, </w:t>
      </w:r>
      <w:proofErr w:type="spellStart"/>
      <w:r w:rsidRPr="002D7F02">
        <w:rPr>
          <w:color w:val="000000" w:themeColor="text1"/>
          <w:shd w:val="clear" w:color="auto" w:fill="FFFFFF"/>
          <w:lang w:val="en-US"/>
        </w:rPr>
        <w:t>Cordeiro</w:t>
      </w:r>
      <w:proofErr w:type="spellEnd"/>
      <w:r w:rsidRPr="002D7F02">
        <w:rPr>
          <w:color w:val="000000" w:themeColor="text1"/>
          <w:shd w:val="clear" w:color="auto" w:fill="FFFFFF"/>
          <w:lang w:val="en-US"/>
        </w:rPr>
        <w:t xml:space="preserve"> MM, et al. Retrospective study of 124 cases of salivary gland tumors and literature review. </w:t>
      </w:r>
      <w:proofErr w:type="gramStart"/>
      <w:r w:rsidRPr="002D7F02">
        <w:rPr>
          <w:color w:val="000000" w:themeColor="text1"/>
          <w:shd w:val="clear" w:color="auto" w:fill="FFFFFF"/>
          <w:lang w:val="en-US"/>
        </w:rPr>
        <w:t xml:space="preserve">J </w:t>
      </w:r>
      <w:proofErr w:type="spellStart"/>
      <w:r w:rsidRPr="002D7F02">
        <w:rPr>
          <w:color w:val="000000" w:themeColor="text1"/>
          <w:shd w:val="clear" w:color="auto" w:fill="FFFFFF"/>
          <w:lang w:val="en-US"/>
        </w:rPr>
        <w:t>Clin</w:t>
      </w:r>
      <w:proofErr w:type="spellEnd"/>
      <w:r w:rsidRPr="002D7F02">
        <w:rPr>
          <w:color w:val="000000" w:themeColor="text1"/>
          <w:shd w:val="clear" w:color="auto" w:fill="FFFFFF"/>
          <w:lang w:val="en-US"/>
        </w:rPr>
        <w:t xml:space="preserve"> </w:t>
      </w:r>
      <w:proofErr w:type="spellStart"/>
      <w:r w:rsidRPr="002D7F02">
        <w:rPr>
          <w:color w:val="000000" w:themeColor="text1"/>
          <w:shd w:val="clear" w:color="auto" w:fill="FFFFFF"/>
          <w:lang w:val="en-US"/>
        </w:rPr>
        <w:t>Exp</w:t>
      </w:r>
      <w:proofErr w:type="spellEnd"/>
      <w:r w:rsidRPr="002D7F02">
        <w:rPr>
          <w:color w:val="000000" w:themeColor="text1"/>
          <w:shd w:val="clear" w:color="auto" w:fill="FFFFFF"/>
          <w:lang w:val="en-US"/>
        </w:rPr>
        <w:t xml:space="preserve"> Dent.</w:t>
      </w:r>
      <w:proofErr w:type="gramEnd"/>
      <w:r w:rsidRPr="002D7F02">
        <w:rPr>
          <w:color w:val="000000" w:themeColor="text1"/>
          <w:shd w:val="clear" w:color="auto" w:fill="FFFFFF"/>
          <w:lang w:val="en-US"/>
        </w:rPr>
        <w:t xml:space="preserve"> 2019</w:t>
      </w:r>
      <w:proofErr w:type="gramStart"/>
      <w:r w:rsidRPr="002D7F02">
        <w:rPr>
          <w:color w:val="000000" w:themeColor="text1"/>
          <w:shd w:val="clear" w:color="auto" w:fill="FFFFFF"/>
          <w:lang w:val="en-US"/>
        </w:rPr>
        <w:t>;11</w:t>
      </w:r>
      <w:proofErr w:type="gramEnd"/>
      <w:r w:rsidRPr="002D7F02">
        <w:rPr>
          <w:color w:val="000000" w:themeColor="text1"/>
          <w:shd w:val="clear" w:color="auto" w:fill="FFFFFF"/>
          <w:lang w:val="en-US"/>
        </w:rPr>
        <w:t>(11):e1025-e1032.</w:t>
      </w:r>
    </w:p>
    <w:p w:rsidR="007A36D1" w:rsidRPr="002D7F02" w:rsidRDefault="007A36D1" w:rsidP="007A36D1">
      <w:pPr>
        <w:spacing w:line="480" w:lineRule="auto"/>
        <w:ind w:firstLine="709"/>
        <w:jc w:val="both"/>
        <w:rPr>
          <w:color w:val="000000" w:themeColor="text1"/>
          <w:lang w:val="en-US"/>
        </w:rPr>
      </w:pPr>
      <w:r w:rsidRPr="002D7F02">
        <w:rPr>
          <w:color w:val="000000" w:themeColor="text1"/>
          <w:shd w:val="clear" w:color="auto" w:fill="FFFFFF"/>
          <w:lang w:val="en-US"/>
        </w:rPr>
        <w:t>5. </w:t>
      </w:r>
      <w:proofErr w:type="spellStart"/>
      <w:r w:rsidRPr="002D7F02">
        <w:rPr>
          <w:color w:val="000000" w:themeColor="text1"/>
          <w:lang w:val="en-US"/>
        </w:rPr>
        <w:t>Almeslet</w:t>
      </w:r>
      <w:proofErr w:type="spellEnd"/>
      <w:r w:rsidRPr="002D7F02">
        <w:rPr>
          <w:color w:val="000000" w:themeColor="text1"/>
          <w:lang w:val="en-US"/>
        </w:rPr>
        <w:t xml:space="preserve"> AS. Pleomorphic adenoma: a systematic review. </w:t>
      </w:r>
      <w:proofErr w:type="spellStart"/>
      <w:r w:rsidRPr="002D7F02">
        <w:rPr>
          <w:color w:val="000000" w:themeColor="text1"/>
          <w:lang w:val="en-US"/>
        </w:rPr>
        <w:t>Int</w:t>
      </w:r>
      <w:proofErr w:type="spellEnd"/>
      <w:r w:rsidRPr="002D7F02">
        <w:rPr>
          <w:color w:val="000000" w:themeColor="text1"/>
          <w:lang w:val="en-US"/>
        </w:rPr>
        <w:t xml:space="preserve"> J </w:t>
      </w:r>
      <w:proofErr w:type="spellStart"/>
      <w:r w:rsidRPr="002D7F02">
        <w:rPr>
          <w:color w:val="000000" w:themeColor="text1"/>
          <w:lang w:val="en-US"/>
        </w:rPr>
        <w:t>Clin</w:t>
      </w:r>
      <w:proofErr w:type="spellEnd"/>
      <w:r w:rsidRPr="002D7F02">
        <w:rPr>
          <w:color w:val="000000" w:themeColor="text1"/>
          <w:lang w:val="en-US"/>
        </w:rPr>
        <w:t xml:space="preserve"> </w:t>
      </w:r>
      <w:proofErr w:type="spellStart"/>
      <w:r w:rsidRPr="002D7F02">
        <w:rPr>
          <w:color w:val="000000" w:themeColor="text1"/>
          <w:lang w:val="en-US"/>
        </w:rPr>
        <w:t>Pediatr</w:t>
      </w:r>
      <w:proofErr w:type="spellEnd"/>
      <w:r w:rsidRPr="002D7F02">
        <w:rPr>
          <w:color w:val="000000" w:themeColor="text1"/>
          <w:lang w:val="en-US"/>
        </w:rPr>
        <w:t xml:space="preserve"> Dent. 2020</w:t>
      </w:r>
      <w:proofErr w:type="gramStart"/>
      <w:r w:rsidRPr="002D7F02">
        <w:rPr>
          <w:color w:val="000000" w:themeColor="text1"/>
          <w:lang w:val="en-US"/>
        </w:rPr>
        <w:t>;13</w:t>
      </w:r>
      <w:proofErr w:type="gramEnd"/>
      <w:r w:rsidRPr="002D7F02">
        <w:rPr>
          <w:color w:val="000000" w:themeColor="text1"/>
          <w:lang w:val="en-US"/>
        </w:rPr>
        <w:t>(3):284-287.</w:t>
      </w:r>
    </w:p>
    <w:p w:rsidR="007A36D1" w:rsidRPr="002D7F02" w:rsidRDefault="007A36D1" w:rsidP="007A36D1">
      <w:pPr>
        <w:spacing w:line="480" w:lineRule="auto"/>
        <w:ind w:firstLine="709"/>
        <w:jc w:val="both"/>
        <w:rPr>
          <w:color w:val="000000" w:themeColor="text1"/>
          <w:shd w:val="clear" w:color="auto" w:fill="FFFFFF"/>
          <w:lang w:val="en-US"/>
        </w:rPr>
      </w:pPr>
      <w:r w:rsidRPr="002D7F02">
        <w:rPr>
          <w:color w:val="000000" w:themeColor="text1"/>
          <w:lang w:val="en-US"/>
        </w:rPr>
        <w:t>6. </w:t>
      </w:r>
      <w:proofErr w:type="spellStart"/>
      <w:r w:rsidRPr="002D7F02">
        <w:rPr>
          <w:color w:val="000000" w:themeColor="text1"/>
          <w:shd w:val="clear" w:color="auto" w:fill="FFFFFF"/>
          <w:lang w:val="en-US"/>
        </w:rPr>
        <w:t>Valstar</w:t>
      </w:r>
      <w:proofErr w:type="spellEnd"/>
      <w:r w:rsidRPr="002D7F02">
        <w:rPr>
          <w:color w:val="000000" w:themeColor="text1"/>
          <w:shd w:val="clear" w:color="auto" w:fill="FFFFFF"/>
          <w:lang w:val="en-US"/>
        </w:rPr>
        <w:t xml:space="preserve"> MH, Mast H, Ten Hove I, et al. Malignant transformation of salivary gland pleomorphic adenoma: proof of principle. J </w:t>
      </w:r>
      <w:proofErr w:type="spellStart"/>
      <w:r w:rsidRPr="002D7F02">
        <w:rPr>
          <w:color w:val="000000" w:themeColor="text1"/>
          <w:shd w:val="clear" w:color="auto" w:fill="FFFFFF"/>
          <w:lang w:val="en-US"/>
        </w:rPr>
        <w:t>Pathol</w:t>
      </w:r>
      <w:proofErr w:type="spellEnd"/>
      <w:r w:rsidRPr="002D7F02">
        <w:rPr>
          <w:color w:val="000000" w:themeColor="text1"/>
          <w:shd w:val="clear" w:color="auto" w:fill="FFFFFF"/>
          <w:lang w:val="en-US"/>
        </w:rPr>
        <w:t xml:space="preserve"> </w:t>
      </w:r>
      <w:proofErr w:type="spellStart"/>
      <w:r w:rsidRPr="002D7F02">
        <w:rPr>
          <w:color w:val="000000" w:themeColor="text1"/>
          <w:shd w:val="clear" w:color="auto" w:fill="FFFFFF"/>
          <w:lang w:val="en-US"/>
        </w:rPr>
        <w:t>Clin</w:t>
      </w:r>
      <w:proofErr w:type="spellEnd"/>
      <w:r w:rsidRPr="002D7F02">
        <w:rPr>
          <w:color w:val="000000" w:themeColor="text1"/>
          <w:shd w:val="clear" w:color="auto" w:fill="FFFFFF"/>
          <w:lang w:val="en-US"/>
        </w:rPr>
        <w:t xml:space="preserve"> Res. 2021</w:t>
      </w:r>
      <w:proofErr w:type="gramStart"/>
      <w:r w:rsidRPr="002D7F02">
        <w:rPr>
          <w:color w:val="000000" w:themeColor="text1"/>
          <w:shd w:val="clear" w:color="auto" w:fill="FFFFFF"/>
          <w:lang w:val="en-US"/>
        </w:rPr>
        <w:t>;7</w:t>
      </w:r>
      <w:proofErr w:type="gramEnd"/>
      <w:r w:rsidRPr="002D7F02">
        <w:rPr>
          <w:color w:val="000000" w:themeColor="text1"/>
          <w:shd w:val="clear" w:color="auto" w:fill="FFFFFF"/>
          <w:lang w:val="en-US"/>
        </w:rPr>
        <w:t>(5):432-437.</w:t>
      </w:r>
    </w:p>
    <w:p w:rsidR="007A36D1" w:rsidRPr="002D7F02" w:rsidRDefault="007A36D1" w:rsidP="007A36D1">
      <w:pPr>
        <w:spacing w:line="480" w:lineRule="auto"/>
        <w:ind w:firstLine="709"/>
        <w:jc w:val="both"/>
        <w:rPr>
          <w:color w:val="000000" w:themeColor="text1"/>
          <w:shd w:val="clear" w:color="auto" w:fill="FFFFFF"/>
          <w:lang w:val="en-US"/>
        </w:rPr>
      </w:pPr>
      <w:r w:rsidRPr="002D7F02">
        <w:rPr>
          <w:color w:val="000000" w:themeColor="text1"/>
          <w:shd w:val="clear" w:color="auto" w:fill="FFFFFF"/>
          <w:lang w:val="en-US"/>
        </w:rPr>
        <w:t>7. </w:t>
      </w:r>
      <w:proofErr w:type="spellStart"/>
      <w:r w:rsidRPr="002D7F02">
        <w:rPr>
          <w:color w:val="000000" w:themeColor="text1"/>
          <w:shd w:val="clear" w:color="auto" w:fill="FFFFFF"/>
          <w:lang w:val="en-US"/>
        </w:rPr>
        <w:t>Dhanani</w:t>
      </w:r>
      <w:proofErr w:type="spellEnd"/>
      <w:r w:rsidRPr="002D7F02">
        <w:rPr>
          <w:color w:val="000000" w:themeColor="text1"/>
          <w:shd w:val="clear" w:color="auto" w:fill="FFFFFF"/>
          <w:lang w:val="en-US"/>
        </w:rPr>
        <w:t xml:space="preserve"> R, </w:t>
      </w:r>
      <w:proofErr w:type="spellStart"/>
      <w:r w:rsidRPr="002D7F02">
        <w:rPr>
          <w:color w:val="000000" w:themeColor="text1"/>
          <w:shd w:val="clear" w:color="auto" w:fill="FFFFFF"/>
          <w:lang w:val="en-US"/>
        </w:rPr>
        <w:t>Iftikhar</w:t>
      </w:r>
      <w:proofErr w:type="spellEnd"/>
      <w:r w:rsidRPr="002D7F02">
        <w:rPr>
          <w:color w:val="000000" w:themeColor="text1"/>
          <w:shd w:val="clear" w:color="auto" w:fill="FFFFFF"/>
          <w:lang w:val="en-US"/>
        </w:rPr>
        <w:t xml:space="preserve"> H, </w:t>
      </w:r>
      <w:proofErr w:type="spellStart"/>
      <w:r w:rsidRPr="002D7F02">
        <w:rPr>
          <w:color w:val="000000" w:themeColor="text1"/>
          <w:shd w:val="clear" w:color="auto" w:fill="FFFFFF"/>
          <w:lang w:val="en-US"/>
        </w:rPr>
        <w:t>Awan</w:t>
      </w:r>
      <w:proofErr w:type="spellEnd"/>
      <w:r w:rsidRPr="002D7F02">
        <w:rPr>
          <w:color w:val="000000" w:themeColor="text1"/>
          <w:shd w:val="clear" w:color="auto" w:fill="FFFFFF"/>
          <w:lang w:val="en-US"/>
        </w:rPr>
        <w:t xml:space="preserve"> MS, et al. Role of fine needle aspiration cytology in the diagnosis of parotid gland tumors: analysis of 193 cases. </w:t>
      </w:r>
      <w:proofErr w:type="spellStart"/>
      <w:proofErr w:type="gramStart"/>
      <w:r w:rsidRPr="002D7F02">
        <w:rPr>
          <w:iCs/>
          <w:color w:val="000000" w:themeColor="text1"/>
          <w:shd w:val="clear" w:color="auto" w:fill="FFFFFF"/>
          <w:lang w:val="en-US"/>
        </w:rPr>
        <w:t>Int</w:t>
      </w:r>
      <w:proofErr w:type="spellEnd"/>
      <w:r w:rsidRPr="002D7F02">
        <w:rPr>
          <w:iCs/>
          <w:color w:val="000000" w:themeColor="text1"/>
          <w:shd w:val="clear" w:color="auto" w:fill="FFFFFF"/>
          <w:lang w:val="en-US"/>
        </w:rPr>
        <w:t xml:space="preserve"> Arch </w:t>
      </w:r>
      <w:proofErr w:type="spellStart"/>
      <w:r w:rsidRPr="002D7F02">
        <w:rPr>
          <w:iCs/>
          <w:color w:val="000000" w:themeColor="text1"/>
          <w:shd w:val="clear" w:color="auto" w:fill="FFFFFF"/>
          <w:lang w:val="en-US"/>
        </w:rPr>
        <w:t>Otorhinolaryngol</w:t>
      </w:r>
      <w:proofErr w:type="spellEnd"/>
      <w:r w:rsidRPr="002D7F02">
        <w:rPr>
          <w:color w:val="000000" w:themeColor="text1"/>
          <w:shd w:val="clear" w:color="auto" w:fill="FFFFFF"/>
          <w:lang w:val="en-US"/>
        </w:rPr>
        <w:t>.</w:t>
      </w:r>
      <w:proofErr w:type="gramEnd"/>
      <w:r w:rsidRPr="002D7F02">
        <w:rPr>
          <w:color w:val="000000" w:themeColor="text1"/>
          <w:shd w:val="clear" w:color="auto" w:fill="FFFFFF"/>
          <w:lang w:val="en-US"/>
        </w:rPr>
        <w:t xml:space="preserve"> 2020</w:t>
      </w:r>
      <w:proofErr w:type="gramStart"/>
      <w:r w:rsidRPr="002D7F02">
        <w:rPr>
          <w:color w:val="000000" w:themeColor="text1"/>
          <w:shd w:val="clear" w:color="auto" w:fill="FFFFFF"/>
          <w:lang w:val="en-US"/>
        </w:rPr>
        <w:t>;24</w:t>
      </w:r>
      <w:proofErr w:type="gramEnd"/>
      <w:r w:rsidRPr="002D7F02">
        <w:rPr>
          <w:color w:val="000000" w:themeColor="text1"/>
          <w:shd w:val="clear" w:color="auto" w:fill="FFFFFF"/>
          <w:lang w:val="en-US"/>
        </w:rPr>
        <w:t>(4):e508-e512.</w:t>
      </w:r>
    </w:p>
    <w:p w:rsidR="007A36D1" w:rsidRPr="002D7F02" w:rsidRDefault="007A36D1" w:rsidP="007A36D1">
      <w:pPr>
        <w:spacing w:line="480" w:lineRule="auto"/>
        <w:ind w:firstLine="709"/>
        <w:jc w:val="both"/>
        <w:rPr>
          <w:color w:val="000000" w:themeColor="text1"/>
          <w:shd w:val="clear" w:color="auto" w:fill="FFFFFF"/>
          <w:lang w:val="en-US"/>
        </w:rPr>
      </w:pPr>
      <w:r w:rsidRPr="002D7F02">
        <w:rPr>
          <w:color w:val="000000" w:themeColor="text1"/>
          <w:shd w:val="clear" w:color="auto" w:fill="FFFFFF"/>
          <w:lang w:val="en-US"/>
        </w:rPr>
        <w:lastRenderedPageBreak/>
        <w:t>8. </w:t>
      </w:r>
      <w:proofErr w:type="spellStart"/>
      <w:r w:rsidRPr="002D7F02">
        <w:rPr>
          <w:color w:val="000000" w:themeColor="text1"/>
          <w:shd w:val="clear" w:color="auto" w:fill="FFFFFF"/>
          <w:lang w:val="en-US"/>
        </w:rPr>
        <w:t>Zbären</w:t>
      </w:r>
      <w:proofErr w:type="spellEnd"/>
      <w:r w:rsidRPr="002D7F02">
        <w:rPr>
          <w:color w:val="000000" w:themeColor="text1"/>
          <w:shd w:val="clear" w:color="auto" w:fill="FFFFFF"/>
          <w:lang w:val="en-US"/>
        </w:rPr>
        <w:t xml:space="preserve"> P, </w:t>
      </w:r>
      <w:proofErr w:type="spellStart"/>
      <w:r w:rsidRPr="002D7F02">
        <w:rPr>
          <w:color w:val="000000" w:themeColor="text1"/>
          <w:shd w:val="clear" w:color="auto" w:fill="FFFFFF"/>
          <w:lang w:val="en-US"/>
        </w:rPr>
        <w:t>Triantafyllou</w:t>
      </w:r>
      <w:proofErr w:type="spellEnd"/>
      <w:r w:rsidRPr="002D7F02">
        <w:rPr>
          <w:color w:val="000000" w:themeColor="text1"/>
          <w:shd w:val="clear" w:color="auto" w:fill="FFFFFF"/>
          <w:lang w:val="en-US"/>
        </w:rPr>
        <w:t xml:space="preserve"> A, </w:t>
      </w:r>
      <w:proofErr w:type="spellStart"/>
      <w:r w:rsidRPr="002D7F02">
        <w:rPr>
          <w:color w:val="000000" w:themeColor="text1"/>
          <w:shd w:val="clear" w:color="auto" w:fill="FFFFFF"/>
          <w:lang w:val="en-US"/>
        </w:rPr>
        <w:t>Devaney</w:t>
      </w:r>
      <w:proofErr w:type="spellEnd"/>
      <w:r w:rsidRPr="002D7F02">
        <w:rPr>
          <w:color w:val="000000" w:themeColor="text1"/>
          <w:shd w:val="clear" w:color="auto" w:fill="FFFFFF"/>
          <w:lang w:val="en-US"/>
        </w:rPr>
        <w:t xml:space="preserve"> KO, et al. Preoperative diagnostic of parotid gland neoplasms: fine-needle aspiration cytology or core needle biopsy? </w:t>
      </w:r>
      <w:proofErr w:type="spellStart"/>
      <w:proofErr w:type="gramStart"/>
      <w:r w:rsidRPr="002D7F02">
        <w:rPr>
          <w:color w:val="000000" w:themeColor="text1"/>
          <w:shd w:val="clear" w:color="auto" w:fill="FFFFFF"/>
          <w:lang w:val="en-US"/>
        </w:rPr>
        <w:t>Eur</w:t>
      </w:r>
      <w:proofErr w:type="spellEnd"/>
      <w:r w:rsidRPr="002D7F02">
        <w:rPr>
          <w:color w:val="000000" w:themeColor="text1"/>
          <w:shd w:val="clear" w:color="auto" w:fill="FFFFFF"/>
          <w:lang w:val="en-US"/>
        </w:rPr>
        <w:t xml:space="preserve"> Arch </w:t>
      </w:r>
      <w:proofErr w:type="spellStart"/>
      <w:r w:rsidRPr="002D7F02">
        <w:rPr>
          <w:color w:val="000000" w:themeColor="text1"/>
          <w:shd w:val="clear" w:color="auto" w:fill="FFFFFF"/>
          <w:lang w:val="en-US"/>
        </w:rPr>
        <w:t>Otorhinolaryngol</w:t>
      </w:r>
      <w:proofErr w:type="spellEnd"/>
      <w:r w:rsidRPr="002D7F02">
        <w:rPr>
          <w:color w:val="000000" w:themeColor="text1"/>
          <w:shd w:val="clear" w:color="auto" w:fill="FFFFFF"/>
          <w:lang w:val="en-US"/>
        </w:rPr>
        <w:t>.</w:t>
      </w:r>
      <w:proofErr w:type="gramEnd"/>
      <w:r w:rsidRPr="002D7F02">
        <w:rPr>
          <w:color w:val="000000" w:themeColor="text1"/>
          <w:shd w:val="clear" w:color="auto" w:fill="FFFFFF"/>
          <w:lang w:val="en-US"/>
        </w:rPr>
        <w:t xml:space="preserve"> 2018</w:t>
      </w:r>
      <w:proofErr w:type="gramStart"/>
      <w:r w:rsidRPr="002D7F02">
        <w:rPr>
          <w:color w:val="000000" w:themeColor="text1"/>
          <w:shd w:val="clear" w:color="auto" w:fill="FFFFFF"/>
          <w:lang w:val="en-US"/>
        </w:rPr>
        <w:t>;275</w:t>
      </w:r>
      <w:proofErr w:type="gramEnd"/>
      <w:r w:rsidRPr="002D7F02">
        <w:rPr>
          <w:color w:val="000000" w:themeColor="text1"/>
          <w:shd w:val="clear" w:color="auto" w:fill="FFFFFF"/>
          <w:lang w:val="en-US"/>
        </w:rPr>
        <w:t>(11):2609-2613.</w:t>
      </w:r>
    </w:p>
    <w:p w:rsidR="007A36D1" w:rsidRPr="002D7F02" w:rsidRDefault="007A36D1" w:rsidP="007A36D1">
      <w:pPr>
        <w:spacing w:line="480" w:lineRule="auto"/>
        <w:ind w:firstLine="709"/>
        <w:jc w:val="both"/>
        <w:rPr>
          <w:color w:val="000000" w:themeColor="text1"/>
          <w:shd w:val="clear" w:color="auto" w:fill="FFFFFF"/>
          <w:lang w:val="en-US"/>
        </w:rPr>
      </w:pPr>
      <w:r w:rsidRPr="002D7F02">
        <w:rPr>
          <w:color w:val="000000" w:themeColor="text1"/>
          <w:shd w:val="clear" w:color="auto" w:fill="FFFFFF"/>
          <w:lang w:val="en-US"/>
        </w:rPr>
        <w:t>9. Choi JS, Cho BH, Kim HJ, et al. Identification of new genes of pleomorphic adenoma. </w:t>
      </w:r>
      <w:proofErr w:type="gramStart"/>
      <w:r w:rsidRPr="002D7F02">
        <w:rPr>
          <w:iCs/>
          <w:color w:val="000000" w:themeColor="text1"/>
          <w:shd w:val="clear" w:color="auto" w:fill="FFFFFF"/>
          <w:lang w:val="en-US"/>
        </w:rPr>
        <w:t>Medicine (Baltimore)</w:t>
      </w:r>
      <w:r w:rsidRPr="002D7F02">
        <w:rPr>
          <w:color w:val="000000" w:themeColor="text1"/>
          <w:shd w:val="clear" w:color="auto" w:fill="FFFFFF"/>
          <w:lang w:val="en-US"/>
        </w:rPr>
        <w:t>.</w:t>
      </w:r>
      <w:proofErr w:type="gramEnd"/>
      <w:r w:rsidRPr="002D7F02">
        <w:rPr>
          <w:color w:val="000000" w:themeColor="text1"/>
          <w:shd w:val="clear" w:color="auto" w:fill="FFFFFF"/>
          <w:lang w:val="en-US"/>
        </w:rPr>
        <w:t xml:space="preserve"> 2019</w:t>
      </w:r>
      <w:proofErr w:type="gramStart"/>
      <w:r w:rsidRPr="002D7F02">
        <w:rPr>
          <w:color w:val="000000" w:themeColor="text1"/>
          <w:shd w:val="clear" w:color="auto" w:fill="FFFFFF"/>
          <w:lang w:val="en-US"/>
        </w:rPr>
        <w:t>;98</w:t>
      </w:r>
      <w:proofErr w:type="gramEnd"/>
      <w:r w:rsidRPr="002D7F02">
        <w:rPr>
          <w:color w:val="000000" w:themeColor="text1"/>
          <w:shd w:val="clear" w:color="auto" w:fill="FFFFFF"/>
          <w:lang w:val="en-US"/>
        </w:rPr>
        <w:t>(51):e18468.</w:t>
      </w:r>
    </w:p>
    <w:p w:rsidR="007A36D1" w:rsidRPr="002D7F02" w:rsidRDefault="007A36D1" w:rsidP="007A36D1">
      <w:pPr>
        <w:spacing w:line="480" w:lineRule="auto"/>
        <w:ind w:firstLine="709"/>
        <w:jc w:val="both"/>
        <w:rPr>
          <w:color w:val="000000" w:themeColor="text1"/>
          <w:shd w:val="clear" w:color="auto" w:fill="FFFFFF"/>
          <w:lang w:val="en-US"/>
        </w:rPr>
      </w:pPr>
      <w:r w:rsidRPr="002D7F02">
        <w:rPr>
          <w:color w:val="000000" w:themeColor="text1"/>
          <w:shd w:val="clear" w:color="auto" w:fill="FFFFFF"/>
          <w:lang w:val="en-US"/>
        </w:rPr>
        <w:t>10. </w:t>
      </w:r>
      <w:proofErr w:type="spellStart"/>
      <w:r w:rsidRPr="002D7F02">
        <w:rPr>
          <w:color w:val="000000" w:themeColor="text1"/>
          <w:shd w:val="clear" w:color="auto" w:fill="FFFFFF"/>
          <w:lang w:val="en-US"/>
        </w:rPr>
        <w:t>Brodetskyi</w:t>
      </w:r>
      <w:proofErr w:type="spellEnd"/>
      <w:r w:rsidRPr="002D7F02">
        <w:rPr>
          <w:color w:val="000000" w:themeColor="text1"/>
          <w:shd w:val="clear" w:color="auto" w:fill="FFFFFF"/>
          <w:lang w:val="en-US"/>
        </w:rPr>
        <w:t xml:space="preserve"> IS, </w:t>
      </w:r>
      <w:proofErr w:type="spellStart"/>
      <w:r w:rsidRPr="002D7F02">
        <w:rPr>
          <w:color w:val="000000" w:themeColor="text1"/>
          <w:shd w:val="clear" w:color="auto" w:fill="FFFFFF"/>
          <w:lang w:val="en-US"/>
        </w:rPr>
        <w:t>Dyadyk</w:t>
      </w:r>
      <w:proofErr w:type="spellEnd"/>
      <w:r w:rsidRPr="002D7F02">
        <w:rPr>
          <w:color w:val="000000" w:themeColor="text1"/>
          <w:shd w:val="clear" w:color="auto" w:fill="FFFFFF"/>
          <w:lang w:val="en-US"/>
        </w:rPr>
        <w:t xml:space="preserve"> OO, </w:t>
      </w:r>
      <w:proofErr w:type="spellStart"/>
      <w:r w:rsidRPr="002D7F02">
        <w:rPr>
          <w:color w:val="000000" w:themeColor="text1"/>
          <w:shd w:val="clear" w:color="auto" w:fill="FFFFFF"/>
          <w:lang w:val="en-US"/>
        </w:rPr>
        <w:t>Myroshnychenko</w:t>
      </w:r>
      <w:proofErr w:type="spellEnd"/>
      <w:r w:rsidRPr="002D7F02">
        <w:rPr>
          <w:color w:val="000000" w:themeColor="text1"/>
          <w:shd w:val="clear" w:color="auto" w:fill="FFFFFF"/>
          <w:lang w:val="en-US"/>
        </w:rPr>
        <w:t xml:space="preserve"> MS, et al. Morphological characteristics of pleomorphic adenomas of salivary glands (analysis of the surgical material). </w:t>
      </w:r>
      <w:proofErr w:type="spellStart"/>
      <w:r w:rsidRPr="002D7F02">
        <w:rPr>
          <w:color w:val="000000" w:themeColor="text1"/>
          <w:shd w:val="clear" w:color="auto" w:fill="FFFFFF"/>
          <w:lang w:val="en-US"/>
        </w:rPr>
        <w:t>Wiad</w:t>
      </w:r>
      <w:proofErr w:type="spellEnd"/>
      <w:r w:rsidRPr="002D7F02">
        <w:rPr>
          <w:color w:val="000000" w:themeColor="text1"/>
          <w:shd w:val="clear" w:color="auto" w:fill="FFFFFF"/>
          <w:lang w:val="en-US"/>
        </w:rPr>
        <w:t xml:space="preserve"> </w:t>
      </w:r>
      <w:proofErr w:type="spellStart"/>
      <w:r w:rsidRPr="002D7F02">
        <w:rPr>
          <w:color w:val="000000" w:themeColor="text1"/>
          <w:shd w:val="clear" w:color="auto" w:fill="FFFFFF"/>
          <w:lang w:val="en-US"/>
        </w:rPr>
        <w:t>Lek</w:t>
      </w:r>
      <w:proofErr w:type="spellEnd"/>
      <w:r w:rsidRPr="002D7F02">
        <w:rPr>
          <w:color w:val="000000" w:themeColor="text1"/>
          <w:shd w:val="clear" w:color="auto" w:fill="FFFFFF"/>
          <w:lang w:val="en-US"/>
        </w:rPr>
        <w:t>. 2020</w:t>
      </w:r>
      <w:proofErr w:type="gramStart"/>
      <w:r w:rsidRPr="002D7F02">
        <w:rPr>
          <w:color w:val="000000" w:themeColor="text1"/>
          <w:shd w:val="clear" w:color="auto" w:fill="FFFFFF"/>
          <w:lang w:val="en-US"/>
        </w:rPr>
        <w:t>;73</w:t>
      </w:r>
      <w:proofErr w:type="gramEnd"/>
      <w:r w:rsidRPr="002D7F02">
        <w:rPr>
          <w:color w:val="000000" w:themeColor="text1"/>
          <w:shd w:val="clear" w:color="auto" w:fill="FFFFFF"/>
          <w:lang w:val="en-US"/>
        </w:rPr>
        <w:t xml:space="preserve">(11):2339-2344. </w:t>
      </w:r>
    </w:p>
    <w:p w:rsidR="007A36D1" w:rsidRPr="002D7F02" w:rsidRDefault="007A36D1" w:rsidP="007A36D1">
      <w:pPr>
        <w:spacing w:line="480" w:lineRule="auto"/>
        <w:ind w:firstLine="709"/>
        <w:jc w:val="both"/>
        <w:rPr>
          <w:color w:val="000000" w:themeColor="text1"/>
          <w:shd w:val="clear" w:color="auto" w:fill="FFFFFF"/>
          <w:lang w:val="en-US"/>
        </w:rPr>
      </w:pPr>
      <w:r w:rsidRPr="002D7F02">
        <w:rPr>
          <w:color w:val="000000" w:themeColor="text1"/>
          <w:shd w:val="clear" w:color="auto" w:fill="FFFFFF"/>
          <w:lang w:val="en-US"/>
        </w:rPr>
        <w:t>11. </w:t>
      </w:r>
      <w:proofErr w:type="spellStart"/>
      <w:r w:rsidRPr="002D7F02">
        <w:rPr>
          <w:color w:val="000000" w:themeColor="text1"/>
          <w:shd w:val="clear" w:color="auto" w:fill="FFFFFF"/>
          <w:lang w:val="en-US"/>
        </w:rPr>
        <w:t>Brodetskyi</w:t>
      </w:r>
      <w:proofErr w:type="spellEnd"/>
      <w:r w:rsidRPr="002D7F02">
        <w:rPr>
          <w:color w:val="000000" w:themeColor="text1"/>
          <w:shd w:val="clear" w:color="auto" w:fill="FFFFFF"/>
          <w:lang w:val="en-US"/>
        </w:rPr>
        <w:t xml:space="preserve"> IS, </w:t>
      </w:r>
      <w:proofErr w:type="spellStart"/>
      <w:r w:rsidRPr="002D7F02">
        <w:rPr>
          <w:color w:val="000000" w:themeColor="text1"/>
          <w:shd w:val="clear" w:color="auto" w:fill="FFFFFF"/>
          <w:lang w:val="en-US"/>
        </w:rPr>
        <w:t>Malanchuk</w:t>
      </w:r>
      <w:proofErr w:type="spellEnd"/>
      <w:r w:rsidRPr="002D7F02">
        <w:rPr>
          <w:color w:val="000000" w:themeColor="text1"/>
          <w:shd w:val="clear" w:color="auto" w:fill="FFFFFF"/>
          <w:lang w:val="en-US"/>
        </w:rPr>
        <w:t xml:space="preserve"> VO, </w:t>
      </w:r>
      <w:proofErr w:type="spellStart"/>
      <w:r w:rsidRPr="002D7F02">
        <w:rPr>
          <w:color w:val="000000" w:themeColor="text1"/>
          <w:shd w:val="clear" w:color="auto" w:fill="FFFFFF"/>
          <w:lang w:val="en-US"/>
        </w:rPr>
        <w:t>Dosenko</w:t>
      </w:r>
      <w:proofErr w:type="spellEnd"/>
      <w:r w:rsidRPr="002D7F02">
        <w:rPr>
          <w:color w:val="000000" w:themeColor="text1"/>
          <w:shd w:val="clear" w:color="auto" w:fill="FFFFFF"/>
          <w:lang w:val="en-US"/>
        </w:rPr>
        <w:t xml:space="preserve"> VE. </w:t>
      </w:r>
      <w:proofErr w:type="gramStart"/>
      <w:r w:rsidRPr="002D7F02">
        <w:rPr>
          <w:color w:val="000000" w:themeColor="text1"/>
          <w:shd w:val="clear" w:color="auto" w:fill="FFFFFF"/>
          <w:lang w:val="en-US"/>
        </w:rPr>
        <w:t>Expressions of microRNA-29a and microRNA-34a in pleomorphic adenomas of salivary glands.</w:t>
      </w:r>
      <w:proofErr w:type="gramEnd"/>
      <w:r w:rsidRPr="002D7F02">
        <w:rPr>
          <w:color w:val="000000" w:themeColor="text1"/>
          <w:shd w:val="clear" w:color="auto" w:fill="FFFFFF"/>
          <w:lang w:val="en-US"/>
        </w:rPr>
        <w:t xml:space="preserve"> Gland Surg. 2020</w:t>
      </w:r>
      <w:proofErr w:type="gramStart"/>
      <w:r w:rsidRPr="002D7F02">
        <w:rPr>
          <w:color w:val="000000" w:themeColor="text1"/>
          <w:shd w:val="clear" w:color="auto" w:fill="FFFFFF"/>
          <w:lang w:val="en-US"/>
        </w:rPr>
        <w:t>;9</w:t>
      </w:r>
      <w:proofErr w:type="gramEnd"/>
      <w:r w:rsidRPr="002D7F02">
        <w:rPr>
          <w:color w:val="000000" w:themeColor="text1"/>
          <w:shd w:val="clear" w:color="auto" w:fill="FFFFFF"/>
          <w:lang w:val="en-US"/>
        </w:rPr>
        <w:t xml:space="preserve">(6):1914-1923. </w:t>
      </w:r>
    </w:p>
    <w:p w:rsidR="007A36D1" w:rsidRPr="002D7F02" w:rsidRDefault="007A36D1" w:rsidP="007A36D1">
      <w:pPr>
        <w:spacing w:line="480" w:lineRule="auto"/>
        <w:ind w:firstLine="709"/>
        <w:jc w:val="both"/>
        <w:rPr>
          <w:color w:val="000000" w:themeColor="text1"/>
          <w:shd w:val="clear" w:color="auto" w:fill="FFFFFF"/>
          <w:lang w:val="en-US"/>
        </w:rPr>
      </w:pPr>
      <w:r w:rsidRPr="002D7F02">
        <w:rPr>
          <w:color w:val="000000" w:themeColor="text1"/>
          <w:shd w:val="clear" w:color="auto" w:fill="FFFFFF"/>
          <w:lang w:val="en-US"/>
        </w:rPr>
        <w:t>12. </w:t>
      </w:r>
      <w:proofErr w:type="spellStart"/>
      <w:r w:rsidRPr="002D7F02">
        <w:rPr>
          <w:color w:val="000000" w:themeColor="text1"/>
          <w:shd w:val="clear" w:color="auto" w:fill="FFFFFF"/>
          <w:lang w:val="en-US"/>
        </w:rPr>
        <w:t>Brodetskyi</w:t>
      </w:r>
      <w:proofErr w:type="spellEnd"/>
      <w:r w:rsidRPr="002D7F02">
        <w:rPr>
          <w:color w:val="000000" w:themeColor="text1"/>
          <w:shd w:val="clear" w:color="auto" w:fill="FFFFFF"/>
          <w:lang w:val="en-US"/>
        </w:rPr>
        <w:t xml:space="preserve"> IS, </w:t>
      </w:r>
      <w:proofErr w:type="spellStart"/>
      <w:r w:rsidRPr="002D7F02">
        <w:rPr>
          <w:color w:val="000000" w:themeColor="text1"/>
          <w:shd w:val="clear" w:color="auto" w:fill="FFFFFF"/>
          <w:lang w:val="en-US"/>
        </w:rPr>
        <w:t>Dyadyk</w:t>
      </w:r>
      <w:proofErr w:type="spellEnd"/>
      <w:r w:rsidRPr="002D7F02">
        <w:rPr>
          <w:color w:val="000000" w:themeColor="text1"/>
          <w:shd w:val="clear" w:color="auto" w:fill="FFFFFF"/>
          <w:lang w:val="en-US"/>
        </w:rPr>
        <w:t xml:space="preserve"> OO, </w:t>
      </w:r>
      <w:proofErr w:type="spellStart"/>
      <w:r w:rsidRPr="002D7F02">
        <w:rPr>
          <w:color w:val="000000" w:themeColor="text1"/>
          <w:shd w:val="clear" w:color="auto" w:fill="FFFFFF"/>
          <w:lang w:val="en-US"/>
        </w:rPr>
        <w:t>Malanchuk</w:t>
      </w:r>
      <w:proofErr w:type="spellEnd"/>
      <w:r w:rsidRPr="002D7F02">
        <w:rPr>
          <w:color w:val="000000" w:themeColor="text1"/>
          <w:shd w:val="clear" w:color="auto" w:fill="FFFFFF"/>
          <w:lang w:val="en-US"/>
        </w:rPr>
        <w:t xml:space="preserve"> VA, et al. </w:t>
      </w:r>
      <w:proofErr w:type="spellStart"/>
      <w:r w:rsidRPr="002D7F02">
        <w:rPr>
          <w:color w:val="000000" w:themeColor="text1"/>
          <w:shd w:val="clear" w:color="auto" w:fill="FFFFFF"/>
          <w:lang w:val="en-US"/>
        </w:rPr>
        <w:t>Immunohistochemical</w:t>
      </w:r>
      <w:proofErr w:type="spellEnd"/>
      <w:r w:rsidRPr="002D7F02">
        <w:rPr>
          <w:color w:val="000000" w:themeColor="text1"/>
          <w:shd w:val="clear" w:color="auto" w:fill="FFFFFF"/>
          <w:lang w:val="en-US"/>
        </w:rPr>
        <w:t xml:space="preserve"> features of the expression of human papilloma virus type 16 in pleomorphic adenomas of salivary gland. </w:t>
      </w:r>
      <w:proofErr w:type="spellStart"/>
      <w:r w:rsidRPr="002D7F02">
        <w:rPr>
          <w:color w:val="000000" w:themeColor="text1"/>
          <w:shd w:val="clear" w:color="auto" w:fill="FFFFFF"/>
          <w:lang w:val="en-US"/>
        </w:rPr>
        <w:t>Wiad</w:t>
      </w:r>
      <w:proofErr w:type="spellEnd"/>
      <w:r w:rsidRPr="002D7F02">
        <w:rPr>
          <w:color w:val="000000" w:themeColor="text1"/>
          <w:shd w:val="clear" w:color="auto" w:fill="FFFFFF"/>
          <w:lang w:val="en-US"/>
        </w:rPr>
        <w:t xml:space="preserve"> </w:t>
      </w:r>
      <w:proofErr w:type="spellStart"/>
      <w:r w:rsidRPr="002D7F02">
        <w:rPr>
          <w:color w:val="000000" w:themeColor="text1"/>
          <w:shd w:val="clear" w:color="auto" w:fill="FFFFFF"/>
          <w:lang w:val="en-US"/>
        </w:rPr>
        <w:t>Lek</w:t>
      </w:r>
      <w:proofErr w:type="spellEnd"/>
      <w:r w:rsidRPr="002D7F02">
        <w:rPr>
          <w:color w:val="000000" w:themeColor="text1"/>
          <w:shd w:val="clear" w:color="auto" w:fill="FFFFFF"/>
          <w:lang w:val="en-US"/>
        </w:rPr>
        <w:t>. 2021</w:t>
      </w:r>
      <w:proofErr w:type="gramStart"/>
      <w:r w:rsidRPr="002D7F02">
        <w:rPr>
          <w:color w:val="000000" w:themeColor="text1"/>
          <w:shd w:val="clear" w:color="auto" w:fill="FFFFFF"/>
          <w:lang w:val="en-US"/>
        </w:rPr>
        <w:t>;74</w:t>
      </w:r>
      <w:proofErr w:type="gramEnd"/>
      <w:r w:rsidRPr="002D7F02">
        <w:rPr>
          <w:color w:val="000000" w:themeColor="text1"/>
          <w:shd w:val="clear" w:color="auto" w:fill="FFFFFF"/>
          <w:lang w:val="en-US"/>
        </w:rPr>
        <w:t>(1):7-10.</w:t>
      </w:r>
    </w:p>
    <w:p w:rsidR="007A36D1" w:rsidRPr="002D7F02" w:rsidRDefault="007A36D1" w:rsidP="007A36D1">
      <w:pPr>
        <w:spacing w:line="480" w:lineRule="auto"/>
        <w:ind w:firstLine="709"/>
        <w:jc w:val="both"/>
        <w:rPr>
          <w:color w:val="000000" w:themeColor="text1"/>
          <w:shd w:val="clear" w:color="auto" w:fill="FFFFFF"/>
          <w:lang w:val="en-US"/>
        </w:rPr>
      </w:pPr>
      <w:r w:rsidRPr="002D7F02">
        <w:rPr>
          <w:color w:val="000000" w:themeColor="text1"/>
          <w:shd w:val="clear" w:color="auto" w:fill="FFFFFF"/>
          <w:lang w:val="en-US"/>
        </w:rPr>
        <w:t>13. </w:t>
      </w:r>
      <w:proofErr w:type="spellStart"/>
      <w:r w:rsidRPr="002D7F02">
        <w:rPr>
          <w:color w:val="000000" w:themeColor="text1"/>
          <w:shd w:val="clear" w:color="auto" w:fill="FFFFFF"/>
          <w:lang w:val="en-US"/>
        </w:rPr>
        <w:t>Brodetskyi</w:t>
      </w:r>
      <w:proofErr w:type="spellEnd"/>
      <w:r w:rsidRPr="002D7F02">
        <w:rPr>
          <w:color w:val="000000" w:themeColor="text1"/>
          <w:shd w:val="clear" w:color="auto" w:fill="FFFFFF"/>
          <w:lang w:val="en-US"/>
        </w:rPr>
        <w:t xml:space="preserve"> IS, </w:t>
      </w:r>
      <w:proofErr w:type="spellStart"/>
      <w:r w:rsidRPr="002D7F02">
        <w:rPr>
          <w:color w:val="000000" w:themeColor="text1"/>
          <w:shd w:val="clear" w:color="auto" w:fill="FFFFFF"/>
          <w:lang w:val="en-US"/>
        </w:rPr>
        <w:t>Malanchuk</w:t>
      </w:r>
      <w:proofErr w:type="spellEnd"/>
      <w:r w:rsidRPr="002D7F02">
        <w:rPr>
          <w:color w:val="000000" w:themeColor="text1"/>
          <w:shd w:val="clear" w:color="auto" w:fill="FFFFFF"/>
          <w:lang w:val="en-US"/>
        </w:rPr>
        <w:t xml:space="preserve"> VA, </w:t>
      </w:r>
      <w:proofErr w:type="spellStart"/>
      <w:r w:rsidRPr="002D7F02">
        <w:rPr>
          <w:color w:val="000000" w:themeColor="text1"/>
          <w:shd w:val="clear" w:color="auto" w:fill="FFFFFF"/>
          <w:lang w:val="en-US"/>
        </w:rPr>
        <w:t>Dyadyk</w:t>
      </w:r>
      <w:proofErr w:type="spellEnd"/>
      <w:r w:rsidRPr="002D7F02">
        <w:rPr>
          <w:color w:val="000000" w:themeColor="text1"/>
          <w:shd w:val="clear" w:color="auto" w:fill="FFFFFF"/>
          <w:lang w:val="en-US"/>
        </w:rPr>
        <w:t xml:space="preserve"> OO, et al. Expression features of human papilloma virus type 16 and anti-Epstein-Barr virus in pleomorphic adenoma, surrounding and intact salivary gland. </w:t>
      </w:r>
      <w:proofErr w:type="spellStart"/>
      <w:r w:rsidRPr="002D7F02">
        <w:rPr>
          <w:color w:val="000000" w:themeColor="text1"/>
          <w:shd w:val="clear" w:color="auto" w:fill="FFFFFF"/>
          <w:lang w:val="en-US"/>
        </w:rPr>
        <w:t>Wiad</w:t>
      </w:r>
      <w:proofErr w:type="spellEnd"/>
      <w:r w:rsidRPr="002D7F02">
        <w:rPr>
          <w:color w:val="000000" w:themeColor="text1"/>
          <w:shd w:val="clear" w:color="auto" w:fill="FFFFFF"/>
          <w:lang w:val="en-US"/>
        </w:rPr>
        <w:t xml:space="preserve"> </w:t>
      </w:r>
      <w:proofErr w:type="spellStart"/>
      <w:r w:rsidRPr="002D7F02">
        <w:rPr>
          <w:color w:val="000000" w:themeColor="text1"/>
          <w:shd w:val="clear" w:color="auto" w:fill="FFFFFF"/>
          <w:lang w:val="en-US"/>
        </w:rPr>
        <w:t>Lek</w:t>
      </w:r>
      <w:proofErr w:type="spellEnd"/>
      <w:r w:rsidRPr="002D7F02">
        <w:rPr>
          <w:color w:val="000000" w:themeColor="text1"/>
          <w:shd w:val="clear" w:color="auto" w:fill="FFFFFF"/>
          <w:lang w:val="en-US"/>
        </w:rPr>
        <w:t>. 2021</w:t>
      </w:r>
      <w:proofErr w:type="gramStart"/>
      <w:r w:rsidRPr="002D7F02">
        <w:rPr>
          <w:color w:val="000000" w:themeColor="text1"/>
          <w:shd w:val="clear" w:color="auto" w:fill="FFFFFF"/>
          <w:lang w:val="en-US"/>
        </w:rPr>
        <w:t>;74</w:t>
      </w:r>
      <w:proofErr w:type="gramEnd"/>
      <w:r w:rsidRPr="002D7F02">
        <w:rPr>
          <w:color w:val="000000" w:themeColor="text1"/>
          <w:shd w:val="clear" w:color="auto" w:fill="FFFFFF"/>
          <w:lang w:val="en-US"/>
        </w:rPr>
        <w:t xml:space="preserve">(8):1789-1793. </w:t>
      </w:r>
    </w:p>
    <w:p w:rsidR="007A36D1" w:rsidRPr="002D7F02" w:rsidRDefault="007A36D1" w:rsidP="007A36D1">
      <w:pPr>
        <w:spacing w:line="480" w:lineRule="auto"/>
        <w:ind w:firstLine="709"/>
        <w:jc w:val="both"/>
        <w:rPr>
          <w:color w:val="000000" w:themeColor="text1"/>
          <w:shd w:val="clear" w:color="auto" w:fill="FFFFFF"/>
          <w:lang w:val="en-US"/>
        </w:rPr>
      </w:pPr>
      <w:r w:rsidRPr="002D7F02">
        <w:rPr>
          <w:color w:val="000000" w:themeColor="text1"/>
          <w:shd w:val="clear" w:color="auto" w:fill="FFFFFF"/>
          <w:lang w:val="en-US"/>
        </w:rPr>
        <w:t>14. </w:t>
      </w:r>
      <w:proofErr w:type="spellStart"/>
      <w:r w:rsidRPr="002D7F02">
        <w:rPr>
          <w:color w:val="000000" w:themeColor="text1"/>
          <w:shd w:val="clear" w:color="auto" w:fill="FFFFFF"/>
          <w:lang w:val="en-US"/>
        </w:rPr>
        <w:t>Brodetskyi</w:t>
      </w:r>
      <w:proofErr w:type="spellEnd"/>
      <w:r w:rsidRPr="002D7F02">
        <w:rPr>
          <w:color w:val="000000" w:themeColor="text1"/>
          <w:shd w:val="clear" w:color="auto" w:fill="FFFFFF"/>
          <w:lang w:val="en-US"/>
        </w:rPr>
        <w:t xml:space="preserve"> IS, </w:t>
      </w:r>
      <w:proofErr w:type="spellStart"/>
      <w:r w:rsidRPr="002D7F02">
        <w:rPr>
          <w:color w:val="000000" w:themeColor="text1"/>
          <w:shd w:val="clear" w:color="auto" w:fill="FFFFFF"/>
          <w:lang w:val="en-US"/>
        </w:rPr>
        <w:t>Malanchuk</w:t>
      </w:r>
      <w:proofErr w:type="spellEnd"/>
      <w:r w:rsidRPr="002D7F02">
        <w:rPr>
          <w:color w:val="000000" w:themeColor="text1"/>
          <w:shd w:val="clear" w:color="auto" w:fill="FFFFFF"/>
          <w:lang w:val="en-US"/>
        </w:rPr>
        <w:t xml:space="preserve"> VA, </w:t>
      </w:r>
      <w:proofErr w:type="spellStart"/>
      <w:r w:rsidRPr="002D7F02">
        <w:rPr>
          <w:color w:val="000000" w:themeColor="text1"/>
          <w:shd w:val="clear" w:color="auto" w:fill="FFFFFF"/>
          <w:lang w:val="en-US"/>
        </w:rPr>
        <w:t>Dyadyk</w:t>
      </w:r>
      <w:proofErr w:type="spellEnd"/>
      <w:r w:rsidRPr="002D7F02">
        <w:rPr>
          <w:color w:val="000000" w:themeColor="text1"/>
          <w:shd w:val="clear" w:color="auto" w:fill="FFFFFF"/>
          <w:lang w:val="en-US"/>
        </w:rPr>
        <w:t xml:space="preserve"> OO, et al. Morphological justification of the salivary gland tissue resection boundaries during surgical treatment of patients with pleomorphic adenomas. </w:t>
      </w:r>
      <w:proofErr w:type="spellStart"/>
      <w:r w:rsidRPr="002D7F02">
        <w:rPr>
          <w:color w:val="000000" w:themeColor="text1"/>
          <w:shd w:val="clear" w:color="auto" w:fill="FFFFFF"/>
          <w:lang w:val="en-US"/>
        </w:rPr>
        <w:t>Wiad</w:t>
      </w:r>
      <w:proofErr w:type="spellEnd"/>
      <w:r w:rsidRPr="002D7F02">
        <w:rPr>
          <w:color w:val="000000" w:themeColor="text1"/>
          <w:shd w:val="clear" w:color="auto" w:fill="FFFFFF"/>
          <w:lang w:val="en-US"/>
        </w:rPr>
        <w:t xml:space="preserve"> </w:t>
      </w:r>
      <w:proofErr w:type="spellStart"/>
      <w:r w:rsidRPr="002D7F02">
        <w:rPr>
          <w:color w:val="000000" w:themeColor="text1"/>
          <w:shd w:val="clear" w:color="auto" w:fill="FFFFFF"/>
          <w:lang w:val="en-US"/>
        </w:rPr>
        <w:t>Lek</w:t>
      </w:r>
      <w:proofErr w:type="spellEnd"/>
      <w:r w:rsidRPr="002D7F02">
        <w:rPr>
          <w:color w:val="000000" w:themeColor="text1"/>
          <w:shd w:val="clear" w:color="auto" w:fill="FFFFFF"/>
          <w:lang w:val="en-US"/>
        </w:rPr>
        <w:t>. 2021</w:t>
      </w:r>
      <w:proofErr w:type="gramStart"/>
      <w:r w:rsidRPr="002D7F02">
        <w:rPr>
          <w:color w:val="000000" w:themeColor="text1"/>
          <w:shd w:val="clear" w:color="auto" w:fill="FFFFFF"/>
          <w:lang w:val="en-US"/>
        </w:rPr>
        <w:t>;74</w:t>
      </w:r>
      <w:proofErr w:type="gramEnd"/>
      <w:r w:rsidRPr="002D7F02">
        <w:rPr>
          <w:color w:val="000000" w:themeColor="text1"/>
          <w:shd w:val="clear" w:color="auto" w:fill="FFFFFF"/>
          <w:lang w:val="en-US"/>
        </w:rPr>
        <w:t xml:space="preserve">(9 </w:t>
      </w:r>
      <w:proofErr w:type="spellStart"/>
      <w:r w:rsidRPr="002D7F02">
        <w:rPr>
          <w:color w:val="000000" w:themeColor="text1"/>
          <w:shd w:val="clear" w:color="auto" w:fill="FFFFFF"/>
          <w:lang w:val="en-US"/>
        </w:rPr>
        <w:t>cz</w:t>
      </w:r>
      <w:proofErr w:type="spellEnd"/>
      <w:r w:rsidRPr="002D7F02">
        <w:rPr>
          <w:color w:val="000000" w:themeColor="text1"/>
          <w:shd w:val="clear" w:color="auto" w:fill="FFFFFF"/>
          <w:lang w:val="en-US"/>
        </w:rPr>
        <w:t xml:space="preserve"> 1):2182-2186. </w:t>
      </w:r>
    </w:p>
    <w:p w:rsidR="007A36D1" w:rsidRPr="002D7F02" w:rsidRDefault="007A36D1" w:rsidP="007A36D1">
      <w:pPr>
        <w:spacing w:line="480" w:lineRule="auto"/>
        <w:ind w:firstLine="709"/>
        <w:jc w:val="both"/>
        <w:rPr>
          <w:color w:val="000000" w:themeColor="text1"/>
          <w:shd w:val="clear" w:color="auto" w:fill="FFFFFF"/>
          <w:lang w:val="en-US"/>
        </w:rPr>
      </w:pPr>
      <w:r w:rsidRPr="002D7F02">
        <w:rPr>
          <w:color w:val="000000" w:themeColor="text1"/>
          <w:shd w:val="clear" w:color="auto" w:fill="FFFFFF"/>
          <w:lang w:val="en-US"/>
        </w:rPr>
        <w:t>15. </w:t>
      </w:r>
      <w:proofErr w:type="spellStart"/>
      <w:r w:rsidRPr="002D7F02">
        <w:rPr>
          <w:color w:val="000000" w:themeColor="text1"/>
          <w:shd w:val="clear" w:color="auto" w:fill="FFFFFF"/>
          <w:lang w:val="en-US"/>
        </w:rPr>
        <w:t>Brodetskyi</w:t>
      </w:r>
      <w:proofErr w:type="spellEnd"/>
      <w:r w:rsidRPr="002D7F02">
        <w:rPr>
          <w:color w:val="000000" w:themeColor="text1"/>
          <w:shd w:val="clear" w:color="auto" w:fill="FFFFFF"/>
          <w:lang w:val="en-US"/>
        </w:rPr>
        <w:t xml:space="preserve"> IS, </w:t>
      </w:r>
      <w:proofErr w:type="spellStart"/>
      <w:r w:rsidRPr="002D7F02">
        <w:rPr>
          <w:color w:val="000000" w:themeColor="text1"/>
          <w:shd w:val="clear" w:color="auto" w:fill="FFFFFF"/>
          <w:lang w:val="en-US"/>
        </w:rPr>
        <w:t>Malanchuk</w:t>
      </w:r>
      <w:proofErr w:type="spellEnd"/>
      <w:r w:rsidRPr="002D7F02">
        <w:rPr>
          <w:color w:val="000000" w:themeColor="text1"/>
          <w:shd w:val="clear" w:color="auto" w:fill="FFFFFF"/>
          <w:lang w:val="en-US"/>
        </w:rPr>
        <w:t xml:space="preserve"> VA, Sorokin BV, et al. Tumors and tumor-like lesions of the salivary glands: morphological characteristics of the surgical material. </w:t>
      </w:r>
      <w:proofErr w:type="spellStart"/>
      <w:r w:rsidRPr="002D7F02">
        <w:rPr>
          <w:color w:val="000000" w:themeColor="text1"/>
          <w:shd w:val="clear" w:color="auto" w:fill="FFFFFF"/>
          <w:lang w:val="en-US"/>
        </w:rPr>
        <w:t>Wiad</w:t>
      </w:r>
      <w:proofErr w:type="spellEnd"/>
      <w:r w:rsidRPr="002D7F02">
        <w:rPr>
          <w:color w:val="000000" w:themeColor="text1"/>
          <w:shd w:val="clear" w:color="auto" w:fill="FFFFFF"/>
          <w:lang w:val="en-US"/>
        </w:rPr>
        <w:t xml:space="preserve"> </w:t>
      </w:r>
      <w:proofErr w:type="spellStart"/>
      <w:r w:rsidRPr="002D7F02">
        <w:rPr>
          <w:color w:val="000000" w:themeColor="text1"/>
          <w:shd w:val="clear" w:color="auto" w:fill="FFFFFF"/>
          <w:lang w:val="en-US"/>
        </w:rPr>
        <w:t>Lek</w:t>
      </w:r>
      <w:proofErr w:type="spellEnd"/>
      <w:r w:rsidRPr="002D7F02">
        <w:rPr>
          <w:color w:val="000000" w:themeColor="text1"/>
          <w:shd w:val="clear" w:color="auto" w:fill="FFFFFF"/>
          <w:lang w:val="en-US"/>
        </w:rPr>
        <w:t>. 2021</w:t>
      </w:r>
      <w:proofErr w:type="gramStart"/>
      <w:r w:rsidRPr="002D7F02">
        <w:rPr>
          <w:color w:val="000000" w:themeColor="text1"/>
          <w:shd w:val="clear" w:color="auto" w:fill="FFFFFF"/>
          <w:lang w:val="en-US"/>
        </w:rPr>
        <w:t>;74</w:t>
      </w:r>
      <w:proofErr w:type="gramEnd"/>
      <w:r w:rsidRPr="002D7F02">
        <w:rPr>
          <w:color w:val="000000" w:themeColor="text1"/>
          <w:shd w:val="clear" w:color="auto" w:fill="FFFFFF"/>
          <w:lang w:val="en-US"/>
        </w:rPr>
        <w:t>(4):929-933.</w:t>
      </w:r>
    </w:p>
    <w:p w:rsidR="007A36D1" w:rsidRPr="002D7F02" w:rsidRDefault="007A36D1" w:rsidP="007A36D1">
      <w:pPr>
        <w:spacing w:line="480" w:lineRule="auto"/>
        <w:ind w:firstLine="709"/>
        <w:jc w:val="both"/>
        <w:rPr>
          <w:color w:val="000000" w:themeColor="text1"/>
          <w:shd w:val="clear" w:color="auto" w:fill="FFFFFF"/>
          <w:lang w:val="en-US"/>
        </w:rPr>
      </w:pPr>
      <w:r w:rsidRPr="002D7F02">
        <w:rPr>
          <w:color w:val="000000" w:themeColor="text1"/>
          <w:shd w:val="clear" w:color="auto" w:fill="FFFFFF"/>
          <w:lang w:val="en-US"/>
        </w:rPr>
        <w:t>16. </w:t>
      </w:r>
      <w:proofErr w:type="spellStart"/>
      <w:r w:rsidRPr="002D7F02">
        <w:rPr>
          <w:color w:val="000000" w:themeColor="text1"/>
          <w:shd w:val="clear" w:color="auto" w:fill="FFFFFF"/>
          <w:lang w:val="en-US"/>
        </w:rPr>
        <w:t>Xie</w:t>
      </w:r>
      <w:proofErr w:type="spellEnd"/>
      <w:r w:rsidRPr="002D7F02">
        <w:rPr>
          <w:color w:val="000000" w:themeColor="text1"/>
          <w:shd w:val="clear" w:color="auto" w:fill="FFFFFF"/>
          <w:lang w:val="en-US"/>
        </w:rPr>
        <w:t xml:space="preserve"> J, Li L. Comments on the utilization of Mann-Whitney U test and Kaplan-Meier method. </w:t>
      </w:r>
      <w:proofErr w:type="gramStart"/>
      <w:r w:rsidRPr="002D7F02">
        <w:rPr>
          <w:color w:val="000000" w:themeColor="text1"/>
          <w:shd w:val="clear" w:color="auto" w:fill="FFFFFF"/>
          <w:lang w:val="en-US"/>
        </w:rPr>
        <w:t xml:space="preserve">J </w:t>
      </w:r>
      <w:proofErr w:type="spellStart"/>
      <w:r w:rsidRPr="002D7F02">
        <w:rPr>
          <w:color w:val="000000" w:themeColor="text1"/>
          <w:shd w:val="clear" w:color="auto" w:fill="FFFFFF"/>
          <w:lang w:val="en-US"/>
        </w:rPr>
        <w:t>Gynecol</w:t>
      </w:r>
      <w:proofErr w:type="spellEnd"/>
      <w:r w:rsidRPr="002D7F02">
        <w:rPr>
          <w:color w:val="000000" w:themeColor="text1"/>
          <w:shd w:val="clear" w:color="auto" w:fill="FFFFFF"/>
          <w:lang w:val="en-US"/>
        </w:rPr>
        <w:t xml:space="preserve"> </w:t>
      </w:r>
      <w:proofErr w:type="spellStart"/>
      <w:r w:rsidRPr="002D7F02">
        <w:rPr>
          <w:color w:val="000000" w:themeColor="text1"/>
          <w:shd w:val="clear" w:color="auto" w:fill="FFFFFF"/>
          <w:lang w:val="en-US"/>
        </w:rPr>
        <w:t>Oncol</w:t>
      </w:r>
      <w:proofErr w:type="spellEnd"/>
      <w:r w:rsidRPr="002D7F02">
        <w:rPr>
          <w:color w:val="000000" w:themeColor="text1"/>
          <w:shd w:val="clear" w:color="auto" w:fill="FFFFFF"/>
          <w:lang w:val="en-US"/>
        </w:rPr>
        <w:t>.</w:t>
      </w:r>
      <w:proofErr w:type="gramEnd"/>
      <w:r w:rsidRPr="002D7F02">
        <w:rPr>
          <w:color w:val="000000" w:themeColor="text1"/>
          <w:shd w:val="clear" w:color="auto" w:fill="FFFFFF"/>
          <w:lang w:val="en-US"/>
        </w:rPr>
        <w:t xml:space="preserve"> 2021</w:t>
      </w:r>
      <w:proofErr w:type="gramStart"/>
      <w:r w:rsidRPr="002D7F02">
        <w:rPr>
          <w:color w:val="000000" w:themeColor="text1"/>
          <w:shd w:val="clear" w:color="auto" w:fill="FFFFFF"/>
          <w:lang w:val="en-US"/>
        </w:rPr>
        <w:t>;32</w:t>
      </w:r>
      <w:proofErr w:type="gramEnd"/>
      <w:r w:rsidRPr="002D7F02">
        <w:rPr>
          <w:color w:val="000000" w:themeColor="text1"/>
          <w:shd w:val="clear" w:color="auto" w:fill="FFFFFF"/>
          <w:lang w:val="en-US"/>
        </w:rPr>
        <w:t xml:space="preserve">(3):e46. </w:t>
      </w:r>
    </w:p>
    <w:p w:rsidR="007A36D1" w:rsidRPr="002D7F02" w:rsidRDefault="007A36D1" w:rsidP="007A36D1">
      <w:pPr>
        <w:spacing w:line="480" w:lineRule="auto"/>
        <w:ind w:firstLine="709"/>
        <w:jc w:val="both"/>
        <w:rPr>
          <w:color w:val="000000" w:themeColor="text1"/>
          <w:shd w:val="clear" w:color="auto" w:fill="FFFFFF"/>
          <w:lang w:val="en-US"/>
        </w:rPr>
      </w:pPr>
      <w:r w:rsidRPr="002D7F02">
        <w:rPr>
          <w:color w:val="000000" w:themeColor="text1"/>
          <w:shd w:val="clear" w:color="auto" w:fill="FFFFFF"/>
          <w:lang w:val="en-US"/>
        </w:rPr>
        <w:lastRenderedPageBreak/>
        <w:t>17. </w:t>
      </w:r>
      <w:proofErr w:type="spellStart"/>
      <w:r w:rsidRPr="002D7F02">
        <w:rPr>
          <w:color w:val="000000" w:themeColor="text1"/>
          <w:shd w:val="clear" w:color="auto" w:fill="FFFFFF"/>
          <w:lang w:val="en-US"/>
        </w:rPr>
        <w:t>Nahm</w:t>
      </w:r>
      <w:proofErr w:type="spellEnd"/>
      <w:r w:rsidRPr="002D7F02">
        <w:rPr>
          <w:color w:val="000000" w:themeColor="text1"/>
          <w:shd w:val="clear" w:color="auto" w:fill="FFFFFF"/>
          <w:lang w:val="en-US"/>
        </w:rPr>
        <w:t xml:space="preserve"> FS. Nonparametric statistical tests for the continuous data: the basic concept and the practical use. </w:t>
      </w:r>
      <w:proofErr w:type="gramStart"/>
      <w:r w:rsidRPr="002D7F02">
        <w:rPr>
          <w:color w:val="000000" w:themeColor="text1"/>
          <w:shd w:val="clear" w:color="auto" w:fill="FFFFFF"/>
          <w:lang w:val="en-US"/>
        </w:rPr>
        <w:t xml:space="preserve">Korean J </w:t>
      </w:r>
      <w:proofErr w:type="spellStart"/>
      <w:r w:rsidRPr="002D7F02">
        <w:rPr>
          <w:color w:val="000000" w:themeColor="text1"/>
          <w:shd w:val="clear" w:color="auto" w:fill="FFFFFF"/>
          <w:lang w:val="en-US"/>
        </w:rPr>
        <w:t>Anesthesiol</w:t>
      </w:r>
      <w:proofErr w:type="spellEnd"/>
      <w:r w:rsidRPr="002D7F02">
        <w:rPr>
          <w:color w:val="000000" w:themeColor="text1"/>
          <w:shd w:val="clear" w:color="auto" w:fill="FFFFFF"/>
          <w:lang w:val="en-US"/>
        </w:rPr>
        <w:t>.</w:t>
      </w:r>
      <w:proofErr w:type="gramEnd"/>
      <w:r w:rsidRPr="002D7F02">
        <w:rPr>
          <w:color w:val="000000" w:themeColor="text1"/>
          <w:shd w:val="clear" w:color="auto" w:fill="FFFFFF"/>
          <w:lang w:val="en-US"/>
        </w:rPr>
        <w:t xml:space="preserve"> 2016</w:t>
      </w:r>
      <w:proofErr w:type="gramStart"/>
      <w:r w:rsidRPr="002D7F02">
        <w:rPr>
          <w:color w:val="000000" w:themeColor="text1"/>
          <w:shd w:val="clear" w:color="auto" w:fill="FFFFFF"/>
          <w:lang w:val="en-US"/>
        </w:rPr>
        <w:t>;69</w:t>
      </w:r>
      <w:proofErr w:type="gramEnd"/>
      <w:r w:rsidRPr="002D7F02">
        <w:rPr>
          <w:color w:val="000000" w:themeColor="text1"/>
          <w:shd w:val="clear" w:color="auto" w:fill="FFFFFF"/>
          <w:lang w:val="en-US"/>
        </w:rPr>
        <w:t>(1):8-14.</w:t>
      </w:r>
    </w:p>
    <w:p w:rsidR="007A36D1" w:rsidRPr="002D7F02" w:rsidRDefault="007A36D1" w:rsidP="007A36D1">
      <w:pPr>
        <w:spacing w:line="480" w:lineRule="auto"/>
        <w:ind w:firstLine="709"/>
        <w:jc w:val="both"/>
        <w:rPr>
          <w:color w:val="000000" w:themeColor="text1"/>
          <w:shd w:val="clear" w:color="auto" w:fill="FFFFFF"/>
          <w:lang w:val="en-US"/>
        </w:rPr>
      </w:pPr>
      <w:r w:rsidRPr="002D7F02">
        <w:rPr>
          <w:color w:val="000000" w:themeColor="text1"/>
          <w:shd w:val="clear" w:color="auto" w:fill="FFFFFF"/>
          <w:lang w:val="en-US"/>
        </w:rPr>
        <w:t>18. </w:t>
      </w:r>
      <w:proofErr w:type="spellStart"/>
      <w:r w:rsidRPr="002D7F02">
        <w:rPr>
          <w:color w:val="000000" w:themeColor="text1"/>
          <w:shd w:val="clear" w:color="auto" w:fill="FFFFFF"/>
          <w:lang w:val="en-US"/>
        </w:rPr>
        <w:t>Manca</w:t>
      </w:r>
      <w:proofErr w:type="spellEnd"/>
      <w:r w:rsidRPr="002D7F02">
        <w:rPr>
          <w:color w:val="000000" w:themeColor="text1"/>
          <w:shd w:val="clear" w:color="auto" w:fill="FFFFFF"/>
          <w:lang w:val="en-US"/>
        </w:rPr>
        <w:t xml:space="preserve"> E, </w:t>
      </w:r>
      <w:proofErr w:type="spellStart"/>
      <w:r w:rsidRPr="002D7F02">
        <w:rPr>
          <w:color w:val="000000" w:themeColor="text1"/>
          <w:shd w:val="clear" w:color="auto" w:fill="FFFFFF"/>
          <w:lang w:val="en-US"/>
        </w:rPr>
        <w:t>Cesarani</w:t>
      </w:r>
      <w:proofErr w:type="spellEnd"/>
      <w:r w:rsidRPr="002D7F02">
        <w:rPr>
          <w:color w:val="000000" w:themeColor="text1"/>
          <w:shd w:val="clear" w:color="auto" w:fill="FFFFFF"/>
          <w:lang w:val="en-US"/>
        </w:rPr>
        <w:t xml:space="preserve"> A, </w:t>
      </w:r>
      <w:proofErr w:type="spellStart"/>
      <w:r w:rsidRPr="002D7F02">
        <w:rPr>
          <w:color w:val="000000" w:themeColor="text1"/>
          <w:shd w:val="clear" w:color="auto" w:fill="FFFFFF"/>
          <w:lang w:val="en-US"/>
        </w:rPr>
        <w:t>Gaspa</w:t>
      </w:r>
      <w:proofErr w:type="spellEnd"/>
      <w:r w:rsidRPr="002D7F02">
        <w:rPr>
          <w:color w:val="000000" w:themeColor="text1"/>
          <w:shd w:val="clear" w:color="auto" w:fill="FFFFFF"/>
          <w:lang w:val="en-US"/>
        </w:rPr>
        <w:t xml:space="preserve"> G, et al. Use of the multivariate discriminant analysis for genome-wide association studies in cattle. </w:t>
      </w:r>
      <w:proofErr w:type="gramStart"/>
      <w:r w:rsidRPr="002D7F02">
        <w:rPr>
          <w:color w:val="000000" w:themeColor="text1"/>
          <w:shd w:val="clear" w:color="auto" w:fill="FFFFFF"/>
          <w:lang w:val="en-US"/>
        </w:rPr>
        <w:t>Animals (Basel).</w:t>
      </w:r>
      <w:proofErr w:type="gramEnd"/>
      <w:r w:rsidRPr="002D7F02">
        <w:rPr>
          <w:color w:val="000000" w:themeColor="text1"/>
          <w:shd w:val="clear" w:color="auto" w:fill="FFFFFF"/>
          <w:lang w:val="en-US"/>
        </w:rPr>
        <w:t xml:space="preserve"> 2020</w:t>
      </w:r>
      <w:proofErr w:type="gramStart"/>
      <w:r w:rsidRPr="002D7F02">
        <w:rPr>
          <w:color w:val="000000" w:themeColor="text1"/>
          <w:shd w:val="clear" w:color="auto" w:fill="FFFFFF"/>
          <w:lang w:val="en-US"/>
        </w:rPr>
        <w:t>;10</w:t>
      </w:r>
      <w:proofErr w:type="gramEnd"/>
      <w:r w:rsidRPr="002D7F02">
        <w:rPr>
          <w:color w:val="000000" w:themeColor="text1"/>
          <w:shd w:val="clear" w:color="auto" w:fill="FFFFFF"/>
          <w:lang w:val="en-US"/>
        </w:rPr>
        <w:t>(8):1300.</w:t>
      </w:r>
    </w:p>
    <w:p w:rsidR="007A36D1" w:rsidRPr="002D7F02" w:rsidRDefault="007A36D1" w:rsidP="007A36D1">
      <w:pPr>
        <w:spacing w:line="480" w:lineRule="auto"/>
        <w:ind w:firstLine="709"/>
        <w:jc w:val="both"/>
        <w:rPr>
          <w:color w:val="000000" w:themeColor="text1"/>
          <w:shd w:val="clear" w:color="auto" w:fill="FFFFFF"/>
          <w:lang w:val="en-US"/>
        </w:rPr>
      </w:pPr>
      <w:r w:rsidRPr="002D7F02">
        <w:rPr>
          <w:color w:val="000000" w:themeColor="text1"/>
          <w:shd w:val="clear" w:color="auto" w:fill="FFFFFF"/>
          <w:lang w:val="en-US"/>
        </w:rPr>
        <w:t>19. </w:t>
      </w:r>
      <w:proofErr w:type="spellStart"/>
      <w:r w:rsidRPr="002D7F02">
        <w:rPr>
          <w:color w:val="000000" w:themeColor="text1"/>
          <w:shd w:val="clear" w:color="auto" w:fill="FFFFFF"/>
          <w:lang w:val="en-US"/>
        </w:rPr>
        <w:t>Khanna</w:t>
      </w:r>
      <w:proofErr w:type="spellEnd"/>
      <w:r w:rsidRPr="002D7F02">
        <w:rPr>
          <w:color w:val="000000" w:themeColor="text1"/>
          <w:shd w:val="clear" w:color="auto" w:fill="FFFFFF"/>
          <w:lang w:val="en-US"/>
        </w:rPr>
        <w:t xml:space="preserve"> D, </w:t>
      </w:r>
      <w:proofErr w:type="spellStart"/>
      <w:r w:rsidRPr="002D7F02">
        <w:rPr>
          <w:color w:val="000000" w:themeColor="text1"/>
          <w:shd w:val="clear" w:color="auto" w:fill="FFFFFF"/>
          <w:lang w:val="en-US"/>
        </w:rPr>
        <w:t>Chaubal</w:t>
      </w:r>
      <w:proofErr w:type="spellEnd"/>
      <w:r w:rsidRPr="002D7F02">
        <w:rPr>
          <w:color w:val="000000" w:themeColor="text1"/>
          <w:shd w:val="clear" w:color="auto" w:fill="FFFFFF"/>
          <w:lang w:val="en-US"/>
        </w:rPr>
        <w:t xml:space="preserve"> T, </w:t>
      </w:r>
      <w:proofErr w:type="spellStart"/>
      <w:r w:rsidRPr="002D7F02">
        <w:rPr>
          <w:color w:val="000000" w:themeColor="text1"/>
          <w:shd w:val="clear" w:color="auto" w:fill="FFFFFF"/>
          <w:lang w:val="en-US"/>
        </w:rPr>
        <w:t>Bapat</w:t>
      </w:r>
      <w:proofErr w:type="spellEnd"/>
      <w:r w:rsidRPr="002D7F02">
        <w:rPr>
          <w:color w:val="000000" w:themeColor="text1"/>
          <w:shd w:val="clear" w:color="auto" w:fill="FFFFFF"/>
          <w:lang w:val="en-US"/>
        </w:rPr>
        <w:t xml:space="preserve"> R, et al. Carcinoma ex pleomorphic adenoma: a case report and review of literature. </w:t>
      </w:r>
      <w:proofErr w:type="spellStart"/>
      <w:r w:rsidRPr="002D7F02">
        <w:rPr>
          <w:color w:val="000000" w:themeColor="text1"/>
          <w:shd w:val="clear" w:color="auto" w:fill="FFFFFF"/>
          <w:lang w:val="en-US"/>
        </w:rPr>
        <w:t>Afr</w:t>
      </w:r>
      <w:proofErr w:type="spellEnd"/>
      <w:r w:rsidRPr="002D7F02">
        <w:rPr>
          <w:color w:val="000000" w:themeColor="text1"/>
          <w:shd w:val="clear" w:color="auto" w:fill="FFFFFF"/>
          <w:lang w:val="en-US"/>
        </w:rPr>
        <w:t xml:space="preserve"> Health Sci. 2019</w:t>
      </w:r>
      <w:proofErr w:type="gramStart"/>
      <w:r w:rsidRPr="002D7F02">
        <w:rPr>
          <w:color w:val="000000" w:themeColor="text1"/>
          <w:shd w:val="clear" w:color="auto" w:fill="FFFFFF"/>
          <w:lang w:val="en-US"/>
        </w:rPr>
        <w:t>;19</w:t>
      </w:r>
      <w:proofErr w:type="gramEnd"/>
      <w:r w:rsidRPr="002D7F02">
        <w:rPr>
          <w:color w:val="000000" w:themeColor="text1"/>
          <w:shd w:val="clear" w:color="auto" w:fill="FFFFFF"/>
          <w:lang w:val="en-US"/>
        </w:rPr>
        <w:t>(4):3253-3263.</w:t>
      </w:r>
    </w:p>
    <w:p w:rsidR="007A36D1" w:rsidRPr="002D7F02" w:rsidRDefault="007A36D1" w:rsidP="007A36D1">
      <w:pPr>
        <w:spacing w:line="480" w:lineRule="auto"/>
        <w:ind w:firstLine="709"/>
        <w:jc w:val="both"/>
        <w:rPr>
          <w:color w:val="000000" w:themeColor="text1"/>
          <w:shd w:val="clear" w:color="auto" w:fill="FFFFFF"/>
          <w:lang w:val="en-US"/>
        </w:rPr>
      </w:pPr>
      <w:r w:rsidRPr="002D7F02">
        <w:rPr>
          <w:color w:val="000000" w:themeColor="text1"/>
          <w:shd w:val="clear" w:color="auto" w:fill="FFFFFF"/>
          <w:lang w:val="en-US"/>
        </w:rPr>
        <w:t>20. </w:t>
      </w:r>
      <w:proofErr w:type="spellStart"/>
      <w:r w:rsidRPr="002D7F02">
        <w:rPr>
          <w:color w:val="000000" w:themeColor="text1"/>
          <w:shd w:val="clear" w:color="auto" w:fill="FFFFFF"/>
          <w:lang w:val="en-US"/>
        </w:rPr>
        <w:t>Hafed</w:t>
      </w:r>
      <w:proofErr w:type="spellEnd"/>
      <w:r w:rsidRPr="002D7F02">
        <w:rPr>
          <w:color w:val="000000" w:themeColor="text1"/>
          <w:shd w:val="clear" w:color="auto" w:fill="FFFFFF"/>
          <w:lang w:val="en-US"/>
        </w:rPr>
        <w:t xml:space="preserve"> L, </w:t>
      </w:r>
      <w:proofErr w:type="spellStart"/>
      <w:r w:rsidRPr="002D7F02">
        <w:rPr>
          <w:color w:val="000000" w:themeColor="text1"/>
          <w:shd w:val="clear" w:color="auto" w:fill="FFFFFF"/>
          <w:lang w:val="en-US"/>
        </w:rPr>
        <w:t>Farag</w:t>
      </w:r>
      <w:proofErr w:type="spellEnd"/>
      <w:r w:rsidRPr="002D7F02">
        <w:rPr>
          <w:color w:val="000000" w:themeColor="text1"/>
          <w:shd w:val="clear" w:color="auto" w:fill="FFFFFF"/>
          <w:lang w:val="en-US"/>
        </w:rPr>
        <w:t xml:space="preserve"> H, Shaker O, et al. Is human papilloma virus associated with salivary gland neoplasms? An in situ-hybridization study. Arch Oral Biol. 2012</w:t>
      </w:r>
      <w:proofErr w:type="gramStart"/>
      <w:r w:rsidRPr="002D7F02">
        <w:rPr>
          <w:color w:val="000000" w:themeColor="text1"/>
          <w:shd w:val="clear" w:color="auto" w:fill="FFFFFF"/>
          <w:lang w:val="en-US"/>
        </w:rPr>
        <w:t>;57</w:t>
      </w:r>
      <w:proofErr w:type="gramEnd"/>
      <w:r w:rsidRPr="002D7F02">
        <w:rPr>
          <w:color w:val="000000" w:themeColor="text1"/>
          <w:shd w:val="clear" w:color="auto" w:fill="FFFFFF"/>
          <w:lang w:val="en-US"/>
        </w:rPr>
        <w:t>(9):1194-1199.</w:t>
      </w:r>
    </w:p>
    <w:p w:rsidR="007A36D1" w:rsidRPr="002D7F02" w:rsidRDefault="007A36D1" w:rsidP="007A36D1">
      <w:pPr>
        <w:spacing w:line="480" w:lineRule="auto"/>
        <w:ind w:firstLine="709"/>
        <w:jc w:val="both"/>
        <w:rPr>
          <w:color w:val="000000" w:themeColor="text1"/>
          <w:shd w:val="clear" w:color="auto" w:fill="FFFFFF"/>
          <w:lang w:val="en-US"/>
        </w:rPr>
      </w:pPr>
      <w:r w:rsidRPr="002D7F02">
        <w:rPr>
          <w:color w:val="000000" w:themeColor="text1"/>
          <w:shd w:val="clear" w:color="auto" w:fill="FFFFFF"/>
          <w:lang w:val="en-US"/>
        </w:rPr>
        <w:t>21. </w:t>
      </w:r>
      <w:proofErr w:type="spellStart"/>
      <w:r w:rsidRPr="002D7F02">
        <w:rPr>
          <w:color w:val="000000" w:themeColor="text1"/>
          <w:shd w:val="clear" w:color="auto" w:fill="FFFFFF"/>
          <w:lang w:val="en-US"/>
        </w:rPr>
        <w:t>Haeggblom</w:t>
      </w:r>
      <w:proofErr w:type="spellEnd"/>
      <w:r w:rsidRPr="002D7F02">
        <w:rPr>
          <w:color w:val="000000" w:themeColor="text1"/>
          <w:shd w:val="clear" w:color="auto" w:fill="FFFFFF"/>
          <w:lang w:val="en-US"/>
        </w:rPr>
        <w:t xml:space="preserve"> L, </w:t>
      </w:r>
      <w:proofErr w:type="spellStart"/>
      <w:r w:rsidRPr="002D7F02">
        <w:rPr>
          <w:color w:val="000000" w:themeColor="text1"/>
          <w:shd w:val="clear" w:color="auto" w:fill="FFFFFF"/>
          <w:lang w:val="en-US"/>
        </w:rPr>
        <w:t>Ursu</w:t>
      </w:r>
      <w:proofErr w:type="spellEnd"/>
      <w:r w:rsidRPr="002D7F02">
        <w:rPr>
          <w:color w:val="000000" w:themeColor="text1"/>
          <w:shd w:val="clear" w:color="auto" w:fill="FFFFFF"/>
          <w:lang w:val="en-US"/>
        </w:rPr>
        <w:t xml:space="preserve"> RG, </w:t>
      </w:r>
      <w:proofErr w:type="spellStart"/>
      <w:r w:rsidRPr="002D7F02">
        <w:rPr>
          <w:color w:val="000000" w:themeColor="text1"/>
          <w:shd w:val="clear" w:color="auto" w:fill="FFFFFF"/>
          <w:lang w:val="en-US"/>
        </w:rPr>
        <w:t>Mirzaie</w:t>
      </w:r>
      <w:proofErr w:type="spellEnd"/>
      <w:r w:rsidRPr="002D7F02">
        <w:rPr>
          <w:color w:val="000000" w:themeColor="text1"/>
          <w:shd w:val="clear" w:color="auto" w:fill="FFFFFF"/>
          <w:lang w:val="en-US"/>
        </w:rPr>
        <w:t xml:space="preserve"> L, et al. No evidence for human papillomavirus having a causal role in salivary gland tumors. </w:t>
      </w:r>
      <w:proofErr w:type="spellStart"/>
      <w:r w:rsidRPr="002D7F02">
        <w:rPr>
          <w:color w:val="000000" w:themeColor="text1"/>
          <w:shd w:val="clear" w:color="auto" w:fill="FFFFFF"/>
          <w:lang w:val="en-US"/>
        </w:rPr>
        <w:t>Diagn</w:t>
      </w:r>
      <w:proofErr w:type="spellEnd"/>
      <w:r w:rsidRPr="002D7F02">
        <w:rPr>
          <w:color w:val="000000" w:themeColor="text1"/>
          <w:shd w:val="clear" w:color="auto" w:fill="FFFFFF"/>
          <w:lang w:val="en-US"/>
        </w:rPr>
        <w:t xml:space="preserve"> </w:t>
      </w:r>
      <w:proofErr w:type="spellStart"/>
      <w:r w:rsidRPr="002D7F02">
        <w:rPr>
          <w:color w:val="000000" w:themeColor="text1"/>
          <w:shd w:val="clear" w:color="auto" w:fill="FFFFFF"/>
          <w:lang w:val="en-US"/>
        </w:rPr>
        <w:t>Pathol</w:t>
      </w:r>
      <w:proofErr w:type="spellEnd"/>
      <w:r w:rsidRPr="002D7F02">
        <w:rPr>
          <w:color w:val="000000" w:themeColor="text1"/>
          <w:shd w:val="clear" w:color="auto" w:fill="FFFFFF"/>
          <w:lang w:val="en-US"/>
        </w:rPr>
        <w:t>. 2018</w:t>
      </w:r>
      <w:proofErr w:type="gramStart"/>
      <w:r w:rsidRPr="002D7F02">
        <w:rPr>
          <w:color w:val="000000" w:themeColor="text1"/>
          <w:shd w:val="clear" w:color="auto" w:fill="FFFFFF"/>
          <w:lang w:val="en-US"/>
        </w:rPr>
        <w:t>;13</w:t>
      </w:r>
      <w:proofErr w:type="gramEnd"/>
      <w:r w:rsidRPr="002D7F02">
        <w:rPr>
          <w:color w:val="000000" w:themeColor="text1"/>
          <w:shd w:val="clear" w:color="auto" w:fill="FFFFFF"/>
          <w:lang w:val="en-US"/>
        </w:rPr>
        <w:t>(1):44.</w:t>
      </w:r>
    </w:p>
    <w:p w:rsidR="007A36D1" w:rsidRPr="002D7F02" w:rsidRDefault="007A36D1" w:rsidP="007A36D1">
      <w:pPr>
        <w:spacing w:line="480" w:lineRule="auto"/>
        <w:ind w:firstLine="709"/>
        <w:jc w:val="both"/>
        <w:rPr>
          <w:color w:val="000000" w:themeColor="text1"/>
          <w:shd w:val="clear" w:color="auto" w:fill="FFFFFF"/>
          <w:lang w:val="en-US"/>
        </w:rPr>
      </w:pPr>
      <w:r w:rsidRPr="002D7F02">
        <w:rPr>
          <w:color w:val="000000" w:themeColor="text1"/>
          <w:shd w:val="clear" w:color="auto" w:fill="FFFFFF"/>
          <w:lang w:val="en-US"/>
        </w:rPr>
        <w:t xml:space="preserve">22. Zhu Y, Xia X, </w:t>
      </w:r>
      <w:proofErr w:type="spellStart"/>
      <w:r w:rsidRPr="002D7F02">
        <w:rPr>
          <w:color w:val="000000" w:themeColor="text1"/>
          <w:shd w:val="clear" w:color="auto" w:fill="FFFFFF"/>
          <w:lang w:val="en-US"/>
        </w:rPr>
        <w:t>Gao</w:t>
      </w:r>
      <w:proofErr w:type="spellEnd"/>
      <w:r w:rsidRPr="002D7F02">
        <w:rPr>
          <w:color w:val="000000" w:themeColor="text1"/>
          <w:shd w:val="clear" w:color="auto" w:fill="FFFFFF"/>
          <w:lang w:val="en-US"/>
        </w:rPr>
        <w:t xml:space="preserve"> L, et al. Prognostic implications of human papillomavirus type 16 status in non-</w:t>
      </w:r>
      <w:proofErr w:type="spellStart"/>
      <w:r w:rsidRPr="002D7F02">
        <w:rPr>
          <w:color w:val="000000" w:themeColor="text1"/>
          <w:shd w:val="clear" w:color="auto" w:fill="FFFFFF"/>
          <w:lang w:val="en-US"/>
        </w:rPr>
        <w:t>oropharyngeal</w:t>
      </w:r>
      <w:proofErr w:type="spellEnd"/>
      <w:r w:rsidRPr="002D7F02">
        <w:rPr>
          <w:color w:val="000000" w:themeColor="text1"/>
          <w:shd w:val="clear" w:color="auto" w:fill="FFFFFF"/>
          <w:lang w:val="en-US"/>
        </w:rPr>
        <w:t xml:space="preserve"> head and neck cancer: a propensity score matching analysis. Ann </w:t>
      </w:r>
      <w:proofErr w:type="spellStart"/>
      <w:r w:rsidRPr="002D7F02">
        <w:rPr>
          <w:color w:val="000000" w:themeColor="text1"/>
          <w:shd w:val="clear" w:color="auto" w:fill="FFFFFF"/>
          <w:lang w:val="en-US"/>
        </w:rPr>
        <w:t>Transl</w:t>
      </w:r>
      <w:proofErr w:type="spellEnd"/>
      <w:r w:rsidRPr="002D7F02">
        <w:rPr>
          <w:color w:val="000000" w:themeColor="text1"/>
          <w:shd w:val="clear" w:color="auto" w:fill="FFFFFF"/>
          <w:lang w:val="en-US"/>
        </w:rPr>
        <w:t xml:space="preserve"> Med. 2019</w:t>
      </w:r>
      <w:proofErr w:type="gramStart"/>
      <w:r w:rsidRPr="002D7F02">
        <w:rPr>
          <w:color w:val="000000" w:themeColor="text1"/>
          <w:shd w:val="clear" w:color="auto" w:fill="FFFFFF"/>
          <w:lang w:val="en-US"/>
        </w:rPr>
        <w:t>;7</w:t>
      </w:r>
      <w:proofErr w:type="gramEnd"/>
      <w:r w:rsidRPr="002D7F02">
        <w:rPr>
          <w:color w:val="000000" w:themeColor="text1"/>
          <w:shd w:val="clear" w:color="auto" w:fill="FFFFFF"/>
          <w:lang w:val="en-US"/>
        </w:rPr>
        <w:t xml:space="preserve">(23):759. </w:t>
      </w:r>
    </w:p>
    <w:p w:rsidR="007A36D1" w:rsidRPr="002D7F02" w:rsidRDefault="007A36D1" w:rsidP="007A36D1">
      <w:pPr>
        <w:spacing w:line="480" w:lineRule="auto"/>
        <w:ind w:firstLine="709"/>
        <w:jc w:val="both"/>
        <w:rPr>
          <w:color w:val="000000" w:themeColor="text1"/>
          <w:shd w:val="clear" w:color="auto" w:fill="FFFFFF"/>
          <w:lang w:val="en-US"/>
        </w:rPr>
      </w:pPr>
      <w:r w:rsidRPr="002D7F02">
        <w:rPr>
          <w:color w:val="000000" w:themeColor="text1"/>
          <w:shd w:val="clear" w:color="auto" w:fill="FFFFFF"/>
          <w:lang w:val="en-US"/>
        </w:rPr>
        <w:t>23. </w:t>
      </w:r>
      <w:proofErr w:type="spellStart"/>
      <w:r w:rsidRPr="002D7F02">
        <w:rPr>
          <w:color w:val="000000" w:themeColor="text1"/>
          <w:shd w:val="clear" w:color="auto" w:fill="FFFFFF"/>
          <w:lang w:val="en-US"/>
        </w:rPr>
        <w:t>Janecka-Widła</w:t>
      </w:r>
      <w:proofErr w:type="spellEnd"/>
      <w:r w:rsidRPr="002D7F02">
        <w:rPr>
          <w:color w:val="000000" w:themeColor="text1"/>
          <w:shd w:val="clear" w:color="auto" w:fill="FFFFFF"/>
          <w:lang w:val="en-US"/>
        </w:rPr>
        <w:t xml:space="preserve"> A, </w:t>
      </w:r>
      <w:proofErr w:type="spellStart"/>
      <w:r w:rsidRPr="002D7F02">
        <w:rPr>
          <w:color w:val="000000" w:themeColor="text1"/>
          <w:shd w:val="clear" w:color="auto" w:fill="FFFFFF"/>
          <w:lang w:val="en-US"/>
        </w:rPr>
        <w:t>Mucha-Małecka</w:t>
      </w:r>
      <w:proofErr w:type="spellEnd"/>
      <w:r w:rsidRPr="002D7F02">
        <w:rPr>
          <w:color w:val="000000" w:themeColor="text1"/>
          <w:shd w:val="clear" w:color="auto" w:fill="FFFFFF"/>
          <w:lang w:val="en-US"/>
        </w:rPr>
        <w:t xml:space="preserve"> A, </w:t>
      </w:r>
      <w:proofErr w:type="spellStart"/>
      <w:r w:rsidRPr="002D7F02">
        <w:rPr>
          <w:color w:val="000000" w:themeColor="text1"/>
          <w:shd w:val="clear" w:color="auto" w:fill="FFFFFF"/>
          <w:lang w:val="en-US"/>
        </w:rPr>
        <w:t>Majchrzyk</w:t>
      </w:r>
      <w:proofErr w:type="spellEnd"/>
      <w:r w:rsidRPr="002D7F02">
        <w:rPr>
          <w:color w:val="000000" w:themeColor="text1"/>
          <w:shd w:val="clear" w:color="auto" w:fill="FFFFFF"/>
          <w:lang w:val="en-US"/>
        </w:rPr>
        <w:t xml:space="preserve"> K, et al. Active HPV infection and its influence on survival in head and neck squamous-cell cancer. </w:t>
      </w:r>
      <w:proofErr w:type="gramStart"/>
      <w:r w:rsidRPr="002D7F02">
        <w:rPr>
          <w:color w:val="000000" w:themeColor="text1"/>
          <w:shd w:val="clear" w:color="auto" w:fill="FFFFFF"/>
          <w:lang w:val="en-US"/>
        </w:rPr>
        <w:t xml:space="preserve">J Cancer Res </w:t>
      </w:r>
      <w:proofErr w:type="spellStart"/>
      <w:r w:rsidRPr="002D7F02">
        <w:rPr>
          <w:color w:val="000000" w:themeColor="text1"/>
          <w:shd w:val="clear" w:color="auto" w:fill="FFFFFF"/>
          <w:lang w:val="en-US"/>
        </w:rPr>
        <w:t>Clin</w:t>
      </w:r>
      <w:proofErr w:type="spellEnd"/>
      <w:r w:rsidRPr="002D7F02">
        <w:rPr>
          <w:color w:val="000000" w:themeColor="text1"/>
          <w:shd w:val="clear" w:color="auto" w:fill="FFFFFF"/>
          <w:lang w:val="en-US"/>
        </w:rPr>
        <w:t xml:space="preserve"> </w:t>
      </w:r>
      <w:proofErr w:type="spellStart"/>
      <w:r w:rsidRPr="002D7F02">
        <w:rPr>
          <w:color w:val="000000" w:themeColor="text1"/>
          <w:shd w:val="clear" w:color="auto" w:fill="FFFFFF"/>
          <w:lang w:val="en-US"/>
        </w:rPr>
        <w:t>Oncol</w:t>
      </w:r>
      <w:proofErr w:type="spellEnd"/>
      <w:r w:rsidRPr="002D7F02">
        <w:rPr>
          <w:color w:val="000000" w:themeColor="text1"/>
          <w:shd w:val="clear" w:color="auto" w:fill="FFFFFF"/>
          <w:lang w:val="en-US"/>
        </w:rPr>
        <w:t>.</w:t>
      </w:r>
      <w:proofErr w:type="gramEnd"/>
      <w:r w:rsidRPr="002D7F02">
        <w:rPr>
          <w:color w:val="000000" w:themeColor="text1"/>
          <w:shd w:val="clear" w:color="auto" w:fill="FFFFFF"/>
          <w:lang w:val="en-US"/>
        </w:rPr>
        <w:t xml:space="preserve"> 2020</w:t>
      </w:r>
      <w:proofErr w:type="gramStart"/>
      <w:r w:rsidRPr="002D7F02">
        <w:rPr>
          <w:color w:val="000000" w:themeColor="text1"/>
          <w:shd w:val="clear" w:color="auto" w:fill="FFFFFF"/>
          <w:lang w:val="en-US"/>
        </w:rPr>
        <w:t>;146</w:t>
      </w:r>
      <w:proofErr w:type="gramEnd"/>
      <w:r w:rsidRPr="002D7F02">
        <w:rPr>
          <w:color w:val="000000" w:themeColor="text1"/>
          <w:shd w:val="clear" w:color="auto" w:fill="FFFFFF"/>
          <w:lang w:val="en-US"/>
        </w:rPr>
        <w:t>(7):1677-1692.</w:t>
      </w:r>
    </w:p>
    <w:p w:rsidR="007A36D1" w:rsidRPr="002D7F02" w:rsidRDefault="007A36D1" w:rsidP="007A36D1">
      <w:pPr>
        <w:spacing w:line="480" w:lineRule="auto"/>
        <w:ind w:firstLine="709"/>
        <w:jc w:val="both"/>
        <w:rPr>
          <w:color w:val="000000" w:themeColor="text1"/>
          <w:shd w:val="clear" w:color="auto" w:fill="FFFFFF"/>
          <w:lang w:val="en-US"/>
        </w:rPr>
      </w:pPr>
      <w:r w:rsidRPr="002D7F02">
        <w:rPr>
          <w:color w:val="000000" w:themeColor="text1"/>
          <w:shd w:val="clear" w:color="auto" w:fill="FFFFFF"/>
          <w:lang w:val="en-US"/>
        </w:rPr>
        <w:t>24. </w:t>
      </w:r>
      <w:proofErr w:type="spellStart"/>
      <w:r w:rsidRPr="002D7F02">
        <w:rPr>
          <w:color w:val="000000" w:themeColor="text1"/>
          <w:shd w:val="clear" w:color="auto" w:fill="FFFFFF"/>
          <w:lang w:val="en-US"/>
        </w:rPr>
        <w:t>Soares</w:t>
      </w:r>
      <w:proofErr w:type="spellEnd"/>
      <w:r w:rsidRPr="002D7F02">
        <w:rPr>
          <w:color w:val="000000" w:themeColor="text1"/>
          <w:shd w:val="clear" w:color="auto" w:fill="FFFFFF"/>
          <w:lang w:val="en-US"/>
        </w:rPr>
        <w:t xml:space="preserve"> AB, </w:t>
      </w:r>
      <w:proofErr w:type="spellStart"/>
      <w:r w:rsidRPr="002D7F02">
        <w:rPr>
          <w:color w:val="000000" w:themeColor="text1"/>
          <w:shd w:val="clear" w:color="auto" w:fill="FFFFFF"/>
          <w:lang w:val="en-US"/>
        </w:rPr>
        <w:t>Juliano</w:t>
      </w:r>
      <w:proofErr w:type="spellEnd"/>
      <w:r w:rsidRPr="002D7F02">
        <w:rPr>
          <w:color w:val="000000" w:themeColor="text1"/>
          <w:shd w:val="clear" w:color="auto" w:fill="FFFFFF"/>
          <w:lang w:val="en-US"/>
        </w:rPr>
        <w:t xml:space="preserve"> PB, </w:t>
      </w:r>
      <w:proofErr w:type="spellStart"/>
      <w:r w:rsidRPr="002D7F02">
        <w:rPr>
          <w:color w:val="000000" w:themeColor="text1"/>
          <w:shd w:val="clear" w:color="auto" w:fill="FFFFFF"/>
          <w:lang w:val="en-US"/>
        </w:rPr>
        <w:t>Araujo</w:t>
      </w:r>
      <w:proofErr w:type="spellEnd"/>
      <w:r w:rsidRPr="002D7F02">
        <w:rPr>
          <w:color w:val="000000" w:themeColor="text1"/>
          <w:shd w:val="clear" w:color="auto" w:fill="FFFFFF"/>
          <w:lang w:val="en-US"/>
        </w:rPr>
        <w:t xml:space="preserve"> VC, et al. </w:t>
      </w:r>
      <w:proofErr w:type="spellStart"/>
      <w:r w:rsidRPr="002D7F02">
        <w:rPr>
          <w:color w:val="000000" w:themeColor="text1"/>
          <w:shd w:val="clear" w:color="auto" w:fill="FFFFFF"/>
          <w:lang w:val="en-US"/>
        </w:rPr>
        <w:t>Angiogenic</w:t>
      </w:r>
      <w:proofErr w:type="spellEnd"/>
      <w:r w:rsidRPr="002D7F02">
        <w:rPr>
          <w:color w:val="000000" w:themeColor="text1"/>
          <w:shd w:val="clear" w:color="auto" w:fill="FFFFFF"/>
          <w:lang w:val="en-US"/>
        </w:rPr>
        <w:t xml:space="preserve"> switch during tumor progression of carcinoma ex-pleomorphic adenoma. </w:t>
      </w:r>
      <w:proofErr w:type="spellStart"/>
      <w:r w:rsidRPr="002D7F02">
        <w:rPr>
          <w:color w:val="000000" w:themeColor="text1"/>
          <w:shd w:val="clear" w:color="auto" w:fill="FFFFFF"/>
          <w:lang w:val="en-US"/>
        </w:rPr>
        <w:t>Virchows</w:t>
      </w:r>
      <w:proofErr w:type="spellEnd"/>
      <w:r w:rsidRPr="002D7F02">
        <w:rPr>
          <w:color w:val="000000" w:themeColor="text1"/>
          <w:shd w:val="clear" w:color="auto" w:fill="FFFFFF"/>
          <w:lang w:val="en-US"/>
        </w:rPr>
        <w:t xml:space="preserve"> Arch. 2007</w:t>
      </w:r>
      <w:proofErr w:type="gramStart"/>
      <w:r w:rsidRPr="002D7F02">
        <w:rPr>
          <w:color w:val="000000" w:themeColor="text1"/>
          <w:shd w:val="clear" w:color="auto" w:fill="FFFFFF"/>
          <w:lang w:val="en-US"/>
        </w:rPr>
        <w:t>;451</w:t>
      </w:r>
      <w:proofErr w:type="gramEnd"/>
      <w:r w:rsidRPr="002D7F02">
        <w:rPr>
          <w:color w:val="000000" w:themeColor="text1"/>
          <w:shd w:val="clear" w:color="auto" w:fill="FFFFFF"/>
          <w:lang w:val="en-US"/>
        </w:rPr>
        <w:t>(1):65-71.</w:t>
      </w:r>
    </w:p>
    <w:p w:rsidR="007A36D1" w:rsidRPr="002D7F02" w:rsidRDefault="007A36D1" w:rsidP="007A36D1">
      <w:pPr>
        <w:spacing w:line="480" w:lineRule="auto"/>
        <w:ind w:firstLine="709"/>
        <w:jc w:val="both"/>
        <w:rPr>
          <w:color w:val="000000" w:themeColor="text1"/>
          <w:shd w:val="clear" w:color="auto" w:fill="FFFFFF"/>
          <w:lang w:val="en-US"/>
        </w:rPr>
      </w:pPr>
      <w:r w:rsidRPr="002D7F02">
        <w:rPr>
          <w:color w:val="000000" w:themeColor="text1"/>
          <w:shd w:val="clear" w:color="auto" w:fill="FFFFFF"/>
          <w:lang w:val="en-US"/>
        </w:rPr>
        <w:t>25. </w:t>
      </w:r>
      <w:proofErr w:type="spellStart"/>
      <w:r w:rsidRPr="002D7F02">
        <w:rPr>
          <w:color w:val="000000" w:themeColor="text1"/>
          <w:shd w:val="clear" w:color="auto" w:fill="FFFFFF"/>
          <w:lang w:val="en-US"/>
        </w:rPr>
        <w:t>Swelam</w:t>
      </w:r>
      <w:proofErr w:type="spellEnd"/>
      <w:r w:rsidRPr="002D7F02">
        <w:rPr>
          <w:color w:val="000000" w:themeColor="text1"/>
          <w:shd w:val="clear" w:color="auto" w:fill="FFFFFF"/>
          <w:lang w:val="en-US"/>
        </w:rPr>
        <w:t xml:space="preserve"> W, Ida-</w:t>
      </w:r>
      <w:proofErr w:type="spellStart"/>
      <w:r w:rsidRPr="002D7F02">
        <w:rPr>
          <w:color w:val="000000" w:themeColor="text1"/>
          <w:shd w:val="clear" w:color="auto" w:fill="FFFFFF"/>
          <w:lang w:val="en-US"/>
        </w:rPr>
        <w:t>Yonemochi</w:t>
      </w:r>
      <w:proofErr w:type="spellEnd"/>
      <w:r w:rsidRPr="002D7F02">
        <w:rPr>
          <w:color w:val="000000" w:themeColor="text1"/>
          <w:shd w:val="clear" w:color="auto" w:fill="FFFFFF"/>
          <w:lang w:val="en-US"/>
        </w:rPr>
        <w:t xml:space="preserve"> H, Maruyama S, et al. Vascular endothelial growth factor in salivary pleomorphic adenomas: one of the reasons for their poorly vascularized </w:t>
      </w:r>
      <w:proofErr w:type="spellStart"/>
      <w:r w:rsidRPr="002D7F02">
        <w:rPr>
          <w:color w:val="000000" w:themeColor="text1"/>
          <w:shd w:val="clear" w:color="auto" w:fill="FFFFFF"/>
          <w:lang w:val="en-US"/>
        </w:rPr>
        <w:t>stroma</w:t>
      </w:r>
      <w:proofErr w:type="spellEnd"/>
      <w:r w:rsidRPr="002D7F02">
        <w:rPr>
          <w:color w:val="000000" w:themeColor="text1"/>
          <w:shd w:val="clear" w:color="auto" w:fill="FFFFFF"/>
          <w:lang w:val="en-US"/>
        </w:rPr>
        <w:t xml:space="preserve">. </w:t>
      </w:r>
      <w:proofErr w:type="spellStart"/>
      <w:r w:rsidRPr="002D7F02">
        <w:rPr>
          <w:color w:val="000000" w:themeColor="text1"/>
          <w:shd w:val="clear" w:color="auto" w:fill="FFFFFF"/>
          <w:lang w:val="en-US"/>
        </w:rPr>
        <w:t>Virchows</w:t>
      </w:r>
      <w:proofErr w:type="spellEnd"/>
      <w:r w:rsidRPr="002D7F02">
        <w:rPr>
          <w:color w:val="000000" w:themeColor="text1"/>
          <w:shd w:val="clear" w:color="auto" w:fill="FFFFFF"/>
          <w:lang w:val="en-US"/>
        </w:rPr>
        <w:t xml:space="preserve"> Arch. 2005</w:t>
      </w:r>
      <w:proofErr w:type="gramStart"/>
      <w:r w:rsidRPr="002D7F02">
        <w:rPr>
          <w:color w:val="000000" w:themeColor="text1"/>
          <w:shd w:val="clear" w:color="auto" w:fill="FFFFFF"/>
          <w:lang w:val="en-US"/>
        </w:rPr>
        <w:t>;446</w:t>
      </w:r>
      <w:proofErr w:type="gramEnd"/>
      <w:r w:rsidRPr="002D7F02">
        <w:rPr>
          <w:color w:val="000000" w:themeColor="text1"/>
          <w:shd w:val="clear" w:color="auto" w:fill="FFFFFF"/>
          <w:lang w:val="en-US"/>
        </w:rPr>
        <w:t>(6):653-662.</w:t>
      </w:r>
    </w:p>
    <w:p w:rsidR="007A36D1" w:rsidRPr="002D7F02" w:rsidRDefault="007A36D1" w:rsidP="007A36D1">
      <w:pPr>
        <w:spacing w:line="480" w:lineRule="auto"/>
        <w:ind w:firstLine="709"/>
        <w:jc w:val="both"/>
        <w:rPr>
          <w:color w:val="000000" w:themeColor="text1"/>
          <w:shd w:val="clear" w:color="auto" w:fill="FFFFFF"/>
          <w:lang w:val="en-US"/>
        </w:rPr>
      </w:pPr>
      <w:r w:rsidRPr="002D7F02">
        <w:rPr>
          <w:color w:val="000000" w:themeColor="text1"/>
          <w:shd w:val="clear" w:color="auto" w:fill="FFFFFF"/>
          <w:lang w:val="en-US"/>
        </w:rPr>
        <w:t>26. </w:t>
      </w:r>
      <w:proofErr w:type="spellStart"/>
      <w:r w:rsidRPr="002D7F02">
        <w:rPr>
          <w:color w:val="000000" w:themeColor="text1"/>
          <w:shd w:val="clear" w:color="auto" w:fill="FFFFFF"/>
          <w:lang w:val="en-US"/>
        </w:rPr>
        <w:t>Cinpolat</w:t>
      </w:r>
      <w:proofErr w:type="spellEnd"/>
      <w:r w:rsidRPr="002D7F02">
        <w:rPr>
          <w:color w:val="000000" w:themeColor="text1"/>
          <w:shd w:val="clear" w:color="auto" w:fill="FFFFFF"/>
          <w:lang w:val="en-US"/>
        </w:rPr>
        <w:t xml:space="preserve"> O, </w:t>
      </w:r>
      <w:proofErr w:type="spellStart"/>
      <w:r w:rsidRPr="002D7F02">
        <w:rPr>
          <w:color w:val="000000" w:themeColor="text1"/>
          <w:shd w:val="clear" w:color="auto" w:fill="FFFFFF"/>
          <w:lang w:val="en-US"/>
        </w:rPr>
        <w:t>Unal</w:t>
      </w:r>
      <w:proofErr w:type="spellEnd"/>
      <w:r w:rsidRPr="002D7F02">
        <w:rPr>
          <w:color w:val="000000" w:themeColor="text1"/>
          <w:shd w:val="clear" w:color="auto" w:fill="FFFFFF"/>
          <w:lang w:val="en-US"/>
        </w:rPr>
        <w:t xml:space="preserve"> ZN, </w:t>
      </w:r>
      <w:proofErr w:type="spellStart"/>
      <w:r w:rsidRPr="002D7F02">
        <w:rPr>
          <w:color w:val="000000" w:themeColor="text1"/>
          <w:shd w:val="clear" w:color="auto" w:fill="FFFFFF"/>
          <w:lang w:val="en-US"/>
        </w:rPr>
        <w:t>Ismi</w:t>
      </w:r>
      <w:proofErr w:type="spellEnd"/>
      <w:r w:rsidRPr="002D7F02">
        <w:rPr>
          <w:color w:val="000000" w:themeColor="text1"/>
          <w:shd w:val="clear" w:color="auto" w:fill="FFFFFF"/>
          <w:lang w:val="en-US"/>
        </w:rPr>
        <w:t xml:space="preserve"> O, et al. Comparison of microRNA profiles between benign and malignant salivary gland tumors in tissue, blood and saliva samples: a prospective, case-control study. </w:t>
      </w:r>
      <w:proofErr w:type="spellStart"/>
      <w:r w:rsidRPr="002D7F02">
        <w:rPr>
          <w:color w:val="000000" w:themeColor="text1"/>
          <w:shd w:val="clear" w:color="auto" w:fill="FFFFFF"/>
          <w:lang w:val="en-US"/>
        </w:rPr>
        <w:t>Braz</w:t>
      </w:r>
      <w:proofErr w:type="spellEnd"/>
      <w:r w:rsidRPr="002D7F02">
        <w:rPr>
          <w:color w:val="000000" w:themeColor="text1"/>
          <w:shd w:val="clear" w:color="auto" w:fill="FFFFFF"/>
          <w:lang w:val="en-US"/>
        </w:rPr>
        <w:t xml:space="preserve"> J </w:t>
      </w:r>
      <w:proofErr w:type="spellStart"/>
      <w:r w:rsidRPr="002D7F02">
        <w:rPr>
          <w:color w:val="000000" w:themeColor="text1"/>
          <w:shd w:val="clear" w:color="auto" w:fill="FFFFFF"/>
          <w:lang w:val="en-US"/>
        </w:rPr>
        <w:t>Otorhinolaryngol</w:t>
      </w:r>
      <w:proofErr w:type="spellEnd"/>
      <w:r w:rsidRPr="002D7F02">
        <w:rPr>
          <w:color w:val="000000" w:themeColor="text1"/>
          <w:shd w:val="clear" w:color="auto" w:fill="FFFFFF"/>
          <w:lang w:val="en-US"/>
        </w:rPr>
        <w:t>. 2017</w:t>
      </w:r>
      <w:proofErr w:type="gramStart"/>
      <w:r w:rsidRPr="002D7F02">
        <w:rPr>
          <w:color w:val="000000" w:themeColor="text1"/>
          <w:shd w:val="clear" w:color="auto" w:fill="FFFFFF"/>
          <w:lang w:val="en-US"/>
        </w:rPr>
        <w:t>;83</w:t>
      </w:r>
      <w:proofErr w:type="gramEnd"/>
      <w:r w:rsidRPr="002D7F02">
        <w:rPr>
          <w:color w:val="000000" w:themeColor="text1"/>
          <w:shd w:val="clear" w:color="auto" w:fill="FFFFFF"/>
          <w:lang w:val="en-US"/>
        </w:rPr>
        <w:t>(3):276-284.</w:t>
      </w:r>
    </w:p>
    <w:p w:rsidR="007A36D1" w:rsidRPr="002D7F02" w:rsidRDefault="007A36D1" w:rsidP="007A36D1">
      <w:pPr>
        <w:spacing w:line="480" w:lineRule="auto"/>
        <w:ind w:firstLine="709"/>
        <w:jc w:val="both"/>
        <w:rPr>
          <w:color w:val="000000" w:themeColor="text1"/>
          <w:shd w:val="clear" w:color="auto" w:fill="FFFFFF"/>
          <w:lang w:val="en-US"/>
        </w:rPr>
      </w:pPr>
      <w:r w:rsidRPr="002D7F02">
        <w:rPr>
          <w:color w:val="000000" w:themeColor="text1"/>
          <w:shd w:val="clear" w:color="auto" w:fill="FFFFFF"/>
          <w:lang w:val="en-US"/>
        </w:rPr>
        <w:lastRenderedPageBreak/>
        <w:t>27. </w:t>
      </w:r>
      <w:proofErr w:type="spellStart"/>
      <w:r w:rsidRPr="002D7F02">
        <w:rPr>
          <w:color w:val="000000" w:themeColor="text1"/>
          <w:shd w:val="clear" w:color="auto" w:fill="FFFFFF"/>
          <w:lang w:val="en-US"/>
        </w:rPr>
        <w:t>Denaro</w:t>
      </w:r>
      <w:proofErr w:type="spellEnd"/>
      <w:r w:rsidRPr="002D7F02">
        <w:rPr>
          <w:color w:val="000000" w:themeColor="text1"/>
          <w:shd w:val="clear" w:color="auto" w:fill="FFFFFF"/>
          <w:lang w:val="en-US"/>
        </w:rPr>
        <w:t xml:space="preserve"> M, </w:t>
      </w:r>
      <w:proofErr w:type="spellStart"/>
      <w:r w:rsidRPr="002D7F02">
        <w:rPr>
          <w:color w:val="000000" w:themeColor="text1"/>
          <w:shd w:val="clear" w:color="auto" w:fill="FFFFFF"/>
          <w:lang w:val="en-US"/>
        </w:rPr>
        <w:t>Navari</w:t>
      </w:r>
      <w:proofErr w:type="spellEnd"/>
      <w:r w:rsidRPr="002D7F02">
        <w:rPr>
          <w:color w:val="000000" w:themeColor="text1"/>
          <w:shd w:val="clear" w:color="auto" w:fill="FFFFFF"/>
          <w:lang w:val="en-US"/>
        </w:rPr>
        <w:t xml:space="preserve"> E, </w:t>
      </w:r>
      <w:proofErr w:type="spellStart"/>
      <w:r w:rsidRPr="002D7F02">
        <w:rPr>
          <w:color w:val="000000" w:themeColor="text1"/>
          <w:shd w:val="clear" w:color="auto" w:fill="FFFFFF"/>
          <w:lang w:val="en-US"/>
        </w:rPr>
        <w:t>Ugolini</w:t>
      </w:r>
      <w:proofErr w:type="spellEnd"/>
      <w:r w:rsidRPr="002D7F02">
        <w:rPr>
          <w:color w:val="000000" w:themeColor="text1"/>
          <w:shd w:val="clear" w:color="auto" w:fill="FFFFFF"/>
          <w:lang w:val="en-US"/>
        </w:rPr>
        <w:t xml:space="preserve"> C, et al. </w:t>
      </w:r>
      <w:proofErr w:type="gramStart"/>
      <w:r w:rsidRPr="002D7F02">
        <w:rPr>
          <w:color w:val="000000" w:themeColor="text1"/>
          <w:shd w:val="clear" w:color="auto" w:fill="FFFFFF"/>
          <w:lang w:val="en-US"/>
        </w:rPr>
        <w:t>A microRNA signature for the differential diagnosis of salivary gland tumors.</w:t>
      </w:r>
      <w:proofErr w:type="gramEnd"/>
      <w:r w:rsidRPr="002D7F02">
        <w:rPr>
          <w:color w:val="000000" w:themeColor="text1"/>
          <w:shd w:val="clear" w:color="auto" w:fill="FFFFFF"/>
          <w:lang w:val="en-US"/>
        </w:rPr>
        <w:t xml:space="preserve"> </w:t>
      </w:r>
      <w:proofErr w:type="spellStart"/>
      <w:proofErr w:type="gramStart"/>
      <w:r w:rsidRPr="002D7F02">
        <w:rPr>
          <w:color w:val="000000" w:themeColor="text1"/>
          <w:shd w:val="clear" w:color="auto" w:fill="FFFFFF"/>
          <w:lang w:val="en-US"/>
        </w:rPr>
        <w:t>PLoS</w:t>
      </w:r>
      <w:proofErr w:type="spellEnd"/>
      <w:r w:rsidRPr="002D7F02">
        <w:rPr>
          <w:color w:val="000000" w:themeColor="text1"/>
          <w:shd w:val="clear" w:color="auto" w:fill="FFFFFF"/>
          <w:lang w:val="en-US"/>
        </w:rPr>
        <w:t xml:space="preserve"> One.</w:t>
      </w:r>
      <w:proofErr w:type="gramEnd"/>
      <w:r w:rsidRPr="002D7F02">
        <w:rPr>
          <w:color w:val="000000" w:themeColor="text1"/>
          <w:shd w:val="clear" w:color="auto" w:fill="FFFFFF"/>
          <w:lang w:val="en-US"/>
        </w:rPr>
        <w:t xml:space="preserve"> 2019</w:t>
      </w:r>
      <w:proofErr w:type="gramStart"/>
      <w:r w:rsidRPr="002D7F02">
        <w:rPr>
          <w:color w:val="000000" w:themeColor="text1"/>
          <w:shd w:val="clear" w:color="auto" w:fill="FFFFFF"/>
          <w:lang w:val="en-US"/>
        </w:rPr>
        <w:t>;14</w:t>
      </w:r>
      <w:proofErr w:type="gramEnd"/>
      <w:r w:rsidRPr="002D7F02">
        <w:rPr>
          <w:color w:val="000000" w:themeColor="text1"/>
          <w:shd w:val="clear" w:color="auto" w:fill="FFFFFF"/>
          <w:lang w:val="en-US"/>
        </w:rPr>
        <w:t>(1):e0210968.</w:t>
      </w:r>
    </w:p>
    <w:p w:rsidR="00EC1291" w:rsidRDefault="00EC1291" w:rsidP="007A36D1">
      <w:pPr>
        <w:spacing w:line="480" w:lineRule="auto"/>
        <w:ind w:firstLine="708"/>
        <w:rPr>
          <w:b/>
          <w:color w:val="000000"/>
          <w:lang w:val="en-US"/>
        </w:rPr>
      </w:pPr>
    </w:p>
    <w:p w:rsidR="007A36D1" w:rsidRPr="006C721B" w:rsidRDefault="007A36D1" w:rsidP="007A36D1">
      <w:pPr>
        <w:spacing w:line="480" w:lineRule="auto"/>
        <w:ind w:firstLine="708"/>
        <w:rPr>
          <w:b/>
          <w:color w:val="000000"/>
          <w:lang w:val="en-US"/>
        </w:rPr>
      </w:pPr>
      <w:r w:rsidRPr="006C721B">
        <w:rPr>
          <w:b/>
          <w:color w:val="000000"/>
          <w:lang w:val="en-US"/>
        </w:rPr>
        <w:t>Conflict of Interests</w:t>
      </w:r>
    </w:p>
    <w:p w:rsidR="007A36D1" w:rsidRPr="006C721B" w:rsidRDefault="007A36D1" w:rsidP="007A36D1">
      <w:pPr>
        <w:spacing w:line="480" w:lineRule="auto"/>
        <w:ind w:firstLine="709"/>
        <w:jc w:val="both"/>
        <w:rPr>
          <w:b/>
          <w:bCs/>
          <w:color w:val="000000"/>
          <w:lang w:val="en-US"/>
        </w:rPr>
      </w:pPr>
      <w:r w:rsidRPr="006C721B">
        <w:rPr>
          <w:color w:val="000000"/>
          <w:lang w:val="en-US"/>
        </w:rPr>
        <w:t>The authors declare that there is no conflict of interests regarding the publication of this paper.</w:t>
      </w:r>
    </w:p>
    <w:p w:rsidR="00EC1291" w:rsidRDefault="00EC1291" w:rsidP="007A36D1">
      <w:pPr>
        <w:spacing w:line="480" w:lineRule="auto"/>
        <w:ind w:firstLine="709"/>
        <w:jc w:val="both"/>
        <w:rPr>
          <w:b/>
          <w:bCs/>
          <w:color w:val="000000"/>
          <w:lang w:val="en-US"/>
        </w:rPr>
      </w:pPr>
    </w:p>
    <w:p w:rsidR="007A36D1" w:rsidRPr="006C721B" w:rsidRDefault="007A36D1" w:rsidP="007A36D1">
      <w:pPr>
        <w:spacing w:line="480" w:lineRule="auto"/>
        <w:ind w:firstLine="709"/>
        <w:jc w:val="both"/>
        <w:rPr>
          <w:b/>
          <w:bCs/>
          <w:color w:val="000000"/>
          <w:lang w:val="en-US"/>
        </w:rPr>
      </w:pPr>
      <w:r w:rsidRPr="006C721B">
        <w:rPr>
          <w:b/>
          <w:bCs/>
          <w:color w:val="000000"/>
          <w:lang w:val="en-US"/>
        </w:rPr>
        <w:t>Corresponding author</w:t>
      </w:r>
    </w:p>
    <w:p w:rsidR="007A36D1" w:rsidRPr="006C721B" w:rsidRDefault="007A36D1" w:rsidP="007A36D1">
      <w:pPr>
        <w:spacing w:line="480" w:lineRule="auto"/>
        <w:jc w:val="both"/>
        <w:rPr>
          <w:rFonts w:eastAsia="TimesNewRoman"/>
          <w:color w:val="000000"/>
          <w:lang w:val="uk-UA"/>
        </w:rPr>
      </w:pPr>
      <w:proofErr w:type="spellStart"/>
      <w:r w:rsidRPr="006C721B">
        <w:rPr>
          <w:rFonts w:eastAsia="TimesNewRoman"/>
          <w:color w:val="000000"/>
          <w:lang w:val="en-US"/>
        </w:rPr>
        <w:t>Mykhailo</w:t>
      </w:r>
      <w:proofErr w:type="spellEnd"/>
      <w:r w:rsidRPr="006C721B">
        <w:rPr>
          <w:rFonts w:eastAsia="TimesNewRoman"/>
          <w:color w:val="000000"/>
          <w:lang w:val="en-US"/>
        </w:rPr>
        <w:t> S. </w:t>
      </w:r>
      <w:proofErr w:type="spellStart"/>
      <w:r w:rsidRPr="006C721B">
        <w:rPr>
          <w:rFonts w:eastAsia="TimesNewRoman"/>
          <w:color w:val="000000"/>
          <w:lang w:val="en-US"/>
        </w:rPr>
        <w:t>Myroshnychenko</w:t>
      </w:r>
      <w:proofErr w:type="spellEnd"/>
    </w:p>
    <w:p w:rsidR="007A36D1" w:rsidRPr="002D7F02" w:rsidRDefault="007A36D1" w:rsidP="007A36D1">
      <w:pPr>
        <w:spacing w:line="480" w:lineRule="auto"/>
        <w:jc w:val="both"/>
        <w:rPr>
          <w:lang w:val="en-US"/>
        </w:rPr>
      </w:pPr>
      <w:proofErr w:type="spellStart"/>
      <w:r w:rsidRPr="002D7F02">
        <w:rPr>
          <w:lang w:val="en-US"/>
        </w:rPr>
        <w:t>Alpern</w:t>
      </w:r>
      <w:proofErr w:type="spellEnd"/>
      <w:r w:rsidRPr="002D7F02">
        <w:rPr>
          <w:lang w:val="en-US"/>
        </w:rPr>
        <w:t xml:space="preserve"> Department of General and Clinical Pathological Physiology, </w:t>
      </w:r>
    </w:p>
    <w:p w:rsidR="007A36D1" w:rsidRPr="002D7F02" w:rsidRDefault="007A36D1" w:rsidP="007A36D1">
      <w:pPr>
        <w:spacing w:line="480" w:lineRule="auto"/>
        <w:jc w:val="both"/>
        <w:rPr>
          <w:lang w:val="en-US"/>
        </w:rPr>
      </w:pPr>
      <w:proofErr w:type="spellStart"/>
      <w:r w:rsidRPr="002D7F02">
        <w:rPr>
          <w:lang w:val="en-US"/>
        </w:rPr>
        <w:t>Kharkiv</w:t>
      </w:r>
      <w:proofErr w:type="spellEnd"/>
      <w:r w:rsidRPr="002D7F02">
        <w:rPr>
          <w:lang w:val="en-US"/>
        </w:rPr>
        <w:t xml:space="preserve"> National Medical University, </w:t>
      </w:r>
    </w:p>
    <w:p w:rsidR="007A36D1" w:rsidRPr="002D7F02" w:rsidRDefault="007A36D1" w:rsidP="007A36D1">
      <w:pPr>
        <w:spacing w:line="480" w:lineRule="auto"/>
        <w:jc w:val="both"/>
        <w:rPr>
          <w:lang w:val="en-US"/>
        </w:rPr>
      </w:pPr>
      <w:r w:rsidRPr="002D7F02">
        <w:rPr>
          <w:lang w:val="en-US"/>
        </w:rPr>
        <w:t xml:space="preserve">4 </w:t>
      </w:r>
      <w:proofErr w:type="spellStart"/>
      <w:r w:rsidRPr="002D7F02">
        <w:rPr>
          <w:lang w:val="en-US"/>
        </w:rPr>
        <w:t>Nauky</w:t>
      </w:r>
      <w:proofErr w:type="spellEnd"/>
      <w:r w:rsidRPr="002D7F02">
        <w:rPr>
          <w:lang w:val="en-US"/>
        </w:rPr>
        <w:t xml:space="preserve"> </w:t>
      </w:r>
      <w:proofErr w:type="gramStart"/>
      <w:r w:rsidRPr="002D7F02">
        <w:rPr>
          <w:lang w:val="en-US"/>
        </w:rPr>
        <w:t>avenue</w:t>
      </w:r>
      <w:proofErr w:type="gramEnd"/>
      <w:r w:rsidRPr="002D7F02">
        <w:rPr>
          <w:lang w:val="en-US"/>
        </w:rPr>
        <w:t xml:space="preserve">, </w:t>
      </w:r>
      <w:proofErr w:type="spellStart"/>
      <w:r w:rsidRPr="002D7F02">
        <w:rPr>
          <w:lang w:val="en-US"/>
        </w:rPr>
        <w:t>Kharkiv</w:t>
      </w:r>
      <w:proofErr w:type="spellEnd"/>
      <w:r w:rsidRPr="002D7F02">
        <w:rPr>
          <w:lang w:val="en-US"/>
        </w:rPr>
        <w:t>, 61022, Ukraine</w:t>
      </w:r>
    </w:p>
    <w:p w:rsidR="007A36D1" w:rsidRPr="002D7F02" w:rsidRDefault="007A36D1" w:rsidP="007A36D1">
      <w:pPr>
        <w:spacing w:line="480" w:lineRule="auto"/>
        <w:jc w:val="both"/>
        <w:rPr>
          <w:color w:val="000000"/>
          <w:lang w:val="en-US"/>
        </w:rPr>
      </w:pPr>
      <w:r w:rsidRPr="002D7F02">
        <w:rPr>
          <w:lang w:val="en-US"/>
        </w:rPr>
        <w:t>Tel. +380501699763</w:t>
      </w:r>
      <w:r>
        <w:rPr>
          <w:lang w:val="en-US"/>
        </w:rPr>
        <w:t xml:space="preserve">, </w:t>
      </w:r>
      <w:r w:rsidRPr="006C721B">
        <w:rPr>
          <w:color w:val="000000"/>
          <w:lang w:val="en-US"/>
        </w:rPr>
        <w:t>+380961033038</w:t>
      </w:r>
    </w:p>
    <w:p w:rsidR="007A36D1" w:rsidRPr="002D7F02" w:rsidRDefault="007A36D1" w:rsidP="007A36D1">
      <w:pPr>
        <w:spacing w:line="480" w:lineRule="auto"/>
        <w:jc w:val="both"/>
        <w:rPr>
          <w:color w:val="000000"/>
          <w:lang w:val="en-US"/>
        </w:rPr>
      </w:pPr>
      <w:proofErr w:type="gramStart"/>
      <w:r w:rsidRPr="002D7F02">
        <w:rPr>
          <w:color w:val="000000"/>
          <w:lang w:val="en-US"/>
        </w:rPr>
        <w:t>e-mail</w:t>
      </w:r>
      <w:proofErr w:type="gramEnd"/>
      <w:r w:rsidRPr="002D7F02">
        <w:rPr>
          <w:color w:val="000000"/>
          <w:lang w:val="en-US"/>
        </w:rPr>
        <w:t>: msmyroshnychenko@ukr.net</w:t>
      </w:r>
    </w:p>
    <w:p w:rsidR="00EC1291" w:rsidRDefault="00EC1291" w:rsidP="007A36D1">
      <w:pPr>
        <w:spacing w:line="480" w:lineRule="auto"/>
        <w:ind w:firstLine="709"/>
        <w:jc w:val="both"/>
        <w:rPr>
          <w:b/>
          <w:color w:val="000000"/>
          <w:lang w:val="en-US"/>
        </w:rPr>
      </w:pPr>
    </w:p>
    <w:p w:rsidR="007A36D1" w:rsidRPr="006C721B" w:rsidRDefault="007A36D1" w:rsidP="007A36D1">
      <w:pPr>
        <w:spacing w:line="480" w:lineRule="auto"/>
        <w:ind w:firstLine="709"/>
        <w:jc w:val="both"/>
        <w:rPr>
          <w:b/>
          <w:color w:val="000000"/>
          <w:lang w:val="uk-UA"/>
        </w:rPr>
      </w:pPr>
      <w:r w:rsidRPr="006C721B">
        <w:rPr>
          <w:b/>
          <w:color w:val="000000"/>
          <w:lang w:val="en-US"/>
        </w:rPr>
        <w:t>ORCID</w:t>
      </w:r>
      <w:r w:rsidRPr="006C721B">
        <w:rPr>
          <w:b/>
          <w:color w:val="000000"/>
          <w:lang w:val="uk-UA"/>
        </w:rPr>
        <w:t xml:space="preserve"> </w:t>
      </w:r>
      <w:r w:rsidRPr="006C721B">
        <w:rPr>
          <w:b/>
          <w:color w:val="000000"/>
          <w:lang w:val="en-US"/>
        </w:rPr>
        <w:t>numbers</w:t>
      </w:r>
      <w:r w:rsidRPr="006C721B">
        <w:rPr>
          <w:b/>
          <w:color w:val="000000"/>
          <w:lang w:val="uk-UA"/>
        </w:rPr>
        <w:t xml:space="preserve">: </w:t>
      </w:r>
    </w:p>
    <w:p w:rsidR="007A36D1" w:rsidRPr="00EC1291" w:rsidRDefault="007A36D1" w:rsidP="007A36D1">
      <w:pPr>
        <w:spacing w:line="480" w:lineRule="auto"/>
        <w:jc w:val="both"/>
        <w:rPr>
          <w:rFonts w:eastAsia="TimesNewRoman"/>
          <w:color w:val="000000" w:themeColor="text1"/>
          <w:lang w:val="en-US"/>
        </w:rPr>
      </w:pPr>
      <w:proofErr w:type="spellStart"/>
      <w:r w:rsidRPr="00EC1291">
        <w:rPr>
          <w:rFonts w:eastAsia="TimesNewRoman"/>
          <w:color w:val="000000" w:themeColor="text1"/>
          <w:lang w:val="en-US"/>
        </w:rPr>
        <w:t>Mykhailo</w:t>
      </w:r>
      <w:proofErr w:type="spellEnd"/>
      <w:r w:rsidRPr="00EC1291">
        <w:rPr>
          <w:rFonts w:eastAsia="TimesNewRoman"/>
          <w:color w:val="000000" w:themeColor="text1"/>
          <w:lang w:val="en-US"/>
        </w:rPr>
        <w:t> S. </w:t>
      </w:r>
      <w:proofErr w:type="spellStart"/>
      <w:r w:rsidRPr="00EC1291">
        <w:rPr>
          <w:rFonts w:eastAsia="TimesNewRoman"/>
          <w:color w:val="000000" w:themeColor="text1"/>
          <w:lang w:val="en-US"/>
        </w:rPr>
        <w:t>Myroshnychenko</w:t>
      </w:r>
      <w:proofErr w:type="spellEnd"/>
      <w:r w:rsidRPr="00EC1291">
        <w:rPr>
          <w:rFonts w:eastAsia="TimesNewRoman"/>
          <w:color w:val="000000" w:themeColor="text1"/>
          <w:lang w:val="en-US"/>
        </w:rPr>
        <w:t xml:space="preserve"> </w:t>
      </w:r>
      <w:r w:rsidRPr="00EC1291">
        <w:rPr>
          <w:color w:val="000000" w:themeColor="text1"/>
          <w:lang w:val="uk-UA"/>
        </w:rPr>
        <w:t>– 0000-0002-6920-8374</w:t>
      </w:r>
    </w:p>
    <w:p w:rsidR="007A36D1" w:rsidRPr="00EC1291" w:rsidRDefault="007A36D1" w:rsidP="007A36D1">
      <w:pPr>
        <w:spacing w:line="480" w:lineRule="auto"/>
        <w:jc w:val="both"/>
        <w:rPr>
          <w:color w:val="000000" w:themeColor="text1"/>
          <w:lang w:val="en-US"/>
        </w:rPr>
      </w:pPr>
      <w:r w:rsidRPr="00EC1291">
        <w:rPr>
          <w:color w:val="000000" w:themeColor="text1"/>
          <w:lang w:val="en-US"/>
        </w:rPr>
        <w:t>Igor S</w:t>
      </w:r>
      <w:r w:rsidRPr="00EC1291">
        <w:rPr>
          <w:color w:val="000000" w:themeColor="text1"/>
          <w:lang w:val="uk-UA"/>
        </w:rPr>
        <w:t>.</w:t>
      </w:r>
      <w:r w:rsidRPr="00EC1291">
        <w:rPr>
          <w:color w:val="000000" w:themeColor="text1"/>
          <w:lang w:val="en-US"/>
        </w:rPr>
        <w:t> </w:t>
      </w:r>
      <w:proofErr w:type="spellStart"/>
      <w:r w:rsidRPr="00EC1291">
        <w:rPr>
          <w:color w:val="000000" w:themeColor="text1"/>
          <w:lang w:val="en-US"/>
        </w:rPr>
        <w:t>Brodetskyi</w:t>
      </w:r>
      <w:proofErr w:type="spellEnd"/>
      <w:r w:rsidRPr="00EC1291">
        <w:rPr>
          <w:color w:val="000000" w:themeColor="text1"/>
          <w:lang w:val="en-US"/>
        </w:rPr>
        <w:t xml:space="preserve"> </w:t>
      </w:r>
      <w:r w:rsidRPr="00EC1291">
        <w:rPr>
          <w:color w:val="000000" w:themeColor="text1"/>
          <w:lang w:val="uk-UA"/>
        </w:rPr>
        <w:t xml:space="preserve">– </w:t>
      </w:r>
      <w:r w:rsidRPr="00EC1291">
        <w:rPr>
          <w:color w:val="000000" w:themeColor="text1"/>
          <w:shd w:val="clear" w:color="auto" w:fill="FFFFFF"/>
          <w:lang w:val="en-US"/>
        </w:rPr>
        <w:t>0000-0002-9434-4079</w:t>
      </w:r>
    </w:p>
    <w:p w:rsidR="007A36D1" w:rsidRPr="00EC1291" w:rsidRDefault="007A36D1" w:rsidP="007A36D1">
      <w:pPr>
        <w:spacing w:line="480" w:lineRule="auto"/>
        <w:jc w:val="both"/>
        <w:rPr>
          <w:color w:val="000000" w:themeColor="text1"/>
          <w:kern w:val="2"/>
          <w:lang w:val="en-US"/>
        </w:rPr>
      </w:pPr>
      <w:proofErr w:type="spellStart"/>
      <w:r w:rsidRPr="00EC1291">
        <w:rPr>
          <w:color w:val="000000" w:themeColor="text1"/>
          <w:kern w:val="2"/>
          <w:lang w:val="en-US"/>
        </w:rPr>
        <w:t>Vladislav</w:t>
      </w:r>
      <w:proofErr w:type="spellEnd"/>
      <w:r w:rsidRPr="00EC1291">
        <w:rPr>
          <w:color w:val="000000" w:themeColor="text1"/>
          <w:kern w:val="2"/>
          <w:lang w:val="en-US"/>
        </w:rPr>
        <w:t> A. </w:t>
      </w:r>
      <w:proofErr w:type="spellStart"/>
      <w:r w:rsidRPr="00EC1291">
        <w:rPr>
          <w:color w:val="000000" w:themeColor="text1"/>
          <w:kern w:val="2"/>
          <w:lang w:val="en-US"/>
        </w:rPr>
        <w:t>Malanchuk</w:t>
      </w:r>
      <w:proofErr w:type="spellEnd"/>
      <w:r w:rsidRPr="00EC1291">
        <w:rPr>
          <w:color w:val="000000" w:themeColor="text1"/>
          <w:kern w:val="2"/>
          <w:lang w:val="en-US"/>
        </w:rPr>
        <w:t xml:space="preserve"> </w:t>
      </w:r>
      <w:r w:rsidRPr="00EC1291">
        <w:rPr>
          <w:color w:val="000000" w:themeColor="text1"/>
          <w:lang w:val="uk-UA"/>
        </w:rPr>
        <w:t xml:space="preserve">– </w:t>
      </w:r>
      <w:r w:rsidRPr="00EC1291">
        <w:rPr>
          <w:color w:val="000000" w:themeColor="text1"/>
          <w:shd w:val="clear" w:color="auto" w:fill="FFFFFF"/>
          <w:lang w:val="uk-UA"/>
        </w:rPr>
        <w:t>0000-0001-8111-0436</w:t>
      </w:r>
    </w:p>
    <w:p w:rsidR="007A36D1" w:rsidRPr="00EC1291" w:rsidRDefault="007A36D1" w:rsidP="007A36D1">
      <w:pPr>
        <w:spacing w:line="480" w:lineRule="auto"/>
        <w:jc w:val="both"/>
        <w:rPr>
          <w:color w:val="000000" w:themeColor="text1"/>
          <w:kern w:val="2"/>
          <w:lang w:val="en-US"/>
        </w:rPr>
      </w:pPr>
      <w:proofErr w:type="spellStart"/>
      <w:r w:rsidRPr="00EC1291">
        <w:rPr>
          <w:color w:val="000000" w:themeColor="text1"/>
          <w:lang w:val="en-US"/>
        </w:rPr>
        <w:t>Olena</w:t>
      </w:r>
      <w:proofErr w:type="spellEnd"/>
      <w:r w:rsidRPr="00EC1291">
        <w:rPr>
          <w:color w:val="000000" w:themeColor="text1"/>
          <w:lang w:val="en-US"/>
        </w:rPr>
        <w:t> O. </w:t>
      </w:r>
      <w:proofErr w:type="spellStart"/>
      <w:r w:rsidRPr="00EC1291">
        <w:rPr>
          <w:color w:val="000000" w:themeColor="text1"/>
          <w:kern w:val="2"/>
          <w:lang w:val="en-US"/>
        </w:rPr>
        <w:t>Dyadyk</w:t>
      </w:r>
      <w:proofErr w:type="spellEnd"/>
      <w:r w:rsidRPr="00EC1291">
        <w:rPr>
          <w:color w:val="000000" w:themeColor="text1"/>
          <w:kern w:val="2"/>
          <w:lang w:val="en-US"/>
        </w:rPr>
        <w:t xml:space="preserve"> </w:t>
      </w:r>
      <w:r w:rsidRPr="00EC1291">
        <w:rPr>
          <w:color w:val="000000" w:themeColor="text1"/>
          <w:lang w:val="uk-UA"/>
        </w:rPr>
        <w:t>– 0000-0002-9912-4286</w:t>
      </w:r>
    </w:p>
    <w:p w:rsidR="00752249" w:rsidRPr="00EC1291" w:rsidRDefault="00752249" w:rsidP="007A36D1">
      <w:pPr>
        <w:spacing w:line="480" w:lineRule="auto"/>
        <w:jc w:val="both"/>
        <w:rPr>
          <w:bCs/>
          <w:color w:val="000000" w:themeColor="text1"/>
          <w:lang w:val="en-US"/>
        </w:rPr>
      </w:pPr>
      <w:proofErr w:type="spellStart"/>
      <w:r w:rsidRPr="00EC1291">
        <w:rPr>
          <w:bCs/>
          <w:color w:val="000000" w:themeColor="text1"/>
          <w:lang w:val="en-US"/>
        </w:rPr>
        <w:t>Oleksandr</w:t>
      </w:r>
      <w:proofErr w:type="spellEnd"/>
      <w:r w:rsidRPr="00EC1291">
        <w:rPr>
          <w:bCs/>
          <w:color w:val="000000" w:themeColor="text1"/>
          <w:lang w:val="en-US"/>
        </w:rPr>
        <w:t> V. </w:t>
      </w:r>
      <w:proofErr w:type="spellStart"/>
      <w:r w:rsidRPr="00EC1291">
        <w:rPr>
          <w:bCs/>
          <w:color w:val="000000" w:themeColor="text1"/>
          <w:lang w:val="en-US"/>
        </w:rPr>
        <w:t>Arseniev</w:t>
      </w:r>
      <w:proofErr w:type="spellEnd"/>
      <w:r w:rsidRPr="00EC1291">
        <w:rPr>
          <w:bCs/>
          <w:color w:val="000000" w:themeColor="text1"/>
          <w:lang w:val="en-US"/>
        </w:rPr>
        <w:t xml:space="preserve"> – </w:t>
      </w:r>
      <w:r w:rsidR="00B4291F" w:rsidRPr="004D2B39">
        <w:rPr>
          <w:rStyle w:val="af0"/>
          <w:b w:val="0"/>
          <w:color w:val="000000" w:themeColor="text1"/>
          <w:spacing w:val="8"/>
          <w:shd w:val="clear" w:color="auto" w:fill="FFFFFF"/>
          <w:lang w:val="en-US"/>
        </w:rPr>
        <w:t>0000-0002-9807-0853</w:t>
      </w:r>
    </w:p>
    <w:p w:rsidR="007A36D1" w:rsidRPr="006C721B" w:rsidRDefault="007A36D1" w:rsidP="007A36D1">
      <w:pPr>
        <w:spacing w:line="480" w:lineRule="auto"/>
        <w:jc w:val="both"/>
        <w:rPr>
          <w:color w:val="000000" w:themeColor="text1"/>
          <w:shd w:val="clear" w:color="auto" w:fill="FFFFFF"/>
          <w:lang w:val="en-US"/>
        </w:rPr>
      </w:pPr>
      <w:proofErr w:type="spellStart"/>
      <w:r w:rsidRPr="00EC1291">
        <w:rPr>
          <w:color w:val="000000" w:themeColor="text1"/>
          <w:shd w:val="clear" w:color="auto" w:fill="FFFFFF"/>
          <w:lang w:val="en-US"/>
        </w:rPr>
        <w:t>Yaroslava</w:t>
      </w:r>
      <w:proofErr w:type="spellEnd"/>
      <w:r w:rsidRPr="00EC1291">
        <w:rPr>
          <w:color w:val="000000" w:themeColor="text1"/>
          <w:shd w:val="clear" w:color="auto" w:fill="FFFFFF"/>
          <w:lang w:val="en-US"/>
        </w:rPr>
        <w:t> </w:t>
      </w:r>
      <w:r w:rsidRPr="00EC1291">
        <w:rPr>
          <w:color w:val="000000" w:themeColor="text1"/>
          <w:shd w:val="clear" w:color="auto" w:fill="FFFFFF"/>
        </w:rPr>
        <w:t>А</w:t>
      </w:r>
      <w:r w:rsidRPr="00EC1291">
        <w:rPr>
          <w:color w:val="000000" w:themeColor="text1"/>
          <w:shd w:val="clear" w:color="auto" w:fill="FFFFFF"/>
          <w:lang w:val="en-US"/>
        </w:rPr>
        <w:t>. </w:t>
      </w:r>
      <w:proofErr w:type="spellStart"/>
      <w:r w:rsidRPr="00EC1291">
        <w:rPr>
          <w:color w:val="000000" w:themeColor="text1"/>
          <w:shd w:val="clear" w:color="auto" w:fill="FFFFFF"/>
          <w:lang w:val="en-US"/>
        </w:rPr>
        <w:t>Kulbashna</w:t>
      </w:r>
      <w:proofErr w:type="spellEnd"/>
      <w:r w:rsidRPr="00EC1291">
        <w:rPr>
          <w:color w:val="000000" w:themeColor="text1"/>
          <w:shd w:val="clear" w:color="auto" w:fill="FFFFFF"/>
          <w:lang w:val="en-US"/>
        </w:rPr>
        <w:t xml:space="preserve"> </w:t>
      </w:r>
      <w:r w:rsidRPr="006C721B">
        <w:rPr>
          <w:color w:val="000000" w:themeColor="text1"/>
          <w:lang w:val="uk-UA"/>
        </w:rPr>
        <w:t xml:space="preserve">– </w:t>
      </w:r>
      <w:hyperlink r:id="rId9" w:history="1">
        <w:r w:rsidRPr="00752249">
          <w:rPr>
            <w:rStyle w:val="aa"/>
            <w:color w:val="000000" w:themeColor="text1"/>
            <w:u w:val="none"/>
            <w:shd w:val="clear" w:color="auto" w:fill="FFFFFF"/>
            <w:lang w:val="en-US"/>
          </w:rPr>
          <w:t>0000-0002-2571-091X</w:t>
        </w:r>
      </w:hyperlink>
    </w:p>
    <w:p w:rsidR="007A36D1" w:rsidRPr="006C721B" w:rsidRDefault="007A36D1" w:rsidP="007A36D1">
      <w:pPr>
        <w:spacing w:line="480" w:lineRule="auto"/>
        <w:jc w:val="both"/>
        <w:rPr>
          <w:color w:val="000000" w:themeColor="text1"/>
          <w:lang w:val="en-US"/>
        </w:rPr>
      </w:pPr>
      <w:proofErr w:type="spellStart"/>
      <w:r w:rsidRPr="006C721B">
        <w:rPr>
          <w:color w:val="000000" w:themeColor="text1"/>
          <w:lang w:val="en-US"/>
        </w:rPr>
        <w:t>Olena</w:t>
      </w:r>
      <w:proofErr w:type="spellEnd"/>
      <w:r w:rsidRPr="006C721B">
        <w:rPr>
          <w:color w:val="000000" w:themeColor="text1"/>
          <w:lang w:val="en-US"/>
        </w:rPr>
        <w:t> O. </w:t>
      </w:r>
      <w:proofErr w:type="spellStart"/>
      <w:r w:rsidRPr="006C721B">
        <w:rPr>
          <w:color w:val="000000" w:themeColor="text1"/>
          <w:lang w:val="en-US"/>
        </w:rPr>
        <w:t>Astapenko</w:t>
      </w:r>
      <w:proofErr w:type="spellEnd"/>
      <w:r w:rsidRPr="006C721B">
        <w:rPr>
          <w:color w:val="000000" w:themeColor="text1"/>
          <w:lang w:val="en-US"/>
        </w:rPr>
        <w:t xml:space="preserve"> </w:t>
      </w:r>
      <w:r w:rsidRPr="006C721B">
        <w:rPr>
          <w:color w:val="000000" w:themeColor="text1"/>
          <w:lang w:val="uk-UA"/>
        </w:rPr>
        <w:t xml:space="preserve">– </w:t>
      </w:r>
      <w:r w:rsidRPr="006C721B">
        <w:rPr>
          <w:color w:val="000000" w:themeColor="text1"/>
          <w:shd w:val="clear" w:color="auto" w:fill="FFFFFF"/>
          <w:lang w:val="en-US"/>
        </w:rPr>
        <w:t>0000-0002-2168-9439</w:t>
      </w:r>
    </w:p>
    <w:p w:rsidR="00752249" w:rsidRDefault="00752249" w:rsidP="007A36D1">
      <w:pPr>
        <w:spacing w:line="480" w:lineRule="auto"/>
        <w:jc w:val="both"/>
        <w:rPr>
          <w:color w:val="000000" w:themeColor="text1"/>
          <w:lang w:val="en-US"/>
        </w:rPr>
      </w:pPr>
      <w:proofErr w:type="spellStart"/>
      <w:r w:rsidRPr="000E1AD7">
        <w:rPr>
          <w:lang w:val="en-US" w:eastAsia="uk-UA"/>
        </w:rPr>
        <w:t>Liudmyla</w:t>
      </w:r>
      <w:proofErr w:type="spellEnd"/>
      <w:r>
        <w:rPr>
          <w:lang w:val="uk-UA" w:eastAsia="uk-UA"/>
        </w:rPr>
        <w:t> </w:t>
      </w:r>
      <w:r w:rsidRPr="000E1AD7">
        <w:rPr>
          <w:lang w:val="en-US" w:eastAsia="uk-UA"/>
        </w:rPr>
        <w:t>O</w:t>
      </w:r>
      <w:r w:rsidRPr="000E1AD7">
        <w:rPr>
          <w:lang w:val="uk-UA" w:eastAsia="uk-UA"/>
        </w:rPr>
        <w:t>.</w:t>
      </w:r>
      <w:r>
        <w:rPr>
          <w:lang w:val="uk-UA" w:eastAsia="uk-UA"/>
        </w:rPr>
        <w:t> </w:t>
      </w:r>
      <w:proofErr w:type="spellStart"/>
      <w:r w:rsidRPr="000E1AD7">
        <w:rPr>
          <w:lang w:val="en-US" w:eastAsia="uk-UA"/>
        </w:rPr>
        <w:t>Brodetska</w:t>
      </w:r>
      <w:proofErr w:type="spellEnd"/>
      <w:r>
        <w:rPr>
          <w:lang w:val="uk-UA" w:eastAsia="uk-UA"/>
        </w:rPr>
        <w:t xml:space="preserve"> - </w:t>
      </w:r>
      <w:r w:rsidRPr="006264DC">
        <w:rPr>
          <w:color w:val="000000"/>
          <w:lang w:val="uk-UA"/>
        </w:rPr>
        <w:t>0000-0002-</w:t>
      </w:r>
      <w:r>
        <w:rPr>
          <w:color w:val="000000"/>
          <w:lang w:val="uk-UA"/>
        </w:rPr>
        <w:t>0570</w:t>
      </w:r>
      <w:r w:rsidRPr="006264DC">
        <w:rPr>
          <w:color w:val="000000"/>
          <w:lang w:val="uk-UA"/>
        </w:rPr>
        <w:t>-</w:t>
      </w:r>
      <w:r>
        <w:rPr>
          <w:color w:val="000000"/>
          <w:lang w:val="uk-UA"/>
        </w:rPr>
        <w:t>3085</w:t>
      </w:r>
    </w:p>
    <w:p w:rsidR="00752249" w:rsidRDefault="00752249" w:rsidP="007A36D1">
      <w:pPr>
        <w:spacing w:line="480" w:lineRule="auto"/>
        <w:jc w:val="both"/>
        <w:rPr>
          <w:color w:val="000000"/>
          <w:shd w:val="clear" w:color="auto" w:fill="FFFFFF"/>
          <w:lang w:val="en-US"/>
        </w:rPr>
      </w:pPr>
      <w:r>
        <w:rPr>
          <w:rFonts w:eastAsia="TimesNewRoman"/>
          <w:color w:val="000000"/>
          <w:lang w:val="en-US"/>
        </w:rPr>
        <w:t>Sergey</w:t>
      </w:r>
      <w:r w:rsidRPr="0034173B">
        <w:rPr>
          <w:color w:val="000000"/>
          <w:lang w:val="en-US"/>
        </w:rPr>
        <w:t> </w:t>
      </w:r>
      <w:r>
        <w:rPr>
          <w:color w:val="000000"/>
          <w:lang w:val="en-US"/>
        </w:rPr>
        <w:t>B</w:t>
      </w:r>
      <w:r w:rsidRPr="0034173B">
        <w:rPr>
          <w:color w:val="000000"/>
          <w:lang w:val="uk-UA"/>
        </w:rPr>
        <w:t>.</w:t>
      </w:r>
      <w:r w:rsidRPr="0034173B">
        <w:rPr>
          <w:color w:val="000000"/>
          <w:lang w:val="en-US"/>
        </w:rPr>
        <w:t> </w:t>
      </w:r>
      <w:proofErr w:type="spellStart"/>
      <w:r w:rsidRPr="0034173B">
        <w:rPr>
          <w:color w:val="000000"/>
          <w:lang w:val="en-US"/>
        </w:rPr>
        <w:t>Brodetskyi</w:t>
      </w:r>
      <w:proofErr w:type="spellEnd"/>
      <w:r w:rsidRPr="000E68AB">
        <w:rPr>
          <w:color w:val="000000"/>
          <w:lang w:val="en-US"/>
        </w:rPr>
        <w:t xml:space="preserve"> – </w:t>
      </w:r>
      <w:r w:rsidRPr="0034173B">
        <w:rPr>
          <w:color w:val="000000"/>
          <w:shd w:val="clear" w:color="auto" w:fill="FFFFFF"/>
          <w:lang w:val="uk-UA"/>
        </w:rPr>
        <w:t>0000-000</w:t>
      </w:r>
      <w:r w:rsidRPr="0034173B">
        <w:rPr>
          <w:color w:val="000000"/>
          <w:shd w:val="clear" w:color="auto" w:fill="FFFFFF"/>
          <w:lang w:val="en-US"/>
        </w:rPr>
        <w:t>2</w:t>
      </w:r>
      <w:r w:rsidRPr="0034173B">
        <w:rPr>
          <w:color w:val="000000"/>
          <w:shd w:val="clear" w:color="auto" w:fill="FFFFFF"/>
          <w:lang w:val="uk-UA"/>
        </w:rPr>
        <w:t>-</w:t>
      </w:r>
      <w:r>
        <w:rPr>
          <w:color w:val="000000"/>
          <w:shd w:val="clear" w:color="auto" w:fill="FFFFFF"/>
          <w:lang w:val="en-US"/>
        </w:rPr>
        <w:t>6175</w:t>
      </w:r>
      <w:r w:rsidRPr="0034173B">
        <w:rPr>
          <w:color w:val="000000"/>
          <w:shd w:val="clear" w:color="auto" w:fill="FFFFFF"/>
          <w:lang w:val="uk-UA"/>
        </w:rPr>
        <w:t>-</w:t>
      </w:r>
      <w:r>
        <w:rPr>
          <w:color w:val="000000"/>
          <w:shd w:val="clear" w:color="auto" w:fill="FFFFFF"/>
          <w:lang w:val="en-US"/>
        </w:rPr>
        <w:t>2797</w:t>
      </w:r>
    </w:p>
    <w:p w:rsidR="00752249" w:rsidRPr="00752249" w:rsidRDefault="00752249" w:rsidP="007A36D1">
      <w:pPr>
        <w:spacing w:line="480" w:lineRule="auto"/>
        <w:jc w:val="both"/>
        <w:rPr>
          <w:lang w:val="en-US"/>
        </w:rPr>
      </w:pPr>
      <w:proofErr w:type="spellStart"/>
      <w:r w:rsidRPr="00752249">
        <w:rPr>
          <w:lang w:val="en-US"/>
        </w:rPr>
        <w:lastRenderedPageBreak/>
        <w:t>Viktoriia</w:t>
      </w:r>
      <w:proofErr w:type="spellEnd"/>
      <w:r w:rsidRPr="00752249">
        <w:rPr>
          <w:lang w:val="en-US"/>
        </w:rPr>
        <w:t> O. </w:t>
      </w:r>
      <w:proofErr w:type="spellStart"/>
      <w:r w:rsidRPr="00752249">
        <w:rPr>
          <w:lang w:val="en-US"/>
        </w:rPr>
        <w:t>Bibichenko</w:t>
      </w:r>
      <w:proofErr w:type="spellEnd"/>
      <w:r w:rsidRPr="00752249">
        <w:rPr>
          <w:lang w:val="en-US"/>
        </w:rPr>
        <w:t xml:space="preserve"> – </w:t>
      </w:r>
      <w:r w:rsidRPr="00752249">
        <w:rPr>
          <w:color w:val="000000"/>
          <w:lang w:val="en-US"/>
        </w:rPr>
        <w:t>0000-0002-9141-0579</w:t>
      </w:r>
    </w:p>
    <w:p w:rsidR="007A36D1" w:rsidRPr="004D2B39" w:rsidRDefault="007A36D1" w:rsidP="007A36D1">
      <w:pPr>
        <w:spacing w:line="480" w:lineRule="auto"/>
        <w:ind w:firstLine="709"/>
        <w:jc w:val="both"/>
        <w:rPr>
          <w:bCs/>
          <w:color w:val="000000"/>
          <w:lang w:val="en-US"/>
        </w:rPr>
      </w:pPr>
    </w:p>
    <w:p w:rsidR="00B4291F" w:rsidRPr="00CC47E5" w:rsidRDefault="00B4291F" w:rsidP="00EC1291">
      <w:pPr>
        <w:spacing w:line="480" w:lineRule="auto"/>
        <w:jc w:val="both"/>
        <w:rPr>
          <w:color w:val="000000"/>
          <w:lang w:val="en-US"/>
        </w:rPr>
      </w:pPr>
      <w:bookmarkStart w:id="0" w:name="_GoBack"/>
      <w:bookmarkEnd w:id="0"/>
      <w:r w:rsidRPr="006C721B">
        <w:rPr>
          <w:b/>
          <w:bCs/>
          <w:color w:val="000000"/>
          <w:lang w:val="en-US"/>
        </w:rPr>
        <w:t>A</w:t>
      </w:r>
      <w:r w:rsidRPr="006C721B">
        <w:rPr>
          <w:b/>
          <w:color w:val="000000"/>
          <w:lang w:val="en-US"/>
        </w:rPr>
        <w:t> </w:t>
      </w:r>
      <w:r w:rsidRPr="006C721B">
        <w:rPr>
          <w:b/>
          <w:color w:val="000000"/>
          <w:lang w:val="uk-UA"/>
        </w:rPr>
        <w:t>- </w:t>
      </w:r>
      <w:r w:rsidRPr="006C721B">
        <w:rPr>
          <w:b/>
          <w:color w:val="000000"/>
          <w:lang w:val="en-US"/>
        </w:rPr>
        <w:t>Work concept and design</w:t>
      </w:r>
      <w:r w:rsidRPr="006C721B">
        <w:rPr>
          <w:color w:val="000000"/>
          <w:lang w:val="en-US"/>
        </w:rPr>
        <w:t xml:space="preserve"> </w:t>
      </w:r>
      <w:r w:rsidRPr="006C721B">
        <w:rPr>
          <w:color w:val="000000" w:themeColor="text1"/>
          <w:lang w:val="en-US"/>
        </w:rPr>
        <w:t>Igor S</w:t>
      </w:r>
      <w:r w:rsidRPr="006C721B">
        <w:rPr>
          <w:color w:val="000000" w:themeColor="text1"/>
          <w:lang w:val="uk-UA"/>
        </w:rPr>
        <w:t>.</w:t>
      </w:r>
      <w:r w:rsidRPr="006C721B">
        <w:rPr>
          <w:color w:val="000000" w:themeColor="text1"/>
          <w:lang w:val="en-US"/>
        </w:rPr>
        <w:t> </w:t>
      </w:r>
      <w:proofErr w:type="spellStart"/>
      <w:r w:rsidRPr="006C721B">
        <w:rPr>
          <w:color w:val="000000" w:themeColor="text1"/>
          <w:lang w:val="en-US"/>
        </w:rPr>
        <w:t>Brodetskyi</w:t>
      </w:r>
      <w:proofErr w:type="spellEnd"/>
      <w:r w:rsidRPr="00CC47E5">
        <w:rPr>
          <w:color w:val="000000" w:themeColor="text1"/>
          <w:lang w:val="en-US"/>
        </w:rPr>
        <w:t xml:space="preserve">, </w:t>
      </w:r>
      <w:proofErr w:type="spellStart"/>
      <w:r w:rsidRPr="006C721B">
        <w:rPr>
          <w:color w:val="000000" w:themeColor="text1"/>
          <w:kern w:val="2"/>
          <w:lang w:val="en-US"/>
        </w:rPr>
        <w:t>Vladislav</w:t>
      </w:r>
      <w:proofErr w:type="spellEnd"/>
      <w:r w:rsidRPr="006C721B">
        <w:rPr>
          <w:color w:val="000000" w:themeColor="text1"/>
          <w:kern w:val="2"/>
          <w:lang w:val="en-US"/>
        </w:rPr>
        <w:t> A. </w:t>
      </w:r>
      <w:proofErr w:type="spellStart"/>
      <w:r w:rsidRPr="006C721B">
        <w:rPr>
          <w:color w:val="000000" w:themeColor="text1"/>
          <w:kern w:val="2"/>
          <w:lang w:val="en-US"/>
        </w:rPr>
        <w:t>Malanchuk</w:t>
      </w:r>
      <w:proofErr w:type="spellEnd"/>
    </w:p>
    <w:p w:rsidR="00B4291F" w:rsidRPr="005879B3" w:rsidRDefault="00B4291F" w:rsidP="00EC1291">
      <w:pPr>
        <w:shd w:val="clear" w:color="auto" w:fill="FFFFFF"/>
        <w:spacing w:line="480" w:lineRule="auto"/>
        <w:rPr>
          <w:color w:val="000000"/>
          <w:lang w:val="en-US"/>
        </w:rPr>
      </w:pPr>
      <w:r w:rsidRPr="006C721B">
        <w:rPr>
          <w:b/>
          <w:bCs/>
          <w:color w:val="000000"/>
          <w:lang w:val="en-US"/>
        </w:rPr>
        <w:t>B</w:t>
      </w:r>
      <w:r w:rsidRPr="006C721B">
        <w:rPr>
          <w:b/>
          <w:color w:val="000000"/>
          <w:lang w:val="en-US"/>
        </w:rPr>
        <w:t> – Data collection and analysis</w:t>
      </w:r>
      <w:r w:rsidRPr="006C721B">
        <w:rPr>
          <w:color w:val="000000"/>
          <w:lang w:val="en-US"/>
        </w:rPr>
        <w:t xml:space="preserve"> </w:t>
      </w:r>
      <w:proofErr w:type="spellStart"/>
      <w:r w:rsidRPr="006C721B">
        <w:rPr>
          <w:color w:val="000000" w:themeColor="text1"/>
          <w:lang w:val="en-US"/>
        </w:rPr>
        <w:t>Olena</w:t>
      </w:r>
      <w:proofErr w:type="spellEnd"/>
      <w:r w:rsidRPr="006C721B">
        <w:rPr>
          <w:color w:val="000000" w:themeColor="text1"/>
          <w:lang w:val="en-US"/>
        </w:rPr>
        <w:t> O. </w:t>
      </w:r>
      <w:proofErr w:type="spellStart"/>
      <w:r w:rsidRPr="006C721B">
        <w:rPr>
          <w:color w:val="000000" w:themeColor="text1"/>
          <w:kern w:val="2"/>
          <w:lang w:val="en-US"/>
        </w:rPr>
        <w:t>Dyadyk</w:t>
      </w:r>
      <w:proofErr w:type="spellEnd"/>
      <w:r w:rsidRPr="005879B3">
        <w:rPr>
          <w:color w:val="000000" w:themeColor="text1"/>
          <w:kern w:val="2"/>
          <w:lang w:val="en-US"/>
        </w:rPr>
        <w:t xml:space="preserve">, </w:t>
      </w:r>
      <w:proofErr w:type="spellStart"/>
      <w:r w:rsidRPr="006C721B">
        <w:rPr>
          <w:rFonts w:eastAsia="TimesNewRoman"/>
          <w:color w:val="000000" w:themeColor="text1"/>
          <w:lang w:val="en-US"/>
        </w:rPr>
        <w:t>Mykhailo</w:t>
      </w:r>
      <w:proofErr w:type="spellEnd"/>
      <w:r w:rsidRPr="006C721B">
        <w:rPr>
          <w:rFonts w:eastAsia="TimesNewRoman"/>
          <w:color w:val="000000" w:themeColor="text1"/>
          <w:lang w:val="en-US"/>
        </w:rPr>
        <w:t> S. </w:t>
      </w:r>
      <w:proofErr w:type="spellStart"/>
      <w:r w:rsidRPr="006C721B">
        <w:rPr>
          <w:rFonts w:eastAsia="TimesNewRoman"/>
          <w:color w:val="000000" w:themeColor="text1"/>
          <w:lang w:val="en-US"/>
        </w:rPr>
        <w:t>Myroshnychenko</w:t>
      </w:r>
      <w:proofErr w:type="spellEnd"/>
    </w:p>
    <w:p w:rsidR="00B4291F" w:rsidRPr="005879B3" w:rsidRDefault="00B4291F" w:rsidP="00EC1291">
      <w:pPr>
        <w:shd w:val="clear" w:color="auto" w:fill="FFFFFF"/>
        <w:spacing w:line="480" w:lineRule="auto"/>
        <w:rPr>
          <w:color w:val="000000"/>
          <w:lang w:val="en-US"/>
        </w:rPr>
      </w:pPr>
      <w:r w:rsidRPr="006C721B">
        <w:rPr>
          <w:b/>
          <w:bCs/>
          <w:color w:val="000000"/>
          <w:lang w:val="en-US"/>
        </w:rPr>
        <w:t>C</w:t>
      </w:r>
      <w:r w:rsidRPr="006C721B">
        <w:rPr>
          <w:b/>
          <w:color w:val="000000"/>
          <w:lang w:val="en-US"/>
        </w:rPr>
        <w:t> – Responsibility for statistical analysis</w:t>
      </w:r>
      <w:r w:rsidRPr="006C721B">
        <w:rPr>
          <w:color w:val="000000"/>
          <w:lang w:val="uk-UA"/>
        </w:rPr>
        <w:t xml:space="preserve"> </w:t>
      </w:r>
      <w:proofErr w:type="spellStart"/>
      <w:r w:rsidRPr="00765990">
        <w:rPr>
          <w:bCs/>
          <w:lang w:val="en-US"/>
        </w:rPr>
        <w:t>Oleksandr</w:t>
      </w:r>
      <w:proofErr w:type="spellEnd"/>
      <w:r w:rsidRPr="00765990">
        <w:rPr>
          <w:bCs/>
          <w:lang w:val="en-US"/>
        </w:rPr>
        <w:t> V. </w:t>
      </w:r>
      <w:proofErr w:type="spellStart"/>
      <w:r w:rsidRPr="00765990">
        <w:rPr>
          <w:bCs/>
          <w:lang w:val="en-US"/>
        </w:rPr>
        <w:t>Arseniev</w:t>
      </w:r>
      <w:proofErr w:type="spellEnd"/>
    </w:p>
    <w:p w:rsidR="00B4291F" w:rsidRPr="00CC47E5" w:rsidRDefault="00B4291F" w:rsidP="00EC1291">
      <w:pPr>
        <w:shd w:val="clear" w:color="auto" w:fill="FFFFFF"/>
        <w:spacing w:line="480" w:lineRule="auto"/>
        <w:rPr>
          <w:color w:val="000000"/>
          <w:lang w:val="en-US"/>
        </w:rPr>
      </w:pPr>
      <w:r w:rsidRPr="006C721B">
        <w:rPr>
          <w:b/>
          <w:bCs/>
          <w:color w:val="000000"/>
          <w:lang w:val="en-US"/>
        </w:rPr>
        <w:t>D</w:t>
      </w:r>
      <w:r w:rsidRPr="006C721B">
        <w:rPr>
          <w:b/>
          <w:color w:val="000000"/>
          <w:lang w:val="en-US"/>
        </w:rPr>
        <w:t> – Writing the article</w:t>
      </w:r>
      <w:r w:rsidRPr="006C721B">
        <w:rPr>
          <w:color w:val="000000"/>
          <w:lang w:val="en-US"/>
        </w:rPr>
        <w:t xml:space="preserve"> </w:t>
      </w:r>
      <w:r w:rsidRPr="006C721B">
        <w:rPr>
          <w:color w:val="000000" w:themeColor="text1"/>
          <w:lang w:val="en-US"/>
        </w:rPr>
        <w:t>Igor S</w:t>
      </w:r>
      <w:r w:rsidRPr="006C721B">
        <w:rPr>
          <w:color w:val="000000" w:themeColor="text1"/>
          <w:lang w:val="uk-UA"/>
        </w:rPr>
        <w:t>.</w:t>
      </w:r>
      <w:r w:rsidRPr="006C721B">
        <w:rPr>
          <w:color w:val="000000" w:themeColor="text1"/>
          <w:lang w:val="en-US"/>
        </w:rPr>
        <w:t> </w:t>
      </w:r>
      <w:proofErr w:type="spellStart"/>
      <w:r w:rsidRPr="006C721B">
        <w:rPr>
          <w:color w:val="000000" w:themeColor="text1"/>
          <w:lang w:val="en-US"/>
        </w:rPr>
        <w:t>Brodetskyi</w:t>
      </w:r>
      <w:proofErr w:type="spellEnd"/>
      <w:r w:rsidRPr="00CC47E5">
        <w:rPr>
          <w:color w:val="000000" w:themeColor="text1"/>
          <w:lang w:val="en-US"/>
        </w:rPr>
        <w:t xml:space="preserve">, </w:t>
      </w:r>
      <w:proofErr w:type="spellStart"/>
      <w:r w:rsidRPr="006C721B">
        <w:rPr>
          <w:color w:val="000000" w:themeColor="text1"/>
          <w:kern w:val="2"/>
          <w:lang w:val="en-US"/>
        </w:rPr>
        <w:t>Vladislav</w:t>
      </w:r>
      <w:proofErr w:type="spellEnd"/>
      <w:r w:rsidRPr="006C721B">
        <w:rPr>
          <w:color w:val="000000" w:themeColor="text1"/>
          <w:kern w:val="2"/>
          <w:lang w:val="en-US"/>
        </w:rPr>
        <w:t> A. </w:t>
      </w:r>
      <w:proofErr w:type="spellStart"/>
      <w:r w:rsidRPr="006C721B">
        <w:rPr>
          <w:color w:val="000000" w:themeColor="text1"/>
          <w:kern w:val="2"/>
          <w:lang w:val="en-US"/>
        </w:rPr>
        <w:t>Malanchuk</w:t>
      </w:r>
      <w:proofErr w:type="spellEnd"/>
      <w:r w:rsidRPr="00CC47E5">
        <w:rPr>
          <w:color w:val="000000" w:themeColor="text1"/>
          <w:kern w:val="2"/>
          <w:lang w:val="en-US"/>
        </w:rPr>
        <w:t xml:space="preserve">, </w:t>
      </w:r>
      <w:proofErr w:type="spellStart"/>
      <w:r w:rsidRPr="006C721B">
        <w:rPr>
          <w:rFonts w:eastAsia="TimesNewRoman"/>
          <w:color w:val="000000" w:themeColor="text1"/>
          <w:lang w:val="en-US"/>
        </w:rPr>
        <w:t>Mykhailo</w:t>
      </w:r>
      <w:proofErr w:type="spellEnd"/>
      <w:r w:rsidRPr="006C721B">
        <w:rPr>
          <w:rFonts w:eastAsia="TimesNewRoman"/>
          <w:color w:val="000000" w:themeColor="text1"/>
          <w:lang w:val="en-US"/>
        </w:rPr>
        <w:t> S. </w:t>
      </w:r>
      <w:proofErr w:type="spellStart"/>
      <w:r w:rsidRPr="006C721B">
        <w:rPr>
          <w:rFonts w:eastAsia="TimesNewRoman"/>
          <w:color w:val="000000" w:themeColor="text1"/>
          <w:lang w:val="en-US"/>
        </w:rPr>
        <w:t>Myroshnychenko</w:t>
      </w:r>
      <w:proofErr w:type="spellEnd"/>
    </w:p>
    <w:p w:rsidR="00B4291F" w:rsidRPr="005879B3" w:rsidRDefault="00B4291F" w:rsidP="00EC1291">
      <w:pPr>
        <w:shd w:val="clear" w:color="auto" w:fill="FFFFFF"/>
        <w:spacing w:line="480" w:lineRule="auto"/>
        <w:rPr>
          <w:color w:val="000000"/>
          <w:lang w:val="en-US"/>
        </w:rPr>
      </w:pPr>
      <w:r w:rsidRPr="006C721B">
        <w:rPr>
          <w:b/>
          <w:bCs/>
          <w:color w:val="000000"/>
          <w:lang w:val="en-US"/>
        </w:rPr>
        <w:t>E</w:t>
      </w:r>
      <w:r w:rsidRPr="006C721B">
        <w:rPr>
          <w:b/>
          <w:color w:val="000000"/>
          <w:lang w:val="en-US"/>
        </w:rPr>
        <w:t> – Critical review</w:t>
      </w:r>
      <w:r w:rsidRPr="006C721B">
        <w:rPr>
          <w:color w:val="000000"/>
          <w:lang w:val="en-US"/>
        </w:rPr>
        <w:t xml:space="preserve"> </w:t>
      </w:r>
      <w:proofErr w:type="spellStart"/>
      <w:r w:rsidRPr="000E1AD7">
        <w:rPr>
          <w:lang w:val="en-US" w:eastAsia="uk-UA"/>
        </w:rPr>
        <w:t>Liudmyla</w:t>
      </w:r>
      <w:proofErr w:type="spellEnd"/>
      <w:r>
        <w:rPr>
          <w:lang w:val="uk-UA" w:eastAsia="uk-UA"/>
        </w:rPr>
        <w:t> </w:t>
      </w:r>
      <w:r w:rsidRPr="000E1AD7">
        <w:rPr>
          <w:lang w:val="en-US" w:eastAsia="uk-UA"/>
        </w:rPr>
        <w:t>O</w:t>
      </w:r>
      <w:r w:rsidRPr="000E1AD7">
        <w:rPr>
          <w:lang w:val="uk-UA" w:eastAsia="uk-UA"/>
        </w:rPr>
        <w:t>.</w:t>
      </w:r>
      <w:r>
        <w:rPr>
          <w:lang w:val="uk-UA" w:eastAsia="uk-UA"/>
        </w:rPr>
        <w:t> </w:t>
      </w:r>
      <w:proofErr w:type="spellStart"/>
      <w:r w:rsidRPr="000E1AD7">
        <w:rPr>
          <w:lang w:val="en-US" w:eastAsia="uk-UA"/>
        </w:rPr>
        <w:t>Brodetska</w:t>
      </w:r>
      <w:proofErr w:type="spellEnd"/>
      <w:r w:rsidRPr="005879B3">
        <w:rPr>
          <w:rFonts w:eastAsia="TimesNewRoman"/>
          <w:color w:val="000000" w:themeColor="text1"/>
          <w:lang w:val="en-US"/>
        </w:rPr>
        <w:t xml:space="preserve">, </w:t>
      </w:r>
      <w:proofErr w:type="spellStart"/>
      <w:r w:rsidRPr="00752249">
        <w:rPr>
          <w:lang w:val="en-US"/>
        </w:rPr>
        <w:t>Viktoriia</w:t>
      </w:r>
      <w:proofErr w:type="spellEnd"/>
      <w:r w:rsidRPr="00752249">
        <w:rPr>
          <w:lang w:val="en-US"/>
        </w:rPr>
        <w:t> O. </w:t>
      </w:r>
      <w:proofErr w:type="spellStart"/>
      <w:r w:rsidRPr="00752249">
        <w:rPr>
          <w:lang w:val="en-US"/>
        </w:rPr>
        <w:t>Bibichenko</w:t>
      </w:r>
      <w:proofErr w:type="spellEnd"/>
    </w:p>
    <w:p w:rsidR="00B4291F" w:rsidRPr="00B4291F" w:rsidRDefault="00B4291F" w:rsidP="00EC1291">
      <w:pPr>
        <w:shd w:val="clear" w:color="auto" w:fill="FFFFFF"/>
        <w:spacing w:line="480" w:lineRule="auto"/>
        <w:rPr>
          <w:color w:val="000000"/>
          <w:lang w:val="uk-UA"/>
        </w:rPr>
      </w:pPr>
      <w:r w:rsidRPr="006C721B">
        <w:rPr>
          <w:b/>
          <w:bCs/>
          <w:color w:val="000000"/>
          <w:lang w:val="en-US"/>
        </w:rPr>
        <w:t>F</w:t>
      </w:r>
      <w:r w:rsidRPr="006C721B">
        <w:rPr>
          <w:b/>
          <w:color w:val="000000"/>
          <w:lang w:val="en-US"/>
        </w:rPr>
        <w:t> – Final approval of the articl</w:t>
      </w:r>
      <w:r w:rsidRPr="006C721B">
        <w:rPr>
          <w:color w:val="000000"/>
          <w:lang w:val="en-US"/>
        </w:rPr>
        <w:t xml:space="preserve">e </w:t>
      </w:r>
      <w:proofErr w:type="spellStart"/>
      <w:r w:rsidRPr="006C721B">
        <w:rPr>
          <w:color w:val="000000" w:themeColor="text1"/>
          <w:shd w:val="clear" w:color="auto" w:fill="FFFFFF"/>
          <w:lang w:val="en-US"/>
        </w:rPr>
        <w:t>Yaroslava</w:t>
      </w:r>
      <w:proofErr w:type="spellEnd"/>
      <w:r w:rsidRPr="006C721B">
        <w:rPr>
          <w:color w:val="000000" w:themeColor="text1"/>
          <w:shd w:val="clear" w:color="auto" w:fill="FFFFFF"/>
          <w:lang w:val="en-US"/>
        </w:rPr>
        <w:t> </w:t>
      </w:r>
      <w:r w:rsidRPr="006C721B">
        <w:rPr>
          <w:color w:val="000000" w:themeColor="text1"/>
          <w:shd w:val="clear" w:color="auto" w:fill="FFFFFF"/>
        </w:rPr>
        <w:t>А</w:t>
      </w:r>
      <w:r w:rsidRPr="006C721B">
        <w:rPr>
          <w:color w:val="000000" w:themeColor="text1"/>
          <w:shd w:val="clear" w:color="auto" w:fill="FFFFFF"/>
          <w:lang w:val="en-US"/>
        </w:rPr>
        <w:t>. </w:t>
      </w:r>
      <w:proofErr w:type="spellStart"/>
      <w:r w:rsidRPr="006C721B">
        <w:rPr>
          <w:color w:val="000000" w:themeColor="text1"/>
          <w:shd w:val="clear" w:color="auto" w:fill="FFFFFF"/>
          <w:lang w:val="en-US"/>
        </w:rPr>
        <w:t>Kulbashna</w:t>
      </w:r>
      <w:proofErr w:type="spellEnd"/>
      <w:r w:rsidRPr="005879B3">
        <w:rPr>
          <w:color w:val="000000" w:themeColor="text1"/>
          <w:shd w:val="clear" w:color="auto" w:fill="FFFFFF"/>
          <w:lang w:val="en-US"/>
        </w:rPr>
        <w:t xml:space="preserve">, </w:t>
      </w:r>
      <w:proofErr w:type="spellStart"/>
      <w:r w:rsidRPr="006C721B">
        <w:rPr>
          <w:color w:val="000000" w:themeColor="text1"/>
          <w:lang w:val="en-US"/>
        </w:rPr>
        <w:t>Olena</w:t>
      </w:r>
      <w:proofErr w:type="spellEnd"/>
      <w:r w:rsidRPr="006C721B">
        <w:rPr>
          <w:color w:val="000000" w:themeColor="text1"/>
          <w:lang w:val="en-US"/>
        </w:rPr>
        <w:t> O. </w:t>
      </w:r>
      <w:proofErr w:type="spellStart"/>
      <w:r w:rsidRPr="006C721B">
        <w:rPr>
          <w:color w:val="000000" w:themeColor="text1"/>
          <w:lang w:val="en-US"/>
        </w:rPr>
        <w:t>Astapenko</w:t>
      </w:r>
      <w:proofErr w:type="spellEnd"/>
      <w:r>
        <w:rPr>
          <w:color w:val="000000" w:themeColor="text1"/>
          <w:lang w:val="uk-UA"/>
        </w:rPr>
        <w:t xml:space="preserve">, </w:t>
      </w:r>
    </w:p>
    <w:p w:rsidR="007A36D1" w:rsidRPr="00B4291F" w:rsidRDefault="00B4291F" w:rsidP="00EC1291">
      <w:pPr>
        <w:spacing w:line="480" w:lineRule="auto"/>
        <w:jc w:val="both"/>
        <w:rPr>
          <w:color w:val="000000"/>
          <w:lang w:val="uk-UA"/>
        </w:rPr>
      </w:pPr>
      <w:r>
        <w:rPr>
          <w:rFonts w:eastAsia="TimesNewRoman"/>
          <w:color w:val="000000"/>
          <w:lang w:val="en-US"/>
        </w:rPr>
        <w:t>Sergey</w:t>
      </w:r>
      <w:r w:rsidRPr="0034173B">
        <w:rPr>
          <w:color w:val="000000"/>
          <w:lang w:val="en-US"/>
        </w:rPr>
        <w:t> </w:t>
      </w:r>
      <w:r>
        <w:rPr>
          <w:color w:val="000000"/>
          <w:lang w:val="en-US"/>
        </w:rPr>
        <w:t>B</w:t>
      </w:r>
      <w:r w:rsidRPr="0034173B">
        <w:rPr>
          <w:color w:val="000000"/>
          <w:lang w:val="uk-UA"/>
        </w:rPr>
        <w:t>.</w:t>
      </w:r>
      <w:r w:rsidRPr="0034173B">
        <w:rPr>
          <w:color w:val="000000"/>
          <w:lang w:val="en-US"/>
        </w:rPr>
        <w:t> </w:t>
      </w:r>
      <w:proofErr w:type="spellStart"/>
      <w:r w:rsidRPr="0034173B">
        <w:rPr>
          <w:color w:val="000000"/>
          <w:lang w:val="en-US"/>
        </w:rPr>
        <w:t>Brodetskyi</w:t>
      </w:r>
      <w:proofErr w:type="spellEnd"/>
    </w:p>
    <w:p w:rsidR="007A36D1" w:rsidRDefault="007A36D1" w:rsidP="002D7F02">
      <w:pPr>
        <w:spacing w:line="480" w:lineRule="auto"/>
        <w:ind w:firstLine="708"/>
        <w:jc w:val="both"/>
        <w:rPr>
          <w:color w:val="000000"/>
          <w:lang w:val="en-US"/>
        </w:rPr>
      </w:pPr>
    </w:p>
    <w:sectPr w:rsidR="007A36D1" w:rsidSect="00317BF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1F5" w:rsidRDefault="001521F5" w:rsidP="00554C97">
      <w:r>
        <w:separator/>
      </w:r>
    </w:p>
  </w:endnote>
  <w:endnote w:type="continuationSeparator" w:id="0">
    <w:p w:rsidR="001521F5" w:rsidRDefault="001521F5" w:rsidP="0055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1F5" w:rsidRDefault="001521F5" w:rsidP="00554C97">
      <w:r>
        <w:separator/>
      </w:r>
    </w:p>
  </w:footnote>
  <w:footnote w:type="continuationSeparator" w:id="0">
    <w:p w:rsidR="001521F5" w:rsidRDefault="001521F5" w:rsidP="00554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30EF7"/>
    <w:multiLevelType w:val="hybridMultilevel"/>
    <w:tmpl w:val="D8F60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744"/>
    <w:rsid w:val="00037E9D"/>
    <w:rsid w:val="00045CF7"/>
    <w:rsid w:val="000514F8"/>
    <w:rsid w:val="00051C7C"/>
    <w:rsid w:val="00053867"/>
    <w:rsid w:val="00071A8A"/>
    <w:rsid w:val="0007279D"/>
    <w:rsid w:val="000803AD"/>
    <w:rsid w:val="00081FCD"/>
    <w:rsid w:val="00084841"/>
    <w:rsid w:val="000934AD"/>
    <w:rsid w:val="00093CDA"/>
    <w:rsid w:val="00094BCE"/>
    <w:rsid w:val="000B1946"/>
    <w:rsid w:val="000B3CD2"/>
    <w:rsid w:val="000C2CCE"/>
    <w:rsid w:val="000C3958"/>
    <w:rsid w:val="000D0D07"/>
    <w:rsid w:val="000D0D40"/>
    <w:rsid w:val="000D13DB"/>
    <w:rsid w:val="000D672C"/>
    <w:rsid w:val="000F3F5A"/>
    <w:rsid w:val="000F6364"/>
    <w:rsid w:val="001326B8"/>
    <w:rsid w:val="00140064"/>
    <w:rsid w:val="00140932"/>
    <w:rsid w:val="00144109"/>
    <w:rsid w:val="00150BC1"/>
    <w:rsid w:val="00150D9C"/>
    <w:rsid w:val="001521F5"/>
    <w:rsid w:val="0016116A"/>
    <w:rsid w:val="00163BAC"/>
    <w:rsid w:val="00165F58"/>
    <w:rsid w:val="00170D35"/>
    <w:rsid w:val="00181121"/>
    <w:rsid w:val="0018192C"/>
    <w:rsid w:val="00190375"/>
    <w:rsid w:val="00194FDD"/>
    <w:rsid w:val="001A108A"/>
    <w:rsid w:val="001A14B1"/>
    <w:rsid w:val="001A7A3F"/>
    <w:rsid w:val="001B00DA"/>
    <w:rsid w:val="001B1319"/>
    <w:rsid w:val="001B393F"/>
    <w:rsid w:val="001B436C"/>
    <w:rsid w:val="001E0CB2"/>
    <w:rsid w:val="001E269E"/>
    <w:rsid w:val="001E47C4"/>
    <w:rsid w:val="001F0995"/>
    <w:rsid w:val="001F2534"/>
    <w:rsid w:val="001F62BC"/>
    <w:rsid w:val="00201ABC"/>
    <w:rsid w:val="00205AC0"/>
    <w:rsid w:val="00207E25"/>
    <w:rsid w:val="00214FDD"/>
    <w:rsid w:val="0022622D"/>
    <w:rsid w:val="00233255"/>
    <w:rsid w:val="002361C4"/>
    <w:rsid w:val="0024239F"/>
    <w:rsid w:val="002520BD"/>
    <w:rsid w:val="00265E0A"/>
    <w:rsid w:val="00277463"/>
    <w:rsid w:val="00284AE5"/>
    <w:rsid w:val="00285209"/>
    <w:rsid w:val="00285E13"/>
    <w:rsid w:val="002B1756"/>
    <w:rsid w:val="002B599A"/>
    <w:rsid w:val="002B5BA3"/>
    <w:rsid w:val="002C3FD6"/>
    <w:rsid w:val="002C63F6"/>
    <w:rsid w:val="002C656F"/>
    <w:rsid w:val="002D7F02"/>
    <w:rsid w:val="002E4CBF"/>
    <w:rsid w:val="00301298"/>
    <w:rsid w:val="0030168D"/>
    <w:rsid w:val="0030193B"/>
    <w:rsid w:val="00317BFA"/>
    <w:rsid w:val="00323B10"/>
    <w:rsid w:val="00332C78"/>
    <w:rsid w:val="00333253"/>
    <w:rsid w:val="00333AC4"/>
    <w:rsid w:val="0034696B"/>
    <w:rsid w:val="00352429"/>
    <w:rsid w:val="00356377"/>
    <w:rsid w:val="003566BD"/>
    <w:rsid w:val="00371744"/>
    <w:rsid w:val="00376790"/>
    <w:rsid w:val="003772EB"/>
    <w:rsid w:val="00387BB0"/>
    <w:rsid w:val="0039063E"/>
    <w:rsid w:val="003909EB"/>
    <w:rsid w:val="003A3930"/>
    <w:rsid w:val="003A70DC"/>
    <w:rsid w:val="003E770A"/>
    <w:rsid w:val="003F61BE"/>
    <w:rsid w:val="003F6DF6"/>
    <w:rsid w:val="003F7C7C"/>
    <w:rsid w:val="004127C8"/>
    <w:rsid w:val="0042190F"/>
    <w:rsid w:val="00426A1D"/>
    <w:rsid w:val="00427ACB"/>
    <w:rsid w:val="004327F0"/>
    <w:rsid w:val="00434735"/>
    <w:rsid w:val="00443760"/>
    <w:rsid w:val="00454414"/>
    <w:rsid w:val="00464304"/>
    <w:rsid w:val="00467A28"/>
    <w:rsid w:val="00471FC1"/>
    <w:rsid w:val="00476CE8"/>
    <w:rsid w:val="00483181"/>
    <w:rsid w:val="004853BA"/>
    <w:rsid w:val="00486BDB"/>
    <w:rsid w:val="00494522"/>
    <w:rsid w:val="004B7AFA"/>
    <w:rsid w:val="004C16BB"/>
    <w:rsid w:val="004C3649"/>
    <w:rsid w:val="004D1130"/>
    <w:rsid w:val="004D2B39"/>
    <w:rsid w:val="004D7E4A"/>
    <w:rsid w:val="004E5397"/>
    <w:rsid w:val="004F675E"/>
    <w:rsid w:val="00512EE1"/>
    <w:rsid w:val="00543779"/>
    <w:rsid w:val="00544F0B"/>
    <w:rsid w:val="00547400"/>
    <w:rsid w:val="00550884"/>
    <w:rsid w:val="00554C97"/>
    <w:rsid w:val="0057231C"/>
    <w:rsid w:val="0059770B"/>
    <w:rsid w:val="005979EC"/>
    <w:rsid w:val="00597FFC"/>
    <w:rsid w:val="005A290C"/>
    <w:rsid w:val="005B08A3"/>
    <w:rsid w:val="005B2ECB"/>
    <w:rsid w:val="005B4A71"/>
    <w:rsid w:val="005C1865"/>
    <w:rsid w:val="005C4D29"/>
    <w:rsid w:val="005D4DE1"/>
    <w:rsid w:val="005D66E2"/>
    <w:rsid w:val="005D705F"/>
    <w:rsid w:val="005D745C"/>
    <w:rsid w:val="005D785A"/>
    <w:rsid w:val="005F08FC"/>
    <w:rsid w:val="005F5AE8"/>
    <w:rsid w:val="00605027"/>
    <w:rsid w:val="00605ECB"/>
    <w:rsid w:val="006176B4"/>
    <w:rsid w:val="00622A41"/>
    <w:rsid w:val="0064611D"/>
    <w:rsid w:val="006531AE"/>
    <w:rsid w:val="00656305"/>
    <w:rsid w:val="00667C17"/>
    <w:rsid w:val="0067341D"/>
    <w:rsid w:val="00681B42"/>
    <w:rsid w:val="006902D8"/>
    <w:rsid w:val="00693410"/>
    <w:rsid w:val="00694E7A"/>
    <w:rsid w:val="006A0DFD"/>
    <w:rsid w:val="006A4A59"/>
    <w:rsid w:val="006C6357"/>
    <w:rsid w:val="006C67AC"/>
    <w:rsid w:val="006D0B6F"/>
    <w:rsid w:val="006E17DE"/>
    <w:rsid w:val="006F508A"/>
    <w:rsid w:val="00702017"/>
    <w:rsid w:val="007065D7"/>
    <w:rsid w:val="00710B25"/>
    <w:rsid w:val="007149CA"/>
    <w:rsid w:val="00715230"/>
    <w:rsid w:val="00715319"/>
    <w:rsid w:val="007354AD"/>
    <w:rsid w:val="00742171"/>
    <w:rsid w:val="00742E03"/>
    <w:rsid w:val="00744896"/>
    <w:rsid w:val="007504DA"/>
    <w:rsid w:val="00752249"/>
    <w:rsid w:val="00762672"/>
    <w:rsid w:val="00763283"/>
    <w:rsid w:val="00765990"/>
    <w:rsid w:val="00767CB0"/>
    <w:rsid w:val="0077475D"/>
    <w:rsid w:val="007750A0"/>
    <w:rsid w:val="00775F7D"/>
    <w:rsid w:val="0078237D"/>
    <w:rsid w:val="00784D60"/>
    <w:rsid w:val="007879EC"/>
    <w:rsid w:val="007933FF"/>
    <w:rsid w:val="007A36D1"/>
    <w:rsid w:val="007B1158"/>
    <w:rsid w:val="007B258E"/>
    <w:rsid w:val="007B2CA7"/>
    <w:rsid w:val="007C3837"/>
    <w:rsid w:val="007D5BE9"/>
    <w:rsid w:val="007F5252"/>
    <w:rsid w:val="00802F38"/>
    <w:rsid w:val="00803826"/>
    <w:rsid w:val="0081267D"/>
    <w:rsid w:val="0082236D"/>
    <w:rsid w:val="008227DF"/>
    <w:rsid w:val="008246AD"/>
    <w:rsid w:val="0083143B"/>
    <w:rsid w:val="008316C0"/>
    <w:rsid w:val="00832DBC"/>
    <w:rsid w:val="00833C77"/>
    <w:rsid w:val="008344A6"/>
    <w:rsid w:val="0083488F"/>
    <w:rsid w:val="00836D15"/>
    <w:rsid w:val="008418D2"/>
    <w:rsid w:val="00841E89"/>
    <w:rsid w:val="00845836"/>
    <w:rsid w:val="00854731"/>
    <w:rsid w:val="00860D49"/>
    <w:rsid w:val="0086262F"/>
    <w:rsid w:val="00864EEE"/>
    <w:rsid w:val="00867A02"/>
    <w:rsid w:val="00884473"/>
    <w:rsid w:val="00894584"/>
    <w:rsid w:val="00896612"/>
    <w:rsid w:val="00896C4E"/>
    <w:rsid w:val="008B3CD1"/>
    <w:rsid w:val="008C158A"/>
    <w:rsid w:val="008C1FB3"/>
    <w:rsid w:val="008D04CB"/>
    <w:rsid w:val="008E4C18"/>
    <w:rsid w:val="008F5153"/>
    <w:rsid w:val="008F5A1B"/>
    <w:rsid w:val="0090318C"/>
    <w:rsid w:val="00904063"/>
    <w:rsid w:val="00904F79"/>
    <w:rsid w:val="009125F9"/>
    <w:rsid w:val="0091366E"/>
    <w:rsid w:val="00913729"/>
    <w:rsid w:val="009253CD"/>
    <w:rsid w:val="009372CF"/>
    <w:rsid w:val="00955413"/>
    <w:rsid w:val="00957CE1"/>
    <w:rsid w:val="00964392"/>
    <w:rsid w:val="009718A8"/>
    <w:rsid w:val="00985ED7"/>
    <w:rsid w:val="009B0A9C"/>
    <w:rsid w:val="009B2A30"/>
    <w:rsid w:val="009B4F43"/>
    <w:rsid w:val="009E27CD"/>
    <w:rsid w:val="009F75E4"/>
    <w:rsid w:val="00A20BAF"/>
    <w:rsid w:val="00A25599"/>
    <w:rsid w:val="00A30A59"/>
    <w:rsid w:val="00A33730"/>
    <w:rsid w:val="00A367BF"/>
    <w:rsid w:val="00A6626D"/>
    <w:rsid w:val="00A70D35"/>
    <w:rsid w:val="00A77ECD"/>
    <w:rsid w:val="00A90300"/>
    <w:rsid w:val="00A9487F"/>
    <w:rsid w:val="00AA174B"/>
    <w:rsid w:val="00AA2920"/>
    <w:rsid w:val="00AA4F27"/>
    <w:rsid w:val="00AB0A6C"/>
    <w:rsid w:val="00AB24DE"/>
    <w:rsid w:val="00AB4A34"/>
    <w:rsid w:val="00AD458C"/>
    <w:rsid w:val="00AD6DBC"/>
    <w:rsid w:val="00AF1120"/>
    <w:rsid w:val="00AF7DF4"/>
    <w:rsid w:val="00B119C3"/>
    <w:rsid w:val="00B25C90"/>
    <w:rsid w:val="00B261FB"/>
    <w:rsid w:val="00B31510"/>
    <w:rsid w:val="00B4291F"/>
    <w:rsid w:val="00B4339C"/>
    <w:rsid w:val="00B436A0"/>
    <w:rsid w:val="00B46340"/>
    <w:rsid w:val="00B61438"/>
    <w:rsid w:val="00B61E33"/>
    <w:rsid w:val="00B65D7C"/>
    <w:rsid w:val="00B831A5"/>
    <w:rsid w:val="00B86A48"/>
    <w:rsid w:val="00B92427"/>
    <w:rsid w:val="00B95014"/>
    <w:rsid w:val="00B96F54"/>
    <w:rsid w:val="00BA2749"/>
    <w:rsid w:val="00BA30CB"/>
    <w:rsid w:val="00BB3034"/>
    <w:rsid w:val="00BB6E91"/>
    <w:rsid w:val="00BD5401"/>
    <w:rsid w:val="00BE24D0"/>
    <w:rsid w:val="00BF435F"/>
    <w:rsid w:val="00BF5326"/>
    <w:rsid w:val="00C112E1"/>
    <w:rsid w:val="00C178B3"/>
    <w:rsid w:val="00C21034"/>
    <w:rsid w:val="00C3772F"/>
    <w:rsid w:val="00C43912"/>
    <w:rsid w:val="00C468A5"/>
    <w:rsid w:val="00C46E47"/>
    <w:rsid w:val="00C4797D"/>
    <w:rsid w:val="00C47B9B"/>
    <w:rsid w:val="00C50B7B"/>
    <w:rsid w:val="00C62AA5"/>
    <w:rsid w:val="00C646B6"/>
    <w:rsid w:val="00C77CA8"/>
    <w:rsid w:val="00C80F13"/>
    <w:rsid w:val="00C84C1C"/>
    <w:rsid w:val="00C90399"/>
    <w:rsid w:val="00C94E36"/>
    <w:rsid w:val="00CA6905"/>
    <w:rsid w:val="00CB36C5"/>
    <w:rsid w:val="00CB511E"/>
    <w:rsid w:val="00CB6A2A"/>
    <w:rsid w:val="00CB7F0B"/>
    <w:rsid w:val="00CC1CAC"/>
    <w:rsid w:val="00CD305C"/>
    <w:rsid w:val="00CE4596"/>
    <w:rsid w:val="00CF3BB5"/>
    <w:rsid w:val="00CF44EB"/>
    <w:rsid w:val="00D0265D"/>
    <w:rsid w:val="00D17CF4"/>
    <w:rsid w:val="00D22164"/>
    <w:rsid w:val="00D22E32"/>
    <w:rsid w:val="00D27956"/>
    <w:rsid w:val="00D3267E"/>
    <w:rsid w:val="00D33769"/>
    <w:rsid w:val="00D40D6D"/>
    <w:rsid w:val="00D44512"/>
    <w:rsid w:val="00D468F9"/>
    <w:rsid w:val="00D6507A"/>
    <w:rsid w:val="00D71FD9"/>
    <w:rsid w:val="00D831F0"/>
    <w:rsid w:val="00D8359C"/>
    <w:rsid w:val="00D86615"/>
    <w:rsid w:val="00D968C0"/>
    <w:rsid w:val="00DA0E23"/>
    <w:rsid w:val="00DA4E79"/>
    <w:rsid w:val="00DA771C"/>
    <w:rsid w:val="00DB3FF2"/>
    <w:rsid w:val="00DC1123"/>
    <w:rsid w:val="00DC72C3"/>
    <w:rsid w:val="00DD3FF8"/>
    <w:rsid w:val="00DE3404"/>
    <w:rsid w:val="00DE3EBB"/>
    <w:rsid w:val="00DE510C"/>
    <w:rsid w:val="00DE513E"/>
    <w:rsid w:val="00DF7649"/>
    <w:rsid w:val="00E00013"/>
    <w:rsid w:val="00E14A5F"/>
    <w:rsid w:val="00E3634D"/>
    <w:rsid w:val="00E4551C"/>
    <w:rsid w:val="00E55AD9"/>
    <w:rsid w:val="00E64138"/>
    <w:rsid w:val="00E66F6E"/>
    <w:rsid w:val="00E830BB"/>
    <w:rsid w:val="00E92B8B"/>
    <w:rsid w:val="00E946DB"/>
    <w:rsid w:val="00EA0B2E"/>
    <w:rsid w:val="00EA53CF"/>
    <w:rsid w:val="00EA57DE"/>
    <w:rsid w:val="00EC1291"/>
    <w:rsid w:val="00EC29BD"/>
    <w:rsid w:val="00EC6BD1"/>
    <w:rsid w:val="00EC748F"/>
    <w:rsid w:val="00EC7EF2"/>
    <w:rsid w:val="00ED415E"/>
    <w:rsid w:val="00EE02AB"/>
    <w:rsid w:val="00EE684A"/>
    <w:rsid w:val="00EF0209"/>
    <w:rsid w:val="00EF3863"/>
    <w:rsid w:val="00F00CC9"/>
    <w:rsid w:val="00F03D8E"/>
    <w:rsid w:val="00F145EF"/>
    <w:rsid w:val="00F2127B"/>
    <w:rsid w:val="00F319E1"/>
    <w:rsid w:val="00F31FD4"/>
    <w:rsid w:val="00F32E0A"/>
    <w:rsid w:val="00F45905"/>
    <w:rsid w:val="00F47562"/>
    <w:rsid w:val="00F60F5B"/>
    <w:rsid w:val="00F636D6"/>
    <w:rsid w:val="00F860C4"/>
    <w:rsid w:val="00F866B5"/>
    <w:rsid w:val="00F875EA"/>
    <w:rsid w:val="00F97D96"/>
    <w:rsid w:val="00FA210C"/>
    <w:rsid w:val="00FB7388"/>
    <w:rsid w:val="00FC0111"/>
    <w:rsid w:val="00FC29EB"/>
    <w:rsid w:val="00FC3DB1"/>
    <w:rsid w:val="00FD10E0"/>
    <w:rsid w:val="00FD4B00"/>
    <w:rsid w:val="00FD585C"/>
    <w:rsid w:val="00FE0D5A"/>
    <w:rsid w:val="00FE1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rsid w:val="005979EC"/>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44376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7354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344A6"/>
    <w:rPr>
      <w:rFonts w:ascii="Tahoma" w:hAnsi="Tahoma" w:cs="Tahoma"/>
      <w:sz w:val="16"/>
      <w:szCs w:val="16"/>
    </w:rPr>
  </w:style>
  <w:style w:type="character" w:customStyle="1" w:styleId="a4">
    <w:name w:val="Текст выноски Знак"/>
    <w:basedOn w:val="a0"/>
    <w:link w:val="a3"/>
    <w:rsid w:val="008344A6"/>
    <w:rPr>
      <w:rFonts w:ascii="Tahoma" w:hAnsi="Tahoma" w:cs="Tahoma"/>
      <w:sz w:val="16"/>
      <w:szCs w:val="16"/>
    </w:rPr>
  </w:style>
  <w:style w:type="paragraph" w:styleId="a5">
    <w:name w:val="List Paragraph"/>
    <w:basedOn w:val="a"/>
    <w:uiPriority w:val="34"/>
    <w:qFormat/>
    <w:rsid w:val="00715230"/>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0C2CC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0C2CCE"/>
    <w:pPr>
      <w:spacing w:after="120"/>
      <w:ind w:left="283"/>
    </w:pPr>
    <w:rPr>
      <w:rFonts w:eastAsia="Calibri"/>
    </w:rPr>
  </w:style>
  <w:style w:type="character" w:customStyle="1" w:styleId="a8">
    <w:name w:val="Основной текст с отступом Знак"/>
    <w:basedOn w:val="a0"/>
    <w:link w:val="a7"/>
    <w:rsid w:val="000C2CCE"/>
    <w:rPr>
      <w:rFonts w:eastAsia="Calibri"/>
      <w:sz w:val="24"/>
      <w:szCs w:val="24"/>
    </w:rPr>
  </w:style>
  <w:style w:type="character" w:styleId="a9">
    <w:name w:val="Emphasis"/>
    <w:basedOn w:val="a0"/>
    <w:uiPriority w:val="20"/>
    <w:qFormat/>
    <w:rsid w:val="00A20BAF"/>
    <w:rPr>
      <w:i/>
      <w:iCs/>
    </w:rPr>
  </w:style>
  <w:style w:type="character" w:styleId="aa">
    <w:name w:val="Hyperlink"/>
    <w:basedOn w:val="a0"/>
    <w:uiPriority w:val="99"/>
    <w:unhideWhenUsed/>
    <w:rsid w:val="00051C7C"/>
    <w:rPr>
      <w:color w:val="0000FF"/>
      <w:u w:val="single"/>
    </w:rPr>
  </w:style>
  <w:style w:type="paragraph" w:styleId="ab">
    <w:name w:val="header"/>
    <w:basedOn w:val="a"/>
    <w:link w:val="ac"/>
    <w:rsid w:val="00554C97"/>
    <w:pPr>
      <w:tabs>
        <w:tab w:val="center" w:pos="4677"/>
        <w:tab w:val="right" w:pos="9355"/>
      </w:tabs>
    </w:pPr>
  </w:style>
  <w:style w:type="character" w:customStyle="1" w:styleId="ac">
    <w:name w:val="Верхний колонтитул Знак"/>
    <w:basedOn w:val="a0"/>
    <w:link w:val="ab"/>
    <w:rsid w:val="00554C97"/>
    <w:rPr>
      <w:sz w:val="24"/>
      <w:szCs w:val="24"/>
    </w:rPr>
  </w:style>
  <w:style w:type="paragraph" w:styleId="ad">
    <w:name w:val="footer"/>
    <w:basedOn w:val="a"/>
    <w:link w:val="ae"/>
    <w:rsid w:val="00554C97"/>
    <w:pPr>
      <w:tabs>
        <w:tab w:val="center" w:pos="4677"/>
        <w:tab w:val="right" w:pos="9355"/>
      </w:tabs>
    </w:pPr>
  </w:style>
  <w:style w:type="character" w:customStyle="1" w:styleId="ae">
    <w:name w:val="Нижний колонтитул Знак"/>
    <w:basedOn w:val="a0"/>
    <w:link w:val="ad"/>
    <w:rsid w:val="00554C97"/>
    <w:rPr>
      <w:sz w:val="24"/>
      <w:szCs w:val="24"/>
    </w:rPr>
  </w:style>
  <w:style w:type="character" w:customStyle="1" w:styleId="10">
    <w:name w:val="Заголовок 1 Знак"/>
    <w:basedOn w:val="a0"/>
    <w:link w:val="1"/>
    <w:uiPriority w:val="9"/>
    <w:rsid w:val="005979EC"/>
    <w:rPr>
      <w:b/>
      <w:bCs/>
      <w:kern w:val="36"/>
      <w:sz w:val="48"/>
      <w:szCs w:val="48"/>
    </w:rPr>
  </w:style>
  <w:style w:type="character" w:customStyle="1" w:styleId="30">
    <w:name w:val="Заголовок 3 Знак"/>
    <w:basedOn w:val="a0"/>
    <w:link w:val="3"/>
    <w:semiHidden/>
    <w:rsid w:val="00443760"/>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semiHidden/>
    <w:rsid w:val="007354AD"/>
    <w:rPr>
      <w:rFonts w:asciiTheme="majorHAnsi" w:eastAsiaTheme="majorEastAsia" w:hAnsiTheme="majorHAnsi" w:cstheme="majorBidi"/>
      <w:b/>
      <w:bCs/>
      <w:i/>
      <w:iCs/>
      <w:color w:val="4F81BD" w:themeColor="accent1"/>
      <w:sz w:val="24"/>
      <w:szCs w:val="24"/>
    </w:rPr>
  </w:style>
  <w:style w:type="paragraph" w:styleId="af">
    <w:name w:val="Normal (Web)"/>
    <w:basedOn w:val="a"/>
    <w:uiPriority w:val="99"/>
    <w:semiHidden/>
    <w:unhideWhenUsed/>
    <w:rsid w:val="007354AD"/>
    <w:pPr>
      <w:spacing w:before="100" w:beforeAutospacing="1" w:after="100" w:afterAutospacing="1"/>
    </w:pPr>
  </w:style>
  <w:style w:type="character" w:styleId="af0">
    <w:name w:val="Strong"/>
    <w:basedOn w:val="a0"/>
    <w:uiPriority w:val="22"/>
    <w:qFormat/>
    <w:rsid w:val="00B429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rsid w:val="005979EC"/>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44376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7354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344A6"/>
    <w:rPr>
      <w:rFonts w:ascii="Tahoma" w:hAnsi="Tahoma" w:cs="Tahoma"/>
      <w:sz w:val="16"/>
      <w:szCs w:val="16"/>
    </w:rPr>
  </w:style>
  <w:style w:type="character" w:customStyle="1" w:styleId="a4">
    <w:name w:val="Текст выноски Знак"/>
    <w:basedOn w:val="a0"/>
    <w:link w:val="a3"/>
    <w:rsid w:val="008344A6"/>
    <w:rPr>
      <w:rFonts w:ascii="Tahoma" w:hAnsi="Tahoma" w:cs="Tahoma"/>
      <w:sz w:val="16"/>
      <w:szCs w:val="16"/>
    </w:rPr>
  </w:style>
  <w:style w:type="paragraph" w:styleId="a5">
    <w:name w:val="List Paragraph"/>
    <w:basedOn w:val="a"/>
    <w:uiPriority w:val="34"/>
    <w:qFormat/>
    <w:rsid w:val="00715230"/>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0C2CC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0C2CCE"/>
    <w:pPr>
      <w:spacing w:after="120"/>
      <w:ind w:left="283"/>
    </w:pPr>
    <w:rPr>
      <w:rFonts w:eastAsia="Calibri"/>
    </w:rPr>
  </w:style>
  <w:style w:type="character" w:customStyle="1" w:styleId="a8">
    <w:name w:val="Основной текст с отступом Знак"/>
    <w:basedOn w:val="a0"/>
    <w:link w:val="a7"/>
    <w:rsid w:val="000C2CCE"/>
    <w:rPr>
      <w:rFonts w:eastAsia="Calibri"/>
      <w:sz w:val="24"/>
      <w:szCs w:val="24"/>
    </w:rPr>
  </w:style>
  <w:style w:type="character" w:styleId="a9">
    <w:name w:val="Emphasis"/>
    <w:basedOn w:val="a0"/>
    <w:uiPriority w:val="20"/>
    <w:qFormat/>
    <w:rsid w:val="00A20BAF"/>
    <w:rPr>
      <w:i/>
      <w:iCs/>
    </w:rPr>
  </w:style>
  <w:style w:type="character" w:styleId="aa">
    <w:name w:val="Hyperlink"/>
    <w:basedOn w:val="a0"/>
    <w:uiPriority w:val="99"/>
    <w:unhideWhenUsed/>
    <w:rsid w:val="00051C7C"/>
    <w:rPr>
      <w:color w:val="0000FF"/>
      <w:u w:val="single"/>
    </w:rPr>
  </w:style>
  <w:style w:type="paragraph" w:styleId="ab">
    <w:name w:val="header"/>
    <w:basedOn w:val="a"/>
    <w:link w:val="ac"/>
    <w:rsid w:val="00554C97"/>
    <w:pPr>
      <w:tabs>
        <w:tab w:val="center" w:pos="4677"/>
        <w:tab w:val="right" w:pos="9355"/>
      </w:tabs>
    </w:pPr>
  </w:style>
  <w:style w:type="character" w:customStyle="1" w:styleId="ac">
    <w:name w:val="Верхний колонтитул Знак"/>
    <w:basedOn w:val="a0"/>
    <w:link w:val="ab"/>
    <w:rsid w:val="00554C97"/>
    <w:rPr>
      <w:sz w:val="24"/>
      <w:szCs w:val="24"/>
    </w:rPr>
  </w:style>
  <w:style w:type="paragraph" w:styleId="ad">
    <w:name w:val="footer"/>
    <w:basedOn w:val="a"/>
    <w:link w:val="ae"/>
    <w:rsid w:val="00554C97"/>
    <w:pPr>
      <w:tabs>
        <w:tab w:val="center" w:pos="4677"/>
        <w:tab w:val="right" w:pos="9355"/>
      </w:tabs>
    </w:pPr>
  </w:style>
  <w:style w:type="character" w:customStyle="1" w:styleId="ae">
    <w:name w:val="Нижний колонтитул Знак"/>
    <w:basedOn w:val="a0"/>
    <w:link w:val="ad"/>
    <w:rsid w:val="00554C97"/>
    <w:rPr>
      <w:sz w:val="24"/>
      <w:szCs w:val="24"/>
    </w:rPr>
  </w:style>
  <w:style w:type="character" w:customStyle="1" w:styleId="10">
    <w:name w:val="Заголовок 1 Знак"/>
    <w:basedOn w:val="a0"/>
    <w:link w:val="1"/>
    <w:uiPriority w:val="9"/>
    <w:rsid w:val="005979EC"/>
    <w:rPr>
      <w:b/>
      <w:bCs/>
      <w:kern w:val="36"/>
      <w:sz w:val="48"/>
      <w:szCs w:val="48"/>
    </w:rPr>
  </w:style>
  <w:style w:type="character" w:customStyle="1" w:styleId="30">
    <w:name w:val="Заголовок 3 Знак"/>
    <w:basedOn w:val="a0"/>
    <w:link w:val="3"/>
    <w:semiHidden/>
    <w:rsid w:val="00443760"/>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semiHidden/>
    <w:rsid w:val="007354AD"/>
    <w:rPr>
      <w:rFonts w:asciiTheme="majorHAnsi" w:eastAsiaTheme="majorEastAsia" w:hAnsiTheme="majorHAnsi" w:cstheme="majorBidi"/>
      <w:b/>
      <w:bCs/>
      <w:i/>
      <w:iCs/>
      <w:color w:val="4F81BD" w:themeColor="accent1"/>
      <w:sz w:val="24"/>
      <w:szCs w:val="24"/>
    </w:rPr>
  </w:style>
  <w:style w:type="paragraph" w:styleId="af">
    <w:name w:val="Normal (Web)"/>
    <w:basedOn w:val="a"/>
    <w:uiPriority w:val="99"/>
    <w:semiHidden/>
    <w:unhideWhenUsed/>
    <w:rsid w:val="007354AD"/>
    <w:pPr>
      <w:spacing w:before="100" w:beforeAutospacing="1" w:after="100" w:afterAutospacing="1"/>
    </w:pPr>
  </w:style>
  <w:style w:type="character" w:styleId="af0">
    <w:name w:val="Strong"/>
    <w:basedOn w:val="a0"/>
    <w:uiPriority w:val="22"/>
    <w:qFormat/>
    <w:rsid w:val="00B429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6478">
      <w:bodyDiv w:val="1"/>
      <w:marLeft w:val="0"/>
      <w:marRight w:val="0"/>
      <w:marTop w:val="0"/>
      <w:marBottom w:val="0"/>
      <w:divBdr>
        <w:top w:val="none" w:sz="0" w:space="0" w:color="auto"/>
        <w:left w:val="none" w:sz="0" w:space="0" w:color="auto"/>
        <w:bottom w:val="none" w:sz="0" w:space="0" w:color="auto"/>
        <w:right w:val="none" w:sz="0" w:space="0" w:color="auto"/>
      </w:divBdr>
    </w:div>
    <w:div w:id="312417164">
      <w:bodyDiv w:val="1"/>
      <w:marLeft w:val="0"/>
      <w:marRight w:val="0"/>
      <w:marTop w:val="0"/>
      <w:marBottom w:val="0"/>
      <w:divBdr>
        <w:top w:val="none" w:sz="0" w:space="0" w:color="auto"/>
        <w:left w:val="none" w:sz="0" w:space="0" w:color="auto"/>
        <w:bottom w:val="none" w:sz="0" w:space="0" w:color="auto"/>
        <w:right w:val="none" w:sz="0" w:space="0" w:color="auto"/>
      </w:divBdr>
    </w:div>
    <w:div w:id="326786679">
      <w:bodyDiv w:val="1"/>
      <w:marLeft w:val="0"/>
      <w:marRight w:val="0"/>
      <w:marTop w:val="0"/>
      <w:marBottom w:val="0"/>
      <w:divBdr>
        <w:top w:val="none" w:sz="0" w:space="0" w:color="auto"/>
        <w:left w:val="none" w:sz="0" w:space="0" w:color="auto"/>
        <w:bottom w:val="none" w:sz="0" w:space="0" w:color="auto"/>
        <w:right w:val="none" w:sz="0" w:space="0" w:color="auto"/>
      </w:divBdr>
    </w:div>
    <w:div w:id="391388972">
      <w:bodyDiv w:val="1"/>
      <w:marLeft w:val="0"/>
      <w:marRight w:val="0"/>
      <w:marTop w:val="0"/>
      <w:marBottom w:val="0"/>
      <w:divBdr>
        <w:top w:val="none" w:sz="0" w:space="0" w:color="auto"/>
        <w:left w:val="none" w:sz="0" w:space="0" w:color="auto"/>
        <w:bottom w:val="none" w:sz="0" w:space="0" w:color="auto"/>
        <w:right w:val="none" w:sz="0" w:space="0" w:color="auto"/>
      </w:divBdr>
    </w:div>
    <w:div w:id="443769116">
      <w:bodyDiv w:val="1"/>
      <w:marLeft w:val="0"/>
      <w:marRight w:val="0"/>
      <w:marTop w:val="0"/>
      <w:marBottom w:val="0"/>
      <w:divBdr>
        <w:top w:val="none" w:sz="0" w:space="0" w:color="auto"/>
        <w:left w:val="none" w:sz="0" w:space="0" w:color="auto"/>
        <w:bottom w:val="none" w:sz="0" w:space="0" w:color="auto"/>
        <w:right w:val="none" w:sz="0" w:space="0" w:color="auto"/>
      </w:divBdr>
    </w:div>
    <w:div w:id="570164468">
      <w:bodyDiv w:val="1"/>
      <w:marLeft w:val="0"/>
      <w:marRight w:val="0"/>
      <w:marTop w:val="0"/>
      <w:marBottom w:val="0"/>
      <w:divBdr>
        <w:top w:val="none" w:sz="0" w:space="0" w:color="auto"/>
        <w:left w:val="none" w:sz="0" w:space="0" w:color="auto"/>
        <w:bottom w:val="none" w:sz="0" w:space="0" w:color="auto"/>
        <w:right w:val="none" w:sz="0" w:space="0" w:color="auto"/>
      </w:divBdr>
    </w:div>
    <w:div w:id="1332290181">
      <w:bodyDiv w:val="1"/>
      <w:marLeft w:val="0"/>
      <w:marRight w:val="0"/>
      <w:marTop w:val="0"/>
      <w:marBottom w:val="0"/>
      <w:divBdr>
        <w:top w:val="none" w:sz="0" w:space="0" w:color="auto"/>
        <w:left w:val="none" w:sz="0" w:space="0" w:color="auto"/>
        <w:bottom w:val="none" w:sz="0" w:space="0" w:color="auto"/>
        <w:right w:val="none" w:sz="0" w:space="0" w:color="auto"/>
      </w:divBdr>
    </w:div>
    <w:div w:id="1383212348">
      <w:bodyDiv w:val="1"/>
      <w:marLeft w:val="0"/>
      <w:marRight w:val="0"/>
      <w:marTop w:val="0"/>
      <w:marBottom w:val="0"/>
      <w:divBdr>
        <w:top w:val="none" w:sz="0" w:space="0" w:color="auto"/>
        <w:left w:val="none" w:sz="0" w:space="0" w:color="auto"/>
        <w:bottom w:val="none" w:sz="0" w:space="0" w:color="auto"/>
        <w:right w:val="none" w:sz="0" w:space="0" w:color="auto"/>
      </w:divBdr>
    </w:div>
    <w:div w:id="1405254156">
      <w:bodyDiv w:val="1"/>
      <w:marLeft w:val="0"/>
      <w:marRight w:val="0"/>
      <w:marTop w:val="0"/>
      <w:marBottom w:val="0"/>
      <w:divBdr>
        <w:top w:val="none" w:sz="0" w:space="0" w:color="auto"/>
        <w:left w:val="none" w:sz="0" w:space="0" w:color="auto"/>
        <w:bottom w:val="none" w:sz="0" w:space="0" w:color="auto"/>
        <w:right w:val="none" w:sz="0" w:space="0" w:color="auto"/>
      </w:divBdr>
      <w:divsChild>
        <w:div w:id="168060683">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590384493">
      <w:bodyDiv w:val="1"/>
      <w:marLeft w:val="0"/>
      <w:marRight w:val="0"/>
      <w:marTop w:val="0"/>
      <w:marBottom w:val="0"/>
      <w:divBdr>
        <w:top w:val="none" w:sz="0" w:space="0" w:color="auto"/>
        <w:left w:val="none" w:sz="0" w:space="0" w:color="auto"/>
        <w:bottom w:val="none" w:sz="0" w:space="0" w:color="auto"/>
        <w:right w:val="none" w:sz="0" w:space="0" w:color="auto"/>
      </w:divBdr>
    </w:div>
    <w:div w:id="176051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orcid.org/0000-0002-2571-091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75E77-23DC-4ACD-9D4D-8C59C24D1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16</Pages>
  <Words>3753</Words>
  <Characters>22633</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dc:creator>
  <cp:lastModifiedBy>Misha</cp:lastModifiedBy>
  <cp:revision>74</cp:revision>
  <dcterms:created xsi:type="dcterms:W3CDTF">2022-03-28T10:54:00Z</dcterms:created>
  <dcterms:modified xsi:type="dcterms:W3CDTF">2022-06-12T13:38:00Z</dcterms:modified>
</cp:coreProperties>
</file>