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C7" w:rsidRDefault="00296BC7" w:rsidP="00296BC7">
      <w:pPr>
        <w:spacing w:line="360" w:lineRule="auto"/>
        <w:jc w:val="center"/>
        <w:rPr>
          <w:b/>
          <w:lang w:val="uk-UA"/>
        </w:rPr>
      </w:pPr>
      <w:r w:rsidRPr="00D175DD">
        <w:rPr>
          <w:b/>
          <w:lang w:val="uk-UA"/>
        </w:rPr>
        <w:t>Бонд</w:t>
      </w:r>
      <w:r>
        <w:rPr>
          <w:b/>
          <w:lang w:val="uk-UA"/>
        </w:rPr>
        <w:t>аренко Марина Анатоліївна</w:t>
      </w:r>
      <w:r w:rsidRPr="00D175DD">
        <w:rPr>
          <w:b/>
          <w:lang w:val="uk-UA"/>
        </w:rPr>
        <w:t xml:space="preserve"> </w:t>
      </w:r>
    </w:p>
    <w:p w:rsidR="00296BC7" w:rsidRDefault="00296BC7" w:rsidP="00296BC7">
      <w:pPr>
        <w:spacing w:line="360" w:lineRule="auto"/>
        <w:jc w:val="center"/>
        <w:rPr>
          <w:lang w:val="uk-UA"/>
        </w:rPr>
      </w:pPr>
      <w:r>
        <w:rPr>
          <w:lang w:val="uk-UA"/>
        </w:rPr>
        <w:t>кандидат фізико-математичних наук, доцент, доцент кафедри медичної та біологічної фізики і медичної інформатики Харківського національного медичного університету, Україна</w:t>
      </w:r>
    </w:p>
    <w:p w:rsidR="00296BC7" w:rsidRPr="00D175DD" w:rsidRDefault="00296BC7" w:rsidP="00296BC7">
      <w:pPr>
        <w:spacing w:line="360" w:lineRule="auto"/>
        <w:jc w:val="center"/>
        <w:rPr>
          <w:lang w:val="uk-UA"/>
        </w:rPr>
      </w:pPr>
    </w:p>
    <w:p w:rsidR="00296BC7" w:rsidRDefault="00296BC7" w:rsidP="00296BC7">
      <w:pPr>
        <w:spacing w:line="360" w:lineRule="auto"/>
        <w:jc w:val="center"/>
        <w:rPr>
          <w:b/>
          <w:lang w:val="uk-UA"/>
        </w:rPr>
      </w:pPr>
      <w:r>
        <w:rPr>
          <w:b/>
          <w:lang w:val="uk-UA"/>
        </w:rPr>
        <w:t>Зайцева Ольга Василівна</w:t>
      </w:r>
    </w:p>
    <w:p w:rsidR="00296BC7" w:rsidRDefault="00296BC7" w:rsidP="00296BC7">
      <w:pPr>
        <w:spacing w:line="360" w:lineRule="auto"/>
        <w:jc w:val="center"/>
        <w:rPr>
          <w:lang w:val="uk-UA"/>
        </w:rPr>
      </w:pPr>
      <w:r w:rsidRPr="00D175DD">
        <w:rPr>
          <w:lang w:val="uk-UA"/>
        </w:rPr>
        <w:t>доктор біологічних наук, професор, професор кафедри медичної та біологічної фізики і медичної інформатики Харківського національного</w:t>
      </w:r>
      <w:r>
        <w:rPr>
          <w:lang w:val="uk-UA"/>
        </w:rPr>
        <w:t xml:space="preserve"> медичного університету, Україна</w:t>
      </w:r>
    </w:p>
    <w:p w:rsidR="00AF52CE" w:rsidRDefault="00AF52CE" w:rsidP="00296BC7">
      <w:pPr>
        <w:spacing w:line="360" w:lineRule="auto"/>
        <w:jc w:val="center"/>
        <w:rPr>
          <w:rFonts w:cs="Times New Roman"/>
          <w:b/>
          <w:szCs w:val="28"/>
          <w:lang w:val="uk-UA"/>
        </w:rPr>
      </w:pPr>
    </w:p>
    <w:p w:rsidR="00296BC7" w:rsidRDefault="00296BC7" w:rsidP="00296BC7">
      <w:pPr>
        <w:spacing w:line="360" w:lineRule="auto"/>
        <w:jc w:val="center"/>
        <w:rPr>
          <w:rFonts w:cs="Times New Roman"/>
          <w:szCs w:val="28"/>
          <w:lang w:val="uk-UA"/>
        </w:rPr>
      </w:pPr>
      <w:r>
        <w:rPr>
          <w:rFonts w:cs="Times New Roman"/>
          <w:b/>
          <w:szCs w:val="28"/>
          <w:lang w:val="uk-UA"/>
        </w:rPr>
        <w:t>Мещерякова Оксана Петрівна</w:t>
      </w:r>
    </w:p>
    <w:p w:rsidR="00296BC7" w:rsidRDefault="00296BC7" w:rsidP="00296BC7">
      <w:pPr>
        <w:spacing w:line="360" w:lineRule="auto"/>
        <w:jc w:val="center"/>
        <w:rPr>
          <w:lang w:val="uk-UA"/>
        </w:rPr>
      </w:pPr>
      <w:r>
        <w:rPr>
          <w:lang w:val="uk-UA"/>
        </w:rPr>
        <w:t>кандидат фізико-математичних наук, доцент, доцент кафедри медичної та біологічної фізики і медичної інформатики Харківського національного медичного університету, Україна</w:t>
      </w:r>
    </w:p>
    <w:p w:rsidR="00296BC7" w:rsidRPr="00296BC7" w:rsidRDefault="00296BC7" w:rsidP="00296BC7">
      <w:pPr>
        <w:spacing w:line="360" w:lineRule="auto"/>
        <w:jc w:val="center"/>
        <w:rPr>
          <w:rFonts w:cs="Times New Roman"/>
          <w:szCs w:val="28"/>
          <w:lang w:val="uk-UA"/>
        </w:rPr>
      </w:pPr>
    </w:p>
    <w:p w:rsidR="00AF52CE" w:rsidRDefault="00296BC7" w:rsidP="00296BC7">
      <w:pPr>
        <w:spacing w:line="360" w:lineRule="auto"/>
        <w:jc w:val="center"/>
        <w:rPr>
          <w:rFonts w:cs="Times New Roman"/>
          <w:szCs w:val="28"/>
          <w:lang w:val="uk-UA"/>
        </w:rPr>
      </w:pPr>
      <w:r>
        <w:rPr>
          <w:rFonts w:cs="Times New Roman"/>
          <w:b/>
          <w:szCs w:val="28"/>
          <w:lang w:val="uk-UA"/>
        </w:rPr>
        <w:t>Пономаренко Наталя Сергіївна</w:t>
      </w:r>
    </w:p>
    <w:p w:rsidR="00296BC7" w:rsidRPr="00296BC7" w:rsidRDefault="00296BC7" w:rsidP="00296BC7">
      <w:pPr>
        <w:spacing w:line="360" w:lineRule="auto"/>
        <w:jc w:val="center"/>
        <w:rPr>
          <w:rFonts w:cs="Times New Roman"/>
          <w:szCs w:val="28"/>
          <w:lang w:val="uk-UA"/>
        </w:rPr>
      </w:pPr>
      <w:r>
        <w:rPr>
          <w:lang w:val="uk-UA"/>
        </w:rPr>
        <w:t>старший викладач кафедри медичної та біологічної фізики і медичної інформатики Харківського національного медичного університету, Україна</w:t>
      </w:r>
    </w:p>
    <w:p w:rsidR="00296BC7" w:rsidRDefault="00296BC7" w:rsidP="00296BC7">
      <w:pPr>
        <w:spacing w:line="360" w:lineRule="auto"/>
        <w:jc w:val="center"/>
        <w:rPr>
          <w:rFonts w:cs="Times New Roman"/>
          <w:b/>
          <w:szCs w:val="28"/>
          <w:lang w:val="uk-UA"/>
        </w:rPr>
      </w:pPr>
    </w:p>
    <w:p w:rsidR="00BC1DC6" w:rsidRPr="006B0E92" w:rsidRDefault="00296BC7" w:rsidP="00296BC7">
      <w:pPr>
        <w:spacing w:line="360" w:lineRule="auto"/>
        <w:jc w:val="center"/>
        <w:rPr>
          <w:rFonts w:cs="Times New Roman"/>
          <w:b/>
          <w:szCs w:val="28"/>
          <w:lang w:val="uk-UA"/>
        </w:rPr>
      </w:pPr>
      <w:r w:rsidRPr="006B0E92">
        <w:rPr>
          <w:rFonts w:cs="Times New Roman"/>
          <w:b/>
          <w:szCs w:val="28"/>
          <w:lang w:val="uk-UA"/>
        </w:rPr>
        <w:t>МОДЕЛЮВАННЯ МОЛЕКУЛЯРНИХ МЕХАНІЗМІВ ФОРМУВАННЯ ГОРМЕТИЧНИХ РЕАКЦІЙ ПІД ВПЛИВОМ РІДКОІОНІЗУЮЧОГО ВИПРОМІНЮВАННЯ</w:t>
      </w:r>
    </w:p>
    <w:p w:rsidR="00F80853" w:rsidRPr="006B0E92" w:rsidRDefault="00F80853" w:rsidP="00296BC7">
      <w:pPr>
        <w:spacing w:line="360" w:lineRule="auto"/>
        <w:jc w:val="both"/>
        <w:rPr>
          <w:rFonts w:cs="Times New Roman"/>
          <w:szCs w:val="28"/>
          <w:lang w:val="uk-UA"/>
        </w:rPr>
      </w:pPr>
    </w:p>
    <w:p w:rsidR="00AF356A" w:rsidRPr="00AF356A" w:rsidRDefault="00321901" w:rsidP="00321901">
      <w:pPr>
        <w:pStyle w:val="a4"/>
        <w:shd w:val="clear" w:color="auto" w:fill="FFFFFF"/>
        <w:spacing w:before="0" w:beforeAutospacing="0" w:after="0" w:afterAutospacing="0"/>
        <w:ind w:firstLine="0"/>
        <w:jc w:val="both"/>
        <w:rPr>
          <w:i/>
          <w:sz w:val="28"/>
          <w:szCs w:val="28"/>
          <w:lang w:val="uk-UA"/>
        </w:rPr>
      </w:pPr>
      <w:r w:rsidRPr="00AF356A">
        <w:rPr>
          <w:i/>
          <w:sz w:val="28"/>
          <w:szCs w:val="28"/>
          <w:lang w:val="uk-UA"/>
        </w:rPr>
        <w:t xml:space="preserve">Анотація. </w:t>
      </w:r>
      <w:r w:rsidR="00AF356A" w:rsidRPr="00AF356A">
        <w:rPr>
          <w:i/>
          <w:sz w:val="28"/>
          <w:szCs w:val="28"/>
          <w:lang w:val="uk-UA"/>
        </w:rPr>
        <w:t xml:space="preserve">Розглянуто феноменологію радіаційної радіаційного гормезису для біологічних об’єктів різних рівнів інтеграції, здійснено огляд існуючих теорій, які описують залежність «доза-ефект». На основі моделювання молекулярних механізмів формування горметичних та адаптивних реакцій на низькодозові рідкоіонізуючі випромінювання запропоновано формулу для розрахунку </w:t>
      </w:r>
      <w:r w:rsidR="00DC4214">
        <w:rPr>
          <w:i/>
          <w:sz w:val="28"/>
          <w:szCs w:val="28"/>
          <w:lang w:val="uk-UA"/>
        </w:rPr>
        <w:t>індексу</w:t>
      </w:r>
      <w:r w:rsidR="00AF356A" w:rsidRPr="00AF356A">
        <w:rPr>
          <w:i/>
          <w:sz w:val="28"/>
          <w:szCs w:val="28"/>
          <w:lang w:val="uk-UA"/>
        </w:rPr>
        <w:t xml:space="preserve"> радіаційної адаптивної відповіді. Представлено гіпотезу, що пропонує один з механізмів формування радіаційної адаптивної відповіді з урахуванням </w:t>
      </w:r>
      <w:r w:rsidR="00AF356A" w:rsidRPr="00AF356A">
        <w:rPr>
          <w:i/>
          <w:sz w:val="28"/>
          <w:szCs w:val="28"/>
          <w:lang w:val="uk-UA"/>
        </w:rPr>
        <w:lastRenderedPageBreak/>
        <w:t>особливостей конформаційної структури та функціонування генетичного апарату клітини.</w:t>
      </w:r>
    </w:p>
    <w:p w:rsidR="00321901" w:rsidRPr="00321901" w:rsidRDefault="00321901" w:rsidP="00321901">
      <w:pPr>
        <w:pStyle w:val="a4"/>
        <w:shd w:val="clear" w:color="auto" w:fill="FFFFFF"/>
        <w:spacing w:before="0" w:beforeAutospacing="0" w:after="0" w:afterAutospacing="0"/>
        <w:ind w:firstLine="0"/>
        <w:jc w:val="both"/>
        <w:rPr>
          <w:i/>
          <w:sz w:val="28"/>
          <w:szCs w:val="28"/>
          <w:lang w:val="uk-UA"/>
        </w:rPr>
      </w:pPr>
      <w:r w:rsidRPr="00321901">
        <w:rPr>
          <w:i/>
          <w:sz w:val="28"/>
          <w:szCs w:val="28"/>
          <w:lang w:val="uk-UA"/>
        </w:rPr>
        <w:t xml:space="preserve">Ключові слова: </w:t>
      </w:r>
      <w:r>
        <w:rPr>
          <w:i/>
          <w:sz w:val="28"/>
          <w:szCs w:val="28"/>
          <w:lang w:val="uk-UA"/>
        </w:rPr>
        <w:t xml:space="preserve">горметичні реакції, </w:t>
      </w:r>
      <w:proofErr w:type="spellStart"/>
      <w:r>
        <w:rPr>
          <w:i/>
          <w:sz w:val="28"/>
          <w:szCs w:val="28"/>
          <w:lang w:val="uk-UA"/>
        </w:rPr>
        <w:t>рідкоіонізуюче</w:t>
      </w:r>
      <w:proofErr w:type="spellEnd"/>
      <w:r>
        <w:rPr>
          <w:i/>
          <w:sz w:val="28"/>
          <w:szCs w:val="28"/>
          <w:lang w:val="uk-UA"/>
        </w:rPr>
        <w:t xml:space="preserve"> випромінювання, низькі дози, моделювання</w:t>
      </w:r>
      <w:r w:rsidR="00AF356A">
        <w:rPr>
          <w:i/>
          <w:sz w:val="28"/>
          <w:szCs w:val="28"/>
          <w:lang w:val="uk-UA"/>
        </w:rPr>
        <w:t>.</w:t>
      </w:r>
      <w:r>
        <w:rPr>
          <w:i/>
          <w:sz w:val="28"/>
          <w:szCs w:val="28"/>
          <w:lang w:val="uk-UA"/>
        </w:rPr>
        <w:t xml:space="preserve"> </w:t>
      </w:r>
    </w:p>
    <w:p w:rsidR="00321901" w:rsidRPr="00321901" w:rsidRDefault="00321901" w:rsidP="00321901">
      <w:pPr>
        <w:pStyle w:val="a4"/>
        <w:shd w:val="clear" w:color="auto" w:fill="FFFFFF"/>
        <w:spacing w:before="0" w:beforeAutospacing="0" w:after="0" w:afterAutospacing="0"/>
        <w:ind w:firstLine="0"/>
        <w:jc w:val="both"/>
        <w:rPr>
          <w:i/>
          <w:sz w:val="28"/>
          <w:szCs w:val="28"/>
          <w:lang w:val="uk-UA"/>
        </w:rPr>
      </w:pPr>
    </w:p>
    <w:p w:rsidR="00347C13" w:rsidRPr="006B0E92" w:rsidRDefault="0078239B" w:rsidP="00296BC7">
      <w:pPr>
        <w:pStyle w:val="a4"/>
        <w:shd w:val="clear" w:color="auto" w:fill="FFFFFF"/>
        <w:spacing w:before="0" w:beforeAutospacing="0" w:after="0" w:afterAutospacing="0"/>
        <w:jc w:val="both"/>
        <w:rPr>
          <w:sz w:val="28"/>
          <w:szCs w:val="28"/>
          <w:shd w:val="clear" w:color="auto" w:fill="FFFFFF"/>
          <w:lang w:val="uk-UA"/>
        </w:rPr>
      </w:pPr>
      <w:r w:rsidRPr="006B0E92">
        <w:rPr>
          <w:sz w:val="28"/>
          <w:szCs w:val="28"/>
          <w:lang w:val="uk-UA"/>
        </w:rPr>
        <w:t xml:space="preserve">Явище гормезису </w:t>
      </w:r>
      <w:r w:rsidRPr="006B0E92">
        <w:rPr>
          <w:sz w:val="28"/>
          <w:szCs w:val="28"/>
          <w:shd w:val="clear" w:color="auto" w:fill="FFFFFF"/>
          <w:lang w:val="uk-UA"/>
        </w:rPr>
        <w:t>не є новою концепцією; вчені висували теорію та надавали експериментальні докази реакцій, подібних до горметичних, з кінця 19</w:t>
      </w:r>
      <w:r w:rsidR="00BB76A0">
        <w:rPr>
          <w:sz w:val="28"/>
          <w:szCs w:val="28"/>
          <w:shd w:val="clear" w:color="auto" w:fill="FFFFFF"/>
          <w:lang w:val="uk-UA"/>
        </w:rPr>
        <w:t> </w:t>
      </w:r>
      <w:r w:rsidRPr="006B0E92">
        <w:rPr>
          <w:sz w:val="28"/>
          <w:szCs w:val="28"/>
          <w:shd w:val="clear" w:color="auto" w:fill="FFFFFF"/>
          <w:lang w:val="uk-UA"/>
        </w:rPr>
        <w:t xml:space="preserve">століття. З самого початку прихильники гормезису стверджували, що гормезис є фундаментальним співвідношенням </w:t>
      </w:r>
      <w:r w:rsidR="00F9522D" w:rsidRPr="006B0E92">
        <w:rPr>
          <w:sz w:val="28"/>
          <w:szCs w:val="28"/>
          <w:shd w:val="clear" w:color="auto" w:fill="FFFFFF"/>
          <w:lang w:val="uk-UA"/>
        </w:rPr>
        <w:t>«</w:t>
      </w:r>
      <w:r w:rsidRPr="006B0E92">
        <w:rPr>
          <w:sz w:val="28"/>
          <w:szCs w:val="28"/>
          <w:shd w:val="clear" w:color="auto" w:fill="FFFFFF"/>
          <w:lang w:val="uk-UA"/>
        </w:rPr>
        <w:t>доза-реакція</w:t>
      </w:r>
      <w:r w:rsidR="00F9522D" w:rsidRPr="006B0E92">
        <w:rPr>
          <w:sz w:val="28"/>
          <w:szCs w:val="28"/>
          <w:shd w:val="clear" w:color="auto" w:fill="FFFFFF"/>
          <w:lang w:val="uk-UA"/>
        </w:rPr>
        <w:t>»</w:t>
      </w:r>
      <w:r w:rsidRPr="006B0E92">
        <w:rPr>
          <w:sz w:val="28"/>
          <w:szCs w:val="28"/>
          <w:shd w:val="clear" w:color="auto" w:fill="FFFFFF"/>
          <w:lang w:val="uk-UA"/>
        </w:rPr>
        <w:t xml:space="preserve">. Гормезис описує взаємозв'язок </w:t>
      </w:r>
      <w:r w:rsidR="00F9522D" w:rsidRPr="006B0E92">
        <w:rPr>
          <w:sz w:val="28"/>
          <w:szCs w:val="28"/>
          <w:shd w:val="clear" w:color="auto" w:fill="FFFFFF"/>
          <w:lang w:val="uk-UA"/>
        </w:rPr>
        <w:t>«</w:t>
      </w:r>
      <w:r w:rsidRPr="006B0E92">
        <w:rPr>
          <w:sz w:val="28"/>
          <w:szCs w:val="28"/>
          <w:shd w:val="clear" w:color="auto" w:fill="FFFFFF"/>
          <w:lang w:val="uk-UA"/>
        </w:rPr>
        <w:t>доза-реакція</w:t>
      </w:r>
      <w:r w:rsidR="00F9522D" w:rsidRPr="006B0E92">
        <w:rPr>
          <w:sz w:val="28"/>
          <w:szCs w:val="28"/>
          <w:shd w:val="clear" w:color="auto" w:fill="FFFFFF"/>
          <w:lang w:val="uk-UA"/>
        </w:rPr>
        <w:t>»</w:t>
      </w:r>
      <w:r w:rsidRPr="006B0E92">
        <w:rPr>
          <w:sz w:val="28"/>
          <w:szCs w:val="28"/>
          <w:shd w:val="clear" w:color="auto" w:fill="FFFFFF"/>
          <w:lang w:val="uk-UA"/>
        </w:rPr>
        <w:t>, що характеризується зворотною реакцією між низькими та високими дозами хімічних речовин, біологічних молекул, фізичних стресових факторів або інших ініціаторів реакції. </w:t>
      </w:r>
      <w:r w:rsidR="00347C13" w:rsidRPr="006B0E92">
        <w:rPr>
          <w:sz w:val="28"/>
          <w:szCs w:val="28"/>
          <w:shd w:val="clear" w:color="auto" w:fill="FFFFFF"/>
          <w:lang w:val="uk-UA"/>
        </w:rPr>
        <w:t xml:space="preserve"> </w:t>
      </w:r>
      <w:r w:rsidR="00347C13" w:rsidRPr="006B0E92">
        <w:rPr>
          <w:sz w:val="28"/>
          <w:szCs w:val="28"/>
          <w:lang w:val="uk-UA"/>
        </w:rPr>
        <w:t xml:space="preserve">Іншими словами, якщо вплив високих рівнів стресорів є пригнічуючим, то низькі (легкі, сублетальні і субтоксичні) дози є стимулюючими. </w:t>
      </w:r>
      <w:r w:rsidR="00D47FFD" w:rsidRPr="006B0E92">
        <w:rPr>
          <w:sz w:val="28"/>
          <w:szCs w:val="28"/>
          <w:shd w:val="clear" w:color="auto" w:fill="FFFFFF"/>
          <w:lang w:val="uk-UA"/>
        </w:rPr>
        <w:t xml:space="preserve">Тобто феномен гормезису розглядається як стимулююча дія невеликих доз стресорів різної природи. </w:t>
      </w:r>
      <w:r w:rsidR="00347C13" w:rsidRPr="006B0E92">
        <w:rPr>
          <w:sz w:val="28"/>
          <w:szCs w:val="28"/>
          <w:shd w:val="clear" w:color="auto" w:fill="FFFFFF"/>
          <w:lang w:val="uk-UA"/>
        </w:rPr>
        <w:t>Помічено</w:t>
      </w:r>
      <w:r w:rsidR="00A979CC" w:rsidRPr="006B0E92">
        <w:rPr>
          <w:sz w:val="28"/>
          <w:szCs w:val="28"/>
          <w:shd w:val="clear" w:color="auto" w:fill="FFFFFF"/>
          <w:lang w:val="uk-UA"/>
        </w:rPr>
        <w:t xml:space="preserve"> [1-3]</w:t>
      </w:r>
      <w:r w:rsidR="00347C13" w:rsidRPr="006B0E92">
        <w:rPr>
          <w:sz w:val="28"/>
          <w:szCs w:val="28"/>
          <w:shd w:val="clear" w:color="auto" w:fill="FFFFFF"/>
          <w:lang w:val="uk-UA"/>
        </w:rPr>
        <w:t>, що гормезисні прояви на кривих залежності "доза - ефект" зустрічаються у різних представників біоти, починаючи від вірусів і бактерій і закінчуючи приматами і людиною.</w:t>
      </w:r>
    </w:p>
    <w:p w:rsidR="00F9522D" w:rsidRPr="006B0E92" w:rsidRDefault="00F9522D" w:rsidP="006B0E92">
      <w:pPr>
        <w:shd w:val="clear" w:color="auto" w:fill="FFFFFF" w:themeFill="background1"/>
        <w:spacing w:line="360" w:lineRule="auto"/>
        <w:ind w:firstLine="708"/>
        <w:contextualSpacing/>
        <w:jc w:val="both"/>
        <w:rPr>
          <w:rFonts w:cs="Times New Roman"/>
          <w:szCs w:val="28"/>
          <w:lang w:val="uk-UA"/>
        </w:rPr>
      </w:pPr>
      <w:r w:rsidRPr="006B0E92">
        <w:rPr>
          <w:rFonts w:cs="Times New Roman"/>
          <w:szCs w:val="28"/>
          <w:lang w:val="uk-UA"/>
        </w:rPr>
        <w:t xml:space="preserve">Під радіаційним гормезисом (від лат. </w:t>
      </w:r>
      <w:proofErr w:type="spellStart"/>
      <w:r w:rsidRPr="006B0E92">
        <w:rPr>
          <w:rFonts w:cs="Times New Roman"/>
          <w:szCs w:val="28"/>
        </w:rPr>
        <w:t>hormaein</w:t>
      </w:r>
      <w:proofErr w:type="spellEnd"/>
      <w:r w:rsidRPr="006B0E92">
        <w:rPr>
          <w:rFonts w:cs="Times New Roman"/>
          <w:szCs w:val="28"/>
          <w:lang w:val="uk-UA"/>
        </w:rPr>
        <w:t xml:space="preserve"> – збуджувати, </w:t>
      </w:r>
      <w:proofErr w:type="spellStart"/>
      <w:r w:rsidRPr="006B0E92">
        <w:rPr>
          <w:rFonts w:cs="Times New Roman"/>
          <w:szCs w:val="28"/>
          <w:lang w:val="uk-UA"/>
        </w:rPr>
        <w:t>англ</w:t>
      </w:r>
      <w:proofErr w:type="spellEnd"/>
      <w:r w:rsidRPr="006B0E92">
        <w:rPr>
          <w:rFonts w:cs="Times New Roman"/>
          <w:szCs w:val="28"/>
          <w:lang w:val="uk-UA"/>
        </w:rPr>
        <w:t xml:space="preserve">. </w:t>
      </w:r>
      <w:r w:rsidRPr="006B0E92">
        <w:rPr>
          <w:rFonts w:cs="Times New Roman"/>
          <w:szCs w:val="28"/>
          <w:lang w:val="en-US"/>
        </w:rPr>
        <w:t>hormesis</w:t>
      </w:r>
      <w:r w:rsidRPr="006B0E92">
        <w:rPr>
          <w:rFonts w:cs="Times New Roman"/>
          <w:szCs w:val="28"/>
          <w:lang w:val="uk-UA"/>
        </w:rPr>
        <w:t xml:space="preserve">) розуміють в цілому позитивну дію </w:t>
      </w:r>
      <w:r w:rsidR="00003E77" w:rsidRPr="006B0E92">
        <w:rPr>
          <w:rFonts w:cs="Times New Roman"/>
          <w:szCs w:val="28"/>
          <w:lang w:val="uk-UA"/>
        </w:rPr>
        <w:t xml:space="preserve">іонізуючого випромінювання </w:t>
      </w:r>
      <w:r w:rsidRPr="006B0E92">
        <w:rPr>
          <w:rFonts w:cs="Times New Roman"/>
          <w:szCs w:val="28"/>
          <w:lang w:val="uk-UA"/>
        </w:rPr>
        <w:t xml:space="preserve">у діапазонах низьких доз, низьких потужностей доз, низького лінійного переносу енергії (ЛПЕ) на біологічні об’єкти різних рівнів інтеграції. Це може спостерігатися, наприклад, у вигляді прискорення росту та розвитку опромінених біологічних об’єктів, підвищенні рівня імунітету організму (рослинного та тваринного), вірулентності патогенів тощо. </w:t>
      </w:r>
    </w:p>
    <w:p w:rsidR="00B27014" w:rsidRPr="006B0E92" w:rsidRDefault="00F9522D" w:rsidP="006B0E92">
      <w:pPr>
        <w:shd w:val="clear" w:color="auto" w:fill="FFFFFF" w:themeFill="background1"/>
        <w:spacing w:line="360" w:lineRule="auto"/>
        <w:ind w:firstLine="708"/>
        <w:contextualSpacing/>
        <w:jc w:val="both"/>
        <w:rPr>
          <w:rFonts w:cs="Times New Roman"/>
          <w:szCs w:val="28"/>
          <w:lang w:val="uk-UA"/>
        </w:rPr>
      </w:pPr>
      <w:r w:rsidRPr="006B0E92">
        <w:rPr>
          <w:rFonts w:cs="Times New Roman"/>
          <w:szCs w:val="28"/>
          <w:lang w:val="uk-UA"/>
        </w:rPr>
        <w:t>Не зважаючи на те, що</w:t>
      </w:r>
      <w:r w:rsidR="0078239B" w:rsidRPr="006B0E92">
        <w:rPr>
          <w:rFonts w:cs="Times New Roman"/>
          <w:szCs w:val="28"/>
          <w:lang w:val="uk-UA"/>
        </w:rPr>
        <w:t xml:space="preserve"> ф</w:t>
      </w:r>
      <w:r w:rsidR="00F80853" w:rsidRPr="006B0E92">
        <w:rPr>
          <w:rFonts w:cs="Times New Roman"/>
          <w:szCs w:val="28"/>
          <w:lang w:val="uk-UA"/>
        </w:rPr>
        <w:t xml:space="preserve">еномен гормезису відомий </w:t>
      </w:r>
      <w:r w:rsidR="0078239B" w:rsidRPr="006B0E92">
        <w:rPr>
          <w:rFonts w:cs="Times New Roman"/>
          <w:szCs w:val="28"/>
          <w:lang w:val="uk-UA"/>
        </w:rPr>
        <w:t>давно</w:t>
      </w:r>
      <w:r w:rsidR="00F80853" w:rsidRPr="006B0E92">
        <w:rPr>
          <w:rFonts w:cs="Times New Roman"/>
          <w:szCs w:val="28"/>
          <w:lang w:val="uk-UA"/>
        </w:rPr>
        <w:t>, механізми формування горме</w:t>
      </w:r>
      <w:r w:rsidR="0078239B" w:rsidRPr="006B0E92">
        <w:rPr>
          <w:rFonts w:cs="Times New Roman"/>
          <w:szCs w:val="28"/>
          <w:lang w:val="uk-UA"/>
        </w:rPr>
        <w:t>тичних</w:t>
      </w:r>
      <w:r w:rsidR="00F80853" w:rsidRPr="006B0E92">
        <w:rPr>
          <w:rFonts w:cs="Times New Roman"/>
          <w:szCs w:val="28"/>
          <w:lang w:val="uk-UA"/>
        </w:rPr>
        <w:t xml:space="preserve"> реакцій залишаються остаточно нез’ясованим</w:t>
      </w:r>
      <w:r w:rsidR="00362EAB">
        <w:rPr>
          <w:rFonts w:cs="Times New Roman"/>
          <w:szCs w:val="28"/>
          <w:lang w:val="uk-UA"/>
        </w:rPr>
        <w:t>и</w:t>
      </w:r>
      <w:bookmarkStart w:id="0" w:name="_GoBack"/>
      <w:bookmarkEnd w:id="0"/>
      <w:r w:rsidR="00F80853" w:rsidRPr="006B0E92">
        <w:rPr>
          <w:rFonts w:cs="Times New Roman"/>
          <w:szCs w:val="28"/>
          <w:lang w:val="uk-UA"/>
        </w:rPr>
        <w:t xml:space="preserve"> і математично не описаними</w:t>
      </w:r>
      <w:r w:rsidRPr="006B0E92">
        <w:rPr>
          <w:rFonts w:cs="Times New Roman"/>
          <w:szCs w:val="28"/>
          <w:lang w:val="uk-UA"/>
        </w:rPr>
        <w:t xml:space="preserve">. </w:t>
      </w:r>
      <w:r w:rsidR="00B27014" w:rsidRPr="006B0E92">
        <w:rPr>
          <w:rFonts w:cs="Times New Roman"/>
          <w:szCs w:val="28"/>
          <w:lang w:val="uk-UA"/>
        </w:rPr>
        <w:t xml:space="preserve">Визнання гормезису як життєздатної теорії «доза-реакція» було обмеженим до недавнього часу частково через погане концептуальне розуміння, неналежне спеціальне використання цього поняття, </w:t>
      </w:r>
      <w:r w:rsidR="00B27014" w:rsidRPr="006B0E92">
        <w:rPr>
          <w:rFonts w:cs="Times New Roman"/>
          <w:szCs w:val="28"/>
          <w:lang w:val="uk-UA"/>
        </w:rPr>
        <w:lastRenderedPageBreak/>
        <w:t>відсутність розуміння певних механізмів гормезису</w:t>
      </w:r>
      <w:r w:rsidR="00C53B8C" w:rsidRPr="006B0E92">
        <w:rPr>
          <w:rFonts w:cs="Times New Roman"/>
          <w:szCs w:val="28"/>
          <w:lang w:val="uk-UA"/>
        </w:rPr>
        <w:t xml:space="preserve">, </w:t>
      </w:r>
      <w:r w:rsidRPr="006B0E92">
        <w:rPr>
          <w:rFonts w:cs="Times New Roman"/>
          <w:szCs w:val="28"/>
          <w:lang w:val="uk-UA"/>
        </w:rPr>
        <w:t>а також відсутність математичної моделі для вивчення горметичних реакцій</w:t>
      </w:r>
      <w:r w:rsidR="00B27014" w:rsidRPr="006B0E92">
        <w:rPr>
          <w:rFonts w:eastAsia="Calibri" w:cs="Times New Roman"/>
          <w:szCs w:val="28"/>
          <w:lang w:val="uk-UA"/>
        </w:rPr>
        <w:t xml:space="preserve"> [</w:t>
      </w:r>
      <w:r w:rsidR="00D03613" w:rsidRPr="006B0E92">
        <w:rPr>
          <w:rFonts w:eastAsia="Calibri" w:cs="Times New Roman"/>
          <w:szCs w:val="28"/>
          <w:lang w:val="uk-UA"/>
        </w:rPr>
        <w:t>4-6</w:t>
      </w:r>
      <w:r w:rsidR="00B27014" w:rsidRPr="006B0E92">
        <w:rPr>
          <w:rFonts w:eastAsia="Calibri" w:cs="Times New Roman"/>
          <w:szCs w:val="28"/>
          <w:lang w:val="uk-UA"/>
        </w:rPr>
        <w:t xml:space="preserve">]. </w:t>
      </w:r>
      <w:r w:rsidR="00B27014" w:rsidRPr="006B0E92">
        <w:rPr>
          <w:rFonts w:cs="Times New Roman"/>
          <w:szCs w:val="28"/>
          <w:lang w:val="uk-UA"/>
        </w:rPr>
        <w:t xml:space="preserve">Вивчаючи історію цієї теорії, стає ясно, що як фармакологічні, токсикологічні, так і радіологічні дослідження надають докази горметичної реакції на низьку дозу стресора, але ретроспективне вивчення досліджень </w:t>
      </w:r>
      <w:r w:rsidR="00003E77" w:rsidRPr="006B0E92">
        <w:rPr>
          <w:rFonts w:cs="Times New Roman"/>
          <w:szCs w:val="28"/>
          <w:lang w:val="uk-UA"/>
        </w:rPr>
        <w:t>підчас буває</w:t>
      </w:r>
      <w:r w:rsidR="00B27014" w:rsidRPr="006B0E92">
        <w:rPr>
          <w:rFonts w:cs="Times New Roman"/>
          <w:szCs w:val="28"/>
          <w:lang w:val="uk-UA"/>
        </w:rPr>
        <w:t xml:space="preserve"> проблематичним.</w:t>
      </w:r>
      <w:r w:rsidRPr="006B0E92">
        <w:rPr>
          <w:rFonts w:cs="Times New Roman"/>
          <w:szCs w:val="28"/>
          <w:lang w:val="uk-UA"/>
        </w:rPr>
        <w:t xml:space="preserve"> </w:t>
      </w:r>
    </w:p>
    <w:p w:rsidR="00AD294F" w:rsidRPr="006B0E92" w:rsidRDefault="00B27014" w:rsidP="006B0E92">
      <w:pPr>
        <w:spacing w:line="360" w:lineRule="auto"/>
        <w:ind w:firstLine="708"/>
        <w:jc w:val="both"/>
        <w:rPr>
          <w:rFonts w:cs="Times New Roman"/>
          <w:szCs w:val="28"/>
          <w:lang w:val="uk-UA"/>
        </w:rPr>
      </w:pPr>
      <w:r w:rsidRPr="006B0E92">
        <w:rPr>
          <w:rFonts w:cs="Times New Roman"/>
          <w:szCs w:val="28"/>
          <w:lang w:val="uk-UA"/>
        </w:rPr>
        <w:t>Автори [</w:t>
      </w:r>
      <w:r w:rsidR="00D03613" w:rsidRPr="006B0E92">
        <w:rPr>
          <w:rFonts w:cs="Times New Roman"/>
          <w:szCs w:val="28"/>
          <w:lang w:val="uk-UA"/>
        </w:rPr>
        <w:t>7</w:t>
      </w:r>
      <w:r w:rsidRPr="006B0E92">
        <w:rPr>
          <w:rFonts w:cs="Times New Roman"/>
          <w:szCs w:val="28"/>
          <w:lang w:val="uk-UA"/>
        </w:rPr>
        <w:t xml:space="preserve">] досліджують основні чинники, які сприяли маргіналізації радіаційного гормезису на початку і середині 20-го століття. Найбільш важливим фактором, що вплинув на зникнення поняття радіаційного гормезису, була відсутність згоди з приводу того, як визначити це поняття і кількісно описати його характеристики при розгляді залежності «доза-реакція». Якби радіаційний гормезис був визначений як помірна </w:t>
      </w:r>
      <w:proofErr w:type="spellStart"/>
      <w:r w:rsidRPr="006B0E92">
        <w:rPr>
          <w:rFonts w:cs="Times New Roman"/>
          <w:szCs w:val="28"/>
          <w:lang w:val="uk-UA"/>
        </w:rPr>
        <w:t>зверхкомпенсація</w:t>
      </w:r>
      <w:proofErr w:type="spellEnd"/>
      <w:r w:rsidRPr="006B0E92">
        <w:rPr>
          <w:rFonts w:cs="Times New Roman"/>
          <w:szCs w:val="28"/>
          <w:lang w:val="uk-UA"/>
        </w:rPr>
        <w:t xml:space="preserve"> порушення гомеостазу, що узгоджувалося б з переважаючими уявленнями в області хімічного гормезису, це послужило б теоретичною і практичною основою відповіді на критику цієї гіпотези.</w:t>
      </w:r>
      <w:r w:rsidR="00D03613" w:rsidRPr="006B0E92">
        <w:rPr>
          <w:rFonts w:cs="Times New Roman"/>
          <w:szCs w:val="28"/>
          <w:lang w:val="uk-UA"/>
        </w:rPr>
        <w:t xml:space="preserve"> </w:t>
      </w:r>
      <w:r w:rsidR="00AD294F" w:rsidRPr="006B0E92">
        <w:rPr>
          <w:rFonts w:cs="Times New Roman"/>
          <w:szCs w:val="28"/>
          <w:lang w:val="uk-UA"/>
        </w:rPr>
        <w:t>Другим критичним фактором, не на користь гіпотези радіаційного гормезису, стала відсутність визнання радіологами концепції хімічного гормезису, яка була більш обґрунтованою і узагальненою, ніж концепція радіогормезису. Третій фактор полягав в тому, що серйозна наукова критика наявності стимулюючого впливу низьких доз радіації була підтримана Міжнародним комітетом з радіаційного захисту (МКРЗ), внаслідок чого радіаційна горметична гіпотеза була виключена із запланованих досліджень.</w:t>
      </w:r>
    </w:p>
    <w:p w:rsidR="00AD294F" w:rsidRPr="006B0E92" w:rsidRDefault="00AD294F" w:rsidP="006B0E92">
      <w:pPr>
        <w:spacing w:line="360" w:lineRule="auto"/>
        <w:ind w:firstLine="708"/>
        <w:jc w:val="both"/>
        <w:rPr>
          <w:rFonts w:cs="Times New Roman"/>
          <w:szCs w:val="28"/>
          <w:lang w:val="uk-UA"/>
        </w:rPr>
      </w:pPr>
      <w:r w:rsidRPr="006B0E92">
        <w:rPr>
          <w:rFonts w:cs="Times New Roman"/>
          <w:szCs w:val="28"/>
          <w:lang w:val="uk-UA"/>
        </w:rPr>
        <w:t>Ще в 1965 році МКРЗ запропонував «лінійну безпорогову концепцію» (</w:t>
      </w:r>
      <w:proofErr w:type="spellStart"/>
      <w:r w:rsidRPr="006B0E92">
        <w:rPr>
          <w:rFonts w:cs="Times New Roman"/>
          <w:szCs w:val="28"/>
          <w:lang w:val="uk-UA"/>
        </w:rPr>
        <w:t>англ</w:t>
      </w:r>
      <w:proofErr w:type="spellEnd"/>
      <w:r w:rsidRPr="006B0E92">
        <w:rPr>
          <w:rFonts w:cs="Times New Roman"/>
          <w:szCs w:val="28"/>
          <w:lang w:val="uk-UA"/>
        </w:rPr>
        <w:t xml:space="preserve">., </w:t>
      </w:r>
      <w:r w:rsidRPr="006B0E92">
        <w:rPr>
          <w:rFonts w:cs="Times New Roman"/>
          <w:szCs w:val="28"/>
          <w:lang w:val="en-US"/>
        </w:rPr>
        <w:t>LNT</w:t>
      </w:r>
      <w:r w:rsidRPr="006B0E92">
        <w:rPr>
          <w:rFonts w:cs="Times New Roman"/>
          <w:szCs w:val="28"/>
          <w:lang w:val="uk-UA"/>
        </w:rPr>
        <w:t xml:space="preserve"> </w:t>
      </w:r>
      <w:r w:rsidRPr="006B0E92">
        <w:rPr>
          <w:rFonts w:cs="Times New Roman"/>
          <w:szCs w:val="28"/>
          <w:lang w:val="en-US"/>
        </w:rPr>
        <w:t>model</w:t>
      </w:r>
      <w:r w:rsidRPr="006B0E92">
        <w:rPr>
          <w:rFonts w:cs="Times New Roman"/>
          <w:szCs w:val="28"/>
          <w:lang w:val="uk-UA"/>
        </w:rPr>
        <w:t xml:space="preserve"> - </w:t>
      </w:r>
      <w:r w:rsidRPr="006B0E92">
        <w:rPr>
          <w:rFonts w:cs="Times New Roman"/>
          <w:szCs w:val="28"/>
          <w:lang w:val="en-US"/>
        </w:rPr>
        <w:t>linear</w:t>
      </w:r>
      <w:r w:rsidRPr="006B0E92">
        <w:rPr>
          <w:rFonts w:cs="Times New Roman"/>
          <w:szCs w:val="28"/>
          <w:lang w:val="uk-UA"/>
        </w:rPr>
        <w:t xml:space="preserve"> </w:t>
      </w:r>
      <w:r w:rsidRPr="006B0E92">
        <w:rPr>
          <w:rFonts w:cs="Times New Roman"/>
          <w:szCs w:val="28"/>
          <w:lang w:val="en-US"/>
        </w:rPr>
        <w:t>non</w:t>
      </w:r>
      <w:r w:rsidRPr="006B0E92">
        <w:rPr>
          <w:rFonts w:cs="Times New Roman"/>
          <w:szCs w:val="28"/>
          <w:lang w:val="uk-UA"/>
        </w:rPr>
        <w:t>-</w:t>
      </w:r>
      <w:r w:rsidRPr="006B0E92">
        <w:rPr>
          <w:rFonts w:cs="Times New Roman"/>
          <w:szCs w:val="28"/>
          <w:lang w:val="en-US"/>
        </w:rPr>
        <w:t>threshold</w:t>
      </w:r>
      <w:r w:rsidRPr="006B0E92">
        <w:rPr>
          <w:rFonts w:cs="Times New Roman"/>
          <w:szCs w:val="28"/>
          <w:lang w:val="uk-UA"/>
        </w:rPr>
        <w:t xml:space="preserve"> </w:t>
      </w:r>
      <w:r w:rsidRPr="006B0E92">
        <w:rPr>
          <w:rFonts w:cs="Times New Roman"/>
          <w:szCs w:val="28"/>
          <w:lang w:val="en-US"/>
        </w:rPr>
        <w:t>model</w:t>
      </w:r>
      <w:r w:rsidRPr="006B0E92">
        <w:rPr>
          <w:rFonts w:cs="Times New Roman"/>
          <w:szCs w:val="28"/>
          <w:lang w:val="uk-UA"/>
        </w:rPr>
        <w:t xml:space="preserve">) і пояснив цей вибір наступним чином. Оскільки про існування порогової дози невідомо, передбачається, що навіть найменші дози дають пропорційно малий ризик індукції малігнізації. Наукова коректність LNT моделі протягом останніх десятиліть була приводом для численних дискусій </w:t>
      </w:r>
      <w:r w:rsidR="00D03613" w:rsidRPr="006B0E92">
        <w:rPr>
          <w:rFonts w:cs="Times New Roman"/>
          <w:szCs w:val="28"/>
          <w:lang w:val="uk-UA"/>
        </w:rPr>
        <w:t>[</w:t>
      </w:r>
      <w:r w:rsidR="00D03613" w:rsidRPr="006B0E92">
        <w:rPr>
          <w:rFonts w:cs="Times New Roman"/>
          <w:szCs w:val="28"/>
        </w:rPr>
        <w:t>8-10</w:t>
      </w:r>
      <w:r w:rsidRPr="006B0E92">
        <w:rPr>
          <w:rFonts w:cs="Times New Roman"/>
          <w:szCs w:val="28"/>
          <w:lang w:val="uk-UA"/>
        </w:rPr>
        <w:t xml:space="preserve">]. </w:t>
      </w:r>
      <w:r w:rsidR="00D03613" w:rsidRPr="006B0E92">
        <w:rPr>
          <w:rFonts w:cs="Times New Roman"/>
          <w:szCs w:val="28"/>
          <w:lang w:val="uk-UA"/>
        </w:rPr>
        <w:t xml:space="preserve">Частина дослідників </w:t>
      </w:r>
      <w:r w:rsidRPr="006B0E92">
        <w:rPr>
          <w:rFonts w:cs="Times New Roman"/>
          <w:szCs w:val="28"/>
          <w:lang w:val="uk-UA"/>
        </w:rPr>
        <w:t xml:space="preserve">обґрунтовує існування LNT моделі концепцією про те, що низькі рівні радіації збільшують мутації, і що збільшення кількості мутацій має на увазі збільшення числа ракових захворювань. </w:t>
      </w:r>
    </w:p>
    <w:p w:rsidR="006740E2" w:rsidRPr="006B0E92" w:rsidRDefault="006740E2" w:rsidP="006B0E92">
      <w:pPr>
        <w:shd w:val="clear" w:color="auto" w:fill="FFFFFF"/>
        <w:spacing w:before="100" w:beforeAutospacing="1" w:after="100" w:afterAutospacing="1" w:line="360" w:lineRule="auto"/>
        <w:ind w:firstLine="708"/>
        <w:jc w:val="both"/>
        <w:rPr>
          <w:rFonts w:cs="Times New Roman"/>
          <w:szCs w:val="28"/>
          <w:shd w:val="clear" w:color="auto" w:fill="FFFFFF" w:themeFill="background1"/>
          <w:lang w:val="uk-UA"/>
        </w:rPr>
      </w:pPr>
      <w:r w:rsidRPr="006B0E92">
        <w:rPr>
          <w:rFonts w:cs="Times New Roman"/>
          <w:szCs w:val="28"/>
          <w:shd w:val="clear" w:color="auto" w:fill="FFFFFF" w:themeFill="background1"/>
          <w:lang w:val="uk-UA"/>
        </w:rPr>
        <w:lastRenderedPageBreak/>
        <w:t>З іншого боку, існує безліч свідчень на користь існування радіаційного гормезису, тобто проти LNT моделі, включаючи дослідження когорти людей, що вижили після атомних бомбардувань, фонової радіації, радіації навколишнього середовища, хворих на рак, медичного опромінення та професійного опромінення. Отже існують достатньо вагомі докази наявності радіаційного гормезису [</w:t>
      </w:r>
      <w:r w:rsidR="00D03613" w:rsidRPr="00362EAB">
        <w:rPr>
          <w:rFonts w:cs="Times New Roman"/>
          <w:szCs w:val="28"/>
          <w:shd w:val="clear" w:color="auto" w:fill="FFFFFF" w:themeFill="background1"/>
          <w:lang w:val="uk-UA"/>
        </w:rPr>
        <w:t>9-12</w:t>
      </w:r>
      <w:r w:rsidRPr="006B0E92">
        <w:rPr>
          <w:rFonts w:cs="Times New Roman"/>
          <w:szCs w:val="28"/>
          <w:shd w:val="clear" w:color="auto" w:fill="FFFFFF" w:themeFill="background1"/>
          <w:lang w:val="uk-UA"/>
        </w:rPr>
        <w:t xml:space="preserve">]. </w:t>
      </w:r>
    </w:p>
    <w:p w:rsidR="006740E2" w:rsidRPr="006B0E92" w:rsidRDefault="006740E2" w:rsidP="006B0E92">
      <w:pPr>
        <w:shd w:val="clear" w:color="auto" w:fill="FFFFFF"/>
        <w:spacing w:before="100" w:beforeAutospacing="1" w:after="100" w:afterAutospacing="1" w:line="360" w:lineRule="auto"/>
        <w:ind w:firstLine="708"/>
        <w:jc w:val="both"/>
        <w:rPr>
          <w:rFonts w:cs="Times New Roman"/>
          <w:szCs w:val="28"/>
          <w:lang w:val="uk-UA"/>
        </w:rPr>
      </w:pPr>
      <w:r w:rsidRPr="006B0E92">
        <w:rPr>
          <w:rFonts w:cs="Times New Roman"/>
          <w:szCs w:val="28"/>
          <w:lang w:val="uk-UA"/>
        </w:rPr>
        <w:t xml:space="preserve">За останні роки науковцями підсумовані дані про молекулярні і клітинні наслідки опромінення іонізуючим випромінюванням в малих дозах. Розглянуто ефекти на рівні </w:t>
      </w:r>
      <w:proofErr w:type="spellStart"/>
      <w:r w:rsidRPr="006B0E92">
        <w:rPr>
          <w:rFonts w:cs="Times New Roman"/>
          <w:szCs w:val="28"/>
          <w:lang w:val="uk-UA"/>
        </w:rPr>
        <w:t>генома</w:t>
      </w:r>
      <w:proofErr w:type="spellEnd"/>
      <w:r w:rsidRPr="006B0E92">
        <w:rPr>
          <w:rFonts w:cs="Times New Roman"/>
          <w:szCs w:val="28"/>
          <w:lang w:val="uk-UA"/>
        </w:rPr>
        <w:t xml:space="preserve"> - пошкодження ДНК і їх репарація, модифікація структури хроматину, апоптоз і цитогенетичні пошкодження, експресія генів і синтез нових білків, а також віддалені наслідки променевого впливу (мутагенез, неопластична трансформація та інше). Вивчено зміни структури і складу клітинних мембран, стимуляція проліферації, модифікація систем антиоксидантного захисту. </w:t>
      </w:r>
    </w:p>
    <w:p w:rsidR="00CD0FD0" w:rsidRPr="006B0E92" w:rsidRDefault="00CD0FD0" w:rsidP="006B0E92">
      <w:pPr>
        <w:shd w:val="clear" w:color="auto" w:fill="FFFFFF"/>
        <w:spacing w:before="100" w:beforeAutospacing="1" w:after="100" w:afterAutospacing="1" w:line="360" w:lineRule="auto"/>
        <w:ind w:firstLine="708"/>
        <w:jc w:val="both"/>
        <w:rPr>
          <w:rFonts w:cs="Times New Roman"/>
          <w:szCs w:val="28"/>
          <w:lang w:val="uk-UA"/>
        </w:rPr>
      </w:pPr>
      <w:r w:rsidRPr="006B0E92">
        <w:rPr>
          <w:rFonts w:cs="Times New Roman"/>
          <w:szCs w:val="28"/>
          <w:lang w:val="uk-UA"/>
        </w:rPr>
        <w:t xml:space="preserve">При цьому зроблено висновок [1], що величина порогової дози, при якій виявляється пошкоджуючий вплив іонізуючого випромінювання, залежить від того, на якому рівні біологічної організації здійснюється оцінка цього впливу. При гострому опроміненні найбільш низький дозовий поріг виявляється для цитогенетичних ефектів та репродуктивної загибелі клітин (молекулярний і клітинний рівні припадають на дози в діапазоні 1 – 2 сГр). При переході до органного рівня та рівня організму порогова ушкоджуюча доза зростає й досягає приблизно 10 - 20 сГр. В діапазоні доз до 2 сГр включно не виявлено ушкоджуючих ефектів опромінювання, але в цій області відзначаються прояви гормезису. Деякий ризик появляється при дозі від 2 до 5 сГр, де зареєстровано нижню межу тестованих цитогенетичних пошкоджень. Оскільки доза 2 – 5 сГр найбільшою мірою сприяє прояву радіоадаптивної відповіді, цей діапазон може бути названий зоною виразних «умовно сприятливих» і невиразних ушкоджуючих ефектів випромінювання. При переході до пролонгованого та хронічного опромінення зберігаються закономірності прояву дозового порогу </w:t>
      </w:r>
      <w:r w:rsidRPr="006B0E92">
        <w:rPr>
          <w:rFonts w:cs="Times New Roman"/>
          <w:szCs w:val="28"/>
          <w:lang w:val="uk-UA"/>
        </w:rPr>
        <w:lastRenderedPageBreak/>
        <w:t>(від молекулярного та клітинного рівня до рівня організму) з його відповідністю різним діапазонам доз (для молекулярно-клітинного рівня - 2 - 3 порядки над рівнем природного радіаційного фону, для рівня організму - до 5 порядків). При більшій дозі (особливо, починаючи з 10 сГр) вираженість несприятливих ефектів випромінювання зростає і з'являється значний ризик прояву віддалених наслідків. Рівень цитогенетичних пошкоджень підвищується і починає лінійно залежати від дози випромінювання, а ефекти гормезису та радіаційної адаптації вираже</w:t>
      </w:r>
      <w:r w:rsidR="00D03613" w:rsidRPr="006B0E92">
        <w:rPr>
          <w:rFonts w:cs="Times New Roman"/>
          <w:szCs w:val="28"/>
          <w:lang w:val="uk-UA"/>
        </w:rPr>
        <w:t>ні слабо або зовсім відсутні [13</w:t>
      </w:r>
      <w:r w:rsidRPr="006B0E92">
        <w:rPr>
          <w:rFonts w:cs="Times New Roman"/>
          <w:szCs w:val="28"/>
          <w:lang w:val="uk-UA"/>
        </w:rPr>
        <w:t>].</w:t>
      </w:r>
    </w:p>
    <w:p w:rsidR="00CD0FD0" w:rsidRPr="006B0E92" w:rsidRDefault="00CD0FD0" w:rsidP="006B0E92">
      <w:pPr>
        <w:spacing w:line="360" w:lineRule="auto"/>
        <w:ind w:firstLine="720"/>
        <w:contextualSpacing/>
        <w:jc w:val="both"/>
        <w:rPr>
          <w:rFonts w:cs="Times New Roman"/>
          <w:szCs w:val="28"/>
          <w:lang w:val="uk-UA"/>
        </w:rPr>
      </w:pPr>
      <w:r w:rsidRPr="006B0E92">
        <w:rPr>
          <w:rFonts w:cs="Times New Roman"/>
          <w:szCs w:val="28"/>
          <w:lang w:val="uk-UA"/>
        </w:rPr>
        <w:t>Нами пропонується нова гіпотеза існування одного з молекуляр</w:t>
      </w:r>
      <w:r w:rsidR="00003E77" w:rsidRPr="006B0E92">
        <w:rPr>
          <w:rFonts w:cs="Times New Roman"/>
          <w:szCs w:val="28"/>
          <w:lang w:val="uk-UA"/>
        </w:rPr>
        <w:t>них механізмів явищ</w:t>
      </w:r>
      <w:r w:rsidRPr="006B0E92">
        <w:rPr>
          <w:rFonts w:cs="Times New Roman"/>
          <w:szCs w:val="28"/>
          <w:lang w:val="uk-UA"/>
        </w:rPr>
        <w:t xml:space="preserve"> </w:t>
      </w:r>
      <w:r w:rsidR="00003E77" w:rsidRPr="006B0E92">
        <w:rPr>
          <w:rFonts w:cs="Times New Roman"/>
          <w:szCs w:val="28"/>
          <w:lang w:val="uk-UA"/>
        </w:rPr>
        <w:t xml:space="preserve">гормезису та </w:t>
      </w:r>
      <w:r w:rsidRPr="006B0E92">
        <w:rPr>
          <w:rFonts w:cs="Times New Roman"/>
          <w:szCs w:val="28"/>
          <w:lang w:val="uk-UA"/>
        </w:rPr>
        <w:t xml:space="preserve">радіоадаптивної відповіді, спостережуваної при дії на клітини </w:t>
      </w:r>
      <w:r w:rsidR="00003E77" w:rsidRPr="006B0E92">
        <w:rPr>
          <w:rFonts w:cs="Times New Roman"/>
          <w:szCs w:val="28"/>
          <w:lang w:val="uk-UA"/>
        </w:rPr>
        <w:t>рідко</w:t>
      </w:r>
      <w:r w:rsidRPr="006B0E92">
        <w:rPr>
          <w:rFonts w:cs="Times New Roman"/>
          <w:szCs w:val="28"/>
          <w:lang w:val="uk-UA"/>
        </w:rPr>
        <w:t>іонізуючих випромінювань в малих дозах. Вона полягає в наступному.</w:t>
      </w:r>
    </w:p>
    <w:p w:rsidR="00CD0FD0" w:rsidRPr="006B0E92" w:rsidRDefault="00CD0FD0" w:rsidP="006B0E92">
      <w:pPr>
        <w:spacing w:line="360" w:lineRule="auto"/>
        <w:ind w:firstLine="720"/>
        <w:jc w:val="both"/>
        <w:rPr>
          <w:rFonts w:cs="Times New Roman"/>
          <w:szCs w:val="28"/>
          <w:lang w:val="uk-UA"/>
        </w:rPr>
      </w:pPr>
      <w:r w:rsidRPr="006B0E92">
        <w:rPr>
          <w:rFonts w:cs="Times New Roman"/>
          <w:szCs w:val="28"/>
          <w:lang w:val="uk-UA"/>
        </w:rPr>
        <w:t>Головною причиною загибелі клітини є, як відомо, ушкодження ниток ДНК цієї клітини, які не репаруються, тобто, ушкодження її хроматину. Але хроматин клітини неоднорідний. Він може існувати в клітині і у вигляді гетерохроматину з максимальною мірою компактизації ниток ДНК, і у вигляді еухроматину зі значною мірою "розплітання" цих ниток, що необхідно для зчитування генетичної інформації.</w:t>
      </w:r>
      <w:r w:rsidRPr="006B0E92">
        <w:rPr>
          <w:rFonts w:cs="Times New Roman"/>
          <w:szCs w:val="28"/>
        </w:rPr>
        <w:t xml:space="preserve"> </w:t>
      </w:r>
      <w:r w:rsidRPr="006B0E92">
        <w:rPr>
          <w:rFonts w:cs="Times New Roman"/>
          <w:szCs w:val="28"/>
          <w:lang w:val="uk-UA"/>
        </w:rPr>
        <w:t xml:space="preserve">Ця думка знаходить підтвердження у авторів </w:t>
      </w:r>
      <w:r w:rsidRPr="006B0E92">
        <w:rPr>
          <w:rFonts w:cs="Times New Roman"/>
          <w:szCs w:val="28"/>
        </w:rPr>
        <w:t>[</w:t>
      </w:r>
      <w:r w:rsidR="00D03613" w:rsidRPr="00362EAB">
        <w:rPr>
          <w:rFonts w:cs="Times New Roman"/>
          <w:szCs w:val="28"/>
        </w:rPr>
        <w:t>1</w:t>
      </w:r>
      <w:r w:rsidR="0055017F">
        <w:rPr>
          <w:rFonts w:cs="Times New Roman"/>
          <w:szCs w:val="28"/>
          <w:lang w:val="uk-UA"/>
        </w:rPr>
        <w:t>, </w:t>
      </w:r>
      <w:r w:rsidR="00D03613" w:rsidRPr="00362EAB">
        <w:rPr>
          <w:rFonts w:cs="Times New Roman"/>
          <w:szCs w:val="28"/>
        </w:rPr>
        <w:t>11</w:t>
      </w:r>
      <w:r w:rsidRPr="006B0E92">
        <w:rPr>
          <w:rFonts w:cs="Times New Roman"/>
          <w:szCs w:val="28"/>
        </w:rPr>
        <w:t>]</w:t>
      </w:r>
      <w:r w:rsidRPr="006B0E92">
        <w:rPr>
          <w:rFonts w:cs="Times New Roman"/>
          <w:szCs w:val="28"/>
          <w:lang w:val="uk-UA"/>
        </w:rPr>
        <w:t>. Генетичний апарат активно функціонуючої клітини знаходиться в стані еухроматину і, отже, є більш уразливим для ушкоджуючих дій, чим, такий у неактивної клітини, що знаходиться в стані гетерохроматину, тобто в стані з максимальною мірою компактизації ниток ДНК. Тому при дії на клітину ушкоджуючих чинників включаються захисні механізми, і на начальному етапі клітина прагне перейти в найбільш компактний і менш уразливий стан хроматину, тобто в стан гетерохроматину.</w:t>
      </w:r>
    </w:p>
    <w:p w:rsidR="00CD0FD0" w:rsidRPr="006B0E92" w:rsidRDefault="00CD0FD0" w:rsidP="006B0E92">
      <w:pPr>
        <w:spacing w:line="360" w:lineRule="auto"/>
        <w:ind w:firstLine="720"/>
        <w:jc w:val="both"/>
        <w:rPr>
          <w:rFonts w:cs="Times New Roman"/>
          <w:szCs w:val="28"/>
          <w:lang w:val="uk-UA"/>
        </w:rPr>
      </w:pPr>
      <w:r w:rsidRPr="006B0E92">
        <w:rPr>
          <w:rFonts w:cs="Times New Roman"/>
          <w:szCs w:val="28"/>
          <w:lang w:val="uk-UA"/>
        </w:rPr>
        <w:t>Один з можливих механізмів переключення клітин у новий режим функціонування пов’язують з індукцією опроміненням у малих дозах змін у конформаційній структурі хроматину, що, у свою чергу, приводить до змін генної експресії [</w:t>
      </w:r>
      <w:r w:rsidR="00D03613" w:rsidRPr="006B0E92">
        <w:rPr>
          <w:rFonts w:cs="Times New Roman"/>
          <w:szCs w:val="28"/>
          <w:lang w:val="uk-UA"/>
        </w:rPr>
        <w:t>6, 12, 14</w:t>
      </w:r>
      <w:r w:rsidRPr="006B0E92">
        <w:rPr>
          <w:rFonts w:cs="Times New Roman"/>
          <w:szCs w:val="28"/>
          <w:lang w:val="uk-UA"/>
        </w:rPr>
        <w:t xml:space="preserve">]. Відомо, що клітинні мембрани є первинною мішенню </w:t>
      </w:r>
      <w:r w:rsidRPr="006B0E92">
        <w:rPr>
          <w:rFonts w:cs="Times New Roman"/>
          <w:szCs w:val="28"/>
          <w:lang w:val="uk-UA"/>
        </w:rPr>
        <w:lastRenderedPageBreak/>
        <w:t>багатьох стресових впливів. З цих позицій ініціація радіаційного гормезису може бути пояснена порушенням бар’єрної функції мембран з наступною транскрипцією генів відповідних репараційних фе</w:t>
      </w:r>
      <w:r w:rsidR="00D03613" w:rsidRPr="006B0E92">
        <w:rPr>
          <w:rFonts w:cs="Times New Roman"/>
          <w:szCs w:val="28"/>
          <w:lang w:val="uk-UA"/>
        </w:rPr>
        <w:t>рментів [6</w:t>
      </w:r>
      <w:r w:rsidRPr="006B0E92">
        <w:rPr>
          <w:rFonts w:cs="Times New Roman"/>
          <w:szCs w:val="28"/>
          <w:lang w:val="uk-UA"/>
        </w:rPr>
        <w:t xml:space="preserve">]. Припускають, що відносно малі дози іонізуючого випромінювання здатні запускати мембранний механізм активації геному у рослин (зокрема, через активацію </w:t>
      </w:r>
      <w:proofErr w:type="spellStart"/>
      <w:r w:rsidRPr="006B0E92">
        <w:rPr>
          <w:rFonts w:cs="Times New Roman"/>
          <w:szCs w:val="28"/>
          <w:lang w:val="uk-UA"/>
        </w:rPr>
        <w:t>аденілатциклази</w:t>
      </w:r>
      <w:proofErr w:type="spellEnd"/>
      <w:r w:rsidRPr="006B0E92">
        <w:rPr>
          <w:rFonts w:cs="Times New Roman"/>
          <w:szCs w:val="28"/>
          <w:lang w:val="uk-UA"/>
        </w:rPr>
        <w:t xml:space="preserve"> та </w:t>
      </w:r>
      <w:proofErr w:type="spellStart"/>
      <w:r w:rsidRPr="006B0E92">
        <w:rPr>
          <w:rFonts w:cs="Times New Roman"/>
          <w:szCs w:val="28"/>
          <w:lang w:val="uk-UA"/>
        </w:rPr>
        <w:t>цАМФ</w:t>
      </w:r>
      <w:proofErr w:type="spellEnd"/>
      <w:r w:rsidRPr="006B0E92">
        <w:rPr>
          <w:rFonts w:cs="Times New Roman"/>
          <w:szCs w:val="28"/>
          <w:lang w:val="uk-UA"/>
        </w:rPr>
        <w:t xml:space="preserve"> </w:t>
      </w:r>
      <w:r w:rsidR="00D03613" w:rsidRPr="006B0E92">
        <w:rPr>
          <w:rFonts w:cs="Times New Roman"/>
          <w:szCs w:val="28"/>
          <w:lang w:val="uk-UA"/>
        </w:rPr>
        <w:t>системи трансдукції сигналів) [1</w:t>
      </w:r>
      <w:r w:rsidRPr="006B0E92">
        <w:rPr>
          <w:rFonts w:cs="Times New Roman"/>
          <w:szCs w:val="28"/>
          <w:lang w:val="uk-UA"/>
        </w:rPr>
        <w:t xml:space="preserve">4]. </w:t>
      </w:r>
    </w:p>
    <w:p w:rsidR="00CD0FD0" w:rsidRPr="006B0E92" w:rsidRDefault="00CD0FD0" w:rsidP="006B0E92">
      <w:pPr>
        <w:spacing w:line="360" w:lineRule="auto"/>
        <w:ind w:firstLine="720"/>
        <w:jc w:val="both"/>
        <w:rPr>
          <w:rFonts w:cs="Times New Roman"/>
          <w:szCs w:val="28"/>
          <w:lang w:val="uk-UA"/>
        </w:rPr>
      </w:pPr>
      <w:r w:rsidRPr="006B0E92">
        <w:rPr>
          <w:rFonts w:cs="Times New Roman"/>
          <w:szCs w:val="28"/>
          <w:lang w:val="uk-UA"/>
        </w:rPr>
        <w:t>Тобто на молекулярному та клітинному рівнях радіостимуляція може обумовлюватися більш менш тривалими змінами епігенотипу клітин, що опосередковується як безпосереднім впливом факторів на різні рівні організації ДНК, так і через вплив випромінювання на клітинні мембрани, активацію систем трансдукції сигналів. Епігенетичні ефекти іонізуючої радіації можуть проявлятися й у її впливі на рівень генетичної нестабільності [</w:t>
      </w:r>
      <w:r w:rsidR="00D03613" w:rsidRPr="006B0E92">
        <w:rPr>
          <w:rFonts w:cs="Times New Roman"/>
          <w:szCs w:val="28"/>
          <w:lang w:val="uk-UA"/>
        </w:rPr>
        <w:t>11</w:t>
      </w:r>
      <w:r w:rsidRPr="006B0E92">
        <w:rPr>
          <w:rFonts w:cs="Times New Roman"/>
          <w:szCs w:val="28"/>
          <w:lang w:val="uk-UA"/>
        </w:rPr>
        <w:t>].</w:t>
      </w:r>
    </w:p>
    <w:p w:rsidR="00CD0FD0" w:rsidRPr="006B0E92" w:rsidRDefault="00CD0FD0" w:rsidP="006B0E92">
      <w:pPr>
        <w:spacing w:line="360" w:lineRule="auto"/>
        <w:ind w:firstLine="720"/>
        <w:jc w:val="both"/>
        <w:rPr>
          <w:rFonts w:cs="Times New Roman"/>
          <w:szCs w:val="28"/>
          <w:lang w:val="uk-UA"/>
        </w:rPr>
      </w:pPr>
      <w:r w:rsidRPr="006B0E92">
        <w:rPr>
          <w:rFonts w:cs="Times New Roman"/>
          <w:szCs w:val="28"/>
          <w:lang w:val="uk-UA"/>
        </w:rPr>
        <w:t>Таким чином, при дії на клітину ушкоджуючими чинниками в малих дозах і в певному інтервалі часу, необхідному для максимально повної компактизації хроматину, клітина мало ушкоджується або не ушкоджується взагалі, але сигнал про наявність ушкоджуючої дії виробляється. Це і обумовлює максимально можливий перехід хроматину клітини в гетерохроматин в якості реакції у відповідь з метою мінімізації можливого подальшого ушкодження клітини при великих дозах.  Іншими словами, коли клітина опиняється під впливом малих доз ушкоджуючих чинників, вона має можливість оперативно, без значних для себе витрат перейти в стан гетерохроматину і, тим самим, істотно ослабити міру ушкодження ДНК при подальших значних рівнях ушкоджуючих чинників. Таким механізмом адаптивної відповіді клітини можна, зокрема, пояснити і неспецифічність реакції клітин на ушкоджуючі дії. На користь цього трактування механізму формування адаптивної відповіді говорять також дані про активацію полімерази АДФ рибози, що необхідно для реалізації обговорюваного ефекту як "палива" цього процесу.</w:t>
      </w:r>
    </w:p>
    <w:p w:rsidR="009E267B" w:rsidRPr="006B0E92" w:rsidRDefault="009E267B" w:rsidP="006B0E92">
      <w:pPr>
        <w:shd w:val="clear" w:color="auto" w:fill="FFFFFF"/>
        <w:spacing w:before="100" w:beforeAutospacing="1" w:after="100" w:afterAutospacing="1" w:line="360" w:lineRule="auto"/>
        <w:ind w:firstLine="708"/>
        <w:jc w:val="both"/>
        <w:rPr>
          <w:rFonts w:cs="Times New Roman"/>
          <w:szCs w:val="28"/>
          <w:lang w:val="uk-UA"/>
        </w:rPr>
      </w:pPr>
      <w:r w:rsidRPr="006B0E92">
        <w:rPr>
          <w:rFonts w:cs="Times New Roman"/>
          <w:szCs w:val="28"/>
          <w:lang w:val="uk-UA"/>
        </w:rPr>
        <w:t>Нами пропонується нова розрахункова формула для оцінки адаптивного відгуку за допомогою індексу адаптивної відповіді (</w:t>
      </w:r>
      <w:r w:rsidRPr="006B0E92">
        <w:rPr>
          <w:rFonts w:cs="Times New Roman"/>
          <w:i/>
          <w:szCs w:val="28"/>
          <w:lang w:val="uk-UA"/>
        </w:rPr>
        <w:t>К</w:t>
      </w:r>
      <w:r w:rsidRPr="006B0E92">
        <w:rPr>
          <w:rFonts w:cs="Times New Roman"/>
          <w:szCs w:val="28"/>
          <w:lang w:val="uk-UA"/>
        </w:rPr>
        <w:t xml:space="preserve">) як функції ймовірності </w:t>
      </w:r>
      <w:r w:rsidRPr="006B0E92">
        <w:rPr>
          <w:rFonts w:cs="Times New Roman"/>
          <w:szCs w:val="28"/>
          <w:lang w:val="uk-UA"/>
        </w:rPr>
        <w:lastRenderedPageBreak/>
        <w:t>утворення генетичних пошкоджень при опроміненні біологічних об’єктів низькими дозами низької потужності рідкоіонізуючого випромінювання:</w:t>
      </w:r>
    </w:p>
    <w:p w:rsidR="009E267B" w:rsidRPr="006B0E92" w:rsidRDefault="009E267B" w:rsidP="006B0E92">
      <w:pPr>
        <w:shd w:val="clear" w:color="auto" w:fill="FFFFFF"/>
        <w:tabs>
          <w:tab w:val="center" w:pos="4677"/>
          <w:tab w:val="left" w:pos="6860"/>
        </w:tabs>
        <w:spacing w:before="100" w:beforeAutospacing="1" w:after="100" w:afterAutospacing="1" w:line="360" w:lineRule="auto"/>
        <w:jc w:val="center"/>
        <w:rPr>
          <w:rFonts w:cs="Times New Roman"/>
          <w:szCs w:val="28"/>
          <w:lang w:val="uk-UA"/>
        </w:rPr>
      </w:pPr>
      <w:r w:rsidRPr="006B0E92">
        <w:rPr>
          <w:rFonts w:cs="Times New Roman"/>
          <w:position w:val="-30"/>
          <w:szCs w:val="28"/>
          <w:lang w:val="uk-UA"/>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33.8pt" o:ole="">
            <v:imagedata r:id="rId4" o:title=""/>
          </v:shape>
          <o:OLEObject Type="Embed" ProgID="Equation.DSMT4" ShapeID="_x0000_i1025" DrawAspect="Content" ObjectID="_1680558760" r:id="rId5"/>
        </w:object>
      </w:r>
      <w:r w:rsidRPr="006B0E92">
        <w:rPr>
          <w:rFonts w:cs="Times New Roman"/>
          <w:szCs w:val="28"/>
          <w:lang w:val="uk-UA"/>
        </w:rPr>
        <w:t>,</w:t>
      </w:r>
    </w:p>
    <w:p w:rsidR="009E267B" w:rsidRPr="006B0E92" w:rsidRDefault="009E267B" w:rsidP="006B0E92">
      <w:pPr>
        <w:shd w:val="clear" w:color="auto" w:fill="FFFFFF"/>
        <w:spacing w:before="100" w:beforeAutospacing="1" w:after="100" w:afterAutospacing="1" w:line="360" w:lineRule="auto"/>
        <w:jc w:val="both"/>
        <w:rPr>
          <w:rFonts w:cs="Times New Roman"/>
          <w:szCs w:val="28"/>
          <w:lang w:val="uk-UA"/>
        </w:rPr>
      </w:pPr>
      <w:r w:rsidRPr="006B0E92">
        <w:rPr>
          <w:rFonts w:cs="Times New Roman"/>
          <w:szCs w:val="28"/>
          <w:lang w:val="uk-UA"/>
        </w:rPr>
        <w:t xml:space="preserve">де </w:t>
      </w:r>
      <w:r w:rsidRPr="006B0E92">
        <w:rPr>
          <w:rFonts w:cs="Times New Roman"/>
          <w:position w:val="-12"/>
          <w:szCs w:val="28"/>
          <w:lang w:val="en-US"/>
        </w:rPr>
        <w:object w:dxaOrig="279" w:dyaOrig="360">
          <v:shape id="_x0000_i1026" type="#_x0000_t75" style="width:13.85pt;height:18.3pt" o:ole="">
            <v:imagedata r:id="rId6" o:title=""/>
          </v:shape>
          <o:OLEObject Type="Embed" ProgID="Equation.DSMT4" ShapeID="_x0000_i1026" DrawAspect="Content" ObjectID="_1680558761" r:id="rId7"/>
        </w:object>
      </w:r>
      <w:r w:rsidRPr="006B0E92">
        <w:rPr>
          <w:rFonts w:cs="Times New Roman"/>
          <w:szCs w:val="28"/>
          <w:lang w:val="uk-UA"/>
        </w:rPr>
        <w:t xml:space="preserve"> - ймовірність генетичних пошкоджень в контрольній групі клітин – клітин,  які не опромінювалися, (стохастичні аберації); </w:t>
      </w:r>
      <w:r w:rsidRPr="006B0E92">
        <w:rPr>
          <w:rFonts w:cs="Times New Roman"/>
          <w:position w:val="-12"/>
          <w:szCs w:val="28"/>
          <w:lang w:val="en-US"/>
        </w:rPr>
        <w:object w:dxaOrig="300" w:dyaOrig="360">
          <v:shape id="_x0000_i1027" type="#_x0000_t75" style="width:15.5pt;height:18.3pt" o:ole="">
            <v:imagedata r:id="rId8" o:title=""/>
          </v:shape>
          <o:OLEObject Type="Embed" ProgID="Equation.DSMT4" ShapeID="_x0000_i1027" DrawAspect="Content" ObjectID="_1680558762" r:id="rId9"/>
        </w:object>
      </w:r>
      <w:r w:rsidRPr="006B0E92">
        <w:rPr>
          <w:rFonts w:cs="Times New Roman"/>
          <w:szCs w:val="28"/>
          <w:lang w:val="uk-UA"/>
        </w:rPr>
        <w:t xml:space="preserve"> - ймовірність генетичних пошкоджень після опромінення адаптуючою дозою; </w:t>
      </w:r>
      <w:r w:rsidRPr="006B0E92">
        <w:rPr>
          <w:rFonts w:cs="Times New Roman"/>
          <w:position w:val="-12"/>
          <w:szCs w:val="28"/>
          <w:lang w:val="en-US"/>
        </w:rPr>
        <w:object w:dxaOrig="260" w:dyaOrig="360">
          <v:shape id="_x0000_i1028" type="#_x0000_t75" style="width:12.75pt;height:18.3pt" o:ole="">
            <v:imagedata r:id="rId10" o:title=""/>
          </v:shape>
          <o:OLEObject Type="Embed" ProgID="Equation.DSMT4" ShapeID="_x0000_i1028" DrawAspect="Content" ObjectID="_1680558763" r:id="rId11"/>
        </w:object>
      </w:r>
      <w:r w:rsidRPr="006B0E92">
        <w:rPr>
          <w:rFonts w:cs="Times New Roman"/>
          <w:szCs w:val="28"/>
          <w:lang w:val="uk-UA"/>
        </w:rPr>
        <w:t xml:space="preserve"> - ймовірність генетичних пошкоджень після опромінення дозою, що тестувалася; </w:t>
      </w:r>
      <w:r w:rsidRPr="006B0E92">
        <w:rPr>
          <w:rFonts w:cs="Times New Roman"/>
          <w:position w:val="-12"/>
          <w:szCs w:val="28"/>
          <w:lang w:val="uk-UA"/>
        </w:rPr>
        <w:object w:dxaOrig="360" w:dyaOrig="360">
          <v:shape id="_x0000_i1029" type="#_x0000_t75" style="width:18.3pt;height:18.3pt" o:ole="">
            <v:imagedata r:id="rId12" o:title=""/>
          </v:shape>
          <o:OLEObject Type="Embed" ProgID="Equation.DSMT4" ShapeID="_x0000_i1029" DrawAspect="Content" ObjectID="_1680558764" r:id="rId13"/>
        </w:object>
      </w:r>
      <w:r w:rsidRPr="006B0E92">
        <w:rPr>
          <w:rFonts w:cs="Times New Roman"/>
          <w:szCs w:val="28"/>
          <w:lang w:val="uk-UA"/>
        </w:rPr>
        <w:t xml:space="preserve"> - ймовірність генетичних пошкоджень після опромінення спочатку адаптуючою дозою, потім дозою, що тестувалася. </w:t>
      </w:r>
    </w:p>
    <w:p w:rsidR="009E267B" w:rsidRPr="006B0E92" w:rsidRDefault="009E267B" w:rsidP="006B0E92">
      <w:pPr>
        <w:shd w:val="clear" w:color="auto" w:fill="FFFFFF"/>
        <w:spacing w:before="100" w:beforeAutospacing="1" w:after="100" w:afterAutospacing="1" w:line="360" w:lineRule="auto"/>
        <w:ind w:firstLine="567"/>
        <w:jc w:val="both"/>
        <w:rPr>
          <w:rFonts w:cs="Times New Roman"/>
          <w:szCs w:val="28"/>
          <w:lang w:val="uk-UA"/>
        </w:rPr>
      </w:pPr>
      <w:r w:rsidRPr="006B0E92">
        <w:rPr>
          <w:rFonts w:cs="Times New Roman"/>
          <w:szCs w:val="28"/>
          <w:lang w:val="uk-UA"/>
        </w:rPr>
        <w:t xml:space="preserve">За відсутності будь-якої адаптуючої дози </w:t>
      </w:r>
      <w:r w:rsidRPr="006B0E92">
        <w:rPr>
          <w:rFonts w:cs="Times New Roman"/>
          <w:position w:val="-12"/>
          <w:szCs w:val="28"/>
          <w:lang w:val="uk-UA"/>
        </w:rPr>
        <w:object w:dxaOrig="1100" w:dyaOrig="360">
          <v:shape id="_x0000_i1030" type="#_x0000_t75" style="width:54.85pt;height:18.3pt" o:ole="">
            <v:imagedata r:id="rId14" o:title=""/>
          </v:shape>
          <o:OLEObject Type="Embed" ProgID="Equation.DSMT4" ShapeID="_x0000_i1030" DrawAspect="Content" ObjectID="_1680558765" r:id="rId15"/>
        </w:object>
      </w:r>
      <w:r w:rsidRPr="006B0E92">
        <w:rPr>
          <w:rFonts w:cs="Times New Roman"/>
          <w:szCs w:val="28"/>
          <w:lang w:val="uk-UA"/>
        </w:rPr>
        <w:t xml:space="preserve">, а ймовірність утворення генетичних пошкоджень </w:t>
      </w:r>
      <w:r w:rsidRPr="006B0E92">
        <w:rPr>
          <w:rFonts w:cs="Times New Roman"/>
          <w:position w:val="-12"/>
          <w:szCs w:val="28"/>
          <w:lang w:val="uk-UA"/>
        </w:rPr>
        <w:object w:dxaOrig="800" w:dyaOrig="360">
          <v:shape id="_x0000_i1031" type="#_x0000_t75" style="width:40.45pt;height:18.3pt" o:ole="">
            <v:imagedata r:id="rId16" o:title=""/>
          </v:shape>
          <o:OLEObject Type="Embed" ProgID="Equation.DSMT4" ShapeID="_x0000_i1031" DrawAspect="Content" ObjectID="_1680558766" r:id="rId17"/>
        </w:object>
      </w:r>
      <w:r w:rsidRPr="006B0E92">
        <w:rPr>
          <w:rFonts w:cs="Times New Roman"/>
          <w:szCs w:val="28"/>
          <w:lang w:val="uk-UA"/>
        </w:rPr>
        <w:t xml:space="preserve">, тобто </w:t>
      </w:r>
      <w:r w:rsidR="000555EB">
        <w:rPr>
          <w:rFonts w:cs="Times New Roman"/>
          <w:szCs w:val="28"/>
          <w:lang w:val="uk-UA"/>
        </w:rPr>
        <w:t>індекс</w:t>
      </w:r>
      <w:r w:rsidRPr="006B0E92">
        <w:rPr>
          <w:rFonts w:cs="Times New Roman"/>
          <w:szCs w:val="28"/>
          <w:lang w:val="uk-UA"/>
        </w:rPr>
        <w:t xml:space="preserve"> адаптивної відповіді </w:t>
      </w:r>
      <w:r w:rsidRPr="006B0E92">
        <w:rPr>
          <w:rFonts w:cs="Times New Roman"/>
          <w:position w:val="-4"/>
          <w:szCs w:val="28"/>
          <w:lang w:val="uk-UA"/>
        </w:rPr>
        <w:object w:dxaOrig="580" w:dyaOrig="260">
          <v:shape id="_x0000_i1032" type="#_x0000_t75" style="width:29.35pt;height:12.75pt" o:ole="">
            <v:imagedata r:id="rId18" o:title=""/>
          </v:shape>
          <o:OLEObject Type="Embed" ProgID="Equation.DSMT4" ShapeID="_x0000_i1032" DrawAspect="Content" ObjectID="_1680558767" r:id="rId19"/>
        </w:object>
      </w:r>
      <w:r w:rsidRPr="006B0E92">
        <w:rPr>
          <w:rFonts w:cs="Times New Roman"/>
          <w:szCs w:val="28"/>
          <w:lang w:val="uk-UA"/>
        </w:rPr>
        <w:t xml:space="preserve"> (адаптивна відповідь відсутня); якщо значення </w:t>
      </w:r>
      <w:r w:rsidR="000555EB">
        <w:rPr>
          <w:rFonts w:cs="Times New Roman"/>
          <w:szCs w:val="28"/>
          <w:lang w:val="uk-UA"/>
        </w:rPr>
        <w:t>індексу</w:t>
      </w:r>
      <w:r w:rsidRPr="006B0E92">
        <w:rPr>
          <w:rFonts w:cs="Times New Roman"/>
          <w:szCs w:val="28"/>
          <w:lang w:val="uk-UA"/>
        </w:rPr>
        <w:t xml:space="preserve"> </w:t>
      </w:r>
      <w:r w:rsidRPr="006B0E92">
        <w:rPr>
          <w:rFonts w:cs="Times New Roman"/>
          <w:position w:val="-4"/>
          <w:szCs w:val="28"/>
          <w:lang w:val="uk-UA"/>
        </w:rPr>
        <w:object w:dxaOrig="580" w:dyaOrig="260">
          <v:shape id="_x0000_i1033" type="#_x0000_t75" style="width:29.35pt;height:12.75pt" o:ole="">
            <v:imagedata r:id="rId20" o:title=""/>
          </v:shape>
          <o:OLEObject Type="Embed" ProgID="Equation.DSMT4" ShapeID="_x0000_i1033" DrawAspect="Content" ObjectID="_1680558768" r:id="rId21"/>
        </w:object>
      </w:r>
      <w:r w:rsidRPr="006B0E92">
        <w:rPr>
          <w:rFonts w:cs="Times New Roman"/>
          <w:szCs w:val="28"/>
          <w:lang w:val="uk-UA"/>
        </w:rPr>
        <w:t xml:space="preserve">, це означає, що адаптивна відповідь має місце, і чим активніше працюють захисні механізми, тим більше значення </w:t>
      </w:r>
      <w:r w:rsidRPr="006B0E92">
        <w:rPr>
          <w:rFonts w:cs="Times New Roman"/>
          <w:position w:val="-4"/>
          <w:szCs w:val="28"/>
          <w:lang w:val="uk-UA"/>
        </w:rPr>
        <w:object w:dxaOrig="260" w:dyaOrig="260">
          <v:shape id="_x0000_i1034" type="#_x0000_t75" style="width:12.75pt;height:12.75pt" o:ole="">
            <v:imagedata r:id="rId22" o:title=""/>
          </v:shape>
          <o:OLEObject Type="Embed" ProgID="Equation.DSMT4" ShapeID="_x0000_i1034" DrawAspect="Content" ObjectID="_1680558769" r:id="rId23"/>
        </w:object>
      </w:r>
      <w:r w:rsidRPr="006B0E92">
        <w:rPr>
          <w:rFonts w:cs="Times New Roman"/>
          <w:szCs w:val="28"/>
          <w:lang w:val="uk-UA"/>
        </w:rPr>
        <w:t xml:space="preserve"> перевищує одиницю. Значення індексу адаптивної відповіді </w:t>
      </w:r>
      <w:r w:rsidRPr="006B0E92">
        <w:rPr>
          <w:rFonts w:cs="Times New Roman"/>
          <w:position w:val="-4"/>
          <w:szCs w:val="28"/>
          <w:lang w:val="uk-UA"/>
        </w:rPr>
        <w:object w:dxaOrig="580" w:dyaOrig="260">
          <v:shape id="_x0000_i1035" type="#_x0000_t75" style="width:29.35pt;height:12.75pt" o:ole="">
            <v:imagedata r:id="rId24" o:title=""/>
          </v:shape>
          <o:OLEObject Type="Embed" ProgID="Equation.DSMT4" ShapeID="_x0000_i1035" DrawAspect="Content" ObjectID="_1680558770" r:id="rId25"/>
        </w:object>
      </w:r>
      <w:r w:rsidRPr="006B0E92">
        <w:rPr>
          <w:rFonts w:cs="Times New Roman"/>
          <w:szCs w:val="28"/>
          <w:lang w:val="uk-UA"/>
        </w:rPr>
        <w:t xml:space="preserve"> відповідатимуть стану підвищення радіочутливості клітин.</w:t>
      </w:r>
    </w:p>
    <w:p w:rsidR="009E267B" w:rsidRPr="006B0E92" w:rsidRDefault="009E267B" w:rsidP="006B0E92">
      <w:pPr>
        <w:shd w:val="clear" w:color="auto" w:fill="FFFFFF"/>
        <w:spacing w:before="100" w:beforeAutospacing="1" w:after="100" w:afterAutospacing="1" w:line="360" w:lineRule="auto"/>
        <w:ind w:firstLine="708"/>
        <w:jc w:val="both"/>
        <w:rPr>
          <w:rFonts w:cs="Times New Roman"/>
          <w:szCs w:val="28"/>
          <w:lang w:val="uk-UA"/>
        </w:rPr>
      </w:pPr>
      <w:r w:rsidRPr="006B0E92">
        <w:rPr>
          <w:rFonts w:cs="Times New Roman"/>
          <w:szCs w:val="28"/>
          <w:lang w:val="uk-UA"/>
        </w:rPr>
        <w:t>Для перевірки розрахунків за допомогою запропонованої формули були використані літературні експериментальні дані, в яких в якості генетичних пошкоджень застосовувався анафазний метод аберації хромосом. Дослідження [</w:t>
      </w:r>
      <w:r w:rsidR="006A338A" w:rsidRPr="006B0E92">
        <w:rPr>
          <w:rFonts w:cs="Times New Roman"/>
          <w:szCs w:val="28"/>
        </w:rPr>
        <w:t>15</w:t>
      </w:r>
      <w:r w:rsidRPr="006B0E92">
        <w:rPr>
          <w:rFonts w:cs="Times New Roman"/>
          <w:szCs w:val="28"/>
          <w:lang w:val="uk-UA"/>
        </w:rPr>
        <w:t xml:space="preserve">] проводили на асинхронній популяції клітин китайського хом’ячка лінії </w:t>
      </w:r>
      <w:r w:rsidRPr="006B0E92">
        <w:rPr>
          <w:rFonts w:cs="Times New Roman"/>
          <w:szCs w:val="28"/>
          <w:lang w:val="en-US"/>
        </w:rPr>
        <w:t>V</w:t>
      </w:r>
      <w:r w:rsidRPr="006B0E92">
        <w:rPr>
          <w:rFonts w:cs="Times New Roman"/>
          <w:szCs w:val="28"/>
          <w:lang w:val="uk-UA"/>
        </w:rPr>
        <w:t xml:space="preserve">-79, які знаходились в логарифмічній фазі росту. Тривалість мітотичного циклу клітин китайського хом’ячка складала 12 годин. Для опромінення використовували гама-випромінювання </w:t>
      </w:r>
      <w:r w:rsidRPr="006B0E92">
        <w:rPr>
          <w:rFonts w:cs="Times New Roman"/>
          <w:szCs w:val="28"/>
          <w:vertAlign w:val="superscript"/>
          <w:lang w:val="uk-UA"/>
        </w:rPr>
        <w:t>60</w:t>
      </w:r>
      <w:r w:rsidRPr="006B0E92">
        <w:rPr>
          <w:rFonts w:cs="Times New Roman"/>
          <w:szCs w:val="28"/>
          <w:lang w:val="uk-UA"/>
        </w:rPr>
        <w:t xml:space="preserve">Со з потужністю дози 18 сГр/хв. При вивченні адаптуючої відповіді інтервал між адаптуючою дозою і дозою, що тестувалася, складав 5 годин; фіксація проводилась через 5 годин. </w:t>
      </w:r>
    </w:p>
    <w:p w:rsidR="009E267B" w:rsidRPr="006B0E92" w:rsidRDefault="009E267B" w:rsidP="006B0E92">
      <w:pPr>
        <w:shd w:val="clear" w:color="auto" w:fill="FFFFFF"/>
        <w:spacing w:before="100" w:beforeAutospacing="1" w:after="100" w:afterAutospacing="1" w:line="360" w:lineRule="auto"/>
        <w:ind w:firstLine="567"/>
        <w:jc w:val="both"/>
        <w:rPr>
          <w:rFonts w:cs="Times New Roman"/>
          <w:szCs w:val="28"/>
          <w:lang w:val="uk-UA"/>
        </w:rPr>
      </w:pPr>
      <w:r w:rsidRPr="006B0E92">
        <w:rPr>
          <w:rFonts w:cs="Times New Roman"/>
          <w:szCs w:val="28"/>
          <w:lang w:val="uk-UA"/>
        </w:rPr>
        <w:lastRenderedPageBreak/>
        <w:t xml:space="preserve">При застосуванні вказаної формули припускалось, що ймовірність утворення хромосомних аберацій пропорційна відсотку клітин з хромосомними абераціями. </w:t>
      </w:r>
    </w:p>
    <w:p w:rsidR="009E267B" w:rsidRPr="006B0E92" w:rsidRDefault="009E267B" w:rsidP="006B0E92">
      <w:pPr>
        <w:shd w:val="clear" w:color="auto" w:fill="FFFFFF"/>
        <w:spacing w:before="100" w:beforeAutospacing="1" w:after="100" w:afterAutospacing="1" w:line="360" w:lineRule="auto"/>
        <w:ind w:firstLine="567"/>
        <w:jc w:val="both"/>
        <w:rPr>
          <w:rFonts w:cs="Times New Roman"/>
          <w:szCs w:val="28"/>
          <w:lang w:val="uk-UA"/>
        </w:rPr>
      </w:pPr>
      <w:r w:rsidRPr="006B0E92">
        <w:rPr>
          <w:rFonts w:cs="Times New Roman"/>
          <w:szCs w:val="28"/>
          <w:lang w:val="uk-UA"/>
        </w:rPr>
        <w:t>В таблиці 1 наведені результати експерименту на клітинах китайського хом’ячка по виявленню за допомогою цитогенетичного критерію залежності індукції адаптивної відповіді від дози попереднього опромінення при часі фіксації 5 годин. За наведеною вище формулою обчислено індекс адаптивної відповіді (</w:t>
      </w:r>
      <w:r w:rsidRPr="006B0E92">
        <w:rPr>
          <w:rFonts w:cs="Times New Roman"/>
          <w:position w:val="-4"/>
          <w:szCs w:val="28"/>
          <w:lang w:val="uk-UA"/>
        </w:rPr>
        <w:object w:dxaOrig="260" w:dyaOrig="260">
          <v:shape id="_x0000_i1036" type="#_x0000_t75" style="width:12.75pt;height:12.75pt" o:ole="">
            <v:imagedata r:id="rId22" o:title=""/>
          </v:shape>
          <o:OLEObject Type="Embed" ProgID="Equation.DSMT4" ShapeID="_x0000_i1036" DrawAspect="Content" ObjectID="_1680558771" r:id="rId26"/>
        </w:object>
      </w:r>
      <w:r w:rsidRPr="006B0E92">
        <w:rPr>
          <w:rFonts w:cs="Times New Roman"/>
          <w:szCs w:val="28"/>
          <w:lang w:val="uk-UA"/>
        </w:rPr>
        <w:t>).</w:t>
      </w:r>
    </w:p>
    <w:p w:rsidR="009E267B" w:rsidRPr="006B0E92" w:rsidRDefault="009E267B" w:rsidP="00F158F1">
      <w:pPr>
        <w:shd w:val="clear" w:color="auto" w:fill="FFFFFF"/>
        <w:spacing w:before="100" w:beforeAutospacing="1" w:after="100" w:afterAutospacing="1" w:line="360" w:lineRule="auto"/>
        <w:ind w:firstLine="567"/>
        <w:jc w:val="both"/>
        <w:rPr>
          <w:rFonts w:cs="Times New Roman"/>
          <w:szCs w:val="28"/>
          <w:lang w:val="uk-UA"/>
        </w:rPr>
      </w:pPr>
      <w:r w:rsidRPr="006B0E92">
        <w:rPr>
          <w:rFonts w:cs="Times New Roman"/>
          <w:szCs w:val="28"/>
          <w:lang w:val="uk-UA"/>
        </w:rPr>
        <w:t xml:space="preserve">Таблиця 1. Цитогенетичні пошкодження та </w:t>
      </w:r>
      <w:r w:rsidR="000555EB">
        <w:rPr>
          <w:rFonts w:cs="Times New Roman"/>
          <w:szCs w:val="28"/>
          <w:lang w:val="uk-UA"/>
        </w:rPr>
        <w:t>індекс</w:t>
      </w:r>
      <w:r w:rsidRPr="006B0E92">
        <w:rPr>
          <w:rFonts w:cs="Times New Roman"/>
          <w:szCs w:val="28"/>
          <w:lang w:val="uk-UA"/>
        </w:rPr>
        <w:t xml:space="preserve"> адаптивної відповідь при опроміненні клітин китайського хом’ячка в адаптуючій дозі 1 сГр, 5 сГр або 20</w:t>
      </w:r>
      <w:r w:rsidR="00F158F1">
        <w:rPr>
          <w:rFonts w:cs="Times New Roman"/>
          <w:szCs w:val="28"/>
          <w:lang w:val="uk-UA"/>
        </w:rPr>
        <w:t> </w:t>
      </w:r>
      <w:r w:rsidRPr="006B0E92">
        <w:rPr>
          <w:rFonts w:cs="Times New Roman"/>
          <w:szCs w:val="28"/>
          <w:lang w:val="uk-UA"/>
        </w:rPr>
        <w:t>сГр і в дозі, що тестувалася, 100 сГр (час фіксації 5 годин)</w:t>
      </w:r>
    </w:p>
    <w:tbl>
      <w:tblPr>
        <w:tblStyle w:val="a5"/>
        <w:tblW w:w="0" w:type="auto"/>
        <w:tblInd w:w="567" w:type="dxa"/>
        <w:tblLook w:val="04A0" w:firstRow="1" w:lastRow="0" w:firstColumn="1" w:lastColumn="0" w:noHBand="0" w:noVBand="1"/>
      </w:tblPr>
      <w:tblGrid>
        <w:gridCol w:w="1668"/>
        <w:gridCol w:w="1559"/>
        <w:gridCol w:w="1417"/>
        <w:gridCol w:w="1560"/>
        <w:gridCol w:w="1417"/>
        <w:gridCol w:w="1383"/>
      </w:tblGrid>
      <w:tr w:rsidR="006B0E92" w:rsidRPr="00F158F1" w:rsidTr="00254EAF">
        <w:tc>
          <w:tcPr>
            <w:tcW w:w="1668" w:type="dxa"/>
          </w:tcPr>
          <w:p w:rsidR="009E267B" w:rsidRPr="00F158F1" w:rsidRDefault="009E267B" w:rsidP="006B0E92">
            <w:pPr>
              <w:spacing w:before="100" w:beforeAutospacing="1" w:after="100" w:afterAutospacing="1" w:line="360" w:lineRule="auto"/>
              <w:rPr>
                <w:sz w:val="24"/>
                <w:szCs w:val="24"/>
                <w:lang w:val="en-US"/>
              </w:rPr>
            </w:pPr>
            <w:r w:rsidRPr="00F158F1">
              <w:rPr>
                <w:sz w:val="24"/>
                <w:szCs w:val="24"/>
                <w:lang w:val="uk-UA"/>
              </w:rPr>
              <w:t xml:space="preserve">Адаптуюча доза </w:t>
            </w:r>
            <w:r w:rsidRPr="00F158F1">
              <w:rPr>
                <w:rFonts w:eastAsiaTheme="minorHAnsi" w:cstheme="minorBidi"/>
                <w:position w:val="-12"/>
                <w:sz w:val="24"/>
                <w:szCs w:val="24"/>
                <w:lang w:val="uk-UA" w:eastAsia="en-US"/>
              </w:rPr>
              <w:object w:dxaOrig="360" w:dyaOrig="360">
                <v:shape id="_x0000_i1037" type="#_x0000_t75" style="width:18.3pt;height:18.3pt" o:ole="">
                  <v:imagedata r:id="rId27" o:title=""/>
                </v:shape>
                <o:OLEObject Type="Embed" ProgID="Equation.DSMT4" ShapeID="_x0000_i1037" DrawAspect="Content" ObjectID="_1680558772" r:id="rId28"/>
              </w:object>
            </w:r>
            <w:r w:rsidRPr="00F158F1">
              <w:rPr>
                <w:sz w:val="24"/>
                <w:szCs w:val="24"/>
                <w:lang w:val="uk-UA"/>
              </w:rPr>
              <w:t xml:space="preserve"> , сГр</w:t>
            </w:r>
          </w:p>
        </w:tc>
        <w:tc>
          <w:tcPr>
            <w:tcW w:w="1559" w:type="dxa"/>
          </w:tcPr>
          <w:p w:rsidR="009E267B" w:rsidRPr="00F158F1" w:rsidRDefault="009E267B" w:rsidP="006B0E92">
            <w:pPr>
              <w:spacing w:before="100" w:beforeAutospacing="1" w:after="100" w:afterAutospacing="1" w:line="360" w:lineRule="auto"/>
              <w:rPr>
                <w:sz w:val="24"/>
                <w:szCs w:val="24"/>
                <w:lang w:val="uk-UA"/>
              </w:rPr>
            </w:pPr>
            <w:r w:rsidRPr="00F158F1">
              <w:rPr>
                <w:rFonts w:eastAsiaTheme="minorHAnsi" w:cstheme="minorBidi"/>
                <w:position w:val="-12"/>
                <w:sz w:val="24"/>
                <w:szCs w:val="24"/>
                <w:lang w:val="en-US" w:eastAsia="en-US"/>
              </w:rPr>
              <w:object w:dxaOrig="279" w:dyaOrig="360">
                <v:shape id="_x0000_i1038" type="#_x0000_t75" style="width:13.85pt;height:18.3pt" o:ole="">
                  <v:imagedata r:id="rId6" o:title=""/>
                </v:shape>
                <o:OLEObject Type="Embed" ProgID="Equation.DSMT4" ShapeID="_x0000_i1038" DrawAspect="Content" ObjectID="_1680558773" r:id="rId29"/>
              </w:object>
            </w:r>
            <w:r w:rsidRPr="00F158F1">
              <w:rPr>
                <w:sz w:val="24"/>
                <w:szCs w:val="24"/>
                <w:lang w:val="uk-UA"/>
              </w:rPr>
              <w:t xml:space="preserve">, </w:t>
            </w:r>
            <w:r w:rsidRPr="00F158F1">
              <w:rPr>
                <w:rFonts w:eastAsiaTheme="minorHAnsi" w:cstheme="minorBidi"/>
                <w:position w:val="-6"/>
                <w:sz w:val="24"/>
                <w:szCs w:val="24"/>
                <w:lang w:val="uk-UA" w:eastAsia="en-US"/>
              </w:rPr>
              <w:object w:dxaOrig="639" w:dyaOrig="360">
                <v:shape id="_x0000_i1039" type="#_x0000_t75" style="width:32.1pt;height:18.3pt" o:ole="">
                  <v:imagedata r:id="rId30" o:title=""/>
                </v:shape>
                <o:OLEObject Type="Embed" ProgID="Equation.DSMT4" ShapeID="_x0000_i1039" DrawAspect="Content" ObjectID="_1680558774" r:id="rId31"/>
              </w:object>
            </w:r>
            <w:r w:rsidRPr="00F158F1">
              <w:rPr>
                <w:sz w:val="24"/>
                <w:szCs w:val="24"/>
                <w:lang w:val="uk-UA"/>
              </w:rPr>
              <w:t xml:space="preserve"> </w:t>
            </w:r>
          </w:p>
        </w:tc>
        <w:tc>
          <w:tcPr>
            <w:tcW w:w="1417" w:type="dxa"/>
          </w:tcPr>
          <w:p w:rsidR="009E267B" w:rsidRPr="00F158F1" w:rsidRDefault="009E267B" w:rsidP="006B0E92">
            <w:pPr>
              <w:spacing w:before="100" w:beforeAutospacing="1" w:after="100" w:afterAutospacing="1" w:line="360" w:lineRule="auto"/>
              <w:jc w:val="both"/>
              <w:rPr>
                <w:sz w:val="24"/>
                <w:szCs w:val="24"/>
                <w:lang w:val="uk-UA"/>
              </w:rPr>
            </w:pPr>
            <w:r w:rsidRPr="00F158F1">
              <w:rPr>
                <w:rFonts w:eastAsiaTheme="minorHAnsi" w:cstheme="minorBidi"/>
                <w:position w:val="-12"/>
                <w:sz w:val="24"/>
                <w:szCs w:val="24"/>
                <w:lang w:val="en-US" w:eastAsia="en-US"/>
              </w:rPr>
              <w:object w:dxaOrig="300" w:dyaOrig="360">
                <v:shape id="_x0000_i1040" type="#_x0000_t75" style="width:15.5pt;height:18.3pt" o:ole="">
                  <v:imagedata r:id="rId32" o:title=""/>
                </v:shape>
                <o:OLEObject Type="Embed" ProgID="Equation.DSMT4" ShapeID="_x0000_i1040" DrawAspect="Content" ObjectID="_1680558775" r:id="rId33"/>
              </w:object>
            </w:r>
            <w:r w:rsidRPr="00F158F1">
              <w:rPr>
                <w:sz w:val="24"/>
                <w:szCs w:val="24"/>
                <w:lang w:val="uk-UA"/>
              </w:rPr>
              <w:t xml:space="preserve">, </w:t>
            </w:r>
            <w:r w:rsidRPr="00F158F1">
              <w:rPr>
                <w:rFonts w:eastAsiaTheme="minorHAnsi" w:cstheme="minorBidi"/>
                <w:position w:val="-6"/>
                <w:sz w:val="24"/>
                <w:szCs w:val="24"/>
                <w:lang w:val="uk-UA" w:eastAsia="en-US"/>
              </w:rPr>
              <w:object w:dxaOrig="639" w:dyaOrig="360">
                <v:shape id="_x0000_i1041" type="#_x0000_t75" style="width:32.1pt;height:18.3pt" o:ole="">
                  <v:imagedata r:id="rId30" o:title=""/>
                </v:shape>
                <o:OLEObject Type="Embed" ProgID="Equation.DSMT4" ShapeID="_x0000_i1041" DrawAspect="Content" ObjectID="_1680558776" r:id="rId34"/>
              </w:object>
            </w:r>
          </w:p>
        </w:tc>
        <w:tc>
          <w:tcPr>
            <w:tcW w:w="1560" w:type="dxa"/>
          </w:tcPr>
          <w:p w:rsidR="009E267B" w:rsidRPr="00F158F1" w:rsidRDefault="009E267B" w:rsidP="006B0E92">
            <w:pPr>
              <w:spacing w:before="100" w:beforeAutospacing="1" w:after="100" w:afterAutospacing="1" w:line="360" w:lineRule="auto"/>
              <w:jc w:val="both"/>
              <w:rPr>
                <w:sz w:val="24"/>
                <w:szCs w:val="24"/>
                <w:lang w:val="uk-UA"/>
              </w:rPr>
            </w:pPr>
            <w:r w:rsidRPr="00F158F1">
              <w:rPr>
                <w:rFonts w:eastAsiaTheme="minorHAnsi" w:cstheme="minorBidi"/>
                <w:position w:val="-12"/>
                <w:sz w:val="24"/>
                <w:szCs w:val="24"/>
                <w:lang w:val="en-US" w:eastAsia="en-US"/>
              </w:rPr>
              <w:object w:dxaOrig="260" w:dyaOrig="360">
                <v:shape id="_x0000_i1042" type="#_x0000_t75" style="width:12.75pt;height:18.3pt" o:ole="">
                  <v:imagedata r:id="rId35" o:title=""/>
                </v:shape>
                <o:OLEObject Type="Embed" ProgID="Equation.DSMT4" ShapeID="_x0000_i1042" DrawAspect="Content" ObjectID="_1680558777" r:id="rId36"/>
              </w:object>
            </w:r>
            <w:r w:rsidRPr="00F158F1">
              <w:rPr>
                <w:sz w:val="24"/>
                <w:szCs w:val="24"/>
                <w:lang w:val="uk-UA"/>
              </w:rPr>
              <w:t xml:space="preserve">, </w:t>
            </w:r>
            <w:r w:rsidRPr="00F158F1">
              <w:rPr>
                <w:rFonts w:eastAsiaTheme="minorHAnsi" w:cstheme="minorBidi"/>
                <w:position w:val="-6"/>
                <w:sz w:val="24"/>
                <w:szCs w:val="24"/>
                <w:lang w:val="uk-UA" w:eastAsia="en-US"/>
              </w:rPr>
              <w:object w:dxaOrig="639" w:dyaOrig="360">
                <v:shape id="_x0000_i1043" type="#_x0000_t75" style="width:32.1pt;height:18.3pt" o:ole="">
                  <v:imagedata r:id="rId30" o:title=""/>
                </v:shape>
                <o:OLEObject Type="Embed" ProgID="Equation.DSMT4" ShapeID="_x0000_i1043" DrawAspect="Content" ObjectID="_1680558778" r:id="rId37"/>
              </w:object>
            </w:r>
          </w:p>
        </w:tc>
        <w:tc>
          <w:tcPr>
            <w:tcW w:w="1417" w:type="dxa"/>
          </w:tcPr>
          <w:p w:rsidR="009E267B" w:rsidRPr="00F158F1" w:rsidRDefault="009E267B" w:rsidP="006B0E92">
            <w:pPr>
              <w:spacing w:before="100" w:beforeAutospacing="1" w:after="100" w:afterAutospacing="1" w:line="360" w:lineRule="auto"/>
              <w:jc w:val="both"/>
              <w:rPr>
                <w:sz w:val="24"/>
                <w:szCs w:val="24"/>
                <w:lang w:val="uk-UA"/>
              </w:rPr>
            </w:pPr>
            <w:r w:rsidRPr="00F158F1">
              <w:rPr>
                <w:rFonts w:eastAsiaTheme="minorHAnsi" w:cstheme="minorBidi"/>
                <w:position w:val="-12"/>
                <w:sz w:val="24"/>
                <w:szCs w:val="24"/>
                <w:lang w:val="en-US" w:eastAsia="en-US"/>
              </w:rPr>
              <w:object w:dxaOrig="360" w:dyaOrig="360">
                <v:shape id="_x0000_i1044" type="#_x0000_t75" style="width:18.3pt;height:18.3pt" o:ole="">
                  <v:imagedata r:id="rId38" o:title=""/>
                </v:shape>
                <o:OLEObject Type="Embed" ProgID="Equation.DSMT4" ShapeID="_x0000_i1044" DrawAspect="Content" ObjectID="_1680558779" r:id="rId39"/>
              </w:object>
            </w:r>
            <w:r w:rsidRPr="00F158F1">
              <w:rPr>
                <w:sz w:val="24"/>
                <w:szCs w:val="24"/>
                <w:lang w:val="uk-UA"/>
              </w:rPr>
              <w:t xml:space="preserve">, </w:t>
            </w:r>
            <w:r w:rsidRPr="00F158F1">
              <w:rPr>
                <w:rFonts w:eastAsiaTheme="minorHAnsi" w:cstheme="minorBidi"/>
                <w:position w:val="-6"/>
                <w:sz w:val="24"/>
                <w:szCs w:val="24"/>
                <w:lang w:val="uk-UA" w:eastAsia="en-US"/>
              </w:rPr>
              <w:object w:dxaOrig="639" w:dyaOrig="360">
                <v:shape id="_x0000_i1045" type="#_x0000_t75" style="width:32.1pt;height:18.3pt" o:ole="">
                  <v:imagedata r:id="rId30" o:title=""/>
                </v:shape>
                <o:OLEObject Type="Embed" ProgID="Equation.DSMT4" ShapeID="_x0000_i1045" DrawAspect="Content" ObjectID="_1680558780" r:id="rId40"/>
              </w:object>
            </w:r>
          </w:p>
        </w:tc>
        <w:tc>
          <w:tcPr>
            <w:tcW w:w="1383" w:type="dxa"/>
          </w:tcPr>
          <w:p w:rsidR="009E267B" w:rsidRPr="00F158F1" w:rsidRDefault="009E267B" w:rsidP="006B0E92">
            <w:pPr>
              <w:spacing w:before="100" w:beforeAutospacing="1" w:after="100" w:afterAutospacing="1" w:line="360" w:lineRule="auto"/>
              <w:jc w:val="center"/>
              <w:rPr>
                <w:sz w:val="24"/>
                <w:szCs w:val="24"/>
                <w:lang w:val="en-US"/>
              </w:rPr>
            </w:pPr>
            <w:r w:rsidRPr="00F158F1">
              <w:rPr>
                <w:rFonts w:eastAsiaTheme="minorHAnsi" w:cstheme="minorBidi"/>
                <w:position w:val="-4"/>
                <w:sz w:val="24"/>
                <w:szCs w:val="24"/>
                <w:lang w:val="uk-UA" w:eastAsia="en-US"/>
              </w:rPr>
              <w:object w:dxaOrig="260" w:dyaOrig="260">
                <v:shape id="_x0000_i1046" type="#_x0000_t75" style="width:12.75pt;height:12.75pt" o:ole="">
                  <v:imagedata r:id="rId41" o:title=""/>
                </v:shape>
                <o:OLEObject Type="Embed" ProgID="Equation.DSMT4" ShapeID="_x0000_i1046" DrawAspect="Content" ObjectID="_1680558781" r:id="rId42"/>
              </w:object>
            </w:r>
          </w:p>
        </w:tc>
      </w:tr>
      <w:tr w:rsidR="006B0E92" w:rsidRPr="00F158F1" w:rsidTr="00254EAF">
        <w:tc>
          <w:tcPr>
            <w:tcW w:w="1668"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0</w:t>
            </w:r>
          </w:p>
        </w:tc>
        <w:tc>
          <w:tcPr>
            <w:tcW w:w="1559"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en-US"/>
              </w:rPr>
              <w:t>8</w:t>
            </w:r>
            <w:r w:rsidRPr="00F158F1">
              <w:rPr>
                <w:sz w:val="24"/>
                <w:szCs w:val="24"/>
                <w:lang w:val="uk-UA"/>
              </w:rPr>
              <w:t>,4± 0,7</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w:t>
            </w:r>
          </w:p>
        </w:tc>
        <w:tc>
          <w:tcPr>
            <w:tcW w:w="1560"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21,0 ± 0,9</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w:t>
            </w:r>
          </w:p>
        </w:tc>
        <w:tc>
          <w:tcPr>
            <w:tcW w:w="1383"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w:t>
            </w:r>
          </w:p>
        </w:tc>
      </w:tr>
      <w:tr w:rsidR="006B0E92" w:rsidRPr="00F158F1" w:rsidTr="00254EAF">
        <w:tc>
          <w:tcPr>
            <w:tcW w:w="1668"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w:t>
            </w:r>
          </w:p>
        </w:tc>
        <w:tc>
          <w:tcPr>
            <w:tcW w:w="1559"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en-US"/>
              </w:rPr>
              <w:t>8</w:t>
            </w:r>
            <w:r w:rsidRPr="00F158F1">
              <w:rPr>
                <w:sz w:val="24"/>
                <w:szCs w:val="24"/>
                <w:lang w:val="uk-UA"/>
              </w:rPr>
              <w:t>,4± 0,7</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9,3 ± 0,8</w:t>
            </w:r>
          </w:p>
        </w:tc>
        <w:tc>
          <w:tcPr>
            <w:tcW w:w="1560"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21,0 ± 0,9</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21,3 ± 1,1</w:t>
            </w:r>
          </w:p>
        </w:tc>
        <w:tc>
          <w:tcPr>
            <w:tcW w:w="1383"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1,1</w:t>
            </w:r>
          </w:p>
        </w:tc>
      </w:tr>
      <w:tr w:rsidR="006B0E92" w:rsidRPr="00F158F1" w:rsidTr="00254EAF">
        <w:tc>
          <w:tcPr>
            <w:tcW w:w="1668"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5</w:t>
            </w:r>
          </w:p>
        </w:tc>
        <w:tc>
          <w:tcPr>
            <w:tcW w:w="1559"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en-US"/>
              </w:rPr>
              <w:t>8</w:t>
            </w:r>
            <w:r w:rsidRPr="00F158F1">
              <w:rPr>
                <w:sz w:val="24"/>
                <w:szCs w:val="24"/>
                <w:lang w:val="uk-UA"/>
              </w:rPr>
              <w:t>,4± 0,7</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10,3 ± 1,0</w:t>
            </w:r>
          </w:p>
        </w:tc>
        <w:tc>
          <w:tcPr>
            <w:tcW w:w="1560"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21,0 ± 0,9</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21,0 ± 1,0</w:t>
            </w:r>
          </w:p>
        </w:tc>
        <w:tc>
          <w:tcPr>
            <w:tcW w:w="1383"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1,2</w:t>
            </w:r>
          </w:p>
        </w:tc>
      </w:tr>
      <w:tr w:rsidR="006B0E92" w:rsidRPr="00F158F1" w:rsidTr="00254EAF">
        <w:tc>
          <w:tcPr>
            <w:tcW w:w="1668"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20</w:t>
            </w:r>
          </w:p>
        </w:tc>
        <w:tc>
          <w:tcPr>
            <w:tcW w:w="1559"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en-US"/>
              </w:rPr>
              <w:t>8</w:t>
            </w:r>
            <w:r w:rsidRPr="00F158F1">
              <w:rPr>
                <w:sz w:val="24"/>
                <w:szCs w:val="24"/>
                <w:lang w:val="uk-UA"/>
              </w:rPr>
              <w:t>,4± 0,7</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14,4 ± 1,0</w:t>
            </w:r>
          </w:p>
        </w:tc>
        <w:tc>
          <w:tcPr>
            <w:tcW w:w="1560"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21,0 ± 0,9</w:t>
            </w:r>
          </w:p>
        </w:tc>
        <w:tc>
          <w:tcPr>
            <w:tcW w:w="1417"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17,0± 0,9</w:t>
            </w:r>
          </w:p>
        </w:tc>
        <w:tc>
          <w:tcPr>
            <w:tcW w:w="1383" w:type="dxa"/>
          </w:tcPr>
          <w:p w:rsidR="009E267B" w:rsidRPr="00F158F1" w:rsidRDefault="009E267B" w:rsidP="006B0E92">
            <w:pPr>
              <w:spacing w:before="100" w:beforeAutospacing="1" w:after="100" w:afterAutospacing="1" w:line="360" w:lineRule="auto"/>
              <w:jc w:val="center"/>
              <w:rPr>
                <w:sz w:val="24"/>
                <w:szCs w:val="24"/>
                <w:lang w:val="uk-UA"/>
              </w:rPr>
            </w:pPr>
            <w:r w:rsidRPr="00F158F1">
              <w:rPr>
                <w:sz w:val="24"/>
                <w:szCs w:val="24"/>
                <w:lang w:val="uk-UA"/>
              </w:rPr>
              <w:t>2,2</w:t>
            </w:r>
          </w:p>
        </w:tc>
      </w:tr>
    </w:tbl>
    <w:p w:rsidR="009E267B" w:rsidRPr="006B0E92" w:rsidRDefault="009E267B" w:rsidP="006B0E92">
      <w:pPr>
        <w:shd w:val="clear" w:color="auto" w:fill="FFFFFF"/>
        <w:spacing w:before="100" w:beforeAutospacing="1" w:after="100" w:afterAutospacing="1" w:line="360" w:lineRule="auto"/>
        <w:jc w:val="both"/>
        <w:rPr>
          <w:rFonts w:cs="Times New Roman"/>
          <w:szCs w:val="28"/>
          <w:lang w:val="uk-UA"/>
        </w:rPr>
      </w:pPr>
      <w:r w:rsidRPr="006B0E92">
        <w:rPr>
          <w:rFonts w:cs="Times New Roman"/>
          <w:szCs w:val="28"/>
          <w:lang w:val="uk-UA"/>
        </w:rPr>
        <w:tab/>
        <w:t xml:space="preserve">За результатами обчислення </w:t>
      </w:r>
      <w:r w:rsidR="000555EB">
        <w:rPr>
          <w:rFonts w:cs="Times New Roman"/>
          <w:szCs w:val="28"/>
          <w:lang w:val="uk-UA"/>
        </w:rPr>
        <w:t>індексу</w:t>
      </w:r>
      <w:r w:rsidRPr="006B0E92">
        <w:rPr>
          <w:rFonts w:cs="Times New Roman"/>
          <w:szCs w:val="28"/>
          <w:lang w:val="uk-UA"/>
        </w:rPr>
        <w:t xml:space="preserve"> адаптивної відповіді видно, що в інтервалі адаптуючих доз від 1 сГр до 20 сГр та при подальшому застосуванні дози, що тестувалася, 100 сГр найбільший індекс </w:t>
      </w:r>
      <w:r w:rsidRPr="006B0E92">
        <w:rPr>
          <w:rFonts w:cs="Times New Roman"/>
          <w:i/>
          <w:szCs w:val="28"/>
          <w:lang w:val="uk-UA"/>
        </w:rPr>
        <w:t>К</w:t>
      </w:r>
      <w:r w:rsidRPr="006B0E92">
        <w:rPr>
          <w:rFonts w:cs="Times New Roman"/>
          <w:szCs w:val="28"/>
          <w:lang w:val="uk-UA"/>
        </w:rPr>
        <w:t xml:space="preserve"> для клітин китайського хом’ячка відповідав адаптуючій дозі 20 сГр. В експерименті було зазначено, що збільшення величини адаптуючої дози </w:t>
      </w:r>
      <w:r w:rsidRPr="006B0E92">
        <w:rPr>
          <w:rFonts w:cs="Times New Roman"/>
          <w:position w:val="-12"/>
          <w:szCs w:val="28"/>
          <w:lang w:val="uk-UA"/>
        </w:rPr>
        <w:object w:dxaOrig="360" w:dyaOrig="360">
          <v:shape id="_x0000_i1047" type="#_x0000_t75" style="width:18.3pt;height:18.3pt" o:ole="">
            <v:imagedata r:id="rId27" o:title=""/>
          </v:shape>
          <o:OLEObject Type="Embed" ProgID="Equation.DSMT4" ShapeID="_x0000_i1047" DrawAspect="Content" ObjectID="_1680558782" r:id="rId43"/>
        </w:object>
      </w:r>
      <w:r w:rsidRPr="006B0E92">
        <w:rPr>
          <w:rFonts w:cs="Times New Roman"/>
          <w:szCs w:val="28"/>
          <w:lang w:val="uk-UA"/>
        </w:rPr>
        <w:t xml:space="preserve"> не давало зменшення кількості хромосомних аберацій, а, навпаки, підвищувало радіочутливість клітин, тобто ймовірність утворення аберацій зростала, а, отже, і індекс адаптивної відповіді знижувався до 1. В разі, коли адаптуюча доза не застосовувалась (</w:t>
      </w:r>
      <w:r w:rsidRPr="006B0E92">
        <w:rPr>
          <w:rFonts w:cs="Times New Roman"/>
          <w:position w:val="-12"/>
          <w:szCs w:val="28"/>
          <w:lang w:val="uk-UA"/>
        </w:rPr>
        <w:object w:dxaOrig="720" w:dyaOrig="360">
          <v:shape id="_x0000_i1048" type="#_x0000_t75" style="width:36pt;height:18.3pt" o:ole="">
            <v:imagedata r:id="rId44" o:title=""/>
          </v:shape>
          <o:OLEObject Type="Embed" ProgID="Equation.DSMT4" ShapeID="_x0000_i1048" DrawAspect="Content" ObjectID="_1680558783" r:id="rId45"/>
        </w:object>
      </w:r>
      <w:r w:rsidRPr="006B0E92">
        <w:rPr>
          <w:rFonts w:cs="Times New Roman"/>
          <w:szCs w:val="28"/>
          <w:lang w:val="uk-UA"/>
        </w:rPr>
        <w:t>), індекс також дорівнював одиниці.</w:t>
      </w:r>
    </w:p>
    <w:p w:rsidR="00CD0FD0" w:rsidRPr="006B0E92" w:rsidRDefault="00420630" w:rsidP="006B0E92">
      <w:pPr>
        <w:shd w:val="clear" w:color="auto" w:fill="FFFFFF"/>
        <w:spacing w:before="100" w:beforeAutospacing="1" w:after="100" w:afterAutospacing="1" w:line="360" w:lineRule="auto"/>
        <w:ind w:firstLine="708"/>
        <w:jc w:val="both"/>
        <w:rPr>
          <w:rFonts w:cs="Times New Roman"/>
          <w:szCs w:val="28"/>
          <w:lang w:val="uk-UA"/>
        </w:rPr>
      </w:pPr>
      <w:r>
        <w:rPr>
          <w:rFonts w:cs="Times New Roman"/>
          <w:szCs w:val="28"/>
          <w:lang w:val="uk-UA"/>
        </w:rPr>
        <w:lastRenderedPageBreak/>
        <w:t>Таким чином, п</w:t>
      </w:r>
      <w:r w:rsidR="009E267B" w:rsidRPr="006B0E92">
        <w:rPr>
          <w:rFonts w:cs="Times New Roman"/>
          <w:szCs w:val="28"/>
          <w:lang w:val="uk-UA"/>
        </w:rPr>
        <w:t xml:space="preserve">итання біологічної дії низьких доз іонізуючих випромінювань має багато аспектів, серед яких одним з найважливіших є проблема, пов’язана з екстраполяцією ефектів, які викликають великі дози, на біологічні реакції після опромінення в області низьких доз. </w:t>
      </w:r>
      <w:r>
        <w:rPr>
          <w:rFonts w:cs="Times New Roman"/>
          <w:szCs w:val="28"/>
          <w:lang w:val="uk-UA"/>
        </w:rPr>
        <w:t>У</w:t>
      </w:r>
      <w:r w:rsidR="009E267B" w:rsidRPr="006B0E92">
        <w:rPr>
          <w:rFonts w:cs="Times New Roman"/>
          <w:szCs w:val="28"/>
          <w:lang w:val="uk-UA"/>
        </w:rPr>
        <w:t xml:space="preserve"> теперішній час накопичується все більше експериментальних даних, які свідчать про неправомірність лінійної екстраполяції ефектів високих доз</w:t>
      </w:r>
      <w:r w:rsidR="00A22BC9">
        <w:rPr>
          <w:rFonts w:cs="Times New Roman"/>
          <w:szCs w:val="28"/>
          <w:lang w:val="uk-UA"/>
        </w:rPr>
        <w:t xml:space="preserve"> стресора</w:t>
      </w:r>
      <w:r w:rsidR="009E267B" w:rsidRPr="006B0E92">
        <w:rPr>
          <w:rFonts w:cs="Times New Roman"/>
          <w:szCs w:val="28"/>
          <w:lang w:val="uk-UA"/>
        </w:rPr>
        <w:t xml:space="preserve"> на низькі</w:t>
      </w:r>
      <w:r w:rsidR="00003E77" w:rsidRPr="006B0E92">
        <w:rPr>
          <w:rFonts w:cs="Times New Roman"/>
          <w:szCs w:val="28"/>
          <w:lang w:val="uk-UA"/>
        </w:rPr>
        <w:t xml:space="preserve"> і необхідності врахування наявності горметичних реакцій при розгляді </w:t>
      </w:r>
      <w:proofErr w:type="spellStart"/>
      <w:r w:rsidR="00003E77" w:rsidRPr="006B0E92">
        <w:rPr>
          <w:rFonts w:cs="Times New Roman"/>
          <w:szCs w:val="28"/>
          <w:lang w:val="uk-UA"/>
        </w:rPr>
        <w:t>низькодозових</w:t>
      </w:r>
      <w:proofErr w:type="spellEnd"/>
      <w:r w:rsidR="00003E77" w:rsidRPr="006B0E92">
        <w:rPr>
          <w:rFonts w:cs="Times New Roman"/>
          <w:szCs w:val="28"/>
          <w:lang w:val="uk-UA"/>
        </w:rPr>
        <w:t xml:space="preserve"> навантажень</w:t>
      </w:r>
      <w:r w:rsidR="009E267B" w:rsidRPr="006B0E92">
        <w:rPr>
          <w:rFonts w:cs="Times New Roman"/>
          <w:szCs w:val="28"/>
          <w:lang w:val="uk-UA"/>
        </w:rPr>
        <w:t>.</w:t>
      </w:r>
    </w:p>
    <w:p w:rsidR="006740E2" w:rsidRPr="006B0E92" w:rsidRDefault="004F189E" w:rsidP="006B0E92">
      <w:pPr>
        <w:shd w:val="clear" w:color="auto" w:fill="FFFFFF"/>
        <w:spacing w:before="100" w:beforeAutospacing="1" w:after="100" w:afterAutospacing="1" w:line="360" w:lineRule="auto"/>
        <w:jc w:val="center"/>
        <w:rPr>
          <w:rFonts w:cs="Times New Roman"/>
          <w:b/>
          <w:szCs w:val="28"/>
          <w:shd w:val="clear" w:color="auto" w:fill="FFFFFF" w:themeFill="background1"/>
          <w:lang w:val="uk-UA"/>
        </w:rPr>
      </w:pPr>
      <w:r w:rsidRPr="006B0E92">
        <w:rPr>
          <w:rFonts w:cs="Times New Roman"/>
          <w:b/>
          <w:szCs w:val="28"/>
          <w:shd w:val="clear" w:color="auto" w:fill="FFFFFF" w:themeFill="background1"/>
          <w:lang w:val="uk-UA"/>
        </w:rPr>
        <w:t>Список джерел:</w:t>
      </w:r>
    </w:p>
    <w:p w:rsidR="00A979CC" w:rsidRPr="006B0E92" w:rsidRDefault="00A979CC" w:rsidP="006B0E92">
      <w:pPr>
        <w:pStyle w:val="a4"/>
        <w:shd w:val="clear" w:color="auto" w:fill="FFFFFF"/>
        <w:spacing w:before="0" w:beforeAutospacing="0" w:after="0" w:afterAutospacing="0"/>
        <w:ind w:firstLine="0"/>
        <w:contextualSpacing/>
        <w:jc w:val="both"/>
        <w:rPr>
          <w:rStyle w:val="fontstyle01"/>
          <w:rFonts w:ascii="Times New Roman" w:hAnsi="Times New Roman"/>
          <w:color w:val="auto"/>
          <w:sz w:val="28"/>
          <w:szCs w:val="28"/>
          <w:lang w:val="uk-UA"/>
        </w:rPr>
      </w:pPr>
      <w:r w:rsidRPr="006B0E92">
        <w:rPr>
          <w:rStyle w:val="fontstyle01"/>
          <w:rFonts w:ascii="Times New Roman" w:hAnsi="Times New Roman"/>
          <w:color w:val="auto"/>
          <w:sz w:val="28"/>
          <w:szCs w:val="28"/>
          <w:lang w:val="uk-UA"/>
        </w:rPr>
        <w:t xml:space="preserve">1. Гродзинський Д.М., </w:t>
      </w:r>
      <w:proofErr w:type="spellStart"/>
      <w:r w:rsidRPr="006B0E92">
        <w:rPr>
          <w:rStyle w:val="fontstyle01"/>
          <w:rFonts w:ascii="Times New Roman" w:hAnsi="Times New Roman"/>
          <w:color w:val="auto"/>
          <w:sz w:val="28"/>
          <w:szCs w:val="28"/>
          <w:lang w:val="uk-UA"/>
        </w:rPr>
        <w:t>Шиліна</w:t>
      </w:r>
      <w:proofErr w:type="spellEnd"/>
      <w:r w:rsidRPr="006B0E92">
        <w:rPr>
          <w:rStyle w:val="fontstyle01"/>
          <w:rFonts w:ascii="Times New Roman" w:hAnsi="Times New Roman"/>
          <w:color w:val="auto"/>
          <w:sz w:val="28"/>
          <w:szCs w:val="28"/>
          <w:lang w:val="uk-UA"/>
        </w:rPr>
        <w:t xml:space="preserve"> Ю.В., </w:t>
      </w:r>
      <w:proofErr w:type="spellStart"/>
      <w:r w:rsidRPr="006B0E92">
        <w:rPr>
          <w:rStyle w:val="fontstyle01"/>
          <w:rFonts w:ascii="Times New Roman" w:hAnsi="Times New Roman"/>
          <w:color w:val="auto"/>
          <w:sz w:val="28"/>
          <w:szCs w:val="28"/>
          <w:lang w:val="uk-UA"/>
        </w:rPr>
        <w:t>Міхєєв</w:t>
      </w:r>
      <w:proofErr w:type="spellEnd"/>
      <w:r w:rsidRPr="006B0E92">
        <w:rPr>
          <w:rStyle w:val="fontstyle01"/>
          <w:rFonts w:ascii="Times New Roman" w:hAnsi="Times New Roman"/>
          <w:color w:val="auto"/>
          <w:sz w:val="28"/>
          <w:szCs w:val="28"/>
          <w:lang w:val="uk-UA"/>
        </w:rPr>
        <w:t xml:space="preserve"> О.М., Гуща М.І. Радіаційний гормезис – ретроспектива і сучасність. // Проблеми безпеки атомних електростанцій і Чорнобиля. 2005. </w:t>
      </w:r>
      <w:proofErr w:type="spellStart"/>
      <w:r w:rsidRPr="006B0E92">
        <w:rPr>
          <w:rStyle w:val="fontstyle01"/>
          <w:rFonts w:ascii="Times New Roman" w:hAnsi="Times New Roman"/>
          <w:color w:val="auto"/>
          <w:sz w:val="28"/>
          <w:szCs w:val="28"/>
          <w:lang w:val="uk-UA"/>
        </w:rPr>
        <w:t>Вип</w:t>
      </w:r>
      <w:proofErr w:type="spellEnd"/>
      <w:r w:rsidRPr="006B0E92">
        <w:rPr>
          <w:rStyle w:val="fontstyle01"/>
          <w:rFonts w:ascii="Times New Roman" w:hAnsi="Times New Roman"/>
          <w:color w:val="auto"/>
          <w:sz w:val="28"/>
          <w:szCs w:val="28"/>
          <w:lang w:val="uk-UA"/>
        </w:rPr>
        <w:t>. 3. Ч.2. С. 17-28.</w:t>
      </w:r>
    </w:p>
    <w:p w:rsidR="004F189E" w:rsidRPr="006B0E92" w:rsidRDefault="00A979CC" w:rsidP="006B0E92">
      <w:pPr>
        <w:shd w:val="clear" w:color="auto" w:fill="FFFFFF"/>
        <w:spacing w:before="100" w:beforeAutospacing="1" w:after="100" w:afterAutospacing="1" w:line="360" w:lineRule="auto"/>
        <w:jc w:val="both"/>
        <w:rPr>
          <w:rFonts w:cs="Times New Roman"/>
          <w:szCs w:val="28"/>
          <w:lang w:val="en-US"/>
        </w:rPr>
      </w:pPr>
      <w:r w:rsidRPr="006B0E92">
        <w:rPr>
          <w:rFonts w:cs="Times New Roman"/>
          <w:szCs w:val="28"/>
          <w:lang w:val="en-US"/>
        </w:rPr>
        <w:t xml:space="preserve">2. Moffett J.R. </w:t>
      </w:r>
      <w:hyperlink r:id="rId46" w:history="1">
        <w:r w:rsidRPr="006B0E92">
          <w:rPr>
            <w:rFonts w:cs="Times New Roman"/>
            <w:szCs w:val="28"/>
            <w:lang w:val="en-US"/>
          </w:rPr>
          <w:t>Miasmas, germs, homeopathy and hormesis: commentary on the relationship between homeopathy and hormesis.</w:t>
        </w:r>
      </w:hyperlink>
      <w:r w:rsidRPr="006B0E92">
        <w:rPr>
          <w:rFonts w:cs="Times New Roman"/>
          <w:szCs w:val="28"/>
          <w:lang w:val="en-US"/>
        </w:rPr>
        <w:t xml:space="preserve"> // Hum. Exp. </w:t>
      </w:r>
      <w:proofErr w:type="spellStart"/>
      <w:r w:rsidRPr="006B0E92">
        <w:rPr>
          <w:rFonts w:cs="Times New Roman"/>
          <w:szCs w:val="28"/>
          <w:lang w:val="en-US"/>
        </w:rPr>
        <w:t>Toxicol</w:t>
      </w:r>
      <w:proofErr w:type="spellEnd"/>
      <w:r w:rsidRPr="006B0E92">
        <w:rPr>
          <w:rFonts w:cs="Times New Roman"/>
          <w:szCs w:val="28"/>
          <w:lang w:val="en-US"/>
        </w:rPr>
        <w:t xml:space="preserve">. </w:t>
      </w:r>
      <w:proofErr w:type="gramStart"/>
      <w:r w:rsidRPr="006B0E92">
        <w:rPr>
          <w:rFonts w:cs="Times New Roman"/>
          <w:szCs w:val="28"/>
          <w:lang w:val="en-US"/>
        </w:rPr>
        <w:t>2010</w:t>
      </w:r>
      <w:proofErr w:type="gramEnd"/>
      <w:r w:rsidRPr="006B0E92">
        <w:rPr>
          <w:rFonts w:cs="Times New Roman"/>
          <w:szCs w:val="28"/>
          <w:lang w:val="en-US"/>
        </w:rPr>
        <w:t xml:space="preserve">; 29(7): 539-43. </w:t>
      </w:r>
      <w:proofErr w:type="spellStart"/>
      <w:proofErr w:type="gramStart"/>
      <w:r w:rsidRPr="006B0E92">
        <w:rPr>
          <w:rFonts w:cs="Times New Roman"/>
          <w:szCs w:val="28"/>
          <w:lang w:val="en-US"/>
        </w:rPr>
        <w:t>doi</w:t>
      </w:r>
      <w:proofErr w:type="spellEnd"/>
      <w:proofErr w:type="gramEnd"/>
      <w:r w:rsidRPr="006B0E92">
        <w:rPr>
          <w:rFonts w:cs="Times New Roman"/>
          <w:szCs w:val="28"/>
          <w:lang w:val="en-US"/>
        </w:rPr>
        <w:t>: 10.1177/0960327110369855.</w:t>
      </w:r>
    </w:p>
    <w:p w:rsidR="00A979CC" w:rsidRPr="006B0E92" w:rsidRDefault="00A979CC" w:rsidP="006B0E92">
      <w:pPr>
        <w:shd w:val="clear" w:color="auto" w:fill="FFFFFF"/>
        <w:spacing w:before="100" w:beforeAutospacing="1" w:after="100" w:afterAutospacing="1" w:line="360" w:lineRule="auto"/>
        <w:jc w:val="both"/>
        <w:rPr>
          <w:rFonts w:cs="Times New Roman"/>
          <w:szCs w:val="28"/>
          <w:lang w:val="en-US"/>
        </w:rPr>
      </w:pPr>
      <w:r w:rsidRPr="006B0E92">
        <w:rPr>
          <w:rFonts w:cs="Times New Roman"/>
          <w:szCs w:val="28"/>
          <w:shd w:val="clear" w:color="auto" w:fill="FFFFFF" w:themeFill="background1"/>
          <w:lang w:val="en-US"/>
        </w:rPr>
        <w:t xml:space="preserve">3. </w:t>
      </w:r>
      <w:r w:rsidRPr="006B0E92">
        <w:rPr>
          <w:rFonts w:cs="Times New Roman"/>
          <w:szCs w:val="28"/>
          <w:lang w:val="en-US"/>
        </w:rPr>
        <w:t xml:space="preserve">Tang S, Liang J, Xiang C, Xiao Y, Wang X, Wu J, Li G, </w:t>
      </w:r>
      <w:proofErr w:type="spellStart"/>
      <w:r w:rsidRPr="006B0E92">
        <w:rPr>
          <w:rFonts w:cs="Times New Roman"/>
          <w:szCs w:val="28"/>
          <w:lang w:val="en-US"/>
        </w:rPr>
        <w:t>Cheke</w:t>
      </w:r>
      <w:proofErr w:type="spellEnd"/>
      <w:r w:rsidRPr="006B0E92">
        <w:rPr>
          <w:rFonts w:cs="Times New Roman"/>
          <w:szCs w:val="28"/>
          <w:lang w:val="en-US"/>
        </w:rPr>
        <w:t xml:space="preserve"> RA. </w:t>
      </w:r>
      <w:r w:rsidRPr="006B0E92">
        <w:rPr>
          <w:rFonts w:cs="Times New Roman"/>
          <w:bCs/>
          <w:kern w:val="36"/>
          <w:szCs w:val="28"/>
          <w:lang w:val="en-US"/>
        </w:rPr>
        <w:t>A general model of hormesis in biological systems and its application to pest management</w:t>
      </w:r>
      <w:r w:rsidRPr="006B0E92">
        <w:rPr>
          <w:rFonts w:cs="Times New Roman"/>
          <w:bCs/>
          <w:kern w:val="36"/>
          <w:szCs w:val="28"/>
          <w:lang w:val="uk-UA"/>
        </w:rPr>
        <w:t xml:space="preserve">. </w:t>
      </w:r>
      <w:r w:rsidRPr="006B0E92">
        <w:rPr>
          <w:rFonts w:cs="Times New Roman"/>
          <w:bCs/>
          <w:kern w:val="36"/>
          <w:szCs w:val="28"/>
          <w:lang w:val="en-US"/>
        </w:rPr>
        <w:t xml:space="preserve">// </w:t>
      </w:r>
      <w:r w:rsidRPr="006B0E92">
        <w:rPr>
          <w:rFonts w:cs="Times New Roman"/>
          <w:szCs w:val="28"/>
          <w:lang w:val="en-US"/>
        </w:rPr>
        <w:t>J. R. Soc. Interface. 2019</w:t>
      </w:r>
      <w:proofErr w:type="gramStart"/>
      <w:r w:rsidRPr="006B0E92">
        <w:rPr>
          <w:rFonts w:cs="Times New Roman"/>
          <w:szCs w:val="28"/>
          <w:lang w:val="en-US"/>
        </w:rPr>
        <w:t>;16</w:t>
      </w:r>
      <w:proofErr w:type="gramEnd"/>
      <w:r w:rsidRPr="006B0E92">
        <w:rPr>
          <w:rFonts w:cs="Times New Roman"/>
          <w:szCs w:val="28"/>
          <w:lang w:val="en-US"/>
        </w:rPr>
        <w:t xml:space="preserve">(157):20190468. </w:t>
      </w:r>
      <w:proofErr w:type="spellStart"/>
      <w:proofErr w:type="gramStart"/>
      <w:r w:rsidRPr="006B0E92">
        <w:rPr>
          <w:rFonts w:cs="Times New Roman"/>
          <w:szCs w:val="28"/>
          <w:lang w:val="en-US"/>
        </w:rPr>
        <w:t>doi</w:t>
      </w:r>
      <w:proofErr w:type="spellEnd"/>
      <w:proofErr w:type="gramEnd"/>
      <w:r w:rsidRPr="006B0E92">
        <w:rPr>
          <w:rFonts w:cs="Times New Roman"/>
          <w:szCs w:val="28"/>
          <w:lang w:val="en-US"/>
        </w:rPr>
        <w:t xml:space="preserve">: 10.1098/rsif.2019.0468. </w:t>
      </w:r>
    </w:p>
    <w:p w:rsidR="00A979CC" w:rsidRPr="006B0E92" w:rsidRDefault="00A979CC" w:rsidP="006B0E92">
      <w:pPr>
        <w:shd w:val="clear" w:color="auto" w:fill="FFFFFF"/>
        <w:spacing w:before="100" w:beforeAutospacing="1" w:after="100" w:afterAutospacing="1" w:line="360" w:lineRule="auto"/>
        <w:jc w:val="both"/>
        <w:rPr>
          <w:rFonts w:cs="Times New Roman"/>
          <w:szCs w:val="28"/>
        </w:rPr>
      </w:pPr>
      <w:r w:rsidRPr="006B0E92">
        <w:rPr>
          <w:rFonts w:cs="Times New Roman"/>
          <w:szCs w:val="28"/>
          <w:lang w:val="en-US"/>
        </w:rPr>
        <w:t xml:space="preserve">4. </w:t>
      </w:r>
      <w:r w:rsidR="008A3D33" w:rsidRPr="006B0E92">
        <w:rPr>
          <w:rFonts w:cs="Times New Roman"/>
          <w:iCs/>
          <w:szCs w:val="28"/>
        </w:rPr>
        <w:t>С</w:t>
      </w:r>
      <w:proofErr w:type="spellStart"/>
      <w:r w:rsidR="008A3D33" w:rsidRPr="006B0E92">
        <w:rPr>
          <w:rFonts w:cs="Times New Roman"/>
          <w:iCs/>
          <w:szCs w:val="28"/>
          <w:lang w:val="en-US"/>
        </w:rPr>
        <w:t>alabrese</w:t>
      </w:r>
      <w:proofErr w:type="spellEnd"/>
      <w:r w:rsidR="008A3D33" w:rsidRPr="006B0E92">
        <w:rPr>
          <w:rFonts w:cs="Times New Roman"/>
          <w:iCs/>
          <w:szCs w:val="28"/>
          <w:lang w:val="en-US"/>
        </w:rPr>
        <w:t xml:space="preserve"> E.J., Baldwin L.A. </w:t>
      </w:r>
      <w:r w:rsidR="008A3D33" w:rsidRPr="006B0E92">
        <w:rPr>
          <w:rFonts w:cs="Times New Roman"/>
          <w:szCs w:val="28"/>
          <w:lang w:val="en-US"/>
        </w:rPr>
        <w:t>Radiation hormesis: its historical foundations as a biological hypothesis</w:t>
      </w:r>
      <w:r w:rsidR="008A3D33" w:rsidRPr="006B0E92">
        <w:rPr>
          <w:rFonts w:cs="Times New Roman"/>
          <w:szCs w:val="28"/>
          <w:lang w:val="uk-UA"/>
        </w:rPr>
        <w:t xml:space="preserve"> </w:t>
      </w:r>
      <w:r w:rsidR="008A3D33" w:rsidRPr="006B0E92">
        <w:rPr>
          <w:rFonts w:cs="Times New Roman"/>
          <w:szCs w:val="28"/>
          <w:lang w:val="en-US"/>
        </w:rPr>
        <w:t xml:space="preserve">// Hum. Exp. </w:t>
      </w:r>
      <w:proofErr w:type="spellStart"/>
      <w:r w:rsidR="008A3D33" w:rsidRPr="006B0E92">
        <w:rPr>
          <w:rFonts w:cs="Times New Roman"/>
          <w:szCs w:val="28"/>
          <w:lang w:val="en-US"/>
        </w:rPr>
        <w:t>Toxicol</w:t>
      </w:r>
      <w:proofErr w:type="spellEnd"/>
      <w:r w:rsidR="006B0E92" w:rsidRPr="006B0E92">
        <w:rPr>
          <w:rFonts w:cs="Times New Roman"/>
          <w:szCs w:val="28"/>
        </w:rPr>
        <w:t xml:space="preserve">. </w:t>
      </w:r>
      <w:r w:rsidR="008A3D33" w:rsidRPr="006B0E92">
        <w:rPr>
          <w:rFonts w:cs="Times New Roman"/>
          <w:szCs w:val="28"/>
        </w:rPr>
        <w:t xml:space="preserve">2000. </w:t>
      </w:r>
      <w:r w:rsidR="008A3D33" w:rsidRPr="006B0E92">
        <w:rPr>
          <w:rFonts w:cs="Times New Roman"/>
          <w:szCs w:val="28"/>
          <w:lang w:val="en-US"/>
        </w:rPr>
        <w:t>Vol</w:t>
      </w:r>
      <w:r w:rsidR="008A3D33" w:rsidRPr="006B0E92">
        <w:rPr>
          <w:rFonts w:cs="Times New Roman"/>
          <w:szCs w:val="28"/>
        </w:rPr>
        <w:t xml:space="preserve">. 19, </w:t>
      </w:r>
      <w:r w:rsidR="008A3D33" w:rsidRPr="006B0E92">
        <w:rPr>
          <w:rFonts w:cs="Times New Roman"/>
          <w:szCs w:val="28"/>
          <w:lang w:val="en-US"/>
        </w:rPr>
        <w:t>No</w:t>
      </w:r>
      <w:r w:rsidR="008A3D33" w:rsidRPr="006B0E92">
        <w:rPr>
          <w:rFonts w:cs="Times New Roman"/>
          <w:szCs w:val="28"/>
        </w:rPr>
        <w:t xml:space="preserve"> 1. </w:t>
      </w:r>
      <w:r w:rsidR="008A3D33" w:rsidRPr="006B0E92">
        <w:rPr>
          <w:rFonts w:cs="Times New Roman"/>
          <w:szCs w:val="28"/>
          <w:lang w:val="en-US"/>
        </w:rPr>
        <w:t>P</w:t>
      </w:r>
      <w:r w:rsidR="006B0E92" w:rsidRPr="006B0E92">
        <w:rPr>
          <w:rFonts w:cs="Times New Roman"/>
          <w:szCs w:val="28"/>
        </w:rPr>
        <w:t>.</w:t>
      </w:r>
      <w:r w:rsidR="008A3D33" w:rsidRPr="006B0E92">
        <w:rPr>
          <w:rFonts w:cs="Times New Roman"/>
          <w:szCs w:val="28"/>
        </w:rPr>
        <w:t>41</w:t>
      </w:r>
      <w:r w:rsidR="006B0E92" w:rsidRPr="006B0E92">
        <w:rPr>
          <w:rFonts w:cs="Times New Roman"/>
          <w:szCs w:val="28"/>
        </w:rPr>
        <w:t>-</w:t>
      </w:r>
      <w:r w:rsidR="008A3D33" w:rsidRPr="006B0E92">
        <w:rPr>
          <w:rFonts w:cs="Times New Roman"/>
          <w:szCs w:val="28"/>
        </w:rPr>
        <w:t>75.</w:t>
      </w:r>
    </w:p>
    <w:p w:rsidR="008A3D33" w:rsidRPr="006B0E92" w:rsidRDefault="008A3D33" w:rsidP="006B0E92">
      <w:pPr>
        <w:shd w:val="clear" w:color="auto" w:fill="FFFFFF"/>
        <w:spacing w:before="100" w:beforeAutospacing="1" w:after="100" w:afterAutospacing="1" w:line="360" w:lineRule="auto"/>
        <w:jc w:val="both"/>
        <w:rPr>
          <w:rFonts w:cs="Times New Roman"/>
          <w:szCs w:val="28"/>
        </w:rPr>
      </w:pPr>
      <w:r w:rsidRPr="006B0E92">
        <w:rPr>
          <w:rFonts w:cs="Times New Roman"/>
          <w:szCs w:val="28"/>
        </w:rPr>
        <w:t xml:space="preserve">5. </w:t>
      </w:r>
      <w:r w:rsidRPr="006B0E92">
        <w:rPr>
          <w:rFonts w:cs="Times New Roman"/>
          <w:iCs/>
          <w:szCs w:val="28"/>
        </w:rPr>
        <w:t xml:space="preserve">Петин В.Г., Морозов И.И., </w:t>
      </w:r>
      <w:proofErr w:type="spellStart"/>
      <w:r w:rsidRPr="006B0E92">
        <w:rPr>
          <w:rFonts w:cs="Times New Roman"/>
          <w:iCs/>
          <w:szCs w:val="28"/>
        </w:rPr>
        <w:t>Кабакова</w:t>
      </w:r>
      <w:proofErr w:type="spellEnd"/>
      <w:r w:rsidRPr="006B0E92">
        <w:rPr>
          <w:rFonts w:cs="Times New Roman"/>
          <w:iCs/>
          <w:szCs w:val="28"/>
        </w:rPr>
        <w:t xml:space="preserve"> Н.М., Горшкова Т.А</w:t>
      </w:r>
      <w:r w:rsidRPr="006B0E92">
        <w:rPr>
          <w:rFonts w:cs="Times New Roman"/>
          <w:szCs w:val="28"/>
        </w:rPr>
        <w:t>. Некоторые эффекты радиационного</w:t>
      </w:r>
      <w:r w:rsidRPr="006B0E92">
        <w:rPr>
          <w:rFonts w:cs="Times New Roman"/>
          <w:szCs w:val="28"/>
          <w:lang w:val="uk-UA"/>
        </w:rPr>
        <w:t xml:space="preserve"> </w:t>
      </w:r>
      <w:r w:rsidRPr="006B0E92">
        <w:rPr>
          <w:rFonts w:cs="Times New Roman"/>
          <w:szCs w:val="28"/>
        </w:rPr>
        <w:t>гормезиса бактериальных и дрожжевых клеток // Ра</w:t>
      </w:r>
      <w:r w:rsidR="006B0E92">
        <w:rPr>
          <w:rFonts w:cs="Times New Roman"/>
          <w:szCs w:val="28"/>
        </w:rPr>
        <w:t>диационная</w:t>
      </w:r>
      <w:r w:rsidR="006B0E92" w:rsidRPr="006B0E92">
        <w:rPr>
          <w:rFonts w:cs="Times New Roman"/>
          <w:szCs w:val="28"/>
        </w:rPr>
        <w:t xml:space="preserve"> биология. Радиоэкология. 2003. </w:t>
      </w:r>
      <w:r w:rsidRPr="006B0E92">
        <w:rPr>
          <w:rFonts w:cs="Times New Roman"/>
          <w:szCs w:val="28"/>
        </w:rPr>
        <w:t>Т. 43, № 2.</w:t>
      </w:r>
      <w:r w:rsidR="006B0E92" w:rsidRPr="006B0E92">
        <w:rPr>
          <w:rFonts w:cs="Times New Roman"/>
          <w:szCs w:val="28"/>
        </w:rPr>
        <w:t xml:space="preserve"> С.176-</w:t>
      </w:r>
      <w:r w:rsidRPr="006B0E92">
        <w:rPr>
          <w:rFonts w:cs="Times New Roman"/>
          <w:szCs w:val="28"/>
        </w:rPr>
        <w:t>178.</w:t>
      </w:r>
    </w:p>
    <w:p w:rsidR="008A3D33" w:rsidRPr="006B0E92" w:rsidRDefault="008A3D33" w:rsidP="006B0E92">
      <w:pPr>
        <w:shd w:val="clear" w:color="auto" w:fill="FFFFFF"/>
        <w:spacing w:before="100" w:beforeAutospacing="1" w:after="100" w:afterAutospacing="1" w:line="360" w:lineRule="auto"/>
        <w:jc w:val="both"/>
        <w:rPr>
          <w:rFonts w:cs="Times New Roman"/>
          <w:szCs w:val="28"/>
          <w:lang w:val="en-US"/>
        </w:rPr>
      </w:pPr>
      <w:r w:rsidRPr="006B0E92">
        <w:rPr>
          <w:rFonts w:cs="Times New Roman"/>
          <w:szCs w:val="28"/>
        </w:rPr>
        <w:t xml:space="preserve">6. </w:t>
      </w:r>
      <w:proofErr w:type="spellStart"/>
      <w:r w:rsidR="00D03613" w:rsidRPr="006B0E92">
        <w:rPr>
          <w:rFonts w:cs="Times New Roman"/>
          <w:iCs/>
          <w:szCs w:val="28"/>
        </w:rPr>
        <w:t>Эйдус</w:t>
      </w:r>
      <w:proofErr w:type="spellEnd"/>
      <w:r w:rsidR="00D03613" w:rsidRPr="006B0E92">
        <w:rPr>
          <w:rFonts w:cs="Times New Roman"/>
          <w:iCs/>
          <w:szCs w:val="28"/>
        </w:rPr>
        <w:t xml:space="preserve"> Л.Х., </w:t>
      </w:r>
      <w:proofErr w:type="spellStart"/>
      <w:r w:rsidR="00D03613" w:rsidRPr="006B0E92">
        <w:rPr>
          <w:rFonts w:cs="Times New Roman"/>
          <w:iCs/>
          <w:szCs w:val="28"/>
        </w:rPr>
        <w:t>Эйдус</w:t>
      </w:r>
      <w:proofErr w:type="spellEnd"/>
      <w:r w:rsidR="00D03613" w:rsidRPr="006B0E92">
        <w:rPr>
          <w:rFonts w:cs="Times New Roman"/>
          <w:iCs/>
          <w:szCs w:val="28"/>
        </w:rPr>
        <w:t xml:space="preserve"> В.Л</w:t>
      </w:r>
      <w:r w:rsidR="00D03613" w:rsidRPr="006B0E92">
        <w:rPr>
          <w:rFonts w:cs="Times New Roman"/>
          <w:szCs w:val="28"/>
        </w:rPr>
        <w:t>. Проблемы механизма ра</w:t>
      </w:r>
      <w:r w:rsidR="006B0E92">
        <w:rPr>
          <w:rFonts w:cs="Times New Roman"/>
          <w:szCs w:val="28"/>
        </w:rPr>
        <w:t>диационного гормезиса // Радиационная</w:t>
      </w:r>
      <w:r w:rsidR="00D03613" w:rsidRPr="006B0E92">
        <w:rPr>
          <w:rFonts w:cs="Times New Roman"/>
          <w:szCs w:val="28"/>
        </w:rPr>
        <w:t xml:space="preserve"> биология.</w:t>
      </w:r>
      <w:r w:rsidR="00D03613" w:rsidRPr="006B0E92">
        <w:rPr>
          <w:rFonts w:cs="Times New Roman"/>
          <w:szCs w:val="28"/>
          <w:lang w:val="uk-UA"/>
        </w:rPr>
        <w:t xml:space="preserve"> </w:t>
      </w:r>
      <w:r w:rsidR="00D03613" w:rsidRPr="006B0E92">
        <w:rPr>
          <w:rFonts w:cs="Times New Roman"/>
          <w:szCs w:val="28"/>
        </w:rPr>
        <w:t>Радиоэкология</w:t>
      </w:r>
      <w:r w:rsidR="00D03613" w:rsidRPr="006B0E92">
        <w:rPr>
          <w:rFonts w:cs="Times New Roman"/>
          <w:szCs w:val="28"/>
          <w:lang w:val="en-US"/>
        </w:rPr>
        <w:t>.</w:t>
      </w:r>
      <w:r w:rsidR="006B0E92" w:rsidRPr="006B0E92">
        <w:rPr>
          <w:rFonts w:cs="Times New Roman"/>
          <w:szCs w:val="28"/>
          <w:lang w:val="en-US"/>
        </w:rPr>
        <w:t xml:space="preserve"> 2001. </w:t>
      </w:r>
      <w:r w:rsidR="006B0E92" w:rsidRPr="006B0E92">
        <w:rPr>
          <w:rFonts w:cs="Times New Roman"/>
          <w:szCs w:val="28"/>
        </w:rPr>
        <w:t>Т</w:t>
      </w:r>
      <w:r w:rsidR="006B0E92" w:rsidRPr="006B0E92">
        <w:rPr>
          <w:rFonts w:cs="Times New Roman"/>
          <w:szCs w:val="28"/>
          <w:lang w:val="en-US"/>
        </w:rPr>
        <w:t xml:space="preserve">. 41, № 5. </w:t>
      </w:r>
      <w:r w:rsidR="006B0E92" w:rsidRPr="006B0E92">
        <w:rPr>
          <w:rFonts w:cs="Times New Roman"/>
          <w:szCs w:val="28"/>
        </w:rPr>
        <w:t>С</w:t>
      </w:r>
      <w:r w:rsidR="006B0E92" w:rsidRPr="006B0E92">
        <w:rPr>
          <w:rFonts w:cs="Times New Roman"/>
          <w:szCs w:val="28"/>
          <w:lang w:val="en-US"/>
        </w:rPr>
        <w:t>.627-</w:t>
      </w:r>
      <w:r w:rsidR="00D03613" w:rsidRPr="006B0E92">
        <w:rPr>
          <w:rFonts w:cs="Times New Roman"/>
          <w:szCs w:val="28"/>
          <w:lang w:val="en-US"/>
        </w:rPr>
        <w:t>630.</w:t>
      </w:r>
    </w:p>
    <w:p w:rsidR="00D03613" w:rsidRPr="006B0E92" w:rsidRDefault="00D03613" w:rsidP="006B0E92">
      <w:pPr>
        <w:spacing w:before="100" w:beforeAutospacing="1" w:after="100" w:afterAutospacing="1" w:line="360" w:lineRule="auto"/>
        <w:jc w:val="both"/>
        <w:outlineLvl w:val="0"/>
        <w:rPr>
          <w:rFonts w:cs="Times New Roman"/>
          <w:szCs w:val="28"/>
          <w:lang w:val="uk-UA"/>
        </w:rPr>
      </w:pPr>
      <w:r w:rsidRPr="006B0E92">
        <w:rPr>
          <w:rFonts w:cs="Times New Roman"/>
          <w:szCs w:val="28"/>
          <w:lang w:val="en-US"/>
        </w:rPr>
        <w:lastRenderedPageBreak/>
        <w:t xml:space="preserve">7. </w:t>
      </w:r>
      <w:hyperlink r:id="rId47" w:history="1">
        <w:r w:rsidRPr="006B0E92">
          <w:rPr>
            <w:rFonts w:cs="Times New Roman"/>
            <w:szCs w:val="28"/>
            <w:shd w:val="clear" w:color="auto" w:fill="FFFFFF"/>
            <w:lang w:val="en-US"/>
          </w:rPr>
          <w:t xml:space="preserve">Eric L. </w:t>
        </w:r>
        <w:proofErr w:type="spellStart"/>
        <w:r w:rsidRPr="006B0E92">
          <w:rPr>
            <w:rFonts w:cs="Times New Roman"/>
            <w:szCs w:val="28"/>
            <w:shd w:val="clear" w:color="auto" w:fill="FFFFFF"/>
            <w:lang w:val="en-US"/>
          </w:rPr>
          <w:t>Kendig</w:t>
        </w:r>
        <w:proofErr w:type="spellEnd"/>
      </w:hyperlink>
      <w:r w:rsidRPr="006B0E92">
        <w:rPr>
          <w:rFonts w:cs="Times New Roman"/>
          <w:szCs w:val="28"/>
          <w:shd w:val="clear" w:color="auto" w:fill="FFFFFF"/>
          <w:lang w:val="en-US"/>
        </w:rPr>
        <w:t xml:space="preserve">, </w:t>
      </w:r>
      <w:hyperlink r:id="rId48" w:history="1">
        <w:proofErr w:type="spellStart"/>
        <w:r w:rsidRPr="006B0E92">
          <w:rPr>
            <w:rFonts w:cs="Times New Roman"/>
            <w:szCs w:val="28"/>
            <w:shd w:val="clear" w:color="auto" w:fill="FFFFFF"/>
            <w:lang w:val="en-US"/>
          </w:rPr>
          <w:t>Hoa</w:t>
        </w:r>
        <w:proofErr w:type="spellEnd"/>
        <w:r w:rsidRPr="006B0E92">
          <w:rPr>
            <w:rFonts w:cs="Times New Roman"/>
            <w:szCs w:val="28"/>
            <w:shd w:val="clear" w:color="auto" w:fill="FFFFFF"/>
            <w:lang w:val="en-US"/>
          </w:rPr>
          <w:t xml:space="preserve"> H. Le</w:t>
        </w:r>
      </w:hyperlink>
      <w:r w:rsidRPr="006B0E92">
        <w:rPr>
          <w:rFonts w:cs="Times New Roman"/>
          <w:szCs w:val="28"/>
          <w:shd w:val="clear" w:color="auto" w:fill="FFFFFF"/>
          <w:lang w:val="en-US"/>
        </w:rPr>
        <w:t xml:space="preserve">, </w:t>
      </w:r>
      <w:hyperlink r:id="rId49" w:history="1">
        <w:r w:rsidRPr="006B0E92">
          <w:rPr>
            <w:rFonts w:cs="Times New Roman"/>
            <w:szCs w:val="28"/>
            <w:shd w:val="clear" w:color="auto" w:fill="FFFFFF"/>
            <w:lang w:val="en-US"/>
          </w:rPr>
          <w:t>Scott M. Belcher</w:t>
        </w:r>
      </w:hyperlink>
      <w:r w:rsidRPr="006B0E92">
        <w:rPr>
          <w:rFonts w:cs="Times New Roman"/>
          <w:szCs w:val="28"/>
          <w:shd w:val="clear" w:color="auto" w:fill="FFFFFF"/>
          <w:lang w:val="en-US"/>
        </w:rPr>
        <w:t xml:space="preserve">. </w:t>
      </w:r>
      <w:r w:rsidRPr="006B0E92">
        <w:rPr>
          <w:rFonts w:cs="Times New Roman"/>
          <w:bCs/>
          <w:kern w:val="36"/>
          <w:szCs w:val="28"/>
          <w:lang w:val="en-US"/>
        </w:rPr>
        <w:t xml:space="preserve">Defining hormesis: evaluation of a </w:t>
      </w:r>
      <w:proofErr w:type="gramStart"/>
      <w:r w:rsidRPr="006B0E92">
        <w:rPr>
          <w:rFonts w:cs="Times New Roman"/>
          <w:bCs/>
          <w:kern w:val="36"/>
          <w:szCs w:val="28"/>
          <w:lang w:val="en-US"/>
        </w:rPr>
        <w:t>complex concentration response phenomenon</w:t>
      </w:r>
      <w:proofErr w:type="gramEnd"/>
      <w:r w:rsidRPr="006B0E92">
        <w:rPr>
          <w:rFonts w:cs="Times New Roman"/>
          <w:bCs/>
          <w:kern w:val="36"/>
          <w:szCs w:val="28"/>
          <w:lang w:val="en-US"/>
        </w:rPr>
        <w:t xml:space="preserve">. // </w:t>
      </w:r>
      <w:r w:rsidRPr="006B0E92">
        <w:rPr>
          <w:rFonts w:cs="Times New Roman"/>
          <w:szCs w:val="28"/>
          <w:lang w:val="en-US"/>
        </w:rPr>
        <w:t xml:space="preserve">Int. J. </w:t>
      </w:r>
      <w:proofErr w:type="spellStart"/>
      <w:r w:rsidRPr="006B0E92">
        <w:rPr>
          <w:rFonts w:cs="Times New Roman"/>
          <w:szCs w:val="28"/>
          <w:lang w:val="en-US"/>
        </w:rPr>
        <w:t>Toxicol</w:t>
      </w:r>
      <w:proofErr w:type="spellEnd"/>
      <w:r w:rsidRPr="006B0E92">
        <w:rPr>
          <w:rFonts w:cs="Times New Roman"/>
          <w:szCs w:val="28"/>
          <w:lang w:val="en-US"/>
        </w:rPr>
        <w:t xml:space="preserve">. </w:t>
      </w:r>
      <w:r w:rsidRPr="006B0E92">
        <w:rPr>
          <w:rFonts w:cs="Times New Roman"/>
          <w:szCs w:val="28"/>
        </w:rPr>
        <w:t>2010;29(3):235-</w:t>
      </w:r>
      <w:r w:rsidRPr="006B0E92">
        <w:rPr>
          <w:rFonts w:cs="Times New Roman"/>
          <w:szCs w:val="28"/>
          <w:lang w:val="uk-UA"/>
        </w:rPr>
        <w:t>2</w:t>
      </w:r>
      <w:r w:rsidRPr="006B0E92">
        <w:rPr>
          <w:rFonts w:cs="Times New Roman"/>
          <w:szCs w:val="28"/>
        </w:rPr>
        <w:t xml:space="preserve">46. </w:t>
      </w:r>
      <w:r w:rsidRPr="006B0E92">
        <w:rPr>
          <w:rFonts w:cs="Times New Roman"/>
          <w:szCs w:val="28"/>
          <w:lang w:val="en-US"/>
        </w:rPr>
        <w:t> </w:t>
      </w:r>
      <w:proofErr w:type="spellStart"/>
      <w:proofErr w:type="gramStart"/>
      <w:r w:rsidRPr="006B0E92">
        <w:rPr>
          <w:rFonts w:cs="Times New Roman"/>
          <w:szCs w:val="28"/>
          <w:lang w:val="en-US"/>
        </w:rPr>
        <w:t>doi</w:t>
      </w:r>
      <w:proofErr w:type="spellEnd"/>
      <w:proofErr w:type="gramEnd"/>
      <w:r w:rsidRPr="006B0E92">
        <w:rPr>
          <w:rFonts w:cs="Times New Roman"/>
          <w:szCs w:val="28"/>
        </w:rPr>
        <w:t>: 10.1177/1091581810363012.</w:t>
      </w:r>
    </w:p>
    <w:p w:rsidR="00D03613" w:rsidRPr="006B0E92" w:rsidRDefault="00D03613" w:rsidP="006B0E92">
      <w:pPr>
        <w:shd w:val="clear" w:color="auto" w:fill="FFFFFF"/>
        <w:spacing w:before="100" w:beforeAutospacing="1" w:after="100" w:afterAutospacing="1" w:line="360" w:lineRule="auto"/>
        <w:jc w:val="both"/>
        <w:rPr>
          <w:rFonts w:cs="Times New Roman"/>
          <w:szCs w:val="28"/>
          <w:lang w:val="en-US"/>
        </w:rPr>
      </w:pPr>
      <w:r w:rsidRPr="006B0E92">
        <w:rPr>
          <w:rFonts w:cs="Times New Roman"/>
          <w:szCs w:val="28"/>
          <w:lang w:val="en-US"/>
        </w:rPr>
        <w:t xml:space="preserve">8. </w:t>
      </w:r>
      <w:hyperlink r:id="rId50" w:history="1">
        <w:r w:rsidR="006A338A" w:rsidRPr="006B0E92">
          <w:rPr>
            <w:rFonts w:cs="Times New Roman"/>
            <w:szCs w:val="28"/>
            <w:lang w:val="en-US"/>
          </w:rPr>
          <w:t>Bill Sacks</w:t>
        </w:r>
      </w:hyperlink>
      <w:r w:rsidR="006A338A" w:rsidRPr="006B0E92">
        <w:rPr>
          <w:rFonts w:cs="Times New Roman"/>
          <w:szCs w:val="28"/>
          <w:lang w:val="en-US"/>
        </w:rPr>
        <w:t>, </w:t>
      </w:r>
      <w:hyperlink r:id="rId51" w:history="1">
        <w:r w:rsidR="006A338A" w:rsidRPr="006B0E92">
          <w:rPr>
            <w:rFonts w:cs="Times New Roman"/>
            <w:szCs w:val="28"/>
            <w:lang w:val="en-US"/>
          </w:rPr>
          <w:t>Gregory Meyerson</w:t>
        </w:r>
      </w:hyperlink>
      <w:r w:rsidR="006A338A" w:rsidRPr="006B0E92">
        <w:rPr>
          <w:rFonts w:cs="Times New Roman"/>
          <w:szCs w:val="28"/>
          <w:lang w:val="en-US"/>
        </w:rPr>
        <w:t xml:space="preserve">. </w:t>
      </w:r>
      <w:r w:rsidR="006A338A" w:rsidRPr="006B0E92">
        <w:rPr>
          <w:rFonts w:cs="Times New Roman"/>
          <w:bCs/>
          <w:kern w:val="36"/>
          <w:szCs w:val="28"/>
          <w:lang w:val="en-US"/>
        </w:rPr>
        <w:t>Linear No-threshold (LNT) vs. Hormesis: paradigms, assumptions, and mathematical conventions that bias the conclusions in favor of LNT and against hormesis</w:t>
      </w:r>
      <w:r w:rsidR="006A338A" w:rsidRPr="006B0E92">
        <w:rPr>
          <w:rFonts w:cs="Times New Roman"/>
          <w:szCs w:val="28"/>
          <w:lang w:val="en-US"/>
        </w:rPr>
        <w:t xml:space="preserve"> // Health Phys. 2019</w:t>
      </w:r>
      <w:proofErr w:type="gramStart"/>
      <w:r w:rsidR="006A338A" w:rsidRPr="006B0E92">
        <w:rPr>
          <w:rFonts w:cs="Times New Roman"/>
          <w:szCs w:val="28"/>
          <w:lang w:val="en-US"/>
        </w:rPr>
        <w:t>;116</w:t>
      </w:r>
      <w:proofErr w:type="gramEnd"/>
      <w:r w:rsidR="006A338A" w:rsidRPr="006B0E92">
        <w:rPr>
          <w:rFonts w:cs="Times New Roman"/>
          <w:szCs w:val="28"/>
          <w:lang w:val="en-US"/>
        </w:rPr>
        <w:t xml:space="preserve">(6):807-816. </w:t>
      </w:r>
      <w:proofErr w:type="spellStart"/>
      <w:proofErr w:type="gramStart"/>
      <w:r w:rsidR="006A338A" w:rsidRPr="006B0E92">
        <w:rPr>
          <w:rFonts w:cs="Times New Roman"/>
          <w:szCs w:val="28"/>
          <w:lang w:val="en-US"/>
        </w:rPr>
        <w:t>doi</w:t>
      </w:r>
      <w:proofErr w:type="spellEnd"/>
      <w:proofErr w:type="gramEnd"/>
      <w:r w:rsidR="006A338A" w:rsidRPr="006B0E92">
        <w:rPr>
          <w:rFonts w:cs="Times New Roman"/>
          <w:szCs w:val="28"/>
          <w:lang w:val="en-US"/>
        </w:rPr>
        <w:t>: 10.1097/HP.0000000000001033.</w:t>
      </w:r>
    </w:p>
    <w:p w:rsidR="006A338A" w:rsidRPr="006B0E92" w:rsidRDefault="006A338A" w:rsidP="006B0E92">
      <w:pPr>
        <w:shd w:val="clear" w:color="auto" w:fill="FFFFFF"/>
        <w:spacing w:before="100" w:beforeAutospacing="1" w:after="100" w:afterAutospacing="1" w:line="360" w:lineRule="auto"/>
        <w:jc w:val="both"/>
        <w:rPr>
          <w:rFonts w:cs="Times New Roman"/>
          <w:szCs w:val="28"/>
          <w:lang w:val="en-US"/>
        </w:rPr>
      </w:pPr>
      <w:r w:rsidRPr="006B0E92">
        <w:rPr>
          <w:rFonts w:cs="Times New Roman"/>
          <w:szCs w:val="28"/>
          <w:lang w:val="en-US"/>
        </w:rPr>
        <w:t xml:space="preserve">9. </w:t>
      </w:r>
      <w:hyperlink r:id="rId52" w:history="1">
        <w:r w:rsidRPr="006B0E92">
          <w:rPr>
            <w:rFonts w:cs="Times New Roman"/>
            <w:szCs w:val="28"/>
            <w:lang w:val="en-US"/>
          </w:rPr>
          <w:t xml:space="preserve"> Calabrese</w:t>
        </w:r>
      </w:hyperlink>
      <w:r w:rsidRPr="006B0E92">
        <w:rPr>
          <w:rFonts w:cs="Times New Roman"/>
          <w:szCs w:val="28"/>
          <w:lang w:val="en-US"/>
        </w:rPr>
        <w:t xml:space="preserve"> E.J.,</w:t>
      </w:r>
      <w:hyperlink r:id="rId53" w:history="1">
        <w:r w:rsidRPr="006B0E92">
          <w:rPr>
            <w:rFonts w:cs="Times New Roman"/>
            <w:szCs w:val="28"/>
            <w:lang w:val="en-US"/>
          </w:rPr>
          <w:t xml:space="preserve"> Baldwin</w:t>
        </w:r>
      </w:hyperlink>
      <w:r w:rsidRPr="006B0E92">
        <w:rPr>
          <w:rFonts w:cs="Times New Roman"/>
          <w:szCs w:val="28"/>
          <w:lang w:val="en-US"/>
        </w:rPr>
        <w:t xml:space="preserve"> L.A. </w:t>
      </w:r>
      <w:r w:rsidRPr="006B0E92">
        <w:rPr>
          <w:rFonts w:cs="Times New Roman"/>
          <w:bCs/>
          <w:kern w:val="36"/>
          <w:szCs w:val="28"/>
          <w:lang w:val="en-US"/>
        </w:rPr>
        <w:t xml:space="preserve">Radiation hormesis: the demise of a legitimate hypothesis. // </w:t>
      </w:r>
      <w:r w:rsidRPr="006B0E92">
        <w:rPr>
          <w:rFonts w:cs="Times New Roman"/>
          <w:szCs w:val="28"/>
          <w:lang w:val="en-US"/>
        </w:rPr>
        <w:t xml:space="preserve">Hum. Exp. </w:t>
      </w:r>
      <w:proofErr w:type="spellStart"/>
      <w:r w:rsidRPr="006B0E92">
        <w:rPr>
          <w:rFonts w:cs="Times New Roman"/>
          <w:szCs w:val="28"/>
          <w:lang w:val="en-US"/>
        </w:rPr>
        <w:t>Toxicol</w:t>
      </w:r>
      <w:proofErr w:type="spellEnd"/>
      <w:r w:rsidRPr="006B0E92">
        <w:rPr>
          <w:rFonts w:cs="Times New Roman"/>
          <w:szCs w:val="28"/>
          <w:lang w:val="en-US"/>
        </w:rPr>
        <w:t xml:space="preserve">., 2000; 19(1): 76-84. </w:t>
      </w:r>
      <w:proofErr w:type="spellStart"/>
      <w:proofErr w:type="gramStart"/>
      <w:r w:rsidRPr="006B0E92">
        <w:rPr>
          <w:rFonts w:cs="Times New Roman"/>
          <w:szCs w:val="28"/>
          <w:lang w:val="en-US"/>
        </w:rPr>
        <w:t>doi</w:t>
      </w:r>
      <w:proofErr w:type="spellEnd"/>
      <w:proofErr w:type="gramEnd"/>
      <w:r w:rsidRPr="006B0E92">
        <w:rPr>
          <w:rFonts w:cs="Times New Roman"/>
          <w:szCs w:val="28"/>
          <w:lang w:val="en-US"/>
        </w:rPr>
        <w:t>: 10.1191/096032700678815611.</w:t>
      </w:r>
    </w:p>
    <w:p w:rsidR="006A338A" w:rsidRPr="006B0E92" w:rsidRDefault="006A338A" w:rsidP="006B0E92">
      <w:pPr>
        <w:shd w:val="clear" w:color="auto" w:fill="FFFFFF"/>
        <w:spacing w:before="100" w:beforeAutospacing="1" w:after="100" w:afterAutospacing="1" w:line="360" w:lineRule="auto"/>
        <w:jc w:val="both"/>
        <w:rPr>
          <w:rStyle w:val="fontstyle01"/>
          <w:rFonts w:ascii="Times New Roman" w:hAnsi="Times New Roman" w:cs="Times New Roman"/>
          <w:color w:val="auto"/>
          <w:sz w:val="28"/>
          <w:szCs w:val="28"/>
          <w:lang w:val="en-US"/>
        </w:rPr>
      </w:pPr>
      <w:r w:rsidRPr="006B0E92">
        <w:rPr>
          <w:rFonts w:cs="Times New Roman"/>
          <w:szCs w:val="28"/>
          <w:lang w:val="en-US"/>
        </w:rPr>
        <w:t xml:space="preserve">10. </w:t>
      </w:r>
      <w:r w:rsidRPr="006B0E92">
        <w:rPr>
          <w:rStyle w:val="fontstyle01"/>
          <w:rFonts w:ascii="Times New Roman" w:hAnsi="Times New Roman" w:cs="Times New Roman"/>
          <w:color w:val="auto"/>
          <w:sz w:val="28"/>
          <w:szCs w:val="28"/>
          <w:lang w:val="en-US"/>
        </w:rPr>
        <w:t xml:space="preserve">Siegel J.A., Pennington C.W., Sacks B. Subjecting radiologic imaging to the linear no-threshold hypothesis: a non sequitur of non-trivial proportion. // </w:t>
      </w:r>
      <w:r w:rsidRPr="006B0E92">
        <w:rPr>
          <w:rStyle w:val="fontstyle21"/>
          <w:rFonts w:ascii="Times New Roman" w:hAnsi="Times New Roman" w:cs="Times New Roman"/>
          <w:color w:val="auto"/>
          <w:sz w:val="28"/>
          <w:szCs w:val="28"/>
          <w:lang w:val="en-US"/>
        </w:rPr>
        <w:t xml:space="preserve">J. </w:t>
      </w:r>
      <w:proofErr w:type="spellStart"/>
      <w:r w:rsidRPr="006B0E92">
        <w:rPr>
          <w:rStyle w:val="fontstyle21"/>
          <w:rFonts w:ascii="Times New Roman" w:hAnsi="Times New Roman" w:cs="Times New Roman"/>
          <w:color w:val="auto"/>
          <w:sz w:val="28"/>
          <w:szCs w:val="28"/>
          <w:lang w:val="en-US"/>
        </w:rPr>
        <w:t>Nucl</w:t>
      </w:r>
      <w:proofErr w:type="spellEnd"/>
      <w:r w:rsidRPr="006B0E92">
        <w:rPr>
          <w:rStyle w:val="fontstyle21"/>
          <w:rFonts w:ascii="Times New Roman" w:hAnsi="Times New Roman" w:cs="Times New Roman"/>
          <w:color w:val="auto"/>
          <w:sz w:val="28"/>
          <w:szCs w:val="28"/>
          <w:lang w:val="en-US"/>
        </w:rPr>
        <w:t xml:space="preserve">. Med. </w:t>
      </w:r>
      <w:r w:rsidRPr="006B0E92">
        <w:rPr>
          <w:rStyle w:val="fontstyle01"/>
          <w:rFonts w:ascii="Times New Roman" w:hAnsi="Times New Roman" w:cs="Times New Roman"/>
          <w:color w:val="auto"/>
          <w:sz w:val="28"/>
          <w:szCs w:val="28"/>
          <w:lang w:val="en-US"/>
        </w:rPr>
        <w:t>2017; 58:1–6.</w:t>
      </w:r>
    </w:p>
    <w:p w:rsidR="006A338A" w:rsidRPr="006B0E92" w:rsidRDefault="006A338A" w:rsidP="006B0E92">
      <w:pPr>
        <w:shd w:val="clear" w:color="auto" w:fill="FFFFFF"/>
        <w:spacing w:before="100" w:beforeAutospacing="1" w:after="100" w:afterAutospacing="1" w:line="360" w:lineRule="auto"/>
        <w:jc w:val="both"/>
        <w:rPr>
          <w:rStyle w:val="a6"/>
          <w:rFonts w:cs="Times New Roman"/>
          <w:color w:val="auto"/>
          <w:szCs w:val="28"/>
          <w:u w:val="none"/>
          <w:lang w:val="en-US"/>
        </w:rPr>
      </w:pPr>
      <w:r w:rsidRPr="006B0E92">
        <w:rPr>
          <w:rStyle w:val="fontstyle01"/>
          <w:rFonts w:ascii="Times New Roman" w:hAnsi="Times New Roman" w:cs="Times New Roman"/>
          <w:color w:val="auto"/>
          <w:sz w:val="28"/>
          <w:szCs w:val="28"/>
          <w:lang w:val="en-US"/>
        </w:rPr>
        <w:t xml:space="preserve">11. </w:t>
      </w:r>
      <w:hyperlink r:id="rId54" w:history="1">
        <w:r w:rsidRPr="006B0E92">
          <w:rPr>
            <w:rStyle w:val="a6"/>
            <w:rFonts w:cs="Times New Roman"/>
            <w:color w:val="auto"/>
            <w:szCs w:val="28"/>
            <w:u w:val="none"/>
            <w:lang w:val="en-US"/>
          </w:rPr>
          <w:t>Mitchel</w:t>
        </w:r>
      </w:hyperlink>
      <w:r w:rsidRPr="006B0E92">
        <w:rPr>
          <w:rFonts w:cs="Times New Roman"/>
          <w:szCs w:val="28"/>
          <w:lang w:val="en-US"/>
        </w:rPr>
        <w:t xml:space="preserve"> </w:t>
      </w:r>
      <w:r w:rsidRPr="006B0E92">
        <w:rPr>
          <w:rStyle w:val="contribdegrees"/>
          <w:rFonts w:cs="Times New Roman"/>
          <w:szCs w:val="28"/>
          <w:lang w:val="en-US"/>
        </w:rPr>
        <w:t xml:space="preserve">R. E. J. </w:t>
      </w:r>
      <w:r w:rsidRPr="006B0E92">
        <w:rPr>
          <w:rFonts w:cs="Times New Roman"/>
          <w:szCs w:val="28"/>
          <w:lang w:val="en-US"/>
        </w:rPr>
        <w:t>The Bystander Effect: Recent Developments and Implications for Understanding the Dose Response. // Nonlinearity in Biology, Toxicology, and Medicine.  2004</w:t>
      </w:r>
      <w:proofErr w:type="gramStart"/>
      <w:r w:rsidRPr="006B0E92">
        <w:rPr>
          <w:rFonts w:cs="Times New Roman"/>
          <w:szCs w:val="28"/>
          <w:lang w:val="en-US"/>
        </w:rPr>
        <w:t>;2</w:t>
      </w:r>
      <w:proofErr w:type="gramEnd"/>
      <w:r w:rsidRPr="006B0E92">
        <w:rPr>
          <w:rFonts w:cs="Times New Roman"/>
          <w:szCs w:val="28"/>
          <w:lang w:val="uk-UA"/>
        </w:rPr>
        <w:t>(3)</w:t>
      </w:r>
      <w:r w:rsidRPr="006B0E92">
        <w:rPr>
          <w:rFonts w:cs="Times New Roman"/>
          <w:szCs w:val="28"/>
          <w:lang w:val="en-US"/>
        </w:rPr>
        <w:t xml:space="preserve">:173–183. </w:t>
      </w:r>
      <w:r w:rsidRPr="006B0E92">
        <w:rPr>
          <w:rStyle w:val="publicationcontentepubdate"/>
          <w:rFonts w:cs="Times New Roman"/>
          <w:szCs w:val="28"/>
          <w:shd w:val="clear" w:color="auto" w:fill="FFFFFF"/>
          <w:lang w:val="en-US"/>
        </w:rPr>
        <w:t xml:space="preserve"> </w:t>
      </w:r>
      <w:hyperlink r:id="rId55" w:history="1">
        <w:r w:rsidRPr="006B0E92">
          <w:rPr>
            <w:rStyle w:val="a6"/>
            <w:rFonts w:cs="Times New Roman"/>
            <w:color w:val="auto"/>
            <w:szCs w:val="28"/>
            <w:u w:val="none"/>
            <w:lang w:val="en-US"/>
          </w:rPr>
          <w:t>doi.org/10.1080/15401420490507512</w:t>
        </w:r>
      </w:hyperlink>
    </w:p>
    <w:p w:rsidR="006A338A" w:rsidRPr="006B0E92" w:rsidRDefault="006A338A" w:rsidP="006B0E92">
      <w:pPr>
        <w:spacing w:line="360" w:lineRule="auto"/>
        <w:jc w:val="both"/>
        <w:rPr>
          <w:rFonts w:cs="Times New Roman"/>
          <w:szCs w:val="28"/>
          <w:lang w:val="en-US"/>
        </w:rPr>
      </w:pPr>
      <w:r w:rsidRPr="006B0E92">
        <w:rPr>
          <w:rStyle w:val="a6"/>
          <w:rFonts w:cs="Times New Roman"/>
          <w:color w:val="auto"/>
          <w:szCs w:val="28"/>
          <w:u w:val="none"/>
          <w:lang w:val="en-US"/>
        </w:rPr>
        <w:t xml:space="preserve">12. </w:t>
      </w:r>
      <w:r w:rsidRPr="006B0E92">
        <w:rPr>
          <w:rFonts w:cs="Times New Roman"/>
          <w:szCs w:val="28"/>
          <w:lang w:val="en-US"/>
        </w:rPr>
        <w:t xml:space="preserve">Broome EJ, Brown DL, Mitchel REJ. Adaption of human fibroblasts to radiation alters biases in DNA repair at the chromosome level. </w:t>
      </w:r>
      <w:r w:rsidR="006B0E92">
        <w:rPr>
          <w:rFonts w:cs="Times New Roman"/>
          <w:szCs w:val="28"/>
          <w:lang w:val="en-US"/>
        </w:rPr>
        <w:t xml:space="preserve">// </w:t>
      </w:r>
      <w:proofErr w:type="spellStart"/>
      <w:r w:rsidRPr="006B0E92">
        <w:rPr>
          <w:rFonts w:cs="Times New Roman"/>
          <w:szCs w:val="28"/>
          <w:lang w:val="en-US"/>
        </w:rPr>
        <w:t>Int</w:t>
      </w:r>
      <w:proofErr w:type="spellEnd"/>
      <w:r w:rsidRPr="006B0E92">
        <w:rPr>
          <w:rFonts w:cs="Times New Roman"/>
          <w:szCs w:val="28"/>
          <w:lang w:val="en-US"/>
        </w:rPr>
        <w:t xml:space="preserve"> J </w:t>
      </w:r>
      <w:proofErr w:type="spellStart"/>
      <w:r w:rsidRPr="006B0E92">
        <w:rPr>
          <w:rFonts w:cs="Times New Roman"/>
          <w:szCs w:val="28"/>
          <w:lang w:val="en-US"/>
        </w:rPr>
        <w:t>Radiat</w:t>
      </w:r>
      <w:proofErr w:type="spellEnd"/>
      <w:r w:rsidRPr="006B0E92">
        <w:rPr>
          <w:rFonts w:cs="Times New Roman"/>
          <w:szCs w:val="28"/>
          <w:lang w:val="en-US"/>
        </w:rPr>
        <w:t xml:space="preserve"> Biol. 1999</w:t>
      </w:r>
      <w:proofErr w:type="gramStart"/>
      <w:r w:rsidRPr="006B0E92">
        <w:rPr>
          <w:rFonts w:cs="Times New Roman"/>
          <w:szCs w:val="28"/>
          <w:lang w:val="en-US"/>
        </w:rPr>
        <w:t>;75:681</w:t>
      </w:r>
      <w:proofErr w:type="gramEnd"/>
      <w:r w:rsidRPr="006B0E92">
        <w:rPr>
          <w:rFonts w:cs="Times New Roman"/>
          <w:szCs w:val="28"/>
          <w:lang w:val="en-US"/>
        </w:rPr>
        <w:t xml:space="preserve">–690. </w:t>
      </w:r>
    </w:p>
    <w:p w:rsidR="006A338A" w:rsidRPr="006B0E92" w:rsidRDefault="006A338A" w:rsidP="006B0E92">
      <w:pPr>
        <w:shd w:val="clear" w:color="auto" w:fill="FFFFFF"/>
        <w:spacing w:before="100" w:beforeAutospacing="1" w:after="100" w:afterAutospacing="1" w:line="360" w:lineRule="auto"/>
        <w:jc w:val="both"/>
        <w:rPr>
          <w:rFonts w:cs="Times New Roman"/>
          <w:szCs w:val="28"/>
        </w:rPr>
      </w:pPr>
      <w:r w:rsidRPr="006B0E92">
        <w:rPr>
          <w:rFonts w:cs="Times New Roman"/>
          <w:szCs w:val="28"/>
          <w:lang w:val="en-US"/>
        </w:rPr>
        <w:t xml:space="preserve">13. </w:t>
      </w:r>
      <w:proofErr w:type="spellStart"/>
      <w:r w:rsidRPr="006B0E92">
        <w:rPr>
          <w:rFonts w:cs="Times New Roman"/>
          <w:szCs w:val="28"/>
          <w:lang w:val="en-US"/>
        </w:rPr>
        <w:t>Rothkamm</w:t>
      </w:r>
      <w:proofErr w:type="spellEnd"/>
      <w:r w:rsidRPr="006B0E92">
        <w:rPr>
          <w:rFonts w:cs="Times New Roman"/>
          <w:szCs w:val="28"/>
          <w:lang w:val="en-US"/>
        </w:rPr>
        <w:t xml:space="preserve"> K., </w:t>
      </w:r>
      <w:proofErr w:type="spellStart"/>
      <w:r w:rsidRPr="006B0E92">
        <w:rPr>
          <w:rFonts w:cs="Times New Roman"/>
          <w:szCs w:val="28"/>
          <w:lang w:val="en-US"/>
        </w:rPr>
        <w:t>Lubrich</w:t>
      </w:r>
      <w:proofErr w:type="spellEnd"/>
      <w:r w:rsidRPr="006B0E92">
        <w:rPr>
          <w:rFonts w:cs="Times New Roman"/>
          <w:szCs w:val="28"/>
          <w:lang w:val="en-US"/>
        </w:rPr>
        <w:t xml:space="preserve"> M. Evidence for a lack of DNA double-strand </w:t>
      </w:r>
      <w:proofErr w:type="spellStart"/>
      <w:r w:rsidRPr="006B0E92">
        <w:rPr>
          <w:rFonts w:cs="Times New Roman"/>
          <w:szCs w:val="28"/>
          <w:lang w:val="en-US"/>
        </w:rPr>
        <w:t>breake</w:t>
      </w:r>
      <w:proofErr w:type="spellEnd"/>
      <w:r w:rsidRPr="006B0E92">
        <w:rPr>
          <w:rFonts w:cs="Times New Roman"/>
          <w:szCs w:val="28"/>
          <w:lang w:val="en-US"/>
        </w:rPr>
        <w:t xml:space="preserve"> repair in human cells exposed to very low X-ray doses. // Proc. Natl</w:t>
      </w:r>
      <w:r w:rsidRPr="006B0E92">
        <w:rPr>
          <w:rFonts w:cs="Times New Roman"/>
          <w:szCs w:val="28"/>
        </w:rPr>
        <w:t xml:space="preserve">. </w:t>
      </w:r>
      <w:proofErr w:type="spellStart"/>
      <w:r w:rsidRPr="006B0E92">
        <w:rPr>
          <w:rFonts w:cs="Times New Roman"/>
          <w:szCs w:val="28"/>
          <w:lang w:val="en-US"/>
        </w:rPr>
        <w:t>Acad</w:t>
      </w:r>
      <w:proofErr w:type="spellEnd"/>
      <w:r w:rsidRPr="006B0E92">
        <w:rPr>
          <w:rFonts w:cs="Times New Roman"/>
          <w:szCs w:val="28"/>
        </w:rPr>
        <w:t xml:space="preserve">. </w:t>
      </w:r>
      <w:proofErr w:type="spellStart"/>
      <w:r w:rsidRPr="006B0E92">
        <w:rPr>
          <w:rFonts w:cs="Times New Roman"/>
          <w:szCs w:val="28"/>
          <w:lang w:val="en-US"/>
        </w:rPr>
        <w:t>Sci</w:t>
      </w:r>
      <w:proofErr w:type="spellEnd"/>
      <w:r w:rsidRPr="006B0E92">
        <w:rPr>
          <w:rFonts w:cs="Times New Roman"/>
          <w:szCs w:val="28"/>
        </w:rPr>
        <w:t xml:space="preserve">. </w:t>
      </w:r>
      <w:r w:rsidRPr="006B0E92">
        <w:rPr>
          <w:rFonts w:cs="Times New Roman"/>
          <w:szCs w:val="28"/>
          <w:lang w:val="en-US"/>
        </w:rPr>
        <w:t>USA</w:t>
      </w:r>
      <w:r w:rsidRPr="006B0E92">
        <w:rPr>
          <w:rFonts w:cs="Times New Roman"/>
          <w:szCs w:val="28"/>
        </w:rPr>
        <w:t xml:space="preserve">. 2003. </w:t>
      </w:r>
      <w:r w:rsidRPr="006B0E92">
        <w:rPr>
          <w:rFonts w:cs="Times New Roman"/>
          <w:szCs w:val="28"/>
          <w:lang w:val="en-US"/>
        </w:rPr>
        <w:t>Vol</w:t>
      </w:r>
      <w:r w:rsidRPr="006B0E92">
        <w:rPr>
          <w:rFonts w:cs="Times New Roman"/>
          <w:szCs w:val="28"/>
        </w:rPr>
        <w:t xml:space="preserve">.100. №9. </w:t>
      </w:r>
      <w:r w:rsidRPr="006B0E92">
        <w:rPr>
          <w:rFonts w:cs="Times New Roman"/>
          <w:szCs w:val="28"/>
          <w:lang w:val="en-US"/>
        </w:rPr>
        <w:t>P</w:t>
      </w:r>
      <w:r w:rsidRPr="006B0E92">
        <w:rPr>
          <w:rFonts w:cs="Times New Roman"/>
          <w:szCs w:val="28"/>
        </w:rPr>
        <w:t>. 5057-5062.</w:t>
      </w:r>
    </w:p>
    <w:p w:rsidR="006A338A" w:rsidRPr="006B0E92" w:rsidRDefault="006A338A" w:rsidP="006B0E92">
      <w:pPr>
        <w:shd w:val="clear" w:color="auto" w:fill="FFFFFF"/>
        <w:spacing w:before="100" w:beforeAutospacing="1" w:after="100" w:afterAutospacing="1" w:line="360" w:lineRule="auto"/>
        <w:jc w:val="both"/>
        <w:rPr>
          <w:rFonts w:cs="Times New Roman"/>
          <w:szCs w:val="28"/>
        </w:rPr>
      </w:pPr>
      <w:r w:rsidRPr="006B0E92">
        <w:rPr>
          <w:rFonts w:cs="Times New Roman"/>
          <w:szCs w:val="28"/>
        </w:rPr>
        <w:t xml:space="preserve">14. </w:t>
      </w:r>
      <w:r w:rsidRPr="006B0E92">
        <w:rPr>
          <w:rFonts w:cs="Times New Roman"/>
          <w:iCs/>
          <w:szCs w:val="28"/>
        </w:rPr>
        <w:t>Мазурик В.К., Михайлов В.Ф</w:t>
      </w:r>
      <w:r w:rsidRPr="006B0E92">
        <w:rPr>
          <w:rFonts w:cs="Times New Roman"/>
          <w:szCs w:val="28"/>
        </w:rPr>
        <w:t>. Радиационно-индуцируемая нестабильность генома: феномен,</w:t>
      </w:r>
      <w:r w:rsidRPr="006B0E92">
        <w:rPr>
          <w:rFonts w:cs="Times New Roman"/>
          <w:szCs w:val="28"/>
          <w:lang w:val="uk-UA"/>
        </w:rPr>
        <w:t xml:space="preserve"> </w:t>
      </w:r>
      <w:r w:rsidRPr="006B0E92">
        <w:rPr>
          <w:rFonts w:cs="Times New Roman"/>
          <w:szCs w:val="28"/>
        </w:rPr>
        <w:t>молекулярные механизмы, патогенетическое значение</w:t>
      </w:r>
      <w:r w:rsidR="006B0E92">
        <w:rPr>
          <w:rFonts w:cs="Times New Roman"/>
          <w:szCs w:val="28"/>
        </w:rPr>
        <w:t>.</w:t>
      </w:r>
      <w:r w:rsidRPr="006B0E92">
        <w:rPr>
          <w:rFonts w:cs="Times New Roman"/>
          <w:szCs w:val="28"/>
        </w:rPr>
        <w:t xml:space="preserve"> // Радиац</w:t>
      </w:r>
      <w:r w:rsidR="006B0E92" w:rsidRPr="006B0E92">
        <w:rPr>
          <w:rFonts w:cs="Times New Roman"/>
          <w:szCs w:val="28"/>
        </w:rPr>
        <w:t>ионная</w:t>
      </w:r>
      <w:r w:rsidRPr="006B0E92">
        <w:rPr>
          <w:rFonts w:cs="Times New Roman"/>
          <w:szCs w:val="28"/>
        </w:rPr>
        <w:t xml:space="preserve"> биология.</w:t>
      </w:r>
      <w:r w:rsidRPr="006B0E92">
        <w:rPr>
          <w:rFonts w:cs="Times New Roman"/>
          <w:szCs w:val="28"/>
          <w:lang w:val="uk-UA"/>
        </w:rPr>
        <w:t xml:space="preserve"> </w:t>
      </w:r>
      <w:r w:rsidRPr="006B0E92">
        <w:rPr>
          <w:rFonts w:cs="Times New Roman"/>
          <w:szCs w:val="28"/>
        </w:rPr>
        <w:t>Радиоэкология. 2001. Т. 41, № 3. С. 272-289.</w:t>
      </w:r>
    </w:p>
    <w:p w:rsidR="006A338A" w:rsidRPr="006B0E92" w:rsidRDefault="006A338A" w:rsidP="006B0E92">
      <w:pPr>
        <w:shd w:val="clear" w:color="auto" w:fill="FFFFFF"/>
        <w:spacing w:before="100" w:beforeAutospacing="1" w:after="100" w:afterAutospacing="1" w:line="360" w:lineRule="auto"/>
        <w:jc w:val="both"/>
        <w:rPr>
          <w:rFonts w:cs="Times New Roman"/>
          <w:szCs w:val="28"/>
          <w:lang w:val="en-US"/>
        </w:rPr>
      </w:pPr>
      <w:r w:rsidRPr="006B0E92">
        <w:rPr>
          <w:rFonts w:cs="Times New Roman"/>
          <w:szCs w:val="28"/>
        </w:rPr>
        <w:lastRenderedPageBreak/>
        <w:t xml:space="preserve">15. </w:t>
      </w:r>
      <w:proofErr w:type="spellStart"/>
      <w:r w:rsidRPr="006B0E92">
        <w:rPr>
          <w:rFonts w:cs="Times New Roman"/>
          <w:szCs w:val="28"/>
          <w:lang w:val="uk-UA"/>
        </w:rPr>
        <w:t>Шмакова</w:t>
      </w:r>
      <w:proofErr w:type="spellEnd"/>
      <w:r w:rsidRPr="006B0E92">
        <w:rPr>
          <w:rFonts w:cs="Times New Roman"/>
          <w:szCs w:val="28"/>
          <w:lang w:val="uk-UA"/>
        </w:rPr>
        <w:t xml:space="preserve"> Л.Н., Абу </w:t>
      </w:r>
      <w:proofErr w:type="spellStart"/>
      <w:r w:rsidRPr="006B0E92">
        <w:rPr>
          <w:rFonts w:cs="Times New Roman"/>
          <w:szCs w:val="28"/>
          <w:lang w:val="uk-UA"/>
        </w:rPr>
        <w:t>Зеид</w:t>
      </w:r>
      <w:proofErr w:type="spellEnd"/>
      <w:r w:rsidRPr="006B0E92">
        <w:rPr>
          <w:rFonts w:cs="Times New Roman"/>
          <w:szCs w:val="28"/>
          <w:lang w:val="uk-UA"/>
        </w:rPr>
        <w:t xml:space="preserve"> О., </w:t>
      </w:r>
      <w:proofErr w:type="spellStart"/>
      <w:r w:rsidRPr="006B0E92">
        <w:rPr>
          <w:rFonts w:cs="Times New Roman"/>
          <w:szCs w:val="28"/>
          <w:lang w:val="uk-UA"/>
        </w:rPr>
        <w:t>Фадеева</w:t>
      </w:r>
      <w:proofErr w:type="spellEnd"/>
      <w:r w:rsidRPr="006B0E92">
        <w:rPr>
          <w:rFonts w:cs="Times New Roman"/>
          <w:szCs w:val="28"/>
          <w:lang w:val="uk-UA"/>
        </w:rPr>
        <w:t xml:space="preserve"> Т.А., </w:t>
      </w:r>
      <w:proofErr w:type="spellStart"/>
      <w:r w:rsidRPr="006B0E92">
        <w:rPr>
          <w:rFonts w:cs="Times New Roman"/>
          <w:szCs w:val="28"/>
          <w:lang w:val="uk-UA"/>
        </w:rPr>
        <w:t>Красавин</w:t>
      </w:r>
      <w:proofErr w:type="spellEnd"/>
      <w:r w:rsidRPr="006B0E92">
        <w:rPr>
          <w:rFonts w:cs="Times New Roman"/>
          <w:szCs w:val="28"/>
          <w:lang w:val="uk-UA"/>
        </w:rPr>
        <w:t xml:space="preserve"> Е.А., </w:t>
      </w:r>
      <w:proofErr w:type="spellStart"/>
      <w:r w:rsidRPr="006B0E92">
        <w:rPr>
          <w:rFonts w:cs="Times New Roman"/>
          <w:szCs w:val="28"/>
          <w:lang w:val="uk-UA"/>
        </w:rPr>
        <w:t>Куцало</w:t>
      </w:r>
      <w:proofErr w:type="spellEnd"/>
      <w:r w:rsidRPr="006B0E92">
        <w:rPr>
          <w:rFonts w:cs="Times New Roman"/>
          <w:szCs w:val="28"/>
          <w:lang w:val="uk-UA"/>
        </w:rPr>
        <w:t xml:space="preserve"> П.В. </w:t>
      </w:r>
      <w:r w:rsidRPr="006B0E92">
        <w:rPr>
          <w:rFonts w:cs="Times New Roman"/>
          <w:szCs w:val="28"/>
        </w:rPr>
        <w:t>Дозовая зависимость цитогенетических повреждений и адаптивный ответ клеток млекопитающих при действии ионизирующего излучения в малых дозах. // Радиационная биология. Радиоэкология</w:t>
      </w:r>
      <w:r w:rsidRPr="006B0E92">
        <w:rPr>
          <w:rFonts w:cs="Times New Roman"/>
          <w:szCs w:val="28"/>
          <w:lang w:val="en-US"/>
        </w:rPr>
        <w:t xml:space="preserve">. 2000. </w:t>
      </w:r>
      <w:r w:rsidRPr="006B0E92">
        <w:rPr>
          <w:rFonts w:cs="Times New Roman"/>
          <w:szCs w:val="28"/>
        </w:rPr>
        <w:t>Том</w:t>
      </w:r>
      <w:r w:rsidRPr="006B0E92">
        <w:rPr>
          <w:rFonts w:cs="Times New Roman"/>
          <w:szCs w:val="28"/>
          <w:lang w:val="en-US"/>
        </w:rPr>
        <w:t xml:space="preserve"> 40. №4. </w:t>
      </w:r>
      <w:r w:rsidRPr="006B0E92">
        <w:rPr>
          <w:rFonts w:cs="Times New Roman"/>
          <w:szCs w:val="28"/>
        </w:rPr>
        <w:t>С</w:t>
      </w:r>
      <w:r w:rsidRPr="006B0E92">
        <w:rPr>
          <w:rFonts w:cs="Times New Roman"/>
          <w:szCs w:val="28"/>
          <w:lang w:val="en-US"/>
        </w:rPr>
        <w:t>.405-409.</w:t>
      </w:r>
    </w:p>
    <w:p w:rsidR="006A338A" w:rsidRPr="006B0E92" w:rsidRDefault="006A338A" w:rsidP="006B0E92">
      <w:pPr>
        <w:shd w:val="clear" w:color="auto" w:fill="FFFFFF"/>
        <w:spacing w:before="100" w:beforeAutospacing="1" w:after="100" w:afterAutospacing="1" w:line="360" w:lineRule="auto"/>
        <w:jc w:val="both"/>
        <w:rPr>
          <w:rFonts w:cs="Times New Roman"/>
          <w:szCs w:val="28"/>
          <w:lang w:val="en-US"/>
        </w:rPr>
      </w:pPr>
    </w:p>
    <w:sectPr w:rsidR="006A338A" w:rsidRPr="006B0E92" w:rsidSect="00595E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dvPSA88A">
    <w:altName w:val="Times New Roman"/>
    <w:panose1 w:val="00000000000000000000"/>
    <w:charset w:val="00"/>
    <w:family w:val="roman"/>
    <w:notTrueType/>
    <w:pitch w:val="default"/>
  </w:font>
  <w:font w:name="AdvPSA88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CE"/>
    <w:rsid w:val="00003E77"/>
    <w:rsid w:val="000555EB"/>
    <w:rsid w:val="00296BC7"/>
    <w:rsid w:val="00321901"/>
    <w:rsid w:val="00347C13"/>
    <w:rsid w:val="00362EAB"/>
    <w:rsid w:val="00420630"/>
    <w:rsid w:val="004F189E"/>
    <w:rsid w:val="0055017F"/>
    <w:rsid w:val="00595E25"/>
    <w:rsid w:val="00601AEB"/>
    <w:rsid w:val="006740E2"/>
    <w:rsid w:val="006A338A"/>
    <w:rsid w:val="006B0E92"/>
    <w:rsid w:val="0078239B"/>
    <w:rsid w:val="008A3D33"/>
    <w:rsid w:val="009E267B"/>
    <w:rsid w:val="00A07CAE"/>
    <w:rsid w:val="00A22BC9"/>
    <w:rsid w:val="00A979CC"/>
    <w:rsid w:val="00AD294F"/>
    <w:rsid w:val="00AF356A"/>
    <w:rsid w:val="00AF52CE"/>
    <w:rsid w:val="00B27014"/>
    <w:rsid w:val="00BB76A0"/>
    <w:rsid w:val="00BC1DC6"/>
    <w:rsid w:val="00C53B8C"/>
    <w:rsid w:val="00CA2F62"/>
    <w:rsid w:val="00CD0FD0"/>
    <w:rsid w:val="00D03613"/>
    <w:rsid w:val="00D47FFD"/>
    <w:rsid w:val="00DC4214"/>
    <w:rsid w:val="00E65D48"/>
    <w:rsid w:val="00F158F1"/>
    <w:rsid w:val="00F80853"/>
    <w:rsid w:val="00F9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B228972"/>
  <w15:chartTrackingRefBased/>
  <w15:docId w15:val="{4900F1AF-5A13-439D-A14E-6296BB4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D48"/>
    <w:rPr>
      <w:rFonts w:ascii="Times New Roman" w:hAnsi="Times New Roman"/>
      <w:sz w:val="28"/>
    </w:rPr>
  </w:style>
  <w:style w:type="paragraph" w:styleId="1">
    <w:name w:val="heading 1"/>
    <w:basedOn w:val="a"/>
    <w:link w:val="10"/>
    <w:uiPriority w:val="9"/>
    <w:qFormat/>
    <w:rsid w:val="00E65D4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4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65D48"/>
    <w:rPr>
      <w:b/>
      <w:bCs/>
    </w:rPr>
  </w:style>
  <w:style w:type="paragraph" w:styleId="a4">
    <w:name w:val="Normal (Web)"/>
    <w:basedOn w:val="a"/>
    <w:uiPriority w:val="99"/>
    <w:unhideWhenUsed/>
    <w:rsid w:val="00347C13"/>
    <w:pPr>
      <w:spacing w:before="100" w:beforeAutospacing="1" w:after="100" w:afterAutospacing="1" w:line="360" w:lineRule="auto"/>
      <w:ind w:firstLine="709"/>
    </w:pPr>
    <w:rPr>
      <w:rFonts w:eastAsia="Times New Roman" w:cs="Times New Roman"/>
      <w:sz w:val="24"/>
      <w:szCs w:val="24"/>
      <w:lang w:eastAsia="ru-RU"/>
    </w:rPr>
  </w:style>
  <w:style w:type="table" w:styleId="a5">
    <w:name w:val="Table Grid"/>
    <w:basedOn w:val="a1"/>
    <w:rsid w:val="009E26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979CC"/>
    <w:rPr>
      <w:rFonts w:ascii="AdvPSA88A" w:hAnsi="AdvPSA88A" w:hint="default"/>
      <w:b w:val="0"/>
      <w:bCs w:val="0"/>
      <w:i w:val="0"/>
      <w:iCs w:val="0"/>
      <w:color w:val="000000"/>
      <w:sz w:val="14"/>
      <w:szCs w:val="14"/>
    </w:rPr>
  </w:style>
  <w:style w:type="character" w:customStyle="1" w:styleId="fontstyle21">
    <w:name w:val="fontstyle21"/>
    <w:basedOn w:val="a0"/>
    <w:rsid w:val="006A338A"/>
    <w:rPr>
      <w:rFonts w:ascii="AdvPSA88C" w:hAnsi="AdvPSA88C" w:hint="default"/>
      <w:b w:val="0"/>
      <w:bCs w:val="0"/>
      <w:i w:val="0"/>
      <w:iCs w:val="0"/>
      <w:color w:val="000000"/>
      <w:sz w:val="14"/>
      <w:szCs w:val="14"/>
    </w:rPr>
  </w:style>
  <w:style w:type="character" w:styleId="a6">
    <w:name w:val="Hyperlink"/>
    <w:basedOn w:val="a0"/>
    <w:uiPriority w:val="99"/>
    <w:unhideWhenUsed/>
    <w:rsid w:val="006A338A"/>
    <w:rPr>
      <w:color w:val="0000FF"/>
      <w:u w:val="single"/>
    </w:rPr>
  </w:style>
  <w:style w:type="character" w:customStyle="1" w:styleId="contribdegrees">
    <w:name w:val="contribdegrees"/>
    <w:basedOn w:val="a0"/>
    <w:rsid w:val="006A338A"/>
  </w:style>
  <w:style w:type="character" w:customStyle="1" w:styleId="publicationcontentepubdate">
    <w:name w:val="publicationcontentepubdate"/>
    <w:basedOn w:val="a0"/>
    <w:rsid w:val="006A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hyperlink" Target="https://journals.sagepub.com/doi/10.1177/1091581810363012" TargetMode="External"/><Relationship Id="rId50" Type="http://schemas.openxmlformats.org/officeDocument/2006/relationships/hyperlink" Target="https://pubmed.ncbi.nlm.nih.gov/?term=Sacks+B&amp;cauthor_id=30768437" TargetMode="External"/><Relationship Id="rId55" Type="http://schemas.openxmlformats.org/officeDocument/2006/relationships/hyperlink" Target="https://doi.org/10.1080%2F15401420490507512" TargetMode="Externa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hyperlink" Target="https://pubmed.ncbi.nlm.nih.gov/20558603/" TargetMode="Externa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4.bin"/><Relationship Id="rId41" Type="http://schemas.openxmlformats.org/officeDocument/2006/relationships/image" Target="media/image17.wmf"/><Relationship Id="rId54" Type="http://schemas.openxmlformats.org/officeDocument/2006/relationships/hyperlink" Target="https://journals.sagepub.com/doi/citedby/10.1080/15401420490507512"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oleObject" Target="embeddings/oleObject24.bin"/><Relationship Id="rId53" Type="http://schemas.openxmlformats.org/officeDocument/2006/relationships/hyperlink" Target="https://pubmed.ncbi.nlm.nih.gov/?term=Baldwin+LA&amp;cauthor_id=10745295" TargetMode="Externa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hyperlink" Target="https://journals.sagepub.com/doi/10.1177/1091581810363012" TargetMode="External"/><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hyperlink" Target="https://pubmed.ncbi.nlm.nih.gov/?term=Calabrese+EJ&amp;cauthor_id=10745295" TargetMode="Externa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23.bin"/><Relationship Id="rId48" Type="http://schemas.openxmlformats.org/officeDocument/2006/relationships/hyperlink" Target="https://journals.sagepub.com/doi/10.1177/1091581810363012" TargetMode="External"/><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yperlink" Target="https://pubmed.ncbi.nlm.nih.gov/?term=Meyerson+G&amp;cauthor_id=3076843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bondaren.koma3007@gmail.com</dc:creator>
  <cp:keywords/>
  <dc:description/>
  <cp:lastModifiedBy>bondaren.koma3007@gmail.com</cp:lastModifiedBy>
  <cp:revision>21</cp:revision>
  <dcterms:created xsi:type="dcterms:W3CDTF">2021-04-21T17:25:00Z</dcterms:created>
  <dcterms:modified xsi:type="dcterms:W3CDTF">2021-04-21T22:06:00Z</dcterms:modified>
</cp:coreProperties>
</file>