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E7AC" w14:textId="77777777" w:rsidR="00EB1C73" w:rsidRDefault="00EB1C73">
      <w:pPr>
        <w:pStyle w:val="a8"/>
        <w:spacing w:line="360" w:lineRule="auto"/>
        <w:rPr>
          <w:rFonts w:ascii="inherit" w:hAnsi="inherit" w:hint="eastAsia"/>
          <w:sz w:val="28"/>
          <w:lang w:val="uk-UA"/>
        </w:rPr>
      </w:pPr>
    </w:p>
    <w:p w14:paraId="2F0A8D46" w14:textId="77777777" w:rsidR="00EB1C73" w:rsidRDefault="00BA7432">
      <w:pPr>
        <w:pStyle w:val="a8"/>
        <w:spacing w:line="36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Особливості фізичної терапії хворих на цукровий діабет 2 типу в поєднанні з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остеоартрозом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колінних суглобів, учасників ліквідації аварії на Чорнобильській атомній електростанції.</w:t>
      </w:r>
    </w:p>
    <w:p w14:paraId="42DA7D76" w14:textId="72A1F6FE" w:rsidR="00EB1C73" w:rsidRDefault="00BA7432">
      <w:pPr>
        <w:pStyle w:val="a8"/>
        <w:spacing w:line="36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vertAlign w:val="superscript"/>
          <w:lang w:val="uk-UA"/>
        </w:rPr>
        <w:t>1</w:t>
      </w:r>
      <w:r>
        <w:rPr>
          <w:rFonts w:ascii="Times New Roman" w:hAnsi="Times New Roman"/>
          <w:b/>
          <w:bCs/>
          <w:sz w:val="28"/>
          <w:lang w:val="uk-UA"/>
        </w:rPr>
        <w:t>К.мед.н.</w:t>
      </w:r>
      <w:r w:rsidR="00805989">
        <w:rPr>
          <w:rFonts w:ascii="Times New Roman" w:hAnsi="Times New Roman"/>
          <w:b/>
          <w:bCs/>
          <w:sz w:val="28"/>
          <w:lang w:val="uk-UA"/>
        </w:rPr>
        <w:t xml:space="preserve">, доц. </w:t>
      </w:r>
      <w:r>
        <w:rPr>
          <w:rFonts w:ascii="Times New Roman" w:hAnsi="Times New Roman"/>
          <w:b/>
          <w:bCs/>
          <w:sz w:val="28"/>
          <w:lang w:val="uk-UA"/>
        </w:rPr>
        <w:t xml:space="preserve">Калюжка А.А., </w:t>
      </w:r>
      <w:r>
        <w:rPr>
          <w:rFonts w:ascii="Times New Roman" w:hAnsi="Times New Roman"/>
          <w:b/>
          <w:bCs/>
          <w:sz w:val="28"/>
          <w:vertAlign w:val="superscript"/>
          <w:lang w:val="uk-UA"/>
        </w:rPr>
        <w:t>1</w:t>
      </w:r>
      <w:r>
        <w:rPr>
          <w:rFonts w:ascii="Times New Roman" w:hAnsi="Times New Roman"/>
          <w:b/>
          <w:bCs/>
          <w:sz w:val="28"/>
          <w:lang w:val="uk-UA"/>
        </w:rPr>
        <w:t xml:space="preserve">д.мед.н., проф. Істомін А.Г., </w:t>
      </w:r>
      <w:r>
        <w:rPr>
          <w:rFonts w:ascii="Times New Roman" w:hAnsi="Times New Roman"/>
          <w:b/>
          <w:bCs/>
          <w:sz w:val="28"/>
          <w:vertAlign w:val="superscript"/>
          <w:lang w:val="uk-UA"/>
        </w:rPr>
        <w:t>2</w:t>
      </w:r>
      <w:r>
        <w:rPr>
          <w:rFonts w:ascii="Times New Roman" w:hAnsi="Times New Roman"/>
          <w:b/>
          <w:bCs/>
          <w:sz w:val="28"/>
          <w:lang w:val="uk-UA"/>
        </w:rPr>
        <w:t xml:space="preserve">Пирогова І.В., </w:t>
      </w:r>
      <w:r>
        <w:rPr>
          <w:rFonts w:ascii="Times New Roman" w:hAnsi="Times New Roman"/>
          <w:b/>
          <w:bCs/>
          <w:sz w:val="28"/>
          <w:vertAlign w:val="superscript"/>
          <w:lang w:val="uk-UA"/>
        </w:rPr>
        <w:t>2</w:t>
      </w:r>
      <w:r>
        <w:rPr>
          <w:rFonts w:ascii="Times New Roman" w:hAnsi="Times New Roman"/>
          <w:b/>
          <w:bCs/>
          <w:sz w:val="28"/>
          <w:lang w:val="uk-UA"/>
        </w:rPr>
        <w:t>к.мед.н. 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Катаржнова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І.В., </w:t>
      </w:r>
      <w:r>
        <w:rPr>
          <w:rFonts w:ascii="Times New Roman" w:hAnsi="Times New Roman"/>
          <w:b/>
          <w:bCs/>
          <w:sz w:val="28"/>
          <w:vertAlign w:val="superscript"/>
          <w:lang w:val="uk-UA"/>
        </w:rPr>
        <w:t>1</w:t>
      </w:r>
      <w:r>
        <w:rPr>
          <w:rFonts w:ascii="Times New Roman" w:hAnsi="Times New Roman"/>
          <w:b/>
          <w:bCs/>
          <w:sz w:val="28"/>
          <w:lang w:val="uk-UA"/>
        </w:rPr>
        <w:t xml:space="preserve">Сивенко О.Л., </w:t>
      </w:r>
      <w:r>
        <w:rPr>
          <w:rFonts w:ascii="Times New Roman" w:hAnsi="Times New Roman"/>
          <w:b/>
          <w:bCs/>
          <w:sz w:val="28"/>
          <w:vertAlign w:val="superscript"/>
          <w:lang w:val="uk-UA"/>
        </w:rPr>
        <w:t>1</w:t>
      </w:r>
      <w:r>
        <w:rPr>
          <w:rFonts w:ascii="Times New Roman" w:hAnsi="Times New Roman"/>
          <w:b/>
          <w:bCs/>
          <w:sz w:val="28"/>
          <w:lang w:val="uk-UA"/>
        </w:rPr>
        <w:t>Овчаренко Л.А.</w:t>
      </w:r>
    </w:p>
    <w:p w14:paraId="530BF933" w14:textId="77777777" w:rsidR="00EB1C73" w:rsidRDefault="00BA7432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uk-UA" w:eastAsia="en-US"/>
        </w:rPr>
        <w:t>1</w:t>
      </w:r>
      <w:r>
        <w:rPr>
          <w:rFonts w:ascii="Times New Roman" w:hAnsi="Times New Roman" w:cs="Times New Roman"/>
          <w:i/>
          <w:sz w:val="28"/>
          <w:lang w:val="uk-UA"/>
        </w:rPr>
        <w:t>Харківський національний медичний університет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МОЗ України,</w:t>
      </w:r>
    </w:p>
    <w:p w14:paraId="0D63F17F" w14:textId="77777777" w:rsidR="00EB1C73" w:rsidRDefault="00BA7432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uk-UA" w:eastAsia="en-US"/>
        </w:rPr>
        <w:t>2</w:t>
      </w:r>
      <w:r>
        <w:rPr>
          <w:rFonts w:ascii="Times New Roman" w:hAnsi="Times New Roman" w:cs="Times New Roman"/>
          <w:i/>
          <w:sz w:val="28"/>
          <w:lang w:val="uk-UA"/>
        </w:rPr>
        <w:t>Харківський обласний клінічний спеціалізований диспансер радіаційного захисту населення</w:t>
      </w:r>
    </w:p>
    <w:p w14:paraId="4E34520E" w14:textId="77777777" w:rsidR="00EB1C73" w:rsidRDefault="00BA7432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tw-target-text4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Вступ.</w:t>
      </w:r>
      <w:r>
        <w:rPr>
          <w:rFonts w:ascii="Times New Roman" w:hAnsi="Times New Roman"/>
          <w:sz w:val="28"/>
          <w:szCs w:val="28"/>
          <w:lang w:val="uk-UA"/>
        </w:rPr>
        <w:t xml:space="preserve"> У структурі ендокринних захворювань на цукровий діабет припадає близько 60% випадків, а той же час є дані, що справжня захворюваність в 2 рази і більше вище зареєстрованої. Тому актуальність розробки нових методів лікування цукрового діабету, в тому числі і немедикаментозних, не викликає сумнівів.</w:t>
      </w:r>
    </w:p>
    <w:p w14:paraId="483CB069" w14:textId="77777777" w:rsidR="00EB1C73" w:rsidRDefault="00BA7432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tw-target-text5"/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  <w:t>Мета.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активізації залишкової секреції інсуліну в-клітинами підшлункової залози, компенсації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субкомпенсації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цукрового діабету і подальшої можливої ​​корекції доз цукрознижувальних препаратів у хворих на цукровий діабет 2 типу застосовувалося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електровіброакустичний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вплив, що представляє собою поєднання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віброакустичного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впливу від апарату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Вітафон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який створює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мікровібрацію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частотою, що безперервно змінюється та проводиться за допомогою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віброакустичних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перетворювачів — віброфонів та електрофорезу.</w:t>
      </w:r>
    </w:p>
    <w:p w14:paraId="5B48975E" w14:textId="77777777" w:rsidR="00EB1C73" w:rsidRDefault="00BA7432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Матеріали та методи.</w:t>
      </w:r>
      <w:r>
        <w:rPr>
          <w:rFonts w:ascii="Times New Roman" w:hAnsi="Times New Roman"/>
          <w:sz w:val="28"/>
          <w:szCs w:val="28"/>
          <w:lang w:val="uk-UA"/>
        </w:rPr>
        <w:t xml:space="preserve"> Дана методика передбачає поліпшення мікроциркуляції, покращення обміну речовин в підшлунковій залозі під впливом гальванічних струмів і механічних коливань. Крім того, розкриття резервних капілярів під впливом вібрації сприяє охопленню більшого масиву тканин електричним струмом, що істотно підсилює лікувальний ефект. Ми використовували електрофорез 1% нікотинової кислоти.</w:t>
      </w:r>
    </w:p>
    <w:p w14:paraId="0AE3C838" w14:textId="77777777" w:rsidR="00EB1C73" w:rsidRPr="00805989" w:rsidRDefault="00EB1C73">
      <w:pPr>
        <w:rPr>
          <w:rFonts w:hint="eastAsia"/>
          <w:lang w:val="ru-RU"/>
        </w:rPr>
        <w:sectPr w:rsidR="00EB1C73" w:rsidRPr="00805989">
          <w:pgSz w:w="12240" w:h="15840"/>
          <w:pgMar w:top="1134" w:right="1134" w:bottom="1134" w:left="1134" w:header="0" w:footer="0" w:gutter="0"/>
          <w:cols w:space="720"/>
          <w:formProt w:val="0"/>
          <w:docGrid w:linePitch="326"/>
        </w:sectPr>
      </w:pPr>
    </w:p>
    <w:p w14:paraId="5F84C25E" w14:textId="77777777" w:rsidR="00EB1C73" w:rsidRDefault="00BA7432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tw-target-text7"/>
      <w:bookmarkEnd w:id="2"/>
      <w:r>
        <w:rPr>
          <w:rFonts w:ascii="Times New Roman" w:hAnsi="Times New Roman"/>
          <w:b/>
          <w:bCs/>
          <w:sz w:val="28"/>
          <w:szCs w:val="28"/>
          <w:lang w:val="uk-UA"/>
        </w:rPr>
        <w:t>Результати.</w:t>
      </w:r>
      <w:r>
        <w:rPr>
          <w:rFonts w:ascii="Times New Roman" w:hAnsi="Times New Roman"/>
          <w:sz w:val="28"/>
          <w:szCs w:val="28"/>
          <w:lang w:val="uk-UA"/>
        </w:rPr>
        <w:t xml:space="preserve"> Під спостереженням знаходилися 47 хворих на цукровий діабет 2 типу 40-65 років. З них - 9 жінок і 38 чоловіків. Всім хворим додатково до базової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цукрознижувальної терапії призначали курс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електровіброакустичного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впливу, яке проводилося за такою методикою:</w:t>
      </w:r>
      <w:bookmarkStart w:id="3" w:name="tw-target-text8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катод від апарату для проведення електрофорезу “Поток-1” з прокладкою, змоченою 1% розчином нікотинової кислоти, розташовувався в області лівого підребер'я, анод - в лівій підлопатковій області. Режим впливу струму 20 хвилин. По обидва боки від катода розміщувалися віброфони від апарату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Вітафон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 Використовувалися 2 і 4 режими роботи по 10 хвилин кожен. Курс лікування становив 10 процедур, що відпускаються щодня або через день.</w:t>
      </w:r>
    </w:p>
    <w:p w14:paraId="03216891" w14:textId="77777777" w:rsidR="00EB1C73" w:rsidRDefault="00BA7432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tw-target-text9"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Після перших 2 - 3 процедур хворі відзначали зменшення сухості в роті, поліурії,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свербежу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До кінця курсу лікування у 82% із них ці симптоми зникали. У 5 хворих вміст глюкози крові знизився до показників фізіологічної норми. Це дало можливість зменшити дозу цукрознижувальних препаратів під контролем рівня глюкози в крові пацієнтів.</w:t>
      </w:r>
    </w:p>
    <w:p w14:paraId="33B5430A" w14:textId="77777777" w:rsidR="00EB1C73" w:rsidRDefault="00BA7432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у цих хворих спостерігався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остеоартроз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 ДОА) колінних суглобів різних стадій захворювання. Поряд із застосуванням традиційного лікування, яке включало використання нестероїдних протизапальних препаратів, аналгетичних засобів, проводилася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лазеротерапія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допомогою інфрачервоного лазерного терапевтичного  апарату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Мілта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по зонам - бічні поверхні суглоба, зона на 2 см вище і нижче колінної чашечки і підколінної ямки. Частота 50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експозиція по 1 хв кожної частотою на кожну зону, загальний час впливу 8 хв.</w:t>
      </w:r>
      <w:bookmarkStart w:id="5" w:name="tw-target-text1"/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 Послідовно, без  інтервалу часу, здійснювалася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інтерференцтерапія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допомогою апарату «Радіус 01 - Інтер СМ», з ритмічної частотою 0-100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час впливу 10 хв. Курс 10 щоденних процедур. Контрольної була група, що складалася з 34 пацієнтів, яким фізичні методи лікування не використовували, порівнянна з основною за тривалістю і стадії захворювання.</w:t>
      </w:r>
    </w:p>
    <w:p w14:paraId="4BD9B199" w14:textId="77777777" w:rsidR="00EB1C73" w:rsidRDefault="00BA7432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tw-target-text2"/>
      <w:bookmarkEnd w:id="6"/>
      <w:r>
        <w:rPr>
          <w:rFonts w:ascii="Times New Roman" w:hAnsi="Times New Roman"/>
          <w:b/>
          <w:bCs/>
          <w:sz w:val="28"/>
          <w:szCs w:val="28"/>
          <w:lang w:val="uk-UA"/>
        </w:rPr>
        <w:t>Результати.</w:t>
      </w:r>
      <w:r>
        <w:rPr>
          <w:rFonts w:ascii="Times New Roman" w:hAnsi="Times New Roman"/>
          <w:sz w:val="28"/>
          <w:szCs w:val="28"/>
          <w:lang w:val="uk-UA"/>
        </w:rPr>
        <w:t xml:space="preserve"> Відзначена позитивна динаміка лікування у пацієнтів основної групи, яка проявлялася зменшенням больових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відчуттів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більш значуще у пацієнтів 1 і 2 стадії захворювання, що дозволило до 5 дня лікування зменшити прийом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нестероїдних протизапальних препаратів і аналгетичних засобів. До 7 дня терапії 85% хворих відмовилися від прийому анальгетиків. До кінця лікування відзначено збільшення амплітуди активних і пасивних рухів у суглобах, зменшення набряклості суглобів.</w:t>
      </w:r>
    </w:p>
    <w:p w14:paraId="797F18B0" w14:textId="77777777" w:rsidR="00EB1C73" w:rsidRDefault="00BA7432" w:rsidP="00805989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tw-target-text3"/>
      <w:bookmarkEnd w:id="7"/>
      <w:r>
        <w:rPr>
          <w:rFonts w:ascii="Times New Roman" w:hAnsi="Times New Roman"/>
          <w:b/>
          <w:bCs/>
          <w:sz w:val="28"/>
          <w:szCs w:val="28"/>
          <w:lang w:val="uk-UA"/>
        </w:rPr>
        <w:t>Висновки.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Запропонована нами методика одночасного застосування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віброакустичного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впливу та електрофорезу 1% нікотинової кислоти дозволяють отримати досить виражений терапевтичний ефект у хворих на цукровий діабет 2 типу та ДОА колінних суглобів, учасників ліквідації аварії на ЧАЕС , а послідовне використання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низькоінтенсивного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лазерного випромінювання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інтерференцтерапії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сприяє зменшенню больових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відчуттів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зменшує набряклість суглобів, знижує лікарське навантаження на пацієнтів і покращує якість життя даної категорії хворих.</w:t>
      </w:r>
    </w:p>
    <w:p w14:paraId="1BE31D8A" w14:textId="77777777" w:rsidR="00EB1C73" w:rsidRDefault="00EB1C73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BC2740" w14:textId="77777777" w:rsidR="00EB1C73" w:rsidRDefault="00EB1C73">
      <w:pPr>
        <w:pStyle w:val="Standard"/>
        <w:spacing w:line="360" w:lineRule="auto"/>
        <w:jc w:val="both"/>
        <w:rPr>
          <w:rStyle w:val="-"/>
          <w:rFonts w:ascii="Times New Roman" w:hAnsi="Times New Roman"/>
          <w:sz w:val="28"/>
          <w:szCs w:val="28"/>
          <w:lang w:val="uk-UA"/>
        </w:rPr>
      </w:pPr>
    </w:p>
    <w:p w14:paraId="6F3A6696" w14:textId="77777777" w:rsidR="00EB1C73" w:rsidRPr="00805989" w:rsidRDefault="00EB1C73">
      <w:pPr>
        <w:pStyle w:val="a8"/>
        <w:spacing w:line="360" w:lineRule="auto"/>
        <w:jc w:val="both"/>
        <w:rPr>
          <w:rStyle w:val="-"/>
          <w:rFonts w:hint="eastAsia"/>
          <w:color w:val="1C1C1C"/>
          <w:u w:val="none"/>
          <w:lang w:val="uk-UA"/>
        </w:rPr>
      </w:pPr>
    </w:p>
    <w:sectPr w:rsidR="00EB1C73" w:rsidRPr="00805989">
      <w:type w:val="continuous"/>
      <w:pgSz w:w="12240" w:h="15840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Cambria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73"/>
    <w:rsid w:val="000D7D75"/>
    <w:rsid w:val="00683A22"/>
    <w:rsid w:val="00805989"/>
    <w:rsid w:val="00994470"/>
    <w:rsid w:val="00A66BDD"/>
    <w:rsid w:val="00BA7432"/>
    <w:rsid w:val="00EB1C73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C000"/>
  <w15:docId w15:val="{CD6C4AA5-8010-4FDA-9C6D-87443C3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D867B1"/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-">
    <w:name w:val="Интернет-ссылка"/>
    <w:basedOn w:val="a0"/>
    <w:uiPriority w:val="99"/>
    <w:unhideWhenUsed/>
    <w:rsid w:val="00012C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012C92"/>
    <w:rPr>
      <w:color w:val="605E5C"/>
      <w:shd w:val="clear" w:color="auto" w:fill="E1DFDD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8">
    <w:name w:val="Текст в заданном формате"/>
    <w:basedOn w:val="Standard"/>
    <w:qFormat/>
    <w:rPr>
      <w:rFonts w:ascii="Liberation Mono" w:eastAsia="NSimSun" w:hAnsi="Liberation Mono" w:cs="Liberation Mono"/>
      <w:sz w:val="20"/>
      <w:szCs w:val="20"/>
    </w:rPr>
  </w:style>
  <w:style w:type="paragraph" w:styleId="a9">
    <w:name w:val="Balloon Text"/>
    <w:basedOn w:val="a"/>
    <w:qFormat/>
    <w:rsid w:val="00D867B1"/>
    <w:pPr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styleId="aa">
    <w:name w:val="Hyperlink"/>
    <w:basedOn w:val="a0"/>
    <w:uiPriority w:val="99"/>
    <w:unhideWhenUsed/>
    <w:rsid w:val="008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Elena</cp:lastModifiedBy>
  <cp:revision>24</cp:revision>
  <dcterms:created xsi:type="dcterms:W3CDTF">2021-01-14T20:40:00Z</dcterms:created>
  <dcterms:modified xsi:type="dcterms:W3CDTF">2021-03-24T19:44:00Z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