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27BA" w:rsidRPr="00960229" w:rsidRDefault="00F327BA" w:rsidP="00F327BA">
      <w:pPr>
        <w:pStyle w:val="a3"/>
        <w:shd w:val="clear" w:color="auto" w:fill="FFFFFF"/>
        <w:suppressAutoHyphens/>
        <w:spacing w:before="0" w:beforeAutospacing="0" w:after="0" w:afterAutospacing="0"/>
        <w:jc w:val="center"/>
        <w:rPr>
          <w:b/>
          <w:bCs/>
          <w:color w:val="auto"/>
          <w:sz w:val="20"/>
          <w:szCs w:val="20"/>
          <w:shd w:val="clear" w:color="auto" w:fill="FFFFFF"/>
          <w:lang w:val="uk-UA"/>
        </w:rPr>
      </w:pPr>
      <w:r w:rsidRPr="00960229">
        <w:rPr>
          <w:b/>
          <w:color w:val="auto"/>
          <w:sz w:val="20"/>
          <w:szCs w:val="20"/>
          <w:lang w:val="en-US"/>
        </w:rPr>
        <w:t xml:space="preserve">       SOME FACTORS OF FIBROGENESIS AND ANGIOGENESIS AS BIOMARKERS </w:t>
      </w:r>
      <w:r w:rsidRPr="00960229">
        <w:rPr>
          <w:b/>
          <w:bCs/>
          <w:color w:val="auto"/>
          <w:sz w:val="20"/>
          <w:szCs w:val="20"/>
          <w:shd w:val="clear" w:color="auto" w:fill="FFFFFF"/>
          <w:lang w:val="en-US"/>
        </w:rPr>
        <w:t>OF RENAL SCARRING IN CHILDREN WITH VESICOURETERAL REFLUX</w:t>
      </w:r>
    </w:p>
    <w:p w:rsidR="00F327BA" w:rsidRPr="00960229" w:rsidRDefault="00F327BA" w:rsidP="00F327BA">
      <w:pPr>
        <w:shd w:val="clear" w:color="auto" w:fill="FFFFFF"/>
        <w:suppressAutoHyphens/>
        <w:ind w:right="60"/>
        <w:jc w:val="center"/>
        <w:outlineLvl w:val="3"/>
        <w:rPr>
          <w:bCs/>
          <w:i/>
          <w:caps/>
          <w:sz w:val="20"/>
          <w:lang w:val="en-US"/>
        </w:rPr>
      </w:pPr>
      <w:proofErr w:type="spellStart"/>
      <w:r w:rsidRPr="00960229">
        <w:rPr>
          <w:bCs/>
          <w:i/>
          <w:sz w:val="20"/>
          <w:lang w:val="en-US"/>
        </w:rPr>
        <w:t>Makieieva</w:t>
      </w:r>
      <w:proofErr w:type="spellEnd"/>
      <w:r w:rsidRPr="00960229">
        <w:rPr>
          <w:bCs/>
          <w:i/>
          <w:sz w:val="20"/>
          <w:lang w:val="en-US"/>
        </w:rPr>
        <w:t xml:space="preserve"> N., </w:t>
      </w:r>
      <w:proofErr w:type="spellStart"/>
      <w:r w:rsidRPr="00960229">
        <w:rPr>
          <w:bCs/>
          <w:i/>
          <w:sz w:val="20"/>
          <w:lang w:val="en-US"/>
        </w:rPr>
        <w:t>Morozova</w:t>
      </w:r>
      <w:proofErr w:type="spellEnd"/>
      <w:r w:rsidRPr="00960229">
        <w:rPr>
          <w:bCs/>
          <w:i/>
          <w:sz w:val="20"/>
          <w:lang w:val="en-US"/>
        </w:rPr>
        <w:t xml:space="preserve"> O.,</w:t>
      </w:r>
      <w:r w:rsidRPr="00960229">
        <w:rPr>
          <w:i/>
          <w:sz w:val="20"/>
          <w:lang w:val="en-US"/>
        </w:rPr>
        <w:t xml:space="preserve"> </w:t>
      </w:r>
      <w:proofErr w:type="spellStart"/>
      <w:r w:rsidRPr="00960229">
        <w:rPr>
          <w:i/>
          <w:sz w:val="20"/>
          <w:lang w:val="en-US"/>
        </w:rPr>
        <w:t>Iarova</w:t>
      </w:r>
      <w:proofErr w:type="spellEnd"/>
      <w:r w:rsidRPr="00960229">
        <w:rPr>
          <w:i/>
          <w:sz w:val="20"/>
          <w:lang w:val="en-US"/>
        </w:rPr>
        <w:t xml:space="preserve"> K., </w:t>
      </w:r>
      <w:proofErr w:type="spellStart"/>
      <w:r w:rsidRPr="00960229">
        <w:rPr>
          <w:i/>
          <w:sz w:val="20"/>
          <w:lang w:val="en-US"/>
        </w:rPr>
        <w:t>Serhiie</w:t>
      </w:r>
      <w:r w:rsidRPr="00960229">
        <w:rPr>
          <w:i/>
          <w:sz w:val="20"/>
          <w:lang w:val="en-US"/>
        </w:rPr>
        <w:t>n</w:t>
      </w:r>
      <w:r w:rsidRPr="00960229">
        <w:rPr>
          <w:i/>
          <w:sz w:val="20"/>
          <w:lang w:val="en-US"/>
        </w:rPr>
        <w:t>ko</w:t>
      </w:r>
      <w:proofErr w:type="spellEnd"/>
      <w:r w:rsidRPr="00960229">
        <w:rPr>
          <w:i/>
          <w:sz w:val="20"/>
          <w:lang w:val="en-US"/>
        </w:rPr>
        <w:t xml:space="preserve"> K., Makarenko R.</w:t>
      </w:r>
    </w:p>
    <w:p w:rsidR="00F327BA" w:rsidRPr="00960229" w:rsidRDefault="00F327BA" w:rsidP="00F327BA">
      <w:pPr>
        <w:pStyle w:val="a3"/>
        <w:shd w:val="clear" w:color="auto" w:fill="FFFFFF"/>
        <w:suppressAutoHyphens/>
        <w:spacing w:before="0" w:beforeAutospacing="0" w:after="0" w:afterAutospacing="0"/>
        <w:jc w:val="center"/>
        <w:rPr>
          <w:color w:val="auto"/>
          <w:sz w:val="20"/>
          <w:szCs w:val="20"/>
          <w:shd w:val="clear" w:color="auto" w:fill="FFFFFF"/>
          <w:lang w:val="uk-UA"/>
        </w:rPr>
      </w:pPr>
      <w:proofErr w:type="spellStart"/>
      <w:r w:rsidRPr="00960229">
        <w:rPr>
          <w:color w:val="auto"/>
          <w:sz w:val="20"/>
          <w:szCs w:val="20"/>
          <w:shd w:val="clear" w:color="auto" w:fill="FFFFFF"/>
          <w:lang w:val="en-US"/>
        </w:rPr>
        <w:t>Kharkiv</w:t>
      </w:r>
      <w:proofErr w:type="spellEnd"/>
      <w:r w:rsidRPr="00960229">
        <w:rPr>
          <w:color w:val="auto"/>
          <w:sz w:val="20"/>
          <w:szCs w:val="20"/>
          <w:shd w:val="clear" w:color="auto" w:fill="FFFFFF"/>
          <w:lang w:val="en-US"/>
        </w:rPr>
        <w:t xml:space="preserve"> National Medical University</w:t>
      </w:r>
      <w:r w:rsidRPr="00960229">
        <w:rPr>
          <w:color w:val="auto"/>
          <w:sz w:val="20"/>
          <w:szCs w:val="20"/>
          <w:shd w:val="clear" w:color="auto" w:fill="FFFFFF"/>
          <w:lang w:val="uk-UA"/>
        </w:rPr>
        <w:t>,</w:t>
      </w:r>
    </w:p>
    <w:p w:rsidR="00F327BA" w:rsidRPr="00960229" w:rsidRDefault="00F327BA" w:rsidP="00F327BA">
      <w:pPr>
        <w:pStyle w:val="a3"/>
        <w:shd w:val="clear" w:color="auto" w:fill="FFFFFF"/>
        <w:suppressAutoHyphens/>
        <w:spacing w:before="0" w:beforeAutospacing="0" w:after="0" w:afterAutospacing="0"/>
        <w:jc w:val="center"/>
        <w:rPr>
          <w:color w:val="auto"/>
          <w:sz w:val="20"/>
          <w:szCs w:val="20"/>
          <w:shd w:val="clear" w:color="auto" w:fill="FFFFFF"/>
          <w:lang w:val="en-US"/>
        </w:rPr>
      </w:pPr>
      <w:r w:rsidRPr="00960229">
        <w:rPr>
          <w:color w:val="auto"/>
          <w:sz w:val="20"/>
          <w:szCs w:val="20"/>
          <w:shd w:val="clear" w:color="auto" w:fill="FFFFFF"/>
          <w:lang w:val="en-US"/>
        </w:rPr>
        <w:t xml:space="preserve">Department of Pediatrics </w:t>
      </w:r>
      <w:r w:rsidRPr="00960229">
        <w:rPr>
          <w:color w:val="auto"/>
          <w:sz w:val="20"/>
          <w:szCs w:val="20"/>
          <w:shd w:val="clear" w:color="auto" w:fill="FFFFFF"/>
          <w:lang w:val="uk-UA"/>
        </w:rPr>
        <w:t>№</w:t>
      </w:r>
      <w:r w:rsidRPr="00960229">
        <w:rPr>
          <w:color w:val="auto"/>
          <w:sz w:val="20"/>
          <w:szCs w:val="20"/>
          <w:shd w:val="clear" w:color="auto" w:fill="FFFFFF"/>
          <w:lang w:val="en-US"/>
        </w:rPr>
        <w:t>2</w:t>
      </w:r>
    </w:p>
    <w:p w:rsidR="00F327BA" w:rsidRPr="00960229" w:rsidRDefault="00F327BA" w:rsidP="00F327BA">
      <w:pPr>
        <w:suppressAutoHyphens/>
        <w:jc w:val="center"/>
        <w:rPr>
          <w:sz w:val="20"/>
          <w:lang w:val="en-US"/>
        </w:rPr>
      </w:pPr>
      <w:proofErr w:type="spellStart"/>
      <w:r w:rsidRPr="00960229">
        <w:rPr>
          <w:sz w:val="20"/>
          <w:lang w:val="en-US"/>
        </w:rPr>
        <w:t>Kharkiv</w:t>
      </w:r>
      <w:proofErr w:type="spellEnd"/>
      <w:r w:rsidRPr="00960229">
        <w:rPr>
          <w:sz w:val="20"/>
          <w:lang w:val="en-US"/>
        </w:rPr>
        <w:t>, Ukraine</w:t>
      </w:r>
    </w:p>
    <w:p w:rsidR="00F327BA" w:rsidRPr="00960229" w:rsidRDefault="00F327BA" w:rsidP="00F327BA">
      <w:pPr>
        <w:pStyle w:val="a3"/>
        <w:shd w:val="clear" w:color="auto" w:fill="FFFFFF"/>
        <w:suppressAutoHyphens/>
        <w:spacing w:before="0" w:beforeAutospacing="0" w:after="0" w:afterAutospacing="0"/>
        <w:rPr>
          <w:color w:val="auto"/>
          <w:sz w:val="20"/>
          <w:szCs w:val="20"/>
          <w:shd w:val="clear" w:color="auto" w:fill="FFFFFF"/>
          <w:lang w:val="en-US"/>
        </w:rPr>
      </w:pPr>
    </w:p>
    <w:p w:rsidR="00F327BA" w:rsidRPr="00960229" w:rsidRDefault="00F327BA" w:rsidP="00F327BA">
      <w:pPr>
        <w:suppressAutoHyphens/>
        <w:ind w:firstLine="708"/>
        <w:jc w:val="both"/>
        <w:rPr>
          <w:sz w:val="20"/>
          <w:lang w:val="en-US"/>
        </w:rPr>
      </w:pPr>
      <w:r w:rsidRPr="00960229">
        <w:rPr>
          <w:sz w:val="20"/>
          <w:lang w:val="en-US"/>
        </w:rPr>
        <w:t>Introduction and Aim. One of the most common forms of congenital obstructive uropathy in children is vesicoureteral reflux (VUR), which is observed in 1-2% of pediatric population, and its incidence in urinary tract infection is 70%. According to the Intern</w:t>
      </w:r>
      <w:r w:rsidRPr="00960229">
        <w:rPr>
          <w:sz w:val="20"/>
          <w:lang w:val="en-US"/>
        </w:rPr>
        <w:t>a</w:t>
      </w:r>
      <w:r w:rsidRPr="00960229">
        <w:rPr>
          <w:sz w:val="20"/>
          <w:lang w:val="en-US"/>
        </w:rPr>
        <w:t>tional Committee for the Study of Reflux, the incidence of nephrosclerosis in VUR among children of the European population is 48% and it results in the development of the terminal stage of chronic renal failure in 25-60% of patients. Approximately 25% of children with renal scarring (RS) resulting from VUR require hemodialysis and kidney transplantation. The aim of the study was to improve the early diagnosis of the formation and progression RS in children with VUR and chronic pyelonephritis by assessing the urine levels of transforming growth factor beta1 (TGF-β1) and vascular endothelial growth factor (VEGF).</w:t>
      </w:r>
    </w:p>
    <w:p w:rsidR="00F327BA" w:rsidRPr="00960229" w:rsidRDefault="00F327BA" w:rsidP="00F327BA">
      <w:pPr>
        <w:pStyle w:val="a6"/>
        <w:suppressAutoHyphens/>
        <w:ind w:firstLine="708"/>
        <w:jc w:val="both"/>
        <w:rPr>
          <w:rFonts w:ascii="Times New Roman" w:hAnsi="Times New Roman"/>
          <w:sz w:val="20"/>
          <w:szCs w:val="20"/>
          <w:lang w:val="en-US"/>
        </w:rPr>
      </w:pPr>
      <w:r w:rsidRPr="00960229">
        <w:rPr>
          <w:rFonts w:ascii="Times New Roman" w:hAnsi="Times New Roman"/>
          <w:sz w:val="20"/>
          <w:szCs w:val="20"/>
          <w:lang w:val="en-US"/>
        </w:rPr>
        <w:t>Material and Methods. The study involved 117 children (32 boys and 85 girls) aged from 6 months to 17 years with III-V degrees of VUR and chronic pyelonephritis. Taking into account the presence or a</w:t>
      </w:r>
      <w:r w:rsidRPr="00960229">
        <w:rPr>
          <w:rFonts w:ascii="Times New Roman" w:hAnsi="Times New Roman"/>
          <w:sz w:val="20"/>
          <w:szCs w:val="20"/>
          <w:lang w:val="en-US"/>
        </w:rPr>
        <w:t>b</w:t>
      </w:r>
      <w:r w:rsidRPr="00960229">
        <w:rPr>
          <w:rFonts w:ascii="Times New Roman" w:hAnsi="Times New Roman"/>
          <w:sz w:val="20"/>
          <w:szCs w:val="20"/>
          <w:lang w:val="en-US"/>
        </w:rPr>
        <w:t>sence of signs of the RS, the examined children were divided into groups: Group 1 (n = 78) included p</w:t>
      </w:r>
      <w:r w:rsidRPr="00960229">
        <w:rPr>
          <w:rFonts w:ascii="Times New Roman" w:hAnsi="Times New Roman"/>
          <w:sz w:val="20"/>
          <w:szCs w:val="20"/>
          <w:lang w:val="en-US"/>
        </w:rPr>
        <w:t>a</w:t>
      </w:r>
      <w:r w:rsidRPr="00960229">
        <w:rPr>
          <w:rFonts w:ascii="Times New Roman" w:hAnsi="Times New Roman"/>
          <w:sz w:val="20"/>
          <w:szCs w:val="20"/>
          <w:lang w:val="en-US"/>
        </w:rPr>
        <w:t>tients with III-V degree VUR</w:t>
      </w:r>
      <w:r w:rsidRPr="00960229">
        <w:rPr>
          <w:rFonts w:ascii="Times New Roman" w:hAnsi="Times New Roman"/>
          <w:bCs/>
          <w:sz w:val="20"/>
          <w:szCs w:val="20"/>
          <w:lang w:val="en-US"/>
        </w:rPr>
        <w:t xml:space="preserve"> without signs of </w:t>
      </w:r>
      <w:r w:rsidRPr="00960229">
        <w:rPr>
          <w:rFonts w:ascii="Times New Roman" w:hAnsi="Times New Roman"/>
          <w:sz w:val="20"/>
          <w:szCs w:val="20"/>
          <w:lang w:val="en-US"/>
        </w:rPr>
        <w:t>the RS, group 2 (n = 39) – patients with III-V degree VUR and signs of the RS. The control group included 16 practically healthy children.</w:t>
      </w:r>
    </w:p>
    <w:p w:rsidR="00F327BA" w:rsidRPr="00960229" w:rsidRDefault="00F327BA" w:rsidP="00F327BA">
      <w:pPr>
        <w:suppressAutoHyphens/>
        <w:ind w:firstLine="708"/>
        <w:jc w:val="both"/>
        <w:rPr>
          <w:sz w:val="20"/>
          <w:lang w:val="en-US"/>
        </w:rPr>
      </w:pPr>
      <w:r w:rsidRPr="00960229">
        <w:rPr>
          <w:sz w:val="20"/>
          <w:lang w:val="en-US"/>
        </w:rPr>
        <w:t xml:space="preserve">Urine concentrations of TGF-β1 and VEGF were measured with </w:t>
      </w:r>
      <w:r w:rsidRPr="00960229">
        <w:rPr>
          <w:sz w:val="20"/>
          <w:shd w:val="clear" w:color="auto" w:fill="FFFFFF"/>
          <w:lang w:val="en-US"/>
        </w:rPr>
        <w:t xml:space="preserve">commercially available Platinum ELISA (catalog # BMS249/4 and BMS249/4TEN human </w:t>
      </w:r>
      <w:r w:rsidRPr="00960229">
        <w:rPr>
          <w:sz w:val="20"/>
          <w:lang w:val="en-US"/>
        </w:rPr>
        <w:t>TGF</w:t>
      </w:r>
      <w:r w:rsidRPr="00960229">
        <w:rPr>
          <w:sz w:val="20"/>
          <w:lang w:val="en-US"/>
        </w:rPr>
        <w:noBreakHyphen/>
        <w:t>β1</w:t>
      </w:r>
      <w:r w:rsidRPr="00960229">
        <w:rPr>
          <w:sz w:val="20"/>
          <w:shd w:val="clear" w:color="auto" w:fill="FFFFFF"/>
          <w:lang w:val="en-US"/>
        </w:rPr>
        <w:t xml:space="preserve"> # BMS277/2/ and BMS277/2TEN human </w:t>
      </w:r>
      <w:r w:rsidRPr="00960229">
        <w:rPr>
          <w:sz w:val="20"/>
          <w:lang w:val="en-US"/>
        </w:rPr>
        <w:t>VEGF</w:t>
      </w:r>
      <w:r w:rsidRPr="00960229">
        <w:rPr>
          <w:sz w:val="20"/>
          <w:shd w:val="clear" w:color="auto" w:fill="FFFFFF"/>
          <w:lang w:val="en-US"/>
        </w:rPr>
        <w:t>, Austria), according to the manufacturer’s instructions.</w:t>
      </w:r>
      <w:r w:rsidRPr="00960229">
        <w:rPr>
          <w:sz w:val="20"/>
          <w:lang w:val="en-US"/>
        </w:rPr>
        <w:t xml:space="preserve"> Renal ultrasound,</w:t>
      </w:r>
      <w:r w:rsidRPr="00960229">
        <w:rPr>
          <w:rStyle w:val="apple-converted-space"/>
          <w:sz w:val="20"/>
          <w:lang w:val="en-US"/>
        </w:rPr>
        <w:t> </w:t>
      </w:r>
      <w:r w:rsidRPr="00960229">
        <w:rPr>
          <w:sz w:val="20"/>
          <w:vertAlign w:val="superscript"/>
          <w:lang w:val="en-US"/>
        </w:rPr>
        <w:t>99m</w:t>
      </w:r>
      <w:r w:rsidRPr="00960229">
        <w:rPr>
          <w:sz w:val="20"/>
          <w:lang w:val="en-US"/>
        </w:rPr>
        <w:t>Tc</w:t>
      </w:r>
      <w:r w:rsidRPr="00960229">
        <w:rPr>
          <w:sz w:val="20"/>
          <w:lang w:val="en-US"/>
        </w:rPr>
        <w:noBreakHyphen/>
        <w:t xml:space="preserve">dimercaptosuccinic acid scintigraphy (DMSA) and voiding cystourethrography were carried out in all patients. </w:t>
      </w:r>
      <w:r w:rsidRPr="00960229">
        <w:rPr>
          <w:sz w:val="20"/>
          <w:shd w:val="clear" w:color="auto" w:fill="FFFFFF"/>
          <w:lang w:val="en-US"/>
        </w:rPr>
        <w:t xml:space="preserve">Statistical analyses were performed with </w:t>
      </w:r>
      <w:proofErr w:type="spellStart"/>
      <w:r w:rsidRPr="00960229">
        <w:rPr>
          <w:sz w:val="20"/>
          <w:shd w:val="clear" w:color="auto" w:fill="FFFFFF"/>
          <w:lang w:val="en-US"/>
        </w:rPr>
        <w:t>StatSoft</w:t>
      </w:r>
      <w:proofErr w:type="spellEnd"/>
      <w:r w:rsidRPr="00960229">
        <w:rPr>
          <w:sz w:val="20"/>
          <w:shd w:val="clear" w:color="auto" w:fill="FFFFFF"/>
          <w:lang w:val="en-US"/>
        </w:rPr>
        <w:t xml:space="preserve"> STATISTICA Version 8 (Tulsa, OK).</w:t>
      </w:r>
      <w:r w:rsidRPr="00960229">
        <w:rPr>
          <w:sz w:val="20"/>
          <w:lang w:val="en-US"/>
        </w:rPr>
        <w:t xml:space="preserve"> Non-parametric variables are given as median (inte</w:t>
      </w:r>
      <w:r w:rsidRPr="00960229">
        <w:rPr>
          <w:sz w:val="20"/>
          <w:lang w:val="en-US"/>
        </w:rPr>
        <w:t>r</w:t>
      </w:r>
      <w:r w:rsidRPr="00960229">
        <w:rPr>
          <w:sz w:val="20"/>
          <w:lang w:val="en-US"/>
        </w:rPr>
        <w:t xml:space="preserve">quartile range). Differences between groups were tested using Mann-Whitney test. The clinical studies from which materials were obtained for the current study were approved by the Medical Ethics Committee of the </w:t>
      </w:r>
      <w:proofErr w:type="spellStart"/>
      <w:r w:rsidRPr="00960229">
        <w:rPr>
          <w:sz w:val="20"/>
          <w:lang w:val="en-US"/>
        </w:rPr>
        <w:t>Kharkiv</w:t>
      </w:r>
      <w:proofErr w:type="spellEnd"/>
      <w:r w:rsidRPr="00960229">
        <w:rPr>
          <w:sz w:val="20"/>
          <w:lang w:val="en-US"/>
        </w:rPr>
        <w:t xml:space="preserve"> National Medical University and conducted in accordance with the guidelines of the Declaration of He</w:t>
      </w:r>
      <w:r w:rsidRPr="00960229">
        <w:rPr>
          <w:sz w:val="20"/>
          <w:lang w:val="en-US"/>
        </w:rPr>
        <w:t>l</w:t>
      </w:r>
      <w:r w:rsidRPr="00960229">
        <w:rPr>
          <w:sz w:val="20"/>
          <w:lang w:val="en-US"/>
        </w:rPr>
        <w:t>sinki. All participants and/or their parents gave written informed consent.</w:t>
      </w:r>
    </w:p>
    <w:p w:rsidR="00F327BA" w:rsidRPr="00960229" w:rsidRDefault="00F327BA" w:rsidP="00F327BA">
      <w:pPr>
        <w:tabs>
          <w:tab w:val="left" w:pos="567"/>
        </w:tabs>
        <w:suppressAutoHyphens/>
        <w:ind w:firstLine="720"/>
        <w:jc w:val="both"/>
        <w:rPr>
          <w:bCs/>
          <w:sz w:val="20"/>
          <w:lang w:val="en-US"/>
        </w:rPr>
      </w:pPr>
      <w:r w:rsidRPr="00960229">
        <w:rPr>
          <w:sz w:val="20"/>
          <w:lang w:val="en-US"/>
        </w:rPr>
        <w:t xml:space="preserve">Results. </w:t>
      </w:r>
      <w:r w:rsidRPr="00960229">
        <w:rPr>
          <w:bCs/>
          <w:sz w:val="20"/>
          <w:lang w:val="en-US"/>
        </w:rPr>
        <w:t xml:space="preserve">Assessment of the results of the study of pro-fibrotic cytokines revealed a statistically significant increase in urinary excretion of TGF-β1 and VEGF in children with VUR and chronic pyelonephritis, regardless of the </w:t>
      </w:r>
      <w:r w:rsidRPr="00960229">
        <w:rPr>
          <w:sz w:val="20"/>
          <w:lang w:val="en-US"/>
        </w:rPr>
        <w:t>presence or absence of signs of the RS,</w:t>
      </w:r>
      <w:r w:rsidRPr="00960229">
        <w:rPr>
          <w:bCs/>
          <w:sz w:val="20"/>
          <w:lang w:val="en-US"/>
        </w:rPr>
        <w:t xml:space="preserve"> indicating remodeling processes in vessels and renal parenchyma. </w:t>
      </w:r>
    </w:p>
    <w:p w:rsidR="00F327BA" w:rsidRPr="00960229" w:rsidRDefault="00F327BA" w:rsidP="00F327BA">
      <w:pPr>
        <w:tabs>
          <w:tab w:val="left" w:pos="567"/>
        </w:tabs>
        <w:suppressAutoHyphens/>
        <w:ind w:firstLine="720"/>
        <w:jc w:val="both"/>
        <w:rPr>
          <w:bCs/>
          <w:sz w:val="20"/>
          <w:lang w:val="en-US"/>
        </w:rPr>
      </w:pPr>
      <w:r w:rsidRPr="00960229">
        <w:rPr>
          <w:sz w:val="20"/>
          <w:lang w:val="en-US"/>
        </w:rPr>
        <w:t xml:space="preserve">The </w:t>
      </w:r>
      <w:r w:rsidRPr="00960229">
        <w:rPr>
          <w:rStyle w:val="apple-converted-space"/>
          <w:sz w:val="20"/>
          <w:shd w:val="clear" w:color="auto" w:fill="FFFFFF"/>
          <w:lang w:val="en-US"/>
        </w:rPr>
        <w:t xml:space="preserve">urine </w:t>
      </w:r>
      <w:r w:rsidRPr="00960229">
        <w:rPr>
          <w:rStyle w:val="a9"/>
          <w:rFonts w:eastAsia="Calibri"/>
          <w:i w:val="0"/>
          <w:sz w:val="20"/>
          <w:lang w:val="en-US"/>
        </w:rPr>
        <w:t>TGF-</w:t>
      </w:r>
      <w:r w:rsidRPr="00960229">
        <w:rPr>
          <w:rStyle w:val="a9"/>
          <w:rFonts w:eastAsia="Calibri"/>
          <w:i w:val="0"/>
          <w:sz w:val="20"/>
        </w:rPr>
        <w:t>β</w:t>
      </w:r>
      <w:r w:rsidRPr="00960229">
        <w:rPr>
          <w:rStyle w:val="a9"/>
          <w:rFonts w:eastAsia="Calibri"/>
          <w:i w:val="0"/>
          <w:sz w:val="20"/>
          <w:lang w:val="en-US"/>
        </w:rPr>
        <w:t>1</w:t>
      </w:r>
      <w:r w:rsidRPr="00960229">
        <w:rPr>
          <w:rStyle w:val="a9"/>
          <w:rFonts w:eastAsia="Calibri"/>
          <w:sz w:val="20"/>
          <w:lang w:val="en-US"/>
        </w:rPr>
        <w:t xml:space="preserve"> </w:t>
      </w:r>
      <w:r w:rsidRPr="00960229">
        <w:rPr>
          <w:sz w:val="20"/>
          <w:shd w:val="clear" w:color="auto" w:fill="FFFFFF"/>
          <w:lang w:val="en-US"/>
        </w:rPr>
        <w:t>levels were increased in the patients of the 1</w:t>
      </w:r>
      <w:r w:rsidRPr="00960229">
        <w:rPr>
          <w:sz w:val="20"/>
          <w:shd w:val="clear" w:color="auto" w:fill="FFFFFF"/>
          <w:vertAlign w:val="superscript"/>
          <w:lang w:val="en-US"/>
        </w:rPr>
        <w:t>st</w:t>
      </w:r>
      <w:r w:rsidRPr="00960229">
        <w:rPr>
          <w:sz w:val="20"/>
          <w:shd w:val="clear" w:color="auto" w:fill="FFFFFF"/>
          <w:lang w:val="en-US"/>
        </w:rPr>
        <w:t xml:space="preserve"> and 2</w:t>
      </w:r>
      <w:r w:rsidRPr="00960229">
        <w:rPr>
          <w:sz w:val="20"/>
          <w:shd w:val="clear" w:color="auto" w:fill="FFFFFF"/>
          <w:vertAlign w:val="superscript"/>
          <w:lang w:val="en-US"/>
        </w:rPr>
        <w:t>nd</w:t>
      </w:r>
      <w:r w:rsidRPr="00960229">
        <w:rPr>
          <w:sz w:val="20"/>
          <w:shd w:val="clear" w:color="auto" w:fill="FFFFFF"/>
          <w:lang w:val="en-US"/>
        </w:rPr>
        <w:t> groups, compared with controls (</w:t>
      </w:r>
      <w:r w:rsidRPr="00960229">
        <w:rPr>
          <w:sz w:val="20"/>
          <w:lang w:val="en-US"/>
        </w:rPr>
        <w:t>70.2 (28.7; 105.5)</w:t>
      </w:r>
      <w:r w:rsidRPr="00960229">
        <w:rPr>
          <w:sz w:val="20"/>
          <w:shd w:val="clear" w:color="auto" w:fill="FFFFFF"/>
          <w:lang w:val="en-US"/>
        </w:rPr>
        <w:t xml:space="preserve"> and </w:t>
      </w:r>
      <w:r w:rsidRPr="00960229">
        <w:rPr>
          <w:sz w:val="20"/>
          <w:lang w:val="en-US"/>
        </w:rPr>
        <w:t>139.5 (117.2; 215.9)</w:t>
      </w:r>
      <w:r w:rsidRPr="00960229">
        <w:rPr>
          <w:sz w:val="20"/>
          <w:shd w:val="clear" w:color="auto" w:fill="FFFFFF"/>
          <w:lang w:val="en-US"/>
        </w:rPr>
        <w:t xml:space="preserve">, compared with </w:t>
      </w:r>
      <w:r w:rsidRPr="00960229">
        <w:rPr>
          <w:sz w:val="20"/>
          <w:lang w:val="en-US"/>
        </w:rPr>
        <w:t>14.0 (3.1; 29.2)</w:t>
      </w:r>
      <w:r w:rsidRPr="00960229">
        <w:rPr>
          <w:sz w:val="20"/>
          <w:shd w:val="clear" w:color="auto" w:fill="FFFFFF"/>
          <w:lang w:val="en-US"/>
        </w:rPr>
        <w:t xml:space="preserve"> </w:t>
      </w:r>
      <w:proofErr w:type="spellStart"/>
      <w:r w:rsidRPr="00960229">
        <w:rPr>
          <w:sz w:val="20"/>
          <w:shd w:val="clear" w:color="auto" w:fill="FFFFFF"/>
          <w:lang w:val="en-US"/>
        </w:rPr>
        <w:t>pg</w:t>
      </w:r>
      <w:proofErr w:type="spellEnd"/>
      <w:r w:rsidRPr="00960229">
        <w:rPr>
          <w:sz w:val="20"/>
          <w:shd w:val="clear" w:color="auto" w:fill="FFFFFF"/>
          <w:lang w:val="en-US"/>
        </w:rPr>
        <w:t>/ml, respectively) (P</w:t>
      </w:r>
      <w:r w:rsidRPr="00960229">
        <w:rPr>
          <w:sz w:val="20"/>
          <w:shd w:val="clear" w:color="auto" w:fill="FFFFFF"/>
          <w:vertAlign w:val="subscript"/>
          <w:lang w:val="en-US"/>
        </w:rPr>
        <w:t xml:space="preserve">1-k </w:t>
      </w:r>
      <w:r w:rsidRPr="00960229">
        <w:rPr>
          <w:sz w:val="20"/>
          <w:shd w:val="clear" w:color="auto" w:fill="FFFFFF"/>
          <w:lang w:val="en-US"/>
        </w:rPr>
        <w:t xml:space="preserve">= </w:t>
      </w:r>
      <w:r w:rsidRPr="00960229">
        <w:rPr>
          <w:rFonts w:eastAsia="Calibri"/>
          <w:sz w:val="20"/>
          <w:lang w:val="en-US" w:eastAsia="en-US"/>
        </w:rPr>
        <w:t>0.0002</w:t>
      </w:r>
      <w:r w:rsidRPr="00960229">
        <w:rPr>
          <w:sz w:val="20"/>
          <w:shd w:val="clear" w:color="auto" w:fill="FFFFFF"/>
          <w:lang w:val="en-US"/>
        </w:rPr>
        <w:t>; P</w:t>
      </w:r>
      <w:r w:rsidRPr="00960229">
        <w:rPr>
          <w:sz w:val="20"/>
          <w:shd w:val="clear" w:color="auto" w:fill="FFFFFF"/>
          <w:vertAlign w:val="subscript"/>
          <w:lang w:val="en-US"/>
        </w:rPr>
        <w:t xml:space="preserve">2-k </w:t>
      </w:r>
      <w:r w:rsidRPr="00960229">
        <w:rPr>
          <w:sz w:val="20"/>
          <w:shd w:val="clear" w:color="auto" w:fill="FFFFFF"/>
          <w:lang w:val="en-US"/>
        </w:rPr>
        <w:t xml:space="preserve">= 0.0001)). </w:t>
      </w:r>
      <w:r w:rsidRPr="00960229">
        <w:rPr>
          <w:bCs/>
          <w:sz w:val="20"/>
          <w:lang w:val="en-US"/>
        </w:rPr>
        <w:t>The level of urinary excretion of TGF-β1, as the main factor for the deve</w:t>
      </w:r>
      <w:r w:rsidRPr="00960229">
        <w:rPr>
          <w:bCs/>
          <w:sz w:val="20"/>
          <w:lang w:val="en-US"/>
        </w:rPr>
        <w:t>l</w:t>
      </w:r>
      <w:r w:rsidRPr="00960229">
        <w:rPr>
          <w:bCs/>
          <w:sz w:val="20"/>
          <w:lang w:val="en-US"/>
        </w:rPr>
        <w:t xml:space="preserve">opment of fibrosis, in children </w:t>
      </w:r>
      <w:r w:rsidRPr="00960229">
        <w:rPr>
          <w:sz w:val="20"/>
          <w:shd w:val="clear" w:color="auto" w:fill="FFFFFF"/>
          <w:lang w:val="en-US"/>
        </w:rPr>
        <w:t>of the 2</w:t>
      </w:r>
      <w:r w:rsidRPr="00960229">
        <w:rPr>
          <w:sz w:val="20"/>
          <w:shd w:val="clear" w:color="auto" w:fill="FFFFFF"/>
          <w:vertAlign w:val="superscript"/>
          <w:lang w:val="en-US"/>
        </w:rPr>
        <w:t>nd</w:t>
      </w:r>
      <w:r w:rsidRPr="00960229">
        <w:rPr>
          <w:sz w:val="20"/>
          <w:shd w:val="clear" w:color="auto" w:fill="FFFFFF"/>
          <w:lang w:val="en-US"/>
        </w:rPr>
        <w:t xml:space="preserve"> group</w:t>
      </w:r>
      <w:r w:rsidRPr="00960229">
        <w:rPr>
          <w:bCs/>
          <w:sz w:val="20"/>
          <w:lang w:val="en-US"/>
        </w:rPr>
        <w:t xml:space="preserve"> was significantly higher than those of patients </w:t>
      </w:r>
      <w:r w:rsidRPr="00960229">
        <w:rPr>
          <w:sz w:val="20"/>
          <w:shd w:val="clear" w:color="auto" w:fill="FFFFFF"/>
          <w:lang w:val="en-US"/>
        </w:rPr>
        <w:t>of the 1</w:t>
      </w:r>
      <w:r w:rsidRPr="00960229">
        <w:rPr>
          <w:sz w:val="20"/>
          <w:shd w:val="clear" w:color="auto" w:fill="FFFFFF"/>
          <w:vertAlign w:val="superscript"/>
          <w:lang w:val="en-US"/>
        </w:rPr>
        <w:t xml:space="preserve">st </w:t>
      </w:r>
      <w:r w:rsidRPr="00960229">
        <w:rPr>
          <w:sz w:val="20"/>
          <w:shd w:val="clear" w:color="auto" w:fill="FFFFFF"/>
          <w:lang w:val="en-US"/>
        </w:rPr>
        <w:t xml:space="preserve">group </w:t>
      </w:r>
      <w:r w:rsidRPr="00960229">
        <w:rPr>
          <w:sz w:val="20"/>
          <w:lang w:val="en-US"/>
        </w:rPr>
        <w:t>((139.5 vs. 70.2), (P</w:t>
      </w:r>
      <w:r w:rsidRPr="00960229">
        <w:rPr>
          <w:sz w:val="20"/>
          <w:vertAlign w:val="subscript"/>
          <w:lang w:val="en-US"/>
        </w:rPr>
        <w:t>1-2</w:t>
      </w:r>
      <w:r w:rsidRPr="00960229">
        <w:rPr>
          <w:sz w:val="20"/>
          <w:lang w:val="en-US"/>
        </w:rPr>
        <w:t xml:space="preserve"> </w:t>
      </w:r>
      <w:r w:rsidRPr="00960229">
        <w:rPr>
          <w:sz w:val="20"/>
          <w:shd w:val="clear" w:color="auto" w:fill="FFFFFF"/>
          <w:lang w:val="en-US"/>
        </w:rPr>
        <w:t>= 0.0010))</w:t>
      </w:r>
      <w:r w:rsidRPr="00960229">
        <w:rPr>
          <w:bCs/>
          <w:sz w:val="20"/>
          <w:lang w:val="en-US"/>
        </w:rPr>
        <w:t xml:space="preserve">. Indices of urinary excretion of VEGF in children </w:t>
      </w:r>
      <w:r w:rsidRPr="00960229">
        <w:rPr>
          <w:sz w:val="20"/>
          <w:shd w:val="clear" w:color="auto" w:fill="FFFFFF"/>
          <w:lang w:val="en-US"/>
        </w:rPr>
        <w:t>of the 2</w:t>
      </w:r>
      <w:r w:rsidRPr="00960229">
        <w:rPr>
          <w:sz w:val="20"/>
          <w:shd w:val="clear" w:color="auto" w:fill="FFFFFF"/>
          <w:vertAlign w:val="superscript"/>
          <w:lang w:val="en-US"/>
        </w:rPr>
        <w:t>nd</w:t>
      </w:r>
      <w:r w:rsidRPr="00960229">
        <w:rPr>
          <w:sz w:val="20"/>
          <w:shd w:val="clear" w:color="auto" w:fill="FFFFFF"/>
          <w:lang w:val="en-US"/>
        </w:rPr>
        <w:t xml:space="preserve"> group</w:t>
      </w:r>
      <w:r w:rsidRPr="00960229">
        <w:rPr>
          <w:bCs/>
          <w:sz w:val="20"/>
          <w:lang w:val="en-US"/>
        </w:rPr>
        <w:t xml:space="preserve"> were significantly lower than those of patients </w:t>
      </w:r>
      <w:r w:rsidRPr="00960229">
        <w:rPr>
          <w:sz w:val="20"/>
          <w:shd w:val="clear" w:color="auto" w:fill="FFFFFF"/>
          <w:lang w:val="en-US"/>
        </w:rPr>
        <w:t>of the 1</w:t>
      </w:r>
      <w:r w:rsidRPr="00960229">
        <w:rPr>
          <w:sz w:val="20"/>
          <w:shd w:val="clear" w:color="auto" w:fill="FFFFFF"/>
          <w:vertAlign w:val="superscript"/>
          <w:lang w:val="en-US"/>
        </w:rPr>
        <w:t xml:space="preserve">st </w:t>
      </w:r>
      <w:r w:rsidRPr="00960229">
        <w:rPr>
          <w:sz w:val="20"/>
          <w:shd w:val="clear" w:color="auto" w:fill="FFFFFF"/>
          <w:lang w:val="en-US"/>
        </w:rPr>
        <w:t xml:space="preserve">group </w:t>
      </w:r>
      <w:r w:rsidRPr="00960229">
        <w:rPr>
          <w:sz w:val="20"/>
          <w:lang w:val="en-US"/>
        </w:rPr>
        <w:t xml:space="preserve">(124.9 (104.9; 152.6) and 244.2 (189.3; 295.8)) </w:t>
      </w:r>
      <w:r w:rsidRPr="00960229">
        <w:rPr>
          <w:sz w:val="20"/>
          <w:shd w:val="clear" w:color="auto" w:fill="FFFFFF"/>
          <w:lang w:val="en-US"/>
        </w:rPr>
        <w:t>(P</w:t>
      </w:r>
      <w:r w:rsidRPr="00960229">
        <w:rPr>
          <w:sz w:val="20"/>
          <w:shd w:val="clear" w:color="auto" w:fill="FFFFFF"/>
          <w:vertAlign w:val="subscript"/>
          <w:lang w:val="en-US"/>
        </w:rPr>
        <w:t>1</w:t>
      </w:r>
      <w:r w:rsidRPr="00960229">
        <w:rPr>
          <w:sz w:val="20"/>
          <w:shd w:val="clear" w:color="auto" w:fill="FFFFFF"/>
          <w:vertAlign w:val="subscript"/>
          <w:lang w:val="en-US"/>
        </w:rPr>
        <w:noBreakHyphen/>
        <w:t>2 </w:t>
      </w:r>
      <w:r w:rsidRPr="00960229">
        <w:rPr>
          <w:sz w:val="20"/>
          <w:shd w:val="clear" w:color="auto" w:fill="FFFFFF"/>
          <w:lang w:val="en-US"/>
        </w:rPr>
        <w:t>= </w:t>
      </w:r>
      <w:r w:rsidRPr="00960229">
        <w:rPr>
          <w:rFonts w:eastAsia="Calibri"/>
          <w:sz w:val="20"/>
          <w:lang w:val="en-US" w:eastAsia="en-US"/>
        </w:rPr>
        <w:t>0.0101</w:t>
      </w:r>
      <w:r w:rsidRPr="00960229">
        <w:rPr>
          <w:sz w:val="20"/>
          <w:shd w:val="clear" w:color="auto" w:fill="FFFFFF"/>
          <w:lang w:val="en-US"/>
        </w:rPr>
        <w:t>)</w:t>
      </w:r>
      <w:r w:rsidRPr="00960229">
        <w:rPr>
          <w:bCs/>
          <w:sz w:val="20"/>
          <w:lang w:val="en-US"/>
        </w:rPr>
        <w:t xml:space="preserve">, but were higher than those of control group children </w:t>
      </w:r>
      <w:r w:rsidRPr="00960229">
        <w:rPr>
          <w:sz w:val="20"/>
          <w:lang w:val="en-US"/>
        </w:rPr>
        <w:t xml:space="preserve">(124.9 (104.9; 152.6) and 40.9 (27.2; 59.3)) </w:t>
      </w:r>
      <w:r w:rsidRPr="00960229">
        <w:rPr>
          <w:sz w:val="20"/>
          <w:shd w:val="clear" w:color="auto" w:fill="FFFFFF"/>
          <w:lang w:val="en-US"/>
        </w:rPr>
        <w:t>(P</w:t>
      </w:r>
      <w:r w:rsidRPr="00960229">
        <w:rPr>
          <w:sz w:val="20"/>
          <w:shd w:val="clear" w:color="auto" w:fill="FFFFFF"/>
          <w:vertAlign w:val="subscript"/>
          <w:lang w:val="en-US"/>
        </w:rPr>
        <w:t>1-k</w:t>
      </w:r>
      <w:r w:rsidRPr="00960229">
        <w:rPr>
          <w:sz w:val="20"/>
          <w:shd w:val="clear" w:color="auto" w:fill="FFFFFF"/>
          <w:lang w:val="en-US"/>
        </w:rPr>
        <w:t xml:space="preserve"> = </w:t>
      </w:r>
      <w:r w:rsidRPr="00960229">
        <w:rPr>
          <w:rFonts w:eastAsia="Calibri"/>
          <w:sz w:val="20"/>
          <w:lang w:val="en-US" w:eastAsia="en-US"/>
        </w:rPr>
        <w:t>0.0003</w:t>
      </w:r>
      <w:r w:rsidRPr="00960229">
        <w:rPr>
          <w:sz w:val="20"/>
          <w:shd w:val="clear" w:color="auto" w:fill="FFFFFF"/>
          <w:lang w:val="en-US"/>
        </w:rPr>
        <w:t>)</w:t>
      </w:r>
      <w:r w:rsidRPr="00960229">
        <w:rPr>
          <w:bCs/>
          <w:sz w:val="20"/>
          <w:lang w:val="en-US"/>
        </w:rPr>
        <w:t>, which further confirmed existing nephrosclerosis.</w:t>
      </w:r>
    </w:p>
    <w:p w:rsidR="00F327BA" w:rsidRPr="00960229" w:rsidRDefault="00F327BA" w:rsidP="00F327BA">
      <w:pPr>
        <w:suppressAutoHyphens/>
        <w:ind w:firstLine="708"/>
        <w:jc w:val="both"/>
        <w:rPr>
          <w:iCs/>
          <w:sz w:val="20"/>
          <w:lang w:val="en-US"/>
        </w:rPr>
      </w:pPr>
      <w:r w:rsidRPr="00960229">
        <w:rPr>
          <w:iCs/>
          <w:sz w:val="20"/>
          <w:lang w:val="en-US"/>
        </w:rPr>
        <w:t xml:space="preserve">The conducted research allowed to propose non-invasive methods for early diagnosis of kidney damage in children with VUR and chronic pyelonephritis, namely urinary excretion rates: TGF-β1&gt; 109.9 </w:t>
      </w:r>
      <w:proofErr w:type="spellStart"/>
      <w:r w:rsidRPr="00960229">
        <w:rPr>
          <w:iCs/>
          <w:sz w:val="20"/>
          <w:lang w:val="en-US"/>
        </w:rPr>
        <w:t>pg</w:t>
      </w:r>
      <w:proofErr w:type="spellEnd"/>
      <w:r w:rsidRPr="00960229">
        <w:rPr>
          <w:iCs/>
          <w:sz w:val="20"/>
          <w:lang w:val="en-US"/>
        </w:rPr>
        <w:t xml:space="preserve"> / ml, VEGF &lt;207.6 </w:t>
      </w:r>
      <w:proofErr w:type="spellStart"/>
      <w:r w:rsidRPr="00960229">
        <w:rPr>
          <w:iCs/>
          <w:sz w:val="20"/>
          <w:lang w:val="en-US"/>
        </w:rPr>
        <w:t>pg</w:t>
      </w:r>
      <w:proofErr w:type="spellEnd"/>
      <w:r w:rsidRPr="00960229">
        <w:rPr>
          <w:iCs/>
          <w:sz w:val="20"/>
          <w:lang w:val="en-US"/>
        </w:rPr>
        <w:t xml:space="preserve"> / ml.</w:t>
      </w:r>
    </w:p>
    <w:p w:rsidR="00F327BA" w:rsidRPr="00960229" w:rsidRDefault="00F327BA" w:rsidP="00F327BA">
      <w:pPr>
        <w:pStyle w:val="4"/>
        <w:shd w:val="clear" w:color="auto" w:fill="FFFFFF"/>
        <w:suppressAutoHyphens/>
        <w:spacing w:before="0" w:after="0"/>
        <w:ind w:right="60" w:firstLine="708"/>
        <w:jc w:val="both"/>
        <w:rPr>
          <w:sz w:val="20"/>
          <w:szCs w:val="20"/>
          <w:lang w:val="uk-UA"/>
        </w:rPr>
      </w:pPr>
      <w:r w:rsidRPr="00960229">
        <w:rPr>
          <w:b w:val="0"/>
          <w:sz w:val="20"/>
          <w:szCs w:val="20"/>
          <w:lang w:val="en-US"/>
        </w:rPr>
        <w:t xml:space="preserve">Conclusions. We found out significant differences in children with VUR and with or without RS </w:t>
      </w:r>
      <w:proofErr w:type="spellStart"/>
      <w:r w:rsidRPr="00960229">
        <w:rPr>
          <w:b w:val="0"/>
          <w:sz w:val="20"/>
          <w:szCs w:val="20"/>
          <w:lang w:val="en-US"/>
        </w:rPr>
        <w:t>u</w:t>
      </w:r>
      <w:r w:rsidRPr="00960229">
        <w:rPr>
          <w:b w:val="0"/>
          <w:iCs/>
          <w:sz w:val="20"/>
          <w:szCs w:val="20"/>
          <w:lang w:val="en-US"/>
        </w:rPr>
        <w:t>TGF</w:t>
      </w:r>
      <w:proofErr w:type="spellEnd"/>
      <w:r w:rsidRPr="00960229">
        <w:rPr>
          <w:b w:val="0"/>
          <w:iCs/>
          <w:sz w:val="20"/>
          <w:szCs w:val="20"/>
          <w:lang w:val="en-US"/>
        </w:rPr>
        <w:t>-β1</w:t>
      </w:r>
      <w:r w:rsidRPr="00960229">
        <w:rPr>
          <w:b w:val="0"/>
          <w:sz w:val="20"/>
          <w:szCs w:val="20"/>
          <w:lang w:val="en-US"/>
        </w:rPr>
        <w:t xml:space="preserve">, </w:t>
      </w:r>
      <w:proofErr w:type="spellStart"/>
      <w:r w:rsidRPr="00960229">
        <w:rPr>
          <w:b w:val="0"/>
          <w:sz w:val="20"/>
          <w:szCs w:val="20"/>
          <w:lang w:val="en-US"/>
        </w:rPr>
        <w:t>u</w:t>
      </w:r>
      <w:r w:rsidRPr="00960229">
        <w:rPr>
          <w:b w:val="0"/>
          <w:iCs/>
          <w:sz w:val="20"/>
          <w:szCs w:val="20"/>
          <w:lang w:val="en-US"/>
        </w:rPr>
        <w:t>VEGF</w:t>
      </w:r>
      <w:proofErr w:type="spellEnd"/>
      <w:r w:rsidRPr="00960229">
        <w:rPr>
          <w:b w:val="0"/>
          <w:sz w:val="20"/>
          <w:szCs w:val="20"/>
          <w:lang w:val="en-US"/>
        </w:rPr>
        <w:t xml:space="preserve">. The determination of </w:t>
      </w:r>
      <w:proofErr w:type="spellStart"/>
      <w:r w:rsidRPr="00960229">
        <w:rPr>
          <w:b w:val="0"/>
          <w:sz w:val="20"/>
          <w:szCs w:val="20"/>
          <w:lang w:val="en-US"/>
        </w:rPr>
        <w:t>u</w:t>
      </w:r>
      <w:r w:rsidRPr="00960229">
        <w:rPr>
          <w:b w:val="0"/>
          <w:iCs/>
          <w:sz w:val="20"/>
          <w:szCs w:val="20"/>
          <w:lang w:val="en-US"/>
        </w:rPr>
        <w:t>TGF</w:t>
      </w:r>
      <w:proofErr w:type="spellEnd"/>
      <w:r w:rsidRPr="00960229">
        <w:rPr>
          <w:b w:val="0"/>
          <w:iCs/>
          <w:sz w:val="20"/>
          <w:szCs w:val="20"/>
          <w:lang w:val="en-US"/>
        </w:rPr>
        <w:t>-β1</w:t>
      </w:r>
      <w:r w:rsidRPr="00960229">
        <w:rPr>
          <w:b w:val="0"/>
          <w:sz w:val="20"/>
          <w:szCs w:val="20"/>
          <w:lang w:val="en-US"/>
        </w:rPr>
        <w:t xml:space="preserve"> a</w:t>
      </w:r>
      <w:r w:rsidRPr="00960229">
        <w:rPr>
          <w:b w:val="0"/>
          <w:sz w:val="20"/>
          <w:szCs w:val="20"/>
          <w:shd w:val="clear" w:color="auto" w:fill="FFFFFF"/>
          <w:lang w:val="en-US"/>
        </w:rPr>
        <w:t xml:space="preserve">nd </w:t>
      </w:r>
      <w:proofErr w:type="spellStart"/>
      <w:r w:rsidRPr="00960229">
        <w:rPr>
          <w:b w:val="0"/>
          <w:sz w:val="20"/>
          <w:szCs w:val="20"/>
          <w:lang w:val="en-US"/>
        </w:rPr>
        <w:t>u</w:t>
      </w:r>
      <w:r w:rsidRPr="00960229">
        <w:rPr>
          <w:b w:val="0"/>
          <w:iCs/>
          <w:sz w:val="20"/>
          <w:szCs w:val="20"/>
          <w:lang w:val="en-US"/>
        </w:rPr>
        <w:t>VEGF</w:t>
      </w:r>
      <w:proofErr w:type="spellEnd"/>
      <w:r w:rsidRPr="00960229">
        <w:rPr>
          <w:b w:val="0"/>
          <w:sz w:val="20"/>
          <w:szCs w:val="20"/>
          <w:shd w:val="clear" w:color="auto" w:fill="FFFFFF"/>
          <w:lang w:val="en-US"/>
        </w:rPr>
        <w:t xml:space="preserve"> levels can provide additional information about the status of the renal parenchyma status in children with VUR especially in places where other investigations are not available.</w:t>
      </w:r>
      <w:r w:rsidRPr="00960229">
        <w:rPr>
          <w:sz w:val="20"/>
          <w:szCs w:val="20"/>
          <w:lang w:val="en-US"/>
        </w:rPr>
        <w:t xml:space="preserve"> </w:t>
      </w:r>
    </w:p>
    <w:p w:rsidR="00F327BA" w:rsidRPr="00F327BA" w:rsidRDefault="00F327BA">
      <w:pPr>
        <w:rPr>
          <w:lang w:val="uk-UA"/>
        </w:rPr>
      </w:pPr>
    </w:p>
    <w:sectPr w:rsidR="00F327BA" w:rsidRPr="00F32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BA"/>
    <w:rsid w:val="00F32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8F1C7-F717-F54B-A699-F9420779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7BA"/>
    <w:rPr>
      <w:rFonts w:ascii="Times New Roman" w:eastAsia="Times New Roman" w:hAnsi="Times New Roman" w:cs="Times New Roman"/>
      <w:szCs w:val="20"/>
      <w:lang w:eastAsia="ru-RU"/>
    </w:rPr>
  </w:style>
  <w:style w:type="paragraph" w:styleId="4">
    <w:name w:val="heading 4"/>
    <w:basedOn w:val="a"/>
    <w:next w:val="a"/>
    <w:link w:val="40"/>
    <w:qFormat/>
    <w:rsid w:val="00F327B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327BA"/>
    <w:rPr>
      <w:rFonts w:ascii="Times New Roman" w:eastAsia="Times New Roman" w:hAnsi="Times New Roman" w:cs="Times New Roman"/>
      <w:b/>
      <w:bCs/>
      <w:sz w:val="28"/>
      <w:szCs w:val="28"/>
      <w:lang w:eastAsia="ru-RU"/>
    </w:rPr>
  </w:style>
  <w:style w:type="paragraph" w:styleId="a3">
    <w:basedOn w:val="a"/>
    <w:next w:val="a4"/>
    <w:link w:val="a5"/>
    <w:uiPriority w:val="99"/>
    <w:qFormat/>
    <w:rsid w:val="00F327BA"/>
    <w:pPr>
      <w:spacing w:before="100" w:beforeAutospacing="1" w:after="100" w:afterAutospacing="1"/>
      <w:jc w:val="both"/>
    </w:pPr>
    <w:rPr>
      <w:rFonts w:eastAsia="Batang"/>
      <w:color w:val="333333"/>
      <w:szCs w:val="24"/>
      <w:lang w:eastAsia="ko-KR"/>
    </w:rPr>
  </w:style>
  <w:style w:type="character" w:customStyle="1" w:styleId="apple-converted-space">
    <w:name w:val="apple-converted-space"/>
    <w:basedOn w:val="a0"/>
    <w:qFormat/>
    <w:rsid w:val="00F327BA"/>
  </w:style>
  <w:style w:type="paragraph" w:styleId="a6">
    <w:name w:val="No Spacing"/>
    <w:link w:val="a7"/>
    <w:uiPriority w:val="1"/>
    <w:qFormat/>
    <w:rsid w:val="00F327BA"/>
    <w:rPr>
      <w:rFonts w:ascii="Calibri" w:eastAsia="Times New Roman" w:hAnsi="Calibri" w:cs="Times New Roman"/>
      <w:sz w:val="22"/>
      <w:szCs w:val="22"/>
      <w:lang w:eastAsia="ru-RU"/>
    </w:rPr>
  </w:style>
  <w:style w:type="character" w:customStyle="1" w:styleId="a5">
    <w:name w:val="Обычный (веб) Знак"/>
    <w:rsid w:val="00F327BA"/>
    <w:rPr>
      <w:rFonts w:eastAsia="Batang"/>
      <w:color w:val="333333"/>
      <w:sz w:val="24"/>
      <w:szCs w:val="24"/>
      <w:lang w:val="ru-RU" w:eastAsia="ko-KR" w:bidi="ar-SA"/>
    </w:rPr>
  </w:style>
  <w:style w:type="paragraph" w:styleId="a8">
    <w:name w:val="Subtitle"/>
    <w:basedOn w:val="a"/>
    <w:next w:val="a"/>
    <w:link w:val="a9"/>
    <w:uiPriority w:val="11"/>
    <w:qFormat/>
    <w:rsid w:val="00F327BA"/>
    <w:pPr>
      <w:numPr>
        <w:ilvl w:val="1"/>
      </w:numPr>
      <w:spacing w:line="360" w:lineRule="auto"/>
      <w:ind w:firstLine="720"/>
    </w:pPr>
    <w:rPr>
      <w:rFonts w:ascii="Cambria" w:hAnsi="Cambria"/>
      <w:i/>
      <w:iCs/>
      <w:color w:val="4F81BD"/>
      <w:spacing w:val="15"/>
      <w:szCs w:val="24"/>
      <w:lang w:val="x-none" w:eastAsia="x-none"/>
    </w:rPr>
  </w:style>
  <w:style w:type="character" w:customStyle="1" w:styleId="a9">
    <w:name w:val="Подзаголовок Знак"/>
    <w:basedOn w:val="a0"/>
    <w:link w:val="a8"/>
    <w:uiPriority w:val="11"/>
    <w:rsid w:val="00F327BA"/>
    <w:rPr>
      <w:rFonts w:ascii="Cambria" w:eastAsia="Times New Roman" w:hAnsi="Cambria" w:cs="Times New Roman"/>
      <w:i/>
      <w:iCs/>
      <w:color w:val="4F81BD"/>
      <w:spacing w:val="15"/>
      <w:lang w:val="x-none" w:eastAsia="x-none"/>
    </w:rPr>
  </w:style>
  <w:style w:type="character" w:customStyle="1" w:styleId="a7">
    <w:name w:val="Без интервала Знак"/>
    <w:link w:val="a6"/>
    <w:uiPriority w:val="1"/>
    <w:rsid w:val="00F327BA"/>
    <w:rPr>
      <w:rFonts w:ascii="Calibri" w:eastAsia="Times New Roman" w:hAnsi="Calibri" w:cs="Times New Roman"/>
      <w:sz w:val="22"/>
      <w:szCs w:val="22"/>
      <w:lang w:eastAsia="ru-RU"/>
    </w:rPr>
  </w:style>
  <w:style w:type="paragraph" w:styleId="a4">
    <w:name w:val="Normal (Web)"/>
    <w:basedOn w:val="a"/>
    <w:uiPriority w:val="99"/>
    <w:semiHidden/>
    <w:unhideWhenUsed/>
    <w:rsid w:val="00F327B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622</Words>
  <Characters>3632</Characters>
  <Application>Microsoft Office Word</Application>
  <DocSecurity>0</DocSecurity>
  <Lines>75</Lines>
  <Paragraphs>34</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Khrystyna Potikhenska</dc:creator>
  <cp:keywords/>
  <dc:description/>
  <cp:lastModifiedBy>Khrystyna Potikhenska</cp:lastModifiedBy>
  <cp:revision>1</cp:revision>
  <dcterms:created xsi:type="dcterms:W3CDTF">2020-11-15T17:35:00Z</dcterms:created>
  <dcterms:modified xsi:type="dcterms:W3CDTF">2020-11-15T17:36:00Z</dcterms:modified>
</cp:coreProperties>
</file>