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81F" w:rsidRPr="00960229" w:rsidRDefault="003C281F" w:rsidP="003C281F">
      <w:pPr>
        <w:suppressAutoHyphens/>
        <w:jc w:val="center"/>
        <w:rPr>
          <w:b/>
          <w:sz w:val="20"/>
        </w:rPr>
      </w:pPr>
      <w:r w:rsidRPr="00960229">
        <w:rPr>
          <w:b/>
          <w:sz w:val="20"/>
        </w:rPr>
        <w:t>СИНДРОМ ОМЕНА ЯК ОДИН ІЗ ПРОЯВІВ ТЯЖКОГО КОМБІНОВАНОГО ІМУНОДЕФІЦИТУ НА ПРИКЛАДІ КЛІНІЧНОГО ВИПАДКУ</w:t>
      </w:r>
    </w:p>
    <w:p w:rsidR="003C281F" w:rsidRPr="00960229" w:rsidRDefault="003C281F" w:rsidP="003C281F">
      <w:pPr>
        <w:suppressAutoHyphens/>
        <w:jc w:val="center"/>
        <w:rPr>
          <w:i/>
          <w:sz w:val="20"/>
          <w:lang w:val="uk-UA"/>
        </w:rPr>
      </w:pPr>
      <w:r w:rsidRPr="00960229">
        <w:rPr>
          <w:i/>
          <w:sz w:val="20"/>
          <w:lang w:val="uk-UA"/>
        </w:rPr>
        <w:t>Одинець Ю.В.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Колісник В.О.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Васильченко Ю.В.</w:t>
      </w:r>
      <w:r w:rsidRPr="00960229">
        <w:rPr>
          <w:i/>
          <w:sz w:val="20"/>
          <w:vertAlign w:val="superscript"/>
          <w:lang w:val="uk-UA"/>
        </w:rPr>
        <w:t>1</w:t>
      </w:r>
      <w:r w:rsidRPr="00960229">
        <w:rPr>
          <w:i/>
          <w:sz w:val="20"/>
          <w:lang w:val="uk-UA"/>
        </w:rPr>
        <w:t>, Куч</w:t>
      </w:r>
      <w:r w:rsidRPr="00960229">
        <w:rPr>
          <w:i/>
          <w:sz w:val="20"/>
          <w:lang w:val="uk-UA"/>
        </w:rPr>
        <w:t>е</w:t>
      </w:r>
      <w:r w:rsidRPr="00960229">
        <w:rPr>
          <w:i/>
          <w:sz w:val="20"/>
          <w:lang w:val="uk-UA"/>
        </w:rPr>
        <w:t>ренко М.В.</w:t>
      </w:r>
      <w:r w:rsidRPr="00960229">
        <w:rPr>
          <w:i/>
          <w:sz w:val="20"/>
          <w:vertAlign w:val="superscript"/>
          <w:lang w:val="uk-UA"/>
        </w:rPr>
        <w:t>2</w:t>
      </w:r>
      <w:r w:rsidRPr="00960229">
        <w:rPr>
          <w:i/>
          <w:sz w:val="20"/>
          <w:lang w:val="uk-UA"/>
        </w:rPr>
        <w:t>, Яковенко К.А.</w:t>
      </w:r>
      <w:r w:rsidRPr="00960229">
        <w:rPr>
          <w:i/>
          <w:sz w:val="20"/>
          <w:vertAlign w:val="superscript"/>
          <w:lang w:val="uk-UA"/>
        </w:rPr>
        <w:t>2</w:t>
      </w:r>
    </w:p>
    <w:p w:rsidR="003C281F" w:rsidRPr="00960229" w:rsidRDefault="003C281F" w:rsidP="003C281F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1</w:t>
      </w:r>
      <w:r w:rsidRPr="00960229">
        <w:rPr>
          <w:sz w:val="20"/>
        </w:rPr>
        <w:t>Харківський національний медичний університет</w:t>
      </w:r>
      <w:r w:rsidRPr="00960229">
        <w:rPr>
          <w:sz w:val="20"/>
          <w:lang w:val="uk-UA"/>
        </w:rPr>
        <w:t>,</w:t>
      </w:r>
    </w:p>
    <w:p w:rsidR="003C281F" w:rsidRPr="00960229" w:rsidRDefault="003C281F" w:rsidP="003C281F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lang w:val="uk-UA"/>
        </w:rPr>
        <w:t>Кафедра педіатрії № 2</w:t>
      </w:r>
    </w:p>
    <w:p w:rsidR="003C281F" w:rsidRPr="00960229" w:rsidRDefault="003C281F" w:rsidP="003C281F">
      <w:pPr>
        <w:suppressAutoHyphens/>
        <w:jc w:val="center"/>
        <w:rPr>
          <w:sz w:val="20"/>
          <w:lang w:val="uk-UA"/>
        </w:rPr>
      </w:pPr>
      <w:r w:rsidRPr="00960229">
        <w:rPr>
          <w:sz w:val="20"/>
          <w:vertAlign w:val="superscript"/>
          <w:lang w:val="uk-UA"/>
        </w:rPr>
        <w:t>2</w:t>
      </w:r>
      <w:r w:rsidRPr="00960229">
        <w:rPr>
          <w:sz w:val="20"/>
          <w:lang w:val="uk-UA"/>
        </w:rPr>
        <w:t>КНП «Міська клінічна дитяча лікарня №16» Харківської міської ради</w:t>
      </w:r>
    </w:p>
    <w:p w:rsidR="003C281F" w:rsidRPr="00960229" w:rsidRDefault="003C281F" w:rsidP="003C281F">
      <w:pPr>
        <w:suppressAutoHyphens/>
        <w:ind w:firstLine="709"/>
        <w:jc w:val="center"/>
        <w:rPr>
          <w:sz w:val="20"/>
          <w:lang w:val="uk-UA"/>
        </w:rPr>
      </w:pPr>
    </w:p>
    <w:p w:rsidR="003C281F" w:rsidRPr="00960229" w:rsidRDefault="003C281F" w:rsidP="003C281F">
      <w:pPr>
        <w:suppressAutoHyphens/>
        <w:ind w:firstLine="709"/>
        <w:jc w:val="both"/>
        <w:rPr>
          <w:sz w:val="20"/>
          <w:lang w:val="uk-UA"/>
        </w:rPr>
      </w:pPr>
      <w:r w:rsidRPr="00960229">
        <w:rPr>
          <w:bCs/>
          <w:sz w:val="20"/>
          <w:lang w:val="uk-UA"/>
        </w:rPr>
        <w:t>Первинні</w:t>
      </w:r>
      <w:r w:rsidRPr="00960229">
        <w:rPr>
          <w:sz w:val="20"/>
          <w:lang w:val="uk-UA"/>
        </w:rPr>
        <w:t xml:space="preserve"> імунодефіцитні стани (ІДС) - це генетично детерміновані захворювання,серед яких</w:t>
      </w:r>
      <w:r w:rsidRPr="00960229">
        <w:rPr>
          <w:sz w:val="20"/>
          <w:shd w:val="clear" w:color="auto" w:fill="FFFFFF"/>
          <w:lang w:val="uk-UA"/>
        </w:rPr>
        <w:t xml:space="preserve"> </w:t>
      </w:r>
      <w:r w:rsidRPr="00960229">
        <w:rPr>
          <w:sz w:val="20"/>
          <w:lang w:val="uk-UA"/>
        </w:rPr>
        <w:t>більш несприятливою формою  для одужання та життя є тяжкий комбінований імунодефіцит, зокрема-синдром Омена,що характеризується специфічною еритродермією та</w:t>
      </w:r>
      <w:r>
        <w:rPr>
          <w:sz w:val="20"/>
          <w:lang w:val="uk-UA"/>
        </w:rPr>
        <w:t xml:space="preserve">  десквамацією шкіри, алопецією</w:t>
      </w:r>
      <w:r w:rsidRPr="00960229">
        <w:rPr>
          <w:sz w:val="20"/>
          <w:lang w:val="uk-UA"/>
        </w:rPr>
        <w:t>,</w:t>
      </w:r>
      <w:r>
        <w:rPr>
          <w:sz w:val="20"/>
          <w:lang w:val="uk-UA"/>
        </w:rPr>
        <w:t xml:space="preserve"> </w:t>
      </w:r>
      <w:r w:rsidRPr="00960229">
        <w:rPr>
          <w:sz w:val="20"/>
          <w:lang w:val="uk-UA"/>
        </w:rPr>
        <w:t>хронічною діареєю</w:t>
      </w:r>
      <w:r>
        <w:rPr>
          <w:sz w:val="20"/>
          <w:lang w:val="uk-UA"/>
        </w:rPr>
        <w:t>,  лімфаденопатією,еозинофілією</w:t>
      </w:r>
      <w:r w:rsidRPr="00960229">
        <w:rPr>
          <w:sz w:val="20"/>
          <w:lang w:val="uk-UA"/>
        </w:rPr>
        <w:t>,</w:t>
      </w:r>
      <w:r>
        <w:rPr>
          <w:sz w:val="20"/>
          <w:lang w:val="uk-UA"/>
        </w:rPr>
        <w:t xml:space="preserve"> </w:t>
      </w:r>
      <w:r w:rsidRPr="00960229">
        <w:rPr>
          <w:sz w:val="20"/>
          <w:lang w:val="uk-UA"/>
        </w:rPr>
        <w:t>гепатоспленомегалією та підвищ</w:t>
      </w:r>
      <w:r w:rsidRPr="00960229">
        <w:rPr>
          <w:sz w:val="20"/>
          <w:lang w:val="uk-UA"/>
        </w:rPr>
        <w:t>е</w:t>
      </w:r>
      <w:r w:rsidRPr="00960229">
        <w:rPr>
          <w:sz w:val="20"/>
          <w:lang w:val="uk-UA"/>
        </w:rPr>
        <w:t xml:space="preserve">ним рівенем </w:t>
      </w:r>
      <w:r w:rsidRPr="00960229">
        <w:rPr>
          <w:sz w:val="20"/>
        </w:rPr>
        <w:t>IgE</w:t>
      </w:r>
      <w:r w:rsidRPr="00960229">
        <w:rPr>
          <w:sz w:val="20"/>
          <w:lang w:val="uk-UA"/>
        </w:rPr>
        <w:t xml:space="preserve"> в сироватці крові. </w:t>
      </w:r>
    </w:p>
    <w:p w:rsidR="003C281F" w:rsidRPr="00960229" w:rsidRDefault="003C281F" w:rsidP="003C281F">
      <w:pPr>
        <w:suppressAutoHyphens/>
        <w:ind w:firstLine="709"/>
        <w:jc w:val="both"/>
        <w:rPr>
          <w:sz w:val="20"/>
        </w:rPr>
      </w:pPr>
      <w:r w:rsidRPr="00960229">
        <w:rPr>
          <w:sz w:val="20"/>
          <w:lang w:val="uk-UA"/>
        </w:rPr>
        <w:t xml:space="preserve">Наводимо результати спостереження дитини А.,5 міс., чоловічої статі , яка надійшла у відділення реанімації та інтенсивної терапії КНП “Міська клінічна дитяча лікарня №16 ” ХМР. </w:t>
      </w:r>
      <w:r w:rsidRPr="00960229">
        <w:rPr>
          <w:sz w:val="20"/>
        </w:rPr>
        <w:t>Дитина поступила у відділення в тяжкому стані, який визначався стійкою лихоманкою, проявами дихальної недостатності зі з</w:t>
      </w:r>
      <w:r>
        <w:rPr>
          <w:sz w:val="20"/>
        </w:rPr>
        <w:t xml:space="preserve">ниженням сатурації кисню </w:t>
      </w:r>
      <w:r w:rsidRPr="00960229">
        <w:rPr>
          <w:sz w:val="20"/>
        </w:rPr>
        <w:t>(</w:t>
      </w:r>
      <w:r w:rsidRPr="00960229">
        <w:rPr>
          <w:sz w:val="20"/>
          <w:lang w:val="en-US"/>
        </w:rPr>
        <w:t>SpO</w:t>
      </w:r>
      <w:proofErr w:type="gramStart"/>
      <w:r w:rsidRPr="00960229">
        <w:rPr>
          <w:sz w:val="20"/>
          <w:vertAlign w:val="subscript"/>
        </w:rPr>
        <w:t xml:space="preserve">2  </w:t>
      </w:r>
      <w:r w:rsidRPr="00960229">
        <w:rPr>
          <w:sz w:val="20"/>
        </w:rPr>
        <w:t>75</w:t>
      </w:r>
      <w:proofErr w:type="gramEnd"/>
      <w:r w:rsidRPr="00960229">
        <w:rPr>
          <w:sz w:val="20"/>
        </w:rPr>
        <w:t xml:space="preserve">-85%), мармуровим відтінком шкірних покривів  на фоні істотних ознак десквамативної еритродермії, полідактилії (додатковий палець на правій кисті). Констатовано відставання фізичного розвитку, гіпотрофію </w:t>
      </w:r>
      <w:r w:rsidRPr="00960229">
        <w:rPr>
          <w:sz w:val="20"/>
          <w:lang w:val="en-US"/>
        </w:rPr>
        <w:t>II</w:t>
      </w:r>
      <w:r w:rsidRPr="00960229">
        <w:rPr>
          <w:sz w:val="20"/>
        </w:rPr>
        <w:t>-го ступеню, наявність двобічної вогнищевої пневмонії, підтвердженої рентгенологічно, лімфаденопатії, гепатолієнальн</w:t>
      </w:r>
      <w:r w:rsidRPr="00960229">
        <w:rPr>
          <w:sz w:val="20"/>
        </w:rPr>
        <w:t>о</w:t>
      </w:r>
      <w:r w:rsidRPr="00960229">
        <w:rPr>
          <w:sz w:val="20"/>
        </w:rPr>
        <w:t xml:space="preserve">го синдрому. </w:t>
      </w:r>
    </w:p>
    <w:p w:rsidR="003C281F" w:rsidRPr="00960229" w:rsidRDefault="003C281F" w:rsidP="003C281F">
      <w:pPr>
        <w:suppressAutoHyphens/>
        <w:ind w:firstLine="709"/>
        <w:jc w:val="both"/>
        <w:rPr>
          <w:sz w:val="20"/>
        </w:rPr>
      </w:pPr>
      <w:r w:rsidRPr="00960229">
        <w:rPr>
          <w:sz w:val="20"/>
        </w:rPr>
        <w:t xml:space="preserve">Дитина народилася від </w:t>
      </w:r>
      <w:r w:rsidRPr="00960229">
        <w:rPr>
          <w:sz w:val="20"/>
          <w:lang w:val="en-US"/>
        </w:rPr>
        <w:t>III</w:t>
      </w:r>
      <w:r w:rsidRPr="00960229">
        <w:rPr>
          <w:sz w:val="20"/>
        </w:rPr>
        <w:t>-ї вагітності (</w:t>
      </w:r>
      <w:r w:rsidRPr="00960229">
        <w:rPr>
          <w:sz w:val="20"/>
          <w:lang w:val="en-US"/>
        </w:rPr>
        <w:t>I</w:t>
      </w:r>
      <w:r w:rsidRPr="00960229">
        <w:rPr>
          <w:sz w:val="20"/>
        </w:rPr>
        <w:t>-ша закінчилась мимовільним абортом), що протікала на фоні уреаплазмозу, у 40 тижнів гестації, із вагою тіла 3550 г. За 5 місяців життя дитина перенесла патологічну жовтяницю, часті випадки ГРЗ (біля 6-ти), гострий обструктивний бронхіт</w:t>
      </w:r>
      <w:r>
        <w:rPr>
          <w:sz w:val="20"/>
          <w:lang w:val="uk-UA"/>
        </w:rPr>
        <w:t xml:space="preserve"> </w:t>
      </w:r>
      <w:r>
        <w:rPr>
          <w:sz w:val="20"/>
        </w:rPr>
        <w:t>(у 1.5 міс.)</w:t>
      </w:r>
      <w:r w:rsidRPr="00960229">
        <w:rPr>
          <w:sz w:val="20"/>
        </w:rPr>
        <w:t>,</w:t>
      </w:r>
      <w:r>
        <w:rPr>
          <w:sz w:val="20"/>
          <w:lang w:val="uk-UA"/>
        </w:rPr>
        <w:t xml:space="preserve"> </w:t>
      </w:r>
      <w:r w:rsidRPr="00960229">
        <w:rPr>
          <w:sz w:val="20"/>
        </w:rPr>
        <w:t>гострий двобічний отит</w:t>
      </w:r>
      <w:r>
        <w:rPr>
          <w:sz w:val="20"/>
          <w:lang w:val="uk-UA"/>
        </w:rPr>
        <w:t xml:space="preserve"> </w:t>
      </w:r>
      <w:r w:rsidRPr="00960229">
        <w:rPr>
          <w:sz w:val="20"/>
        </w:rPr>
        <w:t>(у 2.5 міс.),при лікуванні якого ,на фоні прийому антибіотиків відмічались прояви алергічного дерматиту,що ускладнювався грибковою і</w:t>
      </w:r>
      <w:r w:rsidRPr="00960229">
        <w:rPr>
          <w:sz w:val="20"/>
        </w:rPr>
        <w:t>н</w:t>
      </w:r>
      <w:r w:rsidRPr="00960229">
        <w:rPr>
          <w:sz w:val="20"/>
        </w:rPr>
        <w:t xml:space="preserve">фекцією.  </w:t>
      </w:r>
    </w:p>
    <w:p w:rsidR="003C281F" w:rsidRPr="00960229" w:rsidRDefault="003C281F" w:rsidP="003C281F">
      <w:pPr>
        <w:suppressAutoHyphens/>
        <w:ind w:firstLine="709"/>
        <w:jc w:val="both"/>
        <w:rPr>
          <w:sz w:val="20"/>
        </w:rPr>
      </w:pPr>
      <w:r w:rsidRPr="00960229">
        <w:rPr>
          <w:sz w:val="20"/>
        </w:rPr>
        <w:t>За весь період перебування в стаціонарі (з 11.06.19 по 09.08.19р.)  стан дитини залишався тяжким. Зберігалася лихоманка, десквамативна еритродермія, лімфаденопатія, гепатолієнальний синдром. Перебіг пневмонії характеризувався антибіотикорезистентністю з проявами деструкції та дворазовим розвитком правобічного напр</w:t>
      </w:r>
      <w:r w:rsidRPr="00960229">
        <w:rPr>
          <w:sz w:val="20"/>
        </w:rPr>
        <w:t>у</w:t>
      </w:r>
      <w:r w:rsidRPr="00960229">
        <w:rPr>
          <w:sz w:val="20"/>
        </w:rPr>
        <w:t>женого пневмотораксу, у зв’язку з чим налагоджувався дренаж по Бюлау. Приєдналися часті епізоди діареї, ознаки вторинної кардіопатії, явища наростаючої анемії, тромбоцитопенії, періодичного лейкоцитозу, помірної,</w:t>
      </w:r>
      <w:r>
        <w:rPr>
          <w:sz w:val="20"/>
          <w:lang w:val="uk-UA"/>
        </w:rPr>
        <w:t xml:space="preserve"> </w:t>
      </w:r>
      <w:r w:rsidRPr="00960229">
        <w:rPr>
          <w:sz w:val="20"/>
        </w:rPr>
        <w:t>але стійкої еозинофілії, диспротеінемії. Результати ультразвукового дослідження вказували на наявність лімфаденопатії, збільшення розмірів печінки, селезінки і відсутність візуалізації вилочкової залози. Дитина неодноразово консуль</w:t>
      </w:r>
      <w:r>
        <w:rPr>
          <w:sz w:val="20"/>
        </w:rPr>
        <w:t xml:space="preserve">тована генетиком, гематологом, </w:t>
      </w:r>
      <w:r w:rsidRPr="00960229">
        <w:rPr>
          <w:sz w:val="20"/>
        </w:rPr>
        <w:t>пульмонологом, фтизіатром, торакальним хірургом, кардіологом, дерматологом, імунологом. На основі вищеперерахованого виникла підозра на наявність у пацієнта імунодефіциту, у зв’язку з чим було проведено дослідження клітинної та гуморальної ланки імунітету, фагоцитозу, де виявлено підвищення значень Т-лімфоцитів (</w:t>
      </w:r>
      <w:r w:rsidRPr="00960229">
        <w:rPr>
          <w:sz w:val="20"/>
          <w:lang w:val="en-US"/>
        </w:rPr>
        <w:t>CD</w:t>
      </w:r>
      <w:r w:rsidRPr="00960229">
        <w:rPr>
          <w:sz w:val="20"/>
        </w:rPr>
        <w:t>3+), зниження рівнів Т-хелперів (</w:t>
      </w:r>
      <w:r w:rsidRPr="00960229">
        <w:rPr>
          <w:sz w:val="20"/>
          <w:lang w:val="en-US"/>
        </w:rPr>
        <w:t>CD</w:t>
      </w:r>
      <w:r w:rsidRPr="00960229">
        <w:rPr>
          <w:sz w:val="20"/>
        </w:rPr>
        <w:t>4+), співвідношення Т</w:t>
      </w:r>
      <w:r w:rsidRPr="00960229">
        <w:rPr>
          <w:sz w:val="20"/>
          <w:vertAlign w:val="subscript"/>
        </w:rPr>
        <w:t>х</w:t>
      </w:r>
      <w:r w:rsidRPr="00960229">
        <w:rPr>
          <w:sz w:val="20"/>
        </w:rPr>
        <w:t>/Т</w:t>
      </w:r>
      <w:r w:rsidRPr="00960229">
        <w:rPr>
          <w:sz w:val="20"/>
          <w:vertAlign w:val="subscript"/>
        </w:rPr>
        <w:t xml:space="preserve">с </w:t>
      </w:r>
      <w:r w:rsidRPr="00960229">
        <w:rPr>
          <w:sz w:val="20"/>
        </w:rPr>
        <w:t>(</w:t>
      </w:r>
      <w:r w:rsidRPr="00960229">
        <w:rPr>
          <w:sz w:val="20"/>
          <w:lang w:val="en-US"/>
        </w:rPr>
        <w:t>CD</w:t>
      </w:r>
      <w:r w:rsidRPr="00960229">
        <w:rPr>
          <w:sz w:val="20"/>
        </w:rPr>
        <w:t xml:space="preserve">4/ </w:t>
      </w:r>
      <w:r w:rsidRPr="00960229">
        <w:rPr>
          <w:sz w:val="20"/>
          <w:lang w:val="en-US"/>
        </w:rPr>
        <w:t>CD</w:t>
      </w:r>
      <w:r w:rsidRPr="00960229">
        <w:rPr>
          <w:sz w:val="20"/>
        </w:rPr>
        <w:t>8), суттєве зниження зн</w:t>
      </w:r>
      <w:r w:rsidRPr="00960229">
        <w:rPr>
          <w:sz w:val="20"/>
        </w:rPr>
        <w:t>а</w:t>
      </w:r>
      <w:r w:rsidRPr="00960229">
        <w:rPr>
          <w:sz w:val="20"/>
        </w:rPr>
        <w:t>чень В-лімфоцитів (</w:t>
      </w:r>
      <w:r w:rsidRPr="00960229">
        <w:rPr>
          <w:sz w:val="20"/>
          <w:lang w:val="en-US"/>
        </w:rPr>
        <w:t>CD</w:t>
      </w:r>
      <w:r w:rsidRPr="00960229">
        <w:rPr>
          <w:sz w:val="20"/>
        </w:rPr>
        <w:t>19+), а також рівня Ig</w:t>
      </w:r>
      <w:proofErr w:type="gramStart"/>
      <w:r w:rsidRPr="00960229">
        <w:rPr>
          <w:sz w:val="20"/>
        </w:rPr>
        <w:t>А,</w:t>
      </w:r>
      <w:r w:rsidRPr="00960229">
        <w:rPr>
          <w:sz w:val="20"/>
          <w:lang w:val="en-US"/>
        </w:rPr>
        <w:t>M</w:t>
      </w:r>
      <w:proofErr w:type="gramEnd"/>
      <w:r w:rsidRPr="00960229">
        <w:rPr>
          <w:sz w:val="20"/>
        </w:rPr>
        <w:t>,</w:t>
      </w:r>
      <w:r w:rsidRPr="00960229">
        <w:rPr>
          <w:sz w:val="20"/>
          <w:lang w:val="en-US"/>
        </w:rPr>
        <w:t>G</w:t>
      </w:r>
      <w:r w:rsidRPr="00960229">
        <w:rPr>
          <w:sz w:val="20"/>
        </w:rPr>
        <w:t xml:space="preserve"> при помірному підвищенні рівнів IgE.</w:t>
      </w:r>
    </w:p>
    <w:p w:rsidR="003C281F" w:rsidRPr="00960229" w:rsidRDefault="003C281F" w:rsidP="003C281F">
      <w:pPr>
        <w:suppressAutoHyphens/>
        <w:ind w:firstLine="709"/>
        <w:jc w:val="both"/>
        <w:rPr>
          <w:sz w:val="20"/>
        </w:rPr>
      </w:pPr>
      <w:r w:rsidRPr="00960229">
        <w:rPr>
          <w:sz w:val="20"/>
        </w:rPr>
        <w:t xml:space="preserve">З урахуванням особливості клінічних процесів перебігу захворювання, лабораторних показників, сформовано основний діагноз: первинний тяжкий комбінований імунодефіцит з клінічним феноменом синдрому Омена. Більш поглибленої верифікації синдрому Омена з визначенням </w:t>
      </w:r>
      <w:proofErr w:type="gramStart"/>
      <w:r w:rsidRPr="00960229">
        <w:rPr>
          <w:sz w:val="20"/>
        </w:rPr>
        <w:t>кількості  С</w:t>
      </w:r>
      <w:proofErr w:type="gramEnd"/>
      <w:r w:rsidRPr="00960229">
        <w:rPr>
          <w:sz w:val="20"/>
          <w:lang w:val="en-US"/>
        </w:rPr>
        <w:t>D</w:t>
      </w:r>
      <w:r w:rsidRPr="00960229">
        <w:rPr>
          <w:sz w:val="20"/>
        </w:rPr>
        <w:t>3+С</w:t>
      </w:r>
      <w:r w:rsidRPr="00960229">
        <w:rPr>
          <w:sz w:val="20"/>
          <w:lang w:val="en-US"/>
        </w:rPr>
        <w:t>D</w:t>
      </w:r>
      <w:r w:rsidRPr="00960229">
        <w:rPr>
          <w:sz w:val="20"/>
        </w:rPr>
        <w:t>45</w:t>
      </w:r>
      <w:r w:rsidRPr="00960229">
        <w:rPr>
          <w:sz w:val="20"/>
          <w:lang w:val="en-US"/>
        </w:rPr>
        <w:t>R</w:t>
      </w:r>
      <w:r w:rsidRPr="00960229">
        <w:rPr>
          <w:sz w:val="20"/>
        </w:rPr>
        <w:t>О+, С</w:t>
      </w:r>
      <w:r w:rsidRPr="00960229">
        <w:rPr>
          <w:sz w:val="20"/>
          <w:lang w:val="en-US"/>
        </w:rPr>
        <w:t>D</w:t>
      </w:r>
      <w:r w:rsidRPr="00960229">
        <w:rPr>
          <w:sz w:val="20"/>
        </w:rPr>
        <w:t>3+ С</w:t>
      </w:r>
      <w:r w:rsidRPr="00960229">
        <w:rPr>
          <w:sz w:val="20"/>
          <w:lang w:val="en-US"/>
        </w:rPr>
        <w:t>D</w:t>
      </w:r>
      <w:r w:rsidRPr="00960229">
        <w:rPr>
          <w:sz w:val="20"/>
        </w:rPr>
        <w:t>45</w:t>
      </w:r>
      <w:r w:rsidRPr="00960229">
        <w:rPr>
          <w:sz w:val="20"/>
          <w:lang w:val="en-US"/>
        </w:rPr>
        <w:t>R</w:t>
      </w:r>
      <w:r w:rsidRPr="00960229">
        <w:rPr>
          <w:sz w:val="20"/>
        </w:rPr>
        <w:t>А+, активності дезамінази (АДА) в еритроцитах та проведенням молекулярно-генетичного обстеження (секвенування ДНК дитини з визначенням мутації генів,</w:t>
      </w:r>
      <w:r>
        <w:rPr>
          <w:sz w:val="20"/>
          <w:lang w:val="uk-UA"/>
        </w:rPr>
        <w:t xml:space="preserve"> </w:t>
      </w:r>
      <w:r w:rsidRPr="00960229">
        <w:rPr>
          <w:sz w:val="20"/>
        </w:rPr>
        <w:t xml:space="preserve">що кодують </w:t>
      </w:r>
      <w:r w:rsidRPr="00960229">
        <w:rPr>
          <w:sz w:val="20"/>
          <w:lang w:val="en-US"/>
        </w:rPr>
        <w:t>RAG</w:t>
      </w:r>
      <w:r w:rsidRPr="00960229">
        <w:rPr>
          <w:sz w:val="20"/>
        </w:rPr>
        <w:t xml:space="preserve"> 1 та </w:t>
      </w:r>
      <w:r w:rsidRPr="00960229">
        <w:rPr>
          <w:sz w:val="20"/>
          <w:lang w:val="en-US"/>
        </w:rPr>
        <w:t>RAG</w:t>
      </w:r>
      <w:r w:rsidRPr="00960229">
        <w:rPr>
          <w:sz w:val="20"/>
        </w:rPr>
        <w:t>2) не здійснювалося, у зв’язку з несприятливими фінансовими можливостями.</w:t>
      </w:r>
    </w:p>
    <w:p w:rsidR="003C281F" w:rsidRPr="00960229" w:rsidRDefault="003C281F" w:rsidP="003C281F">
      <w:pPr>
        <w:suppressAutoHyphens/>
        <w:ind w:firstLine="709"/>
        <w:jc w:val="both"/>
        <w:rPr>
          <w:sz w:val="20"/>
        </w:rPr>
      </w:pPr>
      <w:r w:rsidRPr="00960229">
        <w:rPr>
          <w:sz w:val="20"/>
        </w:rPr>
        <w:t>Незважаючи на проведення інтенсивної антибактеріальної, патогенетичної, замісної, симптоматичної терапії захворювання прогресувало з розвитком поліорганної недостатності і летальним наслі</w:t>
      </w:r>
      <w:r w:rsidRPr="00960229">
        <w:rPr>
          <w:sz w:val="20"/>
        </w:rPr>
        <w:t>д</w:t>
      </w:r>
      <w:r w:rsidRPr="00960229">
        <w:rPr>
          <w:sz w:val="20"/>
        </w:rPr>
        <w:t>ком.</w:t>
      </w:r>
    </w:p>
    <w:p w:rsidR="003C281F" w:rsidRPr="00960229" w:rsidRDefault="003C281F" w:rsidP="003C281F">
      <w:pPr>
        <w:suppressAutoHyphens/>
        <w:ind w:firstLine="709"/>
        <w:jc w:val="both"/>
        <w:rPr>
          <w:sz w:val="20"/>
        </w:rPr>
      </w:pPr>
      <w:r w:rsidRPr="00960229">
        <w:rPr>
          <w:sz w:val="20"/>
        </w:rPr>
        <w:t>Патологоанатомічний та клінічний діагнози співпали.</w:t>
      </w:r>
    </w:p>
    <w:p w:rsidR="003C281F" w:rsidRPr="00960229" w:rsidRDefault="003C281F" w:rsidP="003C281F">
      <w:pPr>
        <w:suppressAutoHyphens/>
        <w:ind w:firstLine="709"/>
        <w:jc w:val="both"/>
        <w:rPr>
          <w:sz w:val="20"/>
        </w:rPr>
      </w:pPr>
      <w:r w:rsidRPr="00960229">
        <w:rPr>
          <w:sz w:val="20"/>
        </w:rPr>
        <w:t>Висновки: таким чино</w:t>
      </w:r>
      <w:r>
        <w:rPr>
          <w:sz w:val="20"/>
        </w:rPr>
        <w:t>м, аналізуючи клінічний випадок</w:t>
      </w:r>
      <w:r w:rsidRPr="00960229">
        <w:rPr>
          <w:sz w:val="20"/>
        </w:rPr>
        <w:t>,</w:t>
      </w:r>
      <w:r>
        <w:rPr>
          <w:sz w:val="20"/>
          <w:lang w:val="uk-UA"/>
        </w:rPr>
        <w:t xml:space="preserve"> </w:t>
      </w:r>
      <w:r>
        <w:rPr>
          <w:sz w:val="20"/>
        </w:rPr>
        <w:t>слід зазначити</w:t>
      </w:r>
      <w:r w:rsidRPr="00960229">
        <w:rPr>
          <w:sz w:val="20"/>
        </w:rPr>
        <w:t>,</w:t>
      </w:r>
      <w:r>
        <w:rPr>
          <w:sz w:val="20"/>
          <w:lang w:val="uk-UA"/>
        </w:rPr>
        <w:t xml:space="preserve"> </w:t>
      </w:r>
      <w:r w:rsidRPr="00960229">
        <w:rPr>
          <w:sz w:val="20"/>
        </w:rPr>
        <w:t>що при своєчасному виявленні даного захворювання,</w:t>
      </w:r>
      <w:r>
        <w:rPr>
          <w:sz w:val="20"/>
          <w:lang w:val="uk-UA"/>
        </w:rPr>
        <w:t xml:space="preserve"> </w:t>
      </w:r>
      <w:r w:rsidRPr="00960229">
        <w:rPr>
          <w:sz w:val="20"/>
        </w:rPr>
        <w:t>якщо форма діагностована протягом першого місяця життя, адекватна терапія і проведення алогенної HLA ідентичною трансплантації кістковог</w:t>
      </w:r>
      <w:r>
        <w:rPr>
          <w:sz w:val="20"/>
        </w:rPr>
        <w:t>о мозку (ТКМ) або гемопоетичних</w:t>
      </w:r>
      <w:r w:rsidRPr="00960229">
        <w:rPr>
          <w:sz w:val="20"/>
        </w:rPr>
        <w:t xml:space="preserve"> стовбурових клітин (ТГСК) забезпечує виживання більш 90% пацієнтів незалежно від форми імун</w:t>
      </w:r>
      <w:r w:rsidRPr="00960229">
        <w:rPr>
          <w:sz w:val="20"/>
        </w:rPr>
        <w:t>о</w:t>
      </w:r>
      <w:r w:rsidRPr="00960229">
        <w:rPr>
          <w:sz w:val="20"/>
        </w:rPr>
        <w:t xml:space="preserve">дефіциту. </w:t>
      </w:r>
    </w:p>
    <w:p w:rsidR="003C281F" w:rsidRDefault="003C281F"/>
    <w:sectPr w:rsidR="003C2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1F"/>
    <w:rsid w:val="003C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CEFC-6799-754D-8690-58F215F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81F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3677</Characters>
  <Application>Microsoft Office Word</Application>
  <DocSecurity>0</DocSecurity>
  <Lines>76</Lines>
  <Paragraphs>35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Potikhenska</dc:creator>
  <cp:keywords/>
  <dc:description/>
  <cp:lastModifiedBy>Khrystyna Potikhenska</cp:lastModifiedBy>
  <cp:revision>1</cp:revision>
  <dcterms:created xsi:type="dcterms:W3CDTF">2020-11-15T17:53:00Z</dcterms:created>
  <dcterms:modified xsi:type="dcterms:W3CDTF">2020-11-15T17:53:00Z</dcterms:modified>
</cp:coreProperties>
</file>