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FA" w:rsidRDefault="00741CFA" w:rsidP="00CD767F">
      <w:pPr>
        <w:spacing w:line="240" w:lineRule="auto"/>
        <w:ind w:left="0" w:firstLine="851"/>
        <w:contextualSpacing/>
        <w:jc w:val="center"/>
        <w:rPr>
          <w:rFonts w:ascii="Times New Roman" w:hAnsi="Times New Roman" w:cs="Times New Roman"/>
          <w:b/>
          <w:bCs/>
          <w:sz w:val="24"/>
          <w:szCs w:val="24"/>
          <w:lang w:val="en-US"/>
        </w:rPr>
      </w:pPr>
      <w:r w:rsidRPr="00741CFA">
        <w:rPr>
          <w:rFonts w:ascii="Times New Roman" w:hAnsi="Times New Roman" w:cs="Times New Roman"/>
          <w:b/>
          <w:bCs/>
          <w:sz w:val="24"/>
          <w:szCs w:val="24"/>
          <w:lang w:val="en-US"/>
        </w:rPr>
        <w:t>Antihypertensive treatment effects on systemic inflammation, oxidative stress and proinflammatory cytokines</w:t>
      </w:r>
    </w:p>
    <w:p w:rsidR="003D3639" w:rsidRPr="00741CFA" w:rsidRDefault="009460E8" w:rsidP="00CD767F">
      <w:pPr>
        <w:spacing w:line="240" w:lineRule="auto"/>
        <w:ind w:left="0" w:firstLine="851"/>
        <w:contextualSpacing/>
        <w:jc w:val="center"/>
        <w:rPr>
          <w:rFonts w:ascii="Times New Roman" w:eastAsia="Calibri" w:hAnsi="Times New Roman" w:cs="Times New Roman"/>
          <w:sz w:val="24"/>
          <w:szCs w:val="24"/>
          <w:lang w:val="en-US"/>
        </w:rPr>
      </w:pPr>
      <w:r>
        <w:rPr>
          <w:rFonts w:ascii="Times New Roman" w:eastAsia="Calibri" w:hAnsi="Times New Roman" w:cs="Times New Roman"/>
          <w:bCs/>
          <w:iCs/>
          <w:sz w:val="24"/>
          <w:szCs w:val="24"/>
          <w:lang w:val="en-US"/>
        </w:rPr>
        <w:t>T</w:t>
      </w:r>
      <w:r w:rsidR="003D3639">
        <w:rPr>
          <w:rFonts w:ascii="Times New Roman" w:eastAsia="Calibri" w:hAnsi="Times New Roman" w:cs="Times New Roman"/>
          <w:bCs/>
          <w:iCs/>
          <w:sz w:val="24"/>
          <w:szCs w:val="24"/>
          <w:lang w:val="en-US"/>
        </w:rPr>
        <w:t xml:space="preserve">. V. </w:t>
      </w:r>
      <w:r w:rsidR="00CD767F" w:rsidRPr="00305403">
        <w:rPr>
          <w:rFonts w:ascii="Times New Roman" w:eastAsia="Calibri" w:hAnsi="Times New Roman" w:cs="Times New Roman"/>
          <w:bCs/>
          <w:iCs/>
          <w:sz w:val="24"/>
          <w:szCs w:val="24"/>
          <w:lang w:val="en-US"/>
        </w:rPr>
        <w:t>Ashcheulova</w:t>
      </w:r>
      <w:r w:rsidR="003D3639">
        <w:rPr>
          <w:rFonts w:ascii="Times New Roman" w:eastAsia="Calibri" w:hAnsi="Times New Roman" w:cs="Times New Roman"/>
          <w:bCs/>
          <w:iCs/>
          <w:sz w:val="24"/>
          <w:szCs w:val="24"/>
          <w:lang w:val="en-US"/>
        </w:rPr>
        <w:t xml:space="preserve">, </w:t>
      </w:r>
      <w:r w:rsidR="00CD767F" w:rsidRPr="00305403">
        <w:rPr>
          <w:rFonts w:ascii="Times New Roman" w:eastAsia="Calibri" w:hAnsi="Times New Roman" w:cs="Times New Roman"/>
          <w:bCs/>
          <w:iCs/>
          <w:sz w:val="24"/>
          <w:szCs w:val="24"/>
          <w:lang w:val="en-US"/>
        </w:rPr>
        <w:t>N</w:t>
      </w:r>
      <w:r w:rsidR="003D3639">
        <w:rPr>
          <w:rFonts w:ascii="Times New Roman" w:eastAsia="Calibri" w:hAnsi="Times New Roman" w:cs="Times New Roman"/>
          <w:bCs/>
          <w:iCs/>
          <w:sz w:val="24"/>
          <w:szCs w:val="24"/>
          <w:lang w:val="en-US"/>
        </w:rPr>
        <w:t xml:space="preserve">. N. </w:t>
      </w:r>
      <w:r w:rsidR="009D63C0">
        <w:rPr>
          <w:rFonts w:ascii="Times New Roman" w:eastAsia="Calibri" w:hAnsi="Times New Roman" w:cs="Times New Roman"/>
          <w:bCs/>
          <w:iCs/>
          <w:sz w:val="24"/>
          <w:szCs w:val="24"/>
          <w:lang w:val="en-US"/>
        </w:rPr>
        <w:t>G</w:t>
      </w:r>
      <w:r w:rsidR="00CD767F" w:rsidRPr="00741CFA">
        <w:rPr>
          <w:rFonts w:ascii="Times New Roman" w:eastAsia="Calibri" w:hAnsi="Times New Roman" w:cs="Times New Roman"/>
          <w:bCs/>
          <w:iCs/>
          <w:sz w:val="24"/>
          <w:szCs w:val="24"/>
          <w:lang w:val="en-US"/>
        </w:rPr>
        <w:t>eras</w:t>
      </w:r>
      <w:r w:rsidR="009D63C0">
        <w:rPr>
          <w:rFonts w:ascii="Times New Roman" w:eastAsia="Calibri" w:hAnsi="Times New Roman" w:cs="Times New Roman"/>
          <w:bCs/>
          <w:iCs/>
          <w:sz w:val="24"/>
          <w:szCs w:val="24"/>
          <w:lang w:val="en-US"/>
        </w:rPr>
        <w:t>i</w:t>
      </w:r>
      <w:r w:rsidR="00CD767F" w:rsidRPr="00741CFA">
        <w:rPr>
          <w:rFonts w:ascii="Times New Roman" w:eastAsia="Calibri" w:hAnsi="Times New Roman" w:cs="Times New Roman"/>
          <w:bCs/>
          <w:iCs/>
          <w:sz w:val="24"/>
          <w:szCs w:val="24"/>
          <w:lang w:val="en-US"/>
        </w:rPr>
        <w:t>mchuk,</w:t>
      </w:r>
      <w:r w:rsidR="003D3639" w:rsidRPr="00741CFA">
        <w:rPr>
          <w:rFonts w:ascii="Times New Roman" w:eastAsia="Calibri" w:hAnsi="Times New Roman" w:cs="Times New Roman"/>
          <w:bCs/>
          <w:iCs/>
          <w:sz w:val="24"/>
          <w:szCs w:val="24"/>
          <w:lang w:val="en-US"/>
        </w:rPr>
        <w:t xml:space="preserve"> </w:t>
      </w:r>
      <w:r w:rsidR="00CD767F" w:rsidRPr="00741CFA">
        <w:rPr>
          <w:rFonts w:ascii="Times New Roman" w:eastAsia="Calibri" w:hAnsi="Times New Roman" w:cs="Times New Roman"/>
          <w:bCs/>
          <w:iCs/>
          <w:sz w:val="24"/>
          <w:szCs w:val="24"/>
          <w:lang w:val="en-US"/>
        </w:rPr>
        <w:t>O</w:t>
      </w:r>
      <w:r w:rsidR="00741CFA" w:rsidRPr="00741CFA">
        <w:rPr>
          <w:rFonts w:ascii="Times New Roman" w:eastAsia="Calibri" w:hAnsi="Times New Roman" w:cs="Times New Roman"/>
          <w:bCs/>
          <w:iCs/>
          <w:sz w:val="24"/>
          <w:szCs w:val="24"/>
          <w:lang w:val="en-US"/>
        </w:rPr>
        <w:t>. N.</w:t>
      </w:r>
      <w:r w:rsidR="003D3639" w:rsidRPr="00741CFA">
        <w:rPr>
          <w:rFonts w:ascii="Times New Roman" w:eastAsia="Calibri" w:hAnsi="Times New Roman" w:cs="Times New Roman"/>
          <w:bCs/>
          <w:iCs/>
          <w:sz w:val="24"/>
          <w:szCs w:val="24"/>
          <w:lang w:val="en-US"/>
        </w:rPr>
        <w:t xml:space="preserve"> Kovalyova, </w:t>
      </w:r>
      <w:r w:rsidR="00CD767F" w:rsidRPr="00741CFA">
        <w:rPr>
          <w:rFonts w:ascii="Times New Roman" w:hAnsi="Times New Roman" w:cs="Times New Roman"/>
          <w:bCs/>
          <w:sz w:val="24"/>
          <w:szCs w:val="24"/>
          <w:lang w:val="en-US"/>
        </w:rPr>
        <w:t>K</w:t>
      </w:r>
      <w:r w:rsidR="003D3639" w:rsidRPr="00741CFA">
        <w:rPr>
          <w:rFonts w:ascii="Times New Roman" w:hAnsi="Times New Roman" w:cs="Times New Roman"/>
          <w:bCs/>
          <w:sz w:val="24"/>
          <w:szCs w:val="24"/>
          <w:lang w:val="en-US"/>
        </w:rPr>
        <w:t xml:space="preserve">. N. </w:t>
      </w:r>
      <w:r w:rsidR="00CD767F" w:rsidRPr="00741CFA">
        <w:rPr>
          <w:rFonts w:ascii="Times New Roman" w:hAnsi="Times New Roman" w:cs="Times New Roman"/>
          <w:bCs/>
          <w:sz w:val="24"/>
          <w:szCs w:val="24"/>
          <w:lang w:val="en-US"/>
        </w:rPr>
        <w:t>Kompaniiets</w:t>
      </w:r>
      <w:r w:rsidR="00741CFA">
        <w:rPr>
          <w:rFonts w:ascii="Times New Roman" w:eastAsia="Calibri" w:hAnsi="Times New Roman" w:cs="Times New Roman"/>
          <w:sz w:val="24"/>
          <w:szCs w:val="24"/>
          <w:lang w:val="en-US"/>
        </w:rPr>
        <w:t>,</w:t>
      </w:r>
    </w:p>
    <w:p w:rsidR="0020167C" w:rsidRPr="00CD767F" w:rsidRDefault="00CD767F" w:rsidP="00CD767F">
      <w:pPr>
        <w:spacing w:line="240" w:lineRule="auto"/>
        <w:ind w:left="0" w:firstLine="851"/>
        <w:contextualSpacing/>
        <w:jc w:val="center"/>
        <w:rPr>
          <w:rFonts w:ascii="Times New Roman" w:eastAsia="Calibri" w:hAnsi="Times New Roman" w:cs="Times New Roman"/>
          <w:sz w:val="24"/>
          <w:szCs w:val="24"/>
          <w:lang w:val="en-US"/>
        </w:rPr>
      </w:pPr>
      <w:r w:rsidRPr="00305403">
        <w:rPr>
          <w:rFonts w:ascii="Times New Roman" w:eastAsia="Calibri" w:hAnsi="Times New Roman" w:cs="Times New Roman"/>
          <w:sz w:val="24"/>
          <w:szCs w:val="24"/>
          <w:lang w:val="en-US"/>
        </w:rPr>
        <w:t>O</w:t>
      </w:r>
      <w:r w:rsidR="003D3639">
        <w:rPr>
          <w:rFonts w:ascii="Times New Roman" w:eastAsia="Calibri" w:hAnsi="Times New Roman" w:cs="Times New Roman"/>
          <w:sz w:val="24"/>
          <w:szCs w:val="24"/>
          <w:lang w:val="en-US"/>
        </w:rPr>
        <w:t xml:space="preserve">. V. </w:t>
      </w:r>
      <w:r w:rsidRPr="00305403">
        <w:rPr>
          <w:rFonts w:ascii="Times New Roman" w:eastAsia="Calibri" w:hAnsi="Times New Roman" w:cs="Times New Roman"/>
          <w:sz w:val="24"/>
          <w:szCs w:val="24"/>
          <w:lang w:val="en-US"/>
        </w:rPr>
        <w:t>H</w:t>
      </w:r>
      <w:r w:rsidRPr="00305403">
        <w:rPr>
          <w:rFonts w:ascii="Times New Roman" w:eastAsia="Calibri" w:hAnsi="Times New Roman" w:cs="Times New Roman"/>
          <w:sz w:val="24"/>
          <w:szCs w:val="24"/>
          <w:lang w:val="uk-UA"/>
        </w:rPr>
        <w:t>onchar</w:t>
      </w:r>
    </w:p>
    <w:p w:rsidR="005347BD" w:rsidRPr="0020167C" w:rsidRDefault="005347BD" w:rsidP="0020167C">
      <w:pPr>
        <w:tabs>
          <w:tab w:val="num" w:pos="0"/>
        </w:tabs>
        <w:spacing w:after="0" w:line="240" w:lineRule="auto"/>
        <w:ind w:left="0" w:firstLine="851"/>
        <w:contextualSpacing/>
        <w:rPr>
          <w:rFonts w:ascii="Times New Roman" w:hAnsi="Times New Roman" w:cs="Times New Roman"/>
          <w:b/>
          <w:sz w:val="20"/>
          <w:szCs w:val="20"/>
          <w:lang w:val="en-US"/>
        </w:rPr>
      </w:pPr>
      <w:r w:rsidRPr="0020167C">
        <w:rPr>
          <w:rFonts w:ascii="Times New Roman" w:hAnsi="Times New Roman" w:cs="Times New Roman"/>
          <w:b/>
          <w:sz w:val="20"/>
          <w:szCs w:val="20"/>
          <w:lang w:val="en-US"/>
        </w:rPr>
        <w:t>Abstract</w:t>
      </w:r>
    </w:p>
    <w:p w:rsidR="005F096A" w:rsidRPr="005F096A" w:rsidRDefault="00AC4422" w:rsidP="005F096A">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r w:rsidRPr="00533779">
        <w:rPr>
          <w:rFonts w:ascii="Times New Roman" w:hAnsi="Times New Roman" w:cs="Times New Roman"/>
          <w:bCs/>
          <w:color w:val="000000"/>
          <w:sz w:val="20"/>
          <w:szCs w:val="20"/>
          <w:lang w:val="en-US"/>
        </w:rPr>
        <w:t>Hypertension in its origin is a heterogeneous and multisystemic disease. Evaluatation of the oxidative stress activity based on the level of 8-iso-PgF2α, of proinflammatory cytokines based on tumor necrosis factor-α and its type I soluble receptor and C-reactive protein is relevant for further understanding of pathogenesis of hypertension and improvement of the early diagnostics of heart failure.186 hypertensive patients have been observed during the 2-months course of treatment, aged 30 to 65 years. The serum levels of 8-iso-PgF2α (n</w:t>
      </w:r>
      <w:r w:rsidR="009C3D85">
        <w:rPr>
          <w:rFonts w:ascii="Times New Roman" w:hAnsi="Times New Roman" w:cs="Times New Roman"/>
          <w:bCs/>
          <w:color w:val="000000"/>
          <w:sz w:val="20"/>
          <w:szCs w:val="20"/>
          <w:lang w:val="en-US"/>
        </w:rPr>
        <w:t xml:space="preserve"> </w:t>
      </w:r>
      <w:r w:rsidRPr="00533779">
        <w:rPr>
          <w:rFonts w:ascii="Times New Roman" w:hAnsi="Times New Roman" w:cs="Times New Roman"/>
          <w:bCs/>
          <w:color w:val="000000"/>
          <w:sz w:val="20"/>
          <w:szCs w:val="20"/>
          <w:lang w:val="en-US"/>
        </w:rPr>
        <w:t>=</w:t>
      </w:r>
      <w:r w:rsidR="009C3D85">
        <w:rPr>
          <w:rFonts w:ascii="Times New Roman" w:hAnsi="Times New Roman" w:cs="Times New Roman"/>
          <w:bCs/>
          <w:color w:val="000000"/>
          <w:sz w:val="20"/>
          <w:szCs w:val="20"/>
          <w:lang w:val="en-US"/>
        </w:rPr>
        <w:t xml:space="preserve"> </w:t>
      </w:r>
      <w:r w:rsidR="00BD7F60">
        <w:rPr>
          <w:rFonts w:ascii="Times New Roman" w:hAnsi="Times New Roman" w:cs="Times New Roman"/>
          <w:bCs/>
          <w:color w:val="000000"/>
          <w:sz w:val="20"/>
          <w:szCs w:val="20"/>
          <w:lang w:val="en-US"/>
        </w:rPr>
        <w:t xml:space="preserve">34), tumor necrosis factor-α </w:t>
      </w:r>
      <w:r w:rsidRPr="00533779">
        <w:rPr>
          <w:rFonts w:ascii="Times New Roman" w:hAnsi="Times New Roman" w:cs="Times New Roman"/>
          <w:bCs/>
          <w:color w:val="000000"/>
          <w:sz w:val="20"/>
          <w:szCs w:val="20"/>
          <w:lang w:val="en-US"/>
        </w:rPr>
        <w:t xml:space="preserve">and its type I soluble receptor were determined by ELISA before and after course of treatment. C-reactive protein level was determined by biochemical method. The control group included 16 practically healthy individuals, </w:t>
      </w:r>
      <w:r>
        <w:rPr>
          <w:rFonts w:ascii="Times New Roman" w:hAnsi="Times New Roman" w:cs="Times New Roman"/>
          <w:bCs/>
          <w:color w:val="000000"/>
          <w:sz w:val="20"/>
          <w:szCs w:val="20"/>
          <w:lang w:val="en-US"/>
        </w:rPr>
        <w:t xml:space="preserve">aged 27 to 55 years. </w:t>
      </w:r>
      <w:r w:rsidRPr="00533779">
        <w:rPr>
          <w:rFonts w:ascii="Times New Roman" w:hAnsi="Times New Roman" w:cs="Times New Roman"/>
          <w:bCs/>
          <w:color w:val="000000"/>
          <w:sz w:val="20"/>
          <w:szCs w:val="20"/>
          <w:lang w:val="en-US"/>
        </w:rPr>
        <w:t xml:space="preserve">Hypertensive patients enrolled into study had been randomized into 3 arms that received different protocols of combined anti-hypertensive therapy. </w:t>
      </w:r>
      <w:r w:rsidR="009460E8">
        <w:rPr>
          <w:rFonts w:ascii="Times New Roman" w:hAnsi="Times New Roman" w:cs="Times New Roman"/>
          <w:bCs/>
          <w:color w:val="000000"/>
          <w:sz w:val="20"/>
          <w:szCs w:val="20"/>
          <w:lang w:val="en-US"/>
        </w:rPr>
        <w:t>I</w:t>
      </w:r>
      <w:r w:rsidRPr="00533779">
        <w:rPr>
          <w:rFonts w:ascii="Times New Roman" w:hAnsi="Times New Roman" w:cs="Times New Roman"/>
          <w:bCs/>
          <w:color w:val="000000"/>
          <w:sz w:val="20"/>
          <w:szCs w:val="20"/>
          <w:lang w:val="en-US"/>
        </w:rPr>
        <w:t xml:space="preserve"> clinical group </w:t>
      </w:r>
      <w:r w:rsidR="009C3D85" w:rsidRPr="009C3D85">
        <w:rPr>
          <w:rFonts w:ascii="Times New Roman" w:hAnsi="Times New Roman" w:cs="Times New Roman"/>
          <w:bCs/>
          <w:color w:val="000000"/>
          <w:sz w:val="20"/>
          <w:szCs w:val="20"/>
          <w:lang w:val="en-US"/>
        </w:rPr>
        <w:t xml:space="preserve">– </w:t>
      </w:r>
      <w:r w:rsidRPr="00533779">
        <w:rPr>
          <w:rFonts w:ascii="Times New Roman" w:hAnsi="Times New Roman" w:cs="Times New Roman"/>
          <w:bCs/>
          <w:color w:val="000000"/>
          <w:sz w:val="20"/>
          <w:szCs w:val="20"/>
          <w:lang w:val="en-US"/>
        </w:rPr>
        <w:t>а combinatio</w:t>
      </w:r>
      <w:r w:rsidR="00E3256F">
        <w:rPr>
          <w:rFonts w:ascii="Times New Roman" w:hAnsi="Times New Roman" w:cs="Times New Roman"/>
          <w:bCs/>
          <w:color w:val="000000"/>
          <w:sz w:val="20"/>
          <w:szCs w:val="20"/>
          <w:lang w:val="en-US"/>
        </w:rPr>
        <w:t xml:space="preserve">n of a bisoprolol and indapamid, </w:t>
      </w:r>
      <w:r w:rsidR="009460E8">
        <w:rPr>
          <w:rFonts w:ascii="Times New Roman" w:hAnsi="Times New Roman" w:cs="Times New Roman"/>
          <w:bCs/>
          <w:color w:val="000000"/>
          <w:sz w:val="20"/>
          <w:szCs w:val="20"/>
          <w:lang w:val="en-US"/>
        </w:rPr>
        <w:t>II</w:t>
      </w:r>
      <w:r w:rsidRPr="00533779">
        <w:rPr>
          <w:rFonts w:ascii="Times New Roman" w:hAnsi="Times New Roman" w:cs="Times New Roman"/>
          <w:bCs/>
          <w:color w:val="000000"/>
          <w:sz w:val="20"/>
          <w:szCs w:val="20"/>
          <w:lang w:val="en-US"/>
        </w:rPr>
        <w:t xml:space="preserve"> </w:t>
      </w:r>
      <w:r w:rsidR="009C3D85" w:rsidRPr="009C3D85">
        <w:rPr>
          <w:rFonts w:ascii="Times New Roman" w:hAnsi="Times New Roman" w:cs="Times New Roman"/>
          <w:bCs/>
          <w:color w:val="000000"/>
          <w:sz w:val="20"/>
          <w:szCs w:val="20"/>
          <w:lang w:val="en-US"/>
        </w:rPr>
        <w:t xml:space="preserve">– </w:t>
      </w:r>
      <w:r w:rsidRPr="00533779">
        <w:rPr>
          <w:rFonts w:ascii="Times New Roman" w:hAnsi="Times New Roman" w:cs="Times New Roman"/>
          <w:bCs/>
          <w:color w:val="000000"/>
          <w:sz w:val="20"/>
          <w:szCs w:val="20"/>
          <w:lang w:val="en-US"/>
        </w:rPr>
        <w:t xml:space="preserve">а combination </w:t>
      </w:r>
      <w:r w:rsidR="00E3256F">
        <w:rPr>
          <w:rFonts w:ascii="Times New Roman" w:hAnsi="Times New Roman" w:cs="Times New Roman"/>
          <w:bCs/>
          <w:color w:val="000000"/>
          <w:sz w:val="20"/>
          <w:szCs w:val="20"/>
          <w:lang w:val="en-US"/>
        </w:rPr>
        <w:t xml:space="preserve">of a lacidipine and candesartan, </w:t>
      </w:r>
      <w:r w:rsidR="009460E8">
        <w:rPr>
          <w:rFonts w:ascii="Times New Roman" w:hAnsi="Times New Roman" w:cs="Times New Roman"/>
          <w:bCs/>
          <w:color w:val="000000"/>
          <w:sz w:val="20"/>
          <w:szCs w:val="20"/>
          <w:lang w:val="en-US"/>
        </w:rPr>
        <w:t>III</w:t>
      </w:r>
      <w:r w:rsidRPr="00533779">
        <w:rPr>
          <w:rFonts w:ascii="Times New Roman" w:hAnsi="Times New Roman" w:cs="Times New Roman"/>
          <w:bCs/>
          <w:color w:val="000000"/>
          <w:sz w:val="20"/>
          <w:szCs w:val="20"/>
          <w:lang w:val="en-US"/>
        </w:rPr>
        <w:t xml:space="preserve"> </w:t>
      </w:r>
      <w:r w:rsidR="009C3D85" w:rsidRPr="009C3D85">
        <w:rPr>
          <w:rFonts w:ascii="Times New Roman" w:hAnsi="Times New Roman" w:cs="Times New Roman"/>
          <w:bCs/>
          <w:color w:val="000000"/>
          <w:sz w:val="20"/>
          <w:szCs w:val="20"/>
          <w:lang w:val="en-US"/>
        </w:rPr>
        <w:t xml:space="preserve">– </w:t>
      </w:r>
      <w:r w:rsidRPr="00533779">
        <w:rPr>
          <w:rFonts w:ascii="Times New Roman" w:hAnsi="Times New Roman" w:cs="Times New Roman"/>
          <w:bCs/>
          <w:color w:val="000000"/>
          <w:sz w:val="20"/>
          <w:szCs w:val="20"/>
          <w:lang w:val="en-US"/>
        </w:rPr>
        <w:t>а combination of а fosinopril</w:t>
      </w:r>
      <w:r w:rsidR="009460E8">
        <w:rPr>
          <w:rFonts w:ascii="Times New Roman" w:hAnsi="Times New Roman" w:cs="Times New Roman"/>
          <w:bCs/>
          <w:color w:val="000000"/>
          <w:sz w:val="20"/>
          <w:szCs w:val="20"/>
          <w:lang w:val="en-US"/>
        </w:rPr>
        <w:t xml:space="preserve"> sodium and hydrochlorothiazide.</w:t>
      </w:r>
      <w:r w:rsidR="00E3256F">
        <w:rPr>
          <w:rFonts w:ascii="Times New Roman" w:hAnsi="Times New Roman" w:cs="Times New Roman"/>
          <w:bCs/>
          <w:color w:val="000000"/>
          <w:sz w:val="20"/>
          <w:szCs w:val="20"/>
          <w:lang w:val="en-US"/>
        </w:rPr>
        <w:t xml:space="preserve"> </w:t>
      </w:r>
      <w:r w:rsidRPr="00533779">
        <w:rPr>
          <w:rFonts w:ascii="Times New Roman" w:hAnsi="Times New Roman" w:cs="Times New Roman"/>
          <w:bCs/>
          <w:color w:val="000000"/>
          <w:sz w:val="20"/>
          <w:szCs w:val="20"/>
          <w:lang w:val="en-US"/>
        </w:rPr>
        <w:t>On the background of combined antihypertensive therapy, we observed favorable dynamics of 8-iso-PgF2α, tumor necrosis factor-α and its type I soluble receptor and C-reactive protein. Taking into account the insignificance of the correlations revealed, a one-factor dispersion analysis was applied which allows to determine with certainty the influence of the grade and duration of hypertension on the dynamics of the studied indices levels. It has been found that the grade of hypertension is related to the increase in TNF-α and 8-iso-PgF2α serum levels, but not on to TNF-α type I soluble receptor, and the duration of hypertension is related to the increase in activity of the C-reactive protein, TNF-α and its type I soluble receptor, with no relation to the level of 8-iso-PgF2α.</w:t>
      </w:r>
      <w:r w:rsidR="005F096A">
        <w:rPr>
          <w:rFonts w:ascii="Times New Roman" w:hAnsi="Times New Roman" w:cs="Times New Roman"/>
          <w:bCs/>
          <w:color w:val="000000"/>
          <w:sz w:val="20"/>
          <w:szCs w:val="20"/>
          <w:lang w:val="en-US"/>
        </w:rPr>
        <w:t xml:space="preserve"> </w:t>
      </w:r>
      <w:r w:rsidR="005F096A" w:rsidRPr="005F096A">
        <w:rPr>
          <w:rFonts w:ascii="Times New Roman" w:eastAsia="TimesNewRomanPSMT" w:hAnsi="Times New Roman" w:cs="Times New Roman"/>
          <w:sz w:val="20"/>
          <w:szCs w:val="20"/>
          <w:lang w:val="en-US"/>
        </w:rPr>
        <w:t>Thus, oxidative stress possibly promotes the activation of potentially damaging immune mechanisms mediated by pro-inflammatory cytokines, nonspecific inflammation and drives the further progression of the target organs lesions.</w:t>
      </w:r>
    </w:p>
    <w:p w:rsidR="00AC4422" w:rsidRPr="00E3256F" w:rsidRDefault="00AC4422" w:rsidP="005F096A">
      <w:pPr>
        <w:tabs>
          <w:tab w:val="left" w:pos="8222"/>
        </w:tabs>
        <w:autoSpaceDE w:val="0"/>
        <w:autoSpaceDN w:val="0"/>
        <w:adjustRightInd w:val="0"/>
        <w:spacing w:after="0" w:line="240" w:lineRule="auto"/>
        <w:rPr>
          <w:rFonts w:ascii="Times New Roman" w:hAnsi="Times New Roman" w:cs="Times New Roman"/>
          <w:bCs/>
          <w:color w:val="000000"/>
          <w:sz w:val="20"/>
          <w:szCs w:val="20"/>
          <w:lang w:val="en-US"/>
        </w:rPr>
      </w:pPr>
    </w:p>
    <w:p w:rsidR="00C358D9" w:rsidRDefault="004C062C" w:rsidP="0020167C">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r w:rsidRPr="00305403">
        <w:rPr>
          <w:rFonts w:ascii="Times New Roman" w:hAnsi="Times New Roman" w:cs="Times New Roman"/>
          <w:b/>
          <w:sz w:val="20"/>
          <w:szCs w:val="20"/>
          <w:lang w:val="en-US"/>
        </w:rPr>
        <w:t>Key words:</w:t>
      </w:r>
      <w:r w:rsidRPr="00305403">
        <w:rPr>
          <w:rFonts w:ascii="Times New Roman" w:eastAsia="TimesNewRomanPSMT" w:hAnsi="Times New Roman" w:cs="Times New Roman"/>
          <w:b/>
          <w:sz w:val="20"/>
          <w:szCs w:val="20"/>
          <w:lang w:val="en-US"/>
        </w:rPr>
        <w:t xml:space="preserve"> </w:t>
      </w:r>
      <w:r w:rsidRPr="00305403">
        <w:rPr>
          <w:rFonts w:ascii="Times New Roman" w:eastAsia="TimesNewRomanPSMT" w:hAnsi="Times New Roman" w:cs="Times New Roman"/>
          <w:sz w:val="20"/>
          <w:szCs w:val="20"/>
          <w:lang w:val="en-US"/>
        </w:rPr>
        <w:t>8-iso-PgF2α</w:t>
      </w:r>
      <w:r w:rsidR="00296846">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 xml:space="preserve"> tumor necrosis</w:t>
      </w:r>
      <w:r w:rsidRPr="00305403">
        <w:rPr>
          <w:rFonts w:ascii="Times New Roman" w:hAnsi="Times New Roman" w:cs="Times New Roman"/>
          <w:bCs/>
          <w:sz w:val="20"/>
          <w:szCs w:val="20"/>
          <w:lang w:val="en-US"/>
        </w:rPr>
        <w:t xml:space="preserve"> factor-</w:t>
      </w:r>
      <w:r w:rsidRPr="00305403">
        <w:rPr>
          <w:rFonts w:ascii="Times New Roman" w:hAnsi="Times New Roman" w:cs="Times New Roman"/>
          <w:bCs/>
          <w:sz w:val="20"/>
          <w:szCs w:val="20"/>
        </w:rPr>
        <w:t>α</w:t>
      </w:r>
      <w:r w:rsidR="00296846">
        <w:rPr>
          <w:rFonts w:ascii="Times New Roman" w:hAnsi="Times New Roman" w:cs="Times New Roman"/>
          <w:bCs/>
          <w:sz w:val="20"/>
          <w:szCs w:val="20"/>
          <w:lang w:val="en-US"/>
        </w:rPr>
        <w:t>;</w:t>
      </w:r>
      <w:r w:rsidRPr="00305403">
        <w:rPr>
          <w:rFonts w:ascii="Times New Roman" w:hAnsi="Times New Roman" w:cs="Times New Roman"/>
          <w:bCs/>
          <w:sz w:val="20"/>
          <w:szCs w:val="20"/>
          <w:lang w:val="en-US"/>
        </w:rPr>
        <w:t xml:space="preserve"> </w:t>
      </w:r>
      <w:r w:rsidRPr="00305403">
        <w:rPr>
          <w:rFonts w:ascii="Times New Roman" w:eastAsia="TimesNewRomanPSMT" w:hAnsi="Times New Roman" w:cs="Times New Roman"/>
          <w:sz w:val="20"/>
          <w:szCs w:val="20"/>
          <w:lang w:val="en-US"/>
        </w:rPr>
        <w:t>type I soluble receptor</w:t>
      </w:r>
      <w:r w:rsidR="00296846">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 xml:space="preserve"> C-reactive protein</w:t>
      </w:r>
      <w:r w:rsidR="00296846">
        <w:rPr>
          <w:rFonts w:ascii="Times New Roman" w:eastAsia="TimesNewRomanPSMT" w:hAnsi="Times New Roman" w:cs="Times New Roman"/>
          <w:sz w:val="20"/>
          <w:szCs w:val="20"/>
          <w:lang w:val="en-US"/>
        </w:rPr>
        <w:t>;</w:t>
      </w:r>
      <w:r w:rsidR="002E4D66">
        <w:rPr>
          <w:rFonts w:ascii="Times New Roman" w:eastAsia="TimesNewRomanPSMT" w:hAnsi="Times New Roman" w:cs="Times New Roman"/>
          <w:sz w:val="20"/>
          <w:szCs w:val="20"/>
          <w:lang w:val="en-US"/>
        </w:rPr>
        <w:t xml:space="preserve"> </w:t>
      </w:r>
      <w:r w:rsidR="002E4D66" w:rsidRPr="002E4D66">
        <w:rPr>
          <w:rFonts w:ascii="Times New Roman" w:eastAsia="TimesNewRomanPSMT" w:hAnsi="Times New Roman" w:cs="Times New Roman"/>
          <w:sz w:val="20"/>
          <w:szCs w:val="20"/>
          <w:lang w:val="en-US"/>
        </w:rPr>
        <w:t>blood pressure</w:t>
      </w:r>
      <w:r w:rsidR="002E4D66">
        <w:rPr>
          <w:rFonts w:ascii="Times New Roman" w:eastAsia="TimesNewRomanPSMT" w:hAnsi="Times New Roman" w:cs="Times New Roman"/>
          <w:sz w:val="20"/>
          <w:szCs w:val="20"/>
          <w:lang w:val="en-US"/>
        </w:rPr>
        <w:t>.</w:t>
      </w:r>
    </w:p>
    <w:p w:rsidR="00CD767F" w:rsidRPr="00CD767F" w:rsidRDefault="00CD767F" w:rsidP="0020167C">
      <w:pPr>
        <w:autoSpaceDE w:val="0"/>
        <w:autoSpaceDN w:val="0"/>
        <w:adjustRightInd w:val="0"/>
        <w:spacing w:after="0" w:line="240" w:lineRule="auto"/>
        <w:ind w:left="0" w:firstLine="851"/>
        <w:rPr>
          <w:rFonts w:ascii="Times New Roman" w:hAnsi="Times New Roman" w:cs="Times New Roman"/>
          <w:bCs/>
          <w:sz w:val="20"/>
          <w:szCs w:val="20"/>
          <w:lang w:val="en-US"/>
        </w:rPr>
      </w:pPr>
    </w:p>
    <w:p w:rsidR="00CD767F" w:rsidRPr="00CD767F" w:rsidRDefault="00CD767F" w:rsidP="00CD767F">
      <w:pPr>
        <w:spacing w:line="240" w:lineRule="auto"/>
        <w:ind w:left="0"/>
        <w:contextualSpacing/>
        <w:jc w:val="center"/>
        <w:rPr>
          <w:rFonts w:ascii="Times New Roman" w:hAnsi="Times New Roman" w:cs="Times New Roman"/>
          <w:bCs/>
          <w:sz w:val="20"/>
          <w:szCs w:val="20"/>
          <w:lang w:val="en-US"/>
        </w:rPr>
      </w:pPr>
      <w:r w:rsidRPr="00CD767F">
        <w:rPr>
          <w:rFonts w:ascii="Times New Roman" w:hAnsi="Times New Roman" w:cs="Times New Roman"/>
          <w:bCs/>
          <w:sz w:val="20"/>
          <w:szCs w:val="20"/>
          <w:lang w:val="en-US"/>
        </w:rPr>
        <w:t>Kharkiv National Medical University,</w:t>
      </w:r>
    </w:p>
    <w:p w:rsidR="009460E8" w:rsidRDefault="00CD767F" w:rsidP="009460E8">
      <w:pPr>
        <w:autoSpaceDE w:val="0"/>
        <w:autoSpaceDN w:val="0"/>
        <w:adjustRightInd w:val="0"/>
        <w:spacing w:after="0" w:line="240" w:lineRule="auto"/>
        <w:ind w:left="0"/>
        <w:contextualSpacing/>
        <w:jc w:val="center"/>
        <w:rPr>
          <w:rFonts w:ascii="Times New Roman" w:hAnsi="Times New Roman" w:cs="Times New Roman"/>
          <w:bCs/>
          <w:sz w:val="20"/>
          <w:szCs w:val="20"/>
          <w:highlight w:val="yellow"/>
          <w:lang w:val="en-US"/>
        </w:rPr>
      </w:pPr>
      <w:r w:rsidRPr="00CD767F">
        <w:rPr>
          <w:rFonts w:ascii="Times New Roman" w:hAnsi="Times New Roman" w:cs="Times New Roman"/>
          <w:bCs/>
          <w:sz w:val="20"/>
          <w:szCs w:val="20"/>
          <w:lang w:val="en-US"/>
        </w:rPr>
        <w:t>Nauky Ave., 4, Kharkiv, 61022, Ukraine</w:t>
      </w:r>
      <w:r w:rsidR="009460E8" w:rsidRPr="009460E8">
        <w:rPr>
          <w:rFonts w:ascii="Times New Roman" w:hAnsi="Times New Roman" w:cs="Times New Roman"/>
          <w:bCs/>
          <w:sz w:val="20"/>
          <w:szCs w:val="20"/>
          <w:highlight w:val="yellow"/>
          <w:lang w:val="en-US"/>
        </w:rPr>
        <w:t xml:space="preserve"> </w:t>
      </w:r>
    </w:p>
    <w:p w:rsidR="00CD767F" w:rsidRPr="00EC0FA9" w:rsidRDefault="009460E8" w:rsidP="009460E8">
      <w:pPr>
        <w:autoSpaceDE w:val="0"/>
        <w:autoSpaceDN w:val="0"/>
        <w:adjustRightInd w:val="0"/>
        <w:spacing w:after="0" w:line="240" w:lineRule="auto"/>
        <w:ind w:left="0"/>
        <w:contextualSpacing/>
        <w:jc w:val="center"/>
        <w:rPr>
          <w:rFonts w:ascii="Times New Roman" w:hAnsi="Times New Roman" w:cs="Times New Roman"/>
          <w:bCs/>
          <w:sz w:val="20"/>
          <w:szCs w:val="20"/>
          <w:lang w:val="de-DE"/>
        </w:rPr>
      </w:pPr>
      <w:r w:rsidRPr="00EC0FA9">
        <w:rPr>
          <w:rFonts w:ascii="Times New Roman" w:hAnsi="Times New Roman" w:cs="Times New Roman"/>
          <w:bCs/>
          <w:sz w:val="20"/>
          <w:szCs w:val="20"/>
          <w:lang w:val="de-DE"/>
        </w:rPr>
        <w:t>Tel.: +38-096-120-68-72</w:t>
      </w:r>
    </w:p>
    <w:p w:rsidR="00CD767F" w:rsidRDefault="00CD767F" w:rsidP="00CD767F">
      <w:pPr>
        <w:autoSpaceDE w:val="0"/>
        <w:autoSpaceDN w:val="0"/>
        <w:adjustRightInd w:val="0"/>
        <w:spacing w:after="0" w:line="240" w:lineRule="auto"/>
        <w:ind w:left="0"/>
        <w:contextualSpacing/>
        <w:jc w:val="center"/>
        <w:rPr>
          <w:rFonts w:ascii="Times New Roman" w:hAnsi="Times New Roman" w:cs="Times New Roman"/>
          <w:bCs/>
          <w:sz w:val="20"/>
          <w:szCs w:val="20"/>
          <w:lang w:val="de-DE"/>
        </w:rPr>
      </w:pPr>
      <w:r w:rsidRPr="009460E8">
        <w:rPr>
          <w:rFonts w:ascii="Times New Roman" w:hAnsi="Times New Roman" w:cs="Times New Roman"/>
          <w:bCs/>
          <w:sz w:val="20"/>
          <w:szCs w:val="20"/>
          <w:lang w:val="de-DE"/>
        </w:rPr>
        <w:t xml:space="preserve">E-mail: </w:t>
      </w:r>
      <w:hyperlink r:id="rId8" w:history="1">
        <w:r w:rsidRPr="009460E8">
          <w:rPr>
            <w:rFonts w:ascii="Times New Roman" w:hAnsi="Times New Roman" w:cs="Times New Roman"/>
            <w:bCs/>
            <w:sz w:val="20"/>
            <w:szCs w:val="20"/>
            <w:lang w:val="de-DE"/>
          </w:rPr>
          <w:t>nino.gerasimchuk@gmail.com</w:t>
        </w:r>
      </w:hyperlink>
      <w:r w:rsidRPr="009460E8">
        <w:rPr>
          <w:rFonts w:ascii="Times New Roman" w:hAnsi="Times New Roman" w:cs="Times New Roman"/>
          <w:bCs/>
          <w:sz w:val="20"/>
          <w:szCs w:val="20"/>
          <w:lang w:val="de-DE"/>
        </w:rPr>
        <w:t xml:space="preserve"> </w:t>
      </w:r>
    </w:p>
    <w:p w:rsidR="00256829" w:rsidRPr="009460E8" w:rsidRDefault="00256829" w:rsidP="00CD767F">
      <w:pPr>
        <w:autoSpaceDE w:val="0"/>
        <w:autoSpaceDN w:val="0"/>
        <w:adjustRightInd w:val="0"/>
        <w:spacing w:after="0" w:line="240" w:lineRule="auto"/>
        <w:ind w:left="0"/>
        <w:contextualSpacing/>
        <w:jc w:val="center"/>
        <w:rPr>
          <w:rFonts w:ascii="Times New Roman" w:hAnsi="Times New Roman" w:cs="Times New Roman"/>
          <w:bCs/>
          <w:sz w:val="20"/>
          <w:szCs w:val="20"/>
          <w:lang w:val="de-DE"/>
        </w:rPr>
      </w:pPr>
    </w:p>
    <w:p w:rsidR="004C062C" w:rsidRPr="0020167C" w:rsidRDefault="004C062C" w:rsidP="00F65521">
      <w:pPr>
        <w:pStyle w:val="Default"/>
        <w:ind w:firstLine="851"/>
        <w:rPr>
          <w:rFonts w:ascii="Times New Roman" w:hAnsi="Times New Roman" w:cs="Times New Roman"/>
          <w:b/>
          <w:bCs/>
          <w:color w:val="auto"/>
          <w:sz w:val="20"/>
          <w:szCs w:val="20"/>
          <w:lang w:val="en-US"/>
        </w:rPr>
      </w:pPr>
      <w:r w:rsidRPr="0020167C">
        <w:rPr>
          <w:rFonts w:ascii="Times New Roman" w:hAnsi="Times New Roman" w:cs="Times New Roman"/>
          <w:b/>
          <w:bCs/>
          <w:color w:val="auto"/>
          <w:sz w:val="20"/>
          <w:szCs w:val="20"/>
          <w:lang w:val="en-US"/>
        </w:rPr>
        <w:t>Introduction</w:t>
      </w:r>
    </w:p>
    <w:p w:rsidR="004C062C" w:rsidRPr="0020167C" w:rsidRDefault="004C062C" w:rsidP="00F65521">
      <w:pPr>
        <w:pStyle w:val="Default"/>
        <w:ind w:firstLine="851"/>
        <w:jc w:val="both"/>
        <w:rPr>
          <w:rFonts w:ascii="Times New Roman" w:hAnsi="Times New Roman" w:cs="Times New Roman"/>
          <w:bCs/>
          <w:color w:val="auto"/>
          <w:sz w:val="20"/>
          <w:szCs w:val="20"/>
          <w:lang w:val="en-US"/>
        </w:rPr>
      </w:pPr>
      <w:r w:rsidRPr="0020167C">
        <w:rPr>
          <w:rFonts w:ascii="Times New Roman" w:hAnsi="Times New Roman" w:cs="Times New Roman"/>
          <w:bCs/>
          <w:color w:val="auto"/>
          <w:sz w:val="20"/>
          <w:szCs w:val="20"/>
          <w:lang w:val="en-US"/>
        </w:rPr>
        <w:t>Hypertension occupies one of the leading places in the structure of cardiac pathology and presents a complex medical and social problem considering its high prevalence and early development of complications. Hypertension in its origin is a heterogeneous and multisystemic disease. In the last decade, the role of immune inflammatory activation mediated by proinflammatory cytokines, systemic inflammation and oxidative stress (OS) in the pathogenesis of cardiovascular diseases, including hyperten</w:t>
      </w:r>
      <w:r w:rsidR="00946AD4" w:rsidRPr="0020167C">
        <w:rPr>
          <w:rFonts w:ascii="Times New Roman" w:hAnsi="Times New Roman" w:cs="Times New Roman"/>
          <w:bCs/>
          <w:color w:val="auto"/>
          <w:sz w:val="20"/>
          <w:szCs w:val="20"/>
          <w:lang w:val="en-US"/>
        </w:rPr>
        <w:t xml:space="preserve">sion, has been actively studied </w:t>
      </w:r>
      <w:r w:rsidR="002F42A3">
        <w:rPr>
          <w:rFonts w:ascii="Times New Roman" w:hAnsi="Times New Roman" w:cs="Times New Roman"/>
          <w:bCs/>
          <w:color w:val="auto"/>
          <w:sz w:val="20"/>
          <w:szCs w:val="20"/>
          <w:lang w:val="en-US"/>
        </w:rPr>
        <w:t>(</w:t>
      </w:r>
      <w:r w:rsidR="00EF636A" w:rsidRPr="0020167C">
        <w:rPr>
          <w:rFonts w:ascii="Times New Roman" w:eastAsia="TimesNewRomanPSMT" w:hAnsi="Times New Roman" w:cs="Times New Roman"/>
          <w:sz w:val="20"/>
          <w:szCs w:val="20"/>
          <w:lang w:val="en-US"/>
        </w:rPr>
        <w:t>Bautista</w:t>
      </w:r>
      <w:r w:rsidR="0028648A">
        <w:rPr>
          <w:rFonts w:ascii="Times New Roman" w:eastAsia="TimesNewRomanPSMT" w:hAnsi="Times New Roman" w:cs="Times New Roman"/>
          <w:sz w:val="20"/>
          <w:szCs w:val="20"/>
          <w:lang w:val="en-US"/>
        </w:rPr>
        <w:t xml:space="preserve"> et al., </w:t>
      </w:r>
      <w:r w:rsidR="00EF636A" w:rsidRPr="00EF636A">
        <w:rPr>
          <w:rFonts w:ascii="Times New Roman" w:eastAsia="TimesNewRomanPSMT" w:hAnsi="Times New Roman" w:cs="Times New Roman"/>
          <w:sz w:val="20"/>
          <w:szCs w:val="20"/>
          <w:lang w:val="en-US"/>
        </w:rPr>
        <w:t>200</w:t>
      </w:r>
      <w:r w:rsidR="00EF636A">
        <w:rPr>
          <w:rFonts w:ascii="Times New Roman" w:eastAsia="TimesNewRomanPSMT" w:hAnsi="Times New Roman" w:cs="Times New Roman"/>
          <w:sz w:val="20"/>
          <w:szCs w:val="20"/>
          <w:lang w:val="en-US"/>
        </w:rPr>
        <w:t>5</w:t>
      </w:r>
      <w:r w:rsidR="0028648A">
        <w:rPr>
          <w:rFonts w:ascii="Times New Roman" w:eastAsia="TimesNewRomanPSMT" w:hAnsi="Times New Roman" w:cs="Times New Roman"/>
          <w:sz w:val="20"/>
          <w:szCs w:val="20"/>
          <w:lang w:val="en-US"/>
        </w:rPr>
        <w:t>;</w:t>
      </w:r>
      <w:r w:rsidR="0028648A" w:rsidRPr="0028648A">
        <w:rPr>
          <w:rFonts w:ascii="Times New Roman" w:eastAsia="TimesNewRomanPSMT" w:hAnsi="Times New Roman" w:cs="Times New Roman"/>
          <w:sz w:val="20"/>
          <w:szCs w:val="20"/>
          <w:lang w:val="en-US"/>
        </w:rPr>
        <w:t xml:space="preserve"> </w:t>
      </w:r>
      <w:r w:rsidR="0028648A" w:rsidRPr="0020167C">
        <w:rPr>
          <w:rFonts w:ascii="Times New Roman" w:eastAsia="TimesNewRomanPSMT" w:hAnsi="Times New Roman" w:cs="Times New Roman"/>
          <w:sz w:val="20"/>
          <w:szCs w:val="20"/>
          <w:lang w:val="en-US"/>
        </w:rPr>
        <w:t>Mahmud</w:t>
      </w:r>
      <w:r w:rsidR="0028648A" w:rsidRPr="00C275BE">
        <w:rPr>
          <w:rFonts w:ascii="Times New Roman" w:eastAsia="TimesNewRomanPSMT" w:hAnsi="Times New Roman" w:cs="Times New Roman"/>
          <w:sz w:val="20"/>
          <w:szCs w:val="20"/>
          <w:lang w:val="en-US"/>
        </w:rPr>
        <w:t xml:space="preserve"> </w:t>
      </w:r>
      <w:r w:rsidR="0028648A" w:rsidRPr="00CD767F">
        <w:rPr>
          <w:rFonts w:ascii="Times New Roman" w:eastAsia="Times New Roman" w:hAnsi="Times New Roman" w:cs="Times New Roman"/>
          <w:sz w:val="20"/>
          <w:szCs w:val="20"/>
          <w:lang w:val="en-US" w:eastAsia="ru-RU"/>
        </w:rPr>
        <w:t>&amp;</w:t>
      </w:r>
      <w:r w:rsidR="0028648A">
        <w:rPr>
          <w:rFonts w:ascii="Segoe UI" w:eastAsia="Times New Roman" w:hAnsi="Segoe UI" w:cs="Segoe UI"/>
          <w:sz w:val="21"/>
          <w:szCs w:val="21"/>
          <w:lang w:val="en-US" w:eastAsia="ru-RU"/>
        </w:rPr>
        <w:t xml:space="preserve"> </w:t>
      </w:r>
      <w:r w:rsidR="0028648A">
        <w:rPr>
          <w:rFonts w:ascii="Times New Roman" w:eastAsia="TimesNewRomanPSMT" w:hAnsi="Times New Roman" w:cs="Times New Roman"/>
          <w:sz w:val="20"/>
          <w:szCs w:val="20"/>
          <w:lang w:val="en-US"/>
        </w:rPr>
        <w:t>Feel, 2005</w:t>
      </w:r>
      <w:r w:rsidR="00EF636A">
        <w:rPr>
          <w:rFonts w:ascii="Times New Roman" w:eastAsia="TimesNewRomanPSMT" w:hAnsi="Times New Roman" w:cs="Times New Roman"/>
          <w:sz w:val="20"/>
          <w:szCs w:val="20"/>
          <w:lang w:val="en-US"/>
        </w:rPr>
        <w:t>).</w:t>
      </w:r>
      <w:r w:rsidR="00EF636A" w:rsidRPr="0020167C">
        <w:rPr>
          <w:rFonts w:ascii="Times New Roman" w:hAnsi="Times New Roman" w:cs="Times New Roman"/>
          <w:bCs/>
          <w:color w:val="auto"/>
          <w:sz w:val="20"/>
          <w:szCs w:val="20"/>
          <w:lang w:val="en-US"/>
        </w:rPr>
        <w:t xml:space="preserve"> </w:t>
      </w:r>
      <w:r w:rsidRPr="0020167C">
        <w:rPr>
          <w:rFonts w:ascii="Times New Roman" w:hAnsi="Times New Roman" w:cs="Times New Roman"/>
          <w:bCs/>
          <w:color w:val="auto"/>
          <w:sz w:val="20"/>
          <w:szCs w:val="20"/>
          <w:lang w:val="en-US"/>
        </w:rPr>
        <w:t>The term "oxidative stress" (OS) is understood as a condition in which the amount of free radicals formed in the body is significantly higher than the activity of endogenous antioxidant system</w:t>
      </w:r>
      <w:r w:rsidR="00946AD4" w:rsidRPr="0020167C">
        <w:rPr>
          <w:rFonts w:ascii="Times New Roman" w:hAnsi="Times New Roman" w:cs="Times New Roman"/>
          <w:bCs/>
          <w:color w:val="auto"/>
          <w:sz w:val="20"/>
          <w:szCs w:val="20"/>
          <w:lang w:val="en-US"/>
        </w:rPr>
        <w:t xml:space="preserve">s that ensure their elimination </w:t>
      </w:r>
      <w:r w:rsidR="00EF636A">
        <w:rPr>
          <w:rFonts w:ascii="Times New Roman" w:hAnsi="Times New Roman" w:cs="Times New Roman"/>
          <w:bCs/>
          <w:color w:val="auto"/>
          <w:sz w:val="20"/>
          <w:szCs w:val="20"/>
          <w:lang w:val="en-US"/>
        </w:rPr>
        <w:t>(</w:t>
      </w:r>
      <w:r w:rsidR="00DF7F14">
        <w:rPr>
          <w:sz w:val="20"/>
          <w:szCs w:val="20"/>
          <w:lang w:val="en-US"/>
        </w:rPr>
        <w:t>Kovaljova</w:t>
      </w:r>
      <w:r w:rsidR="0028648A" w:rsidRPr="000F198D">
        <w:rPr>
          <w:rFonts w:ascii="Times New Roman" w:eastAsia="TimesNewRomanPSMT" w:hAnsi="Times New Roman" w:cs="Times New Roman"/>
          <w:sz w:val="20"/>
          <w:szCs w:val="20"/>
          <w:lang w:val="en-US"/>
        </w:rPr>
        <w:t xml:space="preserve"> </w:t>
      </w:r>
      <w:r w:rsidR="0028648A" w:rsidRPr="00EF636A">
        <w:rPr>
          <w:rFonts w:ascii="Times New Roman" w:eastAsia="TimesNewRomanPSMT" w:hAnsi="Times New Roman" w:cs="Times New Roman"/>
          <w:sz w:val="20"/>
          <w:szCs w:val="20"/>
          <w:lang w:val="en-US"/>
        </w:rPr>
        <w:t>et al., 200</w:t>
      </w:r>
      <w:r w:rsidR="0028648A">
        <w:rPr>
          <w:rFonts w:ascii="Times New Roman" w:eastAsia="TimesNewRomanPSMT" w:hAnsi="Times New Roman" w:cs="Times New Roman"/>
          <w:sz w:val="20"/>
          <w:szCs w:val="20"/>
          <w:lang w:val="en-US"/>
        </w:rPr>
        <w:t xml:space="preserve">5; </w:t>
      </w:r>
      <w:r w:rsidR="000F198D" w:rsidRPr="0020167C">
        <w:rPr>
          <w:rFonts w:ascii="Times New Roman" w:eastAsia="TimesNewRomanPSMT" w:hAnsi="Times New Roman" w:cs="Times New Roman"/>
          <w:sz w:val="20"/>
          <w:szCs w:val="20"/>
          <w:lang w:val="en-US"/>
        </w:rPr>
        <w:t>Allison</w:t>
      </w:r>
      <w:r w:rsidR="0028648A">
        <w:rPr>
          <w:rFonts w:ascii="Times New Roman" w:eastAsia="TimesNewRomanPSMT" w:hAnsi="Times New Roman" w:cs="Times New Roman"/>
          <w:sz w:val="20"/>
          <w:szCs w:val="20"/>
          <w:lang w:val="en-US"/>
        </w:rPr>
        <w:t xml:space="preserve"> 2016</w:t>
      </w:r>
      <w:r w:rsidR="00EF636A" w:rsidRPr="004850C1">
        <w:rPr>
          <w:rFonts w:ascii="Times New Roman" w:hAnsi="Times New Roman" w:cs="Times New Roman"/>
          <w:bCs/>
          <w:color w:val="auto"/>
          <w:sz w:val="20"/>
          <w:szCs w:val="20"/>
          <w:lang w:val="en-US"/>
        </w:rPr>
        <w:t>)</w:t>
      </w:r>
      <w:r w:rsidR="000F198D" w:rsidRPr="004850C1">
        <w:rPr>
          <w:rFonts w:ascii="Times New Roman" w:hAnsi="Times New Roman" w:cs="Times New Roman"/>
          <w:bCs/>
          <w:color w:val="auto"/>
          <w:sz w:val="20"/>
          <w:szCs w:val="20"/>
          <w:lang w:val="en-US"/>
        </w:rPr>
        <w:t>.</w:t>
      </w:r>
      <w:r w:rsidRPr="0020167C">
        <w:rPr>
          <w:rFonts w:ascii="Times New Roman" w:hAnsi="Times New Roman" w:cs="Times New Roman"/>
          <w:bCs/>
          <w:color w:val="auto"/>
          <w:sz w:val="20"/>
          <w:szCs w:val="20"/>
          <w:lang w:val="en-US"/>
        </w:rPr>
        <w:t xml:space="preserve"> It has been suggested that OS and immune inflammatory changes participate in the pathogenesis of cardiovascular dysfunction, are interrelated and can induce each</w:t>
      </w:r>
      <w:r w:rsidR="00946AD4" w:rsidRPr="0020167C">
        <w:rPr>
          <w:rFonts w:ascii="Times New Roman" w:hAnsi="Times New Roman" w:cs="Times New Roman"/>
          <w:bCs/>
          <w:color w:val="auto"/>
          <w:sz w:val="20"/>
          <w:szCs w:val="20"/>
          <w:lang w:val="en-US"/>
        </w:rPr>
        <w:t xml:space="preserve"> other forming a vicious circle</w:t>
      </w:r>
      <w:r w:rsidR="00C275BE">
        <w:rPr>
          <w:rFonts w:ascii="Times New Roman" w:hAnsi="Times New Roman" w:cs="Times New Roman"/>
          <w:bCs/>
          <w:color w:val="auto"/>
          <w:sz w:val="20"/>
          <w:szCs w:val="20"/>
          <w:lang w:val="en-US"/>
        </w:rPr>
        <w:t xml:space="preserve"> </w:t>
      </w:r>
      <w:r w:rsidR="000F198D">
        <w:rPr>
          <w:rFonts w:ascii="Times New Roman" w:hAnsi="Times New Roman" w:cs="Times New Roman"/>
          <w:bCs/>
          <w:color w:val="auto"/>
          <w:sz w:val="20"/>
          <w:szCs w:val="20"/>
          <w:lang w:val="en-US"/>
        </w:rPr>
        <w:t>(</w:t>
      </w:r>
      <w:r w:rsidR="00DF7F14">
        <w:rPr>
          <w:sz w:val="20"/>
          <w:szCs w:val="20"/>
          <w:lang w:val="en-US"/>
        </w:rPr>
        <w:t>Kovaljova</w:t>
      </w:r>
      <w:r w:rsidR="000F198D" w:rsidRPr="000F198D">
        <w:rPr>
          <w:rFonts w:ascii="Times New Roman" w:eastAsia="TimesNewRomanPSMT" w:hAnsi="Times New Roman" w:cs="Times New Roman"/>
          <w:sz w:val="20"/>
          <w:szCs w:val="20"/>
          <w:lang w:val="en-US"/>
        </w:rPr>
        <w:t xml:space="preserve"> </w:t>
      </w:r>
      <w:r w:rsidR="000F198D" w:rsidRPr="00EF636A">
        <w:rPr>
          <w:rFonts w:ascii="Times New Roman" w:eastAsia="TimesNewRomanPSMT" w:hAnsi="Times New Roman" w:cs="Times New Roman"/>
          <w:sz w:val="20"/>
          <w:szCs w:val="20"/>
          <w:lang w:val="en-US"/>
        </w:rPr>
        <w:t>et al., 20</w:t>
      </w:r>
      <w:r w:rsidR="00C275BE">
        <w:rPr>
          <w:rFonts w:ascii="Times New Roman" w:eastAsia="TimesNewRomanPSMT" w:hAnsi="Times New Roman" w:cs="Times New Roman"/>
          <w:sz w:val="20"/>
          <w:szCs w:val="20"/>
          <w:lang w:val="en-US"/>
        </w:rPr>
        <w:t>1</w:t>
      </w:r>
      <w:r w:rsidR="000F198D">
        <w:rPr>
          <w:rFonts w:ascii="Times New Roman" w:eastAsia="TimesNewRomanPSMT" w:hAnsi="Times New Roman" w:cs="Times New Roman"/>
          <w:sz w:val="20"/>
          <w:szCs w:val="20"/>
          <w:lang w:val="en-US"/>
        </w:rPr>
        <w:t>5</w:t>
      </w:r>
      <w:r w:rsidR="000F198D">
        <w:rPr>
          <w:rFonts w:ascii="Times New Roman" w:hAnsi="Times New Roman" w:cs="Times New Roman"/>
          <w:bCs/>
          <w:color w:val="auto"/>
          <w:sz w:val="20"/>
          <w:szCs w:val="20"/>
          <w:lang w:val="en-US"/>
        </w:rPr>
        <w:t>)</w:t>
      </w:r>
      <w:r w:rsidR="00C275BE">
        <w:rPr>
          <w:rFonts w:ascii="Times New Roman" w:hAnsi="Times New Roman" w:cs="Times New Roman"/>
          <w:bCs/>
          <w:color w:val="auto"/>
          <w:sz w:val="20"/>
          <w:szCs w:val="20"/>
          <w:lang w:val="en-US"/>
        </w:rPr>
        <w:t>.</w:t>
      </w:r>
      <w:r w:rsidR="00946AD4" w:rsidRPr="0020167C">
        <w:rPr>
          <w:rFonts w:ascii="Times New Roman" w:hAnsi="Times New Roman" w:cs="Times New Roman"/>
          <w:bCs/>
          <w:color w:val="auto"/>
          <w:sz w:val="20"/>
          <w:szCs w:val="20"/>
          <w:lang w:val="en-US"/>
        </w:rPr>
        <w:t xml:space="preserve"> </w:t>
      </w:r>
    </w:p>
    <w:p w:rsidR="004C062C" w:rsidRPr="0020167C" w:rsidRDefault="004C062C" w:rsidP="00F65521">
      <w:pPr>
        <w:pStyle w:val="Default"/>
        <w:ind w:firstLine="851"/>
        <w:jc w:val="both"/>
        <w:rPr>
          <w:rFonts w:ascii="Times New Roman" w:hAnsi="Times New Roman" w:cs="Times New Roman"/>
          <w:bCs/>
          <w:color w:val="auto"/>
          <w:sz w:val="20"/>
          <w:szCs w:val="20"/>
          <w:lang w:val="en-US"/>
        </w:rPr>
      </w:pPr>
      <w:r w:rsidRPr="0020167C">
        <w:rPr>
          <w:rFonts w:ascii="Times New Roman" w:hAnsi="Times New Roman" w:cs="Times New Roman"/>
          <w:bCs/>
          <w:color w:val="auto"/>
          <w:sz w:val="20"/>
          <w:szCs w:val="20"/>
          <w:lang w:val="en-US"/>
        </w:rPr>
        <w:t>Among the proinflammatory cytokines, the tumor necrosis factor-</w:t>
      </w:r>
      <w:r w:rsidRPr="0020167C">
        <w:rPr>
          <w:rFonts w:ascii="Times New Roman" w:hAnsi="Times New Roman" w:cs="Times New Roman"/>
          <w:bCs/>
          <w:color w:val="auto"/>
          <w:sz w:val="20"/>
          <w:szCs w:val="20"/>
        </w:rPr>
        <w:t>α</w:t>
      </w:r>
      <w:r w:rsidRPr="0020167C">
        <w:rPr>
          <w:rFonts w:ascii="Times New Roman" w:hAnsi="Times New Roman" w:cs="Times New Roman"/>
          <w:bCs/>
          <w:color w:val="auto"/>
          <w:sz w:val="20"/>
          <w:szCs w:val="20"/>
          <w:lang w:val="en-US"/>
        </w:rPr>
        <w:t xml:space="preserve"> (TNF-</w:t>
      </w:r>
      <w:r w:rsidRPr="0020167C">
        <w:rPr>
          <w:rFonts w:ascii="Times New Roman" w:hAnsi="Times New Roman" w:cs="Times New Roman"/>
          <w:bCs/>
          <w:color w:val="auto"/>
          <w:sz w:val="20"/>
          <w:szCs w:val="20"/>
        </w:rPr>
        <w:t>α</w:t>
      </w:r>
      <w:r w:rsidRPr="0020167C">
        <w:rPr>
          <w:rFonts w:ascii="Times New Roman" w:hAnsi="Times New Roman" w:cs="Times New Roman"/>
          <w:bCs/>
          <w:color w:val="auto"/>
          <w:sz w:val="20"/>
          <w:szCs w:val="20"/>
          <w:lang w:val="en-US"/>
        </w:rPr>
        <w:t>) deserves special attention in the context of hypertension. Firstly, this is due to the fact that, as shown by experimental and insignificant number of clinical studies, hemodynamic stress caused by increased blood pressure (BP) is one of the stimuli to increase production and release of pro-inflammatory cytokines, including TNF-</w:t>
      </w:r>
      <w:r w:rsidRPr="0020167C">
        <w:rPr>
          <w:rFonts w:ascii="Times New Roman" w:hAnsi="Times New Roman" w:cs="Times New Roman"/>
          <w:bCs/>
          <w:color w:val="auto"/>
          <w:sz w:val="20"/>
          <w:szCs w:val="20"/>
        </w:rPr>
        <w:t>α</w:t>
      </w:r>
      <w:r w:rsidR="00946AD4" w:rsidRPr="0020167C">
        <w:rPr>
          <w:rFonts w:ascii="Times New Roman" w:hAnsi="Times New Roman" w:cs="Times New Roman"/>
          <w:bCs/>
          <w:color w:val="auto"/>
          <w:sz w:val="20"/>
          <w:szCs w:val="20"/>
          <w:lang w:val="en-US"/>
        </w:rPr>
        <w:t xml:space="preserve">, into the bloodstream </w:t>
      </w:r>
      <w:r w:rsidR="00C275BE">
        <w:rPr>
          <w:rFonts w:ascii="Times New Roman" w:hAnsi="Times New Roman" w:cs="Times New Roman"/>
          <w:bCs/>
          <w:color w:val="auto"/>
          <w:sz w:val="20"/>
          <w:szCs w:val="20"/>
          <w:lang w:val="en-US"/>
        </w:rPr>
        <w:t>(</w:t>
      </w:r>
      <w:r w:rsidR="00790173" w:rsidRPr="0020167C">
        <w:rPr>
          <w:rFonts w:ascii="Times New Roman" w:eastAsia="Times New Roman" w:hAnsi="Times New Roman" w:cs="Times New Roman"/>
          <w:sz w:val="20"/>
          <w:szCs w:val="20"/>
          <w:lang w:val="en-US" w:eastAsia="ru-RU"/>
        </w:rPr>
        <w:t>Goldhaber</w:t>
      </w:r>
      <w:r w:rsidR="00790173" w:rsidRPr="00C275BE">
        <w:rPr>
          <w:rFonts w:ascii="Times New Roman" w:eastAsia="TimesNewRomanPSMT" w:hAnsi="Times New Roman" w:cs="Times New Roman"/>
          <w:sz w:val="20"/>
          <w:szCs w:val="20"/>
          <w:lang w:val="en-US"/>
        </w:rPr>
        <w:t xml:space="preserve"> </w:t>
      </w:r>
      <w:r w:rsidR="00790173" w:rsidRPr="00EF636A">
        <w:rPr>
          <w:rFonts w:ascii="Times New Roman" w:eastAsia="TimesNewRomanPSMT" w:hAnsi="Times New Roman" w:cs="Times New Roman"/>
          <w:sz w:val="20"/>
          <w:szCs w:val="20"/>
          <w:lang w:val="en-US"/>
        </w:rPr>
        <w:t xml:space="preserve">et al., </w:t>
      </w:r>
      <w:r w:rsidR="00790173">
        <w:rPr>
          <w:rFonts w:ascii="Times New Roman" w:eastAsia="TimesNewRomanPSMT" w:hAnsi="Times New Roman" w:cs="Times New Roman"/>
          <w:sz w:val="20"/>
          <w:szCs w:val="20"/>
          <w:lang w:val="en-US"/>
        </w:rPr>
        <w:t>1996</w:t>
      </w:r>
      <w:r w:rsidR="00C275BE">
        <w:rPr>
          <w:rFonts w:ascii="Times New Roman" w:hAnsi="Times New Roman" w:cs="Times New Roman"/>
          <w:sz w:val="20"/>
          <w:szCs w:val="20"/>
          <w:lang w:val="en-US"/>
        </w:rPr>
        <w:t>;</w:t>
      </w:r>
      <w:r w:rsidR="00C275BE" w:rsidRPr="00C275BE">
        <w:rPr>
          <w:lang w:val="en-US"/>
        </w:rPr>
        <w:t xml:space="preserve"> </w:t>
      </w:r>
      <w:hyperlink r:id="rId9" w:history="1">
        <w:r w:rsidR="00C275BE" w:rsidRPr="0020167C">
          <w:rPr>
            <w:rFonts w:ascii="Times New Roman" w:eastAsia="Times New Roman" w:hAnsi="Times New Roman" w:cs="Times New Roman"/>
            <w:sz w:val="20"/>
            <w:szCs w:val="20"/>
            <w:bdr w:val="none" w:sz="0" w:space="0" w:color="auto" w:frame="1"/>
            <w:lang w:val="en-US" w:eastAsia="ru-RU"/>
          </w:rPr>
          <w:t>Grainger</w:t>
        </w:r>
      </w:hyperlink>
      <w:r w:rsidR="00C275BE">
        <w:rPr>
          <w:rFonts w:ascii="Times New Roman" w:eastAsia="Times New Roman" w:hAnsi="Times New Roman" w:cs="Times New Roman"/>
          <w:sz w:val="20"/>
          <w:szCs w:val="20"/>
          <w:bdr w:val="none" w:sz="0" w:space="0" w:color="auto" w:frame="1"/>
          <w:lang w:val="en-US" w:eastAsia="ru-RU"/>
        </w:rPr>
        <w:t>, 2007</w:t>
      </w:r>
      <w:r w:rsidR="00C275BE">
        <w:rPr>
          <w:rFonts w:ascii="Times New Roman" w:hAnsi="Times New Roman" w:cs="Times New Roman"/>
          <w:bCs/>
          <w:color w:val="auto"/>
          <w:sz w:val="20"/>
          <w:szCs w:val="20"/>
          <w:lang w:val="en-US"/>
        </w:rPr>
        <w:t xml:space="preserve">). </w:t>
      </w:r>
      <w:r w:rsidRPr="0020167C">
        <w:rPr>
          <w:rFonts w:ascii="Times New Roman" w:hAnsi="Times New Roman" w:cs="Times New Roman"/>
          <w:bCs/>
          <w:color w:val="auto"/>
          <w:sz w:val="20"/>
          <w:szCs w:val="20"/>
          <w:lang w:val="en-US"/>
        </w:rPr>
        <w:t>Secondly, due to existing data on the ability of this cytokine to modulate the structure and function of the cardiovascular system through a number of mechanisms. As an example, TNF-</w:t>
      </w:r>
      <w:r w:rsidRPr="0020167C">
        <w:rPr>
          <w:rFonts w:ascii="Times New Roman" w:hAnsi="Times New Roman" w:cs="Times New Roman"/>
          <w:bCs/>
          <w:color w:val="auto"/>
          <w:sz w:val="20"/>
          <w:szCs w:val="20"/>
        </w:rPr>
        <w:t>α</w:t>
      </w:r>
      <w:r w:rsidRPr="0020167C">
        <w:rPr>
          <w:rFonts w:ascii="Times New Roman" w:hAnsi="Times New Roman" w:cs="Times New Roman"/>
          <w:bCs/>
          <w:color w:val="auto"/>
          <w:sz w:val="20"/>
          <w:szCs w:val="20"/>
          <w:lang w:val="en-US"/>
        </w:rPr>
        <w:t xml:space="preserve"> is able to suppress myocardial contractility. This may be due to the blocking of </w:t>
      </w:r>
      <w:r w:rsidRPr="0020167C">
        <w:rPr>
          <w:rFonts w:ascii="Times New Roman" w:hAnsi="Times New Roman" w:cs="Times New Roman"/>
          <w:bCs/>
          <w:color w:val="auto"/>
          <w:sz w:val="20"/>
          <w:szCs w:val="20"/>
        </w:rPr>
        <w:t>β</w:t>
      </w:r>
      <w:r w:rsidRPr="0020167C">
        <w:rPr>
          <w:rFonts w:ascii="Times New Roman" w:hAnsi="Times New Roman" w:cs="Times New Roman"/>
          <w:bCs/>
          <w:color w:val="auto"/>
          <w:sz w:val="20"/>
          <w:szCs w:val="20"/>
          <w:lang w:val="en-US"/>
        </w:rPr>
        <w:t>-adrenergic signals, reduction of the content of nitric oxide in the heart, or changes in in</w:t>
      </w:r>
      <w:r w:rsidR="002E276E" w:rsidRPr="0020167C">
        <w:rPr>
          <w:rFonts w:ascii="Times New Roman" w:hAnsi="Times New Roman" w:cs="Times New Roman"/>
          <w:bCs/>
          <w:color w:val="auto"/>
          <w:sz w:val="20"/>
          <w:szCs w:val="20"/>
          <w:lang w:val="en-US"/>
        </w:rPr>
        <w:t>tracellular calcium homeostasis</w:t>
      </w:r>
      <w:r w:rsidR="00C275BE">
        <w:rPr>
          <w:rFonts w:ascii="Times New Roman" w:hAnsi="Times New Roman" w:cs="Times New Roman"/>
          <w:bCs/>
          <w:color w:val="auto"/>
          <w:sz w:val="20"/>
          <w:szCs w:val="20"/>
          <w:lang w:val="en-US"/>
        </w:rPr>
        <w:t xml:space="preserve"> (</w:t>
      </w:r>
      <w:r w:rsidR="00C275BE" w:rsidRPr="0020167C">
        <w:rPr>
          <w:rFonts w:ascii="Times New Roman" w:eastAsia="Times New Roman" w:hAnsi="Times New Roman" w:cs="Times New Roman"/>
          <w:sz w:val="20"/>
          <w:szCs w:val="20"/>
          <w:lang w:val="en-US" w:eastAsia="ru-RU"/>
        </w:rPr>
        <w:t>Goldhaber</w:t>
      </w:r>
      <w:r w:rsidR="00C275BE" w:rsidRPr="00C275BE">
        <w:rPr>
          <w:rFonts w:ascii="Times New Roman" w:eastAsia="TimesNewRomanPSMT" w:hAnsi="Times New Roman" w:cs="Times New Roman"/>
          <w:sz w:val="20"/>
          <w:szCs w:val="20"/>
          <w:lang w:val="en-US"/>
        </w:rPr>
        <w:t xml:space="preserve"> </w:t>
      </w:r>
      <w:r w:rsidR="00C275BE" w:rsidRPr="00EF636A">
        <w:rPr>
          <w:rFonts w:ascii="Times New Roman" w:eastAsia="TimesNewRomanPSMT" w:hAnsi="Times New Roman" w:cs="Times New Roman"/>
          <w:sz w:val="20"/>
          <w:szCs w:val="20"/>
          <w:lang w:val="en-US"/>
        </w:rPr>
        <w:t xml:space="preserve">et al., </w:t>
      </w:r>
      <w:r w:rsidR="00790173">
        <w:rPr>
          <w:rFonts w:ascii="Times New Roman" w:eastAsia="TimesNewRomanPSMT" w:hAnsi="Times New Roman" w:cs="Times New Roman"/>
          <w:sz w:val="20"/>
          <w:szCs w:val="20"/>
          <w:lang w:val="en-US"/>
        </w:rPr>
        <w:t>1996</w:t>
      </w:r>
      <w:r w:rsidR="00C275BE">
        <w:rPr>
          <w:rFonts w:ascii="Times New Roman" w:hAnsi="Times New Roman" w:cs="Times New Roman"/>
          <w:bCs/>
          <w:color w:val="auto"/>
          <w:sz w:val="20"/>
          <w:szCs w:val="20"/>
          <w:lang w:val="en-US"/>
        </w:rPr>
        <w:t>).</w:t>
      </w:r>
      <w:r w:rsidRPr="0020167C">
        <w:rPr>
          <w:rFonts w:ascii="Times New Roman" w:hAnsi="Times New Roman" w:cs="Times New Roman"/>
          <w:bCs/>
          <w:color w:val="auto"/>
          <w:sz w:val="20"/>
          <w:szCs w:val="20"/>
          <w:lang w:val="en-US"/>
        </w:rPr>
        <w:t xml:space="preserve"> TNF-</w:t>
      </w:r>
      <w:r w:rsidRPr="0020167C">
        <w:rPr>
          <w:rFonts w:ascii="Times New Roman" w:hAnsi="Times New Roman" w:cs="Times New Roman"/>
          <w:bCs/>
          <w:color w:val="auto"/>
          <w:sz w:val="20"/>
          <w:szCs w:val="20"/>
        </w:rPr>
        <w:t>α</w:t>
      </w:r>
      <w:r w:rsidRPr="0020167C">
        <w:rPr>
          <w:rFonts w:ascii="Times New Roman" w:hAnsi="Times New Roman" w:cs="Times New Roman"/>
          <w:bCs/>
          <w:color w:val="auto"/>
          <w:sz w:val="20"/>
          <w:szCs w:val="20"/>
          <w:lang w:val="en-US"/>
        </w:rPr>
        <w:t xml:space="preserve"> can also induce structural changes in the myocardium in patients with hypertension and chronic heart failure, such as cardiomyocyte hypert</w:t>
      </w:r>
      <w:r w:rsidR="002E276E" w:rsidRPr="0020167C">
        <w:rPr>
          <w:rFonts w:ascii="Times New Roman" w:hAnsi="Times New Roman" w:cs="Times New Roman"/>
          <w:bCs/>
          <w:color w:val="auto"/>
          <w:sz w:val="20"/>
          <w:szCs w:val="20"/>
          <w:lang w:val="en-US"/>
        </w:rPr>
        <w:t xml:space="preserve">rophy and interstitial fibrosis </w:t>
      </w:r>
      <w:r w:rsidR="00C275BE">
        <w:rPr>
          <w:rFonts w:ascii="Times New Roman" w:hAnsi="Times New Roman" w:cs="Times New Roman"/>
          <w:bCs/>
          <w:color w:val="auto"/>
          <w:sz w:val="20"/>
          <w:szCs w:val="20"/>
          <w:lang w:val="en-US"/>
        </w:rPr>
        <w:t>(</w:t>
      </w:r>
      <w:r w:rsidR="00C275BE" w:rsidRPr="00F65521">
        <w:rPr>
          <w:rFonts w:ascii="Times New Roman" w:hAnsi="Times New Roman" w:cs="Times New Roman"/>
          <w:sz w:val="20"/>
          <w:szCs w:val="20"/>
          <w:lang w:val="en-US"/>
        </w:rPr>
        <w:t xml:space="preserve">Kovalyova </w:t>
      </w:r>
      <w:r w:rsidR="00C275BE" w:rsidRPr="00F65521">
        <w:rPr>
          <w:rFonts w:ascii="Times New Roman" w:eastAsia="Times New Roman" w:hAnsi="Times New Roman" w:cs="Times New Roman"/>
          <w:sz w:val="20"/>
          <w:szCs w:val="20"/>
          <w:lang w:val="en-US" w:eastAsia="ru-RU"/>
        </w:rPr>
        <w:t xml:space="preserve">&amp; </w:t>
      </w:r>
      <w:r w:rsidR="00C275BE" w:rsidRPr="00F65521">
        <w:rPr>
          <w:rFonts w:ascii="Times New Roman" w:hAnsi="Times New Roman" w:cs="Times New Roman"/>
          <w:sz w:val="20"/>
          <w:szCs w:val="20"/>
          <w:lang w:val="en-US"/>
        </w:rPr>
        <w:t>Ashcheulova, 2003</w:t>
      </w:r>
      <w:r w:rsidR="00C275BE" w:rsidRPr="00F65521">
        <w:rPr>
          <w:rFonts w:ascii="Times New Roman" w:hAnsi="Times New Roman" w:cs="Times New Roman"/>
          <w:bCs/>
          <w:color w:val="auto"/>
          <w:sz w:val="20"/>
          <w:szCs w:val="20"/>
          <w:lang w:val="en-US"/>
        </w:rPr>
        <w:t>).</w:t>
      </w:r>
      <w:r w:rsidR="00C275BE">
        <w:rPr>
          <w:rFonts w:ascii="Times New Roman" w:hAnsi="Times New Roman" w:cs="Times New Roman"/>
          <w:bCs/>
          <w:color w:val="auto"/>
          <w:sz w:val="20"/>
          <w:szCs w:val="20"/>
          <w:lang w:val="en-US"/>
        </w:rPr>
        <w:t xml:space="preserve"> </w:t>
      </w:r>
      <w:r w:rsidRPr="0020167C">
        <w:rPr>
          <w:rFonts w:ascii="Times New Roman" w:hAnsi="Times New Roman" w:cs="Times New Roman"/>
          <w:bCs/>
          <w:color w:val="auto"/>
          <w:sz w:val="20"/>
          <w:szCs w:val="20"/>
          <w:lang w:val="en-US"/>
        </w:rPr>
        <w:t>In addition, TNF-</w:t>
      </w:r>
      <w:r w:rsidRPr="0020167C">
        <w:rPr>
          <w:rFonts w:ascii="Times New Roman" w:hAnsi="Times New Roman" w:cs="Times New Roman"/>
          <w:bCs/>
          <w:color w:val="auto"/>
          <w:sz w:val="20"/>
          <w:szCs w:val="20"/>
        </w:rPr>
        <w:t>α</w:t>
      </w:r>
      <w:r w:rsidRPr="0020167C">
        <w:rPr>
          <w:rFonts w:ascii="Times New Roman" w:hAnsi="Times New Roman" w:cs="Times New Roman"/>
          <w:bCs/>
          <w:color w:val="auto"/>
          <w:sz w:val="20"/>
          <w:szCs w:val="20"/>
          <w:lang w:val="en-US"/>
        </w:rPr>
        <w:t xml:space="preserve"> promotes apoptosis of cardiomocytes, and also activates metalloproteinases and depresses the expression of their inhibitors, thus promoting cardiac remodeling</w:t>
      </w:r>
      <w:r w:rsidR="00C275BE">
        <w:rPr>
          <w:rFonts w:ascii="Times New Roman" w:hAnsi="Times New Roman" w:cs="Times New Roman"/>
          <w:bCs/>
          <w:color w:val="auto"/>
          <w:sz w:val="20"/>
          <w:szCs w:val="20"/>
          <w:lang w:val="en-US"/>
        </w:rPr>
        <w:t xml:space="preserve"> (</w:t>
      </w:r>
      <w:r w:rsidR="00902013" w:rsidRPr="0020167C">
        <w:rPr>
          <w:rFonts w:ascii="Times New Roman" w:eastAsia="Times New Roman" w:hAnsi="Times New Roman" w:cs="Times New Roman"/>
          <w:sz w:val="20"/>
          <w:szCs w:val="20"/>
          <w:lang w:val="en-US" w:eastAsia="ru-RU"/>
        </w:rPr>
        <w:t>Li</w:t>
      </w:r>
      <w:r w:rsidR="00902013">
        <w:rPr>
          <w:rFonts w:ascii="Times New Roman" w:eastAsia="Times New Roman" w:hAnsi="Times New Roman" w:cs="Times New Roman"/>
          <w:sz w:val="20"/>
          <w:szCs w:val="20"/>
          <w:lang w:val="en-US" w:eastAsia="ru-RU"/>
        </w:rPr>
        <w:t xml:space="preserve"> et al., 2000; </w:t>
      </w:r>
      <w:r w:rsidR="00C275BE" w:rsidRPr="0020167C">
        <w:rPr>
          <w:sz w:val="20"/>
          <w:szCs w:val="20"/>
          <w:lang w:val="en-US"/>
        </w:rPr>
        <w:t>H</w:t>
      </w:r>
      <w:r w:rsidR="00C275BE" w:rsidRPr="00C275BE">
        <w:rPr>
          <w:rFonts w:ascii="Times New Roman" w:hAnsi="Times New Roman" w:cs="Times New Roman"/>
          <w:sz w:val="20"/>
          <w:szCs w:val="20"/>
          <w:lang w:val="en-US"/>
        </w:rPr>
        <w:t>aider</w:t>
      </w:r>
      <w:r w:rsidR="00C275BE">
        <w:rPr>
          <w:sz w:val="20"/>
          <w:szCs w:val="20"/>
          <w:lang w:val="en-US"/>
        </w:rPr>
        <w:t xml:space="preserve"> </w:t>
      </w:r>
      <w:r w:rsidR="00C275BE" w:rsidRPr="00EF636A">
        <w:rPr>
          <w:rFonts w:ascii="Times New Roman" w:eastAsia="TimesNewRomanPSMT" w:hAnsi="Times New Roman" w:cs="Times New Roman"/>
          <w:sz w:val="20"/>
          <w:szCs w:val="20"/>
          <w:lang w:val="en-US"/>
        </w:rPr>
        <w:t>et al.,</w:t>
      </w:r>
      <w:r w:rsidR="00902013">
        <w:rPr>
          <w:rFonts w:ascii="Times New Roman" w:eastAsia="TimesNewRomanPSMT" w:hAnsi="Times New Roman" w:cs="Times New Roman"/>
          <w:sz w:val="20"/>
          <w:szCs w:val="20"/>
          <w:lang w:val="en-US"/>
        </w:rPr>
        <w:t xml:space="preserve"> 2002</w:t>
      </w:r>
      <w:r w:rsidR="00C275BE">
        <w:rPr>
          <w:rFonts w:ascii="Times New Roman" w:hAnsi="Times New Roman" w:cs="Times New Roman"/>
          <w:bCs/>
          <w:color w:val="auto"/>
          <w:sz w:val="20"/>
          <w:szCs w:val="20"/>
          <w:lang w:val="en-US"/>
        </w:rPr>
        <w:t>)</w:t>
      </w:r>
      <w:r w:rsidR="00AB7662">
        <w:rPr>
          <w:rFonts w:ascii="Times New Roman" w:hAnsi="Times New Roman" w:cs="Times New Roman"/>
          <w:bCs/>
          <w:color w:val="auto"/>
          <w:sz w:val="20"/>
          <w:szCs w:val="20"/>
          <w:lang w:val="en-US"/>
        </w:rPr>
        <w:t xml:space="preserve"> </w:t>
      </w:r>
      <w:r w:rsidR="002E276E" w:rsidRPr="0020167C">
        <w:rPr>
          <w:rFonts w:ascii="Times New Roman" w:hAnsi="Times New Roman" w:cs="Times New Roman"/>
          <w:bCs/>
          <w:color w:val="auto"/>
          <w:sz w:val="20"/>
          <w:szCs w:val="20"/>
          <w:lang w:val="en-US"/>
        </w:rPr>
        <w:t xml:space="preserve"> </w:t>
      </w:r>
      <w:r w:rsidRPr="0020167C">
        <w:rPr>
          <w:rFonts w:ascii="Times New Roman" w:hAnsi="Times New Roman" w:cs="Times New Roman"/>
          <w:bCs/>
          <w:color w:val="auto"/>
          <w:sz w:val="20"/>
          <w:szCs w:val="20"/>
          <w:lang w:val="en-US"/>
        </w:rPr>
        <w:t>and eventually leading to cardiac dysfunction.</w:t>
      </w:r>
    </w:p>
    <w:p w:rsidR="004C062C" w:rsidRPr="0020167C" w:rsidRDefault="004C062C" w:rsidP="00DF7F14">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r w:rsidRPr="0020167C">
        <w:rPr>
          <w:rFonts w:ascii="Times New Roman" w:eastAsia="TimesNewRomanPSMT" w:hAnsi="Times New Roman" w:cs="Times New Roman"/>
          <w:sz w:val="20"/>
          <w:szCs w:val="20"/>
          <w:lang w:val="en-US"/>
        </w:rPr>
        <w:t>In healthy people, TNF-</w:t>
      </w:r>
      <w:r w:rsidRPr="0020167C">
        <w:rPr>
          <w:rFonts w:ascii="Times New Roman" w:eastAsia="TimesNewRomanPSMT" w:hAnsi="Times New Roman" w:cs="Times New Roman"/>
          <w:sz w:val="20"/>
          <w:szCs w:val="20"/>
        </w:rPr>
        <w:t>α</w:t>
      </w:r>
      <w:r w:rsidRPr="0020167C">
        <w:rPr>
          <w:rFonts w:ascii="Times New Roman" w:eastAsia="TimesNewRomanPSMT" w:hAnsi="Times New Roman" w:cs="Times New Roman"/>
          <w:sz w:val="20"/>
          <w:szCs w:val="20"/>
          <w:lang w:val="en-US"/>
        </w:rPr>
        <w:t xml:space="preserve"> is barely detectable in the serum. Its level increases with infection, under the influence of bacterial </w:t>
      </w:r>
      <w:r w:rsidRPr="00305403">
        <w:rPr>
          <w:rFonts w:ascii="Times New Roman" w:eastAsia="TimesNewRomanPSMT" w:hAnsi="Times New Roman" w:cs="Times New Roman"/>
          <w:sz w:val="20"/>
          <w:szCs w:val="20"/>
          <w:lang w:val="en-US"/>
        </w:rPr>
        <w:t>endotoxins</w:t>
      </w:r>
      <w:r w:rsidR="00AB7662" w:rsidRPr="00AB7662">
        <w:rPr>
          <w:rFonts w:ascii="Times New Roman" w:eastAsia="Times New Roman" w:hAnsi="Times New Roman" w:cs="Times New Roman"/>
          <w:bCs/>
          <w:sz w:val="20"/>
          <w:szCs w:val="20"/>
          <w:lang w:val="en-US" w:eastAsia="ru-RU"/>
        </w:rPr>
        <w:t xml:space="preserve"> </w:t>
      </w:r>
      <w:r w:rsidR="00AB7662">
        <w:rPr>
          <w:rFonts w:ascii="Times New Roman" w:eastAsia="Times New Roman" w:hAnsi="Times New Roman" w:cs="Times New Roman"/>
          <w:bCs/>
          <w:sz w:val="20"/>
          <w:szCs w:val="20"/>
          <w:lang w:val="en-US" w:eastAsia="ru-RU"/>
        </w:rPr>
        <w:t>(</w:t>
      </w:r>
      <w:r w:rsidR="00AB7662" w:rsidRPr="0020167C">
        <w:rPr>
          <w:rFonts w:ascii="Times New Roman" w:eastAsia="Times New Roman" w:hAnsi="Times New Roman" w:cs="Times New Roman"/>
          <w:bCs/>
          <w:sz w:val="20"/>
          <w:szCs w:val="20"/>
          <w:lang w:val="en-US" w:eastAsia="ru-RU"/>
        </w:rPr>
        <w:t>Vasan</w:t>
      </w:r>
      <w:r w:rsidR="00AB7662">
        <w:rPr>
          <w:rFonts w:ascii="Times New Roman" w:eastAsia="Times New Roman" w:hAnsi="Times New Roman" w:cs="Times New Roman"/>
          <w:bCs/>
          <w:sz w:val="20"/>
          <w:szCs w:val="20"/>
          <w:lang w:val="en-US" w:eastAsia="ru-RU"/>
        </w:rPr>
        <w:t>, 2006</w:t>
      </w:r>
      <w:r w:rsidR="00AB7662" w:rsidRPr="00AB7662">
        <w:rPr>
          <w:rFonts w:ascii="Times New Roman" w:hAnsi="Times New Roman" w:cs="Times New Roman"/>
          <w:bCs/>
          <w:sz w:val="20"/>
          <w:szCs w:val="20"/>
          <w:lang w:val="en-US"/>
        </w:rPr>
        <w:t xml:space="preserve">). </w:t>
      </w:r>
      <w:r w:rsidRPr="0020167C">
        <w:rPr>
          <w:rFonts w:ascii="Times New Roman" w:eastAsia="TimesNewRomanPSMT" w:hAnsi="Times New Roman" w:cs="Times New Roman"/>
          <w:sz w:val="20"/>
          <w:szCs w:val="20"/>
          <w:lang w:val="en-US"/>
        </w:rPr>
        <w:t>There are two types of active receptors for TNF-</w:t>
      </w:r>
      <w:r w:rsidRPr="0020167C">
        <w:rPr>
          <w:rFonts w:ascii="Times New Roman" w:eastAsia="TimesNewRomanPSMT" w:hAnsi="Times New Roman" w:cs="Times New Roman"/>
          <w:sz w:val="20"/>
          <w:szCs w:val="20"/>
        </w:rPr>
        <w:t>α</w:t>
      </w:r>
      <w:r w:rsidRPr="0020167C">
        <w:rPr>
          <w:rFonts w:ascii="Times New Roman" w:eastAsia="TimesNewRomanPSMT" w:hAnsi="Times New Roman" w:cs="Times New Roman"/>
          <w:sz w:val="20"/>
          <w:szCs w:val="20"/>
          <w:lang w:val="en-US"/>
        </w:rPr>
        <w:t xml:space="preserve"> on the surface of almost all nuclear cell types that can virtually be cytokine targets. Soluble forms of receptors, which are considered endogenous inhibitors of TNF-</w:t>
      </w:r>
      <w:r w:rsidRPr="0020167C">
        <w:rPr>
          <w:rFonts w:ascii="Times New Roman" w:eastAsia="TimesNewRomanPSMT" w:hAnsi="Times New Roman" w:cs="Times New Roman"/>
          <w:sz w:val="20"/>
          <w:szCs w:val="20"/>
        </w:rPr>
        <w:t>α</w:t>
      </w:r>
      <w:r w:rsidRPr="0020167C">
        <w:rPr>
          <w:rFonts w:ascii="Times New Roman" w:eastAsia="TimesNewRomanPSMT" w:hAnsi="Times New Roman" w:cs="Times New Roman"/>
          <w:sz w:val="20"/>
          <w:szCs w:val="20"/>
          <w:lang w:val="en-US"/>
        </w:rPr>
        <w:t>, are formed by separating the extracellular fragmen</w:t>
      </w:r>
      <w:r w:rsidR="002E276E" w:rsidRPr="0020167C">
        <w:rPr>
          <w:rFonts w:ascii="Times New Roman" w:eastAsia="TimesNewRomanPSMT" w:hAnsi="Times New Roman" w:cs="Times New Roman"/>
          <w:sz w:val="20"/>
          <w:szCs w:val="20"/>
          <w:lang w:val="en-US"/>
        </w:rPr>
        <w:t xml:space="preserve">ts of active receptors </w:t>
      </w:r>
      <w:r w:rsidR="00AB7662">
        <w:rPr>
          <w:rFonts w:ascii="Times New Roman" w:eastAsia="TimesNewRomanPSMT" w:hAnsi="Times New Roman" w:cs="Times New Roman"/>
          <w:sz w:val="20"/>
          <w:szCs w:val="20"/>
          <w:lang w:val="en-US"/>
        </w:rPr>
        <w:t>(</w:t>
      </w:r>
      <w:r w:rsidR="00AB7662" w:rsidRPr="00305403">
        <w:rPr>
          <w:rFonts w:ascii="Times New Roman" w:eastAsia="Times New Roman" w:hAnsi="Times New Roman" w:cs="Times New Roman"/>
          <w:bCs/>
          <w:sz w:val="20"/>
          <w:szCs w:val="20"/>
          <w:lang w:val="en-US" w:eastAsia="ru-RU"/>
        </w:rPr>
        <w:t>Simbirtsev</w:t>
      </w:r>
      <w:r w:rsidR="00AB7662">
        <w:rPr>
          <w:rFonts w:ascii="Times New Roman" w:eastAsia="Times New Roman" w:hAnsi="Times New Roman" w:cs="Times New Roman"/>
          <w:bCs/>
          <w:sz w:val="20"/>
          <w:szCs w:val="20"/>
          <w:lang w:val="en-US" w:eastAsia="ru-RU"/>
        </w:rPr>
        <w:t>, 2013</w:t>
      </w:r>
      <w:r w:rsidR="00AB7662">
        <w:rPr>
          <w:rFonts w:ascii="Times New Roman" w:eastAsia="TimesNewRomanPSMT" w:hAnsi="Times New Roman" w:cs="Times New Roman"/>
          <w:sz w:val="20"/>
          <w:szCs w:val="20"/>
          <w:lang w:val="en-US"/>
        </w:rPr>
        <w:t>).</w:t>
      </w:r>
      <w:r w:rsidRPr="0020167C">
        <w:rPr>
          <w:rFonts w:ascii="Times New Roman" w:eastAsia="TimesNewRomanPSMT" w:hAnsi="Times New Roman" w:cs="Times New Roman"/>
          <w:sz w:val="20"/>
          <w:szCs w:val="20"/>
          <w:lang w:val="en-US"/>
        </w:rPr>
        <w:t xml:space="preserve"> TNF-</w:t>
      </w:r>
      <w:r w:rsidRPr="0020167C">
        <w:rPr>
          <w:rFonts w:ascii="Times New Roman" w:eastAsia="TimesNewRomanPSMT" w:hAnsi="Times New Roman" w:cs="Times New Roman"/>
          <w:sz w:val="20"/>
          <w:szCs w:val="20"/>
        </w:rPr>
        <w:t>α</w:t>
      </w:r>
      <w:r w:rsidRPr="0020167C">
        <w:rPr>
          <w:rFonts w:ascii="Times New Roman" w:eastAsia="TimesNewRomanPSMT" w:hAnsi="Times New Roman" w:cs="Times New Roman"/>
          <w:sz w:val="20"/>
          <w:szCs w:val="20"/>
          <w:lang w:val="en-US"/>
        </w:rPr>
        <w:t xml:space="preserve"> type I receptor is the main mediator of cytokine’s biological activity, therefore it was this type of soluble receptor (</w:t>
      </w:r>
      <w:r w:rsidR="00986A3D" w:rsidRPr="0020167C">
        <w:rPr>
          <w:rFonts w:ascii="Times New Roman" w:eastAsia="TimesNewRomanPSMT" w:hAnsi="Times New Roman" w:cs="Times New Roman"/>
          <w:sz w:val="20"/>
          <w:szCs w:val="20"/>
          <w:lang w:val="en-US"/>
        </w:rPr>
        <w:t>sTNF</w:t>
      </w:r>
      <w:r w:rsidRPr="0020167C">
        <w:rPr>
          <w:rFonts w:ascii="Times New Roman" w:eastAsia="TimesNewRomanPSMT" w:hAnsi="Times New Roman" w:cs="Times New Roman"/>
          <w:sz w:val="20"/>
          <w:szCs w:val="20"/>
          <w:lang w:val="en-US"/>
        </w:rPr>
        <w:t>-</w:t>
      </w:r>
      <w:r w:rsidRPr="0020167C">
        <w:rPr>
          <w:rFonts w:ascii="Times New Roman" w:eastAsia="TimesNewRomanPSMT" w:hAnsi="Times New Roman" w:cs="Times New Roman"/>
          <w:sz w:val="20"/>
          <w:szCs w:val="20"/>
        </w:rPr>
        <w:t>α</w:t>
      </w:r>
      <w:r w:rsidRPr="0020167C">
        <w:rPr>
          <w:rFonts w:ascii="Times New Roman" w:eastAsia="TimesNewRomanPSMT" w:hAnsi="Times New Roman" w:cs="Times New Roman"/>
          <w:sz w:val="20"/>
          <w:szCs w:val="20"/>
          <w:lang w:val="en-US"/>
        </w:rPr>
        <w:t xml:space="preserve"> RI) that we selected for our study.</w:t>
      </w:r>
    </w:p>
    <w:p w:rsidR="004C062C" w:rsidRPr="0020167C" w:rsidRDefault="004C062C" w:rsidP="00256829">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r w:rsidRPr="0020167C">
        <w:rPr>
          <w:rFonts w:ascii="Times New Roman" w:eastAsia="TimesNewRomanPSMT" w:hAnsi="Times New Roman" w:cs="Times New Roman"/>
          <w:sz w:val="20"/>
          <w:szCs w:val="20"/>
          <w:lang w:val="en-US"/>
        </w:rPr>
        <w:lastRenderedPageBreak/>
        <w:t xml:space="preserve">C-reactive protein (CRP) is a recognized marker of the acute phase of inflammation. With the advent of new highly sensitive techniques for its quantitative determination, it attracts increasing attention of cardiologists. This is due to the data on elevated CRP levels having possible predictive role for the development of the set of cardio- and cerebrovascular complications such as congestive heart failure, myocardial infarction, stroke, sudden cardiac death </w:t>
      </w:r>
      <w:r w:rsidR="00DA40B5" w:rsidRPr="0020167C">
        <w:rPr>
          <w:rFonts w:ascii="Times New Roman" w:eastAsia="TimesNewRomanPSMT" w:hAnsi="Times New Roman" w:cs="Times New Roman"/>
          <w:sz w:val="20"/>
          <w:szCs w:val="20"/>
          <w:lang w:val="en-US"/>
        </w:rPr>
        <w:t xml:space="preserve">and peripheral vascular </w:t>
      </w:r>
      <w:r w:rsidR="00DA40B5" w:rsidRPr="00305403">
        <w:rPr>
          <w:rFonts w:ascii="Times New Roman" w:eastAsia="TimesNewRomanPSMT" w:hAnsi="Times New Roman" w:cs="Times New Roman"/>
          <w:sz w:val="20"/>
          <w:szCs w:val="20"/>
          <w:lang w:val="en-US"/>
        </w:rPr>
        <w:t>disease</w:t>
      </w:r>
      <w:r w:rsidR="00AB7662">
        <w:rPr>
          <w:rFonts w:ascii="Times New Roman" w:eastAsia="TimesNewRomanPSMT" w:hAnsi="Times New Roman" w:cs="Times New Roman"/>
          <w:sz w:val="20"/>
          <w:szCs w:val="20"/>
          <w:lang w:val="en-US"/>
        </w:rPr>
        <w:t xml:space="preserve"> (</w:t>
      </w:r>
      <w:r w:rsidR="009C3D85">
        <w:rPr>
          <w:rFonts w:ascii="Times New Roman" w:hAnsi="Times New Roman" w:cs="Times New Roman"/>
          <w:bCs/>
          <w:sz w:val="20"/>
          <w:szCs w:val="20"/>
          <w:lang w:val="en-US"/>
        </w:rPr>
        <w:t>Sproston</w:t>
      </w:r>
      <w:r w:rsidR="00AB7662" w:rsidRPr="00AB7662">
        <w:rPr>
          <w:rFonts w:ascii="Times New Roman" w:eastAsia="TimesNewRomanPSMT" w:hAnsi="Times New Roman" w:cs="Times New Roman"/>
          <w:sz w:val="20"/>
          <w:szCs w:val="20"/>
          <w:lang w:val="en-US"/>
        </w:rPr>
        <w:t xml:space="preserve"> </w:t>
      </w:r>
      <w:r w:rsidR="00AB7662" w:rsidRPr="00AB7662">
        <w:rPr>
          <w:rFonts w:ascii="Times New Roman" w:eastAsia="Times New Roman" w:hAnsi="Times New Roman" w:cs="Times New Roman"/>
          <w:sz w:val="20"/>
          <w:szCs w:val="20"/>
          <w:lang w:val="en-US" w:eastAsia="ru-RU"/>
        </w:rPr>
        <w:t xml:space="preserve">&amp; </w:t>
      </w:r>
      <w:r w:rsidR="00AB7662" w:rsidRPr="00AB7662">
        <w:rPr>
          <w:rFonts w:ascii="Times New Roman" w:hAnsi="Times New Roman" w:cs="Times New Roman"/>
          <w:bCs/>
          <w:sz w:val="20"/>
          <w:szCs w:val="20"/>
          <w:lang w:val="en-US"/>
        </w:rPr>
        <w:t>Ashworth, 2018</w:t>
      </w:r>
      <w:r w:rsidR="00AB7662" w:rsidRPr="00AB7662">
        <w:rPr>
          <w:rFonts w:ascii="Times New Roman" w:eastAsia="TimesNewRomanPSMT" w:hAnsi="Times New Roman" w:cs="Times New Roman"/>
          <w:sz w:val="20"/>
          <w:szCs w:val="20"/>
          <w:lang w:val="en-US"/>
        </w:rPr>
        <w:t>).</w:t>
      </w:r>
      <w:r w:rsidR="00DA40B5" w:rsidRPr="00305403">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The prognostic value of a high CRP level in patients with stable angina pectoris, acute coronary syndrome and myoca</w:t>
      </w:r>
      <w:r w:rsidR="00DA40B5" w:rsidRPr="0020167C">
        <w:rPr>
          <w:rFonts w:ascii="Times New Roman" w:eastAsia="TimesNewRomanPSMT" w:hAnsi="Times New Roman" w:cs="Times New Roman"/>
          <w:sz w:val="20"/>
          <w:szCs w:val="20"/>
          <w:lang w:val="en-US"/>
        </w:rPr>
        <w:t xml:space="preserve">rdial infarction has been </w:t>
      </w:r>
      <w:r w:rsidR="00DA40B5" w:rsidRPr="00305403">
        <w:rPr>
          <w:rFonts w:ascii="Times New Roman" w:eastAsia="TimesNewRomanPSMT" w:hAnsi="Times New Roman" w:cs="Times New Roman"/>
          <w:sz w:val="20"/>
          <w:szCs w:val="20"/>
          <w:lang w:val="en-US"/>
        </w:rPr>
        <w:t>shown</w:t>
      </w:r>
      <w:r w:rsidRPr="00305403">
        <w:rPr>
          <w:rFonts w:ascii="Times New Roman" w:eastAsia="TimesNewRomanPSMT" w:hAnsi="Times New Roman" w:cs="Times New Roman"/>
          <w:sz w:val="20"/>
          <w:szCs w:val="20"/>
          <w:lang w:val="en-US"/>
        </w:rPr>
        <w:t xml:space="preserve"> </w:t>
      </w:r>
      <w:r w:rsidR="00AB7662" w:rsidRPr="00AB7662">
        <w:rPr>
          <w:rFonts w:ascii="Times New Roman" w:eastAsia="TimesNewRomanPSMT" w:hAnsi="Times New Roman" w:cs="Times New Roman"/>
          <w:sz w:val="20"/>
          <w:szCs w:val="20"/>
          <w:lang w:val="en-US"/>
        </w:rPr>
        <w:t>(</w:t>
      </w:r>
      <w:r w:rsidR="00AB7662" w:rsidRPr="00AB7662">
        <w:rPr>
          <w:rFonts w:ascii="Times New Roman" w:hAnsi="Times New Roman" w:cs="Times New Roman"/>
          <w:bCs/>
          <w:sz w:val="20"/>
          <w:szCs w:val="20"/>
          <w:lang w:val="en-US"/>
        </w:rPr>
        <w:t>Melnikov et al</w:t>
      </w:r>
      <w:r w:rsidR="00902013">
        <w:rPr>
          <w:rFonts w:ascii="Times New Roman" w:hAnsi="Times New Roman" w:cs="Times New Roman"/>
          <w:bCs/>
          <w:sz w:val="20"/>
          <w:szCs w:val="20"/>
          <w:lang w:val="en-US"/>
        </w:rPr>
        <w:t>.</w:t>
      </w:r>
      <w:r w:rsidR="00AB7662" w:rsidRPr="00AB7662">
        <w:rPr>
          <w:rFonts w:ascii="Times New Roman" w:hAnsi="Times New Roman" w:cs="Times New Roman"/>
          <w:bCs/>
          <w:sz w:val="20"/>
          <w:szCs w:val="20"/>
          <w:lang w:val="en-US"/>
        </w:rPr>
        <w:t>, 2019</w:t>
      </w:r>
      <w:r w:rsidR="009C3D85">
        <w:rPr>
          <w:rFonts w:ascii="Times New Roman" w:hAnsi="Times New Roman" w:cs="Times New Roman"/>
          <w:bCs/>
          <w:sz w:val="20"/>
          <w:szCs w:val="20"/>
          <w:lang w:val="en-US"/>
        </w:rPr>
        <w:t>;</w:t>
      </w:r>
      <w:r w:rsidR="00FB06E2">
        <w:rPr>
          <w:rFonts w:ascii="Times New Roman" w:hAnsi="Times New Roman" w:cs="Times New Roman"/>
          <w:bCs/>
          <w:sz w:val="20"/>
          <w:szCs w:val="20"/>
          <w:lang w:val="en-US"/>
        </w:rPr>
        <w:t xml:space="preserve"> </w:t>
      </w:r>
      <w:r w:rsidR="00FB06E2" w:rsidRPr="00AB7662">
        <w:rPr>
          <w:rFonts w:ascii="Times New Roman" w:hAnsi="Times New Roman" w:cs="Times New Roman"/>
          <w:bCs/>
          <w:sz w:val="20"/>
          <w:szCs w:val="20"/>
          <w:lang w:val="en-US"/>
        </w:rPr>
        <w:t>Melnikov et al</w:t>
      </w:r>
      <w:r w:rsidR="00F65521">
        <w:rPr>
          <w:rFonts w:ascii="Times New Roman" w:hAnsi="Times New Roman" w:cs="Times New Roman"/>
          <w:bCs/>
          <w:sz w:val="20"/>
          <w:szCs w:val="20"/>
          <w:lang w:val="en-US"/>
        </w:rPr>
        <w:t>.</w:t>
      </w:r>
      <w:r w:rsidR="00FB06E2" w:rsidRPr="00AB7662">
        <w:rPr>
          <w:rFonts w:ascii="Times New Roman" w:hAnsi="Times New Roman" w:cs="Times New Roman"/>
          <w:bCs/>
          <w:sz w:val="20"/>
          <w:szCs w:val="20"/>
          <w:lang w:val="en-US"/>
        </w:rPr>
        <w:t>, 20</w:t>
      </w:r>
      <w:r w:rsidR="00902013">
        <w:rPr>
          <w:rFonts w:ascii="Times New Roman" w:hAnsi="Times New Roman" w:cs="Times New Roman"/>
          <w:bCs/>
          <w:sz w:val="20"/>
          <w:szCs w:val="20"/>
          <w:lang w:val="en-US"/>
        </w:rPr>
        <w:t>20</w:t>
      </w:r>
      <w:r w:rsidR="00AB7662" w:rsidRPr="00AB7662">
        <w:rPr>
          <w:rFonts w:ascii="Times New Roman" w:eastAsia="TimesNewRomanPSMT" w:hAnsi="Times New Roman" w:cs="Times New Roman"/>
          <w:sz w:val="20"/>
          <w:szCs w:val="20"/>
          <w:lang w:val="en-US"/>
        </w:rPr>
        <w:t>)</w:t>
      </w:r>
      <w:r w:rsidR="00AB7662">
        <w:rPr>
          <w:rFonts w:ascii="Times New Roman" w:eastAsia="TimesNewRomanPSMT" w:hAnsi="Times New Roman" w:cs="Times New Roman"/>
          <w:sz w:val="20"/>
          <w:szCs w:val="20"/>
          <w:lang w:val="en-US"/>
        </w:rPr>
        <w:t xml:space="preserve">. </w:t>
      </w:r>
      <w:r w:rsidR="00F65521">
        <w:rPr>
          <w:rFonts w:ascii="Times New Roman" w:eastAsia="TimesNewRomanPSMT" w:hAnsi="Times New Roman" w:cs="Times New Roman"/>
          <w:sz w:val="20"/>
          <w:szCs w:val="20"/>
          <w:lang w:val="en-US"/>
        </w:rPr>
        <w:t xml:space="preserve">However, it should </w:t>
      </w:r>
      <w:r w:rsidRPr="0020167C">
        <w:rPr>
          <w:rFonts w:ascii="Times New Roman" w:eastAsia="TimesNewRomanPSMT" w:hAnsi="Times New Roman" w:cs="Times New Roman"/>
          <w:sz w:val="20"/>
          <w:szCs w:val="20"/>
          <w:lang w:val="en-US"/>
        </w:rPr>
        <w:t>be noted that there were fewer reports on the diagnostic value of this systemic inflammation marker in essential hypertension, and there is insufficient evidence of the relationship between the CRP, TNF-</w:t>
      </w:r>
      <w:r w:rsidRPr="0020167C">
        <w:rPr>
          <w:rFonts w:ascii="Times New Roman" w:eastAsia="TimesNewRomanPSMT" w:hAnsi="Times New Roman" w:cs="Times New Roman"/>
          <w:sz w:val="20"/>
          <w:szCs w:val="20"/>
        </w:rPr>
        <w:t>α</w:t>
      </w:r>
      <w:r w:rsidRPr="0020167C">
        <w:rPr>
          <w:rFonts w:ascii="Times New Roman" w:eastAsia="TimesNewRomanPSMT" w:hAnsi="Times New Roman" w:cs="Times New Roman"/>
          <w:sz w:val="20"/>
          <w:szCs w:val="20"/>
          <w:lang w:val="en-US"/>
        </w:rPr>
        <w:t xml:space="preserve"> and 8-iso-PgF2</w:t>
      </w:r>
      <w:r w:rsidRPr="0020167C">
        <w:rPr>
          <w:rFonts w:ascii="Times New Roman" w:eastAsia="TimesNewRomanPSMT" w:hAnsi="Times New Roman" w:cs="Times New Roman"/>
          <w:sz w:val="20"/>
          <w:szCs w:val="20"/>
        </w:rPr>
        <w:t>α</w:t>
      </w:r>
      <w:r w:rsidRPr="0020167C">
        <w:rPr>
          <w:rFonts w:ascii="Times New Roman" w:eastAsia="TimesNewRomanPSMT" w:hAnsi="Times New Roman" w:cs="Times New Roman"/>
          <w:sz w:val="20"/>
          <w:szCs w:val="20"/>
          <w:lang w:val="en-US"/>
        </w:rPr>
        <w:t xml:space="preserve"> (8-isoprostane) as the main OS marker in patients with hypertension from the clinical studies.</w:t>
      </w:r>
    </w:p>
    <w:p w:rsidR="004C062C" w:rsidRPr="00256829" w:rsidRDefault="004C062C" w:rsidP="00256829">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r w:rsidRPr="0020167C">
        <w:rPr>
          <w:rFonts w:ascii="Times New Roman" w:eastAsia="TimesNewRomanPSMT" w:hAnsi="Times New Roman" w:cs="Times New Roman"/>
          <w:sz w:val="20"/>
          <w:szCs w:val="20"/>
          <w:lang w:val="en-US"/>
        </w:rPr>
        <w:t>According to current data detection of 8-isoprostane in the blood or urine is a sensitive method for evaluating the intensity of the OS and one of the most reliable and specific markers that allows to assess the level of free radicals production in the human organism in a wide spectrum of completely different diseases.</w:t>
      </w:r>
      <w:r w:rsidR="00256829">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8-Isoprostane is a product of metabolism in reactions of peroxidation of arachidonic acid that is isomeric to prostaglandin F2</w:t>
      </w:r>
      <w:r w:rsidRPr="0020167C">
        <w:rPr>
          <w:rFonts w:ascii="Times New Roman" w:eastAsia="TimesNewRomanPSMT" w:hAnsi="Times New Roman" w:cs="Times New Roman"/>
          <w:sz w:val="20"/>
          <w:szCs w:val="20"/>
        </w:rPr>
        <w:t>α</w:t>
      </w:r>
      <w:r w:rsidRPr="0020167C">
        <w:rPr>
          <w:rFonts w:ascii="Times New Roman" w:eastAsia="TimesNewRomanPSMT" w:hAnsi="Times New Roman" w:cs="Times New Roman"/>
          <w:sz w:val="20"/>
          <w:szCs w:val="20"/>
          <w:lang w:val="en-US"/>
        </w:rPr>
        <w:t>. Its level is proportional to the am</w:t>
      </w:r>
      <w:r w:rsidR="00234EFC" w:rsidRPr="0020167C">
        <w:rPr>
          <w:rFonts w:ascii="Times New Roman" w:eastAsia="TimesNewRomanPSMT" w:hAnsi="Times New Roman" w:cs="Times New Roman"/>
          <w:sz w:val="20"/>
          <w:szCs w:val="20"/>
          <w:lang w:val="en-US"/>
        </w:rPr>
        <w:t>o</w:t>
      </w:r>
      <w:r w:rsidRPr="0020167C">
        <w:rPr>
          <w:rFonts w:ascii="Times New Roman" w:eastAsia="TimesNewRomanPSMT" w:hAnsi="Times New Roman" w:cs="Times New Roman"/>
          <w:sz w:val="20"/>
          <w:szCs w:val="20"/>
          <w:lang w:val="en-US"/>
        </w:rPr>
        <w:t>unt of free radicals formed. This substance belongs to the family of e</w:t>
      </w:r>
      <w:r w:rsidR="00D223E9" w:rsidRPr="0020167C">
        <w:rPr>
          <w:rFonts w:ascii="Times New Roman" w:eastAsia="TimesNewRomanPSMT" w:hAnsi="Times New Roman" w:cs="Times New Roman"/>
          <w:sz w:val="20"/>
          <w:szCs w:val="20"/>
          <w:lang w:val="en-US"/>
        </w:rPr>
        <w:t>i</w:t>
      </w:r>
      <w:r w:rsidRPr="0020167C">
        <w:rPr>
          <w:rFonts w:ascii="Times New Roman" w:eastAsia="TimesNewRomanPSMT" w:hAnsi="Times New Roman" w:cs="Times New Roman"/>
          <w:sz w:val="20"/>
          <w:szCs w:val="20"/>
          <w:lang w:val="en-US"/>
        </w:rPr>
        <w:t>cosanoids, that are a product of the non-enzymatic (free radical) oxidation of phospho</w:t>
      </w:r>
      <w:r w:rsidR="002E276E" w:rsidRPr="0020167C">
        <w:rPr>
          <w:rFonts w:ascii="Times New Roman" w:eastAsia="TimesNewRomanPSMT" w:hAnsi="Times New Roman" w:cs="Times New Roman"/>
          <w:sz w:val="20"/>
          <w:szCs w:val="20"/>
          <w:lang w:val="en-US"/>
        </w:rPr>
        <w:t>lipids of cellular biomembranes</w:t>
      </w:r>
      <w:r w:rsidR="00FB06E2">
        <w:rPr>
          <w:rFonts w:ascii="Times New Roman" w:eastAsia="TimesNewRomanPSMT" w:hAnsi="Times New Roman" w:cs="Times New Roman"/>
          <w:sz w:val="20"/>
          <w:szCs w:val="20"/>
          <w:lang w:val="en-US"/>
        </w:rPr>
        <w:t xml:space="preserve"> (</w:t>
      </w:r>
      <w:r w:rsidR="00FB06E2" w:rsidRPr="00305403">
        <w:rPr>
          <w:rFonts w:ascii="Times New Roman" w:eastAsia="Times New Roman" w:hAnsi="Times New Roman" w:cs="Times New Roman"/>
          <w:sz w:val="20"/>
          <w:szCs w:val="20"/>
          <w:lang w:val="en-US" w:eastAsia="ru-RU"/>
        </w:rPr>
        <w:t>Lawson</w:t>
      </w:r>
      <w:r w:rsidR="00FB06E2">
        <w:rPr>
          <w:rFonts w:ascii="Times New Roman" w:eastAsia="Times New Roman" w:hAnsi="Times New Roman" w:cs="Times New Roman"/>
          <w:sz w:val="20"/>
          <w:szCs w:val="20"/>
          <w:lang w:val="en-US" w:eastAsia="ru-RU"/>
        </w:rPr>
        <w:t xml:space="preserve"> et al</w:t>
      </w:r>
      <w:r w:rsidR="00F65521">
        <w:rPr>
          <w:rFonts w:ascii="Times New Roman" w:eastAsia="Times New Roman" w:hAnsi="Times New Roman" w:cs="Times New Roman"/>
          <w:sz w:val="20"/>
          <w:szCs w:val="20"/>
          <w:lang w:val="en-US" w:eastAsia="ru-RU"/>
        </w:rPr>
        <w:t>.</w:t>
      </w:r>
      <w:r w:rsidR="00FB06E2">
        <w:rPr>
          <w:rFonts w:ascii="Times New Roman" w:eastAsia="Times New Roman" w:hAnsi="Times New Roman" w:cs="Times New Roman"/>
          <w:sz w:val="20"/>
          <w:szCs w:val="20"/>
          <w:lang w:val="en-US" w:eastAsia="ru-RU"/>
        </w:rPr>
        <w:t xml:space="preserve">, 1999; </w:t>
      </w:r>
      <w:r w:rsidR="00FB06E2" w:rsidRPr="00305403">
        <w:rPr>
          <w:rFonts w:ascii="Times New Roman" w:eastAsia="Times New Roman" w:hAnsi="Times New Roman" w:cs="Times New Roman"/>
          <w:sz w:val="20"/>
          <w:szCs w:val="20"/>
          <w:lang w:val="en-US" w:eastAsia="ru-RU"/>
        </w:rPr>
        <w:t>Cracowski</w:t>
      </w:r>
      <w:r w:rsidR="00FB06E2">
        <w:rPr>
          <w:rFonts w:ascii="Times New Roman" w:eastAsia="Times New Roman" w:hAnsi="Times New Roman" w:cs="Times New Roman"/>
          <w:sz w:val="20"/>
          <w:szCs w:val="20"/>
          <w:lang w:val="en-US" w:eastAsia="ru-RU"/>
        </w:rPr>
        <w:t xml:space="preserve"> et al</w:t>
      </w:r>
      <w:r w:rsidR="00F65521">
        <w:rPr>
          <w:rFonts w:ascii="Times New Roman" w:eastAsia="Times New Roman" w:hAnsi="Times New Roman" w:cs="Times New Roman"/>
          <w:sz w:val="20"/>
          <w:szCs w:val="20"/>
          <w:lang w:val="en-US" w:eastAsia="ru-RU"/>
        </w:rPr>
        <w:t>.</w:t>
      </w:r>
      <w:r w:rsidR="00FB06E2">
        <w:rPr>
          <w:rFonts w:ascii="Times New Roman" w:eastAsia="Times New Roman" w:hAnsi="Times New Roman" w:cs="Times New Roman"/>
          <w:sz w:val="20"/>
          <w:szCs w:val="20"/>
          <w:lang w:val="en-US" w:eastAsia="ru-RU"/>
        </w:rPr>
        <w:t>, 2000</w:t>
      </w:r>
      <w:r w:rsidR="00FB06E2">
        <w:rPr>
          <w:rFonts w:ascii="Times New Roman" w:eastAsia="TimesNewRomanPSMT" w:hAnsi="Times New Roman" w:cs="Times New Roman"/>
          <w:sz w:val="20"/>
          <w:szCs w:val="20"/>
          <w:lang w:val="en-US"/>
        </w:rPr>
        <w:t>).</w:t>
      </w:r>
      <w:r w:rsidR="002E276E" w:rsidRPr="0020167C">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There is evidence</w:t>
      </w:r>
      <w:r w:rsidR="00FB06E2">
        <w:rPr>
          <w:rFonts w:ascii="Times New Roman" w:eastAsia="TimesNewRomanPSMT" w:hAnsi="Times New Roman" w:cs="Times New Roman"/>
          <w:sz w:val="20"/>
          <w:szCs w:val="20"/>
          <w:lang w:val="en-US"/>
        </w:rPr>
        <w:t xml:space="preserve"> (</w:t>
      </w:r>
      <w:r w:rsidR="00FB06E2" w:rsidRPr="00305403">
        <w:rPr>
          <w:rFonts w:ascii="Times New Roman" w:eastAsia="TimesNewRomanPSMT" w:hAnsi="Times New Roman" w:cs="Times New Roman"/>
          <w:sz w:val="20"/>
          <w:szCs w:val="20"/>
          <w:lang w:val="en-US"/>
        </w:rPr>
        <w:t>Greco</w:t>
      </w:r>
      <w:r w:rsidR="00FB06E2">
        <w:rPr>
          <w:rFonts w:ascii="Times New Roman" w:eastAsia="TimesNewRomanPSMT" w:hAnsi="Times New Roman" w:cs="Times New Roman"/>
          <w:sz w:val="20"/>
          <w:szCs w:val="20"/>
          <w:lang w:val="en-US"/>
        </w:rPr>
        <w:t xml:space="preserve"> et al</w:t>
      </w:r>
      <w:r w:rsidR="00F65521">
        <w:rPr>
          <w:rFonts w:ascii="Times New Roman" w:eastAsia="TimesNewRomanPSMT" w:hAnsi="Times New Roman" w:cs="Times New Roman"/>
          <w:sz w:val="20"/>
          <w:szCs w:val="20"/>
          <w:lang w:val="en-US"/>
        </w:rPr>
        <w:t>.</w:t>
      </w:r>
      <w:r w:rsidR="00FB06E2">
        <w:rPr>
          <w:rFonts w:ascii="Times New Roman" w:eastAsia="TimesNewRomanPSMT" w:hAnsi="Times New Roman" w:cs="Times New Roman"/>
          <w:sz w:val="20"/>
          <w:szCs w:val="20"/>
          <w:lang w:val="en-US"/>
        </w:rPr>
        <w:t xml:space="preserve">, </w:t>
      </w:r>
      <w:r w:rsidR="00E23AF7">
        <w:rPr>
          <w:rFonts w:ascii="Times New Roman" w:eastAsia="TimesNewRomanPSMT" w:hAnsi="Times New Roman" w:cs="Times New Roman"/>
          <w:sz w:val="20"/>
          <w:szCs w:val="20"/>
          <w:lang w:val="en-US"/>
        </w:rPr>
        <w:t xml:space="preserve">2000; </w:t>
      </w:r>
      <w:r w:rsidR="00E23AF7" w:rsidRPr="00305403">
        <w:rPr>
          <w:rFonts w:ascii="Times New Roman" w:eastAsia="TimesNewRomanPSMT" w:hAnsi="Times New Roman" w:cs="Times New Roman"/>
          <w:sz w:val="20"/>
          <w:szCs w:val="20"/>
          <w:lang w:val="en-US"/>
        </w:rPr>
        <w:t>Czerska</w:t>
      </w:r>
      <w:r w:rsidR="00E23AF7">
        <w:rPr>
          <w:rFonts w:ascii="Times New Roman" w:eastAsia="TimesNewRomanPSMT" w:hAnsi="Times New Roman" w:cs="Times New Roman"/>
          <w:sz w:val="20"/>
          <w:szCs w:val="20"/>
          <w:lang w:val="en-US"/>
        </w:rPr>
        <w:t xml:space="preserve"> et al</w:t>
      </w:r>
      <w:r w:rsidR="00F65521">
        <w:rPr>
          <w:rFonts w:ascii="Times New Roman" w:eastAsia="TimesNewRomanPSMT" w:hAnsi="Times New Roman" w:cs="Times New Roman"/>
          <w:sz w:val="20"/>
          <w:szCs w:val="20"/>
          <w:lang w:val="en-US"/>
        </w:rPr>
        <w:t>.</w:t>
      </w:r>
      <w:r w:rsidR="00E23AF7">
        <w:rPr>
          <w:rFonts w:ascii="Times New Roman" w:eastAsia="TimesNewRomanPSMT" w:hAnsi="Times New Roman" w:cs="Times New Roman"/>
          <w:sz w:val="20"/>
          <w:szCs w:val="20"/>
          <w:lang w:val="en-US"/>
        </w:rPr>
        <w:t>, 2016</w:t>
      </w:r>
      <w:r w:rsidR="00FB06E2">
        <w:rPr>
          <w:rFonts w:ascii="Times New Roman" w:eastAsia="TimesNewRomanPSMT" w:hAnsi="Times New Roman" w:cs="Times New Roman"/>
          <w:sz w:val="20"/>
          <w:szCs w:val="20"/>
          <w:lang w:val="en-US"/>
        </w:rPr>
        <w:t>)</w:t>
      </w:r>
      <w:r w:rsidR="002E276E" w:rsidRPr="0020167C">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of an increase in the level of 8-isoprostane in neurodegenerative diseases, coronary heart disease and hypertension.</w:t>
      </w:r>
      <w:r w:rsidR="00256829">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A significant increase in the level of 8-isoprostane has been observed in a number of conditions characterized by increased oxidative activity, particularly in tobacco smoking</w:t>
      </w:r>
      <w:r w:rsidR="00E23AF7">
        <w:rPr>
          <w:rFonts w:ascii="Times New Roman" w:eastAsia="TimesNewRomanPSMT" w:hAnsi="Times New Roman" w:cs="Times New Roman"/>
          <w:sz w:val="20"/>
          <w:szCs w:val="20"/>
          <w:lang w:val="en-US"/>
        </w:rPr>
        <w:t xml:space="preserve"> (</w:t>
      </w:r>
      <w:r w:rsidR="00E23AF7" w:rsidRPr="00305403">
        <w:rPr>
          <w:rFonts w:ascii="Times New Roman" w:eastAsia="TimesNewRomanPSMT" w:hAnsi="Times New Roman" w:cs="Times New Roman"/>
          <w:sz w:val="20"/>
          <w:szCs w:val="20"/>
          <w:lang w:val="en-US"/>
        </w:rPr>
        <w:t>Morrow</w:t>
      </w:r>
      <w:r w:rsidR="004850C1">
        <w:rPr>
          <w:rFonts w:ascii="Times New Roman" w:eastAsia="TimesNewRomanPSMT" w:hAnsi="Times New Roman" w:cs="Times New Roman"/>
          <w:sz w:val="20"/>
          <w:szCs w:val="20"/>
          <w:lang w:val="en-US"/>
        </w:rPr>
        <w:t xml:space="preserve"> et al</w:t>
      </w:r>
      <w:r w:rsidR="00F65521">
        <w:rPr>
          <w:rFonts w:ascii="Times New Roman" w:eastAsia="TimesNewRomanPSMT" w:hAnsi="Times New Roman" w:cs="Times New Roman"/>
          <w:sz w:val="20"/>
          <w:szCs w:val="20"/>
          <w:lang w:val="en-US"/>
        </w:rPr>
        <w:t>.</w:t>
      </w:r>
      <w:r w:rsidR="004850C1">
        <w:rPr>
          <w:rFonts w:ascii="Times New Roman" w:eastAsia="TimesNewRomanPSMT" w:hAnsi="Times New Roman" w:cs="Times New Roman"/>
          <w:sz w:val="20"/>
          <w:szCs w:val="20"/>
          <w:lang w:val="en-US"/>
        </w:rPr>
        <w:t>, 1995),</w:t>
      </w:r>
      <w:r w:rsidR="002E276E" w:rsidRPr="0020167C">
        <w:rPr>
          <w:rFonts w:ascii="Times New Roman" w:eastAsia="TimesNewRomanPSMT" w:hAnsi="Times New Roman" w:cs="Times New Roman"/>
          <w:sz w:val="20"/>
          <w:szCs w:val="20"/>
          <w:lang w:val="en-US"/>
        </w:rPr>
        <w:t xml:space="preserve"> diabetes mellitus</w:t>
      </w:r>
      <w:r w:rsidR="00E23AF7">
        <w:rPr>
          <w:rFonts w:ascii="Times New Roman" w:eastAsia="TimesNewRomanPSMT" w:hAnsi="Times New Roman" w:cs="Times New Roman"/>
          <w:sz w:val="20"/>
          <w:szCs w:val="20"/>
          <w:lang w:val="en-US"/>
        </w:rPr>
        <w:t xml:space="preserve"> (</w:t>
      </w:r>
      <w:r w:rsidR="00E23AF7" w:rsidRPr="00305403">
        <w:rPr>
          <w:rFonts w:ascii="Times New Roman" w:eastAsia="TimesNewRomanPSMT" w:hAnsi="Times New Roman" w:cs="Times New Roman"/>
          <w:sz w:val="20"/>
          <w:szCs w:val="20"/>
          <w:lang w:val="en-US"/>
        </w:rPr>
        <w:t>Davi</w:t>
      </w:r>
      <w:r w:rsidR="00E23AF7">
        <w:rPr>
          <w:rFonts w:ascii="Times New Roman" w:eastAsia="TimesNewRomanPSMT" w:hAnsi="Times New Roman" w:cs="Times New Roman"/>
          <w:sz w:val="20"/>
          <w:szCs w:val="20"/>
          <w:lang w:val="en-US"/>
        </w:rPr>
        <w:t xml:space="preserve"> et al</w:t>
      </w:r>
      <w:r w:rsidR="00F65521">
        <w:rPr>
          <w:rFonts w:ascii="Times New Roman" w:eastAsia="TimesNewRomanPSMT" w:hAnsi="Times New Roman" w:cs="Times New Roman"/>
          <w:sz w:val="20"/>
          <w:szCs w:val="20"/>
          <w:lang w:val="en-US"/>
        </w:rPr>
        <w:t>.</w:t>
      </w:r>
      <w:r w:rsidR="00E23AF7">
        <w:rPr>
          <w:rFonts w:ascii="Times New Roman" w:eastAsia="TimesNewRomanPSMT" w:hAnsi="Times New Roman" w:cs="Times New Roman"/>
          <w:sz w:val="20"/>
          <w:szCs w:val="20"/>
          <w:lang w:val="en-US"/>
        </w:rPr>
        <w:t>, 1999)</w:t>
      </w:r>
      <w:r w:rsidR="004850C1">
        <w:rPr>
          <w:rFonts w:ascii="Times New Roman" w:eastAsia="TimesNewRomanPSMT" w:hAnsi="Times New Roman" w:cs="Times New Roman"/>
          <w:sz w:val="20"/>
          <w:szCs w:val="20"/>
          <w:lang w:val="en-US"/>
        </w:rPr>
        <w:t>,</w:t>
      </w:r>
      <w:r w:rsidR="002E276E" w:rsidRPr="0020167C">
        <w:rPr>
          <w:rFonts w:ascii="Times New Roman" w:eastAsia="TimesNewRomanPSMT" w:hAnsi="Times New Roman" w:cs="Times New Roman"/>
          <w:sz w:val="20"/>
          <w:szCs w:val="20"/>
          <w:lang w:val="en-US"/>
        </w:rPr>
        <w:t xml:space="preserve"> hypercholesterolemia </w:t>
      </w:r>
      <w:r w:rsidR="00E23AF7">
        <w:rPr>
          <w:rFonts w:ascii="Times New Roman" w:eastAsia="TimesNewRomanPSMT" w:hAnsi="Times New Roman" w:cs="Times New Roman"/>
          <w:sz w:val="20"/>
          <w:szCs w:val="20"/>
          <w:lang w:val="en-US"/>
        </w:rPr>
        <w:t>(</w:t>
      </w:r>
      <w:r w:rsidR="00E23AF7" w:rsidRPr="00305403">
        <w:rPr>
          <w:rFonts w:ascii="Times New Roman" w:eastAsia="TimesNewRomanPSMT" w:hAnsi="Times New Roman" w:cs="Times New Roman"/>
          <w:sz w:val="20"/>
          <w:szCs w:val="20"/>
          <w:lang w:val="en-US"/>
        </w:rPr>
        <w:t>Davi</w:t>
      </w:r>
      <w:r w:rsidR="00E23AF7">
        <w:rPr>
          <w:rFonts w:ascii="Times New Roman" w:eastAsia="TimesNewRomanPSMT" w:hAnsi="Times New Roman" w:cs="Times New Roman"/>
          <w:sz w:val="20"/>
          <w:szCs w:val="20"/>
          <w:lang w:val="en-US"/>
        </w:rPr>
        <w:t xml:space="preserve"> et al</w:t>
      </w:r>
      <w:r w:rsidR="00F65521">
        <w:rPr>
          <w:rFonts w:ascii="Times New Roman" w:eastAsia="TimesNewRomanPSMT" w:hAnsi="Times New Roman" w:cs="Times New Roman"/>
          <w:sz w:val="20"/>
          <w:szCs w:val="20"/>
          <w:lang w:val="en-US"/>
        </w:rPr>
        <w:t>.</w:t>
      </w:r>
      <w:r w:rsidR="00256829">
        <w:rPr>
          <w:rFonts w:ascii="Times New Roman" w:eastAsia="TimesNewRomanPSMT" w:hAnsi="Times New Roman" w:cs="Times New Roman"/>
          <w:sz w:val="20"/>
          <w:szCs w:val="20"/>
          <w:lang w:val="en-US"/>
        </w:rPr>
        <w:t>, 1997</w:t>
      </w:r>
      <w:r w:rsidR="00E23AF7">
        <w:rPr>
          <w:rFonts w:ascii="Times New Roman" w:eastAsia="TimesNewRomanPSMT" w:hAnsi="Times New Roman" w:cs="Times New Roman"/>
          <w:sz w:val="20"/>
          <w:szCs w:val="20"/>
          <w:lang w:val="en-US"/>
        </w:rPr>
        <w:t>).</w:t>
      </w:r>
      <w:r w:rsidRPr="0020167C">
        <w:rPr>
          <w:rFonts w:ascii="Times New Roman" w:eastAsia="TimesNewRomanPSMT" w:hAnsi="Times New Roman" w:cs="Times New Roman"/>
          <w:sz w:val="20"/>
          <w:szCs w:val="20"/>
          <w:lang w:val="en-US"/>
        </w:rPr>
        <w:t xml:space="preserve"> Evaluatation of the </w:t>
      </w:r>
      <w:r w:rsidRPr="0020167C">
        <w:rPr>
          <w:rFonts w:ascii="Times New Roman" w:hAnsi="Times New Roman" w:cs="Times New Roman"/>
          <w:bCs/>
          <w:sz w:val="20"/>
          <w:szCs w:val="20"/>
          <w:lang w:val="en-US"/>
        </w:rPr>
        <w:t xml:space="preserve">OS </w:t>
      </w:r>
      <w:r w:rsidRPr="0020167C">
        <w:rPr>
          <w:rFonts w:ascii="Times New Roman" w:eastAsia="TimesNewRomanPSMT" w:hAnsi="Times New Roman" w:cs="Times New Roman"/>
          <w:sz w:val="20"/>
          <w:szCs w:val="20"/>
          <w:lang w:val="en-US"/>
        </w:rPr>
        <w:t xml:space="preserve">activity based on the levels of </w:t>
      </w:r>
      <w:r w:rsidR="00474EF1" w:rsidRPr="00474EF1">
        <w:rPr>
          <w:rFonts w:ascii="Times New Roman" w:eastAsia="TimesNewRomanPSMT" w:hAnsi="Times New Roman" w:cs="Times New Roman"/>
          <w:sz w:val="20"/>
          <w:szCs w:val="20"/>
          <w:lang w:val="en-US"/>
        </w:rPr>
        <w:t>8-isoprostane</w:t>
      </w:r>
      <w:r w:rsidRPr="0020167C">
        <w:rPr>
          <w:rFonts w:ascii="Times New Roman" w:eastAsia="TimesNewRomanPSMT" w:hAnsi="Times New Roman" w:cs="Times New Roman"/>
          <w:sz w:val="20"/>
          <w:szCs w:val="20"/>
          <w:lang w:val="en-US"/>
        </w:rPr>
        <w:t>, TNF-</w:t>
      </w:r>
      <w:r w:rsidRPr="0020167C">
        <w:rPr>
          <w:rFonts w:ascii="Times New Roman" w:eastAsia="TimesNewRomanPSMT" w:hAnsi="Times New Roman" w:cs="Times New Roman"/>
          <w:sz w:val="20"/>
          <w:szCs w:val="20"/>
        </w:rPr>
        <w:t>α</w:t>
      </w:r>
      <w:r w:rsidRPr="0020167C">
        <w:rPr>
          <w:rFonts w:ascii="Times New Roman" w:eastAsia="TimesNewRomanPSMT" w:hAnsi="Times New Roman" w:cs="Times New Roman"/>
          <w:sz w:val="20"/>
          <w:szCs w:val="20"/>
          <w:lang w:val="en-US"/>
        </w:rPr>
        <w:t xml:space="preserve"> and its soluble type I receptor and C-reactive protein might allow to reveal the correlations between the level of OS, immune activation and nonspecific inflammation in the human organism, which is relevant for further understanding of pathogenesis in hypertension and improvement of the early diagnostics of heart failure. </w:t>
      </w:r>
    </w:p>
    <w:p w:rsidR="004C062C" w:rsidRPr="0020167C" w:rsidRDefault="004C062C" w:rsidP="00F65521">
      <w:pPr>
        <w:tabs>
          <w:tab w:val="left" w:pos="540"/>
          <w:tab w:val="left" w:pos="5400"/>
        </w:tabs>
        <w:spacing w:line="240" w:lineRule="auto"/>
        <w:ind w:right="-5" w:firstLine="851"/>
        <w:rPr>
          <w:rFonts w:ascii="Times New Roman" w:eastAsia="TimesNewRomanPSMT" w:hAnsi="Times New Roman" w:cs="Times New Roman"/>
          <w:sz w:val="20"/>
          <w:szCs w:val="20"/>
          <w:lang w:val="en-US"/>
        </w:rPr>
      </w:pPr>
      <w:r w:rsidRPr="0020167C">
        <w:rPr>
          <w:rFonts w:ascii="Times New Roman" w:eastAsia="TimesNewRomanPSMT" w:hAnsi="Times New Roman" w:cs="Times New Roman"/>
          <w:b/>
          <w:bCs/>
          <w:sz w:val="20"/>
          <w:szCs w:val="20"/>
          <w:lang w:val="en-US"/>
        </w:rPr>
        <w:t>The purpose</w:t>
      </w:r>
      <w:r w:rsidRPr="0020167C">
        <w:rPr>
          <w:rFonts w:ascii="Times New Roman" w:eastAsia="TimesNewRomanPSMT" w:hAnsi="Times New Roman" w:cs="Times New Roman"/>
          <w:sz w:val="20"/>
          <w:szCs w:val="20"/>
          <w:lang w:val="en-US"/>
        </w:rPr>
        <w:t xml:space="preserve"> of this</w:t>
      </w:r>
      <w:r w:rsidRPr="0020167C">
        <w:rPr>
          <w:rFonts w:ascii="Times New Roman" w:eastAsia="TimesNewRomanPSMT" w:hAnsi="Times New Roman" w:cs="Times New Roman"/>
          <w:b/>
          <w:sz w:val="20"/>
          <w:szCs w:val="20"/>
          <w:lang w:val="en-US"/>
        </w:rPr>
        <w:t xml:space="preserve"> </w:t>
      </w:r>
      <w:r w:rsidRPr="0020167C">
        <w:rPr>
          <w:rFonts w:ascii="Times New Roman" w:eastAsia="TimesNewRomanPSMT" w:hAnsi="Times New Roman" w:cs="Times New Roman"/>
          <w:sz w:val="20"/>
          <w:szCs w:val="20"/>
          <w:lang w:val="en-US"/>
        </w:rPr>
        <w:t xml:space="preserve">research was to </w:t>
      </w:r>
      <w:r w:rsidR="0053365C" w:rsidRPr="0053365C">
        <w:rPr>
          <w:rFonts w:ascii="Times New Roman" w:eastAsia="TimesNewRomanPSMT" w:hAnsi="Times New Roman" w:cs="Times New Roman"/>
          <w:sz w:val="20"/>
          <w:szCs w:val="20"/>
          <w:lang w:val="en-US"/>
        </w:rPr>
        <w:t>assess</w:t>
      </w:r>
      <w:r w:rsidRPr="0020167C">
        <w:rPr>
          <w:rFonts w:ascii="Times New Roman" w:eastAsia="TimesNewRomanPSMT" w:hAnsi="Times New Roman" w:cs="Times New Roman"/>
          <w:sz w:val="20"/>
          <w:szCs w:val="20"/>
          <w:lang w:val="en-US"/>
        </w:rPr>
        <w:t xml:space="preserve"> the activity of proinflammatory cytokines and C-reactive protein </w:t>
      </w:r>
      <w:r w:rsidR="00234EFC" w:rsidRPr="0020167C">
        <w:rPr>
          <w:rFonts w:ascii="Times New Roman" w:eastAsia="TimesNewRomanPSMT" w:hAnsi="Times New Roman" w:cs="Times New Roman"/>
          <w:sz w:val="20"/>
          <w:szCs w:val="20"/>
          <w:lang w:val="en-US"/>
        </w:rPr>
        <w:t>serum</w:t>
      </w:r>
      <w:r w:rsidRPr="0020167C">
        <w:rPr>
          <w:rFonts w:ascii="Times New Roman" w:eastAsia="TimesNewRomanPSMT" w:hAnsi="Times New Roman" w:cs="Times New Roman"/>
          <w:sz w:val="20"/>
          <w:szCs w:val="20"/>
          <w:lang w:val="en-US"/>
        </w:rPr>
        <w:t xml:space="preserve"> level</w:t>
      </w:r>
      <w:r w:rsidR="00234EFC" w:rsidRPr="0020167C">
        <w:rPr>
          <w:rFonts w:ascii="Times New Roman" w:eastAsia="TimesNewRomanPSMT" w:hAnsi="Times New Roman" w:cs="Times New Roman"/>
          <w:sz w:val="20"/>
          <w:szCs w:val="20"/>
          <w:lang w:val="en-US"/>
        </w:rPr>
        <w:t>s</w:t>
      </w:r>
      <w:r w:rsidRPr="0020167C">
        <w:rPr>
          <w:rFonts w:ascii="Times New Roman" w:eastAsia="TimesNewRomanPSMT" w:hAnsi="Times New Roman" w:cs="Times New Roman"/>
          <w:sz w:val="20"/>
          <w:szCs w:val="20"/>
          <w:lang w:val="en-US"/>
        </w:rPr>
        <w:t xml:space="preserve"> (as independent markers of systemic inflammation) in the context of oxidative stress development, depending on the severity and duration of hypertension, and their correction under the influence of combined antihypertensive therapy</w:t>
      </w:r>
      <w:r w:rsidR="00ED5005" w:rsidRPr="0020167C">
        <w:rPr>
          <w:rFonts w:ascii="Times New Roman" w:eastAsia="TimesNewRomanPSMT" w:hAnsi="Times New Roman" w:cs="Times New Roman"/>
          <w:sz w:val="20"/>
          <w:szCs w:val="20"/>
          <w:lang w:val="en-US"/>
        </w:rPr>
        <w:t>.</w:t>
      </w:r>
    </w:p>
    <w:p w:rsidR="00296846" w:rsidRDefault="00296846" w:rsidP="00D47C05">
      <w:pPr>
        <w:autoSpaceDE w:val="0"/>
        <w:autoSpaceDN w:val="0"/>
        <w:adjustRightInd w:val="0"/>
        <w:spacing w:after="0" w:line="240" w:lineRule="auto"/>
        <w:ind w:left="0" w:firstLine="851"/>
        <w:rPr>
          <w:rFonts w:ascii="Times New Roman" w:eastAsia="TimesNewRomanPSMT" w:hAnsi="Times New Roman" w:cs="Times New Roman"/>
          <w:b/>
          <w:sz w:val="20"/>
          <w:szCs w:val="20"/>
          <w:lang w:val="en-US"/>
        </w:rPr>
      </w:pPr>
      <w:r w:rsidRPr="00296846">
        <w:rPr>
          <w:rFonts w:ascii="Times New Roman" w:eastAsia="TimesNewRomanPSMT" w:hAnsi="Times New Roman" w:cs="Times New Roman"/>
          <w:b/>
          <w:sz w:val="20"/>
          <w:szCs w:val="20"/>
          <w:lang w:val="en-US"/>
        </w:rPr>
        <w:t xml:space="preserve">Materials and methods </w:t>
      </w:r>
    </w:p>
    <w:p w:rsidR="004C062C" w:rsidRPr="00D47C05" w:rsidRDefault="0053365C" w:rsidP="00D47C05">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r w:rsidRPr="0053365C">
        <w:rPr>
          <w:rFonts w:ascii="Times New Roman" w:eastAsia="TimesNewRomanPSMT" w:hAnsi="Times New Roman" w:cs="Times New Roman"/>
          <w:sz w:val="20"/>
          <w:szCs w:val="20"/>
          <w:lang w:val="en-US"/>
        </w:rPr>
        <w:t>The study was conducted in accordance with the current ethical</w:t>
      </w:r>
      <w:r>
        <w:rPr>
          <w:rFonts w:ascii="Times New Roman" w:eastAsia="TimesNewRomanPSMT" w:hAnsi="Times New Roman" w:cs="Times New Roman"/>
          <w:sz w:val="20"/>
          <w:szCs w:val="20"/>
          <w:lang w:val="en-US"/>
        </w:rPr>
        <w:t xml:space="preserve"> </w:t>
      </w:r>
      <w:r w:rsidRPr="0053365C">
        <w:rPr>
          <w:rFonts w:ascii="Times New Roman" w:eastAsia="TimesNewRomanPSMT" w:hAnsi="Times New Roman" w:cs="Times New Roman"/>
          <w:sz w:val="20"/>
          <w:szCs w:val="20"/>
          <w:lang w:val="en-US"/>
        </w:rPr>
        <w:t>requirements. The protocol of the study was approved at the meeting</w:t>
      </w:r>
      <w:r>
        <w:rPr>
          <w:rFonts w:ascii="Times New Roman" w:eastAsia="TimesNewRomanPSMT" w:hAnsi="Times New Roman" w:cs="Times New Roman"/>
          <w:sz w:val="20"/>
          <w:szCs w:val="20"/>
          <w:lang w:val="en-US"/>
        </w:rPr>
        <w:t xml:space="preserve"> </w:t>
      </w:r>
      <w:r w:rsidRPr="0053365C">
        <w:rPr>
          <w:rFonts w:ascii="Times New Roman" w:eastAsia="TimesNewRomanPSMT" w:hAnsi="Times New Roman" w:cs="Times New Roman"/>
          <w:sz w:val="20"/>
          <w:szCs w:val="20"/>
          <w:lang w:val="en-US"/>
        </w:rPr>
        <w:t xml:space="preserve">of the Committee of Bioethics of the </w:t>
      </w:r>
      <w:r w:rsidR="009C3D85">
        <w:rPr>
          <w:rFonts w:ascii="Times New Roman" w:eastAsia="TimesNewRomanPSMT" w:hAnsi="Times New Roman" w:cs="Times New Roman"/>
          <w:sz w:val="20"/>
          <w:szCs w:val="20"/>
          <w:lang w:val="en-US"/>
        </w:rPr>
        <w:t xml:space="preserve">Kharkiv </w:t>
      </w:r>
      <w:r w:rsidR="0031675F">
        <w:rPr>
          <w:rFonts w:ascii="Times New Roman" w:eastAsia="TimesNewRomanPSMT" w:hAnsi="Times New Roman" w:cs="Times New Roman"/>
          <w:sz w:val="20"/>
          <w:szCs w:val="20"/>
          <w:lang w:val="en-US"/>
        </w:rPr>
        <w:t>N</w:t>
      </w:r>
      <w:r w:rsidR="009C3D85">
        <w:rPr>
          <w:rFonts w:ascii="Times New Roman" w:eastAsia="TimesNewRomanPSMT" w:hAnsi="Times New Roman" w:cs="Times New Roman"/>
          <w:sz w:val="20"/>
          <w:szCs w:val="20"/>
          <w:lang w:val="en-US"/>
        </w:rPr>
        <w:t xml:space="preserve">ational </w:t>
      </w:r>
      <w:r w:rsidR="0031675F">
        <w:rPr>
          <w:rFonts w:ascii="Times New Roman" w:eastAsia="TimesNewRomanPSMT" w:hAnsi="Times New Roman" w:cs="Times New Roman"/>
          <w:sz w:val="20"/>
          <w:szCs w:val="20"/>
          <w:lang w:val="en-US"/>
        </w:rPr>
        <w:t>M</w:t>
      </w:r>
      <w:r w:rsidR="009C3D85">
        <w:rPr>
          <w:rFonts w:ascii="Times New Roman" w:eastAsia="TimesNewRomanPSMT" w:hAnsi="Times New Roman" w:cs="Times New Roman"/>
          <w:sz w:val="20"/>
          <w:szCs w:val="20"/>
          <w:lang w:val="en-US"/>
        </w:rPr>
        <w:t>edical</w:t>
      </w:r>
      <w:r w:rsidR="004D361C" w:rsidRPr="004D361C">
        <w:rPr>
          <w:rFonts w:ascii="Times New Roman" w:eastAsia="TimesNewRomanPSMT" w:hAnsi="Times New Roman" w:cs="Times New Roman"/>
          <w:sz w:val="20"/>
          <w:szCs w:val="20"/>
          <w:lang w:val="en-US"/>
        </w:rPr>
        <w:t xml:space="preserve"> </w:t>
      </w:r>
      <w:r w:rsidR="0031675F">
        <w:rPr>
          <w:rFonts w:ascii="Times New Roman" w:eastAsia="TimesNewRomanPSMT" w:hAnsi="Times New Roman" w:cs="Times New Roman"/>
          <w:sz w:val="20"/>
          <w:szCs w:val="20"/>
          <w:lang w:val="en-US"/>
        </w:rPr>
        <w:t>U</w:t>
      </w:r>
      <w:r w:rsidR="004D361C" w:rsidRPr="004D361C">
        <w:rPr>
          <w:rFonts w:ascii="Times New Roman" w:eastAsia="TimesNewRomanPSMT" w:hAnsi="Times New Roman" w:cs="Times New Roman"/>
          <w:sz w:val="20"/>
          <w:szCs w:val="20"/>
          <w:lang w:val="en-US"/>
        </w:rPr>
        <w:t>niversity</w:t>
      </w:r>
      <w:r w:rsidR="00D47C05">
        <w:rPr>
          <w:rFonts w:ascii="Times New Roman" w:eastAsia="TimesNewRomanPSMT" w:hAnsi="Times New Roman" w:cs="Times New Roman"/>
          <w:sz w:val="20"/>
          <w:szCs w:val="20"/>
          <w:lang w:val="en-US"/>
        </w:rPr>
        <w:t>,</w:t>
      </w:r>
      <w:r w:rsidR="004D361C">
        <w:rPr>
          <w:rFonts w:ascii="Times New Roman" w:eastAsia="TimesNewRomanPSMT" w:hAnsi="Times New Roman" w:cs="Times New Roman"/>
          <w:sz w:val="20"/>
          <w:szCs w:val="20"/>
          <w:lang w:val="en-US"/>
        </w:rPr>
        <w:t xml:space="preserve"> </w:t>
      </w:r>
      <w:r w:rsidR="00D47C05" w:rsidRPr="00D47C05">
        <w:rPr>
          <w:rFonts w:ascii="Times New Roman" w:eastAsia="TimesNewRomanPSMT" w:hAnsi="Times New Roman" w:cs="Times New Roman"/>
          <w:sz w:val="20"/>
          <w:szCs w:val="20"/>
          <w:lang w:val="en-US"/>
        </w:rPr>
        <w:t>Department of Propedeutics of Internal Medicine No. 2 and Nursing Care</w:t>
      </w:r>
      <w:r w:rsidR="00D47C05">
        <w:rPr>
          <w:rFonts w:ascii="Times New Roman" w:eastAsia="TimesNewRomanPSMT" w:hAnsi="Times New Roman" w:cs="Times New Roman"/>
          <w:sz w:val="20"/>
          <w:szCs w:val="20"/>
          <w:lang w:val="en-US"/>
        </w:rPr>
        <w:t xml:space="preserve">. </w:t>
      </w:r>
      <w:r w:rsidR="00D47C05" w:rsidRPr="0020167C">
        <w:rPr>
          <w:rFonts w:ascii="Times New Roman" w:eastAsia="TimesNewRomanPSMT" w:hAnsi="Times New Roman" w:cs="Times New Roman"/>
          <w:sz w:val="20"/>
          <w:szCs w:val="20"/>
          <w:lang w:val="en-US"/>
        </w:rPr>
        <w:t xml:space="preserve">The informed consent was obtained from all participants of the study. </w:t>
      </w:r>
      <w:r w:rsidR="004C062C" w:rsidRPr="00305403">
        <w:rPr>
          <w:rFonts w:ascii="Times New Roman" w:eastAsia="TimesNewRomanPSMT" w:hAnsi="Times New Roman" w:cs="Times New Roman"/>
          <w:sz w:val="20"/>
          <w:szCs w:val="20"/>
          <w:lang w:val="uk-UA"/>
        </w:rPr>
        <w:t xml:space="preserve">202 </w:t>
      </w:r>
      <w:r w:rsidR="004C062C" w:rsidRPr="00305403">
        <w:rPr>
          <w:rFonts w:ascii="Times New Roman" w:eastAsia="TimesNewRomanPSMT" w:hAnsi="Times New Roman" w:cs="Times New Roman"/>
          <w:sz w:val="20"/>
          <w:szCs w:val="20"/>
          <w:lang w:val="en-US"/>
        </w:rPr>
        <w:t>subjects</w:t>
      </w:r>
      <w:r w:rsidR="004C062C" w:rsidRPr="00305403">
        <w:rPr>
          <w:rFonts w:ascii="Times New Roman" w:eastAsia="TimesNewRomanPSMT" w:hAnsi="Times New Roman" w:cs="Times New Roman"/>
          <w:sz w:val="20"/>
          <w:szCs w:val="20"/>
          <w:lang w:val="uk-UA"/>
        </w:rPr>
        <w:t xml:space="preserve"> </w:t>
      </w:r>
      <w:r w:rsidR="004C062C" w:rsidRPr="00305403">
        <w:rPr>
          <w:rFonts w:ascii="Times New Roman" w:eastAsia="TimesNewRomanPSMT" w:hAnsi="Times New Roman" w:cs="Times New Roman"/>
          <w:sz w:val="20"/>
          <w:szCs w:val="20"/>
          <w:lang w:val="en-US"/>
        </w:rPr>
        <w:t>have</w:t>
      </w:r>
      <w:r w:rsidR="004C062C" w:rsidRPr="00305403">
        <w:rPr>
          <w:rFonts w:ascii="Times New Roman" w:eastAsia="TimesNewRomanPSMT" w:hAnsi="Times New Roman" w:cs="Times New Roman"/>
          <w:sz w:val="20"/>
          <w:szCs w:val="20"/>
          <w:lang w:val="uk-UA"/>
        </w:rPr>
        <w:t xml:space="preserve"> </w:t>
      </w:r>
      <w:r w:rsidR="004C062C" w:rsidRPr="00305403">
        <w:rPr>
          <w:rFonts w:ascii="Times New Roman" w:eastAsia="TimesNewRomanPSMT" w:hAnsi="Times New Roman" w:cs="Times New Roman"/>
          <w:sz w:val="20"/>
          <w:szCs w:val="20"/>
          <w:lang w:val="en-US"/>
        </w:rPr>
        <w:t>been</w:t>
      </w:r>
      <w:r w:rsidR="004C062C" w:rsidRPr="00305403">
        <w:rPr>
          <w:rFonts w:ascii="Times New Roman" w:eastAsia="TimesNewRomanPSMT" w:hAnsi="Times New Roman" w:cs="Times New Roman"/>
          <w:sz w:val="20"/>
          <w:szCs w:val="20"/>
          <w:lang w:val="uk-UA"/>
        </w:rPr>
        <w:t xml:space="preserve"> </w:t>
      </w:r>
      <w:r w:rsidR="004C062C" w:rsidRPr="00305403">
        <w:rPr>
          <w:rFonts w:ascii="Times New Roman" w:eastAsia="TimesNewRomanPSMT" w:hAnsi="Times New Roman" w:cs="Times New Roman"/>
          <w:sz w:val="20"/>
          <w:szCs w:val="20"/>
          <w:lang w:val="en-US"/>
        </w:rPr>
        <w:t>examined</w:t>
      </w:r>
      <w:r w:rsidR="004C062C" w:rsidRPr="00305403">
        <w:rPr>
          <w:rFonts w:ascii="Times New Roman" w:eastAsia="TimesNewRomanPSMT" w:hAnsi="Times New Roman" w:cs="Times New Roman"/>
          <w:sz w:val="20"/>
          <w:szCs w:val="20"/>
          <w:lang w:val="uk-UA"/>
        </w:rPr>
        <w:t xml:space="preserve"> </w:t>
      </w:r>
      <w:r w:rsidR="004C062C" w:rsidRPr="00305403">
        <w:rPr>
          <w:rFonts w:ascii="Times New Roman" w:eastAsia="TimesNewRomanPSMT" w:hAnsi="Times New Roman" w:cs="Times New Roman"/>
          <w:sz w:val="20"/>
          <w:szCs w:val="20"/>
          <w:lang w:val="en-US"/>
        </w:rPr>
        <w:t>at</w:t>
      </w:r>
      <w:r w:rsidR="004C062C" w:rsidRPr="00305403">
        <w:rPr>
          <w:rFonts w:ascii="Times New Roman" w:eastAsia="TimesNewRomanPSMT" w:hAnsi="Times New Roman" w:cs="Times New Roman"/>
          <w:sz w:val="20"/>
          <w:szCs w:val="20"/>
          <w:lang w:val="uk-UA"/>
        </w:rPr>
        <w:t xml:space="preserve"> </w:t>
      </w:r>
      <w:r w:rsidR="004C062C" w:rsidRPr="00305403">
        <w:rPr>
          <w:rFonts w:ascii="Times New Roman" w:eastAsia="TimesNewRomanPSMT" w:hAnsi="Times New Roman" w:cs="Times New Roman"/>
          <w:sz w:val="20"/>
          <w:szCs w:val="20"/>
          <w:lang w:val="en-US"/>
        </w:rPr>
        <w:t>the</w:t>
      </w:r>
      <w:r w:rsidR="004C062C" w:rsidRPr="00305403">
        <w:rPr>
          <w:rFonts w:ascii="Times New Roman" w:eastAsia="TimesNewRomanPSMT" w:hAnsi="Times New Roman" w:cs="Times New Roman"/>
          <w:sz w:val="20"/>
          <w:szCs w:val="20"/>
          <w:lang w:val="uk-UA"/>
        </w:rPr>
        <w:t xml:space="preserve"> </w:t>
      </w:r>
      <w:r w:rsidR="004C062C" w:rsidRPr="00305403">
        <w:rPr>
          <w:rFonts w:ascii="Times New Roman" w:eastAsia="TimesNewRomanPSMT" w:hAnsi="Times New Roman" w:cs="Times New Roman"/>
          <w:sz w:val="20"/>
          <w:szCs w:val="20"/>
          <w:lang w:val="en-US"/>
        </w:rPr>
        <w:t>in</w:t>
      </w:r>
      <w:r w:rsidR="004C062C" w:rsidRPr="00305403">
        <w:rPr>
          <w:rFonts w:ascii="Times New Roman" w:eastAsia="TimesNewRomanPSMT" w:hAnsi="Times New Roman" w:cs="Times New Roman"/>
          <w:sz w:val="20"/>
          <w:szCs w:val="20"/>
          <w:lang w:val="uk-UA"/>
        </w:rPr>
        <w:t>-</w:t>
      </w:r>
      <w:r w:rsidR="004C062C" w:rsidRPr="00305403">
        <w:rPr>
          <w:rFonts w:ascii="Times New Roman" w:eastAsia="TimesNewRomanPSMT" w:hAnsi="Times New Roman" w:cs="Times New Roman"/>
          <w:sz w:val="20"/>
          <w:szCs w:val="20"/>
          <w:lang w:val="en-US"/>
        </w:rPr>
        <w:t>hospital</w:t>
      </w:r>
      <w:r w:rsidR="004C062C" w:rsidRPr="00305403">
        <w:rPr>
          <w:rFonts w:ascii="Times New Roman" w:eastAsia="TimesNewRomanPSMT" w:hAnsi="Times New Roman" w:cs="Times New Roman"/>
          <w:sz w:val="20"/>
          <w:szCs w:val="20"/>
          <w:lang w:val="uk-UA"/>
        </w:rPr>
        <w:t xml:space="preserve"> </w:t>
      </w:r>
      <w:r w:rsidR="004C062C" w:rsidRPr="00305403">
        <w:rPr>
          <w:rFonts w:ascii="Times New Roman" w:eastAsia="TimesNewRomanPSMT" w:hAnsi="Times New Roman" w:cs="Times New Roman"/>
          <w:sz w:val="20"/>
          <w:szCs w:val="20"/>
          <w:lang w:val="en-US"/>
        </w:rPr>
        <w:t>setting</w:t>
      </w:r>
      <w:r w:rsidR="004C062C" w:rsidRPr="00305403">
        <w:rPr>
          <w:rFonts w:ascii="Times New Roman" w:eastAsia="TimesNewRomanPSMT" w:hAnsi="Times New Roman" w:cs="Times New Roman"/>
          <w:sz w:val="20"/>
          <w:szCs w:val="20"/>
          <w:lang w:val="uk-UA"/>
        </w:rPr>
        <w:t xml:space="preserve">, </w:t>
      </w:r>
      <w:r w:rsidR="004C062C" w:rsidRPr="00305403">
        <w:rPr>
          <w:rFonts w:ascii="Times New Roman" w:eastAsia="TimesNewRomanPSMT" w:hAnsi="Times New Roman" w:cs="Times New Roman"/>
          <w:sz w:val="20"/>
          <w:szCs w:val="20"/>
          <w:lang w:val="en-US"/>
        </w:rPr>
        <w:t>including</w:t>
      </w:r>
      <w:r w:rsidR="004C062C" w:rsidRPr="00305403">
        <w:rPr>
          <w:rFonts w:ascii="Times New Roman" w:eastAsia="TimesNewRomanPSMT" w:hAnsi="Times New Roman" w:cs="Times New Roman"/>
          <w:sz w:val="20"/>
          <w:szCs w:val="20"/>
          <w:lang w:val="uk-UA"/>
        </w:rPr>
        <w:t xml:space="preserve"> 186 </w:t>
      </w:r>
      <w:r w:rsidR="004C062C" w:rsidRPr="00305403">
        <w:rPr>
          <w:rFonts w:ascii="Times New Roman" w:eastAsia="TimesNewRomanPSMT" w:hAnsi="Times New Roman" w:cs="Times New Roman"/>
          <w:sz w:val="20"/>
          <w:szCs w:val="20"/>
          <w:lang w:val="en-US"/>
        </w:rPr>
        <w:t>patients</w:t>
      </w:r>
      <w:r w:rsidR="004C062C" w:rsidRPr="00305403">
        <w:rPr>
          <w:rFonts w:ascii="Times New Roman" w:eastAsia="TimesNewRomanPSMT" w:hAnsi="Times New Roman" w:cs="Times New Roman"/>
          <w:sz w:val="20"/>
          <w:szCs w:val="20"/>
          <w:lang w:val="uk-UA"/>
        </w:rPr>
        <w:t xml:space="preserve"> </w:t>
      </w:r>
      <w:r w:rsidR="004C062C" w:rsidRPr="00305403">
        <w:rPr>
          <w:rFonts w:ascii="Times New Roman" w:eastAsia="TimesNewRomanPSMT" w:hAnsi="Times New Roman" w:cs="Times New Roman"/>
          <w:sz w:val="20"/>
          <w:szCs w:val="20"/>
          <w:lang w:val="en-US"/>
        </w:rPr>
        <w:t>with</w:t>
      </w:r>
      <w:r w:rsidR="004C062C" w:rsidRPr="00305403">
        <w:rPr>
          <w:rFonts w:ascii="Times New Roman" w:eastAsia="TimesNewRomanPSMT" w:hAnsi="Times New Roman" w:cs="Times New Roman"/>
          <w:sz w:val="20"/>
          <w:szCs w:val="20"/>
          <w:lang w:val="uk-UA"/>
        </w:rPr>
        <w:t xml:space="preserve"> </w:t>
      </w:r>
      <w:r w:rsidR="00F053A7" w:rsidRPr="00305403">
        <w:rPr>
          <w:rFonts w:ascii="Times New Roman" w:eastAsia="TimesNewRomanPSMT" w:hAnsi="Times New Roman" w:cs="Times New Roman"/>
          <w:sz w:val="20"/>
          <w:szCs w:val="20"/>
          <w:lang w:val="en-US"/>
        </w:rPr>
        <w:t>essential</w:t>
      </w:r>
      <w:r w:rsidR="00F053A7" w:rsidRPr="00305403">
        <w:rPr>
          <w:rFonts w:ascii="Times New Roman" w:eastAsia="TimesNewRomanPSMT" w:hAnsi="Times New Roman" w:cs="Times New Roman"/>
          <w:sz w:val="20"/>
          <w:szCs w:val="20"/>
          <w:lang w:val="uk-UA"/>
        </w:rPr>
        <w:t xml:space="preserve"> </w:t>
      </w:r>
      <w:r w:rsidR="00F053A7" w:rsidRPr="00305403">
        <w:rPr>
          <w:rFonts w:ascii="Times New Roman" w:eastAsia="TimesNewRomanPSMT" w:hAnsi="Times New Roman" w:cs="Times New Roman"/>
          <w:sz w:val="20"/>
          <w:szCs w:val="20"/>
          <w:lang w:val="en-US"/>
        </w:rPr>
        <w:t>hyp</w:t>
      </w:r>
      <w:r w:rsidR="007A58D9" w:rsidRPr="00305403">
        <w:rPr>
          <w:rFonts w:ascii="Times New Roman" w:eastAsia="TimesNewRomanPSMT" w:hAnsi="Times New Roman" w:cs="Times New Roman"/>
          <w:sz w:val="20"/>
          <w:szCs w:val="20"/>
          <w:lang w:val="en-US"/>
        </w:rPr>
        <w:t>e</w:t>
      </w:r>
      <w:r w:rsidR="00F053A7" w:rsidRPr="00305403">
        <w:rPr>
          <w:rFonts w:ascii="Times New Roman" w:eastAsia="TimesNewRomanPSMT" w:hAnsi="Times New Roman" w:cs="Times New Roman"/>
          <w:sz w:val="20"/>
          <w:szCs w:val="20"/>
          <w:lang w:val="en-US"/>
        </w:rPr>
        <w:t>tension</w:t>
      </w:r>
      <w:r w:rsidR="00F053A7" w:rsidRPr="00305403">
        <w:rPr>
          <w:rFonts w:ascii="Times New Roman" w:eastAsia="TimesNewRomanPSMT" w:hAnsi="Times New Roman" w:cs="Times New Roman"/>
          <w:sz w:val="20"/>
          <w:szCs w:val="20"/>
          <w:lang w:val="uk-UA"/>
        </w:rPr>
        <w:t xml:space="preserve"> </w:t>
      </w:r>
      <w:r w:rsidR="00F053A7" w:rsidRPr="00305403">
        <w:rPr>
          <w:rFonts w:ascii="Times New Roman" w:eastAsia="TimesNewRomanPSMT" w:hAnsi="Times New Roman" w:cs="Times New Roman"/>
          <w:sz w:val="20"/>
          <w:szCs w:val="20"/>
          <w:lang w:val="en-US"/>
        </w:rPr>
        <w:t>of</w:t>
      </w:r>
      <w:r w:rsidR="00F053A7" w:rsidRPr="00305403">
        <w:rPr>
          <w:rFonts w:ascii="Times New Roman" w:eastAsia="TimesNewRomanPSMT" w:hAnsi="Times New Roman" w:cs="Times New Roman"/>
          <w:sz w:val="20"/>
          <w:szCs w:val="20"/>
          <w:lang w:val="uk-UA"/>
        </w:rPr>
        <w:t xml:space="preserve"> </w:t>
      </w:r>
      <w:r w:rsidR="00F053A7" w:rsidRPr="00305403">
        <w:rPr>
          <w:rFonts w:ascii="Times New Roman" w:eastAsia="TimesNewRomanPSMT" w:hAnsi="Times New Roman" w:cs="Times New Roman"/>
          <w:sz w:val="20"/>
          <w:szCs w:val="20"/>
          <w:lang w:val="en-US"/>
        </w:rPr>
        <w:t>grades</w:t>
      </w:r>
      <w:r w:rsidR="007A58D9" w:rsidRPr="00305403">
        <w:rPr>
          <w:rFonts w:ascii="Times New Roman" w:eastAsia="TimesNewRomanPSMT" w:hAnsi="Times New Roman" w:cs="Times New Roman"/>
          <w:sz w:val="20"/>
          <w:szCs w:val="20"/>
          <w:lang w:val="en-US"/>
        </w:rPr>
        <w:t xml:space="preserve"> 1 to 3 </w:t>
      </w:r>
      <w:r w:rsidR="001D77F0" w:rsidRPr="00305403">
        <w:rPr>
          <w:rFonts w:ascii="Times New Roman" w:eastAsia="TimesNewRomanPSMT" w:hAnsi="Times New Roman" w:cs="Times New Roman"/>
          <w:sz w:val="20"/>
          <w:szCs w:val="20"/>
          <w:lang w:val="en-US"/>
        </w:rPr>
        <w:t>who had asymptomatic target organs lesions</w:t>
      </w:r>
      <w:r w:rsidR="009C3D85">
        <w:rPr>
          <w:rFonts w:ascii="Times New Roman" w:eastAsia="TimesNewRomanPSMT" w:hAnsi="Times New Roman" w:cs="Times New Roman"/>
          <w:sz w:val="20"/>
          <w:szCs w:val="20"/>
          <w:lang w:val="en-US"/>
        </w:rPr>
        <w:t xml:space="preserve"> (left ventricular hypertrophy</w:t>
      </w:r>
      <w:r w:rsidR="001D77F0" w:rsidRPr="00305403">
        <w:rPr>
          <w:rFonts w:ascii="Times New Roman" w:eastAsia="TimesNewRomanPSMT" w:hAnsi="Times New Roman" w:cs="Times New Roman"/>
          <w:sz w:val="20"/>
          <w:szCs w:val="20"/>
          <w:lang w:val="en-US"/>
        </w:rPr>
        <w:t>/</w:t>
      </w:r>
      <w:r w:rsidR="008E1E4C">
        <w:rPr>
          <w:rFonts w:ascii="Times New Roman" w:eastAsia="TimesNewRomanPSMT" w:hAnsi="Times New Roman" w:cs="Times New Roman"/>
          <w:sz w:val="20"/>
          <w:szCs w:val="20"/>
          <w:lang w:val="en-US"/>
        </w:rPr>
        <w:t>generalized retinal angiopathy/</w:t>
      </w:r>
      <w:r w:rsidR="001D77F0" w:rsidRPr="00305403">
        <w:rPr>
          <w:rFonts w:ascii="Times New Roman" w:eastAsia="TimesNewRomanPSMT" w:hAnsi="Times New Roman" w:cs="Times New Roman"/>
          <w:sz w:val="20"/>
          <w:szCs w:val="20"/>
          <w:lang w:val="en-US"/>
        </w:rPr>
        <w:t>carotid intima-media thichening or presen</w:t>
      </w:r>
      <w:r w:rsidR="008E1E4C">
        <w:rPr>
          <w:rFonts w:ascii="Times New Roman" w:eastAsia="TimesNewRomanPSMT" w:hAnsi="Times New Roman" w:cs="Times New Roman"/>
          <w:sz w:val="20"/>
          <w:szCs w:val="20"/>
          <w:lang w:val="en-US"/>
        </w:rPr>
        <w:t>ce of atherosclerotic plaques/</w:t>
      </w:r>
      <w:r w:rsidR="001D77F0" w:rsidRPr="00305403">
        <w:rPr>
          <w:rFonts w:ascii="Times New Roman" w:eastAsia="TimesNewRomanPSMT" w:hAnsi="Times New Roman" w:cs="Times New Roman"/>
          <w:sz w:val="20"/>
          <w:szCs w:val="20"/>
          <w:lang w:val="en-US"/>
        </w:rPr>
        <w:t>microalbuminuria),</w:t>
      </w:r>
      <w:r w:rsidR="004C062C" w:rsidRPr="00305403">
        <w:rPr>
          <w:rFonts w:ascii="Times New Roman" w:eastAsia="TimesNewRomanPSMT" w:hAnsi="Times New Roman" w:cs="Times New Roman"/>
          <w:sz w:val="20"/>
          <w:szCs w:val="20"/>
          <w:lang w:val="uk-UA"/>
        </w:rPr>
        <w:t xml:space="preserve"> </w:t>
      </w:r>
      <w:r w:rsidR="004C062C" w:rsidRPr="00305403">
        <w:rPr>
          <w:rFonts w:ascii="Times New Roman" w:eastAsia="TimesNewRomanPSMT" w:hAnsi="Times New Roman" w:cs="Times New Roman"/>
          <w:sz w:val="20"/>
          <w:szCs w:val="20"/>
          <w:lang w:val="en-US"/>
        </w:rPr>
        <w:t>aged</w:t>
      </w:r>
      <w:r w:rsidR="004C062C" w:rsidRPr="0020167C">
        <w:rPr>
          <w:rFonts w:ascii="Times New Roman" w:eastAsia="TimesNewRomanPSMT" w:hAnsi="Times New Roman" w:cs="Times New Roman"/>
          <w:sz w:val="20"/>
          <w:szCs w:val="20"/>
          <w:lang w:val="uk-UA"/>
        </w:rPr>
        <w:t xml:space="preserve"> 30 </w:t>
      </w:r>
      <w:r w:rsidR="004C062C" w:rsidRPr="0020167C">
        <w:rPr>
          <w:rFonts w:ascii="Times New Roman" w:eastAsia="TimesNewRomanPSMT" w:hAnsi="Times New Roman" w:cs="Times New Roman"/>
          <w:sz w:val="20"/>
          <w:szCs w:val="20"/>
          <w:lang w:val="en-US"/>
        </w:rPr>
        <w:t>to</w:t>
      </w:r>
      <w:r w:rsidR="004C062C" w:rsidRPr="0020167C">
        <w:rPr>
          <w:rFonts w:ascii="Times New Roman" w:eastAsia="TimesNewRomanPSMT" w:hAnsi="Times New Roman" w:cs="Times New Roman"/>
          <w:sz w:val="20"/>
          <w:szCs w:val="20"/>
          <w:lang w:val="uk-UA"/>
        </w:rPr>
        <w:t xml:space="preserve"> 65 </w:t>
      </w:r>
      <w:r w:rsidR="004C062C" w:rsidRPr="0020167C">
        <w:rPr>
          <w:rFonts w:ascii="Times New Roman" w:eastAsia="TimesNewRomanPSMT" w:hAnsi="Times New Roman" w:cs="Times New Roman"/>
          <w:sz w:val="20"/>
          <w:szCs w:val="20"/>
          <w:lang w:val="en-US"/>
        </w:rPr>
        <w:t>mean</w:t>
      </w:r>
      <w:r w:rsidR="004C062C" w:rsidRPr="0020167C">
        <w:rPr>
          <w:rFonts w:ascii="Times New Roman" w:eastAsia="TimesNewRomanPSMT" w:hAnsi="Times New Roman" w:cs="Times New Roman"/>
          <w:sz w:val="20"/>
          <w:szCs w:val="20"/>
          <w:lang w:val="uk-UA"/>
        </w:rPr>
        <w:t xml:space="preserve"> 54.7</w:t>
      </w:r>
      <w:r w:rsidR="00D47C05">
        <w:rPr>
          <w:rFonts w:ascii="Times New Roman" w:eastAsia="TimesNewRomanPSMT" w:hAnsi="Times New Roman" w:cs="Times New Roman"/>
          <w:sz w:val="20"/>
          <w:szCs w:val="20"/>
          <w:lang w:val="en-US"/>
        </w:rPr>
        <w:t xml:space="preserve"> </w:t>
      </w:r>
      <w:r w:rsidR="004C062C" w:rsidRPr="0020167C">
        <w:rPr>
          <w:rFonts w:ascii="Times New Roman" w:eastAsia="TimesNewRomanPSMT" w:hAnsi="Times New Roman" w:cs="Times New Roman"/>
          <w:sz w:val="20"/>
          <w:szCs w:val="20"/>
          <w:lang w:val="uk-UA"/>
        </w:rPr>
        <w:t>±</w:t>
      </w:r>
      <w:r w:rsidR="00D47C05">
        <w:rPr>
          <w:rFonts w:ascii="Times New Roman" w:eastAsia="TimesNewRomanPSMT" w:hAnsi="Times New Roman" w:cs="Times New Roman"/>
          <w:sz w:val="20"/>
          <w:szCs w:val="20"/>
          <w:lang w:val="en-US"/>
        </w:rPr>
        <w:t xml:space="preserve"> </w:t>
      </w:r>
      <w:r w:rsidR="00296846">
        <w:rPr>
          <w:rFonts w:ascii="Times New Roman" w:eastAsia="TimesNewRomanPSMT" w:hAnsi="Times New Roman" w:cs="Times New Roman"/>
          <w:sz w:val="20"/>
          <w:szCs w:val="20"/>
          <w:lang w:val="uk-UA"/>
        </w:rPr>
        <w:t>5.8</w:t>
      </w:r>
      <w:r w:rsidR="004C062C" w:rsidRPr="0020167C">
        <w:rPr>
          <w:rFonts w:ascii="Times New Roman" w:eastAsia="TimesNewRomanPSMT" w:hAnsi="Times New Roman" w:cs="Times New Roman"/>
          <w:sz w:val="20"/>
          <w:szCs w:val="20"/>
          <w:lang w:val="uk-UA"/>
        </w:rPr>
        <w:t xml:space="preserve"> </w:t>
      </w:r>
      <w:r w:rsidR="004C062C" w:rsidRPr="0020167C">
        <w:rPr>
          <w:rFonts w:ascii="Times New Roman" w:eastAsia="TimesNewRomanPSMT" w:hAnsi="Times New Roman" w:cs="Times New Roman"/>
          <w:sz w:val="20"/>
          <w:szCs w:val="20"/>
          <w:lang w:val="en-US"/>
        </w:rPr>
        <w:t>years</w:t>
      </w:r>
      <w:r w:rsidR="004C062C" w:rsidRPr="0020167C">
        <w:rPr>
          <w:rFonts w:ascii="Times New Roman" w:eastAsia="TimesNewRomanPSMT" w:hAnsi="Times New Roman" w:cs="Times New Roman"/>
          <w:sz w:val="20"/>
          <w:szCs w:val="20"/>
          <w:lang w:val="uk-UA"/>
        </w:rPr>
        <w:t xml:space="preserve">, </w:t>
      </w:r>
      <w:r w:rsidR="004C062C" w:rsidRPr="0020167C">
        <w:rPr>
          <w:rFonts w:ascii="Times New Roman" w:hAnsi="Times New Roman" w:cs="Times New Roman"/>
          <w:sz w:val="20"/>
          <w:szCs w:val="20"/>
          <w:lang w:val="en-US"/>
        </w:rPr>
        <w:t>who</w:t>
      </w:r>
      <w:r w:rsidR="004C062C" w:rsidRPr="0020167C">
        <w:rPr>
          <w:rFonts w:ascii="Times New Roman" w:hAnsi="Times New Roman" w:cs="Times New Roman"/>
          <w:sz w:val="20"/>
          <w:szCs w:val="20"/>
          <w:lang w:val="uk-UA"/>
        </w:rPr>
        <w:t xml:space="preserve"> </w:t>
      </w:r>
      <w:r w:rsidR="004C062C" w:rsidRPr="0020167C">
        <w:rPr>
          <w:rFonts w:ascii="Times New Roman" w:hAnsi="Times New Roman" w:cs="Times New Roman"/>
          <w:sz w:val="20"/>
          <w:szCs w:val="20"/>
          <w:lang w:val="en-US"/>
        </w:rPr>
        <w:t>previously</w:t>
      </w:r>
      <w:r w:rsidR="004C062C" w:rsidRPr="0020167C">
        <w:rPr>
          <w:rFonts w:ascii="Times New Roman" w:hAnsi="Times New Roman" w:cs="Times New Roman"/>
          <w:sz w:val="20"/>
          <w:szCs w:val="20"/>
          <w:lang w:val="uk-UA"/>
        </w:rPr>
        <w:t xml:space="preserve"> </w:t>
      </w:r>
      <w:r w:rsidR="004C062C" w:rsidRPr="0020167C">
        <w:rPr>
          <w:rFonts w:ascii="Times New Roman" w:hAnsi="Times New Roman" w:cs="Times New Roman"/>
          <w:sz w:val="20"/>
          <w:szCs w:val="20"/>
          <w:lang w:val="en-US"/>
        </w:rPr>
        <w:t>have</w:t>
      </w:r>
      <w:r w:rsidR="004C062C" w:rsidRPr="0020167C">
        <w:rPr>
          <w:rFonts w:ascii="Times New Roman" w:hAnsi="Times New Roman" w:cs="Times New Roman"/>
          <w:sz w:val="20"/>
          <w:szCs w:val="20"/>
          <w:lang w:val="uk-UA"/>
        </w:rPr>
        <w:t xml:space="preserve"> </w:t>
      </w:r>
      <w:r w:rsidR="004C062C" w:rsidRPr="0020167C">
        <w:rPr>
          <w:rFonts w:ascii="Times New Roman" w:hAnsi="Times New Roman" w:cs="Times New Roman"/>
          <w:sz w:val="20"/>
          <w:szCs w:val="20"/>
          <w:lang w:val="en-US"/>
        </w:rPr>
        <w:t>not</w:t>
      </w:r>
      <w:r w:rsidR="004C062C" w:rsidRPr="0020167C">
        <w:rPr>
          <w:rFonts w:ascii="Times New Roman" w:hAnsi="Times New Roman" w:cs="Times New Roman"/>
          <w:sz w:val="20"/>
          <w:szCs w:val="20"/>
          <w:lang w:val="uk-UA"/>
        </w:rPr>
        <w:t xml:space="preserve"> </w:t>
      </w:r>
      <w:r w:rsidR="004C062C" w:rsidRPr="0020167C">
        <w:rPr>
          <w:rFonts w:ascii="Times New Roman" w:hAnsi="Times New Roman" w:cs="Times New Roman"/>
          <w:sz w:val="20"/>
          <w:szCs w:val="20"/>
          <w:lang w:val="en-US"/>
        </w:rPr>
        <w:t>been</w:t>
      </w:r>
      <w:r w:rsidR="004C062C" w:rsidRPr="0020167C">
        <w:rPr>
          <w:rFonts w:ascii="Times New Roman" w:hAnsi="Times New Roman" w:cs="Times New Roman"/>
          <w:sz w:val="20"/>
          <w:szCs w:val="20"/>
          <w:lang w:val="uk-UA"/>
        </w:rPr>
        <w:t xml:space="preserve"> </w:t>
      </w:r>
      <w:r w:rsidR="004C062C" w:rsidRPr="0020167C">
        <w:rPr>
          <w:rFonts w:ascii="Times New Roman" w:hAnsi="Times New Roman" w:cs="Times New Roman"/>
          <w:sz w:val="20"/>
          <w:szCs w:val="20"/>
          <w:lang w:val="en-US"/>
        </w:rPr>
        <w:t>receiving</w:t>
      </w:r>
      <w:r w:rsidR="004C062C" w:rsidRPr="0020167C">
        <w:rPr>
          <w:rFonts w:ascii="Times New Roman" w:hAnsi="Times New Roman" w:cs="Times New Roman"/>
          <w:sz w:val="20"/>
          <w:szCs w:val="20"/>
          <w:lang w:val="uk-UA"/>
        </w:rPr>
        <w:t xml:space="preserve"> </w:t>
      </w:r>
      <w:r w:rsidR="004C062C" w:rsidRPr="0020167C">
        <w:rPr>
          <w:rFonts w:ascii="Times New Roman" w:hAnsi="Times New Roman" w:cs="Times New Roman"/>
          <w:sz w:val="20"/>
          <w:szCs w:val="20"/>
          <w:lang w:val="en-US"/>
        </w:rPr>
        <w:t>regular</w:t>
      </w:r>
      <w:r w:rsidR="004C062C" w:rsidRPr="0020167C">
        <w:rPr>
          <w:rFonts w:ascii="Times New Roman" w:hAnsi="Times New Roman" w:cs="Times New Roman"/>
          <w:sz w:val="20"/>
          <w:szCs w:val="20"/>
          <w:lang w:val="uk-UA"/>
        </w:rPr>
        <w:t xml:space="preserve"> </w:t>
      </w:r>
      <w:r w:rsidR="004C062C" w:rsidRPr="0020167C">
        <w:rPr>
          <w:rFonts w:ascii="Times New Roman" w:hAnsi="Times New Roman" w:cs="Times New Roman"/>
          <w:sz w:val="20"/>
          <w:szCs w:val="20"/>
          <w:lang w:val="en-US"/>
        </w:rPr>
        <w:t>antihypertensive</w:t>
      </w:r>
      <w:r w:rsidR="004C062C" w:rsidRPr="0020167C">
        <w:rPr>
          <w:rFonts w:ascii="Times New Roman" w:hAnsi="Times New Roman" w:cs="Times New Roman"/>
          <w:sz w:val="20"/>
          <w:szCs w:val="20"/>
          <w:lang w:val="uk-UA"/>
        </w:rPr>
        <w:t xml:space="preserve"> </w:t>
      </w:r>
      <w:r w:rsidR="004C062C" w:rsidRPr="0020167C">
        <w:rPr>
          <w:rFonts w:ascii="Times New Roman" w:hAnsi="Times New Roman" w:cs="Times New Roman"/>
          <w:sz w:val="20"/>
          <w:szCs w:val="20"/>
          <w:lang w:val="en-US"/>
        </w:rPr>
        <w:t>therapy</w:t>
      </w:r>
      <w:r w:rsidR="004C062C" w:rsidRPr="0020167C">
        <w:rPr>
          <w:rFonts w:ascii="Times New Roman" w:hAnsi="Times New Roman" w:cs="Times New Roman"/>
          <w:sz w:val="20"/>
          <w:szCs w:val="20"/>
          <w:lang w:val="uk-UA"/>
        </w:rPr>
        <w:t xml:space="preserve">. </w:t>
      </w:r>
      <w:r w:rsidR="004C062C" w:rsidRPr="0020167C">
        <w:rPr>
          <w:rFonts w:ascii="Times New Roman" w:eastAsia="TimesNewRomanPSMT" w:hAnsi="Times New Roman" w:cs="Times New Roman"/>
          <w:sz w:val="20"/>
          <w:szCs w:val="20"/>
          <w:lang w:val="en-US"/>
        </w:rPr>
        <w:t>The control group included 16 practically healthy individuals (8 mal</w:t>
      </w:r>
      <w:r w:rsidR="00296846">
        <w:rPr>
          <w:rFonts w:ascii="Times New Roman" w:eastAsia="TimesNewRomanPSMT" w:hAnsi="Times New Roman" w:cs="Times New Roman"/>
          <w:sz w:val="20"/>
          <w:szCs w:val="20"/>
          <w:lang w:val="en-US"/>
        </w:rPr>
        <w:t xml:space="preserve">e and 8 female), aged 27 to 55 </w:t>
      </w:r>
      <w:r w:rsidR="00474EF1" w:rsidRPr="00474EF1">
        <w:rPr>
          <w:rFonts w:ascii="Times New Roman" w:eastAsia="TimesNewRomanPSMT" w:hAnsi="Times New Roman" w:cs="Times New Roman"/>
          <w:sz w:val="20"/>
          <w:szCs w:val="20"/>
          <w:lang w:val="en-US"/>
        </w:rPr>
        <w:t xml:space="preserve">mean </w:t>
      </w:r>
      <w:r w:rsidR="004C062C" w:rsidRPr="0020167C">
        <w:rPr>
          <w:rFonts w:ascii="Times New Roman" w:eastAsia="TimesNewRomanPSMT" w:hAnsi="Times New Roman" w:cs="Times New Roman"/>
          <w:sz w:val="20"/>
          <w:szCs w:val="20"/>
          <w:lang w:val="en-US"/>
        </w:rPr>
        <w:t>43.7</w:t>
      </w:r>
      <w:r w:rsidR="00D47C05">
        <w:rPr>
          <w:rFonts w:ascii="Times New Roman" w:eastAsia="TimesNewRomanPSMT" w:hAnsi="Times New Roman" w:cs="Times New Roman"/>
          <w:sz w:val="20"/>
          <w:szCs w:val="20"/>
          <w:lang w:val="en-US"/>
        </w:rPr>
        <w:t xml:space="preserve"> </w:t>
      </w:r>
      <w:r w:rsidR="004C062C" w:rsidRPr="0020167C">
        <w:rPr>
          <w:rFonts w:ascii="Times New Roman" w:eastAsia="TimesNewRomanPSMT" w:hAnsi="Times New Roman" w:cs="Times New Roman"/>
          <w:sz w:val="20"/>
          <w:szCs w:val="20"/>
          <w:lang w:val="en-US"/>
        </w:rPr>
        <w:t>±</w:t>
      </w:r>
      <w:r w:rsidR="00D47C05">
        <w:rPr>
          <w:rFonts w:ascii="Times New Roman" w:eastAsia="TimesNewRomanPSMT" w:hAnsi="Times New Roman" w:cs="Times New Roman"/>
          <w:sz w:val="20"/>
          <w:szCs w:val="20"/>
          <w:lang w:val="en-US"/>
        </w:rPr>
        <w:t xml:space="preserve"> </w:t>
      </w:r>
      <w:r w:rsidR="00474EF1">
        <w:rPr>
          <w:rFonts w:ascii="Times New Roman" w:eastAsia="TimesNewRomanPSMT" w:hAnsi="Times New Roman" w:cs="Times New Roman"/>
          <w:sz w:val="20"/>
          <w:szCs w:val="20"/>
          <w:lang w:val="en-US"/>
        </w:rPr>
        <w:t>4.2</w:t>
      </w:r>
      <w:r w:rsidR="004C062C" w:rsidRPr="0020167C">
        <w:rPr>
          <w:rFonts w:ascii="Times New Roman" w:eastAsia="TimesNewRomanPSMT" w:hAnsi="Times New Roman" w:cs="Times New Roman"/>
          <w:sz w:val="20"/>
          <w:szCs w:val="20"/>
          <w:lang w:val="en-US"/>
        </w:rPr>
        <w:t xml:space="preserve"> years, without</w:t>
      </w:r>
      <w:r w:rsidR="00884679" w:rsidRPr="0020167C">
        <w:rPr>
          <w:rFonts w:ascii="Times New Roman" w:eastAsia="TimesNewRomanPSMT" w:hAnsi="Times New Roman" w:cs="Times New Roman"/>
          <w:sz w:val="20"/>
          <w:szCs w:val="20"/>
          <w:lang w:val="en-US"/>
        </w:rPr>
        <w:t xml:space="preserve"> cardiovascular, </w:t>
      </w:r>
      <w:r w:rsidR="004C062C" w:rsidRPr="0020167C">
        <w:rPr>
          <w:rFonts w:ascii="Times New Roman" w:eastAsia="TimesNewRomanPSMT" w:hAnsi="Times New Roman" w:cs="Times New Roman"/>
          <w:sz w:val="20"/>
          <w:szCs w:val="20"/>
          <w:lang w:val="en-US"/>
        </w:rPr>
        <w:t>renal and endocrine anamnesis. Study participants included 1</w:t>
      </w:r>
      <w:r w:rsidR="00486577" w:rsidRPr="0020167C">
        <w:rPr>
          <w:rFonts w:ascii="Times New Roman" w:eastAsia="TimesNewRomanPSMT" w:hAnsi="Times New Roman" w:cs="Times New Roman"/>
          <w:sz w:val="20"/>
          <w:szCs w:val="20"/>
          <w:lang w:val="en-US"/>
        </w:rPr>
        <w:t>49</w:t>
      </w:r>
      <w:r w:rsidR="004C062C" w:rsidRPr="0020167C">
        <w:rPr>
          <w:rFonts w:ascii="Times New Roman" w:eastAsia="TimesNewRomanPSMT" w:hAnsi="Times New Roman" w:cs="Times New Roman"/>
          <w:sz w:val="20"/>
          <w:szCs w:val="20"/>
          <w:lang w:val="en-US"/>
        </w:rPr>
        <w:t xml:space="preserve"> female and </w:t>
      </w:r>
      <w:r w:rsidR="00486577" w:rsidRPr="0020167C">
        <w:rPr>
          <w:rFonts w:ascii="Times New Roman" w:eastAsia="TimesNewRomanPSMT" w:hAnsi="Times New Roman" w:cs="Times New Roman"/>
          <w:sz w:val="20"/>
          <w:szCs w:val="20"/>
          <w:lang w:val="en-US"/>
        </w:rPr>
        <w:t>37</w:t>
      </w:r>
      <w:r w:rsidR="004C062C" w:rsidRPr="0020167C">
        <w:rPr>
          <w:rFonts w:ascii="Times New Roman" w:eastAsia="TimesNewRomanPSMT" w:hAnsi="Times New Roman" w:cs="Times New Roman"/>
          <w:sz w:val="20"/>
          <w:szCs w:val="20"/>
          <w:lang w:val="en-US"/>
        </w:rPr>
        <w:t xml:space="preserve"> male patients, with the mean duration of disease of 10</w:t>
      </w:r>
      <w:r w:rsidR="00F33C0A" w:rsidRPr="0020167C">
        <w:rPr>
          <w:rFonts w:ascii="Times New Roman" w:eastAsia="TimesNewRomanPSMT" w:hAnsi="Times New Roman" w:cs="Times New Roman"/>
          <w:sz w:val="20"/>
          <w:szCs w:val="20"/>
          <w:lang w:val="en-US"/>
        </w:rPr>
        <w:t xml:space="preserve"> </w:t>
      </w:r>
      <w:r w:rsidR="004C062C" w:rsidRPr="0020167C">
        <w:rPr>
          <w:rFonts w:ascii="Times New Roman" w:eastAsia="TimesNewRomanPSMT" w:hAnsi="Times New Roman" w:cs="Times New Roman"/>
          <w:sz w:val="20"/>
          <w:szCs w:val="20"/>
          <w:lang w:val="en-US"/>
        </w:rPr>
        <w:t>years.</w:t>
      </w:r>
    </w:p>
    <w:p w:rsidR="00F65521" w:rsidRPr="009D41C3" w:rsidRDefault="003A30B1" w:rsidP="009D41C3">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r w:rsidRPr="00305403">
        <w:rPr>
          <w:rFonts w:ascii="Times New Roman" w:eastAsia="TimesNewRomanPSMT" w:hAnsi="Times New Roman" w:cs="Times New Roman"/>
          <w:sz w:val="20"/>
          <w:szCs w:val="20"/>
          <w:lang w:val="en-US"/>
        </w:rPr>
        <w:t>European Society of Cardiology</w:t>
      </w:r>
      <w:r w:rsidR="00305403" w:rsidRPr="00305403">
        <w:rPr>
          <w:rFonts w:ascii="Times New Roman" w:eastAsia="TimesNewRomanPSMT" w:hAnsi="Times New Roman" w:cs="Times New Roman"/>
          <w:sz w:val="20"/>
          <w:szCs w:val="20"/>
          <w:lang w:val="en-US"/>
        </w:rPr>
        <w:t xml:space="preserve"> (ESC) </w:t>
      </w:r>
      <w:r w:rsidRPr="00305403">
        <w:rPr>
          <w:rFonts w:ascii="Times New Roman" w:eastAsia="TimesNewRomanPSMT" w:hAnsi="Times New Roman" w:cs="Times New Roman"/>
          <w:sz w:val="20"/>
          <w:szCs w:val="20"/>
          <w:lang w:val="en-US"/>
        </w:rPr>
        <w:t>/</w:t>
      </w:r>
      <w:r w:rsidR="00305403" w:rsidRPr="00305403">
        <w:rPr>
          <w:rFonts w:ascii="Times New Roman" w:eastAsia="TimesNewRomanPSMT" w:hAnsi="Times New Roman" w:cs="Times New Roman"/>
          <w:sz w:val="20"/>
          <w:szCs w:val="20"/>
          <w:lang w:val="en-US"/>
        </w:rPr>
        <w:t xml:space="preserve"> </w:t>
      </w:r>
      <w:r w:rsidRPr="00305403">
        <w:rPr>
          <w:rFonts w:ascii="Times New Roman" w:eastAsia="TimesNewRomanPSMT" w:hAnsi="Times New Roman" w:cs="Times New Roman"/>
          <w:sz w:val="20"/>
          <w:szCs w:val="20"/>
          <w:lang w:val="en-US"/>
        </w:rPr>
        <w:t xml:space="preserve">European Society of Hypertension </w:t>
      </w:r>
      <w:r w:rsidR="00305403" w:rsidRPr="00305403">
        <w:rPr>
          <w:rFonts w:ascii="Times New Roman" w:eastAsia="TimesNewRomanPSMT" w:hAnsi="Times New Roman" w:cs="Times New Roman"/>
          <w:sz w:val="20"/>
          <w:szCs w:val="20"/>
          <w:lang w:val="en-US"/>
        </w:rPr>
        <w:t xml:space="preserve">(ESH) (2018) </w:t>
      </w:r>
      <w:r w:rsidR="004C062C" w:rsidRPr="00305403">
        <w:rPr>
          <w:rFonts w:ascii="Times New Roman" w:eastAsia="TimesNewRomanPSMT" w:hAnsi="Times New Roman" w:cs="Times New Roman"/>
          <w:sz w:val="20"/>
          <w:szCs w:val="20"/>
          <w:lang w:val="en-US"/>
        </w:rPr>
        <w:t>were used for</w:t>
      </w:r>
      <w:r w:rsidR="004C062C" w:rsidRPr="0020167C">
        <w:rPr>
          <w:rFonts w:ascii="Times New Roman" w:eastAsia="TimesNewRomanPSMT" w:hAnsi="Times New Roman" w:cs="Times New Roman"/>
          <w:sz w:val="20"/>
          <w:szCs w:val="20"/>
          <w:lang w:val="en-US"/>
        </w:rPr>
        <w:t xml:space="preserve"> verification of the diagnosis and estimation of the hypertension grade. Exclusion criteria were: secondary hypertension, associated inflammatory and endocrine </w:t>
      </w:r>
      <w:r w:rsidR="004C062C" w:rsidRPr="003A30B1">
        <w:rPr>
          <w:rFonts w:ascii="Times New Roman" w:eastAsia="TimesNewRomanPSMT" w:hAnsi="Times New Roman" w:cs="Times New Roman"/>
          <w:sz w:val="20"/>
          <w:szCs w:val="20"/>
          <w:lang w:val="en-US"/>
        </w:rPr>
        <w:t xml:space="preserve">disorders </w:t>
      </w:r>
      <w:r w:rsidR="001A7EC1" w:rsidRPr="003A30B1">
        <w:rPr>
          <w:rFonts w:ascii="Times New Roman" w:eastAsia="TimesNewRomanPSMT" w:hAnsi="Times New Roman" w:cs="Times New Roman"/>
          <w:sz w:val="20"/>
          <w:szCs w:val="20"/>
          <w:lang w:val="en-US"/>
        </w:rPr>
        <w:t>(</w:t>
      </w:r>
      <w:r w:rsidR="00FF3BB6" w:rsidRPr="003A30B1">
        <w:rPr>
          <w:rFonts w:ascii="Times New Roman" w:eastAsia="TimesNewRomanPSMT" w:hAnsi="Times New Roman" w:cs="Times New Roman"/>
          <w:sz w:val="20"/>
          <w:szCs w:val="20"/>
          <w:lang w:val="en-US"/>
        </w:rPr>
        <w:t>including diabetes mellitus</w:t>
      </w:r>
      <w:r w:rsidR="001A7EC1" w:rsidRPr="003A30B1">
        <w:rPr>
          <w:rFonts w:ascii="Times New Roman" w:eastAsia="TimesNewRomanPSMT" w:hAnsi="Times New Roman" w:cs="Times New Roman"/>
          <w:sz w:val="20"/>
          <w:szCs w:val="20"/>
          <w:lang w:val="en-US"/>
        </w:rPr>
        <w:t xml:space="preserve">) </w:t>
      </w:r>
      <w:r w:rsidR="004C062C" w:rsidRPr="003A30B1">
        <w:rPr>
          <w:rFonts w:ascii="Times New Roman" w:eastAsia="TimesNewRomanPSMT" w:hAnsi="Times New Roman" w:cs="Times New Roman"/>
          <w:sz w:val="20"/>
          <w:szCs w:val="20"/>
          <w:lang w:val="en-US"/>
        </w:rPr>
        <w:t xml:space="preserve">as well as other conditions that could have an impact on the </w:t>
      </w:r>
      <w:r w:rsidR="001A7EC1" w:rsidRPr="003A30B1">
        <w:rPr>
          <w:rFonts w:ascii="Times New Roman" w:eastAsia="TimesNewRomanPSMT" w:hAnsi="Times New Roman" w:cs="Times New Roman"/>
          <w:sz w:val="20"/>
          <w:szCs w:val="20"/>
          <w:lang w:val="en-US"/>
        </w:rPr>
        <w:t xml:space="preserve">activity of oxidative processes, </w:t>
      </w:r>
      <w:r w:rsidR="00FF3BB6" w:rsidRPr="003A30B1">
        <w:rPr>
          <w:rFonts w:ascii="Times New Roman" w:eastAsia="TimesNewRomanPSMT" w:hAnsi="Times New Roman" w:cs="Times New Roman"/>
          <w:sz w:val="20"/>
          <w:szCs w:val="20"/>
          <w:lang w:val="en-US"/>
        </w:rPr>
        <w:t>including smoking anamnesis</w:t>
      </w:r>
      <w:r w:rsidR="001A7EC1" w:rsidRPr="003A30B1">
        <w:rPr>
          <w:rFonts w:ascii="Times New Roman" w:eastAsia="TimesNewRomanPSMT" w:hAnsi="Times New Roman" w:cs="Times New Roman"/>
          <w:sz w:val="20"/>
          <w:szCs w:val="20"/>
          <w:lang w:val="en-US"/>
        </w:rPr>
        <w:t>.</w:t>
      </w:r>
      <w:r w:rsidR="004C062C" w:rsidRPr="003A30B1">
        <w:rPr>
          <w:rFonts w:ascii="Times New Roman" w:eastAsia="TimesNewRomanPSMT" w:hAnsi="Times New Roman" w:cs="Times New Roman"/>
          <w:sz w:val="20"/>
          <w:szCs w:val="20"/>
          <w:lang w:val="en-US"/>
        </w:rPr>
        <w:t xml:space="preserve"> </w:t>
      </w:r>
      <w:r w:rsidR="00C543B6" w:rsidRPr="003A30B1">
        <w:rPr>
          <w:rFonts w:ascii="Times New Roman" w:eastAsia="TimesNewRomanPSMT" w:hAnsi="Times New Roman" w:cs="Times New Roman"/>
          <w:sz w:val="20"/>
          <w:szCs w:val="20"/>
          <w:lang w:val="en-US"/>
        </w:rPr>
        <w:t>Patients receiving statin therapy were not included into study; statin-naïve patients who had indications for lipid-lowering therapy had been prescribed such after completion of the 2-month course of treatment.</w:t>
      </w:r>
      <w:r w:rsidR="009D41C3">
        <w:rPr>
          <w:rFonts w:ascii="Times New Roman" w:eastAsia="TimesNewRomanPSMT" w:hAnsi="Times New Roman" w:cs="Times New Roman"/>
          <w:sz w:val="20"/>
          <w:szCs w:val="20"/>
          <w:lang w:val="en-US"/>
        </w:rPr>
        <w:t xml:space="preserve"> </w:t>
      </w:r>
      <w:r w:rsidR="004C062C" w:rsidRPr="0020167C">
        <w:rPr>
          <w:rFonts w:ascii="Times New Roman" w:eastAsia="TimesNewRomanPSMT" w:hAnsi="Times New Roman" w:cs="Times New Roman"/>
          <w:sz w:val="20"/>
          <w:szCs w:val="20"/>
          <w:lang w:val="en-US"/>
        </w:rPr>
        <w:t xml:space="preserve">Of the patients enrolled into study, </w:t>
      </w:r>
      <w:r w:rsidR="00992E61" w:rsidRPr="0020167C">
        <w:rPr>
          <w:rFonts w:ascii="Times New Roman" w:eastAsia="TimesNewRomanPSMT" w:hAnsi="Times New Roman" w:cs="Times New Roman"/>
          <w:sz w:val="20"/>
          <w:szCs w:val="20"/>
          <w:lang w:val="en-US"/>
        </w:rPr>
        <w:t>3</w:t>
      </w:r>
      <w:r w:rsidR="00716397" w:rsidRPr="0020167C">
        <w:rPr>
          <w:rFonts w:ascii="Times New Roman" w:eastAsia="TimesNewRomanPSMT" w:hAnsi="Times New Roman" w:cs="Times New Roman"/>
          <w:sz w:val="20"/>
          <w:szCs w:val="20"/>
          <w:lang w:val="en-US"/>
        </w:rPr>
        <w:t>3</w:t>
      </w:r>
      <w:r w:rsidR="004C062C" w:rsidRPr="0020167C">
        <w:rPr>
          <w:rFonts w:ascii="Times New Roman" w:eastAsia="TimesNewRomanPSMT" w:hAnsi="Times New Roman" w:cs="Times New Roman"/>
          <w:sz w:val="20"/>
          <w:szCs w:val="20"/>
          <w:lang w:val="en-US"/>
        </w:rPr>
        <w:t xml:space="preserve"> have been diagnosed with esse</w:t>
      </w:r>
      <w:r w:rsidR="00716397" w:rsidRPr="0020167C">
        <w:rPr>
          <w:rFonts w:ascii="Times New Roman" w:eastAsia="TimesNewRomanPSMT" w:hAnsi="Times New Roman" w:cs="Times New Roman"/>
          <w:sz w:val="20"/>
          <w:szCs w:val="20"/>
          <w:lang w:val="en-US"/>
        </w:rPr>
        <w:t>ntial hypertension of grade 1, 58</w:t>
      </w:r>
      <w:r w:rsidR="004C062C" w:rsidRPr="0020167C">
        <w:rPr>
          <w:rFonts w:ascii="Times New Roman" w:eastAsia="TimesNewRomanPSMT" w:hAnsi="Times New Roman" w:cs="Times New Roman"/>
          <w:sz w:val="20"/>
          <w:szCs w:val="20"/>
          <w:lang w:val="en-US"/>
        </w:rPr>
        <w:t xml:space="preserve"> – of grade 2, and </w:t>
      </w:r>
      <w:r w:rsidR="00716397" w:rsidRPr="0020167C">
        <w:rPr>
          <w:rFonts w:ascii="Times New Roman" w:eastAsia="TimesNewRomanPSMT" w:hAnsi="Times New Roman" w:cs="Times New Roman"/>
          <w:sz w:val="20"/>
          <w:szCs w:val="20"/>
          <w:lang w:val="en-US"/>
        </w:rPr>
        <w:t>95</w:t>
      </w:r>
      <w:r w:rsidR="004C062C" w:rsidRPr="0020167C">
        <w:rPr>
          <w:rFonts w:ascii="Times New Roman" w:eastAsia="TimesNewRomanPSMT" w:hAnsi="Times New Roman" w:cs="Times New Roman"/>
          <w:sz w:val="20"/>
          <w:szCs w:val="20"/>
          <w:lang w:val="en-US"/>
        </w:rPr>
        <w:t xml:space="preserve"> – of grade 3.</w:t>
      </w:r>
      <w:r w:rsidR="0077390A">
        <w:rPr>
          <w:rFonts w:ascii="Times New Roman" w:eastAsia="TimesNewRomanPSMT" w:hAnsi="Times New Roman" w:cs="Times New Roman"/>
          <w:b/>
          <w:sz w:val="20"/>
          <w:szCs w:val="20"/>
          <w:lang w:val="en-US"/>
        </w:rPr>
        <w:t xml:space="preserve"> </w:t>
      </w:r>
      <w:r w:rsidR="004C062C" w:rsidRPr="0020167C">
        <w:rPr>
          <w:rFonts w:ascii="Times New Roman" w:eastAsia="TimesNewRomanPSMT" w:hAnsi="Times New Roman" w:cs="Times New Roman"/>
          <w:sz w:val="20"/>
          <w:szCs w:val="20"/>
          <w:lang w:val="en-US"/>
        </w:rPr>
        <w:t xml:space="preserve">The level of 8-isoprostane as a main marker of OS have been assessed in 34 patients, including 27 females and 7 males. Of this sub-group, 8 patients have been diagnosed grade 1 hypertension, 8 – of grade 2, and 18 – of grade 3. </w:t>
      </w:r>
    </w:p>
    <w:p w:rsidR="00EC0FA9" w:rsidRPr="00E3524A" w:rsidRDefault="004C062C" w:rsidP="00EC0FA9">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r w:rsidRPr="00E3524A">
        <w:rPr>
          <w:rFonts w:ascii="Times New Roman" w:eastAsia="TimesNewRomanPSMT" w:hAnsi="Times New Roman" w:cs="Times New Roman"/>
          <w:sz w:val="20"/>
          <w:szCs w:val="20"/>
          <w:lang w:val="en-US"/>
        </w:rPr>
        <w:t xml:space="preserve">The contents of serum </w:t>
      </w:r>
      <w:r w:rsidR="00256829">
        <w:rPr>
          <w:rFonts w:ascii="Times New Roman" w:eastAsia="TimesNewRomanPSMT" w:hAnsi="Times New Roman" w:cs="Times New Roman"/>
          <w:sz w:val="20"/>
          <w:szCs w:val="20"/>
          <w:lang w:val="en-US"/>
        </w:rPr>
        <w:t>8-isoprostane</w:t>
      </w:r>
      <w:r w:rsidRPr="00E3524A">
        <w:rPr>
          <w:rFonts w:ascii="Times New Roman" w:eastAsia="TimesNewRomanPSMT" w:hAnsi="Times New Roman" w:cs="Times New Roman"/>
          <w:sz w:val="20"/>
          <w:szCs w:val="20"/>
          <w:lang w:val="en-US"/>
        </w:rPr>
        <w:t>, TNF-alpha and its type I soluble receptor (sTNF-αRI) were determined in all subjects using the 8-isoprostane ELISA</w:t>
      </w:r>
      <w:r w:rsidR="00E3524A" w:rsidRPr="00E3524A">
        <w:rPr>
          <w:rFonts w:ascii="Times New Roman" w:eastAsia="TimesNewRomanPSMT" w:hAnsi="Times New Roman" w:cs="Times New Roman"/>
          <w:sz w:val="20"/>
          <w:szCs w:val="20"/>
          <w:lang w:val="en-US"/>
        </w:rPr>
        <w:t xml:space="preserve"> </w:t>
      </w:r>
      <w:r w:rsidRPr="00E3524A">
        <w:rPr>
          <w:rFonts w:ascii="Times New Roman" w:eastAsia="TimesNewRomanPSMT" w:hAnsi="Times New Roman" w:cs="Times New Roman"/>
          <w:sz w:val="20"/>
          <w:szCs w:val="20"/>
          <w:lang w:val="en-US"/>
        </w:rPr>
        <w:t>(</w:t>
      </w:r>
      <w:r w:rsidR="00E3524A" w:rsidRPr="00E3524A">
        <w:rPr>
          <w:rFonts w:ascii="Times New Roman" w:eastAsia="TimesNewRomanPSMT" w:hAnsi="Times New Roman" w:cs="Times New Roman"/>
          <w:sz w:val="20"/>
          <w:szCs w:val="20"/>
          <w:lang w:val="en-US"/>
        </w:rPr>
        <w:t>"</w:t>
      </w:r>
      <w:r w:rsidRPr="00E3524A">
        <w:rPr>
          <w:rFonts w:ascii="Times New Roman" w:eastAsia="TimesNewRomanPSMT" w:hAnsi="Times New Roman" w:cs="Times New Roman"/>
          <w:sz w:val="20"/>
          <w:szCs w:val="20"/>
          <w:lang w:val="en-US"/>
        </w:rPr>
        <w:t>U</w:t>
      </w:r>
      <w:r w:rsidR="00E3524A" w:rsidRPr="00E3524A">
        <w:rPr>
          <w:rFonts w:ascii="Times New Roman" w:eastAsia="TimesNewRomanPSMT" w:hAnsi="Times New Roman" w:cs="Times New Roman"/>
          <w:sz w:val="20"/>
          <w:szCs w:val="20"/>
          <w:lang w:val="en-US"/>
        </w:rPr>
        <w:t>S B</w:t>
      </w:r>
      <w:r w:rsidRPr="00E3524A">
        <w:rPr>
          <w:rFonts w:ascii="Times New Roman" w:eastAsia="TimesNewRomanPSMT" w:hAnsi="Times New Roman" w:cs="Times New Roman"/>
          <w:sz w:val="20"/>
          <w:szCs w:val="20"/>
          <w:lang w:val="en-US"/>
        </w:rPr>
        <w:t>iological</w:t>
      </w:r>
      <w:r w:rsidR="00E3524A" w:rsidRPr="00E3524A">
        <w:rPr>
          <w:rFonts w:ascii="Times New Roman" w:eastAsia="TimesNewRomanPSMT" w:hAnsi="Times New Roman" w:cs="Times New Roman"/>
          <w:sz w:val="20"/>
          <w:szCs w:val="20"/>
          <w:lang w:val="en-US"/>
        </w:rPr>
        <w:t>"</w:t>
      </w:r>
      <w:r w:rsidRPr="00E3524A">
        <w:rPr>
          <w:rFonts w:ascii="Times New Roman" w:eastAsia="TimesNewRomanPSMT" w:hAnsi="Times New Roman" w:cs="Times New Roman"/>
          <w:sz w:val="20"/>
          <w:szCs w:val="20"/>
          <w:lang w:val="en-US"/>
        </w:rPr>
        <w:t>, USA), ProCon TNFα (</w:t>
      </w:r>
      <w:r w:rsidR="00E3524A" w:rsidRPr="00E3524A">
        <w:rPr>
          <w:rFonts w:ascii="Times New Roman" w:eastAsia="TimesNewRomanPSMT" w:hAnsi="Times New Roman" w:cs="Times New Roman"/>
          <w:sz w:val="20"/>
          <w:szCs w:val="20"/>
          <w:lang w:val="en-US"/>
        </w:rPr>
        <w:t>"</w:t>
      </w:r>
      <w:r w:rsidRPr="00E3524A">
        <w:rPr>
          <w:rFonts w:ascii="Times New Roman" w:eastAsia="TimesNewRomanPSMT" w:hAnsi="Times New Roman" w:cs="Times New Roman"/>
          <w:sz w:val="20"/>
          <w:szCs w:val="20"/>
          <w:lang w:val="en-US"/>
        </w:rPr>
        <w:t>Protein contour</w:t>
      </w:r>
      <w:r w:rsidR="00E3524A" w:rsidRPr="00E3524A">
        <w:rPr>
          <w:rFonts w:ascii="Times New Roman" w:eastAsia="TimesNewRomanPSMT" w:hAnsi="Times New Roman" w:cs="Times New Roman"/>
          <w:sz w:val="20"/>
          <w:szCs w:val="20"/>
          <w:lang w:val="en-US"/>
        </w:rPr>
        <w:t>"</w:t>
      </w:r>
      <w:r w:rsidRPr="00E3524A">
        <w:rPr>
          <w:rFonts w:ascii="Times New Roman" w:eastAsia="TimesNewRomanPSMT" w:hAnsi="Times New Roman" w:cs="Times New Roman"/>
          <w:sz w:val="20"/>
          <w:szCs w:val="20"/>
          <w:lang w:val="en-US"/>
        </w:rPr>
        <w:t>, Russian Federation) and sTNF-</w:t>
      </w:r>
      <w:r w:rsidR="00812172" w:rsidRPr="00E3524A">
        <w:rPr>
          <w:rFonts w:ascii="Times New Roman" w:eastAsia="TimesNewRomanPSMT" w:hAnsi="Times New Roman" w:cs="Times New Roman"/>
          <w:sz w:val="20"/>
          <w:szCs w:val="20"/>
          <w:lang w:val="en-US"/>
        </w:rPr>
        <w:t>α</w:t>
      </w:r>
      <w:r w:rsidRPr="00E3524A">
        <w:rPr>
          <w:rFonts w:ascii="Times New Roman" w:eastAsia="TimesNewRomanPSMT" w:hAnsi="Times New Roman" w:cs="Times New Roman"/>
          <w:sz w:val="20"/>
          <w:szCs w:val="20"/>
          <w:lang w:val="en-US"/>
        </w:rPr>
        <w:t>RI EASIA</w:t>
      </w:r>
      <w:r w:rsidR="00980F6A" w:rsidRPr="00E3524A">
        <w:rPr>
          <w:rFonts w:ascii="Times New Roman" w:eastAsia="TimesNewRomanPSMT" w:hAnsi="Times New Roman" w:cs="Times New Roman"/>
          <w:sz w:val="20"/>
          <w:szCs w:val="20"/>
          <w:lang w:val="en-US"/>
        </w:rPr>
        <w:t xml:space="preserve"> </w:t>
      </w:r>
      <w:r w:rsidRPr="00E3524A">
        <w:rPr>
          <w:rFonts w:ascii="Times New Roman" w:eastAsia="TimesNewRomanPSMT" w:hAnsi="Times New Roman" w:cs="Times New Roman"/>
          <w:sz w:val="20"/>
          <w:szCs w:val="20"/>
          <w:lang w:val="en-US"/>
        </w:rPr>
        <w:t>(</w:t>
      </w:r>
      <w:r w:rsidR="00E3524A" w:rsidRPr="00E3524A">
        <w:rPr>
          <w:rFonts w:ascii="Times New Roman" w:eastAsia="TimesNewRomanPSMT" w:hAnsi="Times New Roman" w:cs="Times New Roman"/>
          <w:sz w:val="20"/>
          <w:szCs w:val="20"/>
          <w:lang w:val="en-US"/>
        </w:rPr>
        <w:t>"</w:t>
      </w:r>
      <w:r w:rsidRPr="00E3524A">
        <w:rPr>
          <w:rFonts w:ascii="Times New Roman" w:eastAsia="TimesNewRomanPSMT" w:hAnsi="Times New Roman" w:cs="Times New Roman"/>
          <w:sz w:val="20"/>
          <w:szCs w:val="20"/>
          <w:lang w:val="en-US"/>
        </w:rPr>
        <w:t>BioSource Europe S</w:t>
      </w:r>
      <w:r w:rsidR="00E3524A" w:rsidRPr="00E3524A">
        <w:rPr>
          <w:rFonts w:ascii="Times New Roman" w:eastAsia="TimesNewRomanPSMT" w:hAnsi="Times New Roman" w:cs="Times New Roman"/>
          <w:sz w:val="20"/>
          <w:szCs w:val="20"/>
          <w:lang w:val="en-US"/>
        </w:rPr>
        <w:t>.</w:t>
      </w:r>
      <w:r w:rsidRPr="00E3524A">
        <w:rPr>
          <w:rFonts w:ascii="Times New Roman" w:eastAsia="TimesNewRomanPSMT" w:hAnsi="Times New Roman" w:cs="Times New Roman"/>
          <w:sz w:val="20"/>
          <w:szCs w:val="20"/>
          <w:lang w:val="en-US"/>
        </w:rPr>
        <w:t>A</w:t>
      </w:r>
      <w:r w:rsidR="00E3524A" w:rsidRPr="00E3524A">
        <w:rPr>
          <w:rFonts w:ascii="Times New Roman" w:eastAsia="TimesNewRomanPSMT" w:hAnsi="Times New Roman" w:cs="Times New Roman"/>
          <w:sz w:val="20"/>
          <w:szCs w:val="20"/>
          <w:lang w:val="en-US"/>
        </w:rPr>
        <w:t>"</w:t>
      </w:r>
      <w:r w:rsidRPr="00E3524A">
        <w:rPr>
          <w:rFonts w:ascii="Times New Roman" w:eastAsia="TimesNewRomanPSMT" w:hAnsi="Times New Roman" w:cs="Times New Roman"/>
          <w:sz w:val="20"/>
          <w:szCs w:val="20"/>
          <w:lang w:val="en-US"/>
        </w:rPr>
        <w:t xml:space="preserve">, Belgium) ELISA kits, respectively. </w:t>
      </w:r>
      <w:r w:rsidR="002105C0" w:rsidRPr="00E3524A">
        <w:rPr>
          <w:rFonts w:ascii="Times New Roman" w:eastAsia="TimesNewRomanPSMT" w:hAnsi="Times New Roman" w:cs="Times New Roman"/>
          <w:sz w:val="20"/>
          <w:szCs w:val="20"/>
          <w:lang w:val="en-US"/>
        </w:rPr>
        <w:t>The</w:t>
      </w:r>
      <w:r w:rsidR="00D64467" w:rsidRPr="00E3524A">
        <w:rPr>
          <w:rFonts w:ascii="Times New Roman" w:eastAsia="TimesNewRomanPSMT" w:hAnsi="Times New Roman" w:cs="Times New Roman"/>
          <w:sz w:val="20"/>
          <w:szCs w:val="20"/>
          <w:lang w:val="en-US"/>
        </w:rPr>
        <w:t xml:space="preserve"> </w:t>
      </w:r>
      <w:r w:rsidR="008E67E1" w:rsidRPr="00E3524A">
        <w:rPr>
          <w:rFonts w:ascii="Times New Roman" w:eastAsia="TimesNewRomanPSMT" w:hAnsi="Times New Roman" w:cs="Times New Roman"/>
          <w:sz w:val="20"/>
          <w:szCs w:val="20"/>
          <w:lang w:val="en-US"/>
        </w:rPr>
        <w:t>serum l</w:t>
      </w:r>
      <w:r w:rsidR="002105C0" w:rsidRPr="00E3524A">
        <w:rPr>
          <w:rFonts w:ascii="Times New Roman" w:eastAsia="TimesNewRomanPSMT" w:hAnsi="Times New Roman" w:cs="Times New Roman"/>
          <w:sz w:val="20"/>
          <w:szCs w:val="20"/>
          <w:lang w:val="en-US"/>
        </w:rPr>
        <w:t>evel C-reactive protein (CRP) was determined using the test-system for quantification of CRP (</w:t>
      </w:r>
      <w:r w:rsidR="00E3524A" w:rsidRPr="00E3524A">
        <w:rPr>
          <w:rFonts w:ascii="Times New Roman" w:eastAsia="TimesNewRomanPSMT" w:hAnsi="Times New Roman" w:cs="Times New Roman"/>
          <w:sz w:val="20"/>
          <w:szCs w:val="20"/>
          <w:lang w:val="en-US"/>
        </w:rPr>
        <w:t>"</w:t>
      </w:r>
      <w:r w:rsidR="002105C0" w:rsidRPr="00E3524A">
        <w:rPr>
          <w:rFonts w:ascii="Times New Roman" w:eastAsia="TimesNewRomanPSMT" w:hAnsi="Times New Roman" w:cs="Times New Roman"/>
          <w:sz w:val="20"/>
          <w:szCs w:val="20"/>
          <w:lang w:val="en-US"/>
        </w:rPr>
        <w:t>Ukrmedservice Ltd.</w:t>
      </w:r>
      <w:r w:rsidR="00E3524A" w:rsidRPr="00E3524A">
        <w:rPr>
          <w:rFonts w:ascii="Times New Roman" w:eastAsia="TimesNewRomanPSMT" w:hAnsi="Times New Roman" w:cs="Times New Roman"/>
          <w:sz w:val="20"/>
          <w:szCs w:val="20"/>
          <w:lang w:val="en-US"/>
        </w:rPr>
        <w:t>"</w:t>
      </w:r>
      <w:r w:rsidR="002105C0" w:rsidRPr="00E3524A">
        <w:rPr>
          <w:rFonts w:ascii="Times New Roman" w:eastAsia="TimesNewRomanPSMT" w:hAnsi="Times New Roman" w:cs="Times New Roman"/>
          <w:sz w:val="20"/>
          <w:szCs w:val="20"/>
          <w:lang w:val="en-US"/>
        </w:rPr>
        <w:t>, Ukraine).</w:t>
      </w:r>
    </w:p>
    <w:p w:rsidR="00A2306A" w:rsidRPr="00C20A9F" w:rsidRDefault="004C062C" w:rsidP="00C20A9F">
      <w:pPr>
        <w:autoSpaceDE w:val="0"/>
        <w:autoSpaceDN w:val="0"/>
        <w:adjustRightInd w:val="0"/>
        <w:spacing w:after="0" w:line="240" w:lineRule="auto"/>
        <w:ind w:left="0" w:firstLine="851"/>
        <w:rPr>
          <w:rFonts w:ascii="Times New Roman" w:eastAsia="TimesNewRomanPSMT" w:hAnsi="Times New Roman" w:cs="Times New Roman"/>
          <w:color w:val="FF0000"/>
          <w:sz w:val="20"/>
          <w:szCs w:val="20"/>
          <w:lang w:val="uk-UA"/>
        </w:rPr>
      </w:pPr>
      <w:r w:rsidRPr="00E3524A">
        <w:rPr>
          <w:rFonts w:ascii="Times New Roman" w:eastAsia="TimesNewRomanPSMT" w:hAnsi="Times New Roman" w:cs="Times New Roman"/>
          <w:sz w:val="20"/>
          <w:szCs w:val="20"/>
          <w:lang w:val="en-US"/>
        </w:rPr>
        <w:t>Hypertensive</w:t>
      </w:r>
      <w:r w:rsidRPr="00B5541A">
        <w:rPr>
          <w:rFonts w:ascii="Times New Roman" w:eastAsia="TimesNewRomanPSMT" w:hAnsi="Times New Roman" w:cs="Times New Roman"/>
          <w:sz w:val="20"/>
          <w:szCs w:val="20"/>
          <w:lang w:val="en-US"/>
        </w:rPr>
        <w:t xml:space="preserve"> patients enrolled into study had been randomized</w:t>
      </w:r>
      <w:r w:rsidRPr="0020167C">
        <w:rPr>
          <w:rFonts w:ascii="Times New Roman" w:eastAsia="TimesNewRomanPSMT" w:hAnsi="Times New Roman" w:cs="Times New Roman"/>
          <w:sz w:val="20"/>
          <w:szCs w:val="20"/>
          <w:lang w:val="en-US"/>
        </w:rPr>
        <w:t xml:space="preserve"> into 3 groups that received different protocols of combined anti-hypertensive therapy. The aforementioned parameters were reassessed after 2 months of treatment.</w:t>
      </w:r>
      <w:r w:rsidR="009D41C3">
        <w:rPr>
          <w:rFonts w:ascii="Times New Roman" w:eastAsia="TimesNewRomanPSMT" w:hAnsi="Times New Roman" w:cs="Times New Roman"/>
          <w:color w:val="FF0000"/>
          <w:sz w:val="20"/>
          <w:szCs w:val="20"/>
          <w:lang w:val="en-US"/>
        </w:rPr>
        <w:t xml:space="preserve"> </w:t>
      </w:r>
      <w:r w:rsidR="00EC0FA9">
        <w:rPr>
          <w:rFonts w:ascii="Times New Roman" w:eastAsia="TimesNewRomanPSMT" w:hAnsi="Times New Roman" w:cs="Times New Roman"/>
          <w:sz w:val="20"/>
          <w:szCs w:val="20"/>
          <w:lang w:val="en-US"/>
        </w:rPr>
        <w:t>I</w:t>
      </w:r>
      <w:r w:rsidRPr="0020167C">
        <w:rPr>
          <w:rFonts w:ascii="Times New Roman" w:eastAsia="TimesNewRomanPSMT" w:hAnsi="Times New Roman" w:cs="Times New Roman"/>
          <w:sz w:val="20"/>
          <w:szCs w:val="20"/>
          <w:lang w:val="en-US"/>
        </w:rPr>
        <w:t xml:space="preserve"> clinical group</w:t>
      </w:r>
      <w:r w:rsidRPr="00305403">
        <w:rPr>
          <w:rFonts w:ascii="Times New Roman" w:eastAsia="TimesNewRomanPSMT" w:hAnsi="Times New Roman" w:cs="Times New Roman"/>
          <w:sz w:val="20"/>
          <w:szCs w:val="20"/>
          <w:lang w:val="en-US"/>
        </w:rPr>
        <w:t>, n</w:t>
      </w:r>
      <w:r w:rsidR="008E1E4C">
        <w:rPr>
          <w:rFonts w:ascii="Times New Roman" w:eastAsia="TimesNewRomanPSMT" w:hAnsi="Times New Roman" w:cs="Times New Roman"/>
          <w:sz w:val="20"/>
          <w:szCs w:val="20"/>
          <w:lang w:val="en-US"/>
        </w:rPr>
        <w:t xml:space="preserve"> </w:t>
      </w:r>
      <w:r w:rsidRPr="00305403">
        <w:rPr>
          <w:rFonts w:ascii="Times New Roman" w:eastAsia="TimesNewRomanPSMT" w:hAnsi="Times New Roman" w:cs="Times New Roman"/>
          <w:sz w:val="20"/>
          <w:szCs w:val="20"/>
          <w:lang w:val="en-US"/>
        </w:rPr>
        <w:t>=</w:t>
      </w:r>
      <w:r w:rsidR="008E1E4C">
        <w:rPr>
          <w:rFonts w:ascii="Times New Roman" w:eastAsia="TimesNewRomanPSMT" w:hAnsi="Times New Roman" w:cs="Times New Roman"/>
          <w:sz w:val="20"/>
          <w:szCs w:val="20"/>
          <w:lang w:val="en-US"/>
        </w:rPr>
        <w:t xml:space="preserve"> </w:t>
      </w:r>
      <w:r w:rsidR="00305403" w:rsidRPr="00305403">
        <w:rPr>
          <w:rFonts w:ascii="Times New Roman" w:eastAsia="TimesNewRomanPSMT" w:hAnsi="Times New Roman" w:cs="Times New Roman"/>
          <w:sz w:val="20"/>
          <w:szCs w:val="20"/>
          <w:lang w:val="en-US"/>
        </w:rPr>
        <w:t>102</w:t>
      </w:r>
      <w:r w:rsidRPr="00305403">
        <w:rPr>
          <w:rFonts w:ascii="Times New Roman" w:eastAsia="TimesNewRomanPSMT" w:hAnsi="Times New Roman" w:cs="Times New Roman"/>
          <w:sz w:val="20"/>
          <w:szCs w:val="20"/>
          <w:lang w:val="en-US"/>
        </w:rPr>
        <w:t>: a</w:t>
      </w:r>
      <w:r w:rsidRPr="0020167C">
        <w:rPr>
          <w:rFonts w:ascii="Times New Roman" w:eastAsia="TimesNewRomanPSMT" w:hAnsi="Times New Roman" w:cs="Times New Roman"/>
          <w:sz w:val="20"/>
          <w:szCs w:val="20"/>
          <w:lang w:val="en-US"/>
        </w:rPr>
        <w:t xml:space="preserve"> combination of a β-adrenoblocker (BAB) and diuretic (D) (bisoprolol 2.5–10.0 mg/day, and indapamid 1.5</w:t>
      </w:r>
      <w:r w:rsidR="008E1E4C" w:rsidRPr="008E1E4C">
        <w:rPr>
          <w:rFonts w:ascii="Times New Roman" w:eastAsia="TimesNewRomanPSMT" w:hAnsi="Times New Roman" w:cs="Times New Roman"/>
          <w:sz w:val="20"/>
          <w:szCs w:val="20"/>
          <w:lang w:val="en-US"/>
        </w:rPr>
        <w:t>–</w:t>
      </w:r>
      <w:r w:rsidRPr="0020167C">
        <w:rPr>
          <w:rFonts w:ascii="Times New Roman" w:eastAsia="TimesNewRomanPSMT" w:hAnsi="Times New Roman" w:cs="Times New Roman"/>
          <w:sz w:val="20"/>
          <w:szCs w:val="20"/>
          <w:lang w:val="en-US"/>
        </w:rPr>
        <w:t>2.5 mg/day). The daily dose of bisoprolol was administered by continuous slow titration, starting with low doses of 1.</w:t>
      </w:r>
      <w:r w:rsidR="006A6D7B" w:rsidRPr="006A6D7B">
        <w:rPr>
          <w:rFonts w:ascii="Times New Roman" w:eastAsia="TimesNewRomanPSMT" w:hAnsi="Times New Roman" w:cs="Times New Roman"/>
          <w:sz w:val="20"/>
          <w:szCs w:val="20"/>
          <w:lang w:val="en-US"/>
        </w:rPr>
        <w:t>25</w:t>
      </w:r>
      <w:r w:rsidRPr="0020167C">
        <w:rPr>
          <w:rFonts w:ascii="Times New Roman" w:eastAsia="TimesNewRomanPSMT" w:hAnsi="Times New Roman" w:cs="Times New Roman"/>
          <w:sz w:val="20"/>
          <w:szCs w:val="20"/>
          <w:lang w:val="en-US"/>
        </w:rPr>
        <w:t xml:space="preserve"> mg/day. Gradually the dose was increased to the maximum tolerated or target under the control of clinical parameters, especially blood pressure and heart rate (HR).</w:t>
      </w:r>
      <w:r w:rsidR="00D54AB1" w:rsidRPr="0020167C">
        <w:rPr>
          <w:rFonts w:ascii="Times New Roman" w:eastAsia="TimesNewRomanPSMT" w:hAnsi="Times New Roman" w:cs="Times New Roman"/>
          <w:sz w:val="20"/>
          <w:szCs w:val="20"/>
          <w:lang w:val="uk-UA"/>
        </w:rPr>
        <w:t xml:space="preserve"> </w:t>
      </w:r>
      <w:r w:rsidR="00EC0FA9">
        <w:rPr>
          <w:rFonts w:ascii="Times New Roman" w:eastAsia="TimesNewRomanPSMT" w:hAnsi="Times New Roman" w:cs="Times New Roman"/>
          <w:sz w:val="20"/>
          <w:szCs w:val="20"/>
          <w:lang w:val="en-US"/>
        </w:rPr>
        <w:t>II</w:t>
      </w:r>
      <w:r w:rsidRPr="0020167C">
        <w:rPr>
          <w:rFonts w:ascii="Times New Roman" w:eastAsia="TimesNewRomanPSMT" w:hAnsi="Times New Roman" w:cs="Times New Roman"/>
          <w:sz w:val="20"/>
          <w:szCs w:val="20"/>
          <w:lang w:val="en-US"/>
        </w:rPr>
        <w:t xml:space="preserve"> clinical group, n</w:t>
      </w:r>
      <w:r w:rsidR="008E1E4C">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w:t>
      </w:r>
      <w:r w:rsidR="008E1E4C">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30: a combination of a calcium channel blocker (CCB) and angiotensin receptor blocker (ARB) (lacidipine 2 mg, 4 mg and candesartan 4</w:t>
      </w:r>
      <w:r w:rsidR="00EC0FA9">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mg, 8</w:t>
      </w:r>
      <w:r w:rsidR="00EC0FA9">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mg, 16</w:t>
      </w:r>
      <w:r w:rsidR="00EC0FA9">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mg).</w:t>
      </w:r>
      <w:r w:rsidR="00EC0FA9">
        <w:rPr>
          <w:rFonts w:ascii="Times New Roman" w:eastAsia="TimesNewRomanPSMT" w:hAnsi="Times New Roman" w:cs="Times New Roman"/>
          <w:sz w:val="20"/>
          <w:szCs w:val="20"/>
          <w:lang w:val="en-US"/>
        </w:rPr>
        <w:t xml:space="preserve"> III</w:t>
      </w:r>
      <w:r w:rsidRPr="0020167C">
        <w:rPr>
          <w:rFonts w:ascii="Times New Roman" w:eastAsia="TimesNewRomanPSMT" w:hAnsi="Times New Roman" w:cs="Times New Roman"/>
          <w:sz w:val="20"/>
          <w:szCs w:val="20"/>
          <w:lang w:val="en-US"/>
        </w:rPr>
        <w:t xml:space="preserve"> clinical group, n</w:t>
      </w:r>
      <w:r w:rsidR="008E1E4C">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w:t>
      </w:r>
      <w:r w:rsidR="008E1E4C">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 xml:space="preserve">54: a combination of an angiotensin-converting enzyme (ACE) inhibitor and diuretic (D) </w:t>
      </w:r>
      <w:r w:rsidRPr="0020167C">
        <w:rPr>
          <w:rFonts w:ascii="Times New Roman" w:eastAsia="TimesNewRomanPSMT" w:hAnsi="Times New Roman" w:cs="Times New Roman"/>
          <w:sz w:val="20"/>
          <w:szCs w:val="20"/>
          <w:lang w:val="en-US"/>
        </w:rPr>
        <w:lastRenderedPageBreak/>
        <w:t>(fosinopril sodium 20 mg/day and hydrochlorothiazide 12.5 mg/day).</w:t>
      </w:r>
      <w:r w:rsidR="009D41C3">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 xml:space="preserve">The level of 8-isoprostane was assessed in 10, 14, and 10 patients of the three clinical groups, respectively. The dose of medications was individually up-titrated in cases of need during the course </w:t>
      </w:r>
      <w:r w:rsidRPr="00305403">
        <w:rPr>
          <w:rFonts w:ascii="Times New Roman" w:eastAsia="TimesNewRomanPSMT" w:hAnsi="Times New Roman" w:cs="Times New Roman"/>
          <w:sz w:val="20"/>
          <w:szCs w:val="20"/>
          <w:lang w:val="en-US"/>
        </w:rPr>
        <w:t xml:space="preserve">of </w:t>
      </w:r>
      <w:r w:rsidR="00CD5A3E" w:rsidRPr="00305403">
        <w:rPr>
          <w:rFonts w:ascii="Times New Roman" w:eastAsia="TimesNewRomanPSMT" w:hAnsi="Times New Roman" w:cs="Times New Roman"/>
          <w:sz w:val="20"/>
          <w:szCs w:val="20"/>
          <w:lang w:val="en-US"/>
        </w:rPr>
        <w:t>treatment.</w:t>
      </w:r>
      <w:r w:rsidR="009D41C3" w:rsidRPr="009D41C3">
        <w:rPr>
          <w:rFonts w:ascii="Times New Roman" w:eastAsia="TimesNewRomanPSMT" w:hAnsi="Times New Roman" w:cs="Times New Roman"/>
          <w:sz w:val="20"/>
          <w:szCs w:val="20"/>
          <w:lang w:val="uk-UA"/>
        </w:rPr>
        <w:t xml:space="preserve"> </w:t>
      </w:r>
      <w:bookmarkStart w:id="0" w:name="_GoBack"/>
      <w:bookmarkEnd w:id="0"/>
      <w:r w:rsidR="009D41C3" w:rsidRPr="00876C85">
        <w:rPr>
          <w:rFonts w:ascii="Times New Roman" w:eastAsia="TimesNewRomanPSMT" w:hAnsi="Times New Roman" w:cs="Times New Roman"/>
          <w:sz w:val="20"/>
          <w:szCs w:val="20"/>
          <w:lang w:val="uk-UA"/>
        </w:rPr>
        <w:t xml:space="preserve">As </w:t>
      </w:r>
      <w:r w:rsidR="009D41C3" w:rsidRPr="00876C85">
        <w:rPr>
          <w:rFonts w:ascii="Times New Roman" w:eastAsia="TimesNewRomanPSMT" w:hAnsi="Times New Roman" w:cs="Times New Roman"/>
          <w:sz w:val="20"/>
          <w:szCs w:val="20"/>
          <w:lang w:val="en-US"/>
        </w:rPr>
        <w:t>one</w:t>
      </w:r>
      <w:r w:rsidR="009D41C3" w:rsidRPr="00876C85">
        <w:rPr>
          <w:rFonts w:ascii="Times New Roman" w:eastAsia="TimesNewRomanPSMT" w:hAnsi="Times New Roman" w:cs="Times New Roman"/>
          <w:sz w:val="20"/>
          <w:szCs w:val="20"/>
          <w:lang w:val="uk-UA"/>
        </w:rPr>
        <w:t xml:space="preserve"> </w:t>
      </w:r>
      <w:r w:rsidR="009D41C3" w:rsidRPr="00876C85">
        <w:rPr>
          <w:rFonts w:ascii="Times New Roman" w:eastAsia="TimesNewRomanPSMT" w:hAnsi="Times New Roman" w:cs="Times New Roman"/>
          <w:sz w:val="20"/>
          <w:szCs w:val="20"/>
          <w:lang w:val="en-US"/>
        </w:rPr>
        <w:t>can</w:t>
      </w:r>
      <w:r w:rsidR="009D41C3" w:rsidRPr="00876C85">
        <w:rPr>
          <w:rFonts w:ascii="Times New Roman" w:eastAsia="TimesNewRomanPSMT" w:hAnsi="Times New Roman" w:cs="Times New Roman"/>
          <w:sz w:val="20"/>
          <w:szCs w:val="20"/>
          <w:lang w:val="uk-UA"/>
        </w:rPr>
        <w:t xml:space="preserve"> see </w:t>
      </w:r>
      <w:r w:rsidR="007C3925">
        <w:rPr>
          <w:rFonts w:ascii="Times New Roman" w:eastAsia="TimesNewRomanPSMT" w:hAnsi="Times New Roman" w:cs="Times New Roman"/>
          <w:sz w:val="20"/>
          <w:szCs w:val="20"/>
          <w:lang w:val="en-US"/>
        </w:rPr>
        <w:t>(T</w:t>
      </w:r>
      <w:r w:rsidR="009D41C3" w:rsidRPr="00876C85">
        <w:rPr>
          <w:rFonts w:ascii="Times New Roman" w:eastAsia="TimesNewRomanPSMT" w:hAnsi="Times New Roman" w:cs="Times New Roman"/>
          <w:sz w:val="20"/>
          <w:szCs w:val="20"/>
          <w:lang w:val="uk-UA"/>
        </w:rPr>
        <w:t>able</w:t>
      </w:r>
      <w:r w:rsidR="009D41C3">
        <w:rPr>
          <w:rFonts w:ascii="Times New Roman" w:eastAsia="TimesNewRomanPSMT" w:hAnsi="Times New Roman" w:cs="Times New Roman"/>
          <w:sz w:val="20"/>
          <w:szCs w:val="20"/>
          <w:lang w:val="en-US"/>
        </w:rPr>
        <w:t xml:space="preserve"> 1</w:t>
      </w:r>
      <w:r w:rsidR="007C3925">
        <w:rPr>
          <w:rFonts w:ascii="Times New Roman" w:eastAsia="TimesNewRomanPSMT" w:hAnsi="Times New Roman" w:cs="Times New Roman"/>
          <w:sz w:val="20"/>
          <w:szCs w:val="20"/>
          <w:lang w:val="en-US"/>
        </w:rPr>
        <w:t xml:space="preserve">) </w:t>
      </w:r>
      <w:r w:rsidR="009D41C3" w:rsidRPr="00876C85">
        <w:rPr>
          <w:rFonts w:ascii="Times New Roman" w:eastAsia="TimesNewRomanPSMT" w:hAnsi="Times New Roman" w:cs="Times New Roman"/>
          <w:sz w:val="20"/>
          <w:szCs w:val="20"/>
          <w:lang w:val="en-US"/>
        </w:rPr>
        <w:t>different</w:t>
      </w:r>
      <w:r w:rsidR="009D41C3" w:rsidRPr="00876C85">
        <w:rPr>
          <w:rFonts w:ascii="Times New Roman" w:eastAsia="TimesNewRomanPSMT" w:hAnsi="Times New Roman" w:cs="Times New Roman"/>
          <w:sz w:val="20"/>
          <w:szCs w:val="20"/>
          <w:lang w:val="uk-UA"/>
        </w:rPr>
        <w:t xml:space="preserve"> clinical groups </w:t>
      </w:r>
      <w:r w:rsidR="009D41C3" w:rsidRPr="00876C85">
        <w:rPr>
          <w:rFonts w:ascii="Times New Roman" w:eastAsia="TimesNewRomanPSMT" w:hAnsi="Times New Roman" w:cs="Times New Roman"/>
          <w:sz w:val="20"/>
          <w:szCs w:val="20"/>
          <w:lang w:val="en-US"/>
        </w:rPr>
        <w:t>were comparable</w:t>
      </w:r>
      <w:r w:rsidR="009D41C3" w:rsidRPr="00876C85">
        <w:rPr>
          <w:rFonts w:ascii="Times New Roman" w:eastAsia="TimesNewRomanPSMT" w:hAnsi="Times New Roman" w:cs="Times New Roman"/>
          <w:sz w:val="20"/>
          <w:szCs w:val="20"/>
          <w:lang w:val="uk-UA"/>
        </w:rPr>
        <w:t xml:space="preserve"> in terms of age, </w:t>
      </w:r>
      <w:r w:rsidR="009D41C3" w:rsidRPr="00876C85">
        <w:rPr>
          <w:rFonts w:ascii="Times New Roman" w:eastAsia="TimesNewRomanPSMT" w:hAnsi="Times New Roman" w:cs="Times New Roman"/>
          <w:sz w:val="20"/>
          <w:szCs w:val="20"/>
          <w:lang w:val="en-US"/>
        </w:rPr>
        <w:t>gender structure and clinical course of hypertension</w:t>
      </w:r>
      <w:r w:rsidR="009D41C3" w:rsidRPr="00876C85">
        <w:rPr>
          <w:rFonts w:ascii="Times New Roman" w:eastAsia="TimesNewRomanPSMT" w:hAnsi="Times New Roman" w:cs="Times New Roman"/>
          <w:sz w:val="20"/>
          <w:szCs w:val="20"/>
          <w:lang w:val="uk-UA"/>
        </w:rPr>
        <w:t>.</w:t>
      </w:r>
    </w:p>
    <w:p w:rsidR="00A003BD" w:rsidRPr="0020167C" w:rsidRDefault="00A003BD" w:rsidP="00F65521">
      <w:pPr>
        <w:autoSpaceDE w:val="0"/>
        <w:autoSpaceDN w:val="0"/>
        <w:adjustRightInd w:val="0"/>
        <w:spacing w:after="0" w:line="240" w:lineRule="auto"/>
        <w:ind w:left="0" w:firstLine="0"/>
        <w:jc w:val="right"/>
        <w:rPr>
          <w:rFonts w:ascii="Times New Roman" w:eastAsia="TimesNewRomanPSMT" w:hAnsi="Times New Roman" w:cs="Times New Roman"/>
          <w:b/>
          <w:sz w:val="20"/>
          <w:szCs w:val="20"/>
          <w:lang w:val="en-US"/>
        </w:rPr>
      </w:pPr>
      <w:r w:rsidRPr="00305403">
        <w:rPr>
          <w:rFonts w:ascii="Times New Roman" w:eastAsia="TimesNewRomanPSMT" w:hAnsi="Times New Roman" w:cs="Times New Roman"/>
          <w:b/>
          <w:sz w:val="20"/>
          <w:szCs w:val="20"/>
          <w:lang w:val="en-US"/>
        </w:rPr>
        <w:t xml:space="preserve">Table </w:t>
      </w:r>
      <w:r w:rsidRPr="00305403">
        <w:rPr>
          <w:rFonts w:ascii="Times New Roman" w:eastAsia="TimesNewRomanPSMT" w:hAnsi="Times New Roman" w:cs="Times New Roman"/>
          <w:b/>
          <w:sz w:val="20"/>
          <w:szCs w:val="20"/>
          <w:lang w:val="uk-UA"/>
        </w:rPr>
        <w:t>1</w:t>
      </w:r>
    </w:p>
    <w:p w:rsidR="00A003BD" w:rsidRDefault="00A003BD" w:rsidP="00F65521">
      <w:pPr>
        <w:autoSpaceDE w:val="0"/>
        <w:autoSpaceDN w:val="0"/>
        <w:adjustRightInd w:val="0"/>
        <w:spacing w:after="0" w:line="240" w:lineRule="auto"/>
        <w:ind w:left="0" w:firstLine="851"/>
        <w:jc w:val="left"/>
        <w:rPr>
          <w:rFonts w:ascii="Times New Roman" w:eastAsia="TimesNewRomanPSMT" w:hAnsi="Times New Roman" w:cs="Times New Roman"/>
          <w:b/>
          <w:sz w:val="20"/>
          <w:szCs w:val="20"/>
          <w:lang w:val="en-US"/>
        </w:rPr>
      </w:pPr>
      <w:r w:rsidRPr="0020167C">
        <w:rPr>
          <w:rFonts w:ascii="Times New Roman" w:eastAsia="TimesNewRomanPSMT" w:hAnsi="Times New Roman" w:cs="Times New Roman"/>
          <w:b/>
          <w:sz w:val="20"/>
          <w:szCs w:val="20"/>
          <w:lang w:val="en-US"/>
        </w:rPr>
        <w:t>Comparative characteristic of clinical groups of patients with hypertension</w:t>
      </w:r>
    </w:p>
    <w:p w:rsidR="008F6059" w:rsidRPr="0020167C" w:rsidRDefault="008F6059" w:rsidP="00F65521">
      <w:pPr>
        <w:autoSpaceDE w:val="0"/>
        <w:autoSpaceDN w:val="0"/>
        <w:adjustRightInd w:val="0"/>
        <w:spacing w:after="0" w:line="240" w:lineRule="auto"/>
        <w:ind w:left="0" w:firstLine="851"/>
        <w:jc w:val="left"/>
        <w:rPr>
          <w:rFonts w:ascii="Times New Roman" w:eastAsia="TimesNewRomanPSMT" w:hAnsi="Times New Roman" w:cs="Times New Roman"/>
          <w:b/>
          <w:sz w:val="20"/>
          <w:szCs w:val="20"/>
          <w:lang w:val="en-US"/>
        </w:rPr>
      </w:pPr>
    </w:p>
    <w:tbl>
      <w:tblPr>
        <w:tblStyle w:val="a3"/>
        <w:tblW w:w="9309" w:type="dxa"/>
        <w:tblInd w:w="167" w:type="dxa"/>
        <w:tblBorders>
          <w:left w:val="none" w:sz="0" w:space="0" w:color="auto"/>
          <w:right w:val="none" w:sz="0" w:space="0" w:color="auto"/>
          <w:insideV w:val="none" w:sz="0" w:space="0" w:color="auto"/>
        </w:tblBorders>
        <w:tblLook w:val="01E0" w:firstRow="1" w:lastRow="1" w:firstColumn="1" w:lastColumn="1" w:noHBand="0" w:noVBand="0"/>
      </w:tblPr>
      <w:tblGrid>
        <w:gridCol w:w="3369"/>
        <w:gridCol w:w="1980"/>
        <w:gridCol w:w="1980"/>
        <w:gridCol w:w="1980"/>
      </w:tblGrid>
      <w:tr w:rsidR="00A003BD" w:rsidRPr="00876C85" w:rsidTr="00E40AFB">
        <w:tc>
          <w:tcPr>
            <w:tcW w:w="3369" w:type="dxa"/>
            <w:tcBorders>
              <w:bottom w:val="single" w:sz="4" w:space="0" w:color="auto"/>
            </w:tcBorders>
            <w:shd w:val="clear" w:color="auto" w:fill="auto"/>
            <w:hideMark/>
          </w:tcPr>
          <w:p w:rsidR="00A003BD" w:rsidRPr="00876C85" w:rsidRDefault="00A003BD" w:rsidP="00AB7662">
            <w:pPr>
              <w:pStyle w:val="3"/>
              <w:ind w:firstLine="0"/>
              <w:jc w:val="center"/>
              <w:rPr>
                <w:b/>
                <w:sz w:val="20"/>
                <w:lang w:val="en-US"/>
              </w:rPr>
            </w:pPr>
            <w:r w:rsidRPr="00876C85">
              <w:rPr>
                <w:b/>
                <w:sz w:val="20"/>
                <w:lang w:val="en-US"/>
              </w:rPr>
              <w:t>Parameters</w:t>
            </w:r>
          </w:p>
        </w:tc>
        <w:tc>
          <w:tcPr>
            <w:tcW w:w="1980" w:type="dxa"/>
            <w:tcBorders>
              <w:bottom w:val="single" w:sz="4" w:space="0" w:color="auto"/>
            </w:tcBorders>
            <w:shd w:val="clear" w:color="auto" w:fill="auto"/>
            <w:hideMark/>
          </w:tcPr>
          <w:p w:rsidR="00876C85" w:rsidRDefault="00EC0FA9" w:rsidP="0008480E">
            <w:pPr>
              <w:pStyle w:val="3"/>
              <w:ind w:firstLine="0"/>
              <w:jc w:val="center"/>
              <w:rPr>
                <w:b/>
                <w:sz w:val="20"/>
                <w:lang w:val="uk-UA"/>
              </w:rPr>
            </w:pPr>
            <w:r w:rsidRPr="00876C85">
              <w:rPr>
                <w:b/>
                <w:sz w:val="20"/>
                <w:lang w:val="en-US"/>
              </w:rPr>
              <w:t>I</w:t>
            </w:r>
            <w:r w:rsidR="00A003BD" w:rsidRPr="00876C85">
              <w:rPr>
                <w:b/>
                <w:sz w:val="20"/>
                <w:lang w:val="uk-UA"/>
              </w:rPr>
              <w:t xml:space="preserve"> </w:t>
            </w:r>
            <w:r w:rsidR="00A003BD" w:rsidRPr="00876C85">
              <w:rPr>
                <w:b/>
                <w:sz w:val="20"/>
                <w:lang w:val="en-US"/>
              </w:rPr>
              <w:t>clinical group</w:t>
            </w:r>
            <w:r w:rsidR="00A003BD" w:rsidRPr="00876C85">
              <w:rPr>
                <w:b/>
                <w:sz w:val="20"/>
                <w:lang w:val="uk-UA"/>
              </w:rPr>
              <w:t xml:space="preserve"> </w:t>
            </w:r>
          </w:p>
          <w:p w:rsidR="00A003BD" w:rsidRPr="00876C85" w:rsidRDefault="00A003BD" w:rsidP="0008480E">
            <w:pPr>
              <w:pStyle w:val="3"/>
              <w:ind w:firstLine="0"/>
              <w:jc w:val="center"/>
              <w:rPr>
                <w:b/>
                <w:sz w:val="20"/>
                <w:lang w:val="uk-UA"/>
              </w:rPr>
            </w:pPr>
            <w:r w:rsidRPr="00876C85">
              <w:rPr>
                <w:b/>
                <w:sz w:val="20"/>
                <w:lang w:val="uk-UA"/>
              </w:rPr>
              <w:t>(n</w:t>
            </w:r>
            <w:r w:rsidR="00DF7F14" w:rsidRPr="00876C85">
              <w:rPr>
                <w:b/>
                <w:sz w:val="20"/>
                <w:lang w:val="uk-UA"/>
              </w:rPr>
              <w:t xml:space="preserve"> </w:t>
            </w:r>
            <w:r w:rsidRPr="00876C85">
              <w:rPr>
                <w:b/>
                <w:sz w:val="20"/>
                <w:lang w:val="uk-UA"/>
              </w:rPr>
              <w:t>=</w:t>
            </w:r>
            <w:r w:rsidR="00876C85">
              <w:rPr>
                <w:b/>
                <w:sz w:val="20"/>
                <w:lang w:val="en-US"/>
              </w:rPr>
              <w:t xml:space="preserve"> </w:t>
            </w:r>
            <w:r w:rsidR="0008480E" w:rsidRPr="00876C85">
              <w:rPr>
                <w:b/>
                <w:sz w:val="20"/>
                <w:lang w:val="uk-UA"/>
              </w:rPr>
              <w:t>102</w:t>
            </w:r>
            <w:r w:rsidRPr="00876C85">
              <w:rPr>
                <w:b/>
                <w:sz w:val="20"/>
                <w:lang w:val="uk-UA"/>
              </w:rPr>
              <w:t>)</w:t>
            </w:r>
          </w:p>
        </w:tc>
        <w:tc>
          <w:tcPr>
            <w:tcW w:w="1980" w:type="dxa"/>
            <w:tcBorders>
              <w:bottom w:val="single" w:sz="4" w:space="0" w:color="auto"/>
            </w:tcBorders>
            <w:shd w:val="clear" w:color="auto" w:fill="auto"/>
            <w:hideMark/>
          </w:tcPr>
          <w:p w:rsidR="00876C85" w:rsidRDefault="00EC0FA9" w:rsidP="00AB7662">
            <w:pPr>
              <w:pStyle w:val="3"/>
              <w:ind w:firstLine="0"/>
              <w:jc w:val="center"/>
              <w:rPr>
                <w:b/>
                <w:sz w:val="20"/>
                <w:lang w:val="uk-UA"/>
              </w:rPr>
            </w:pPr>
            <w:r w:rsidRPr="00876C85">
              <w:rPr>
                <w:b/>
                <w:sz w:val="20"/>
                <w:lang w:val="en-US"/>
              </w:rPr>
              <w:t>II</w:t>
            </w:r>
            <w:r w:rsidR="00A003BD" w:rsidRPr="00876C85">
              <w:rPr>
                <w:b/>
                <w:sz w:val="20"/>
                <w:lang w:val="uk-UA"/>
              </w:rPr>
              <w:t xml:space="preserve"> </w:t>
            </w:r>
            <w:r w:rsidR="00A003BD" w:rsidRPr="00876C85">
              <w:rPr>
                <w:b/>
                <w:sz w:val="20"/>
                <w:lang w:val="en-US"/>
              </w:rPr>
              <w:t>clinical group</w:t>
            </w:r>
            <w:r w:rsidR="00A003BD" w:rsidRPr="00876C85">
              <w:rPr>
                <w:b/>
                <w:sz w:val="20"/>
                <w:lang w:val="uk-UA"/>
              </w:rPr>
              <w:t xml:space="preserve"> </w:t>
            </w:r>
          </w:p>
          <w:p w:rsidR="00A003BD" w:rsidRPr="00876C85" w:rsidRDefault="00A003BD" w:rsidP="00AB7662">
            <w:pPr>
              <w:pStyle w:val="3"/>
              <w:ind w:firstLine="0"/>
              <w:jc w:val="center"/>
              <w:rPr>
                <w:b/>
                <w:sz w:val="20"/>
                <w:lang w:val="uk-UA"/>
              </w:rPr>
            </w:pPr>
            <w:r w:rsidRPr="00876C85">
              <w:rPr>
                <w:b/>
                <w:sz w:val="20"/>
                <w:lang w:val="uk-UA"/>
              </w:rPr>
              <w:t>(n</w:t>
            </w:r>
            <w:r w:rsidR="00DF7F14" w:rsidRPr="00876C85">
              <w:rPr>
                <w:b/>
                <w:sz w:val="20"/>
                <w:lang w:val="uk-UA"/>
              </w:rPr>
              <w:t xml:space="preserve"> </w:t>
            </w:r>
            <w:r w:rsidRPr="00876C85">
              <w:rPr>
                <w:b/>
                <w:sz w:val="20"/>
                <w:lang w:val="uk-UA"/>
              </w:rPr>
              <w:t>=</w:t>
            </w:r>
            <w:r w:rsidR="00876C85">
              <w:rPr>
                <w:b/>
                <w:sz w:val="20"/>
                <w:lang w:val="en-US"/>
              </w:rPr>
              <w:t xml:space="preserve"> </w:t>
            </w:r>
            <w:r w:rsidRPr="00876C85">
              <w:rPr>
                <w:b/>
                <w:sz w:val="20"/>
                <w:lang w:val="uk-UA"/>
              </w:rPr>
              <w:t>30)</w:t>
            </w:r>
          </w:p>
        </w:tc>
        <w:tc>
          <w:tcPr>
            <w:tcW w:w="1980" w:type="dxa"/>
            <w:tcBorders>
              <w:bottom w:val="single" w:sz="4" w:space="0" w:color="auto"/>
            </w:tcBorders>
            <w:shd w:val="clear" w:color="auto" w:fill="auto"/>
            <w:hideMark/>
          </w:tcPr>
          <w:p w:rsidR="00876C85" w:rsidRDefault="00EC0FA9" w:rsidP="00AB7662">
            <w:pPr>
              <w:pStyle w:val="3"/>
              <w:ind w:firstLine="0"/>
              <w:jc w:val="center"/>
              <w:rPr>
                <w:b/>
                <w:sz w:val="20"/>
                <w:lang w:val="uk-UA"/>
              </w:rPr>
            </w:pPr>
            <w:r w:rsidRPr="00876C85">
              <w:rPr>
                <w:b/>
                <w:sz w:val="20"/>
                <w:lang w:val="en-US"/>
              </w:rPr>
              <w:t>III</w:t>
            </w:r>
            <w:r w:rsidR="00A003BD" w:rsidRPr="00876C85">
              <w:rPr>
                <w:b/>
                <w:sz w:val="20"/>
                <w:lang w:val="uk-UA"/>
              </w:rPr>
              <w:t xml:space="preserve"> </w:t>
            </w:r>
            <w:r w:rsidR="00A003BD" w:rsidRPr="00876C85">
              <w:rPr>
                <w:b/>
                <w:sz w:val="20"/>
                <w:lang w:val="en-US"/>
              </w:rPr>
              <w:t>clinical group</w:t>
            </w:r>
            <w:r w:rsidR="00A003BD" w:rsidRPr="00876C85">
              <w:rPr>
                <w:b/>
                <w:sz w:val="20"/>
                <w:lang w:val="uk-UA"/>
              </w:rPr>
              <w:t xml:space="preserve"> </w:t>
            </w:r>
          </w:p>
          <w:p w:rsidR="00A003BD" w:rsidRPr="00876C85" w:rsidRDefault="00A003BD" w:rsidP="00AB7662">
            <w:pPr>
              <w:pStyle w:val="3"/>
              <w:ind w:firstLine="0"/>
              <w:jc w:val="center"/>
              <w:rPr>
                <w:b/>
                <w:sz w:val="20"/>
                <w:lang w:val="uk-UA"/>
              </w:rPr>
            </w:pPr>
            <w:r w:rsidRPr="00876C85">
              <w:rPr>
                <w:b/>
                <w:sz w:val="20"/>
                <w:lang w:val="uk-UA"/>
              </w:rPr>
              <w:t>(n</w:t>
            </w:r>
            <w:r w:rsidR="00876C85">
              <w:rPr>
                <w:b/>
                <w:sz w:val="20"/>
                <w:lang w:val="en-US"/>
              </w:rPr>
              <w:t xml:space="preserve"> </w:t>
            </w:r>
            <w:r w:rsidRPr="00876C85">
              <w:rPr>
                <w:b/>
                <w:sz w:val="20"/>
                <w:lang w:val="uk-UA"/>
              </w:rPr>
              <w:t>=</w:t>
            </w:r>
            <w:r w:rsidR="00876C85">
              <w:rPr>
                <w:b/>
                <w:sz w:val="20"/>
                <w:lang w:val="en-US"/>
              </w:rPr>
              <w:t xml:space="preserve"> </w:t>
            </w:r>
            <w:r w:rsidRPr="00876C85">
              <w:rPr>
                <w:b/>
                <w:sz w:val="20"/>
                <w:lang w:val="uk-UA"/>
              </w:rPr>
              <w:t>54)</w:t>
            </w:r>
          </w:p>
        </w:tc>
      </w:tr>
      <w:tr w:rsidR="00A003BD" w:rsidRPr="00876C85" w:rsidTr="00E40AFB">
        <w:tc>
          <w:tcPr>
            <w:tcW w:w="3369" w:type="dxa"/>
            <w:tcBorders>
              <w:bottom w:val="nil"/>
            </w:tcBorders>
            <w:shd w:val="clear" w:color="auto" w:fill="auto"/>
            <w:hideMark/>
          </w:tcPr>
          <w:p w:rsidR="00A003BD" w:rsidRPr="00876C85" w:rsidRDefault="00A003BD" w:rsidP="00AB7662">
            <w:pPr>
              <w:pStyle w:val="3"/>
              <w:tabs>
                <w:tab w:val="left" w:pos="3240"/>
              </w:tabs>
              <w:ind w:firstLine="0"/>
              <w:jc w:val="left"/>
              <w:rPr>
                <w:sz w:val="20"/>
                <w:lang w:val="en-US"/>
              </w:rPr>
            </w:pPr>
            <w:r w:rsidRPr="00876C85">
              <w:rPr>
                <w:sz w:val="20"/>
                <w:lang w:val="en-US"/>
              </w:rPr>
              <w:t>Sex</w:t>
            </w:r>
          </w:p>
          <w:p w:rsidR="00E64690" w:rsidRPr="00876C85" w:rsidRDefault="00E64690" w:rsidP="00E64690">
            <w:pPr>
              <w:pStyle w:val="3"/>
              <w:tabs>
                <w:tab w:val="left" w:pos="3240"/>
              </w:tabs>
              <w:ind w:firstLine="0"/>
              <w:jc w:val="left"/>
              <w:rPr>
                <w:sz w:val="20"/>
                <w:lang w:val="uk-UA"/>
              </w:rPr>
            </w:pPr>
            <w:r w:rsidRPr="00876C85">
              <w:rPr>
                <w:sz w:val="20"/>
                <w:lang w:val="en-US"/>
              </w:rPr>
              <w:t>Male,</w:t>
            </w:r>
            <w:r w:rsidRPr="009D41C3">
              <w:rPr>
                <w:sz w:val="20"/>
                <w:lang w:val="en-US"/>
              </w:rPr>
              <w:t xml:space="preserve"> </w:t>
            </w:r>
            <w:r w:rsidR="00A003BD" w:rsidRPr="00876C85">
              <w:rPr>
                <w:sz w:val="20"/>
                <w:lang w:val="en-US"/>
              </w:rPr>
              <w:t>n</w:t>
            </w:r>
            <w:r w:rsidR="00A003BD" w:rsidRPr="00876C85">
              <w:rPr>
                <w:sz w:val="20"/>
                <w:lang w:val="uk-UA"/>
              </w:rPr>
              <w:t xml:space="preserve"> </w:t>
            </w:r>
          </w:p>
          <w:p w:rsidR="00A003BD" w:rsidRPr="009D41C3" w:rsidRDefault="00A003BD" w:rsidP="00E64690">
            <w:pPr>
              <w:pStyle w:val="3"/>
              <w:tabs>
                <w:tab w:val="left" w:pos="3240"/>
              </w:tabs>
              <w:ind w:firstLine="0"/>
              <w:jc w:val="left"/>
              <w:rPr>
                <w:sz w:val="20"/>
                <w:lang w:val="en-US"/>
              </w:rPr>
            </w:pPr>
            <w:r w:rsidRPr="00876C85">
              <w:rPr>
                <w:sz w:val="20"/>
                <w:lang w:val="en-US"/>
              </w:rPr>
              <w:t>Female, n</w:t>
            </w:r>
          </w:p>
        </w:tc>
        <w:tc>
          <w:tcPr>
            <w:tcW w:w="1980" w:type="dxa"/>
            <w:tcBorders>
              <w:bottom w:val="nil"/>
            </w:tcBorders>
            <w:shd w:val="clear" w:color="auto" w:fill="auto"/>
          </w:tcPr>
          <w:p w:rsidR="00A003BD" w:rsidRPr="00876C85" w:rsidRDefault="00A003BD" w:rsidP="00AB7662">
            <w:pPr>
              <w:pStyle w:val="3"/>
              <w:tabs>
                <w:tab w:val="left" w:pos="3240"/>
              </w:tabs>
              <w:ind w:firstLine="0"/>
              <w:jc w:val="center"/>
              <w:rPr>
                <w:sz w:val="20"/>
                <w:lang w:val="uk-UA"/>
              </w:rPr>
            </w:pPr>
          </w:p>
          <w:p w:rsidR="00A003BD" w:rsidRPr="00876C85" w:rsidRDefault="0008480E" w:rsidP="00AB7662">
            <w:pPr>
              <w:pStyle w:val="3"/>
              <w:tabs>
                <w:tab w:val="left" w:pos="3240"/>
              </w:tabs>
              <w:ind w:firstLine="0"/>
              <w:jc w:val="center"/>
              <w:rPr>
                <w:sz w:val="20"/>
                <w:lang w:val="uk-UA"/>
              </w:rPr>
            </w:pPr>
            <w:r w:rsidRPr="00876C85">
              <w:rPr>
                <w:sz w:val="20"/>
              </w:rPr>
              <w:t>20</w:t>
            </w:r>
          </w:p>
          <w:p w:rsidR="00A003BD" w:rsidRPr="00876C85" w:rsidRDefault="0008480E" w:rsidP="00AB7662">
            <w:pPr>
              <w:pStyle w:val="3"/>
              <w:tabs>
                <w:tab w:val="left" w:pos="3240"/>
              </w:tabs>
              <w:ind w:firstLine="0"/>
              <w:jc w:val="center"/>
              <w:rPr>
                <w:sz w:val="20"/>
                <w:lang w:val="uk-UA"/>
              </w:rPr>
            </w:pPr>
            <w:r w:rsidRPr="00876C85">
              <w:rPr>
                <w:sz w:val="20"/>
              </w:rPr>
              <w:t>82</w:t>
            </w:r>
          </w:p>
        </w:tc>
        <w:tc>
          <w:tcPr>
            <w:tcW w:w="1980" w:type="dxa"/>
            <w:tcBorders>
              <w:bottom w:val="nil"/>
            </w:tcBorders>
            <w:shd w:val="clear" w:color="auto" w:fill="auto"/>
          </w:tcPr>
          <w:p w:rsidR="00A003BD" w:rsidRPr="00876C85" w:rsidRDefault="00A003BD" w:rsidP="00AB7662">
            <w:pPr>
              <w:pStyle w:val="3"/>
              <w:tabs>
                <w:tab w:val="left" w:pos="3240"/>
              </w:tabs>
              <w:ind w:firstLine="0"/>
              <w:jc w:val="center"/>
              <w:rPr>
                <w:sz w:val="20"/>
                <w:lang w:val="uk-UA"/>
              </w:rPr>
            </w:pPr>
          </w:p>
          <w:p w:rsidR="00A003BD" w:rsidRPr="00876C85" w:rsidRDefault="00A003BD" w:rsidP="00AB7662">
            <w:pPr>
              <w:pStyle w:val="3"/>
              <w:tabs>
                <w:tab w:val="left" w:pos="3240"/>
              </w:tabs>
              <w:ind w:firstLine="0"/>
              <w:jc w:val="center"/>
              <w:rPr>
                <w:sz w:val="20"/>
                <w:lang w:val="uk-UA"/>
              </w:rPr>
            </w:pPr>
            <w:r w:rsidRPr="00876C85">
              <w:rPr>
                <w:sz w:val="20"/>
                <w:lang w:val="en-US"/>
              </w:rPr>
              <w:t>6</w:t>
            </w:r>
          </w:p>
          <w:p w:rsidR="00A003BD" w:rsidRPr="00876C85" w:rsidRDefault="00A003BD" w:rsidP="00AB7662">
            <w:pPr>
              <w:pStyle w:val="3"/>
              <w:tabs>
                <w:tab w:val="left" w:pos="3240"/>
              </w:tabs>
              <w:ind w:firstLine="0"/>
              <w:jc w:val="center"/>
              <w:rPr>
                <w:sz w:val="20"/>
                <w:lang w:val="uk-UA"/>
              </w:rPr>
            </w:pPr>
            <w:r w:rsidRPr="00876C85">
              <w:rPr>
                <w:sz w:val="20"/>
                <w:lang w:val="en-US"/>
              </w:rPr>
              <w:t>24</w:t>
            </w:r>
            <w:r w:rsidRPr="00876C85">
              <w:rPr>
                <w:sz w:val="20"/>
                <w:lang w:val="uk-UA"/>
              </w:rPr>
              <w:t xml:space="preserve"> </w:t>
            </w:r>
          </w:p>
        </w:tc>
        <w:tc>
          <w:tcPr>
            <w:tcW w:w="1980" w:type="dxa"/>
            <w:tcBorders>
              <w:bottom w:val="nil"/>
            </w:tcBorders>
            <w:shd w:val="clear" w:color="auto" w:fill="auto"/>
          </w:tcPr>
          <w:p w:rsidR="00A003BD" w:rsidRPr="00876C85" w:rsidRDefault="00A003BD" w:rsidP="00AB7662">
            <w:pPr>
              <w:pStyle w:val="3"/>
              <w:tabs>
                <w:tab w:val="left" w:pos="3240"/>
              </w:tabs>
              <w:ind w:firstLine="0"/>
              <w:jc w:val="center"/>
              <w:rPr>
                <w:sz w:val="20"/>
                <w:lang w:val="uk-UA"/>
              </w:rPr>
            </w:pPr>
          </w:p>
          <w:p w:rsidR="00A003BD" w:rsidRPr="00876C85" w:rsidRDefault="00A003BD" w:rsidP="00AB7662">
            <w:pPr>
              <w:pStyle w:val="3"/>
              <w:tabs>
                <w:tab w:val="left" w:pos="3240"/>
              </w:tabs>
              <w:ind w:firstLine="0"/>
              <w:jc w:val="center"/>
              <w:rPr>
                <w:sz w:val="20"/>
                <w:lang w:val="uk-UA"/>
              </w:rPr>
            </w:pPr>
            <w:r w:rsidRPr="00876C85">
              <w:rPr>
                <w:sz w:val="20"/>
                <w:lang w:val="uk-UA"/>
              </w:rPr>
              <w:t>1</w:t>
            </w:r>
            <w:r w:rsidRPr="00876C85">
              <w:rPr>
                <w:sz w:val="20"/>
                <w:lang w:val="en-US"/>
              </w:rPr>
              <w:t>1</w:t>
            </w:r>
            <w:r w:rsidRPr="00876C85">
              <w:rPr>
                <w:sz w:val="20"/>
                <w:lang w:val="uk-UA"/>
              </w:rPr>
              <w:t xml:space="preserve"> </w:t>
            </w:r>
          </w:p>
          <w:p w:rsidR="00A003BD" w:rsidRPr="00876C85" w:rsidRDefault="00A003BD" w:rsidP="00AB7662">
            <w:pPr>
              <w:pStyle w:val="3"/>
              <w:tabs>
                <w:tab w:val="left" w:pos="3240"/>
              </w:tabs>
              <w:ind w:firstLine="0"/>
              <w:jc w:val="center"/>
              <w:rPr>
                <w:sz w:val="20"/>
                <w:lang w:val="uk-UA"/>
              </w:rPr>
            </w:pPr>
            <w:r w:rsidRPr="00876C85">
              <w:rPr>
                <w:sz w:val="20"/>
                <w:lang w:val="en-US"/>
              </w:rPr>
              <w:t>43</w:t>
            </w:r>
            <w:r w:rsidRPr="00876C85">
              <w:rPr>
                <w:sz w:val="20"/>
                <w:lang w:val="uk-UA"/>
              </w:rPr>
              <w:t xml:space="preserve"> </w:t>
            </w:r>
          </w:p>
        </w:tc>
      </w:tr>
      <w:tr w:rsidR="00A003BD" w:rsidRPr="00876C85" w:rsidTr="00E40AFB">
        <w:tc>
          <w:tcPr>
            <w:tcW w:w="3369" w:type="dxa"/>
            <w:tcBorders>
              <w:top w:val="nil"/>
              <w:bottom w:val="nil"/>
            </w:tcBorders>
            <w:shd w:val="clear" w:color="auto" w:fill="auto"/>
            <w:hideMark/>
          </w:tcPr>
          <w:p w:rsidR="00A003BD" w:rsidRPr="00876C85" w:rsidRDefault="00A003BD" w:rsidP="00AB7662">
            <w:pPr>
              <w:pStyle w:val="3"/>
              <w:tabs>
                <w:tab w:val="left" w:pos="3240"/>
              </w:tabs>
              <w:ind w:firstLine="0"/>
              <w:jc w:val="left"/>
              <w:rPr>
                <w:sz w:val="20"/>
                <w:lang w:val="en-US"/>
              </w:rPr>
            </w:pPr>
            <w:r w:rsidRPr="00876C85">
              <w:rPr>
                <w:sz w:val="20"/>
                <w:lang w:val="en-US"/>
              </w:rPr>
              <w:t>Age, years</w:t>
            </w:r>
          </w:p>
        </w:tc>
        <w:tc>
          <w:tcPr>
            <w:tcW w:w="1980" w:type="dxa"/>
            <w:tcBorders>
              <w:top w:val="nil"/>
              <w:bottom w:val="nil"/>
            </w:tcBorders>
            <w:shd w:val="clear" w:color="auto" w:fill="auto"/>
            <w:hideMark/>
          </w:tcPr>
          <w:p w:rsidR="00A003BD" w:rsidRPr="00876C85" w:rsidRDefault="00A003BD" w:rsidP="00AB7662">
            <w:pPr>
              <w:pStyle w:val="3"/>
              <w:tabs>
                <w:tab w:val="left" w:pos="3240"/>
              </w:tabs>
              <w:ind w:firstLine="0"/>
              <w:jc w:val="center"/>
              <w:rPr>
                <w:sz w:val="20"/>
                <w:lang w:val="uk-UA"/>
              </w:rPr>
            </w:pPr>
            <w:r w:rsidRPr="00876C85">
              <w:rPr>
                <w:sz w:val="20"/>
                <w:lang w:val="uk-UA"/>
              </w:rPr>
              <w:t>5</w:t>
            </w:r>
            <w:r w:rsidRPr="00876C85">
              <w:rPr>
                <w:sz w:val="20"/>
                <w:lang w:val="en-US"/>
              </w:rPr>
              <w:t>4</w:t>
            </w:r>
            <w:r w:rsidRPr="00876C85">
              <w:rPr>
                <w:sz w:val="20"/>
                <w:lang w:val="uk-UA"/>
              </w:rPr>
              <w:t>.</w:t>
            </w:r>
            <w:r w:rsidRPr="00876C85">
              <w:rPr>
                <w:sz w:val="20"/>
                <w:lang w:val="en-US"/>
              </w:rPr>
              <w:t>5</w:t>
            </w:r>
            <w:r w:rsidR="0086185F" w:rsidRPr="00876C85">
              <w:rPr>
                <w:sz w:val="20"/>
                <w:lang w:val="uk-UA"/>
              </w:rPr>
              <w:t xml:space="preserve"> </w:t>
            </w:r>
            <w:r w:rsidRPr="00876C85">
              <w:rPr>
                <w:sz w:val="20"/>
                <w:lang w:val="uk-UA"/>
              </w:rPr>
              <w:t>±</w:t>
            </w:r>
            <w:r w:rsidR="0086185F" w:rsidRPr="00876C85">
              <w:rPr>
                <w:sz w:val="20"/>
                <w:lang w:val="uk-UA"/>
              </w:rPr>
              <w:t xml:space="preserve"> </w:t>
            </w:r>
            <w:r w:rsidRPr="00876C85">
              <w:rPr>
                <w:sz w:val="20"/>
                <w:lang w:val="uk-UA"/>
              </w:rPr>
              <w:t>5.4</w:t>
            </w:r>
          </w:p>
        </w:tc>
        <w:tc>
          <w:tcPr>
            <w:tcW w:w="1980" w:type="dxa"/>
            <w:tcBorders>
              <w:top w:val="nil"/>
              <w:bottom w:val="nil"/>
            </w:tcBorders>
            <w:shd w:val="clear" w:color="auto" w:fill="auto"/>
            <w:hideMark/>
          </w:tcPr>
          <w:p w:rsidR="00A003BD" w:rsidRPr="00876C85" w:rsidRDefault="00A003BD" w:rsidP="00AB7662">
            <w:pPr>
              <w:pStyle w:val="3"/>
              <w:tabs>
                <w:tab w:val="left" w:pos="3240"/>
              </w:tabs>
              <w:ind w:firstLine="0"/>
              <w:jc w:val="center"/>
              <w:rPr>
                <w:sz w:val="20"/>
                <w:lang w:val="en-US"/>
              </w:rPr>
            </w:pPr>
            <w:r w:rsidRPr="00876C85">
              <w:rPr>
                <w:sz w:val="20"/>
                <w:lang w:val="uk-UA"/>
              </w:rPr>
              <w:t>54.</w:t>
            </w:r>
            <w:r w:rsidRPr="00876C85">
              <w:rPr>
                <w:sz w:val="20"/>
                <w:lang w:val="en-US"/>
              </w:rPr>
              <w:t>7</w:t>
            </w:r>
            <w:r w:rsidR="00EC0FA9" w:rsidRPr="00876C85">
              <w:rPr>
                <w:sz w:val="20"/>
                <w:lang w:val="en-US"/>
              </w:rPr>
              <w:t xml:space="preserve"> </w:t>
            </w:r>
            <w:r w:rsidRPr="00876C85">
              <w:rPr>
                <w:sz w:val="20"/>
                <w:lang w:val="uk-UA"/>
              </w:rPr>
              <w:t>±</w:t>
            </w:r>
            <w:r w:rsidR="00EC0FA9" w:rsidRPr="00876C85">
              <w:rPr>
                <w:sz w:val="20"/>
                <w:lang w:val="en-US"/>
              </w:rPr>
              <w:t xml:space="preserve"> </w:t>
            </w:r>
            <w:r w:rsidRPr="00876C85">
              <w:rPr>
                <w:sz w:val="20"/>
                <w:lang w:val="uk-UA"/>
              </w:rPr>
              <w:t>5.</w:t>
            </w:r>
            <w:r w:rsidRPr="00876C85">
              <w:rPr>
                <w:sz w:val="20"/>
                <w:lang w:val="en-US"/>
              </w:rPr>
              <w:t>8</w:t>
            </w:r>
          </w:p>
        </w:tc>
        <w:tc>
          <w:tcPr>
            <w:tcW w:w="1980" w:type="dxa"/>
            <w:tcBorders>
              <w:top w:val="nil"/>
              <w:bottom w:val="nil"/>
            </w:tcBorders>
            <w:shd w:val="clear" w:color="auto" w:fill="auto"/>
            <w:hideMark/>
          </w:tcPr>
          <w:p w:rsidR="00A003BD" w:rsidRPr="00876C85" w:rsidRDefault="00A003BD" w:rsidP="00AB7662">
            <w:pPr>
              <w:pStyle w:val="3"/>
              <w:tabs>
                <w:tab w:val="left" w:pos="3240"/>
              </w:tabs>
              <w:ind w:firstLine="0"/>
              <w:jc w:val="center"/>
              <w:rPr>
                <w:sz w:val="20"/>
                <w:lang w:val="en-US"/>
              </w:rPr>
            </w:pPr>
            <w:r w:rsidRPr="00876C85">
              <w:rPr>
                <w:sz w:val="20"/>
                <w:lang w:val="uk-UA"/>
              </w:rPr>
              <w:t>5</w:t>
            </w:r>
            <w:r w:rsidRPr="00876C85">
              <w:rPr>
                <w:sz w:val="20"/>
                <w:lang w:val="en-US"/>
              </w:rPr>
              <w:t>4</w:t>
            </w:r>
            <w:r w:rsidRPr="00876C85">
              <w:rPr>
                <w:sz w:val="20"/>
                <w:lang w:val="uk-UA"/>
              </w:rPr>
              <w:t>.</w:t>
            </w:r>
            <w:r w:rsidR="009D41C3">
              <w:rPr>
                <w:sz w:val="20"/>
                <w:lang w:val="en-US"/>
              </w:rPr>
              <w:t>5</w:t>
            </w:r>
            <w:r w:rsidR="00EC0FA9" w:rsidRPr="00876C85">
              <w:rPr>
                <w:sz w:val="20"/>
                <w:lang w:val="en-US"/>
              </w:rPr>
              <w:t xml:space="preserve"> </w:t>
            </w:r>
            <w:r w:rsidRPr="00876C85">
              <w:rPr>
                <w:sz w:val="20"/>
                <w:lang w:val="uk-UA"/>
              </w:rPr>
              <w:t>±5.</w:t>
            </w:r>
            <w:r w:rsidRPr="00876C85">
              <w:rPr>
                <w:sz w:val="20"/>
                <w:lang w:val="en-US"/>
              </w:rPr>
              <w:t>4</w:t>
            </w:r>
          </w:p>
        </w:tc>
      </w:tr>
      <w:tr w:rsidR="00A003BD" w:rsidRPr="00876C85" w:rsidTr="00E40AFB">
        <w:tc>
          <w:tcPr>
            <w:tcW w:w="3369" w:type="dxa"/>
            <w:tcBorders>
              <w:top w:val="nil"/>
              <w:bottom w:val="nil"/>
            </w:tcBorders>
            <w:shd w:val="clear" w:color="auto" w:fill="auto"/>
            <w:hideMark/>
          </w:tcPr>
          <w:p w:rsidR="00A003BD" w:rsidRPr="00876C85" w:rsidRDefault="00A003BD" w:rsidP="00AB7662">
            <w:pPr>
              <w:pStyle w:val="3"/>
              <w:tabs>
                <w:tab w:val="left" w:pos="3240"/>
              </w:tabs>
              <w:ind w:firstLine="0"/>
              <w:jc w:val="left"/>
              <w:rPr>
                <w:sz w:val="20"/>
                <w:lang w:val="en-US"/>
              </w:rPr>
            </w:pPr>
            <w:r w:rsidRPr="00876C85">
              <w:rPr>
                <w:sz w:val="20"/>
                <w:lang w:val="en-US"/>
              </w:rPr>
              <w:t>Hypertension history, years</w:t>
            </w:r>
          </w:p>
        </w:tc>
        <w:tc>
          <w:tcPr>
            <w:tcW w:w="1980" w:type="dxa"/>
            <w:tcBorders>
              <w:top w:val="nil"/>
              <w:bottom w:val="nil"/>
            </w:tcBorders>
            <w:shd w:val="clear" w:color="auto" w:fill="auto"/>
            <w:hideMark/>
          </w:tcPr>
          <w:p w:rsidR="00A003BD" w:rsidRPr="00876C85" w:rsidRDefault="00A003BD" w:rsidP="00EC0FA9">
            <w:pPr>
              <w:pStyle w:val="3"/>
              <w:tabs>
                <w:tab w:val="left" w:pos="3240"/>
              </w:tabs>
              <w:ind w:firstLine="0"/>
              <w:jc w:val="center"/>
              <w:rPr>
                <w:sz w:val="20"/>
                <w:lang w:val="en-US"/>
              </w:rPr>
            </w:pPr>
            <w:r w:rsidRPr="00876C85">
              <w:rPr>
                <w:sz w:val="20"/>
                <w:lang w:val="uk-UA"/>
              </w:rPr>
              <w:t>9.</w:t>
            </w:r>
            <w:r w:rsidRPr="00876C85">
              <w:rPr>
                <w:sz w:val="20"/>
                <w:lang w:val="en-US"/>
              </w:rPr>
              <w:t>6</w:t>
            </w:r>
            <w:r w:rsidR="00EC0FA9" w:rsidRPr="00876C85">
              <w:rPr>
                <w:sz w:val="20"/>
                <w:lang w:val="en-US"/>
              </w:rPr>
              <w:t xml:space="preserve"> </w:t>
            </w:r>
            <w:r w:rsidRPr="00876C85">
              <w:rPr>
                <w:sz w:val="20"/>
                <w:lang w:val="uk-UA"/>
              </w:rPr>
              <w:t>±</w:t>
            </w:r>
            <w:r w:rsidR="00EC0FA9" w:rsidRPr="00876C85">
              <w:rPr>
                <w:sz w:val="20"/>
                <w:lang w:val="en-US"/>
              </w:rPr>
              <w:t xml:space="preserve"> </w:t>
            </w:r>
            <w:r w:rsidRPr="00876C85">
              <w:rPr>
                <w:sz w:val="20"/>
                <w:lang w:val="en-US"/>
              </w:rPr>
              <w:t>0</w:t>
            </w:r>
            <w:r w:rsidRPr="00876C85">
              <w:rPr>
                <w:sz w:val="20"/>
                <w:lang w:val="uk-UA"/>
              </w:rPr>
              <w:t>.</w:t>
            </w:r>
            <w:r w:rsidRPr="00876C85">
              <w:rPr>
                <w:sz w:val="20"/>
                <w:lang w:val="en-US"/>
              </w:rPr>
              <w:t>7</w:t>
            </w:r>
          </w:p>
        </w:tc>
        <w:tc>
          <w:tcPr>
            <w:tcW w:w="1980" w:type="dxa"/>
            <w:tcBorders>
              <w:top w:val="nil"/>
              <w:bottom w:val="nil"/>
            </w:tcBorders>
            <w:shd w:val="clear" w:color="auto" w:fill="auto"/>
            <w:hideMark/>
          </w:tcPr>
          <w:p w:rsidR="00A003BD" w:rsidRPr="00876C85" w:rsidRDefault="00A003BD" w:rsidP="00AB7662">
            <w:pPr>
              <w:pStyle w:val="3"/>
              <w:tabs>
                <w:tab w:val="left" w:pos="3240"/>
              </w:tabs>
              <w:ind w:firstLine="0"/>
              <w:jc w:val="center"/>
              <w:rPr>
                <w:sz w:val="20"/>
                <w:lang w:val="uk-UA"/>
              </w:rPr>
            </w:pPr>
            <w:r w:rsidRPr="00876C85">
              <w:rPr>
                <w:sz w:val="20"/>
                <w:lang w:val="en-US"/>
              </w:rPr>
              <w:t>10</w:t>
            </w:r>
            <w:r w:rsidRPr="00876C85">
              <w:rPr>
                <w:sz w:val="20"/>
                <w:lang w:val="uk-UA"/>
              </w:rPr>
              <w:t>.</w:t>
            </w:r>
            <w:r w:rsidRPr="00876C85">
              <w:rPr>
                <w:sz w:val="20"/>
                <w:lang w:val="en-US"/>
              </w:rPr>
              <w:t>7</w:t>
            </w:r>
            <w:r w:rsidR="00EC0FA9" w:rsidRPr="00876C85">
              <w:rPr>
                <w:sz w:val="20"/>
                <w:lang w:val="en-US"/>
              </w:rPr>
              <w:t xml:space="preserve"> </w:t>
            </w:r>
            <w:r w:rsidRPr="00876C85">
              <w:rPr>
                <w:sz w:val="20"/>
                <w:lang w:val="uk-UA"/>
              </w:rPr>
              <w:t>±</w:t>
            </w:r>
            <w:r w:rsidR="00EC0FA9" w:rsidRPr="00876C85">
              <w:rPr>
                <w:sz w:val="20"/>
                <w:lang w:val="en-US"/>
              </w:rPr>
              <w:t xml:space="preserve"> </w:t>
            </w:r>
            <w:r w:rsidRPr="00876C85">
              <w:rPr>
                <w:sz w:val="20"/>
                <w:lang w:val="uk-UA"/>
              </w:rPr>
              <w:t>1.4</w:t>
            </w:r>
          </w:p>
        </w:tc>
        <w:tc>
          <w:tcPr>
            <w:tcW w:w="1980" w:type="dxa"/>
            <w:tcBorders>
              <w:top w:val="nil"/>
              <w:bottom w:val="nil"/>
            </w:tcBorders>
            <w:shd w:val="clear" w:color="auto" w:fill="auto"/>
            <w:hideMark/>
          </w:tcPr>
          <w:p w:rsidR="00A003BD" w:rsidRPr="00876C85" w:rsidRDefault="00EC0FA9" w:rsidP="00EC0FA9">
            <w:pPr>
              <w:pStyle w:val="3"/>
              <w:tabs>
                <w:tab w:val="left" w:pos="3240"/>
              </w:tabs>
              <w:ind w:firstLine="0"/>
              <w:jc w:val="center"/>
              <w:rPr>
                <w:sz w:val="20"/>
                <w:lang w:val="en-US"/>
              </w:rPr>
            </w:pPr>
            <w:r w:rsidRPr="00876C85">
              <w:rPr>
                <w:sz w:val="20"/>
                <w:lang w:val="uk-UA"/>
              </w:rPr>
              <w:t>9.7</w:t>
            </w:r>
            <w:r w:rsidRPr="00876C85">
              <w:rPr>
                <w:sz w:val="20"/>
                <w:lang w:val="en-US"/>
              </w:rPr>
              <w:t xml:space="preserve"> </w:t>
            </w:r>
            <w:r w:rsidR="00A003BD" w:rsidRPr="00876C85">
              <w:rPr>
                <w:sz w:val="20"/>
                <w:lang w:val="uk-UA"/>
              </w:rPr>
              <w:t>±</w:t>
            </w:r>
            <w:r w:rsidRPr="00876C85">
              <w:rPr>
                <w:sz w:val="20"/>
                <w:lang w:val="en-US"/>
              </w:rPr>
              <w:t xml:space="preserve"> </w:t>
            </w:r>
            <w:r w:rsidR="00A003BD" w:rsidRPr="00876C85">
              <w:rPr>
                <w:sz w:val="20"/>
                <w:lang w:val="uk-UA"/>
              </w:rPr>
              <w:t>1.</w:t>
            </w:r>
            <w:r w:rsidRPr="00876C85">
              <w:rPr>
                <w:sz w:val="20"/>
                <w:lang w:val="en-US"/>
              </w:rPr>
              <w:t>4</w:t>
            </w:r>
          </w:p>
        </w:tc>
      </w:tr>
      <w:tr w:rsidR="00A003BD" w:rsidRPr="00876C85" w:rsidTr="00E40AFB">
        <w:tc>
          <w:tcPr>
            <w:tcW w:w="3369" w:type="dxa"/>
            <w:tcBorders>
              <w:top w:val="nil"/>
              <w:bottom w:val="nil"/>
            </w:tcBorders>
            <w:shd w:val="clear" w:color="auto" w:fill="auto"/>
            <w:hideMark/>
          </w:tcPr>
          <w:p w:rsidR="00A003BD" w:rsidRPr="00876C85" w:rsidRDefault="00DF7F14" w:rsidP="00AB7662">
            <w:pPr>
              <w:pStyle w:val="3"/>
              <w:tabs>
                <w:tab w:val="left" w:pos="3240"/>
              </w:tabs>
              <w:ind w:firstLine="0"/>
              <w:jc w:val="left"/>
              <w:rPr>
                <w:sz w:val="20"/>
                <w:lang w:val="uk-UA"/>
              </w:rPr>
            </w:pPr>
            <w:r w:rsidRPr="00876C85">
              <w:rPr>
                <w:sz w:val="20"/>
                <w:lang w:val="en-US"/>
              </w:rPr>
              <w:t>Hypertension grade</w:t>
            </w:r>
            <w:r w:rsidR="00E64690" w:rsidRPr="00876C85">
              <w:rPr>
                <w:sz w:val="20"/>
                <w:lang w:val="en-US"/>
              </w:rPr>
              <w:t xml:space="preserve">, </w:t>
            </w:r>
            <w:r w:rsidR="00E64690" w:rsidRPr="00876C85">
              <w:rPr>
                <w:sz w:val="20"/>
                <w:lang w:val="uk-UA"/>
              </w:rPr>
              <w:t>%</w:t>
            </w:r>
          </w:p>
          <w:p w:rsidR="00A003BD" w:rsidRPr="00876C85" w:rsidRDefault="00A003BD" w:rsidP="00AB7662">
            <w:pPr>
              <w:pStyle w:val="3"/>
              <w:tabs>
                <w:tab w:val="left" w:pos="3240"/>
              </w:tabs>
              <w:ind w:firstLine="720"/>
              <w:jc w:val="left"/>
              <w:rPr>
                <w:sz w:val="20"/>
                <w:lang w:val="uk-UA"/>
              </w:rPr>
            </w:pPr>
            <w:r w:rsidRPr="00876C85">
              <w:rPr>
                <w:sz w:val="20"/>
                <w:lang w:val="uk-UA"/>
              </w:rPr>
              <w:t>1</w:t>
            </w:r>
          </w:p>
          <w:p w:rsidR="00A003BD" w:rsidRPr="00876C85" w:rsidRDefault="00A003BD" w:rsidP="00AB7662">
            <w:pPr>
              <w:pStyle w:val="3"/>
              <w:tabs>
                <w:tab w:val="left" w:pos="3240"/>
              </w:tabs>
              <w:ind w:firstLine="720"/>
              <w:jc w:val="left"/>
              <w:rPr>
                <w:sz w:val="20"/>
                <w:lang w:val="uk-UA"/>
              </w:rPr>
            </w:pPr>
            <w:r w:rsidRPr="00876C85">
              <w:rPr>
                <w:sz w:val="20"/>
                <w:lang w:val="uk-UA"/>
              </w:rPr>
              <w:t>2</w:t>
            </w:r>
          </w:p>
          <w:p w:rsidR="00A003BD" w:rsidRPr="00876C85" w:rsidRDefault="00A003BD" w:rsidP="00AB7662">
            <w:pPr>
              <w:pStyle w:val="3"/>
              <w:tabs>
                <w:tab w:val="left" w:pos="3240"/>
              </w:tabs>
              <w:ind w:firstLine="720"/>
              <w:jc w:val="left"/>
              <w:rPr>
                <w:sz w:val="20"/>
                <w:lang w:val="uk-UA"/>
              </w:rPr>
            </w:pPr>
            <w:r w:rsidRPr="00876C85">
              <w:rPr>
                <w:sz w:val="20"/>
                <w:lang w:val="uk-UA"/>
              </w:rPr>
              <w:t xml:space="preserve">3 </w:t>
            </w:r>
          </w:p>
        </w:tc>
        <w:tc>
          <w:tcPr>
            <w:tcW w:w="1980" w:type="dxa"/>
            <w:tcBorders>
              <w:top w:val="nil"/>
              <w:bottom w:val="nil"/>
            </w:tcBorders>
            <w:shd w:val="clear" w:color="auto" w:fill="auto"/>
          </w:tcPr>
          <w:p w:rsidR="00A003BD" w:rsidRPr="00876C85" w:rsidRDefault="00A003BD" w:rsidP="00AB7662">
            <w:pPr>
              <w:pStyle w:val="3"/>
              <w:tabs>
                <w:tab w:val="left" w:pos="3240"/>
              </w:tabs>
              <w:ind w:firstLine="0"/>
              <w:jc w:val="center"/>
              <w:rPr>
                <w:sz w:val="20"/>
                <w:lang w:val="uk-UA"/>
              </w:rPr>
            </w:pPr>
          </w:p>
          <w:p w:rsidR="00A003BD" w:rsidRPr="00876C85" w:rsidRDefault="0008480E" w:rsidP="00AB7662">
            <w:pPr>
              <w:pStyle w:val="3"/>
              <w:tabs>
                <w:tab w:val="left" w:pos="3240"/>
              </w:tabs>
              <w:ind w:firstLine="0"/>
              <w:jc w:val="center"/>
              <w:rPr>
                <w:sz w:val="20"/>
                <w:lang w:val="uk-UA"/>
              </w:rPr>
            </w:pPr>
            <w:r w:rsidRPr="00876C85">
              <w:rPr>
                <w:sz w:val="20"/>
                <w:lang w:val="uk-UA"/>
              </w:rPr>
              <w:t>17</w:t>
            </w:r>
            <w:r w:rsidR="00A003BD" w:rsidRPr="00876C85">
              <w:rPr>
                <w:sz w:val="20"/>
                <w:lang w:val="uk-UA"/>
              </w:rPr>
              <w:t>.</w:t>
            </w:r>
            <w:r w:rsidRPr="00876C85">
              <w:rPr>
                <w:sz w:val="20"/>
                <w:lang w:val="uk-UA"/>
              </w:rPr>
              <w:t>6</w:t>
            </w:r>
          </w:p>
          <w:p w:rsidR="00A003BD" w:rsidRPr="00876C85" w:rsidRDefault="0008480E" w:rsidP="00AB7662">
            <w:pPr>
              <w:pStyle w:val="3"/>
              <w:tabs>
                <w:tab w:val="left" w:pos="3240"/>
              </w:tabs>
              <w:ind w:firstLine="0"/>
              <w:jc w:val="center"/>
              <w:rPr>
                <w:sz w:val="20"/>
                <w:lang w:val="uk-UA"/>
              </w:rPr>
            </w:pPr>
            <w:r w:rsidRPr="00876C85">
              <w:rPr>
                <w:sz w:val="20"/>
                <w:lang w:val="uk-UA"/>
              </w:rPr>
              <w:t>2</w:t>
            </w:r>
            <w:r w:rsidR="00A1652A" w:rsidRPr="00876C85">
              <w:rPr>
                <w:sz w:val="20"/>
                <w:lang w:val="uk-UA"/>
              </w:rPr>
              <w:t>8.4</w:t>
            </w:r>
          </w:p>
          <w:p w:rsidR="00A003BD" w:rsidRPr="00876C85" w:rsidRDefault="0008480E" w:rsidP="0008480E">
            <w:pPr>
              <w:pStyle w:val="3"/>
              <w:tabs>
                <w:tab w:val="left" w:pos="3240"/>
              </w:tabs>
              <w:ind w:firstLine="0"/>
              <w:jc w:val="center"/>
              <w:rPr>
                <w:sz w:val="20"/>
                <w:lang w:val="uk-UA"/>
              </w:rPr>
            </w:pPr>
            <w:r w:rsidRPr="00876C85">
              <w:rPr>
                <w:sz w:val="20"/>
                <w:lang w:val="uk-UA"/>
              </w:rPr>
              <w:t>54</w:t>
            </w:r>
            <w:r w:rsidR="00A1652A" w:rsidRPr="00876C85">
              <w:rPr>
                <w:sz w:val="20"/>
                <w:lang w:val="uk-UA"/>
              </w:rPr>
              <w:t>.0</w:t>
            </w:r>
          </w:p>
        </w:tc>
        <w:tc>
          <w:tcPr>
            <w:tcW w:w="1980" w:type="dxa"/>
            <w:tcBorders>
              <w:top w:val="nil"/>
              <w:bottom w:val="nil"/>
            </w:tcBorders>
            <w:shd w:val="clear" w:color="auto" w:fill="auto"/>
          </w:tcPr>
          <w:p w:rsidR="00A003BD" w:rsidRPr="00876C85" w:rsidRDefault="00A003BD" w:rsidP="00AB7662">
            <w:pPr>
              <w:pStyle w:val="3"/>
              <w:tabs>
                <w:tab w:val="left" w:pos="3240"/>
              </w:tabs>
              <w:ind w:firstLine="0"/>
              <w:jc w:val="center"/>
              <w:rPr>
                <w:sz w:val="20"/>
                <w:lang w:val="uk-UA"/>
              </w:rPr>
            </w:pPr>
          </w:p>
          <w:p w:rsidR="00A003BD" w:rsidRPr="00876C85" w:rsidRDefault="00A1652A" w:rsidP="00AB7662">
            <w:pPr>
              <w:pStyle w:val="3"/>
              <w:tabs>
                <w:tab w:val="left" w:pos="3240"/>
              </w:tabs>
              <w:ind w:firstLine="0"/>
              <w:jc w:val="center"/>
              <w:rPr>
                <w:sz w:val="20"/>
                <w:lang w:val="uk-UA"/>
              </w:rPr>
            </w:pPr>
            <w:r w:rsidRPr="00876C85">
              <w:rPr>
                <w:sz w:val="20"/>
                <w:lang w:val="uk-UA"/>
              </w:rPr>
              <w:t>23.3</w:t>
            </w:r>
          </w:p>
          <w:p w:rsidR="00A003BD" w:rsidRPr="00876C85" w:rsidRDefault="00A1652A" w:rsidP="00AB7662">
            <w:pPr>
              <w:pStyle w:val="3"/>
              <w:tabs>
                <w:tab w:val="left" w:pos="3240"/>
              </w:tabs>
              <w:ind w:firstLine="0"/>
              <w:jc w:val="center"/>
              <w:rPr>
                <w:sz w:val="20"/>
                <w:lang w:val="en-US"/>
              </w:rPr>
            </w:pPr>
            <w:r w:rsidRPr="00876C85">
              <w:rPr>
                <w:sz w:val="20"/>
                <w:lang w:val="uk-UA"/>
              </w:rPr>
              <w:t>26.</w:t>
            </w:r>
            <w:r w:rsidR="00385E96" w:rsidRPr="00876C85">
              <w:rPr>
                <w:sz w:val="20"/>
                <w:lang w:val="en-US"/>
              </w:rPr>
              <w:t>7</w:t>
            </w:r>
          </w:p>
          <w:p w:rsidR="00A003BD" w:rsidRPr="00876C85" w:rsidRDefault="00A1652A" w:rsidP="00AB7662">
            <w:pPr>
              <w:pStyle w:val="3"/>
              <w:tabs>
                <w:tab w:val="left" w:pos="3240"/>
              </w:tabs>
              <w:ind w:firstLine="0"/>
              <w:jc w:val="center"/>
              <w:rPr>
                <w:sz w:val="20"/>
                <w:lang w:val="uk-UA"/>
              </w:rPr>
            </w:pPr>
            <w:r w:rsidRPr="00876C85">
              <w:rPr>
                <w:sz w:val="20"/>
                <w:lang w:val="uk-UA"/>
              </w:rPr>
              <w:t>50.0</w:t>
            </w:r>
          </w:p>
        </w:tc>
        <w:tc>
          <w:tcPr>
            <w:tcW w:w="1980" w:type="dxa"/>
            <w:tcBorders>
              <w:top w:val="nil"/>
              <w:bottom w:val="nil"/>
            </w:tcBorders>
            <w:shd w:val="clear" w:color="auto" w:fill="auto"/>
          </w:tcPr>
          <w:p w:rsidR="00A003BD" w:rsidRPr="00876C85" w:rsidRDefault="00A003BD" w:rsidP="00AB7662">
            <w:pPr>
              <w:pStyle w:val="3"/>
              <w:tabs>
                <w:tab w:val="left" w:pos="3240"/>
              </w:tabs>
              <w:ind w:firstLine="0"/>
              <w:jc w:val="center"/>
              <w:rPr>
                <w:sz w:val="20"/>
                <w:lang w:val="uk-UA"/>
              </w:rPr>
            </w:pPr>
          </w:p>
          <w:p w:rsidR="00A003BD" w:rsidRPr="00876C85" w:rsidRDefault="00A1652A" w:rsidP="00AB7662">
            <w:pPr>
              <w:pStyle w:val="3"/>
              <w:tabs>
                <w:tab w:val="left" w:pos="3240"/>
              </w:tabs>
              <w:ind w:firstLine="0"/>
              <w:jc w:val="center"/>
              <w:rPr>
                <w:sz w:val="20"/>
                <w:lang w:val="uk-UA"/>
              </w:rPr>
            </w:pPr>
            <w:r w:rsidRPr="00876C85">
              <w:rPr>
                <w:sz w:val="20"/>
                <w:lang w:val="uk-UA"/>
              </w:rPr>
              <w:t>14.8</w:t>
            </w:r>
          </w:p>
          <w:p w:rsidR="00A003BD" w:rsidRPr="00876C85" w:rsidRDefault="00A1652A" w:rsidP="00AB7662">
            <w:pPr>
              <w:pStyle w:val="3"/>
              <w:tabs>
                <w:tab w:val="left" w:pos="3240"/>
              </w:tabs>
              <w:ind w:firstLine="0"/>
              <w:jc w:val="center"/>
              <w:rPr>
                <w:sz w:val="20"/>
                <w:lang w:val="uk-UA"/>
              </w:rPr>
            </w:pPr>
            <w:r w:rsidRPr="00876C85">
              <w:rPr>
                <w:sz w:val="20"/>
                <w:lang w:val="uk-UA"/>
              </w:rPr>
              <w:t>38.8</w:t>
            </w:r>
          </w:p>
          <w:p w:rsidR="00A003BD" w:rsidRPr="00876C85" w:rsidRDefault="00A1652A" w:rsidP="00385E96">
            <w:pPr>
              <w:pStyle w:val="3"/>
              <w:tabs>
                <w:tab w:val="left" w:pos="3240"/>
              </w:tabs>
              <w:ind w:firstLine="0"/>
              <w:jc w:val="center"/>
              <w:rPr>
                <w:sz w:val="20"/>
                <w:lang w:val="en-US"/>
              </w:rPr>
            </w:pPr>
            <w:r w:rsidRPr="00876C85">
              <w:rPr>
                <w:sz w:val="20"/>
                <w:lang w:val="uk-UA"/>
              </w:rPr>
              <w:t>46.</w:t>
            </w:r>
            <w:r w:rsidR="00385E96" w:rsidRPr="00876C85">
              <w:rPr>
                <w:sz w:val="20"/>
                <w:lang w:val="en-US"/>
              </w:rPr>
              <w:t>4</w:t>
            </w:r>
          </w:p>
        </w:tc>
      </w:tr>
      <w:tr w:rsidR="00A003BD" w:rsidRPr="00876C85" w:rsidTr="00E40AFB">
        <w:tc>
          <w:tcPr>
            <w:tcW w:w="3369" w:type="dxa"/>
            <w:tcBorders>
              <w:top w:val="nil"/>
            </w:tcBorders>
            <w:shd w:val="clear" w:color="auto" w:fill="auto"/>
            <w:hideMark/>
          </w:tcPr>
          <w:p w:rsidR="00A003BD" w:rsidRPr="00876C85" w:rsidRDefault="00E40AFB" w:rsidP="00AB7662">
            <w:pPr>
              <w:pStyle w:val="3"/>
              <w:tabs>
                <w:tab w:val="left" w:pos="3240"/>
              </w:tabs>
              <w:ind w:firstLine="0"/>
              <w:jc w:val="left"/>
              <w:rPr>
                <w:sz w:val="20"/>
                <w:lang w:val="uk-UA"/>
              </w:rPr>
            </w:pPr>
            <w:r w:rsidRPr="00E40AFB">
              <w:rPr>
                <w:sz w:val="20"/>
                <w:lang w:val="en-US"/>
              </w:rPr>
              <w:t>New York Heart Association</w:t>
            </w:r>
            <w:r w:rsidRPr="00E40AFB">
              <w:rPr>
                <w:color w:val="FF0000"/>
                <w:sz w:val="20"/>
                <w:lang w:val="en-US"/>
              </w:rPr>
              <w:t xml:space="preserve"> </w:t>
            </w:r>
            <w:r w:rsidR="00A003BD" w:rsidRPr="00876C85">
              <w:rPr>
                <w:sz w:val="20"/>
                <w:lang w:val="en-US"/>
              </w:rPr>
              <w:t xml:space="preserve">class, </w:t>
            </w:r>
            <w:r w:rsidR="009D41C3">
              <w:rPr>
                <w:sz w:val="20"/>
                <w:lang w:val="uk-UA"/>
              </w:rPr>
              <w:t>%</w:t>
            </w:r>
          </w:p>
          <w:p w:rsidR="00A003BD" w:rsidRPr="00876C85" w:rsidRDefault="00A003BD" w:rsidP="00AB7662">
            <w:pPr>
              <w:pStyle w:val="3"/>
              <w:tabs>
                <w:tab w:val="left" w:pos="3240"/>
              </w:tabs>
              <w:ind w:firstLine="720"/>
              <w:jc w:val="left"/>
              <w:rPr>
                <w:sz w:val="20"/>
                <w:lang w:val="uk-UA"/>
              </w:rPr>
            </w:pPr>
            <w:r w:rsidRPr="00876C85">
              <w:rPr>
                <w:sz w:val="20"/>
                <w:lang w:val="uk-UA"/>
              </w:rPr>
              <w:t>0</w:t>
            </w:r>
          </w:p>
          <w:p w:rsidR="00A003BD" w:rsidRPr="00876C85" w:rsidRDefault="00A003BD" w:rsidP="00AB7662">
            <w:pPr>
              <w:pStyle w:val="3"/>
              <w:tabs>
                <w:tab w:val="left" w:pos="3240"/>
              </w:tabs>
              <w:ind w:firstLine="720"/>
              <w:jc w:val="left"/>
              <w:rPr>
                <w:sz w:val="20"/>
                <w:lang w:val="uk-UA"/>
              </w:rPr>
            </w:pPr>
            <w:r w:rsidRPr="00876C85">
              <w:rPr>
                <w:sz w:val="20"/>
                <w:lang w:val="uk-UA"/>
              </w:rPr>
              <w:t>I</w:t>
            </w:r>
          </w:p>
          <w:p w:rsidR="00A003BD" w:rsidRPr="00876C85" w:rsidRDefault="00A003BD" w:rsidP="00AB7662">
            <w:pPr>
              <w:pStyle w:val="3"/>
              <w:tabs>
                <w:tab w:val="left" w:pos="3240"/>
              </w:tabs>
              <w:ind w:firstLine="720"/>
              <w:jc w:val="left"/>
              <w:rPr>
                <w:sz w:val="20"/>
                <w:lang w:val="uk-UA"/>
              </w:rPr>
            </w:pPr>
            <w:r w:rsidRPr="00876C85">
              <w:rPr>
                <w:sz w:val="20"/>
                <w:lang w:val="uk-UA"/>
              </w:rPr>
              <w:t>II</w:t>
            </w:r>
          </w:p>
          <w:p w:rsidR="00A003BD" w:rsidRPr="00876C85" w:rsidRDefault="00A003BD" w:rsidP="00AB7662">
            <w:pPr>
              <w:pStyle w:val="3"/>
              <w:tabs>
                <w:tab w:val="left" w:pos="3240"/>
              </w:tabs>
              <w:ind w:firstLine="720"/>
              <w:jc w:val="left"/>
              <w:rPr>
                <w:sz w:val="20"/>
                <w:lang w:val="en-US"/>
              </w:rPr>
            </w:pPr>
            <w:r w:rsidRPr="00876C85">
              <w:rPr>
                <w:sz w:val="20"/>
                <w:lang w:val="uk-UA"/>
              </w:rPr>
              <w:t>II</w:t>
            </w:r>
            <w:r w:rsidRPr="00876C85">
              <w:rPr>
                <w:sz w:val="20"/>
                <w:lang w:val="en-US"/>
              </w:rPr>
              <w:t>I</w:t>
            </w:r>
          </w:p>
        </w:tc>
        <w:tc>
          <w:tcPr>
            <w:tcW w:w="1980" w:type="dxa"/>
            <w:tcBorders>
              <w:top w:val="nil"/>
            </w:tcBorders>
            <w:shd w:val="clear" w:color="auto" w:fill="auto"/>
          </w:tcPr>
          <w:p w:rsidR="00A003BD" w:rsidRPr="00876C85" w:rsidRDefault="00A003BD" w:rsidP="00AB7662">
            <w:pPr>
              <w:pStyle w:val="3"/>
              <w:tabs>
                <w:tab w:val="left" w:pos="3240"/>
              </w:tabs>
              <w:ind w:firstLine="0"/>
              <w:jc w:val="center"/>
              <w:rPr>
                <w:sz w:val="20"/>
                <w:lang w:val="uk-UA"/>
              </w:rPr>
            </w:pPr>
          </w:p>
          <w:p w:rsidR="00A003BD" w:rsidRPr="00876C85" w:rsidRDefault="00A003BD" w:rsidP="00AB7662">
            <w:pPr>
              <w:pStyle w:val="3"/>
              <w:tabs>
                <w:tab w:val="left" w:pos="3240"/>
              </w:tabs>
              <w:ind w:firstLine="0"/>
              <w:jc w:val="center"/>
              <w:rPr>
                <w:sz w:val="20"/>
                <w:lang w:val="en-US"/>
              </w:rPr>
            </w:pPr>
            <w:r w:rsidRPr="00876C85">
              <w:rPr>
                <w:sz w:val="20"/>
                <w:lang w:val="uk-UA"/>
              </w:rPr>
              <w:t>11</w:t>
            </w:r>
            <w:r w:rsidR="001D6677" w:rsidRPr="00876C85">
              <w:rPr>
                <w:sz w:val="20"/>
                <w:lang w:val="en-US"/>
              </w:rPr>
              <w:t>.</w:t>
            </w:r>
            <w:r w:rsidR="00385E96" w:rsidRPr="00876C85">
              <w:rPr>
                <w:sz w:val="20"/>
                <w:lang w:val="en-US"/>
              </w:rPr>
              <w:t>9</w:t>
            </w:r>
          </w:p>
          <w:p w:rsidR="00A003BD" w:rsidRPr="00876C85" w:rsidRDefault="00A003BD" w:rsidP="00AB7662">
            <w:pPr>
              <w:pStyle w:val="3"/>
              <w:tabs>
                <w:tab w:val="left" w:pos="3240"/>
              </w:tabs>
              <w:ind w:firstLine="0"/>
              <w:jc w:val="center"/>
              <w:rPr>
                <w:sz w:val="20"/>
                <w:lang w:val="en-US"/>
              </w:rPr>
            </w:pPr>
            <w:r w:rsidRPr="00876C85">
              <w:rPr>
                <w:sz w:val="20"/>
                <w:lang w:val="en-US"/>
              </w:rPr>
              <w:t>19</w:t>
            </w:r>
            <w:r w:rsidRPr="00876C85">
              <w:rPr>
                <w:sz w:val="20"/>
                <w:lang w:val="uk-UA"/>
              </w:rPr>
              <w:t>.6</w:t>
            </w:r>
          </w:p>
          <w:p w:rsidR="00A003BD" w:rsidRPr="00876C85" w:rsidRDefault="001D6677" w:rsidP="00AB7662">
            <w:pPr>
              <w:pStyle w:val="3"/>
              <w:tabs>
                <w:tab w:val="left" w:pos="3240"/>
              </w:tabs>
              <w:ind w:firstLine="0"/>
              <w:jc w:val="center"/>
              <w:rPr>
                <w:sz w:val="20"/>
                <w:lang w:val="uk-UA"/>
              </w:rPr>
            </w:pPr>
            <w:r w:rsidRPr="00876C85">
              <w:rPr>
                <w:sz w:val="20"/>
                <w:lang w:val="en-US"/>
              </w:rPr>
              <w:t>65.</w:t>
            </w:r>
            <w:r w:rsidR="00A003BD" w:rsidRPr="00876C85">
              <w:rPr>
                <w:sz w:val="20"/>
                <w:lang w:val="en-US"/>
              </w:rPr>
              <w:t>6</w:t>
            </w:r>
          </w:p>
          <w:p w:rsidR="00A003BD" w:rsidRPr="00876C85" w:rsidRDefault="0035209C" w:rsidP="00AB7662">
            <w:pPr>
              <w:pStyle w:val="3"/>
              <w:tabs>
                <w:tab w:val="left" w:pos="3240"/>
              </w:tabs>
              <w:ind w:firstLine="0"/>
              <w:jc w:val="center"/>
              <w:rPr>
                <w:sz w:val="20"/>
                <w:lang w:val="uk-UA"/>
              </w:rPr>
            </w:pPr>
            <w:r>
              <w:rPr>
                <w:sz w:val="20"/>
                <w:lang w:val="en-US"/>
              </w:rPr>
              <w:t xml:space="preserve">  2.</w:t>
            </w:r>
            <w:r w:rsidR="00A003BD" w:rsidRPr="00876C85">
              <w:rPr>
                <w:sz w:val="20"/>
                <w:lang w:val="en-US"/>
              </w:rPr>
              <w:t>9</w:t>
            </w:r>
          </w:p>
        </w:tc>
        <w:tc>
          <w:tcPr>
            <w:tcW w:w="1980" w:type="dxa"/>
            <w:tcBorders>
              <w:top w:val="nil"/>
            </w:tcBorders>
            <w:shd w:val="clear" w:color="auto" w:fill="auto"/>
          </w:tcPr>
          <w:p w:rsidR="00A003BD" w:rsidRPr="00876C85" w:rsidRDefault="00A003BD" w:rsidP="00AB7662">
            <w:pPr>
              <w:pStyle w:val="3"/>
              <w:tabs>
                <w:tab w:val="left" w:pos="3240"/>
              </w:tabs>
              <w:ind w:firstLine="0"/>
              <w:jc w:val="center"/>
              <w:rPr>
                <w:sz w:val="20"/>
                <w:lang w:val="uk-UA"/>
              </w:rPr>
            </w:pPr>
          </w:p>
          <w:p w:rsidR="00A003BD" w:rsidRPr="00876C85" w:rsidRDefault="001D6677" w:rsidP="00AB7662">
            <w:pPr>
              <w:pStyle w:val="3"/>
              <w:tabs>
                <w:tab w:val="left" w:pos="3240"/>
              </w:tabs>
              <w:ind w:firstLine="0"/>
              <w:jc w:val="center"/>
              <w:rPr>
                <w:sz w:val="20"/>
                <w:lang w:val="en-US"/>
              </w:rPr>
            </w:pPr>
            <w:r w:rsidRPr="00876C85">
              <w:rPr>
                <w:sz w:val="20"/>
                <w:lang w:val="uk-UA"/>
              </w:rPr>
              <w:t>16.</w:t>
            </w:r>
            <w:r w:rsidR="00385E96" w:rsidRPr="00876C85">
              <w:rPr>
                <w:sz w:val="20"/>
                <w:lang w:val="en-US"/>
              </w:rPr>
              <w:t>7</w:t>
            </w:r>
          </w:p>
          <w:p w:rsidR="00A003BD" w:rsidRPr="00876C85" w:rsidRDefault="00A003BD" w:rsidP="001D6677">
            <w:pPr>
              <w:pStyle w:val="3"/>
              <w:tabs>
                <w:tab w:val="left" w:pos="3240"/>
              </w:tabs>
              <w:ind w:firstLine="0"/>
              <w:jc w:val="center"/>
              <w:rPr>
                <w:sz w:val="20"/>
                <w:lang w:val="en-US"/>
              </w:rPr>
            </w:pPr>
            <w:r w:rsidRPr="00876C85">
              <w:rPr>
                <w:sz w:val="20"/>
                <w:lang w:val="en-US"/>
              </w:rPr>
              <w:t>20</w:t>
            </w:r>
          </w:p>
          <w:p w:rsidR="00A003BD" w:rsidRPr="00876C85" w:rsidRDefault="00A003BD" w:rsidP="00AB7662">
            <w:pPr>
              <w:pStyle w:val="3"/>
              <w:tabs>
                <w:tab w:val="left" w:pos="3240"/>
              </w:tabs>
              <w:ind w:firstLine="0"/>
              <w:jc w:val="center"/>
              <w:rPr>
                <w:sz w:val="20"/>
                <w:lang w:val="uk-UA"/>
              </w:rPr>
            </w:pPr>
            <w:r w:rsidRPr="00876C85">
              <w:rPr>
                <w:sz w:val="20"/>
                <w:lang w:val="en-US"/>
              </w:rPr>
              <w:t>60</w:t>
            </w:r>
          </w:p>
          <w:p w:rsidR="00A003BD" w:rsidRPr="00876C85" w:rsidRDefault="0035209C" w:rsidP="001D6677">
            <w:pPr>
              <w:pStyle w:val="3"/>
              <w:tabs>
                <w:tab w:val="left" w:pos="3240"/>
              </w:tabs>
              <w:ind w:firstLine="0"/>
              <w:jc w:val="center"/>
              <w:rPr>
                <w:sz w:val="20"/>
                <w:lang w:val="en-US"/>
              </w:rPr>
            </w:pPr>
            <w:r>
              <w:rPr>
                <w:sz w:val="20"/>
                <w:lang w:val="en-US"/>
              </w:rPr>
              <w:t xml:space="preserve">    </w:t>
            </w:r>
            <w:r w:rsidR="00A003BD" w:rsidRPr="00876C85">
              <w:rPr>
                <w:sz w:val="20"/>
                <w:lang w:val="en-US"/>
              </w:rPr>
              <w:t>3</w:t>
            </w:r>
            <w:r w:rsidR="001D6677" w:rsidRPr="00876C85">
              <w:rPr>
                <w:sz w:val="20"/>
                <w:lang w:val="en-US"/>
              </w:rPr>
              <w:t>.</w:t>
            </w:r>
            <w:r w:rsidR="00A003BD" w:rsidRPr="00876C85">
              <w:rPr>
                <w:sz w:val="20"/>
                <w:lang w:val="en-US"/>
              </w:rPr>
              <w:t>3</w:t>
            </w:r>
          </w:p>
        </w:tc>
        <w:tc>
          <w:tcPr>
            <w:tcW w:w="1980" w:type="dxa"/>
            <w:tcBorders>
              <w:top w:val="nil"/>
            </w:tcBorders>
            <w:shd w:val="clear" w:color="auto" w:fill="auto"/>
          </w:tcPr>
          <w:p w:rsidR="00A003BD" w:rsidRPr="00876C85" w:rsidRDefault="00A003BD" w:rsidP="00AB7662">
            <w:pPr>
              <w:pStyle w:val="3"/>
              <w:tabs>
                <w:tab w:val="left" w:pos="3240"/>
              </w:tabs>
              <w:ind w:firstLine="0"/>
              <w:jc w:val="center"/>
              <w:rPr>
                <w:sz w:val="20"/>
                <w:lang w:val="uk-UA"/>
              </w:rPr>
            </w:pPr>
          </w:p>
          <w:p w:rsidR="00A003BD" w:rsidRPr="00876C85" w:rsidRDefault="00A003BD" w:rsidP="00AB7662">
            <w:pPr>
              <w:pStyle w:val="3"/>
              <w:tabs>
                <w:tab w:val="left" w:pos="3240"/>
              </w:tabs>
              <w:ind w:firstLine="0"/>
              <w:jc w:val="center"/>
              <w:rPr>
                <w:sz w:val="20"/>
                <w:lang w:val="en-US"/>
              </w:rPr>
            </w:pPr>
            <w:r w:rsidRPr="00876C85">
              <w:rPr>
                <w:sz w:val="20"/>
                <w:lang w:val="en-US"/>
              </w:rPr>
              <w:t>1</w:t>
            </w:r>
            <w:r w:rsidR="001D6677" w:rsidRPr="00876C85">
              <w:rPr>
                <w:sz w:val="20"/>
                <w:lang w:val="uk-UA"/>
              </w:rPr>
              <w:t>6.</w:t>
            </w:r>
            <w:r w:rsidR="00385E96" w:rsidRPr="00876C85">
              <w:rPr>
                <w:sz w:val="20"/>
                <w:lang w:val="en-US"/>
              </w:rPr>
              <w:t>6</w:t>
            </w:r>
          </w:p>
          <w:p w:rsidR="00A003BD" w:rsidRPr="00876C85" w:rsidRDefault="00A003BD" w:rsidP="00AB7662">
            <w:pPr>
              <w:pStyle w:val="3"/>
              <w:tabs>
                <w:tab w:val="left" w:pos="3240"/>
              </w:tabs>
              <w:ind w:firstLine="0"/>
              <w:jc w:val="center"/>
              <w:rPr>
                <w:sz w:val="20"/>
                <w:lang w:val="uk-UA"/>
              </w:rPr>
            </w:pPr>
            <w:r w:rsidRPr="00876C85">
              <w:rPr>
                <w:sz w:val="20"/>
                <w:lang w:val="en-US"/>
              </w:rPr>
              <w:t>22</w:t>
            </w:r>
            <w:r w:rsidR="001D6677" w:rsidRPr="00876C85">
              <w:rPr>
                <w:sz w:val="20"/>
                <w:lang w:val="uk-UA"/>
              </w:rPr>
              <w:t>.2</w:t>
            </w:r>
          </w:p>
          <w:p w:rsidR="00A003BD" w:rsidRPr="00876C85" w:rsidRDefault="00A003BD" w:rsidP="00AB7662">
            <w:pPr>
              <w:pStyle w:val="3"/>
              <w:tabs>
                <w:tab w:val="left" w:pos="3240"/>
              </w:tabs>
              <w:ind w:firstLine="0"/>
              <w:jc w:val="center"/>
              <w:rPr>
                <w:sz w:val="20"/>
                <w:lang w:val="uk-UA"/>
              </w:rPr>
            </w:pPr>
            <w:r w:rsidRPr="00876C85">
              <w:rPr>
                <w:sz w:val="20"/>
                <w:lang w:val="en-US"/>
              </w:rPr>
              <w:t>59</w:t>
            </w:r>
            <w:r w:rsidR="001D6677" w:rsidRPr="00876C85">
              <w:rPr>
                <w:sz w:val="20"/>
                <w:lang w:val="uk-UA"/>
              </w:rPr>
              <w:t>.3</w:t>
            </w:r>
          </w:p>
          <w:p w:rsidR="00A003BD" w:rsidRPr="00876C85" w:rsidRDefault="001D6677" w:rsidP="00AB7662">
            <w:pPr>
              <w:pStyle w:val="3"/>
              <w:tabs>
                <w:tab w:val="left" w:pos="3240"/>
              </w:tabs>
              <w:ind w:firstLine="0"/>
              <w:jc w:val="center"/>
              <w:rPr>
                <w:sz w:val="20"/>
                <w:lang w:val="uk-UA"/>
              </w:rPr>
            </w:pPr>
            <w:r w:rsidRPr="00876C85">
              <w:rPr>
                <w:sz w:val="20"/>
                <w:lang w:val="en-US"/>
              </w:rPr>
              <w:t xml:space="preserve">   1.</w:t>
            </w:r>
            <w:r w:rsidR="00A003BD" w:rsidRPr="00876C85">
              <w:rPr>
                <w:sz w:val="20"/>
                <w:lang w:val="en-US"/>
              </w:rPr>
              <w:t>9</w:t>
            </w:r>
          </w:p>
        </w:tc>
      </w:tr>
    </w:tbl>
    <w:p w:rsidR="00E40AFB" w:rsidRDefault="00E40AFB" w:rsidP="00D31BCB">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p>
    <w:p w:rsidR="00B63CFD" w:rsidRPr="00191CD6" w:rsidRDefault="00EC0FA9" w:rsidP="00D31BCB">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r w:rsidRPr="00EC0FA9">
        <w:rPr>
          <w:rFonts w:ascii="Times New Roman" w:eastAsia="TimesNewRomanPSMT" w:hAnsi="Times New Roman" w:cs="Times New Roman"/>
          <w:sz w:val="20"/>
          <w:szCs w:val="20"/>
          <w:lang w:val="en-US"/>
        </w:rPr>
        <w:t>The results were statistically processed using Statistica</w:t>
      </w:r>
      <w:r w:rsidR="0035209C">
        <w:rPr>
          <w:rFonts w:ascii="Times New Roman" w:eastAsia="TimesNewRomanPSMT" w:hAnsi="Times New Roman" w:cs="Times New Roman"/>
          <w:sz w:val="20"/>
          <w:szCs w:val="20"/>
          <w:lang w:val="en-US"/>
        </w:rPr>
        <w:t xml:space="preserve"> 6.0 and 7.0 </w:t>
      </w:r>
      <w:r w:rsidRPr="00EC0FA9">
        <w:rPr>
          <w:rFonts w:ascii="Times New Roman" w:eastAsia="TimesNewRomanPSMT" w:hAnsi="Times New Roman" w:cs="Times New Roman"/>
          <w:sz w:val="20"/>
          <w:szCs w:val="20"/>
          <w:lang w:val="en-US"/>
        </w:rPr>
        <w:t xml:space="preserve">(StatSoft Inc., USA). Statistically average values and their standard deviation are shown in the text and tables (х ± SD). </w:t>
      </w:r>
      <w:r w:rsidR="00191CD6" w:rsidRPr="00191CD6">
        <w:rPr>
          <w:rFonts w:ascii="Times New Roman" w:eastAsia="TimesNewRomanPSMT" w:hAnsi="Times New Roman" w:cs="Times New Roman"/>
          <w:sz w:val="20"/>
          <w:szCs w:val="20"/>
          <w:lang w:val="en-US"/>
        </w:rPr>
        <w:t xml:space="preserve">The intergroup analysis was performed using one-way analysis of variance (ANOVA) with the calculation of the Fisher test (F); Wilcoxon T-test was used for paired intragroup analysis, </w:t>
      </w:r>
      <w:r w:rsidRPr="00191CD6">
        <w:rPr>
          <w:rFonts w:ascii="Times New Roman" w:eastAsia="TimesNewRomanPSMT" w:hAnsi="Times New Roman" w:cs="Times New Roman"/>
          <w:sz w:val="20"/>
          <w:szCs w:val="20"/>
          <w:lang w:val="en-US"/>
        </w:rPr>
        <w:t xml:space="preserve">considered significant at P &lt; 0.05. </w:t>
      </w:r>
    </w:p>
    <w:p w:rsidR="001D6677" w:rsidRDefault="001D6677" w:rsidP="00D31BCB">
      <w:pPr>
        <w:autoSpaceDE w:val="0"/>
        <w:autoSpaceDN w:val="0"/>
        <w:adjustRightInd w:val="0"/>
        <w:spacing w:after="0" w:line="240" w:lineRule="auto"/>
        <w:ind w:left="0" w:firstLine="851"/>
        <w:rPr>
          <w:rFonts w:ascii="Times New Roman" w:eastAsia="TimesNewRomanPSMT" w:hAnsi="Times New Roman" w:cs="Times New Roman"/>
          <w:b/>
          <w:sz w:val="20"/>
          <w:szCs w:val="20"/>
          <w:lang w:val="en-US"/>
        </w:rPr>
      </w:pPr>
    </w:p>
    <w:p w:rsidR="004C062C" w:rsidRPr="0020167C" w:rsidRDefault="004C062C" w:rsidP="00D31BCB">
      <w:pPr>
        <w:autoSpaceDE w:val="0"/>
        <w:autoSpaceDN w:val="0"/>
        <w:adjustRightInd w:val="0"/>
        <w:spacing w:after="0" w:line="240" w:lineRule="auto"/>
        <w:ind w:left="0" w:firstLine="851"/>
        <w:rPr>
          <w:rFonts w:ascii="Times New Roman" w:eastAsia="TimesNewRomanPSMT" w:hAnsi="Times New Roman" w:cs="Times New Roman"/>
          <w:b/>
          <w:sz w:val="20"/>
          <w:szCs w:val="20"/>
          <w:lang w:val="en-US"/>
        </w:rPr>
      </w:pPr>
      <w:r w:rsidRPr="00B5541A">
        <w:rPr>
          <w:rFonts w:ascii="Times New Roman" w:eastAsia="TimesNewRomanPSMT" w:hAnsi="Times New Roman" w:cs="Times New Roman"/>
          <w:b/>
          <w:sz w:val="20"/>
          <w:szCs w:val="20"/>
          <w:lang w:val="en-US"/>
        </w:rPr>
        <w:t>Results</w:t>
      </w:r>
    </w:p>
    <w:p w:rsidR="004C062C" w:rsidRPr="0020167C" w:rsidRDefault="004C062C" w:rsidP="00DE50D3">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r w:rsidRPr="0020167C">
        <w:rPr>
          <w:rFonts w:ascii="Times New Roman" w:eastAsia="TimesNewRomanPSMT" w:hAnsi="Times New Roman" w:cs="Times New Roman"/>
          <w:sz w:val="20"/>
          <w:szCs w:val="20"/>
          <w:lang w:val="en-US"/>
        </w:rPr>
        <w:t xml:space="preserve">Analysis of the proinflammatory cytokines activity has shown a significant increase in the level of TNF-α in patients with hypertension compared to control: </w:t>
      </w:r>
      <w:r w:rsidR="009460E8">
        <w:rPr>
          <w:rFonts w:ascii="Times New Roman" w:eastAsia="TimesNewRomanPSMT" w:hAnsi="Times New Roman" w:cs="Times New Roman"/>
          <w:sz w:val="20"/>
          <w:szCs w:val="20"/>
          <w:lang w:val="en-US"/>
        </w:rPr>
        <w:t>18</w:t>
      </w:r>
      <w:r w:rsidR="00614971">
        <w:rPr>
          <w:rFonts w:ascii="Times New Roman" w:eastAsia="TimesNewRomanPSMT" w:hAnsi="Times New Roman" w:cs="Times New Roman"/>
          <w:sz w:val="20"/>
          <w:szCs w:val="20"/>
          <w:lang w:val="en-US"/>
        </w:rPr>
        <w:t>7 ± 18.1 and 13.2</w:t>
      </w:r>
      <w:r w:rsidR="009460E8">
        <w:rPr>
          <w:rFonts w:ascii="Times New Roman" w:eastAsia="TimesNewRomanPSMT" w:hAnsi="Times New Roman" w:cs="Times New Roman"/>
          <w:sz w:val="20"/>
          <w:szCs w:val="20"/>
          <w:lang w:val="en-US"/>
        </w:rPr>
        <w:t xml:space="preserve"> ± 3.40 pg/</w:t>
      </w:r>
      <w:r w:rsidRPr="0020167C">
        <w:rPr>
          <w:rFonts w:ascii="Times New Roman" w:eastAsia="TimesNewRomanPSMT" w:hAnsi="Times New Roman" w:cs="Times New Roman"/>
          <w:sz w:val="20"/>
          <w:szCs w:val="20"/>
          <w:lang w:val="en-US"/>
        </w:rPr>
        <w:t>m</w:t>
      </w:r>
      <w:r w:rsidR="009460E8">
        <w:rPr>
          <w:rFonts w:ascii="Times New Roman" w:eastAsia="TimesNewRomanPSMT" w:hAnsi="Times New Roman" w:cs="Times New Roman"/>
          <w:sz w:val="20"/>
          <w:szCs w:val="20"/>
          <w:lang w:val="en-US"/>
        </w:rPr>
        <w:t>L</w:t>
      </w:r>
      <w:r w:rsidRPr="00F65521">
        <w:rPr>
          <w:rFonts w:ascii="Times New Roman" w:eastAsia="TimesNewRomanPSMT" w:hAnsi="Times New Roman" w:cs="Times New Roman"/>
          <w:sz w:val="20"/>
          <w:szCs w:val="20"/>
          <w:lang w:val="en-US"/>
        </w:rPr>
        <w:t xml:space="preserve">, respectively (P </w:t>
      </w:r>
      <w:r w:rsidR="00AD48FA" w:rsidRPr="00F65521">
        <w:rPr>
          <w:rFonts w:ascii="Times New Roman" w:eastAsia="TimesNewRomanPSMT" w:hAnsi="Times New Roman" w:cs="Times New Roman"/>
          <w:sz w:val="20"/>
          <w:szCs w:val="20"/>
          <w:lang w:val="en-US"/>
        </w:rPr>
        <w:t xml:space="preserve">&lt; </w:t>
      </w:r>
      <w:r w:rsidRPr="00F65521">
        <w:rPr>
          <w:rFonts w:ascii="Times New Roman" w:eastAsia="TimesNewRomanPSMT" w:hAnsi="Times New Roman" w:cs="Times New Roman"/>
          <w:sz w:val="20"/>
          <w:szCs w:val="20"/>
          <w:lang w:val="en-US"/>
        </w:rPr>
        <w:t>0.001).</w:t>
      </w:r>
      <w:r w:rsidRPr="0020167C">
        <w:rPr>
          <w:rFonts w:ascii="Times New Roman" w:eastAsia="TimesNewRomanPSMT" w:hAnsi="Times New Roman" w:cs="Times New Roman"/>
          <w:sz w:val="20"/>
          <w:szCs w:val="20"/>
          <w:lang w:val="en-US"/>
        </w:rPr>
        <w:t xml:space="preserve"> A similar tendency was observed with respect to soluble fractions of the receptors for TNF-α. The value of sTNF-αRI for hypertension also excee</w:t>
      </w:r>
      <w:r w:rsidR="00EB2518">
        <w:rPr>
          <w:rFonts w:ascii="Times New Roman" w:eastAsia="TimesNewRomanPSMT" w:hAnsi="Times New Roman" w:cs="Times New Roman"/>
          <w:sz w:val="20"/>
          <w:szCs w:val="20"/>
          <w:lang w:val="en-US"/>
        </w:rPr>
        <w:t>ded that of the control group: 2.14 ± 0.28</w:t>
      </w:r>
      <w:r w:rsidRPr="0020167C">
        <w:rPr>
          <w:rFonts w:ascii="Times New Roman" w:eastAsia="TimesNewRomanPSMT" w:hAnsi="Times New Roman" w:cs="Times New Roman"/>
          <w:sz w:val="20"/>
          <w:szCs w:val="20"/>
          <w:lang w:val="en-US"/>
        </w:rPr>
        <w:t xml:space="preserve"> and</w:t>
      </w:r>
      <w:r w:rsidR="00EB2518">
        <w:rPr>
          <w:rFonts w:ascii="Times New Roman" w:eastAsia="TimesNewRomanPSMT" w:hAnsi="Times New Roman" w:cs="Times New Roman"/>
          <w:sz w:val="20"/>
          <w:szCs w:val="20"/>
          <w:lang w:val="en-US"/>
        </w:rPr>
        <w:t xml:space="preserve"> 1.20 ± 0.60 ng</w:t>
      </w:r>
      <w:r w:rsidRPr="0020167C">
        <w:rPr>
          <w:rFonts w:ascii="Times New Roman" w:eastAsia="TimesNewRomanPSMT" w:hAnsi="Times New Roman" w:cs="Times New Roman"/>
          <w:sz w:val="20"/>
          <w:szCs w:val="20"/>
          <w:lang w:val="en-US"/>
        </w:rPr>
        <w:t>/m</w:t>
      </w:r>
      <w:r w:rsidR="00EB2518">
        <w:rPr>
          <w:rFonts w:ascii="Times New Roman" w:eastAsia="TimesNewRomanPSMT" w:hAnsi="Times New Roman" w:cs="Times New Roman"/>
          <w:sz w:val="20"/>
          <w:szCs w:val="20"/>
          <w:lang w:val="en-US"/>
        </w:rPr>
        <w:t>L</w:t>
      </w:r>
      <w:r w:rsidRPr="0020167C">
        <w:rPr>
          <w:rFonts w:ascii="Times New Roman" w:eastAsia="TimesNewRomanPSMT" w:hAnsi="Times New Roman" w:cs="Times New Roman"/>
          <w:sz w:val="20"/>
          <w:szCs w:val="20"/>
          <w:lang w:val="en-US"/>
        </w:rPr>
        <w:t xml:space="preserve">, </w:t>
      </w:r>
      <w:r w:rsidRPr="00F65521">
        <w:rPr>
          <w:rFonts w:ascii="Times New Roman" w:eastAsia="TimesNewRomanPSMT" w:hAnsi="Times New Roman" w:cs="Times New Roman"/>
          <w:sz w:val="20"/>
          <w:szCs w:val="20"/>
          <w:lang w:val="en-US"/>
        </w:rPr>
        <w:t>respectively (P</w:t>
      </w:r>
      <w:r w:rsidR="008F6059">
        <w:rPr>
          <w:rFonts w:ascii="Times New Roman" w:eastAsia="TimesNewRomanPSMT" w:hAnsi="Times New Roman" w:cs="Times New Roman"/>
          <w:sz w:val="20"/>
          <w:szCs w:val="20"/>
          <w:lang w:val="en-US"/>
        </w:rPr>
        <w:t xml:space="preserve"> </w:t>
      </w:r>
      <w:r w:rsidR="00AD48FA" w:rsidRPr="00F65521">
        <w:rPr>
          <w:rFonts w:ascii="Times New Roman" w:eastAsia="TimesNewRomanPSMT" w:hAnsi="Times New Roman" w:cs="Times New Roman"/>
          <w:sz w:val="20"/>
          <w:szCs w:val="20"/>
          <w:lang w:val="en-US"/>
        </w:rPr>
        <w:t>&lt;</w:t>
      </w:r>
      <w:r w:rsidR="008F6059">
        <w:rPr>
          <w:rFonts w:ascii="Times New Roman" w:eastAsia="TimesNewRomanPSMT" w:hAnsi="Times New Roman" w:cs="Times New Roman"/>
          <w:sz w:val="20"/>
          <w:szCs w:val="20"/>
          <w:lang w:val="en-US"/>
        </w:rPr>
        <w:t xml:space="preserve"> </w:t>
      </w:r>
      <w:r w:rsidR="00AD48FA" w:rsidRPr="00F65521">
        <w:rPr>
          <w:rFonts w:ascii="Times New Roman" w:eastAsia="TimesNewRomanPSMT" w:hAnsi="Times New Roman" w:cs="Times New Roman"/>
          <w:sz w:val="20"/>
          <w:szCs w:val="20"/>
          <w:lang w:val="en-US"/>
        </w:rPr>
        <w:t>0.00</w:t>
      </w:r>
      <w:r w:rsidRPr="00F65521">
        <w:rPr>
          <w:rFonts w:ascii="Times New Roman" w:eastAsia="TimesNewRomanPSMT" w:hAnsi="Times New Roman" w:cs="Times New Roman"/>
          <w:sz w:val="20"/>
          <w:szCs w:val="20"/>
          <w:lang w:val="en-US"/>
        </w:rPr>
        <w:t>1).</w:t>
      </w:r>
      <w:r w:rsidRPr="0020167C">
        <w:rPr>
          <w:rFonts w:ascii="Times New Roman" w:eastAsia="TimesNewRomanPSMT" w:hAnsi="Times New Roman" w:cs="Times New Roman"/>
          <w:sz w:val="20"/>
          <w:szCs w:val="20"/>
          <w:lang w:val="en-US"/>
        </w:rPr>
        <w:t xml:space="preserve"> An increase in the </w:t>
      </w:r>
      <w:r w:rsidR="009C7C3D" w:rsidRPr="0020167C">
        <w:rPr>
          <w:rFonts w:ascii="Times New Roman" w:eastAsia="TimesNewRomanPSMT" w:hAnsi="Times New Roman" w:cs="Times New Roman"/>
          <w:sz w:val="20"/>
          <w:szCs w:val="20"/>
          <w:lang w:val="en-US"/>
        </w:rPr>
        <w:t>serum</w:t>
      </w:r>
      <w:r w:rsidRPr="0020167C">
        <w:rPr>
          <w:rFonts w:ascii="Times New Roman" w:eastAsia="TimesNewRomanPSMT" w:hAnsi="Times New Roman" w:cs="Times New Roman"/>
          <w:sz w:val="20"/>
          <w:szCs w:val="20"/>
          <w:lang w:val="en-US"/>
        </w:rPr>
        <w:t xml:space="preserve"> </w:t>
      </w:r>
      <w:r w:rsidR="00614971" w:rsidRPr="00614971">
        <w:rPr>
          <w:rFonts w:ascii="Times New Roman" w:eastAsia="TimesNewRomanPSMT" w:hAnsi="Times New Roman" w:cs="Times New Roman"/>
          <w:sz w:val="20"/>
          <w:szCs w:val="20"/>
          <w:lang w:val="en-US"/>
        </w:rPr>
        <w:t xml:space="preserve">8-isoprostane </w:t>
      </w:r>
      <w:r w:rsidRPr="0020167C">
        <w:rPr>
          <w:rFonts w:ascii="Times New Roman" w:eastAsia="TimesNewRomanPSMT" w:hAnsi="Times New Roman" w:cs="Times New Roman"/>
          <w:sz w:val="20"/>
          <w:szCs w:val="20"/>
          <w:lang w:val="en-US"/>
        </w:rPr>
        <w:t xml:space="preserve">was also found </w:t>
      </w:r>
      <w:r w:rsidR="009C7C3D" w:rsidRPr="0020167C">
        <w:rPr>
          <w:rFonts w:ascii="Times New Roman" w:eastAsia="TimesNewRomanPSMT" w:hAnsi="Times New Roman" w:cs="Times New Roman"/>
          <w:sz w:val="20"/>
          <w:szCs w:val="20"/>
          <w:lang w:val="en-US"/>
        </w:rPr>
        <w:t xml:space="preserve">in patients with hypertension </w:t>
      </w:r>
      <w:r w:rsidR="00EB2518">
        <w:rPr>
          <w:rFonts w:ascii="Times New Roman" w:eastAsia="TimesNewRomanPSMT" w:hAnsi="Times New Roman" w:cs="Times New Roman"/>
          <w:sz w:val="20"/>
          <w:szCs w:val="20"/>
          <w:lang w:val="en-US"/>
        </w:rPr>
        <w:t>compared to healthy controls: 17.</w:t>
      </w:r>
      <w:r w:rsidR="00614971">
        <w:rPr>
          <w:rFonts w:ascii="Times New Roman" w:eastAsia="TimesNewRomanPSMT" w:hAnsi="Times New Roman" w:cs="Times New Roman"/>
          <w:sz w:val="20"/>
          <w:szCs w:val="20"/>
          <w:lang w:val="en-US"/>
        </w:rPr>
        <w:t>2</w:t>
      </w:r>
      <w:r w:rsidR="00EB2518">
        <w:rPr>
          <w:rFonts w:ascii="Times New Roman" w:eastAsia="TimesNewRomanPSMT" w:hAnsi="Times New Roman" w:cs="Times New Roman"/>
          <w:sz w:val="20"/>
          <w:szCs w:val="20"/>
          <w:lang w:val="en-US"/>
        </w:rPr>
        <w:t xml:space="preserve"> ± 3.12 and 1.41 ± 0.</w:t>
      </w:r>
      <w:r w:rsidR="00FA67C9" w:rsidRPr="00FA67C9">
        <w:rPr>
          <w:rFonts w:ascii="Times New Roman" w:eastAsia="TimesNewRomanPSMT" w:hAnsi="Times New Roman" w:cs="Times New Roman"/>
          <w:sz w:val="20"/>
          <w:szCs w:val="20"/>
          <w:lang w:val="en-US"/>
        </w:rPr>
        <w:t>25</w:t>
      </w:r>
      <w:r w:rsidR="00EB2518">
        <w:rPr>
          <w:rFonts w:ascii="Times New Roman" w:eastAsia="TimesNewRomanPSMT" w:hAnsi="Times New Roman" w:cs="Times New Roman"/>
          <w:sz w:val="20"/>
          <w:szCs w:val="20"/>
          <w:lang w:val="en-US"/>
        </w:rPr>
        <w:t xml:space="preserve"> pg/</w:t>
      </w:r>
      <w:r w:rsidRPr="0020167C">
        <w:rPr>
          <w:rFonts w:ascii="Times New Roman" w:eastAsia="TimesNewRomanPSMT" w:hAnsi="Times New Roman" w:cs="Times New Roman"/>
          <w:sz w:val="20"/>
          <w:szCs w:val="20"/>
          <w:lang w:val="en-US"/>
        </w:rPr>
        <w:t>m</w:t>
      </w:r>
      <w:r w:rsidR="00EB2518">
        <w:rPr>
          <w:rFonts w:ascii="Times New Roman" w:eastAsia="TimesNewRomanPSMT" w:hAnsi="Times New Roman" w:cs="Times New Roman"/>
          <w:sz w:val="20"/>
          <w:szCs w:val="20"/>
          <w:lang w:val="en-US"/>
        </w:rPr>
        <w:t>L</w:t>
      </w:r>
      <w:r w:rsidRPr="0020167C">
        <w:rPr>
          <w:rFonts w:ascii="Times New Roman" w:eastAsia="TimesNewRomanPSMT" w:hAnsi="Times New Roman" w:cs="Times New Roman"/>
          <w:sz w:val="20"/>
          <w:szCs w:val="20"/>
          <w:lang w:val="en-US"/>
        </w:rPr>
        <w:t>, respectively</w:t>
      </w:r>
      <w:r w:rsidRPr="00F65521">
        <w:rPr>
          <w:rFonts w:ascii="Times New Roman" w:eastAsia="TimesNewRomanPSMT" w:hAnsi="Times New Roman" w:cs="Times New Roman"/>
          <w:sz w:val="20"/>
          <w:szCs w:val="20"/>
          <w:lang w:val="en-US"/>
        </w:rPr>
        <w:t xml:space="preserve"> </w:t>
      </w:r>
      <w:r w:rsidR="00EB2518">
        <w:rPr>
          <w:rFonts w:ascii="Times New Roman" w:eastAsia="TimesNewRomanPSMT" w:hAnsi="Times New Roman" w:cs="Times New Roman"/>
          <w:sz w:val="20"/>
          <w:szCs w:val="20"/>
          <w:lang w:val="en-US"/>
        </w:rPr>
        <w:t xml:space="preserve">(P </w:t>
      </w:r>
      <w:r w:rsidRPr="00F65521">
        <w:rPr>
          <w:rFonts w:ascii="Times New Roman" w:eastAsia="TimesNewRomanPSMT" w:hAnsi="Times New Roman" w:cs="Times New Roman"/>
          <w:sz w:val="20"/>
          <w:szCs w:val="20"/>
          <w:lang w:val="en-US"/>
        </w:rPr>
        <w:t>&lt; 0.05</w:t>
      </w:r>
      <w:r w:rsidR="00EB2518">
        <w:rPr>
          <w:rFonts w:ascii="Times New Roman" w:eastAsia="TimesNewRomanPSMT" w:hAnsi="Times New Roman" w:cs="Times New Roman"/>
          <w:sz w:val="20"/>
          <w:szCs w:val="20"/>
          <w:lang w:val="en-US"/>
        </w:rPr>
        <w:t>)</w:t>
      </w:r>
      <w:r w:rsidRPr="00F65521">
        <w:rPr>
          <w:rFonts w:ascii="Times New Roman" w:eastAsia="TimesNewRomanPSMT" w:hAnsi="Times New Roman" w:cs="Times New Roman"/>
          <w:sz w:val="20"/>
          <w:szCs w:val="20"/>
          <w:lang w:val="en-US"/>
        </w:rPr>
        <w:t>. The level</w:t>
      </w:r>
      <w:r w:rsidRPr="0020167C">
        <w:rPr>
          <w:rFonts w:ascii="Times New Roman" w:eastAsia="TimesNewRomanPSMT" w:hAnsi="Times New Roman" w:cs="Times New Roman"/>
          <w:sz w:val="20"/>
          <w:szCs w:val="20"/>
          <w:lang w:val="en-US"/>
        </w:rPr>
        <w:t xml:space="preserve"> of </w:t>
      </w:r>
      <w:r w:rsidR="00614971" w:rsidRPr="00614971">
        <w:rPr>
          <w:rFonts w:ascii="Times New Roman" w:eastAsia="TimesNewRomanPSMT" w:hAnsi="Times New Roman" w:cs="Times New Roman"/>
          <w:sz w:val="20"/>
          <w:szCs w:val="20"/>
          <w:lang w:val="en-US"/>
        </w:rPr>
        <w:t>8-isoprostane</w:t>
      </w:r>
      <w:r w:rsidRPr="0020167C">
        <w:rPr>
          <w:rFonts w:ascii="Times New Roman" w:eastAsia="TimesNewRomanPSMT" w:hAnsi="Times New Roman" w:cs="Times New Roman"/>
          <w:sz w:val="20"/>
          <w:szCs w:val="20"/>
          <w:lang w:val="en-US"/>
        </w:rPr>
        <w:t xml:space="preserve"> in the presence of hypertension was 12.</w:t>
      </w:r>
      <w:r w:rsidR="00614971">
        <w:rPr>
          <w:rFonts w:ascii="Times New Roman" w:eastAsia="TimesNewRomanPSMT" w:hAnsi="Times New Roman" w:cs="Times New Roman"/>
          <w:sz w:val="20"/>
          <w:szCs w:val="20"/>
          <w:lang w:val="en-US"/>
        </w:rPr>
        <w:t>2</w:t>
      </w:r>
      <w:r w:rsidRPr="0020167C">
        <w:rPr>
          <w:rFonts w:ascii="Times New Roman" w:eastAsia="TimesNewRomanPSMT" w:hAnsi="Times New Roman" w:cs="Times New Roman"/>
          <w:sz w:val="20"/>
          <w:szCs w:val="20"/>
          <w:lang w:val="en-US"/>
        </w:rPr>
        <w:t xml:space="preserve"> times compared to control group.</w:t>
      </w:r>
      <w:r w:rsidR="00DE50D3">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 xml:space="preserve">Considering the available data on the importance of CRP as a marker of systemic inflammation in </w:t>
      </w:r>
      <w:r w:rsidRPr="00B5541A">
        <w:rPr>
          <w:rFonts w:ascii="Times New Roman" w:eastAsia="TimesNewRomanPSMT" w:hAnsi="Times New Roman" w:cs="Times New Roman"/>
          <w:sz w:val="20"/>
          <w:szCs w:val="20"/>
          <w:lang w:val="en-US"/>
        </w:rPr>
        <w:t xml:space="preserve">cardiovascular pathology and a predictor of the development of heart failure (HF) and hypertension, we have assessed the levels of </w:t>
      </w:r>
      <w:r w:rsidR="0038323F" w:rsidRPr="00B5541A">
        <w:rPr>
          <w:rFonts w:ascii="Times New Roman" w:eastAsia="TimesNewRomanPSMT" w:hAnsi="Times New Roman" w:cs="Times New Roman"/>
          <w:sz w:val="20"/>
          <w:szCs w:val="20"/>
          <w:lang w:val="en-US"/>
        </w:rPr>
        <w:t>serum</w:t>
      </w:r>
      <w:r w:rsidRPr="00B5541A">
        <w:rPr>
          <w:rFonts w:ascii="Times New Roman" w:eastAsia="TimesNewRomanPSMT" w:hAnsi="Times New Roman" w:cs="Times New Roman"/>
          <w:sz w:val="20"/>
          <w:szCs w:val="20"/>
          <w:lang w:val="en-US"/>
        </w:rPr>
        <w:t xml:space="preserve"> CRP in</w:t>
      </w:r>
      <w:r w:rsidR="0035209C">
        <w:rPr>
          <w:rFonts w:ascii="Times New Roman" w:eastAsia="TimesNewRomanPSMT" w:hAnsi="Times New Roman" w:cs="Times New Roman"/>
          <w:sz w:val="20"/>
          <w:szCs w:val="20"/>
          <w:lang w:val="en-US"/>
        </w:rPr>
        <w:t xml:space="preserve"> patients with hypertension and</w:t>
      </w:r>
      <w:r w:rsidRPr="00B5541A">
        <w:rPr>
          <w:rFonts w:ascii="Times New Roman" w:eastAsia="TimesNewRomanPSMT" w:hAnsi="Times New Roman" w:cs="Times New Roman"/>
          <w:sz w:val="20"/>
          <w:szCs w:val="20"/>
          <w:lang w:val="en-US"/>
        </w:rPr>
        <w:t xml:space="preserve"> revealed the values exceeding </w:t>
      </w:r>
      <w:r w:rsidR="00400171" w:rsidRPr="00B5541A">
        <w:rPr>
          <w:rFonts w:ascii="Times New Roman" w:eastAsia="TimesNewRomanPSMT" w:hAnsi="Times New Roman" w:cs="Times New Roman"/>
          <w:sz w:val="20"/>
          <w:szCs w:val="20"/>
          <w:lang w:val="en-US"/>
        </w:rPr>
        <w:t>control group</w:t>
      </w:r>
      <w:r w:rsidR="00614971">
        <w:rPr>
          <w:rFonts w:ascii="Times New Roman" w:eastAsia="TimesNewRomanPSMT" w:hAnsi="Times New Roman" w:cs="Times New Roman"/>
          <w:sz w:val="20"/>
          <w:szCs w:val="20"/>
          <w:lang w:val="en-US"/>
        </w:rPr>
        <w:t xml:space="preserve"> </w:t>
      </w:r>
      <w:r w:rsidR="00EB2518">
        <w:rPr>
          <w:rFonts w:ascii="Times New Roman" w:eastAsia="TimesNewRomanPSMT" w:hAnsi="Times New Roman" w:cs="Times New Roman"/>
          <w:sz w:val="20"/>
          <w:szCs w:val="20"/>
          <w:lang w:val="en-US"/>
        </w:rPr>
        <w:t>mean 6.23 ± 0.33 mg</w:t>
      </w:r>
      <w:r w:rsidRPr="00B5541A">
        <w:rPr>
          <w:rFonts w:ascii="Times New Roman" w:eastAsia="TimesNewRomanPSMT" w:hAnsi="Times New Roman" w:cs="Times New Roman"/>
          <w:sz w:val="20"/>
          <w:szCs w:val="20"/>
          <w:lang w:val="en-US"/>
        </w:rPr>
        <w:t>/</w:t>
      </w:r>
      <w:r w:rsidR="00EB2518">
        <w:rPr>
          <w:rFonts w:ascii="Times New Roman" w:eastAsia="TimesNewRomanPSMT" w:hAnsi="Times New Roman" w:cs="Times New Roman"/>
          <w:sz w:val="20"/>
          <w:szCs w:val="20"/>
          <w:lang w:val="en-US"/>
        </w:rPr>
        <w:t>L</w:t>
      </w:r>
      <w:r w:rsidRPr="00B5541A">
        <w:rPr>
          <w:rFonts w:ascii="Times New Roman" w:eastAsia="TimesNewRomanPSMT" w:hAnsi="Times New Roman" w:cs="Times New Roman"/>
          <w:sz w:val="20"/>
          <w:szCs w:val="20"/>
          <w:lang w:val="en-US"/>
        </w:rPr>
        <w:t>.</w:t>
      </w:r>
    </w:p>
    <w:p w:rsidR="00F65521" w:rsidRDefault="004C062C" w:rsidP="00D31BCB">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r w:rsidRPr="0020167C">
        <w:rPr>
          <w:rFonts w:ascii="Times New Roman" w:eastAsia="TimesNewRomanPSMT" w:hAnsi="Times New Roman" w:cs="Times New Roman"/>
          <w:sz w:val="20"/>
          <w:szCs w:val="20"/>
          <w:lang w:val="en-US"/>
        </w:rPr>
        <w:t>In order to elucidate the influence of not only the presence, but also the grade of increase in blood pressure on the expression of TNF-</w:t>
      </w:r>
      <w:r w:rsidRPr="0020167C">
        <w:rPr>
          <w:rFonts w:ascii="Times New Roman" w:eastAsia="TimesNewRomanPSMT" w:hAnsi="Times New Roman" w:cs="Times New Roman"/>
          <w:sz w:val="20"/>
          <w:szCs w:val="20"/>
        </w:rPr>
        <w:t>α</w:t>
      </w:r>
      <w:r w:rsidRPr="0020167C">
        <w:rPr>
          <w:rFonts w:ascii="Times New Roman" w:eastAsia="TimesNewRomanPSMT" w:hAnsi="Times New Roman" w:cs="Times New Roman"/>
          <w:sz w:val="20"/>
          <w:szCs w:val="20"/>
          <w:lang w:val="en-US"/>
        </w:rPr>
        <w:t>, sTNF-</w:t>
      </w:r>
      <w:r w:rsidRPr="0020167C">
        <w:rPr>
          <w:rFonts w:ascii="Times New Roman" w:eastAsia="TimesNewRomanPSMT" w:hAnsi="Times New Roman" w:cs="Times New Roman"/>
          <w:sz w:val="20"/>
          <w:szCs w:val="20"/>
        </w:rPr>
        <w:t>α</w:t>
      </w:r>
      <w:r w:rsidRPr="0020167C">
        <w:rPr>
          <w:rFonts w:ascii="Times New Roman" w:eastAsia="TimesNewRomanPSMT" w:hAnsi="Times New Roman" w:cs="Times New Roman"/>
          <w:sz w:val="20"/>
          <w:szCs w:val="20"/>
          <w:lang w:val="en-US"/>
        </w:rPr>
        <w:t>RI, CRP, and also to evaluate the presence of oxidative stress and the degree of its manifestation, all patients were divided into groups depending on the grade of hypertension</w:t>
      </w:r>
      <w:r w:rsidR="00912049">
        <w:rPr>
          <w:rFonts w:ascii="Times New Roman" w:eastAsia="TimesNewRomanPSMT" w:hAnsi="Times New Roman" w:cs="Times New Roman"/>
          <w:sz w:val="20"/>
          <w:szCs w:val="20"/>
          <w:lang w:val="en-US"/>
        </w:rPr>
        <w:t xml:space="preserve"> (</w:t>
      </w:r>
      <w:r w:rsidR="00912049" w:rsidRPr="00B5541A">
        <w:rPr>
          <w:rFonts w:ascii="Times New Roman" w:eastAsia="TimesNewRomanPSMT" w:hAnsi="Times New Roman" w:cs="Times New Roman"/>
          <w:sz w:val="20"/>
          <w:szCs w:val="20"/>
          <w:lang w:val="en-US"/>
        </w:rPr>
        <w:t>Table 2</w:t>
      </w:r>
      <w:r w:rsidR="00912049">
        <w:rPr>
          <w:rFonts w:ascii="Times New Roman" w:eastAsia="TimesNewRomanPSMT" w:hAnsi="Times New Roman" w:cs="Times New Roman"/>
          <w:sz w:val="20"/>
          <w:szCs w:val="20"/>
          <w:lang w:val="en-US"/>
        </w:rPr>
        <w:t>)</w:t>
      </w:r>
      <w:r w:rsidR="00912049" w:rsidRPr="00B5541A">
        <w:rPr>
          <w:rFonts w:ascii="Times New Roman" w:eastAsia="TimesNewRomanPSMT" w:hAnsi="Times New Roman" w:cs="Times New Roman"/>
          <w:sz w:val="20"/>
          <w:szCs w:val="20"/>
          <w:lang w:val="en-US"/>
        </w:rPr>
        <w:t>.</w:t>
      </w:r>
      <w:r w:rsidR="00912049" w:rsidRPr="0020167C">
        <w:rPr>
          <w:rFonts w:ascii="Times New Roman" w:eastAsia="TimesNewRomanPSMT" w:hAnsi="Times New Roman" w:cs="Times New Roman"/>
          <w:sz w:val="20"/>
          <w:szCs w:val="20"/>
          <w:lang w:val="en-US"/>
        </w:rPr>
        <w:t xml:space="preserve"> </w:t>
      </w:r>
    </w:p>
    <w:p w:rsidR="004933FC" w:rsidRPr="0020167C" w:rsidRDefault="004933FC" w:rsidP="00055366">
      <w:pPr>
        <w:pStyle w:val="Default"/>
        <w:jc w:val="right"/>
        <w:rPr>
          <w:rFonts w:ascii="Times New Roman" w:eastAsia="TimesNewRomanPSMT" w:hAnsi="Times New Roman" w:cs="Times New Roman"/>
          <w:b/>
          <w:color w:val="auto"/>
          <w:sz w:val="20"/>
          <w:szCs w:val="20"/>
          <w:lang w:val="en-US"/>
        </w:rPr>
      </w:pPr>
      <w:r w:rsidRPr="00B5541A">
        <w:rPr>
          <w:rFonts w:ascii="Times New Roman" w:eastAsia="TimesNewRomanPSMT" w:hAnsi="Times New Roman" w:cs="Times New Roman"/>
          <w:b/>
          <w:color w:val="auto"/>
          <w:sz w:val="20"/>
          <w:szCs w:val="20"/>
          <w:lang w:val="en-US"/>
        </w:rPr>
        <w:t xml:space="preserve">Table </w:t>
      </w:r>
      <w:r w:rsidRPr="00B5541A">
        <w:rPr>
          <w:rFonts w:ascii="Times New Roman" w:eastAsia="TimesNewRomanPSMT" w:hAnsi="Times New Roman" w:cs="Times New Roman"/>
          <w:b/>
          <w:color w:val="auto"/>
          <w:sz w:val="20"/>
          <w:szCs w:val="20"/>
          <w:lang w:val="uk-UA"/>
        </w:rPr>
        <w:t>2</w:t>
      </w:r>
      <w:r w:rsidRPr="0020167C">
        <w:rPr>
          <w:rFonts w:ascii="Times New Roman" w:eastAsia="TimesNewRomanPSMT" w:hAnsi="Times New Roman" w:cs="Times New Roman"/>
          <w:b/>
          <w:color w:val="auto"/>
          <w:sz w:val="20"/>
          <w:szCs w:val="20"/>
          <w:lang w:val="en-US"/>
        </w:rPr>
        <w:t xml:space="preserve"> </w:t>
      </w:r>
    </w:p>
    <w:p w:rsidR="004933FC" w:rsidRPr="0020167C" w:rsidRDefault="004933FC" w:rsidP="00055366">
      <w:pPr>
        <w:pStyle w:val="Default"/>
        <w:rPr>
          <w:rFonts w:ascii="Times New Roman" w:eastAsia="TimesNewRomanPSMT" w:hAnsi="Times New Roman" w:cs="Times New Roman"/>
          <w:b/>
          <w:sz w:val="20"/>
          <w:szCs w:val="20"/>
          <w:lang w:val="en-US"/>
        </w:rPr>
      </w:pPr>
      <w:r w:rsidRPr="0020167C">
        <w:rPr>
          <w:rFonts w:ascii="Times New Roman" w:eastAsia="TimesNewRomanPSMT" w:hAnsi="Times New Roman" w:cs="Times New Roman"/>
          <w:b/>
          <w:color w:val="auto"/>
          <w:sz w:val="20"/>
          <w:szCs w:val="20"/>
          <w:lang w:val="en-US"/>
        </w:rPr>
        <w:t xml:space="preserve">Levels of </w:t>
      </w:r>
      <w:r w:rsidRPr="0020167C">
        <w:rPr>
          <w:rFonts w:ascii="Times New Roman" w:eastAsia="TimesNewRomanPSMT" w:hAnsi="Times New Roman" w:cs="Times New Roman"/>
          <w:b/>
          <w:sz w:val="20"/>
          <w:szCs w:val="20"/>
          <w:lang w:val="en-US"/>
        </w:rPr>
        <w:t>TNF-</w:t>
      </w:r>
      <w:r w:rsidRPr="0020167C">
        <w:rPr>
          <w:rFonts w:ascii="Times New Roman" w:eastAsia="TimesNewRomanPSMT" w:hAnsi="Times New Roman" w:cs="Times New Roman"/>
          <w:b/>
          <w:sz w:val="20"/>
          <w:szCs w:val="20"/>
        </w:rPr>
        <w:t>α</w:t>
      </w:r>
      <w:r w:rsidRPr="0020167C">
        <w:rPr>
          <w:rFonts w:ascii="Times New Roman" w:eastAsia="TimesNewRomanPSMT" w:hAnsi="Times New Roman" w:cs="Times New Roman"/>
          <w:b/>
          <w:sz w:val="20"/>
          <w:szCs w:val="20"/>
          <w:lang w:val="en-US"/>
        </w:rPr>
        <w:t>, sTNF-</w:t>
      </w:r>
      <w:r w:rsidRPr="0020167C">
        <w:rPr>
          <w:rFonts w:ascii="Times New Roman" w:eastAsia="TimesNewRomanPSMT" w:hAnsi="Times New Roman" w:cs="Times New Roman"/>
          <w:b/>
          <w:sz w:val="20"/>
          <w:szCs w:val="20"/>
        </w:rPr>
        <w:t>α</w:t>
      </w:r>
      <w:r w:rsidRPr="0020167C">
        <w:rPr>
          <w:rFonts w:ascii="Times New Roman" w:eastAsia="TimesNewRomanPSMT" w:hAnsi="Times New Roman" w:cs="Times New Roman"/>
          <w:b/>
          <w:sz w:val="20"/>
          <w:szCs w:val="20"/>
          <w:lang w:val="en-US"/>
        </w:rPr>
        <w:t xml:space="preserve">RI, CRP, and 8-isoprostane </w:t>
      </w:r>
      <w:r w:rsidR="00785EFD">
        <w:rPr>
          <w:rFonts w:ascii="Times New Roman" w:eastAsia="TimesNewRomanPSMT" w:hAnsi="Times New Roman" w:cs="Times New Roman"/>
          <w:b/>
          <w:sz w:val="20"/>
          <w:szCs w:val="20"/>
          <w:lang w:val="en-US"/>
        </w:rPr>
        <w:t xml:space="preserve">in </w:t>
      </w:r>
      <w:r w:rsidR="0008424D" w:rsidRPr="0008424D">
        <w:rPr>
          <w:rFonts w:ascii="Times New Roman" w:eastAsia="TimesNewRomanPSMT" w:hAnsi="Times New Roman" w:cs="Times New Roman"/>
          <w:b/>
          <w:sz w:val="20"/>
          <w:szCs w:val="20"/>
          <w:lang w:val="en-US"/>
        </w:rPr>
        <w:t xml:space="preserve">patients with varying </w:t>
      </w:r>
      <w:r w:rsidRPr="0020167C">
        <w:rPr>
          <w:rFonts w:ascii="Times New Roman" w:eastAsia="TimesNewRomanPSMT" w:hAnsi="Times New Roman" w:cs="Times New Roman"/>
          <w:b/>
          <w:sz w:val="20"/>
          <w:szCs w:val="20"/>
          <w:lang w:val="en-US"/>
        </w:rPr>
        <w:t>the grade of hypertension</w:t>
      </w:r>
      <w:r w:rsidR="00785EFD">
        <w:rPr>
          <w:rFonts w:ascii="Times New Roman" w:eastAsia="TimesNewRomanPSMT" w:hAnsi="Times New Roman" w:cs="Times New Roman"/>
          <w:b/>
          <w:sz w:val="20"/>
          <w:szCs w:val="20"/>
          <w:lang w:val="en-US"/>
        </w:rPr>
        <w:t xml:space="preserve"> </w:t>
      </w:r>
      <w:r w:rsidR="00620D9A" w:rsidRPr="00620D9A">
        <w:rPr>
          <w:rFonts w:ascii="Times New Roman" w:eastAsia="TimesNewRomanPSMT" w:hAnsi="Times New Roman" w:cs="Times New Roman"/>
          <w:b/>
          <w:sz w:val="20"/>
          <w:szCs w:val="20"/>
          <w:lang w:val="en-US"/>
        </w:rPr>
        <w:t>(x ± SD)</w:t>
      </w:r>
      <w:r w:rsidR="00785EFD">
        <w:rPr>
          <w:rFonts w:ascii="Times New Roman" w:eastAsia="TimesNewRomanPSMT" w:hAnsi="Times New Roman" w:cs="Times New Roman"/>
          <w:b/>
          <w:sz w:val="20"/>
          <w:szCs w:val="20"/>
          <w:lang w:val="en-US"/>
        </w:rPr>
        <w:t xml:space="preserve">   </w:t>
      </w:r>
    </w:p>
    <w:tbl>
      <w:tblPr>
        <w:tblStyle w:val="a3"/>
        <w:tblW w:w="10031" w:type="dxa"/>
        <w:tblLayout w:type="fixed"/>
        <w:tblLook w:val="04A0" w:firstRow="1" w:lastRow="0" w:firstColumn="1" w:lastColumn="0" w:noHBand="0" w:noVBand="1"/>
      </w:tblPr>
      <w:tblGrid>
        <w:gridCol w:w="2122"/>
        <w:gridCol w:w="1530"/>
        <w:gridCol w:w="2268"/>
        <w:gridCol w:w="1985"/>
        <w:gridCol w:w="2126"/>
      </w:tblGrid>
      <w:tr w:rsidR="004933FC" w:rsidRPr="0020167C" w:rsidTr="00055366">
        <w:tc>
          <w:tcPr>
            <w:tcW w:w="2122" w:type="dxa"/>
            <w:vMerge w:val="restart"/>
            <w:tcBorders>
              <w:left w:val="nil"/>
              <w:right w:val="nil"/>
            </w:tcBorders>
          </w:tcPr>
          <w:p w:rsidR="004933FC" w:rsidRPr="0020167C" w:rsidRDefault="004933FC" w:rsidP="00055366">
            <w:pPr>
              <w:pStyle w:val="Default"/>
              <w:ind w:firstLine="0"/>
              <w:jc w:val="left"/>
              <w:rPr>
                <w:rFonts w:ascii="Times New Roman" w:eastAsia="TimesNewRomanPSMT" w:hAnsi="Times New Roman" w:cs="Times New Roman"/>
                <w:color w:val="auto"/>
                <w:sz w:val="20"/>
                <w:szCs w:val="20"/>
                <w:lang w:val="uk-UA"/>
              </w:rPr>
            </w:pPr>
            <w:r w:rsidRPr="0020167C">
              <w:rPr>
                <w:rFonts w:ascii="Times New Roman" w:eastAsia="TimesNewRomanPSMT" w:hAnsi="Times New Roman" w:cs="Times New Roman"/>
                <w:sz w:val="20"/>
                <w:szCs w:val="20"/>
                <w:lang w:val="en-US"/>
              </w:rPr>
              <w:t>Paramet</w:t>
            </w:r>
            <w:r w:rsidRPr="0020167C">
              <w:rPr>
                <w:rFonts w:ascii="Times New Roman" w:eastAsia="TimesNewRomanPSMT" w:hAnsi="Times New Roman" w:cs="Times New Roman"/>
                <w:sz w:val="20"/>
                <w:szCs w:val="20"/>
              </w:rPr>
              <w:t>er</w:t>
            </w:r>
          </w:p>
        </w:tc>
        <w:tc>
          <w:tcPr>
            <w:tcW w:w="1530" w:type="dxa"/>
            <w:vMerge w:val="restart"/>
            <w:tcBorders>
              <w:left w:val="nil"/>
              <w:right w:val="nil"/>
            </w:tcBorders>
          </w:tcPr>
          <w:p w:rsidR="004933FC" w:rsidRPr="0020167C" w:rsidRDefault="004933FC" w:rsidP="00055366">
            <w:pPr>
              <w:pStyle w:val="Default"/>
              <w:ind w:left="288" w:firstLine="0"/>
              <w:jc w:val="left"/>
              <w:rPr>
                <w:rFonts w:ascii="Times New Roman" w:eastAsia="TimesNewRomanPSMT" w:hAnsi="Times New Roman" w:cs="Times New Roman"/>
                <w:color w:val="auto"/>
                <w:sz w:val="20"/>
                <w:szCs w:val="20"/>
                <w:lang w:val="uk-UA"/>
              </w:rPr>
            </w:pPr>
            <w:r w:rsidRPr="0020167C">
              <w:rPr>
                <w:rFonts w:ascii="Times New Roman" w:eastAsia="TimesNewRomanPSMT" w:hAnsi="Times New Roman" w:cs="Times New Roman"/>
                <w:sz w:val="20"/>
                <w:szCs w:val="20"/>
              </w:rPr>
              <w:t>Сontrol group</w:t>
            </w:r>
          </w:p>
        </w:tc>
        <w:tc>
          <w:tcPr>
            <w:tcW w:w="6379" w:type="dxa"/>
            <w:gridSpan w:val="3"/>
            <w:tcBorders>
              <w:left w:val="nil"/>
              <w:bottom w:val="single" w:sz="4" w:space="0" w:color="auto"/>
              <w:right w:val="nil"/>
            </w:tcBorders>
          </w:tcPr>
          <w:p w:rsidR="004933FC" w:rsidRPr="0020167C" w:rsidRDefault="004933FC" w:rsidP="00055366">
            <w:pPr>
              <w:pStyle w:val="Default"/>
              <w:jc w:val="center"/>
              <w:rPr>
                <w:rFonts w:ascii="Times New Roman" w:eastAsia="TimesNewRomanPSMT" w:hAnsi="Times New Roman" w:cs="Times New Roman"/>
                <w:b/>
                <w:color w:val="auto"/>
                <w:sz w:val="20"/>
                <w:szCs w:val="20"/>
                <w:lang w:val="en-US"/>
              </w:rPr>
            </w:pPr>
            <w:r w:rsidRPr="0020167C">
              <w:rPr>
                <w:rFonts w:ascii="Times New Roman" w:eastAsia="TimesNewRomanPSMT" w:hAnsi="Times New Roman" w:cs="Times New Roman"/>
                <w:sz w:val="20"/>
                <w:szCs w:val="20"/>
                <w:lang w:val="en-US"/>
              </w:rPr>
              <w:t>Patients with hypertension</w:t>
            </w:r>
          </w:p>
        </w:tc>
      </w:tr>
      <w:tr w:rsidR="004933FC" w:rsidRPr="0020167C" w:rsidTr="00614971">
        <w:tc>
          <w:tcPr>
            <w:tcW w:w="2122" w:type="dxa"/>
            <w:vMerge/>
            <w:tcBorders>
              <w:top w:val="nil"/>
              <w:left w:val="nil"/>
              <w:bottom w:val="single" w:sz="4" w:space="0" w:color="auto"/>
              <w:right w:val="nil"/>
            </w:tcBorders>
          </w:tcPr>
          <w:p w:rsidR="004933FC" w:rsidRPr="0020167C" w:rsidRDefault="004933FC" w:rsidP="00055366">
            <w:pPr>
              <w:pStyle w:val="Default"/>
              <w:jc w:val="center"/>
              <w:rPr>
                <w:rFonts w:ascii="Times New Roman" w:eastAsia="TimesNewRomanPSMT" w:hAnsi="Times New Roman" w:cs="Times New Roman"/>
                <w:b/>
                <w:color w:val="auto"/>
                <w:sz w:val="20"/>
                <w:szCs w:val="20"/>
                <w:lang w:val="uk-UA"/>
              </w:rPr>
            </w:pPr>
          </w:p>
        </w:tc>
        <w:tc>
          <w:tcPr>
            <w:tcW w:w="1530" w:type="dxa"/>
            <w:vMerge/>
            <w:tcBorders>
              <w:top w:val="nil"/>
              <w:left w:val="nil"/>
              <w:bottom w:val="single" w:sz="4" w:space="0" w:color="auto"/>
              <w:right w:val="nil"/>
            </w:tcBorders>
          </w:tcPr>
          <w:p w:rsidR="004933FC" w:rsidRPr="0020167C" w:rsidRDefault="004933FC" w:rsidP="00055366">
            <w:pPr>
              <w:pStyle w:val="Default"/>
              <w:jc w:val="center"/>
              <w:rPr>
                <w:rFonts w:ascii="Times New Roman" w:eastAsia="TimesNewRomanPSMT" w:hAnsi="Times New Roman" w:cs="Times New Roman"/>
                <w:b/>
                <w:color w:val="auto"/>
                <w:sz w:val="20"/>
                <w:szCs w:val="20"/>
                <w:lang w:val="uk-UA"/>
              </w:rPr>
            </w:pPr>
          </w:p>
        </w:tc>
        <w:tc>
          <w:tcPr>
            <w:tcW w:w="2268" w:type="dxa"/>
            <w:tcBorders>
              <w:left w:val="nil"/>
              <w:bottom w:val="single" w:sz="4" w:space="0" w:color="auto"/>
              <w:right w:val="nil"/>
            </w:tcBorders>
          </w:tcPr>
          <w:p w:rsidR="004933FC" w:rsidRPr="0020167C" w:rsidRDefault="004933FC" w:rsidP="00055366">
            <w:pPr>
              <w:pStyle w:val="Default"/>
              <w:ind w:firstLine="0"/>
              <w:jc w:val="left"/>
              <w:rPr>
                <w:rFonts w:ascii="Times New Roman" w:eastAsia="TimesNewRomanPSMT" w:hAnsi="Times New Roman" w:cs="Times New Roman"/>
                <w:color w:val="auto"/>
                <w:sz w:val="20"/>
                <w:szCs w:val="20"/>
                <w:lang w:val="en-US"/>
              </w:rPr>
            </w:pPr>
            <w:r w:rsidRPr="0020167C">
              <w:rPr>
                <w:rFonts w:ascii="Times New Roman" w:eastAsia="TimesNewRomanPSMT" w:hAnsi="Times New Roman" w:cs="Times New Roman"/>
                <w:sz w:val="20"/>
                <w:szCs w:val="20"/>
              </w:rPr>
              <w:t xml:space="preserve">1 </w:t>
            </w:r>
            <w:r w:rsidRPr="0020167C">
              <w:rPr>
                <w:rFonts w:ascii="Times New Roman" w:eastAsia="TimesNewRomanPSMT" w:hAnsi="Times New Roman" w:cs="Times New Roman"/>
                <w:sz w:val="20"/>
                <w:szCs w:val="20"/>
                <w:lang w:val="en-US"/>
              </w:rPr>
              <w:t>grade</w:t>
            </w:r>
          </w:p>
        </w:tc>
        <w:tc>
          <w:tcPr>
            <w:tcW w:w="1985" w:type="dxa"/>
            <w:tcBorders>
              <w:left w:val="nil"/>
              <w:bottom w:val="single" w:sz="4" w:space="0" w:color="auto"/>
              <w:right w:val="nil"/>
            </w:tcBorders>
          </w:tcPr>
          <w:p w:rsidR="004933FC" w:rsidRPr="0020167C" w:rsidRDefault="004933FC" w:rsidP="00055366">
            <w:pPr>
              <w:pStyle w:val="Default"/>
              <w:ind w:hanging="289"/>
              <w:jc w:val="center"/>
              <w:rPr>
                <w:rFonts w:ascii="Times New Roman" w:eastAsia="TimesNewRomanPSMT" w:hAnsi="Times New Roman" w:cs="Times New Roman"/>
                <w:color w:val="auto"/>
                <w:sz w:val="20"/>
                <w:szCs w:val="20"/>
                <w:lang w:val="en-US"/>
              </w:rPr>
            </w:pPr>
            <w:r w:rsidRPr="0020167C">
              <w:rPr>
                <w:rFonts w:ascii="Times New Roman" w:eastAsia="TimesNewRomanPSMT" w:hAnsi="Times New Roman" w:cs="Times New Roman"/>
                <w:sz w:val="20"/>
                <w:szCs w:val="20"/>
              </w:rPr>
              <w:t xml:space="preserve">2 </w:t>
            </w:r>
            <w:r w:rsidRPr="0020167C">
              <w:rPr>
                <w:rFonts w:ascii="Times New Roman" w:eastAsia="TimesNewRomanPSMT" w:hAnsi="Times New Roman" w:cs="Times New Roman"/>
                <w:sz w:val="20"/>
                <w:szCs w:val="20"/>
                <w:lang w:val="en-US"/>
              </w:rPr>
              <w:t>grade</w:t>
            </w:r>
          </w:p>
        </w:tc>
        <w:tc>
          <w:tcPr>
            <w:tcW w:w="2126" w:type="dxa"/>
            <w:tcBorders>
              <w:left w:val="nil"/>
              <w:bottom w:val="single" w:sz="4" w:space="0" w:color="auto"/>
              <w:right w:val="nil"/>
            </w:tcBorders>
          </w:tcPr>
          <w:p w:rsidR="004933FC" w:rsidRPr="0020167C" w:rsidRDefault="004933FC" w:rsidP="00055366">
            <w:pPr>
              <w:pStyle w:val="Default"/>
              <w:ind w:hanging="148"/>
              <w:jc w:val="center"/>
              <w:rPr>
                <w:rFonts w:ascii="Times New Roman" w:eastAsia="TimesNewRomanPSMT" w:hAnsi="Times New Roman" w:cs="Times New Roman"/>
                <w:color w:val="auto"/>
                <w:sz w:val="20"/>
                <w:szCs w:val="20"/>
                <w:lang w:val="en-US"/>
              </w:rPr>
            </w:pPr>
            <w:r w:rsidRPr="0020167C">
              <w:rPr>
                <w:rFonts w:ascii="Times New Roman" w:eastAsia="TimesNewRomanPSMT" w:hAnsi="Times New Roman" w:cs="Times New Roman"/>
                <w:sz w:val="20"/>
                <w:szCs w:val="20"/>
              </w:rPr>
              <w:t xml:space="preserve">3 </w:t>
            </w:r>
            <w:r w:rsidRPr="0020167C">
              <w:rPr>
                <w:rFonts w:ascii="Times New Roman" w:eastAsia="TimesNewRomanPSMT" w:hAnsi="Times New Roman" w:cs="Times New Roman"/>
                <w:sz w:val="20"/>
                <w:szCs w:val="20"/>
                <w:lang w:val="en-US"/>
              </w:rPr>
              <w:t>grade</w:t>
            </w:r>
          </w:p>
        </w:tc>
      </w:tr>
      <w:tr w:rsidR="004933FC" w:rsidRPr="0020167C" w:rsidTr="00614971">
        <w:tc>
          <w:tcPr>
            <w:tcW w:w="2122" w:type="dxa"/>
            <w:tcBorders>
              <w:left w:val="nil"/>
              <w:bottom w:val="nil"/>
              <w:right w:val="nil"/>
            </w:tcBorders>
          </w:tcPr>
          <w:p w:rsidR="004933FC" w:rsidRPr="00912049" w:rsidRDefault="004933FC" w:rsidP="00055366">
            <w:pPr>
              <w:pStyle w:val="Default"/>
              <w:ind w:left="0" w:firstLine="0"/>
              <w:jc w:val="left"/>
              <w:rPr>
                <w:rFonts w:ascii="Times New Roman" w:eastAsia="TimesNewRomanPSMT" w:hAnsi="Times New Roman" w:cs="Times New Roman"/>
                <w:b/>
                <w:color w:val="auto"/>
                <w:sz w:val="20"/>
                <w:szCs w:val="20"/>
                <w:lang w:val="en-US"/>
              </w:rPr>
            </w:pPr>
            <w:r w:rsidRPr="0020167C">
              <w:rPr>
                <w:rFonts w:ascii="Times New Roman" w:eastAsia="TimesNewRomanPSMT" w:hAnsi="Times New Roman" w:cs="Times New Roman"/>
                <w:sz w:val="20"/>
                <w:szCs w:val="20"/>
              </w:rPr>
              <w:t>TNF-α, pg/m</w:t>
            </w:r>
            <w:r w:rsidR="00912049">
              <w:rPr>
                <w:rFonts w:ascii="Times New Roman" w:eastAsia="TimesNewRomanPSMT" w:hAnsi="Times New Roman" w:cs="Times New Roman"/>
                <w:sz w:val="20"/>
                <w:szCs w:val="20"/>
                <w:lang w:val="en-US"/>
              </w:rPr>
              <w:t>L</w:t>
            </w:r>
          </w:p>
        </w:tc>
        <w:tc>
          <w:tcPr>
            <w:tcW w:w="1530" w:type="dxa"/>
            <w:tcBorders>
              <w:left w:val="nil"/>
              <w:bottom w:val="nil"/>
              <w:right w:val="nil"/>
            </w:tcBorders>
          </w:tcPr>
          <w:p w:rsidR="004933FC" w:rsidRPr="00614971" w:rsidRDefault="008E1E4C" w:rsidP="00055366">
            <w:pPr>
              <w:pStyle w:val="Default"/>
              <w:ind w:left="0" w:firstLine="0"/>
              <w:jc w:val="left"/>
              <w:rPr>
                <w:rFonts w:ascii="Times New Roman" w:eastAsia="TimesNewRomanPSMT" w:hAnsi="Times New Roman" w:cs="Times New Roman"/>
                <w:b/>
                <w:color w:val="auto"/>
                <w:sz w:val="20"/>
                <w:szCs w:val="20"/>
                <w:lang w:val="uk-UA"/>
              </w:rPr>
            </w:pPr>
            <w:r w:rsidRPr="00614971">
              <w:rPr>
                <w:rFonts w:ascii="Times New Roman" w:eastAsia="TimesNewRomanPSMT" w:hAnsi="Times New Roman" w:cs="Times New Roman"/>
                <w:sz w:val="20"/>
                <w:szCs w:val="20"/>
                <w:lang w:val="en-US"/>
              </w:rPr>
              <w:t xml:space="preserve"> </w:t>
            </w:r>
            <w:r w:rsidR="004933FC" w:rsidRPr="00614971">
              <w:rPr>
                <w:rFonts w:ascii="Times New Roman" w:eastAsia="TimesNewRomanPSMT" w:hAnsi="Times New Roman" w:cs="Times New Roman"/>
                <w:sz w:val="20"/>
                <w:szCs w:val="20"/>
              </w:rPr>
              <w:t>13.2 ± 3.4</w:t>
            </w:r>
          </w:p>
        </w:tc>
        <w:tc>
          <w:tcPr>
            <w:tcW w:w="2268" w:type="dxa"/>
            <w:tcBorders>
              <w:left w:val="nil"/>
              <w:bottom w:val="nil"/>
              <w:right w:val="nil"/>
            </w:tcBorders>
          </w:tcPr>
          <w:tbl>
            <w:tblPr>
              <w:tblW w:w="0" w:type="auto"/>
              <w:tblBorders>
                <w:top w:val="nil"/>
                <w:left w:val="nil"/>
                <w:bottom w:val="nil"/>
                <w:right w:val="nil"/>
              </w:tblBorders>
              <w:tblLayout w:type="fixed"/>
              <w:tblLook w:val="0000" w:firstRow="0" w:lastRow="0" w:firstColumn="0" w:lastColumn="0" w:noHBand="0" w:noVBand="0"/>
            </w:tblPr>
            <w:tblGrid>
              <w:gridCol w:w="1735"/>
              <w:gridCol w:w="236"/>
            </w:tblGrid>
            <w:tr w:rsidR="004933FC" w:rsidRPr="00614971" w:rsidTr="00AB7662">
              <w:trPr>
                <w:trHeight w:val="175"/>
              </w:trPr>
              <w:tc>
                <w:tcPr>
                  <w:tcW w:w="1735" w:type="dxa"/>
                </w:tcPr>
                <w:p w:rsidR="004933FC" w:rsidRPr="00614971" w:rsidRDefault="00614971" w:rsidP="00614971">
                  <w:pPr>
                    <w:pStyle w:val="Default"/>
                    <w:ind w:left="-216" w:firstLine="142"/>
                    <w:rPr>
                      <w:rFonts w:ascii="Times New Roman" w:hAnsi="Times New Roman" w:cs="Times New Roman"/>
                      <w:sz w:val="20"/>
                      <w:szCs w:val="20"/>
                    </w:rPr>
                  </w:pPr>
                  <w:r w:rsidRPr="00614971">
                    <w:rPr>
                      <w:rFonts w:ascii="Times New Roman" w:hAnsi="Times New Roman" w:cs="Times New Roman"/>
                      <w:sz w:val="20"/>
                      <w:szCs w:val="20"/>
                      <w:lang w:val="en-US"/>
                    </w:rPr>
                    <w:t xml:space="preserve">    </w:t>
                  </w:r>
                  <w:r w:rsidR="004933FC" w:rsidRPr="00614971">
                    <w:rPr>
                      <w:rFonts w:ascii="Times New Roman" w:hAnsi="Times New Roman" w:cs="Times New Roman"/>
                      <w:sz w:val="20"/>
                      <w:szCs w:val="20"/>
                    </w:rPr>
                    <w:t>11</w:t>
                  </w:r>
                  <w:r w:rsidRPr="00614971">
                    <w:rPr>
                      <w:rFonts w:ascii="Times New Roman" w:hAnsi="Times New Roman" w:cs="Times New Roman"/>
                      <w:sz w:val="20"/>
                      <w:szCs w:val="20"/>
                      <w:lang w:val="en-US"/>
                    </w:rPr>
                    <w:t xml:space="preserve">2 </w:t>
                  </w:r>
                  <w:r w:rsidR="004933FC" w:rsidRPr="00614971">
                    <w:rPr>
                      <w:rFonts w:ascii="Times New Roman" w:hAnsi="Times New Roman" w:cs="Times New Roman"/>
                      <w:sz w:val="20"/>
                      <w:szCs w:val="20"/>
                    </w:rPr>
                    <w:t>±</w:t>
                  </w:r>
                  <w:r w:rsidR="009F3BB7" w:rsidRPr="00614971">
                    <w:rPr>
                      <w:rFonts w:ascii="Times New Roman" w:hAnsi="Times New Roman" w:cs="Times New Roman"/>
                      <w:sz w:val="20"/>
                      <w:szCs w:val="20"/>
                      <w:lang w:val="en-US"/>
                    </w:rPr>
                    <w:t xml:space="preserve"> </w:t>
                  </w:r>
                  <w:r w:rsidRPr="00614971">
                    <w:rPr>
                      <w:rFonts w:ascii="Times New Roman" w:hAnsi="Times New Roman" w:cs="Times New Roman"/>
                      <w:sz w:val="20"/>
                      <w:szCs w:val="20"/>
                    </w:rPr>
                    <w:t>26.1</w:t>
                  </w:r>
                  <w:r w:rsidR="004933FC" w:rsidRPr="00614971">
                    <w:rPr>
                      <w:rFonts w:ascii="Times New Roman" w:hAnsi="Times New Roman" w:cs="Times New Roman"/>
                      <w:sz w:val="20"/>
                      <w:szCs w:val="20"/>
                      <w:vertAlign w:val="superscript"/>
                    </w:rPr>
                    <w:t>*</w:t>
                  </w:r>
                </w:p>
              </w:tc>
              <w:tc>
                <w:tcPr>
                  <w:tcW w:w="236" w:type="dxa"/>
                </w:tcPr>
                <w:p w:rsidR="004933FC" w:rsidRPr="00614971" w:rsidRDefault="004933FC" w:rsidP="00055366">
                  <w:pPr>
                    <w:pStyle w:val="Default"/>
                    <w:jc w:val="center"/>
                    <w:rPr>
                      <w:rFonts w:ascii="Times New Roman" w:hAnsi="Times New Roman" w:cs="Times New Roman"/>
                      <w:sz w:val="20"/>
                      <w:szCs w:val="20"/>
                      <w:lang w:val="en-US"/>
                    </w:rPr>
                  </w:pPr>
                </w:p>
              </w:tc>
            </w:tr>
          </w:tbl>
          <w:p w:rsidR="004933FC" w:rsidRPr="00614971" w:rsidRDefault="004933FC" w:rsidP="00055366">
            <w:pPr>
              <w:pStyle w:val="Default"/>
              <w:jc w:val="center"/>
              <w:rPr>
                <w:rFonts w:ascii="Times New Roman" w:eastAsia="TimesNewRomanPSMT" w:hAnsi="Times New Roman" w:cs="Times New Roman"/>
                <w:b/>
                <w:color w:val="auto"/>
                <w:sz w:val="20"/>
                <w:szCs w:val="20"/>
                <w:lang w:val="en-US"/>
              </w:rPr>
            </w:pPr>
          </w:p>
        </w:tc>
        <w:tc>
          <w:tcPr>
            <w:tcW w:w="1985" w:type="dxa"/>
            <w:tcBorders>
              <w:left w:val="nil"/>
              <w:bottom w:val="nil"/>
              <w:right w:val="nil"/>
            </w:tcBorders>
          </w:tcPr>
          <w:tbl>
            <w:tblPr>
              <w:tblW w:w="0" w:type="auto"/>
              <w:tblBorders>
                <w:top w:val="nil"/>
                <w:left w:val="nil"/>
                <w:bottom w:val="nil"/>
                <w:right w:val="nil"/>
              </w:tblBorders>
              <w:tblLayout w:type="fixed"/>
              <w:tblLook w:val="0000" w:firstRow="0" w:lastRow="0" w:firstColumn="0" w:lastColumn="0" w:noHBand="0" w:noVBand="0"/>
            </w:tblPr>
            <w:tblGrid>
              <w:gridCol w:w="1593"/>
            </w:tblGrid>
            <w:tr w:rsidR="004933FC" w:rsidRPr="00614971" w:rsidTr="00AB7662">
              <w:trPr>
                <w:trHeight w:val="175"/>
              </w:trPr>
              <w:tc>
                <w:tcPr>
                  <w:tcW w:w="1593" w:type="dxa"/>
                </w:tcPr>
                <w:p w:rsidR="004933FC" w:rsidRPr="00614971" w:rsidRDefault="004933FC" w:rsidP="00614971">
                  <w:pPr>
                    <w:pStyle w:val="Default"/>
                    <w:ind w:left="351" w:hanging="407"/>
                    <w:rPr>
                      <w:rFonts w:ascii="Times New Roman" w:hAnsi="Times New Roman" w:cs="Times New Roman"/>
                      <w:sz w:val="20"/>
                      <w:szCs w:val="20"/>
                    </w:rPr>
                  </w:pPr>
                  <w:r w:rsidRPr="00614971">
                    <w:rPr>
                      <w:rFonts w:ascii="Times New Roman" w:hAnsi="Times New Roman" w:cs="Times New Roman"/>
                      <w:sz w:val="20"/>
                      <w:szCs w:val="20"/>
                    </w:rPr>
                    <w:t>142</w:t>
                  </w:r>
                  <w:r w:rsidR="00614971" w:rsidRPr="00614971">
                    <w:rPr>
                      <w:rFonts w:ascii="Times New Roman" w:hAnsi="Times New Roman" w:cs="Times New Roman"/>
                      <w:sz w:val="20"/>
                      <w:szCs w:val="20"/>
                      <w:lang w:val="en-US"/>
                    </w:rPr>
                    <w:t xml:space="preserve"> </w:t>
                  </w:r>
                  <w:r w:rsidRPr="00614971">
                    <w:rPr>
                      <w:rFonts w:ascii="Times New Roman" w:hAnsi="Times New Roman" w:cs="Times New Roman"/>
                      <w:sz w:val="20"/>
                      <w:szCs w:val="20"/>
                    </w:rPr>
                    <w:t>±</w:t>
                  </w:r>
                  <w:r w:rsidR="009F3BB7" w:rsidRPr="00614971">
                    <w:rPr>
                      <w:rFonts w:ascii="Times New Roman" w:hAnsi="Times New Roman" w:cs="Times New Roman"/>
                      <w:sz w:val="20"/>
                      <w:szCs w:val="20"/>
                      <w:lang w:val="en-US"/>
                    </w:rPr>
                    <w:t xml:space="preserve"> </w:t>
                  </w:r>
                  <w:r w:rsidRPr="00614971">
                    <w:rPr>
                      <w:rFonts w:ascii="Times New Roman" w:hAnsi="Times New Roman" w:cs="Times New Roman"/>
                      <w:sz w:val="20"/>
                      <w:szCs w:val="20"/>
                    </w:rPr>
                    <w:t>27.</w:t>
                  </w:r>
                  <w:r w:rsidR="00614971" w:rsidRPr="00614971">
                    <w:rPr>
                      <w:rFonts w:ascii="Times New Roman" w:hAnsi="Times New Roman" w:cs="Times New Roman"/>
                      <w:sz w:val="20"/>
                      <w:szCs w:val="20"/>
                      <w:lang w:val="en-US"/>
                    </w:rPr>
                    <w:t>2</w:t>
                  </w:r>
                  <w:r w:rsidRPr="00614971">
                    <w:rPr>
                      <w:rFonts w:ascii="Times New Roman" w:hAnsi="Times New Roman" w:cs="Times New Roman"/>
                      <w:sz w:val="20"/>
                      <w:szCs w:val="20"/>
                      <w:vertAlign w:val="superscript"/>
                    </w:rPr>
                    <w:t>*</w:t>
                  </w:r>
                  <w:r w:rsidR="00263BBD" w:rsidRPr="00614971">
                    <w:rPr>
                      <w:rFonts w:ascii="Times New Roman" w:hAnsi="Times New Roman" w:cs="Times New Roman"/>
                      <w:sz w:val="20"/>
                      <w:szCs w:val="20"/>
                      <w:vertAlign w:val="superscript"/>
                    </w:rPr>
                    <w:t>*</w:t>
                  </w:r>
                  <w:r w:rsidR="00560A7F" w:rsidRPr="00614971">
                    <w:rPr>
                      <w:rFonts w:ascii="Times New Roman" w:hAnsi="Times New Roman" w:cs="Times New Roman"/>
                      <w:sz w:val="20"/>
                      <w:szCs w:val="20"/>
                      <w:vertAlign w:val="superscript"/>
                    </w:rPr>
                    <w:t>♦</w:t>
                  </w:r>
                </w:p>
              </w:tc>
            </w:tr>
          </w:tbl>
          <w:p w:rsidR="004933FC" w:rsidRPr="00614971" w:rsidRDefault="004933FC" w:rsidP="00055366">
            <w:pPr>
              <w:pStyle w:val="Default"/>
              <w:jc w:val="left"/>
              <w:rPr>
                <w:rFonts w:ascii="Times New Roman" w:eastAsia="TimesNewRomanPSMT" w:hAnsi="Times New Roman" w:cs="Times New Roman"/>
                <w:b/>
                <w:color w:val="auto"/>
                <w:sz w:val="20"/>
                <w:szCs w:val="20"/>
                <w:lang w:val="en-US"/>
              </w:rPr>
            </w:pPr>
          </w:p>
        </w:tc>
        <w:tc>
          <w:tcPr>
            <w:tcW w:w="2126" w:type="dxa"/>
            <w:tcBorders>
              <w:left w:val="nil"/>
              <w:bottom w:val="nil"/>
              <w:right w:val="nil"/>
            </w:tcBorders>
          </w:tcPr>
          <w:p w:rsidR="004933FC" w:rsidRPr="00614971" w:rsidRDefault="00614971" w:rsidP="00614971">
            <w:pPr>
              <w:pStyle w:val="Default"/>
              <w:ind w:left="0" w:hanging="108"/>
              <w:jc w:val="left"/>
              <w:rPr>
                <w:rFonts w:ascii="Times New Roman" w:eastAsia="TimesNewRomanPSMT" w:hAnsi="Times New Roman" w:cs="Times New Roman"/>
                <w:b/>
                <w:color w:val="auto"/>
                <w:sz w:val="20"/>
                <w:szCs w:val="20"/>
                <w:lang w:val="uk-UA"/>
              </w:rPr>
            </w:pPr>
            <w:r w:rsidRPr="00614971">
              <w:rPr>
                <w:rFonts w:ascii="Times New Roman" w:hAnsi="Times New Roman" w:cs="Times New Roman"/>
                <w:sz w:val="20"/>
                <w:szCs w:val="20"/>
                <w:lang w:val="en-US"/>
              </w:rPr>
              <w:t xml:space="preserve">   </w:t>
            </w:r>
            <w:r w:rsidR="004933FC" w:rsidRPr="00614971">
              <w:rPr>
                <w:rFonts w:ascii="Times New Roman" w:hAnsi="Times New Roman" w:cs="Times New Roman"/>
                <w:sz w:val="20"/>
                <w:szCs w:val="20"/>
              </w:rPr>
              <w:t>11</w:t>
            </w:r>
            <w:r w:rsidRPr="00614971">
              <w:rPr>
                <w:rFonts w:ascii="Times New Roman" w:hAnsi="Times New Roman" w:cs="Times New Roman"/>
                <w:sz w:val="20"/>
                <w:szCs w:val="20"/>
                <w:lang w:val="en-US"/>
              </w:rPr>
              <w:t>7</w:t>
            </w:r>
            <w:r w:rsidR="00785EFD" w:rsidRPr="00614971">
              <w:rPr>
                <w:rFonts w:ascii="Times New Roman" w:hAnsi="Times New Roman" w:cs="Times New Roman"/>
                <w:sz w:val="20"/>
                <w:szCs w:val="20"/>
                <w:lang w:val="en-US"/>
              </w:rPr>
              <w:t xml:space="preserve"> </w:t>
            </w:r>
            <w:r w:rsidR="004933FC" w:rsidRPr="00614971">
              <w:rPr>
                <w:rFonts w:ascii="Times New Roman" w:hAnsi="Times New Roman" w:cs="Times New Roman"/>
                <w:sz w:val="20"/>
                <w:szCs w:val="20"/>
              </w:rPr>
              <w:t>±</w:t>
            </w:r>
            <w:r w:rsidR="00785EFD" w:rsidRPr="00614971">
              <w:rPr>
                <w:rFonts w:ascii="Times New Roman" w:hAnsi="Times New Roman" w:cs="Times New Roman"/>
                <w:sz w:val="20"/>
                <w:szCs w:val="20"/>
                <w:lang w:val="en-US"/>
              </w:rPr>
              <w:t xml:space="preserve"> </w:t>
            </w:r>
            <w:r w:rsidR="004933FC" w:rsidRPr="00614971">
              <w:rPr>
                <w:rFonts w:ascii="Times New Roman" w:hAnsi="Times New Roman" w:cs="Times New Roman"/>
                <w:sz w:val="20"/>
                <w:szCs w:val="20"/>
              </w:rPr>
              <w:t>18.5</w:t>
            </w:r>
            <w:r w:rsidR="004933FC" w:rsidRPr="00614971">
              <w:rPr>
                <w:rFonts w:ascii="Times New Roman" w:hAnsi="Times New Roman" w:cs="Times New Roman"/>
                <w:sz w:val="20"/>
                <w:szCs w:val="20"/>
                <w:vertAlign w:val="superscript"/>
              </w:rPr>
              <w:t>*</w:t>
            </w:r>
          </w:p>
        </w:tc>
      </w:tr>
      <w:tr w:rsidR="004933FC" w:rsidRPr="0020167C" w:rsidTr="00614971">
        <w:tc>
          <w:tcPr>
            <w:tcW w:w="2122" w:type="dxa"/>
            <w:tcBorders>
              <w:top w:val="nil"/>
              <w:left w:val="nil"/>
              <w:bottom w:val="nil"/>
              <w:right w:val="nil"/>
            </w:tcBorders>
          </w:tcPr>
          <w:p w:rsidR="004933FC" w:rsidRPr="00912049" w:rsidRDefault="004933FC" w:rsidP="00055366">
            <w:pPr>
              <w:pStyle w:val="Default"/>
              <w:ind w:left="0" w:firstLine="0"/>
              <w:jc w:val="left"/>
              <w:rPr>
                <w:rFonts w:ascii="Times New Roman" w:eastAsia="TimesNewRomanPSMT" w:hAnsi="Times New Roman" w:cs="Times New Roman"/>
                <w:b/>
                <w:color w:val="auto"/>
                <w:sz w:val="20"/>
                <w:szCs w:val="20"/>
                <w:lang w:val="en-US"/>
              </w:rPr>
            </w:pPr>
            <w:r w:rsidRPr="0020167C">
              <w:rPr>
                <w:rFonts w:ascii="Times New Roman" w:eastAsia="TimesNewRomanPSMT" w:hAnsi="Times New Roman" w:cs="Times New Roman"/>
                <w:sz w:val="20"/>
                <w:szCs w:val="20"/>
              </w:rPr>
              <w:t>sTNF-αRI, ng/m</w:t>
            </w:r>
            <w:r w:rsidR="00912049">
              <w:rPr>
                <w:rFonts w:ascii="Times New Roman" w:eastAsia="TimesNewRomanPSMT" w:hAnsi="Times New Roman" w:cs="Times New Roman"/>
                <w:sz w:val="20"/>
                <w:szCs w:val="20"/>
                <w:lang w:val="en-US"/>
              </w:rPr>
              <w:t>L</w:t>
            </w:r>
          </w:p>
        </w:tc>
        <w:tc>
          <w:tcPr>
            <w:tcW w:w="1530" w:type="dxa"/>
            <w:tcBorders>
              <w:top w:val="nil"/>
              <w:left w:val="nil"/>
              <w:bottom w:val="nil"/>
              <w:right w:val="nil"/>
            </w:tcBorders>
          </w:tcPr>
          <w:p w:rsidR="004933FC" w:rsidRPr="00614971" w:rsidRDefault="00E40AFB" w:rsidP="00E40AFB">
            <w:pPr>
              <w:pStyle w:val="Default"/>
              <w:ind w:left="0" w:firstLine="0"/>
              <w:jc w:val="left"/>
              <w:rPr>
                <w:rFonts w:ascii="Times New Roman" w:eastAsia="TimesNewRomanPSMT" w:hAnsi="Times New Roman" w:cs="Times New Roman"/>
                <w:b/>
                <w:color w:val="auto"/>
                <w:sz w:val="20"/>
                <w:szCs w:val="20"/>
                <w:lang w:val="en-US"/>
              </w:rPr>
            </w:pPr>
            <w:r w:rsidRPr="00614971">
              <w:rPr>
                <w:rFonts w:ascii="Times New Roman" w:eastAsia="TimesNewRomanPSMT" w:hAnsi="Times New Roman" w:cs="Times New Roman"/>
                <w:sz w:val="20"/>
                <w:szCs w:val="20"/>
                <w:lang w:val="en-US"/>
              </w:rPr>
              <w:t xml:space="preserve"> </w:t>
            </w:r>
            <w:r w:rsidR="004933FC" w:rsidRPr="00614971">
              <w:rPr>
                <w:rFonts w:ascii="Times New Roman" w:eastAsia="TimesNewRomanPSMT" w:hAnsi="Times New Roman" w:cs="Times New Roman"/>
                <w:sz w:val="20"/>
                <w:szCs w:val="20"/>
              </w:rPr>
              <w:t>1.20 ± 0.6</w:t>
            </w:r>
          </w:p>
        </w:tc>
        <w:tc>
          <w:tcPr>
            <w:tcW w:w="2268" w:type="dxa"/>
            <w:tcBorders>
              <w:top w:val="nil"/>
              <w:left w:val="nil"/>
              <w:bottom w:val="nil"/>
              <w:right w:val="nil"/>
            </w:tcBorders>
          </w:tcPr>
          <w:p w:rsidR="004933FC" w:rsidRPr="00614971" w:rsidRDefault="004933FC" w:rsidP="00055366">
            <w:pPr>
              <w:pStyle w:val="Default"/>
              <w:ind w:firstLine="0"/>
              <w:jc w:val="left"/>
              <w:rPr>
                <w:rFonts w:ascii="Times New Roman" w:eastAsia="TimesNewRomanPSMT" w:hAnsi="Times New Roman" w:cs="Times New Roman"/>
                <w:color w:val="auto"/>
                <w:sz w:val="20"/>
                <w:szCs w:val="20"/>
              </w:rPr>
            </w:pPr>
            <w:r w:rsidRPr="00614971">
              <w:rPr>
                <w:rFonts w:ascii="Times New Roman" w:eastAsia="TimesNewRomanPSMT" w:hAnsi="Times New Roman" w:cs="Times New Roman"/>
                <w:color w:val="auto"/>
                <w:sz w:val="20"/>
                <w:szCs w:val="20"/>
              </w:rPr>
              <w:t>2.02</w:t>
            </w:r>
            <w:r w:rsidR="009F3BB7" w:rsidRPr="00614971">
              <w:rPr>
                <w:rFonts w:ascii="Times New Roman" w:eastAsia="TimesNewRomanPSMT" w:hAnsi="Times New Roman" w:cs="Times New Roman"/>
                <w:color w:val="auto"/>
                <w:sz w:val="20"/>
                <w:szCs w:val="20"/>
                <w:lang w:val="en-US"/>
              </w:rPr>
              <w:t xml:space="preserve"> </w:t>
            </w:r>
            <w:r w:rsidRPr="00614971">
              <w:rPr>
                <w:rFonts w:ascii="Times New Roman" w:eastAsia="TimesNewRomanPSMT" w:hAnsi="Times New Roman" w:cs="Times New Roman"/>
                <w:color w:val="auto"/>
                <w:sz w:val="20"/>
                <w:szCs w:val="20"/>
              </w:rPr>
              <w:t>±</w:t>
            </w:r>
            <w:r w:rsidR="009F3BB7" w:rsidRPr="00614971">
              <w:rPr>
                <w:rFonts w:ascii="Times New Roman" w:eastAsia="TimesNewRomanPSMT" w:hAnsi="Times New Roman" w:cs="Times New Roman"/>
                <w:color w:val="auto"/>
                <w:sz w:val="20"/>
                <w:szCs w:val="20"/>
                <w:lang w:val="en-US"/>
              </w:rPr>
              <w:t xml:space="preserve"> </w:t>
            </w:r>
            <w:r w:rsidRPr="00614971">
              <w:rPr>
                <w:rFonts w:ascii="Times New Roman" w:eastAsia="TimesNewRomanPSMT" w:hAnsi="Times New Roman" w:cs="Times New Roman"/>
                <w:color w:val="auto"/>
                <w:sz w:val="20"/>
                <w:szCs w:val="20"/>
              </w:rPr>
              <w:t>0.22</w:t>
            </w:r>
            <w:r w:rsidRPr="00614971">
              <w:rPr>
                <w:rFonts w:ascii="Times New Roman" w:eastAsia="TimesNewRomanPSMT" w:hAnsi="Times New Roman" w:cs="Times New Roman"/>
                <w:color w:val="auto"/>
                <w:sz w:val="20"/>
                <w:szCs w:val="20"/>
                <w:vertAlign w:val="superscript"/>
              </w:rPr>
              <w:t>*</w:t>
            </w:r>
          </w:p>
        </w:tc>
        <w:tc>
          <w:tcPr>
            <w:tcW w:w="1985" w:type="dxa"/>
            <w:tcBorders>
              <w:top w:val="nil"/>
              <w:left w:val="nil"/>
              <w:bottom w:val="nil"/>
              <w:right w:val="nil"/>
            </w:tcBorders>
          </w:tcPr>
          <w:p w:rsidR="004933FC" w:rsidRPr="00614971" w:rsidRDefault="000D53B1" w:rsidP="00055366">
            <w:pPr>
              <w:pStyle w:val="Default"/>
              <w:ind w:left="0" w:firstLine="0"/>
              <w:jc w:val="left"/>
              <w:rPr>
                <w:rFonts w:ascii="Times New Roman" w:eastAsia="TimesNewRomanPSMT" w:hAnsi="Times New Roman" w:cs="Times New Roman"/>
                <w:color w:val="auto"/>
                <w:sz w:val="20"/>
                <w:szCs w:val="20"/>
              </w:rPr>
            </w:pPr>
            <w:r>
              <w:rPr>
                <w:rFonts w:ascii="Times New Roman" w:eastAsia="TimesNewRomanPSMT" w:hAnsi="Times New Roman" w:cs="Times New Roman"/>
                <w:color w:val="auto"/>
                <w:sz w:val="20"/>
                <w:szCs w:val="20"/>
                <w:lang w:val="en-US"/>
              </w:rPr>
              <w:t xml:space="preserve"> </w:t>
            </w:r>
            <w:r w:rsidR="004933FC" w:rsidRPr="00614971">
              <w:rPr>
                <w:rFonts w:ascii="Times New Roman" w:eastAsia="TimesNewRomanPSMT" w:hAnsi="Times New Roman" w:cs="Times New Roman"/>
                <w:color w:val="auto"/>
                <w:sz w:val="20"/>
                <w:szCs w:val="20"/>
              </w:rPr>
              <w:t>2.13</w:t>
            </w:r>
            <w:r w:rsidR="009F3BB7" w:rsidRPr="00614971">
              <w:rPr>
                <w:rFonts w:ascii="Times New Roman" w:eastAsia="TimesNewRomanPSMT" w:hAnsi="Times New Roman" w:cs="Times New Roman"/>
                <w:color w:val="auto"/>
                <w:sz w:val="20"/>
                <w:szCs w:val="20"/>
                <w:lang w:val="en-US"/>
              </w:rPr>
              <w:t xml:space="preserve"> </w:t>
            </w:r>
            <w:r w:rsidR="004933FC" w:rsidRPr="00614971">
              <w:rPr>
                <w:rFonts w:ascii="Times New Roman" w:eastAsia="TimesNewRomanPSMT" w:hAnsi="Times New Roman" w:cs="Times New Roman"/>
                <w:color w:val="auto"/>
                <w:sz w:val="20"/>
                <w:szCs w:val="20"/>
              </w:rPr>
              <w:t>±</w:t>
            </w:r>
            <w:r w:rsidR="009F3BB7" w:rsidRPr="00614971">
              <w:rPr>
                <w:rFonts w:ascii="Times New Roman" w:eastAsia="TimesNewRomanPSMT" w:hAnsi="Times New Roman" w:cs="Times New Roman"/>
                <w:color w:val="auto"/>
                <w:sz w:val="20"/>
                <w:szCs w:val="20"/>
                <w:lang w:val="en-US"/>
              </w:rPr>
              <w:t xml:space="preserve"> </w:t>
            </w:r>
            <w:r w:rsidR="004933FC" w:rsidRPr="00614971">
              <w:rPr>
                <w:rFonts w:ascii="Times New Roman" w:eastAsia="TimesNewRomanPSMT" w:hAnsi="Times New Roman" w:cs="Times New Roman"/>
                <w:color w:val="auto"/>
                <w:sz w:val="20"/>
                <w:szCs w:val="20"/>
              </w:rPr>
              <w:t>0.16</w:t>
            </w:r>
            <w:r w:rsidR="004933FC" w:rsidRPr="00614971">
              <w:rPr>
                <w:rFonts w:ascii="Times New Roman" w:eastAsia="TimesNewRomanPSMT" w:hAnsi="Times New Roman" w:cs="Times New Roman"/>
                <w:color w:val="auto"/>
                <w:sz w:val="20"/>
                <w:szCs w:val="20"/>
                <w:vertAlign w:val="superscript"/>
              </w:rPr>
              <w:t>*</w:t>
            </w:r>
          </w:p>
        </w:tc>
        <w:tc>
          <w:tcPr>
            <w:tcW w:w="2126" w:type="dxa"/>
            <w:tcBorders>
              <w:top w:val="nil"/>
              <w:left w:val="nil"/>
              <w:bottom w:val="nil"/>
              <w:right w:val="nil"/>
            </w:tcBorders>
          </w:tcPr>
          <w:p w:rsidR="004933FC" w:rsidRPr="00614971" w:rsidRDefault="004933FC" w:rsidP="00055366">
            <w:pPr>
              <w:pStyle w:val="Default"/>
              <w:ind w:left="33" w:firstLine="0"/>
              <w:jc w:val="left"/>
              <w:rPr>
                <w:rFonts w:ascii="Times New Roman" w:eastAsia="TimesNewRomanPSMT" w:hAnsi="Times New Roman" w:cs="Times New Roman"/>
                <w:color w:val="auto"/>
                <w:sz w:val="20"/>
                <w:szCs w:val="20"/>
              </w:rPr>
            </w:pPr>
            <w:r w:rsidRPr="00614971">
              <w:rPr>
                <w:rFonts w:ascii="Times New Roman" w:eastAsia="TimesNewRomanPSMT" w:hAnsi="Times New Roman" w:cs="Times New Roman"/>
                <w:color w:val="auto"/>
                <w:sz w:val="20"/>
                <w:szCs w:val="20"/>
              </w:rPr>
              <w:t>2.19</w:t>
            </w:r>
            <w:r w:rsidR="00785EFD" w:rsidRPr="00614971">
              <w:rPr>
                <w:rFonts w:ascii="Times New Roman" w:eastAsia="TimesNewRomanPSMT" w:hAnsi="Times New Roman" w:cs="Times New Roman"/>
                <w:color w:val="auto"/>
                <w:sz w:val="20"/>
                <w:szCs w:val="20"/>
                <w:lang w:val="en-US"/>
              </w:rPr>
              <w:t xml:space="preserve"> </w:t>
            </w:r>
            <w:r w:rsidRPr="00614971">
              <w:rPr>
                <w:rFonts w:ascii="Times New Roman" w:eastAsia="TimesNewRomanPSMT" w:hAnsi="Times New Roman" w:cs="Times New Roman"/>
                <w:color w:val="auto"/>
                <w:sz w:val="20"/>
                <w:szCs w:val="20"/>
              </w:rPr>
              <w:t>±</w:t>
            </w:r>
            <w:r w:rsidR="00785EFD" w:rsidRPr="00614971">
              <w:rPr>
                <w:rFonts w:ascii="Times New Roman" w:eastAsia="TimesNewRomanPSMT" w:hAnsi="Times New Roman" w:cs="Times New Roman"/>
                <w:color w:val="auto"/>
                <w:sz w:val="20"/>
                <w:szCs w:val="20"/>
                <w:lang w:val="en-US"/>
              </w:rPr>
              <w:t xml:space="preserve"> </w:t>
            </w:r>
            <w:r w:rsidRPr="00614971">
              <w:rPr>
                <w:rFonts w:ascii="Times New Roman" w:eastAsia="TimesNewRomanPSMT" w:hAnsi="Times New Roman" w:cs="Times New Roman"/>
                <w:color w:val="auto"/>
                <w:sz w:val="20"/>
                <w:szCs w:val="20"/>
              </w:rPr>
              <w:t>0.08</w:t>
            </w:r>
            <w:r w:rsidRPr="00614971">
              <w:rPr>
                <w:rFonts w:ascii="Times New Roman" w:eastAsia="TimesNewRomanPSMT" w:hAnsi="Times New Roman" w:cs="Times New Roman"/>
                <w:color w:val="auto"/>
                <w:sz w:val="20"/>
                <w:szCs w:val="20"/>
                <w:vertAlign w:val="superscript"/>
              </w:rPr>
              <w:t>*</w:t>
            </w:r>
          </w:p>
        </w:tc>
      </w:tr>
      <w:tr w:rsidR="004933FC" w:rsidRPr="0020167C" w:rsidTr="00614971">
        <w:trPr>
          <w:trHeight w:val="251"/>
        </w:trPr>
        <w:tc>
          <w:tcPr>
            <w:tcW w:w="2122" w:type="dxa"/>
            <w:tcBorders>
              <w:top w:val="nil"/>
              <w:left w:val="nil"/>
              <w:bottom w:val="nil"/>
              <w:right w:val="nil"/>
            </w:tcBorders>
          </w:tcPr>
          <w:p w:rsidR="004933FC" w:rsidRPr="00912049" w:rsidRDefault="004933FC" w:rsidP="00055366">
            <w:pPr>
              <w:pStyle w:val="Default"/>
              <w:ind w:left="0" w:firstLine="0"/>
              <w:jc w:val="left"/>
              <w:rPr>
                <w:rFonts w:ascii="Times New Roman" w:eastAsia="TimesNewRomanPSMT" w:hAnsi="Times New Roman" w:cs="Times New Roman"/>
                <w:b/>
                <w:color w:val="auto"/>
                <w:sz w:val="20"/>
                <w:szCs w:val="20"/>
                <w:lang w:val="en-US"/>
              </w:rPr>
            </w:pPr>
            <w:r w:rsidRPr="0020167C">
              <w:rPr>
                <w:rFonts w:ascii="Times New Roman" w:eastAsia="TimesNewRomanPSMT" w:hAnsi="Times New Roman" w:cs="Times New Roman"/>
                <w:sz w:val="20"/>
                <w:szCs w:val="20"/>
              </w:rPr>
              <w:t>8-isoprostan</w:t>
            </w:r>
            <w:r w:rsidRPr="0020167C">
              <w:rPr>
                <w:rFonts w:ascii="Times New Roman" w:eastAsia="TimesNewRomanPSMT" w:hAnsi="Times New Roman" w:cs="Times New Roman"/>
                <w:sz w:val="20"/>
                <w:szCs w:val="20"/>
                <w:lang w:val="en-US"/>
              </w:rPr>
              <w:t>e</w:t>
            </w:r>
            <w:r w:rsidRPr="0020167C">
              <w:rPr>
                <w:rFonts w:ascii="Times New Roman" w:eastAsia="TimesNewRomanPSMT" w:hAnsi="Times New Roman" w:cs="Times New Roman"/>
                <w:sz w:val="20"/>
                <w:szCs w:val="20"/>
              </w:rPr>
              <w:t>, ng/m</w:t>
            </w:r>
            <w:r w:rsidR="00912049">
              <w:rPr>
                <w:rFonts w:ascii="Times New Roman" w:eastAsia="TimesNewRomanPSMT" w:hAnsi="Times New Roman" w:cs="Times New Roman"/>
                <w:sz w:val="20"/>
                <w:szCs w:val="20"/>
                <w:lang w:val="en-US"/>
              </w:rPr>
              <w:t>L</w:t>
            </w:r>
          </w:p>
        </w:tc>
        <w:tc>
          <w:tcPr>
            <w:tcW w:w="1530" w:type="dxa"/>
            <w:tcBorders>
              <w:top w:val="nil"/>
              <w:left w:val="nil"/>
              <w:bottom w:val="nil"/>
              <w:right w:val="nil"/>
            </w:tcBorders>
          </w:tcPr>
          <w:p w:rsidR="004933FC" w:rsidRPr="00614971" w:rsidRDefault="00614971" w:rsidP="00614971">
            <w:pPr>
              <w:pStyle w:val="Default"/>
              <w:ind w:left="0" w:firstLine="0"/>
              <w:jc w:val="left"/>
              <w:rPr>
                <w:rFonts w:ascii="Times New Roman" w:eastAsia="TimesNewRomanPSMT" w:hAnsi="Times New Roman" w:cs="Times New Roman"/>
                <w:b/>
                <w:color w:val="auto"/>
                <w:sz w:val="20"/>
                <w:szCs w:val="20"/>
                <w:lang w:val="uk-UA"/>
              </w:rPr>
            </w:pPr>
            <w:r w:rsidRPr="00614971">
              <w:rPr>
                <w:rFonts w:ascii="Times New Roman" w:eastAsia="TimesNewRomanPSMT" w:hAnsi="Times New Roman" w:cs="Times New Roman"/>
                <w:sz w:val="20"/>
                <w:szCs w:val="20"/>
                <w:lang w:val="en-US"/>
              </w:rPr>
              <w:t xml:space="preserve"> </w:t>
            </w:r>
            <w:r w:rsidR="004933FC" w:rsidRPr="00614971">
              <w:rPr>
                <w:rFonts w:ascii="Times New Roman" w:eastAsia="TimesNewRomanPSMT" w:hAnsi="Times New Roman" w:cs="Times New Roman"/>
                <w:sz w:val="20"/>
                <w:szCs w:val="20"/>
              </w:rPr>
              <w:t>1.41 ± 0.25</w:t>
            </w:r>
          </w:p>
        </w:tc>
        <w:tc>
          <w:tcPr>
            <w:tcW w:w="2268" w:type="dxa"/>
            <w:tcBorders>
              <w:top w:val="nil"/>
              <w:left w:val="nil"/>
              <w:bottom w:val="nil"/>
              <w:right w:val="nil"/>
            </w:tcBorders>
          </w:tcPr>
          <w:p w:rsidR="004933FC" w:rsidRPr="00614971" w:rsidRDefault="004933FC" w:rsidP="00055366">
            <w:pPr>
              <w:pStyle w:val="Default"/>
              <w:ind w:firstLine="0"/>
              <w:jc w:val="left"/>
              <w:rPr>
                <w:rFonts w:ascii="Times New Roman" w:eastAsia="TimesNewRomanPSMT" w:hAnsi="Times New Roman" w:cs="Times New Roman"/>
                <w:color w:val="auto"/>
                <w:sz w:val="20"/>
                <w:szCs w:val="20"/>
              </w:rPr>
            </w:pPr>
            <w:r w:rsidRPr="00614971">
              <w:rPr>
                <w:rFonts w:ascii="Times New Roman" w:eastAsia="TimesNewRomanPSMT" w:hAnsi="Times New Roman" w:cs="Times New Roman"/>
                <w:color w:val="auto"/>
                <w:sz w:val="20"/>
                <w:szCs w:val="20"/>
              </w:rPr>
              <w:t>4.48</w:t>
            </w:r>
            <w:r w:rsidR="009F3BB7" w:rsidRPr="00614971">
              <w:rPr>
                <w:rFonts w:ascii="Times New Roman" w:eastAsia="TimesNewRomanPSMT" w:hAnsi="Times New Roman" w:cs="Times New Roman"/>
                <w:color w:val="auto"/>
                <w:sz w:val="20"/>
                <w:szCs w:val="20"/>
                <w:lang w:val="en-US"/>
              </w:rPr>
              <w:t xml:space="preserve"> </w:t>
            </w:r>
            <w:r w:rsidRPr="00614971">
              <w:rPr>
                <w:rFonts w:ascii="Times New Roman" w:eastAsia="TimesNewRomanPSMT" w:hAnsi="Times New Roman" w:cs="Times New Roman"/>
                <w:color w:val="auto"/>
                <w:sz w:val="20"/>
                <w:szCs w:val="20"/>
              </w:rPr>
              <w:t>±</w:t>
            </w:r>
            <w:r w:rsidR="009F3BB7" w:rsidRPr="00614971">
              <w:rPr>
                <w:rFonts w:ascii="Times New Roman" w:eastAsia="TimesNewRomanPSMT" w:hAnsi="Times New Roman" w:cs="Times New Roman"/>
                <w:color w:val="auto"/>
                <w:sz w:val="20"/>
                <w:szCs w:val="20"/>
                <w:lang w:val="en-US"/>
              </w:rPr>
              <w:t xml:space="preserve"> </w:t>
            </w:r>
            <w:r w:rsidRPr="00614971">
              <w:rPr>
                <w:rFonts w:ascii="Times New Roman" w:eastAsia="TimesNewRomanPSMT" w:hAnsi="Times New Roman" w:cs="Times New Roman"/>
                <w:color w:val="auto"/>
                <w:sz w:val="20"/>
                <w:szCs w:val="20"/>
              </w:rPr>
              <w:t>0.55</w:t>
            </w:r>
            <w:r w:rsidRPr="00614971">
              <w:rPr>
                <w:rFonts w:ascii="Times New Roman" w:eastAsia="TimesNewRomanPSMT" w:hAnsi="Times New Roman" w:cs="Times New Roman"/>
                <w:color w:val="auto"/>
                <w:sz w:val="20"/>
                <w:szCs w:val="20"/>
                <w:vertAlign w:val="superscript"/>
              </w:rPr>
              <w:t>*</w:t>
            </w:r>
            <w:r w:rsidR="00454368" w:rsidRPr="00614971">
              <w:rPr>
                <w:rFonts w:ascii="Times New Roman" w:eastAsia="TimesNewRomanPSMT" w:hAnsi="Times New Roman" w:cs="Times New Roman"/>
                <w:color w:val="auto"/>
                <w:sz w:val="20"/>
                <w:szCs w:val="20"/>
                <w:vertAlign w:val="superscript"/>
              </w:rPr>
              <w:t>**</w:t>
            </w:r>
          </w:p>
        </w:tc>
        <w:tc>
          <w:tcPr>
            <w:tcW w:w="1985" w:type="dxa"/>
            <w:tcBorders>
              <w:top w:val="nil"/>
              <w:left w:val="nil"/>
              <w:bottom w:val="nil"/>
              <w:right w:val="nil"/>
            </w:tcBorders>
          </w:tcPr>
          <w:p w:rsidR="004933FC" w:rsidRPr="00614971" w:rsidRDefault="000D53B1" w:rsidP="00055366">
            <w:pPr>
              <w:pStyle w:val="Default"/>
              <w:ind w:left="0" w:firstLine="0"/>
              <w:jc w:val="left"/>
              <w:rPr>
                <w:rFonts w:ascii="Times New Roman" w:eastAsia="TimesNewRomanPSMT" w:hAnsi="Times New Roman" w:cs="Times New Roman"/>
                <w:b/>
                <w:color w:val="auto"/>
                <w:sz w:val="20"/>
                <w:szCs w:val="20"/>
                <w:lang w:val="uk-UA"/>
              </w:rPr>
            </w:pPr>
            <w:r>
              <w:rPr>
                <w:rFonts w:ascii="Times New Roman" w:eastAsia="TimesNewRomanPSMT" w:hAnsi="Times New Roman" w:cs="Times New Roman"/>
                <w:color w:val="auto"/>
                <w:sz w:val="20"/>
                <w:szCs w:val="20"/>
                <w:lang w:val="en-US"/>
              </w:rPr>
              <w:t xml:space="preserve"> </w:t>
            </w:r>
            <w:r w:rsidR="00614971" w:rsidRPr="00614971">
              <w:rPr>
                <w:rFonts w:ascii="Times New Roman" w:eastAsia="TimesNewRomanPSMT" w:hAnsi="Times New Roman" w:cs="Times New Roman"/>
                <w:color w:val="auto"/>
                <w:sz w:val="20"/>
                <w:szCs w:val="20"/>
              </w:rPr>
              <w:t>10.0</w:t>
            </w:r>
            <w:r w:rsidR="009F3BB7" w:rsidRPr="00614971">
              <w:rPr>
                <w:rFonts w:ascii="Times New Roman" w:eastAsia="TimesNewRomanPSMT" w:hAnsi="Times New Roman" w:cs="Times New Roman"/>
                <w:color w:val="auto"/>
                <w:sz w:val="20"/>
                <w:szCs w:val="20"/>
                <w:lang w:val="en-US"/>
              </w:rPr>
              <w:t xml:space="preserve"> </w:t>
            </w:r>
            <w:r w:rsidR="004933FC" w:rsidRPr="00614971">
              <w:rPr>
                <w:rFonts w:ascii="Times New Roman" w:eastAsia="TimesNewRomanPSMT" w:hAnsi="Times New Roman" w:cs="Times New Roman"/>
                <w:color w:val="auto"/>
                <w:sz w:val="20"/>
                <w:szCs w:val="20"/>
              </w:rPr>
              <w:t>±</w:t>
            </w:r>
            <w:r w:rsidR="009F3BB7" w:rsidRPr="00614971">
              <w:rPr>
                <w:rFonts w:ascii="Times New Roman" w:eastAsia="TimesNewRomanPSMT" w:hAnsi="Times New Roman" w:cs="Times New Roman"/>
                <w:color w:val="auto"/>
                <w:sz w:val="20"/>
                <w:szCs w:val="20"/>
                <w:lang w:val="en-US"/>
              </w:rPr>
              <w:t xml:space="preserve"> </w:t>
            </w:r>
            <w:r w:rsidR="004933FC" w:rsidRPr="00614971">
              <w:rPr>
                <w:rFonts w:ascii="Times New Roman" w:eastAsia="TimesNewRomanPSMT" w:hAnsi="Times New Roman" w:cs="Times New Roman"/>
                <w:color w:val="auto"/>
                <w:sz w:val="20"/>
                <w:szCs w:val="20"/>
              </w:rPr>
              <w:t>0.99</w:t>
            </w:r>
            <w:r w:rsidR="004933FC" w:rsidRPr="00614971">
              <w:rPr>
                <w:rFonts w:ascii="Times New Roman" w:eastAsia="TimesNewRomanPSMT" w:hAnsi="Times New Roman" w:cs="Times New Roman"/>
                <w:color w:val="auto"/>
                <w:sz w:val="20"/>
                <w:szCs w:val="20"/>
                <w:vertAlign w:val="superscript"/>
              </w:rPr>
              <w:t>*</w:t>
            </w:r>
            <w:r w:rsidR="00454368" w:rsidRPr="00614971">
              <w:rPr>
                <w:rFonts w:ascii="Times New Roman" w:eastAsia="TimesNewRomanPSMT" w:hAnsi="Times New Roman" w:cs="Times New Roman"/>
                <w:color w:val="auto"/>
                <w:sz w:val="20"/>
                <w:szCs w:val="20"/>
                <w:vertAlign w:val="superscript"/>
              </w:rPr>
              <w:t>**</w:t>
            </w:r>
            <w:r w:rsidR="00D55AED" w:rsidRPr="00614971">
              <w:rPr>
                <w:rFonts w:ascii="Times New Roman" w:eastAsia="TimesNewRomanPSMT" w:hAnsi="Times New Roman" w:cs="Times New Roman"/>
                <w:color w:val="auto"/>
                <w:sz w:val="20"/>
                <w:szCs w:val="20"/>
                <w:vertAlign w:val="superscript"/>
              </w:rPr>
              <w:t>♦♦♦</w:t>
            </w:r>
          </w:p>
        </w:tc>
        <w:tc>
          <w:tcPr>
            <w:tcW w:w="2126" w:type="dxa"/>
            <w:tcBorders>
              <w:top w:val="nil"/>
              <w:left w:val="nil"/>
              <w:bottom w:val="nil"/>
              <w:right w:val="nil"/>
            </w:tcBorders>
          </w:tcPr>
          <w:p w:rsidR="004933FC" w:rsidRPr="00614971" w:rsidRDefault="00614971" w:rsidP="00055366">
            <w:pPr>
              <w:pStyle w:val="Default"/>
              <w:ind w:left="0" w:firstLine="0"/>
              <w:jc w:val="left"/>
              <w:rPr>
                <w:rFonts w:ascii="Times New Roman" w:eastAsia="TimesNewRomanPSMT" w:hAnsi="Times New Roman" w:cs="Times New Roman"/>
                <w:color w:val="auto"/>
                <w:sz w:val="20"/>
                <w:szCs w:val="20"/>
              </w:rPr>
            </w:pPr>
            <w:r w:rsidRPr="00614971">
              <w:rPr>
                <w:rFonts w:ascii="Times New Roman" w:eastAsia="TimesNewRomanPSMT" w:hAnsi="Times New Roman" w:cs="Times New Roman"/>
                <w:color w:val="auto"/>
                <w:sz w:val="20"/>
                <w:szCs w:val="20"/>
              </w:rPr>
              <w:t>25.9</w:t>
            </w:r>
            <w:r w:rsidR="00785EFD" w:rsidRPr="00614971">
              <w:rPr>
                <w:rFonts w:ascii="Times New Roman" w:eastAsia="TimesNewRomanPSMT" w:hAnsi="Times New Roman" w:cs="Times New Roman"/>
                <w:color w:val="auto"/>
                <w:sz w:val="20"/>
                <w:szCs w:val="20"/>
                <w:lang w:val="en-US"/>
              </w:rPr>
              <w:t xml:space="preserve"> </w:t>
            </w:r>
            <w:r w:rsidR="004933FC" w:rsidRPr="00614971">
              <w:rPr>
                <w:rFonts w:ascii="Times New Roman" w:eastAsia="TimesNewRomanPSMT" w:hAnsi="Times New Roman" w:cs="Times New Roman"/>
                <w:color w:val="auto"/>
                <w:sz w:val="20"/>
                <w:szCs w:val="20"/>
              </w:rPr>
              <w:t>±</w:t>
            </w:r>
            <w:r w:rsidR="00785EFD" w:rsidRPr="00614971">
              <w:rPr>
                <w:rFonts w:ascii="Times New Roman" w:eastAsia="TimesNewRomanPSMT" w:hAnsi="Times New Roman" w:cs="Times New Roman"/>
                <w:color w:val="auto"/>
                <w:sz w:val="20"/>
                <w:szCs w:val="20"/>
                <w:lang w:val="en-US"/>
              </w:rPr>
              <w:t xml:space="preserve"> </w:t>
            </w:r>
            <w:r w:rsidR="004933FC" w:rsidRPr="00614971">
              <w:rPr>
                <w:rFonts w:ascii="Times New Roman" w:eastAsia="TimesNewRomanPSMT" w:hAnsi="Times New Roman" w:cs="Times New Roman"/>
                <w:color w:val="auto"/>
                <w:sz w:val="20"/>
                <w:szCs w:val="20"/>
              </w:rPr>
              <w:t>2.87</w:t>
            </w:r>
            <w:r w:rsidR="004933FC" w:rsidRPr="00614971">
              <w:rPr>
                <w:rFonts w:ascii="Times New Roman" w:eastAsia="TimesNewRomanPSMT" w:hAnsi="Times New Roman" w:cs="Times New Roman"/>
                <w:color w:val="auto"/>
                <w:sz w:val="20"/>
                <w:szCs w:val="20"/>
                <w:vertAlign w:val="superscript"/>
              </w:rPr>
              <w:t>*</w:t>
            </w:r>
            <w:r w:rsidR="00454368" w:rsidRPr="00614971">
              <w:rPr>
                <w:rFonts w:ascii="Times New Roman" w:eastAsia="TimesNewRomanPSMT" w:hAnsi="Times New Roman" w:cs="Times New Roman"/>
                <w:color w:val="auto"/>
                <w:sz w:val="20"/>
                <w:szCs w:val="20"/>
                <w:vertAlign w:val="superscript"/>
              </w:rPr>
              <w:t>**</w:t>
            </w:r>
            <w:r w:rsidR="00D55AED" w:rsidRPr="00614971">
              <w:rPr>
                <w:rFonts w:ascii="Times New Roman" w:eastAsia="TimesNewRomanPSMT" w:hAnsi="Times New Roman" w:cs="Times New Roman"/>
                <w:color w:val="auto"/>
                <w:sz w:val="20"/>
                <w:szCs w:val="20"/>
                <w:vertAlign w:val="superscript"/>
              </w:rPr>
              <w:t>♦♦♦</w:t>
            </w:r>
            <w:r w:rsidR="00D55AED" w:rsidRPr="00614971">
              <w:rPr>
                <w:rFonts w:ascii="Times New Roman" w:eastAsia="TimesNewRomanPSMT" w:hAnsi="Times New Roman" w:cs="Times New Roman"/>
                <w:color w:val="auto"/>
                <w:sz w:val="20"/>
                <w:szCs w:val="20"/>
                <w:vertAlign w:val="superscript"/>
                <w:lang w:val="en-US"/>
              </w:rPr>
              <w:t xml:space="preserve"> </w:t>
            </w:r>
            <w:r w:rsidR="00D55AED" w:rsidRPr="00614971">
              <w:rPr>
                <w:rFonts w:ascii="Times New Roman" w:eastAsia="TimesNewRomanPSMT" w:hAnsi="Times New Roman" w:cs="Times New Roman"/>
                <w:color w:val="auto"/>
                <w:sz w:val="20"/>
                <w:szCs w:val="20"/>
                <w:vertAlign w:val="superscript"/>
              </w:rPr>
              <w:t>●●</w:t>
            </w:r>
          </w:p>
        </w:tc>
      </w:tr>
      <w:tr w:rsidR="004933FC" w:rsidRPr="0020167C" w:rsidTr="00614971">
        <w:tc>
          <w:tcPr>
            <w:tcW w:w="2122" w:type="dxa"/>
            <w:tcBorders>
              <w:top w:val="nil"/>
              <w:left w:val="nil"/>
              <w:right w:val="nil"/>
            </w:tcBorders>
          </w:tcPr>
          <w:p w:rsidR="004933FC" w:rsidRPr="0020167C" w:rsidRDefault="008E1E4C" w:rsidP="00055366">
            <w:pPr>
              <w:pStyle w:val="Default"/>
              <w:ind w:left="0" w:firstLine="0"/>
              <w:jc w:val="left"/>
              <w:rPr>
                <w:rFonts w:ascii="Times New Roman" w:eastAsia="TimesNewRomanPSMT" w:hAnsi="Times New Roman" w:cs="Times New Roman"/>
                <w:b/>
                <w:color w:val="auto"/>
                <w:sz w:val="20"/>
                <w:szCs w:val="20"/>
                <w:lang w:val="en-US"/>
              </w:rPr>
            </w:pPr>
            <w:r>
              <w:rPr>
                <w:rFonts w:ascii="Times New Roman" w:eastAsia="TimesNewRomanPSMT" w:hAnsi="Times New Roman" w:cs="Times New Roman"/>
                <w:sz w:val="20"/>
                <w:szCs w:val="20"/>
                <w:lang w:val="en-US"/>
              </w:rPr>
              <w:t xml:space="preserve">CRP </w:t>
            </w:r>
            <w:r w:rsidR="004933FC" w:rsidRPr="0020167C">
              <w:rPr>
                <w:rFonts w:ascii="Times New Roman" w:eastAsia="TimesNewRomanPSMT" w:hAnsi="Times New Roman" w:cs="Times New Roman"/>
                <w:sz w:val="20"/>
                <w:szCs w:val="20"/>
                <w:lang w:val="en-US"/>
              </w:rPr>
              <w:t>mg/</w:t>
            </w:r>
            <w:r w:rsidR="00912049">
              <w:rPr>
                <w:rFonts w:ascii="Times New Roman" w:eastAsia="TimesNewRomanPSMT" w:hAnsi="Times New Roman" w:cs="Times New Roman"/>
                <w:sz w:val="20"/>
                <w:szCs w:val="20"/>
                <w:lang w:val="en-US"/>
              </w:rPr>
              <w:t>L</w:t>
            </w:r>
          </w:p>
        </w:tc>
        <w:tc>
          <w:tcPr>
            <w:tcW w:w="1530" w:type="dxa"/>
            <w:tcBorders>
              <w:top w:val="nil"/>
              <w:left w:val="nil"/>
              <w:right w:val="nil"/>
            </w:tcBorders>
          </w:tcPr>
          <w:p w:rsidR="004933FC" w:rsidRPr="00614971" w:rsidRDefault="00614971" w:rsidP="00614971">
            <w:pPr>
              <w:pStyle w:val="Default"/>
              <w:ind w:left="0" w:firstLine="0"/>
              <w:jc w:val="left"/>
              <w:rPr>
                <w:rFonts w:ascii="Times New Roman" w:eastAsia="TimesNewRomanPSMT" w:hAnsi="Times New Roman" w:cs="Times New Roman"/>
                <w:b/>
                <w:color w:val="auto"/>
                <w:sz w:val="20"/>
                <w:szCs w:val="20"/>
                <w:lang w:val="uk-UA"/>
              </w:rPr>
            </w:pPr>
            <w:r w:rsidRPr="00614971">
              <w:rPr>
                <w:rFonts w:ascii="Times New Roman" w:eastAsia="TimesNewRomanPSMT" w:hAnsi="Times New Roman" w:cs="Times New Roman"/>
                <w:color w:val="auto"/>
                <w:sz w:val="20"/>
                <w:szCs w:val="20"/>
                <w:lang w:val="en-US"/>
              </w:rPr>
              <w:t xml:space="preserve"> </w:t>
            </w:r>
            <w:r w:rsidR="004933FC" w:rsidRPr="00614971">
              <w:rPr>
                <w:rFonts w:ascii="Times New Roman" w:eastAsia="TimesNewRomanPSMT" w:hAnsi="Times New Roman" w:cs="Times New Roman"/>
                <w:color w:val="auto"/>
                <w:sz w:val="20"/>
                <w:szCs w:val="20"/>
              </w:rPr>
              <w:t>6</w:t>
            </w:r>
            <w:r w:rsidR="009F3BB7" w:rsidRPr="00614971">
              <w:rPr>
                <w:rFonts w:ascii="Times New Roman" w:eastAsia="TimesNewRomanPSMT" w:hAnsi="Times New Roman" w:cs="Times New Roman"/>
                <w:color w:val="auto"/>
                <w:sz w:val="20"/>
                <w:szCs w:val="20"/>
              </w:rPr>
              <w:t>.</w:t>
            </w:r>
            <w:r w:rsidR="004933FC" w:rsidRPr="00614971">
              <w:rPr>
                <w:rFonts w:ascii="Times New Roman" w:eastAsia="TimesNewRomanPSMT" w:hAnsi="Times New Roman" w:cs="Times New Roman"/>
                <w:color w:val="auto"/>
                <w:sz w:val="20"/>
                <w:szCs w:val="20"/>
              </w:rPr>
              <w:t xml:space="preserve">23 ± </w:t>
            </w:r>
            <w:r w:rsidR="009F3BB7" w:rsidRPr="00614971">
              <w:rPr>
                <w:rFonts w:ascii="Times New Roman" w:eastAsia="TimesNewRomanPSMT" w:hAnsi="Times New Roman" w:cs="Times New Roman"/>
                <w:color w:val="auto"/>
                <w:sz w:val="20"/>
                <w:szCs w:val="20"/>
              </w:rPr>
              <w:t>0.</w:t>
            </w:r>
            <w:r w:rsidR="004933FC" w:rsidRPr="00614971">
              <w:rPr>
                <w:rFonts w:ascii="Times New Roman" w:eastAsia="TimesNewRomanPSMT" w:hAnsi="Times New Roman" w:cs="Times New Roman"/>
                <w:color w:val="auto"/>
                <w:sz w:val="20"/>
                <w:szCs w:val="20"/>
              </w:rPr>
              <w:t>33</w:t>
            </w:r>
          </w:p>
        </w:tc>
        <w:tc>
          <w:tcPr>
            <w:tcW w:w="2268" w:type="dxa"/>
            <w:tcBorders>
              <w:top w:val="nil"/>
              <w:left w:val="nil"/>
              <w:right w:val="nil"/>
            </w:tcBorders>
          </w:tcPr>
          <w:p w:rsidR="004933FC" w:rsidRPr="00614971" w:rsidRDefault="009F3BB7" w:rsidP="00055366">
            <w:pPr>
              <w:pStyle w:val="Default"/>
              <w:ind w:firstLine="0"/>
              <w:jc w:val="left"/>
              <w:rPr>
                <w:rFonts w:ascii="Times New Roman" w:eastAsia="TimesNewRomanPSMT" w:hAnsi="Times New Roman" w:cs="Times New Roman"/>
                <w:b/>
                <w:color w:val="auto"/>
                <w:sz w:val="20"/>
                <w:szCs w:val="20"/>
                <w:lang w:val="uk-UA"/>
              </w:rPr>
            </w:pPr>
            <w:r w:rsidRPr="00614971">
              <w:rPr>
                <w:rFonts w:ascii="Times New Roman" w:eastAsia="TimesNewRomanPSMT" w:hAnsi="Times New Roman" w:cs="Times New Roman"/>
                <w:color w:val="auto"/>
                <w:sz w:val="20"/>
                <w:szCs w:val="20"/>
              </w:rPr>
              <w:t>6.</w:t>
            </w:r>
            <w:r w:rsidR="004933FC" w:rsidRPr="00614971">
              <w:rPr>
                <w:rFonts w:ascii="Times New Roman" w:eastAsia="TimesNewRomanPSMT" w:hAnsi="Times New Roman" w:cs="Times New Roman"/>
                <w:color w:val="auto"/>
                <w:sz w:val="20"/>
                <w:szCs w:val="20"/>
              </w:rPr>
              <w:t>25 ± 0,57</w:t>
            </w:r>
          </w:p>
        </w:tc>
        <w:tc>
          <w:tcPr>
            <w:tcW w:w="1985" w:type="dxa"/>
            <w:tcBorders>
              <w:top w:val="nil"/>
              <w:left w:val="nil"/>
              <w:right w:val="nil"/>
            </w:tcBorders>
          </w:tcPr>
          <w:p w:rsidR="004933FC" w:rsidRPr="00614971" w:rsidRDefault="000D53B1" w:rsidP="00055366">
            <w:pPr>
              <w:pStyle w:val="Default"/>
              <w:ind w:left="0" w:firstLine="0"/>
              <w:jc w:val="left"/>
              <w:rPr>
                <w:rFonts w:ascii="Times New Roman" w:eastAsia="TimesNewRomanPSMT" w:hAnsi="Times New Roman" w:cs="Times New Roman"/>
                <w:b/>
                <w:color w:val="auto"/>
                <w:sz w:val="20"/>
                <w:szCs w:val="20"/>
                <w:lang w:val="uk-UA"/>
              </w:rPr>
            </w:pPr>
            <w:r>
              <w:rPr>
                <w:rFonts w:ascii="Times New Roman" w:eastAsia="TimesNewRomanPSMT" w:hAnsi="Times New Roman" w:cs="Times New Roman"/>
                <w:sz w:val="20"/>
                <w:szCs w:val="20"/>
                <w:lang w:val="en-US"/>
              </w:rPr>
              <w:t xml:space="preserve">  </w:t>
            </w:r>
            <w:r w:rsidR="009F3BB7" w:rsidRPr="00614971">
              <w:rPr>
                <w:rFonts w:ascii="Times New Roman" w:eastAsia="TimesNewRomanPSMT" w:hAnsi="Times New Roman" w:cs="Times New Roman"/>
                <w:sz w:val="20"/>
                <w:szCs w:val="20"/>
              </w:rPr>
              <w:t>6.01 ± 0.</w:t>
            </w:r>
            <w:r w:rsidR="004933FC" w:rsidRPr="00614971">
              <w:rPr>
                <w:rFonts w:ascii="Times New Roman" w:eastAsia="TimesNewRomanPSMT" w:hAnsi="Times New Roman" w:cs="Times New Roman"/>
                <w:sz w:val="20"/>
                <w:szCs w:val="20"/>
              </w:rPr>
              <w:t>77</w:t>
            </w:r>
          </w:p>
        </w:tc>
        <w:tc>
          <w:tcPr>
            <w:tcW w:w="2126" w:type="dxa"/>
            <w:tcBorders>
              <w:top w:val="nil"/>
              <w:left w:val="nil"/>
              <w:right w:val="nil"/>
            </w:tcBorders>
          </w:tcPr>
          <w:p w:rsidR="004933FC" w:rsidRPr="00614971" w:rsidRDefault="000D53B1" w:rsidP="008E1E4C">
            <w:pPr>
              <w:pStyle w:val="Default"/>
              <w:ind w:left="0" w:firstLine="0"/>
              <w:jc w:val="left"/>
              <w:rPr>
                <w:rFonts w:ascii="Times New Roman" w:eastAsia="TimesNewRomanPSMT" w:hAnsi="Times New Roman" w:cs="Times New Roman"/>
                <w:b/>
                <w:color w:val="auto"/>
                <w:sz w:val="20"/>
                <w:szCs w:val="20"/>
                <w:lang w:val="uk-UA"/>
              </w:rPr>
            </w:pPr>
            <w:r>
              <w:rPr>
                <w:rFonts w:ascii="Times New Roman" w:eastAsia="TimesNewRomanPSMT" w:hAnsi="Times New Roman" w:cs="Times New Roman"/>
                <w:sz w:val="20"/>
                <w:szCs w:val="20"/>
                <w:lang w:val="en-US"/>
              </w:rPr>
              <w:t xml:space="preserve"> </w:t>
            </w:r>
            <w:r w:rsidR="00785EFD" w:rsidRPr="00614971">
              <w:rPr>
                <w:rFonts w:ascii="Times New Roman" w:eastAsia="TimesNewRomanPSMT" w:hAnsi="Times New Roman" w:cs="Times New Roman"/>
                <w:sz w:val="20"/>
                <w:szCs w:val="20"/>
              </w:rPr>
              <w:t>6.</w:t>
            </w:r>
            <w:r w:rsidR="004933FC" w:rsidRPr="00614971">
              <w:rPr>
                <w:rFonts w:ascii="Times New Roman" w:eastAsia="TimesNewRomanPSMT" w:hAnsi="Times New Roman" w:cs="Times New Roman"/>
                <w:sz w:val="20"/>
                <w:szCs w:val="20"/>
              </w:rPr>
              <w:t xml:space="preserve">36 </w:t>
            </w:r>
            <w:r w:rsidR="00785EFD" w:rsidRPr="00614971">
              <w:rPr>
                <w:rFonts w:ascii="Times New Roman" w:eastAsia="TimesNewRomanPSMT" w:hAnsi="Times New Roman" w:cs="Times New Roman"/>
                <w:sz w:val="20"/>
                <w:szCs w:val="20"/>
              </w:rPr>
              <w:t>± 0.</w:t>
            </w:r>
            <w:r w:rsidR="004933FC" w:rsidRPr="00614971">
              <w:rPr>
                <w:rFonts w:ascii="Times New Roman" w:eastAsia="TimesNewRomanPSMT" w:hAnsi="Times New Roman" w:cs="Times New Roman"/>
                <w:sz w:val="20"/>
                <w:szCs w:val="20"/>
              </w:rPr>
              <w:t>45</w:t>
            </w:r>
          </w:p>
        </w:tc>
      </w:tr>
    </w:tbl>
    <w:p w:rsidR="002E055F" w:rsidRPr="0035209C" w:rsidRDefault="004933FC" w:rsidP="00055366">
      <w:pPr>
        <w:autoSpaceDE w:val="0"/>
        <w:autoSpaceDN w:val="0"/>
        <w:adjustRightInd w:val="0"/>
        <w:spacing w:after="0" w:line="240" w:lineRule="auto"/>
        <w:ind w:left="0" w:firstLine="0"/>
        <w:rPr>
          <w:rFonts w:ascii="Times New Roman" w:eastAsia="TimesNewRomanPSMT" w:hAnsi="Times New Roman" w:cs="Times New Roman"/>
          <w:sz w:val="20"/>
          <w:szCs w:val="20"/>
          <w:lang w:val="en-US"/>
        </w:rPr>
      </w:pPr>
      <w:r w:rsidRPr="0020167C">
        <w:rPr>
          <w:rFonts w:ascii="Times New Roman" w:hAnsi="Times New Roman" w:cs="Times New Roman"/>
          <w:iCs/>
          <w:sz w:val="20"/>
          <w:szCs w:val="20"/>
          <w:lang w:val="en-US"/>
        </w:rPr>
        <w:t>Note</w:t>
      </w:r>
      <w:r w:rsidR="00E77AFA" w:rsidRPr="0035209C">
        <w:rPr>
          <w:rFonts w:ascii="Times New Roman" w:eastAsia="TimesNewRomanPSMT" w:hAnsi="Times New Roman" w:cs="Times New Roman"/>
          <w:sz w:val="20"/>
          <w:szCs w:val="20"/>
          <w:lang w:val="en-US"/>
        </w:rPr>
        <w:t>:</w:t>
      </w:r>
      <w:r w:rsidR="002268F5" w:rsidRPr="0035209C">
        <w:rPr>
          <w:rFonts w:ascii="Times New Roman" w:eastAsia="TimesNewRomanPSMT" w:hAnsi="Times New Roman" w:cs="Times New Roman"/>
          <w:sz w:val="20"/>
          <w:szCs w:val="20"/>
          <w:lang w:val="en-US"/>
        </w:rPr>
        <w:t xml:space="preserve"> </w:t>
      </w:r>
      <w:r w:rsidRPr="0035209C">
        <w:rPr>
          <w:rFonts w:ascii="Times New Roman" w:eastAsia="TimesNewRomanPSMT" w:hAnsi="Times New Roman" w:cs="Times New Roman"/>
          <w:sz w:val="20"/>
          <w:szCs w:val="20"/>
          <w:lang w:val="en-US"/>
        </w:rPr>
        <w:t xml:space="preserve">* – </w:t>
      </w:r>
      <w:r w:rsidR="0005615A" w:rsidRPr="0035209C">
        <w:rPr>
          <w:rFonts w:ascii="Times New Roman" w:eastAsia="TimesNewRomanPSMT" w:hAnsi="Times New Roman" w:cs="Times New Roman"/>
          <w:sz w:val="20"/>
          <w:szCs w:val="20"/>
          <w:lang w:val="en-US"/>
        </w:rPr>
        <w:t>P</w:t>
      </w:r>
      <w:r w:rsidR="00E77AFA" w:rsidRPr="0035209C">
        <w:rPr>
          <w:rFonts w:ascii="Times New Roman" w:eastAsia="TimesNewRomanPSMT" w:hAnsi="Times New Roman" w:cs="Times New Roman"/>
          <w:sz w:val="20"/>
          <w:szCs w:val="20"/>
          <w:lang w:val="en-US"/>
        </w:rPr>
        <w:t xml:space="preserve"> &lt; 0.05,</w:t>
      </w:r>
      <w:r w:rsidR="00454368" w:rsidRPr="0035209C">
        <w:rPr>
          <w:rFonts w:ascii="Times New Roman" w:eastAsia="TimesNewRomanPSMT" w:hAnsi="Times New Roman" w:cs="Times New Roman"/>
          <w:sz w:val="20"/>
          <w:szCs w:val="20"/>
          <w:lang w:val="en-US"/>
        </w:rPr>
        <w:t xml:space="preserve"> ** – </w:t>
      </w:r>
      <w:r w:rsidR="0005615A" w:rsidRPr="0035209C">
        <w:rPr>
          <w:rFonts w:ascii="Times New Roman" w:eastAsia="TimesNewRomanPSMT" w:hAnsi="Times New Roman" w:cs="Times New Roman"/>
          <w:sz w:val="20"/>
          <w:szCs w:val="20"/>
          <w:lang w:val="en-US"/>
        </w:rPr>
        <w:t xml:space="preserve">P </w:t>
      </w:r>
      <w:r w:rsidR="00454368" w:rsidRPr="0035209C">
        <w:rPr>
          <w:rFonts w:ascii="Times New Roman" w:eastAsia="TimesNewRomanPSMT" w:hAnsi="Times New Roman" w:cs="Times New Roman"/>
          <w:sz w:val="20"/>
          <w:szCs w:val="20"/>
          <w:lang w:val="en-US"/>
        </w:rPr>
        <w:t>&lt; 0.01</w:t>
      </w:r>
      <w:r w:rsidR="0035209C" w:rsidRPr="0035209C">
        <w:rPr>
          <w:rFonts w:ascii="Times New Roman" w:eastAsia="TimesNewRomanPSMT" w:hAnsi="Times New Roman" w:cs="Times New Roman"/>
          <w:sz w:val="20"/>
          <w:szCs w:val="20"/>
          <w:lang w:val="en-US"/>
        </w:rPr>
        <w:t>,</w:t>
      </w:r>
      <w:r w:rsidR="00454368" w:rsidRPr="0035209C">
        <w:rPr>
          <w:rFonts w:ascii="Times New Roman" w:eastAsia="TimesNewRomanPSMT" w:hAnsi="Times New Roman" w:cs="Times New Roman"/>
          <w:sz w:val="20"/>
          <w:szCs w:val="20"/>
          <w:lang w:val="en-US"/>
        </w:rPr>
        <w:t xml:space="preserve"> *** – </w:t>
      </w:r>
      <w:r w:rsidR="0005615A" w:rsidRPr="0035209C">
        <w:rPr>
          <w:rFonts w:ascii="Times New Roman" w:eastAsia="TimesNewRomanPSMT" w:hAnsi="Times New Roman" w:cs="Times New Roman"/>
          <w:sz w:val="20"/>
          <w:szCs w:val="20"/>
          <w:lang w:val="en-US"/>
        </w:rPr>
        <w:t>P</w:t>
      </w:r>
      <w:r w:rsidR="00454368" w:rsidRPr="0035209C">
        <w:rPr>
          <w:rFonts w:ascii="Times New Roman" w:eastAsia="TimesNewRomanPSMT" w:hAnsi="Times New Roman" w:cs="Times New Roman"/>
          <w:sz w:val="20"/>
          <w:szCs w:val="20"/>
          <w:lang w:val="en-US"/>
        </w:rPr>
        <w:t xml:space="preserve"> &lt; 0.001 </w:t>
      </w:r>
      <w:r w:rsidR="003602BD" w:rsidRPr="0035209C">
        <w:rPr>
          <w:rFonts w:ascii="Times New Roman" w:eastAsia="TimesNewRomanPSMT" w:hAnsi="Times New Roman" w:cs="Times New Roman"/>
          <w:sz w:val="20"/>
          <w:szCs w:val="20"/>
          <w:lang w:val="en-US"/>
        </w:rPr>
        <w:t>vs control group;</w:t>
      </w:r>
      <w:r w:rsidR="00E77AFA" w:rsidRPr="0035209C">
        <w:rPr>
          <w:rFonts w:ascii="Times New Roman" w:eastAsia="TimesNewRomanPSMT" w:hAnsi="Times New Roman" w:cs="Times New Roman"/>
          <w:sz w:val="20"/>
          <w:szCs w:val="20"/>
          <w:lang w:val="en-US"/>
        </w:rPr>
        <w:t xml:space="preserve"> </w:t>
      </w:r>
      <w:r w:rsidR="00D55AED" w:rsidRPr="0035209C">
        <w:rPr>
          <w:rFonts w:ascii="Times New Roman" w:eastAsia="TimesNewRomanPSMT" w:hAnsi="Times New Roman" w:cs="Times New Roman"/>
          <w:sz w:val="20"/>
          <w:szCs w:val="20"/>
          <w:vertAlign w:val="superscript"/>
          <w:lang w:val="en-US"/>
        </w:rPr>
        <w:t xml:space="preserve">♦ </w:t>
      </w:r>
      <w:r w:rsidR="0005615A" w:rsidRPr="0035209C">
        <w:rPr>
          <w:rFonts w:ascii="Times New Roman" w:eastAsia="TimesNewRomanPSMT" w:hAnsi="Times New Roman" w:cs="Times New Roman"/>
          <w:sz w:val="20"/>
          <w:szCs w:val="20"/>
          <w:lang w:val="en-US"/>
        </w:rPr>
        <w:t xml:space="preserve">– </w:t>
      </w:r>
      <w:r w:rsidR="003602BD" w:rsidRPr="0035209C">
        <w:rPr>
          <w:rFonts w:ascii="Times New Roman" w:eastAsia="TimesNewRomanPSMT" w:hAnsi="Times New Roman" w:cs="Times New Roman"/>
          <w:sz w:val="20"/>
          <w:szCs w:val="20"/>
          <w:lang w:val="en-US"/>
        </w:rPr>
        <w:t>P &lt; 0.05</w:t>
      </w:r>
      <w:r w:rsidR="0035209C" w:rsidRPr="0035209C">
        <w:rPr>
          <w:rFonts w:ascii="Times New Roman" w:eastAsia="TimesNewRomanPSMT" w:hAnsi="Times New Roman" w:cs="Times New Roman"/>
          <w:sz w:val="20"/>
          <w:szCs w:val="20"/>
          <w:lang w:val="en-US"/>
        </w:rPr>
        <w:t>,</w:t>
      </w:r>
      <w:r w:rsidR="003602BD" w:rsidRPr="0035209C">
        <w:rPr>
          <w:rFonts w:ascii="Times New Roman" w:eastAsia="TimesNewRomanPSMT" w:hAnsi="Times New Roman" w:cs="Times New Roman"/>
          <w:sz w:val="20"/>
          <w:szCs w:val="20"/>
          <w:lang w:val="en-US"/>
        </w:rPr>
        <w:t xml:space="preserve"> </w:t>
      </w:r>
      <w:r w:rsidR="00D55AED" w:rsidRPr="0035209C">
        <w:rPr>
          <w:rFonts w:ascii="Times New Roman" w:eastAsia="TimesNewRomanPSMT" w:hAnsi="Times New Roman" w:cs="Times New Roman"/>
          <w:sz w:val="20"/>
          <w:szCs w:val="20"/>
          <w:vertAlign w:val="superscript"/>
          <w:lang w:val="en-US"/>
        </w:rPr>
        <w:t>♦♦</w:t>
      </w:r>
      <w:r w:rsidR="00E77AFA" w:rsidRPr="0035209C">
        <w:rPr>
          <w:rFonts w:ascii="Times New Roman" w:eastAsia="TimesNewRomanPSMT" w:hAnsi="Times New Roman" w:cs="Times New Roman"/>
          <w:sz w:val="20"/>
          <w:szCs w:val="20"/>
          <w:lang w:val="en-US"/>
        </w:rPr>
        <w:t xml:space="preserve"> </w:t>
      </w:r>
      <w:r w:rsidR="0005615A" w:rsidRPr="0035209C">
        <w:rPr>
          <w:rFonts w:ascii="Times New Roman" w:eastAsia="TimesNewRomanPSMT" w:hAnsi="Times New Roman" w:cs="Times New Roman"/>
          <w:sz w:val="20"/>
          <w:szCs w:val="20"/>
          <w:lang w:val="en-US"/>
        </w:rPr>
        <w:t>– P &lt; 0.01</w:t>
      </w:r>
      <w:r w:rsidR="0035209C" w:rsidRPr="0035209C">
        <w:rPr>
          <w:rFonts w:ascii="Times New Roman" w:eastAsia="TimesNewRomanPSMT" w:hAnsi="Times New Roman" w:cs="Times New Roman"/>
          <w:sz w:val="20"/>
          <w:szCs w:val="20"/>
          <w:lang w:val="en-US"/>
        </w:rPr>
        <w:t>,</w:t>
      </w:r>
      <w:r w:rsidR="0005615A" w:rsidRPr="0035209C">
        <w:rPr>
          <w:rFonts w:ascii="Times New Roman" w:eastAsia="TimesNewRomanPSMT" w:hAnsi="Times New Roman" w:cs="Times New Roman"/>
          <w:sz w:val="20"/>
          <w:szCs w:val="20"/>
          <w:lang w:val="en-US"/>
        </w:rPr>
        <w:t xml:space="preserve"> </w:t>
      </w:r>
      <w:r w:rsidR="00D55AED" w:rsidRPr="0035209C">
        <w:rPr>
          <w:rFonts w:ascii="Times New Roman" w:eastAsia="TimesNewRomanPSMT" w:hAnsi="Times New Roman" w:cs="Times New Roman"/>
          <w:sz w:val="20"/>
          <w:szCs w:val="20"/>
          <w:vertAlign w:val="superscript"/>
          <w:lang w:val="en-US"/>
        </w:rPr>
        <w:t>♦♦♦</w:t>
      </w:r>
      <w:r w:rsidR="0005615A" w:rsidRPr="0035209C">
        <w:rPr>
          <w:rFonts w:ascii="Times New Roman" w:eastAsia="TimesNewRomanPSMT" w:hAnsi="Times New Roman" w:cs="Times New Roman"/>
          <w:sz w:val="20"/>
          <w:szCs w:val="20"/>
          <w:lang w:val="en-US"/>
        </w:rPr>
        <w:t xml:space="preserve">  – P &lt; 0.001 </w:t>
      </w:r>
      <w:r w:rsidR="003602BD" w:rsidRPr="0035209C">
        <w:rPr>
          <w:rFonts w:ascii="Times New Roman" w:eastAsia="TimesNewRomanPSMT" w:hAnsi="Times New Roman" w:cs="Times New Roman"/>
          <w:sz w:val="20"/>
          <w:szCs w:val="20"/>
          <w:lang w:val="en-US"/>
        </w:rPr>
        <w:t>vs</w:t>
      </w:r>
      <w:r w:rsidR="0005615A" w:rsidRPr="0035209C">
        <w:rPr>
          <w:rFonts w:ascii="Times New Roman" w:eastAsia="TimesNewRomanPSMT" w:hAnsi="Times New Roman" w:cs="Times New Roman"/>
          <w:sz w:val="20"/>
          <w:szCs w:val="20"/>
          <w:lang w:val="en-US"/>
        </w:rPr>
        <w:t xml:space="preserve"> patients with the </w:t>
      </w:r>
      <w:r w:rsidR="008B3468" w:rsidRPr="0035209C">
        <w:rPr>
          <w:rFonts w:ascii="Times New Roman" w:eastAsia="TimesNewRomanPSMT" w:hAnsi="Times New Roman" w:cs="Times New Roman"/>
          <w:sz w:val="20"/>
          <w:szCs w:val="20"/>
          <w:lang w:val="en-US"/>
        </w:rPr>
        <w:t xml:space="preserve">1 </w:t>
      </w:r>
      <w:r w:rsidR="0005615A" w:rsidRPr="0035209C">
        <w:rPr>
          <w:rFonts w:ascii="Times New Roman" w:eastAsia="TimesNewRomanPSMT" w:hAnsi="Times New Roman" w:cs="Times New Roman"/>
          <w:sz w:val="20"/>
          <w:szCs w:val="20"/>
          <w:lang w:val="en-US"/>
        </w:rPr>
        <w:t>grade</w:t>
      </w:r>
      <w:r w:rsidR="008B3468" w:rsidRPr="0035209C">
        <w:rPr>
          <w:rFonts w:ascii="Times New Roman" w:eastAsia="TimesNewRomanPSMT" w:hAnsi="Times New Roman" w:cs="Times New Roman"/>
          <w:sz w:val="20"/>
          <w:szCs w:val="20"/>
          <w:lang w:val="en-US"/>
        </w:rPr>
        <w:t xml:space="preserve"> hypertension</w:t>
      </w:r>
      <w:r w:rsidR="0035209C" w:rsidRPr="0035209C">
        <w:rPr>
          <w:rFonts w:ascii="Times New Roman" w:eastAsia="TimesNewRomanPSMT" w:hAnsi="Times New Roman" w:cs="Times New Roman"/>
          <w:sz w:val="20"/>
          <w:szCs w:val="20"/>
          <w:lang w:val="en-US"/>
        </w:rPr>
        <w:t xml:space="preserve">; </w:t>
      </w:r>
      <w:r w:rsidR="008B3468" w:rsidRPr="0035209C">
        <w:rPr>
          <w:rFonts w:ascii="Times New Roman" w:eastAsia="TimesNewRomanPSMT" w:hAnsi="Times New Roman" w:cs="Times New Roman"/>
          <w:sz w:val="20"/>
          <w:szCs w:val="20"/>
          <w:vertAlign w:val="superscript"/>
          <w:lang w:val="en-US"/>
        </w:rPr>
        <w:t xml:space="preserve">● </w:t>
      </w:r>
      <w:r w:rsidR="008B3468" w:rsidRPr="0035209C">
        <w:rPr>
          <w:rFonts w:ascii="Times New Roman" w:eastAsia="TimesNewRomanPSMT" w:hAnsi="Times New Roman" w:cs="Times New Roman"/>
          <w:sz w:val="20"/>
          <w:szCs w:val="20"/>
          <w:lang w:val="en-US"/>
        </w:rPr>
        <w:t xml:space="preserve">– </w:t>
      </w:r>
      <w:r w:rsidR="003602BD" w:rsidRPr="0035209C">
        <w:rPr>
          <w:rFonts w:ascii="Times New Roman" w:eastAsia="TimesNewRomanPSMT" w:hAnsi="Times New Roman" w:cs="Times New Roman"/>
          <w:sz w:val="20"/>
          <w:szCs w:val="20"/>
          <w:lang w:val="en-US"/>
        </w:rPr>
        <w:t>P &lt; 0.05</w:t>
      </w:r>
      <w:r w:rsidR="0035209C" w:rsidRPr="0035209C">
        <w:rPr>
          <w:rFonts w:ascii="Times New Roman" w:eastAsia="TimesNewRomanPSMT" w:hAnsi="Times New Roman" w:cs="Times New Roman"/>
          <w:sz w:val="20"/>
          <w:szCs w:val="20"/>
          <w:lang w:val="en-US"/>
        </w:rPr>
        <w:t>,</w:t>
      </w:r>
      <w:r w:rsidR="008B3468" w:rsidRPr="0035209C">
        <w:rPr>
          <w:rFonts w:ascii="Times New Roman" w:eastAsia="TimesNewRomanPSMT" w:hAnsi="Times New Roman" w:cs="Times New Roman"/>
          <w:sz w:val="20"/>
          <w:szCs w:val="20"/>
          <w:lang w:val="en-US"/>
        </w:rPr>
        <w:t xml:space="preserve"> </w:t>
      </w:r>
      <w:r w:rsidR="008B3468" w:rsidRPr="0035209C">
        <w:rPr>
          <w:rFonts w:ascii="Times New Roman" w:eastAsia="TimesNewRomanPSMT" w:hAnsi="Times New Roman" w:cs="Times New Roman"/>
          <w:sz w:val="20"/>
          <w:szCs w:val="20"/>
          <w:vertAlign w:val="superscript"/>
          <w:lang w:val="en-US"/>
        </w:rPr>
        <w:t xml:space="preserve">●● </w:t>
      </w:r>
      <w:r w:rsidR="008B3468" w:rsidRPr="0035209C">
        <w:rPr>
          <w:rFonts w:ascii="Times New Roman" w:eastAsia="TimesNewRomanPSMT" w:hAnsi="Times New Roman" w:cs="Times New Roman"/>
          <w:sz w:val="20"/>
          <w:szCs w:val="20"/>
          <w:lang w:val="en-US"/>
        </w:rPr>
        <w:t xml:space="preserve"> – P &lt; 0.01</w:t>
      </w:r>
      <w:r w:rsidR="0035209C" w:rsidRPr="0035209C">
        <w:rPr>
          <w:rFonts w:ascii="Times New Roman" w:eastAsia="TimesNewRomanPSMT" w:hAnsi="Times New Roman" w:cs="Times New Roman"/>
          <w:sz w:val="20"/>
          <w:szCs w:val="20"/>
          <w:lang w:val="en-US"/>
        </w:rPr>
        <w:t>,</w:t>
      </w:r>
      <w:r w:rsidR="008B3468" w:rsidRPr="0035209C">
        <w:rPr>
          <w:rFonts w:ascii="Times New Roman" w:eastAsia="TimesNewRomanPSMT" w:hAnsi="Times New Roman" w:cs="Times New Roman"/>
          <w:sz w:val="20"/>
          <w:szCs w:val="20"/>
          <w:lang w:val="en-US"/>
        </w:rPr>
        <w:t xml:space="preserve"> </w:t>
      </w:r>
      <w:r w:rsidR="00D55AED" w:rsidRPr="0035209C">
        <w:rPr>
          <w:rFonts w:ascii="Times New Roman" w:eastAsia="TimesNewRomanPSMT" w:hAnsi="Times New Roman" w:cs="Times New Roman"/>
          <w:sz w:val="20"/>
          <w:szCs w:val="20"/>
          <w:vertAlign w:val="superscript"/>
          <w:lang w:val="en-US"/>
        </w:rPr>
        <w:t>●●●</w:t>
      </w:r>
      <w:r w:rsidR="008B3468" w:rsidRPr="0035209C">
        <w:rPr>
          <w:rFonts w:ascii="Times New Roman" w:eastAsia="TimesNewRomanPSMT" w:hAnsi="Times New Roman" w:cs="Times New Roman"/>
          <w:sz w:val="20"/>
          <w:szCs w:val="20"/>
          <w:lang w:val="en-US"/>
        </w:rPr>
        <w:t xml:space="preserve">– P &lt; 0.001 </w:t>
      </w:r>
      <w:r w:rsidR="003602BD" w:rsidRPr="0035209C">
        <w:rPr>
          <w:rFonts w:ascii="Times New Roman" w:eastAsia="TimesNewRomanPSMT" w:hAnsi="Times New Roman" w:cs="Times New Roman"/>
          <w:sz w:val="20"/>
          <w:szCs w:val="20"/>
          <w:lang w:val="en-US"/>
        </w:rPr>
        <w:t>vs</w:t>
      </w:r>
      <w:r w:rsidR="008B3468" w:rsidRPr="0035209C">
        <w:rPr>
          <w:rFonts w:ascii="Times New Roman" w:eastAsia="TimesNewRomanPSMT" w:hAnsi="Times New Roman" w:cs="Times New Roman"/>
          <w:sz w:val="20"/>
          <w:szCs w:val="20"/>
          <w:lang w:val="en-US"/>
        </w:rPr>
        <w:t xml:space="preserve"> patients with the 2 grade hypertension.</w:t>
      </w:r>
      <w:r w:rsidR="002E055F" w:rsidRPr="0035209C">
        <w:rPr>
          <w:rFonts w:ascii="Times New Roman" w:eastAsia="TimesNewRomanPSMT" w:hAnsi="Times New Roman" w:cs="Times New Roman"/>
          <w:sz w:val="20"/>
          <w:szCs w:val="20"/>
          <w:lang w:val="en-US"/>
        </w:rPr>
        <w:t xml:space="preserve"> </w:t>
      </w:r>
    </w:p>
    <w:p w:rsidR="004933FC" w:rsidRPr="0020167C" w:rsidRDefault="004933FC" w:rsidP="00D31BCB">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p>
    <w:p w:rsidR="00094779" w:rsidRDefault="004C062C" w:rsidP="00094779">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r w:rsidRPr="0020167C">
        <w:rPr>
          <w:rFonts w:ascii="Times New Roman" w:eastAsia="TimesNewRomanPSMT" w:hAnsi="Times New Roman" w:cs="Times New Roman"/>
          <w:sz w:val="20"/>
          <w:szCs w:val="20"/>
          <w:lang w:val="en-US"/>
        </w:rPr>
        <w:t>Unlike in TNF-</w:t>
      </w:r>
      <w:r w:rsidRPr="0020167C">
        <w:rPr>
          <w:rFonts w:ascii="Times New Roman" w:eastAsia="TimesNewRomanPSMT" w:hAnsi="Times New Roman" w:cs="Times New Roman"/>
          <w:sz w:val="20"/>
          <w:szCs w:val="20"/>
        </w:rPr>
        <w:t>α</w:t>
      </w:r>
      <w:r w:rsidR="00564DEC" w:rsidRPr="0020167C">
        <w:rPr>
          <w:rFonts w:ascii="Times New Roman" w:eastAsia="TimesNewRomanPSMT" w:hAnsi="Times New Roman" w:cs="Times New Roman"/>
          <w:sz w:val="20"/>
          <w:szCs w:val="20"/>
          <w:lang w:val="en-US"/>
        </w:rPr>
        <w:t xml:space="preserve"> and 8-isoprostane, the</w:t>
      </w:r>
      <w:r w:rsidRPr="0020167C">
        <w:rPr>
          <w:rFonts w:ascii="Times New Roman" w:eastAsia="TimesNewRomanPSMT" w:hAnsi="Times New Roman" w:cs="Times New Roman"/>
          <w:sz w:val="20"/>
          <w:szCs w:val="20"/>
          <w:lang w:val="en-US"/>
        </w:rPr>
        <w:t xml:space="preserve"> CRP levels did not signi</w:t>
      </w:r>
      <w:r w:rsidR="003602BD">
        <w:rPr>
          <w:rFonts w:ascii="Times New Roman" w:eastAsia="TimesNewRomanPSMT" w:hAnsi="Times New Roman" w:cs="Times New Roman"/>
          <w:sz w:val="20"/>
          <w:szCs w:val="20"/>
          <w:lang w:val="en-US"/>
        </w:rPr>
        <w:t xml:space="preserve">ficantly differ between groups. </w:t>
      </w:r>
      <w:r w:rsidRPr="0020167C">
        <w:rPr>
          <w:rFonts w:ascii="Times New Roman" w:eastAsia="TimesNewRomanPSMT" w:hAnsi="Times New Roman" w:cs="Times New Roman"/>
          <w:sz w:val="20"/>
          <w:szCs w:val="20"/>
          <w:lang w:val="en-US"/>
        </w:rPr>
        <w:t xml:space="preserve">As can be seen from </w:t>
      </w:r>
      <w:r w:rsidR="00880E41">
        <w:rPr>
          <w:rFonts w:ascii="Times New Roman" w:eastAsia="TimesNewRomanPSMT" w:hAnsi="Times New Roman" w:cs="Times New Roman"/>
          <w:sz w:val="20"/>
          <w:szCs w:val="20"/>
          <w:lang w:val="en-US"/>
        </w:rPr>
        <w:t>T</w:t>
      </w:r>
      <w:r w:rsidRPr="00B5541A">
        <w:rPr>
          <w:rFonts w:ascii="Times New Roman" w:eastAsia="TimesNewRomanPSMT" w:hAnsi="Times New Roman" w:cs="Times New Roman"/>
          <w:sz w:val="20"/>
          <w:szCs w:val="20"/>
          <w:lang w:val="en-US"/>
        </w:rPr>
        <w:t xml:space="preserve">able </w:t>
      </w:r>
      <w:r w:rsidR="006210B1" w:rsidRPr="00B5541A">
        <w:rPr>
          <w:rFonts w:ascii="Times New Roman" w:eastAsia="TimesNewRomanPSMT" w:hAnsi="Times New Roman" w:cs="Times New Roman"/>
          <w:sz w:val="20"/>
          <w:szCs w:val="20"/>
          <w:lang w:val="en-US"/>
        </w:rPr>
        <w:t>2</w:t>
      </w:r>
      <w:r w:rsidRPr="00B5541A">
        <w:rPr>
          <w:rFonts w:ascii="Times New Roman" w:eastAsia="TimesNewRomanPSMT" w:hAnsi="Times New Roman" w:cs="Times New Roman"/>
          <w:sz w:val="20"/>
          <w:szCs w:val="20"/>
          <w:lang w:val="en-US"/>
        </w:rPr>
        <w:t>,</w:t>
      </w:r>
      <w:r w:rsidRPr="0020167C">
        <w:rPr>
          <w:rFonts w:ascii="Times New Roman" w:eastAsia="TimesNewRomanPSMT" w:hAnsi="Times New Roman" w:cs="Times New Roman"/>
          <w:sz w:val="20"/>
          <w:szCs w:val="20"/>
          <w:lang w:val="en-US"/>
        </w:rPr>
        <w:t xml:space="preserve"> in patients with hypertension, a 3.2</w:t>
      </w:r>
      <w:r w:rsidR="008E1E4C" w:rsidRPr="008E1E4C">
        <w:rPr>
          <w:rFonts w:ascii="Times New Roman" w:eastAsia="TimesNewRomanPSMT" w:hAnsi="Times New Roman" w:cs="Times New Roman"/>
          <w:sz w:val="20"/>
          <w:szCs w:val="20"/>
          <w:lang w:val="en-US"/>
        </w:rPr>
        <w:t>–</w:t>
      </w:r>
      <w:r w:rsidRPr="0020167C">
        <w:rPr>
          <w:rFonts w:ascii="Times New Roman" w:eastAsia="TimesNewRomanPSMT" w:hAnsi="Times New Roman" w:cs="Times New Roman"/>
          <w:sz w:val="20"/>
          <w:szCs w:val="20"/>
          <w:lang w:val="en-US"/>
        </w:rPr>
        <w:t>fold, 7.1</w:t>
      </w:r>
      <w:r w:rsidR="008E1E4C" w:rsidRPr="008E1E4C">
        <w:rPr>
          <w:rFonts w:ascii="Times New Roman" w:eastAsia="TimesNewRomanPSMT" w:hAnsi="Times New Roman" w:cs="Times New Roman"/>
          <w:sz w:val="20"/>
          <w:szCs w:val="20"/>
          <w:lang w:val="en-US"/>
        </w:rPr>
        <w:t>–</w:t>
      </w:r>
      <w:r w:rsidRPr="0020167C">
        <w:rPr>
          <w:rFonts w:ascii="Times New Roman" w:eastAsia="TimesNewRomanPSMT" w:hAnsi="Times New Roman" w:cs="Times New Roman"/>
          <w:sz w:val="20"/>
          <w:szCs w:val="20"/>
          <w:lang w:val="en-US"/>
        </w:rPr>
        <w:t>fold and 18.4</w:t>
      </w:r>
      <w:r w:rsidR="008E1E4C" w:rsidRPr="008E1E4C">
        <w:rPr>
          <w:rFonts w:ascii="Times New Roman" w:eastAsia="TimesNewRomanPSMT" w:hAnsi="Times New Roman" w:cs="Times New Roman"/>
          <w:sz w:val="20"/>
          <w:szCs w:val="20"/>
          <w:lang w:val="en-US"/>
        </w:rPr>
        <w:t>–</w:t>
      </w:r>
      <w:r w:rsidRPr="0020167C">
        <w:rPr>
          <w:rFonts w:ascii="Times New Roman" w:eastAsia="TimesNewRomanPSMT" w:hAnsi="Times New Roman" w:cs="Times New Roman"/>
          <w:sz w:val="20"/>
          <w:szCs w:val="20"/>
          <w:lang w:val="en-US"/>
        </w:rPr>
        <w:t>fold increase (grades 1, 2, and 3, respectively) in the 8-isoprostane serum content was observed compared to the control group. When comparing the levels of 8-isoprostane in patients with hypertension, depending on the level of blood pressure, it was revealed that the concentration of 8-isoprostane in the blood serum increased as the disease progressed: in patients with grade 3 hypertension, it exceeded 5.8 times the same index in patients with grade 1 and 2.</w:t>
      </w:r>
      <w:r w:rsidR="007C3925">
        <w:rPr>
          <w:rFonts w:ascii="Times New Roman" w:eastAsia="TimesNewRomanPSMT" w:hAnsi="Times New Roman" w:cs="Times New Roman"/>
          <w:sz w:val="20"/>
          <w:szCs w:val="20"/>
          <w:lang w:val="en-US"/>
        </w:rPr>
        <w:t xml:space="preserve">6 </w:t>
      </w:r>
      <w:r w:rsidRPr="0020167C">
        <w:rPr>
          <w:rFonts w:ascii="Times New Roman" w:eastAsia="TimesNewRomanPSMT" w:hAnsi="Times New Roman" w:cs="Times New Roman"/>
          <w:sz w:val="20"/>
          <w:szCs w:val="20"/>
          <w:lang w:val="en-US"/>
        </w:rPr>
        <w:t xml:space="preserve">times – in those with grade </w:t>
      </w:r>
      <w:r w:rsidR="00316BB2">
        <w:rPr>
          <w:rFonts w:ascii="Times New Roman" w:eastAsia="TimesNewRomanPSMT" w:hAnsi="Times New Roman" w:cs="Times New Roman"/>
          <w:sz w:val="20"/>
          <w:szCs w:val="20"/>
          <w:lang w:val="en-US"/>
        </w:rPr>
        <w:t xml:space="preserve">2. </w:t>
      </w:r>
    </w:p>
    <w:p w:rsidR="004933FC" w:rsidRPr="00094779" w:rsidRDefault="002C43DE" w:rsidP="00094779">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r w:rsidRPr="002C43DE">
        <w:rPr>
          <w:rFonts w:ascii="Times New Roman" w:eastAsia="TimesNewRomanPSMT" w:hAnsi="Times New Roman" w:cs="Times New Roman"/>
          <w:sz w:val="20"/>
          <w:szCs w:val="20"/>
          <w:lang w:val="en-US"/>
        </w:rPr>
        <w:lastRenderedPageBreak/>
        <w:t xml:space="preserve">The levels of the studied parameters, namely of TNF-α, sTNF-αRI, 8-isoprostane and CRP in the examined patients change </w:t>
      </w:r>
      <w:r>
        <w:rPr>
          <w:rFonts w:ascii="Times New Roman" w:eastAsia="TimesNewRomanPSMT" w:hAnsi="Times New Roman" w:cs="Times New Roman"/>
          <w:sz w:val="20"/>
          <w:szCs w:val="20"/>
          <w:lang w:val="en-US"/>
        </w:rPr>
        <w:t>not only depending from the gra</w:t>
      </w:r>
      <w:r w:rsidRPr="002C43DE">
        <w:rPr>
          <w:rFonts w:ascii="Times New Roman" w:eastAsia="TimesNewRomanPSMT" w:hAnsi="Times New Roman" w:cs="Times New Roman"/>
          <w:sz w:val="20"/>
          <w:szCs w:val="20"/>
          <w:lang w:val="en-US"/>
        </w:rPr>
        <w:t>d</w:t>
      </w:r>
      <w:r>
        <w:rPr>
          <w:rFonts w:ascii="Times New Roman" w:eastAsia="TimesNewRomanPSMT" w:hAnsi="Times New Roman" w:cs="Times New Roman"/>
          <w:sz w:val="20"/>
          <w:szCs w:val="20"/>
          <w:lang w:val="en-US"/>
        </w:rPr>
        <w:t>e</w:t>
      </w:r>
      <w:r w:rsidRPr="002C43DE">
        <w:rPr>
          <w:rFonts w:ascii="Times New Roman" w:eastAsia="TimesNewRomanPSMT" w:hAnsi="Times New Roman" w:cs="Times New Roman"/>
          <w:sz w:val="20"/>
          <w:szCs w:val="20"/>
          <w:lang w:val="en-US"/>
        </w:rPr>
        <w:t xml:space="preserve"> hypertension, but </w:t>
      </w:r>
      <w:r>
        <w:rPr>
          <w:rFonts w:ascii="Times New Roman" w:eastAsia="TimesNewRomanPSMT" w:hAnsi="Times New Roman" w:cs="Times New Roman"/>
          <w:sz w:val="20"/>
          <w:szCs w:val="20"/>
          <w:lang w:val="en-US"/>
        </w:rPr>
        <w:t>on the duration of hypertension</w:t>
      </w:r>
      <w:r w:rsidRPr="002C43DE">
        <w:rPr>
          <w:rFonts w:ascii="Times New Roman" w:eastAsia="TimesNewRomanPSMT" w:hAnsi="Times New Roman" w:cs="Times New Roman"/>
          <w:sz w:val="20"/>
          <w:szCs w:val="20"/>
          <w:lang w:val="en-US"/>
        </w:rPr>
        <w:t xml:space="preserve"> </w:t>
      </w:r>
      <w:r>
        <w:rPr>
          <w:rFonts w:ascii="Times New Roman" w:eastAsia="TimesNewRomanPSMT" w:hAnsi="Times New Roman" w:cs="Times New Roman"/>
          <w:sz w:val="20"/>
          <w:szCs w:val="20"/>
          <w:lang w:val="en-US"/>
        </w:rPr>
        <w:t>(Table 3).</w:t>
      </w:r>
    </w:p>
    <w:p w:rsidR="004933FC" w:rsidRPr="00094779" w:rsidRDefault="007F0CEA" w:rsidP="004933FC">
      <w:pPr>
        <w:pStyle w:val="Default"/>
        <w:jc w:val="right"/>
        <w:rPr>
          <w:rFonts w:ascii="Times New Roman" w:eastAsia="TimesNewRomanPSMT" w:hAnsi="Times New Roman" w:cs="Times New Roman"/>
          <w:b/>
          <w:color w:val="auto"/>
          <w:sz w:val="20"/>
          <w:szCs w:val="20"/>
          <w:lang w:val="en-US"/>
        </w:rPr>
      </w:pPr>
      <w:r w:rsidRPr="00094779">
        <w:rPr>
          <w:rFonts w:ascii="Times New Roman" w:eastAsia="TimesNewRomanPSMT" w:hAnsi="Times New Roman" w:cs="Times New Roman"/>
          <w:b/>
          <w:color w:val="auto"/>
          <w:sz w:val="20"/>
          <w:szCs w:val="20"/>
          <w:lang w:val="en-US"/>
        </w:rPr>
        <w:t>Table 3</w:t>
      </w:r>
    </w:p>
    <w:p w:rsidR="004933FC" w:rsidRPr="004A252C" w:rsidRDefault="000F5698" w:rsidP="004933FC">
      <w:pPr>
        <w:pStyle w:val="Default"/>
        <w:rPr>
          <w:rFonts w:ascii="Times New Roman" w:eastAsia="TimesNewRomanPSMT" w:hAnsi="Times New Roman" w:cs="Times New Roman"/>
          <w:b/>
          <w:sz w:val="20"/>
          <w:szCs w:val="20"/>
          <w:lang w:val="en-US"/>
        </w:rPr>
      </w:pPr>
      <w:r w:rsidRPr="004A252C">
        <w:rPr>
          <w:rFonts w:ascii="Times New Roman" w:eastAsia="TimesNewRomanPSMT" w:hAnsi="Times New Roman" w:cs="Times New Roman"/>
          <w:b/>
          <w:color w:val="auto"/>
          <w:sz w:val="20"/>
          <w:szCs w:val="20"/>
          <w:lang w:val="en-US"/>
        </w:rPr>
        <w:t>Levels of TNF-α, TNF-αRI, CRP, and 8-isoprostane in patients with different duration of hypertension, yrs</w:t>
      </w:r>
      <w:r w:rsidR="00620D9A">
        <w:rPr>
          <w:rFonts w:ascii="Times New Roman" w:eastAsia="TimesNewRomanPSMT" w:hAnsi="Times New Roman" w:cs="Times New Roman"/>
          <w:b/>
          <w:color w:val="auto"/>
          <w:sz w:val="20"/>
          <w:szCs w:val="20"/>
          <w:lang w:val="en-US"/>
        </w:rPr>
        <w:t xml:space="preserve"> </w:t>
      </w:r>
      <w:r w:rsidR="00620D9A" w:rsidRPr="00620D9A">
        <w:rPr>
          <w:rFonts w:ascii="Times New Roman" w:eastAsia="TimesNewRomanPSMT" w:hAnsi="Times New Roman" w:cs="Times New Roman"/>
          <w:b/>
          <w:color w:val="auto"/>
          <w:sz w:val="20"/>
          <w:szCs w:val="20"/>
          <w:lang w:val="en-US"/>
        </w:rPr>
        <w:t>(x ± SD)</w:t>
      </w:r>
    </w:p>
    <w:tbl>
      <w:tblPr>
        <w:tblStyle w:val="a3"/>
        <w:tblW w:w="9889" w:type="dxa"/>
        <w:tblInd w:w="108" w:type="dxa"/>
        <w:tblLayout w:type="fixed"/>
        <w:tblLook w:val="04A0" w:firstRow="1" w:lastRow="0" w:firstColumn="1" w:lastColumn="0" w:noHBand="0" w:noVBand="1"/>
      </w:tblPr>
      <w:tblGrid>
        <w:gridCol w:w="2122"/>
        <w:gridCol w:w="1530"/>
        <w:gridCol w:w="2268"/>
        <w:gridCol w:w="1985"/>
        <w:gridCol w:w="1984"/>
      </w:tblGrid>
      <w:tr w:rsidR="004933FC" w:rsidRPr="00C20A9F" w:rsidTr="00055366">
        <w:tc>
          <w:tcPr>
            <w:tcW w:w="2122" w:type="dxa"/>
            <w:vMerge w:val="restart"/>
            <w:tcBorders>
              <w:left w:val="nil"/>
              <w:right w:val="nil"/>
            </w:tcBorders>
          </w:tcPr>
          <w:p w:rsidR="004933FC" w:rsidRPr="004A252C" w:rsidRDefault="004933FC" w:rsidP="00AB7662">
            <w:pPr>
              <w:pStyle w:val="Default"/>
              <w:ind w:firstLine="0"/>
              <w:jc w:val="left"/>
              <w:rPr>
                <w:rFonts w:ascii="Times New Roman" w:eastAsia="TimesNewRomanPSMT" w:hAnsi="Times New Roman" w:cs="Times New Roman"/>
                <w:color w:val="auto"/>
                <w:sz w:val="20"/>
                <w:szCs w:val="20"/>
                <w:lang w:val="uk-UA"/>
              </w:rPr>
            </w:pPr>
            <w:r w:rsidRPr="004A252C">
              <w:rPr>
                <w:rFonts w:ascii="Times New Roman" w:eastAsia="TimesNewRomanPSMT" w:hAnsi="Times New Roman" w:cs="Times New Roman"/>
                <w:sz w:val="20"/>
                <w:szCs w:val="20"/>
                <w:lang w:val="en-US"/>
              </w:rPr>
              <w:t>Paramet</w:t>
            </w:r>
            <w:r w:rsidRPr="004A252C">
              <w:rPr>
                <w:rFonts w:ascii="Times New Roman" w:eastAsia="TimesNewRomanPSMT" w:hAnsi="Times New Roman" w:cs="Times New Roman"/>
                <w:sz w:val="20"/>
                <w:szCs w:val="20"/>
              </w:rPr>
              <w:t>er</w:t>
            </w:r>
          </w:p>
        </w:tc>
        <w:tc>
          <w:tcPr>
            <w:tcW w:w="1530" w:type="dxa"/>
            <w:vMerge w:val="restart"/>
            <w:tcBorders>
              <w:left w:val="nil"/>
              <w:right w:val="nil"/>
            </w:tcBorders>
          </w:tcPr>
          <w:p w:rsidR="004933FC" w:rsidRPr="004A252C" w:rsidRDefault="004933FC" w:rsidP="00AB7662">
            <w:pPr>
              <w:pStyle w:val="Default"/>
              <w:ind w:left="288" w:firstLine="0"/>
              <w:jc w:val="left"/>
              <w:rPr>
                <w:rFonts w:ascii="Times New Roman" w:eastAsia="TimesNewRomanPSMT" w:hAnsi="Times New Roman" w:cs="Times New Roman"/>
                <w:color w:val="auto"/>
                <w:sz w:val="20"/>
                <w:szCs w:val="20"/>
                <w:lang w:val="uk-UA"/>
              </w:rPr>
            </w:pPr>
            <w:r w:rsidRPr="004A252C">
              <w:rPr>
                <w:rFonts w:ascii="Times New Roman" w:eastAsia="TimesNewRomanPSMT" w:hAnsi="Times New Roman" w:cs="Times New Roman"/>
                <w:sz w:val="20"/>
                <w:szCs w:val="20"/>
              </w:rPr>
              <w:t>Сontrol group</w:t>
            </w:r>
          </w:p>
        </w:tc>
        <w:tc>
          <w:tcPr>
            <w:tcW w:w="6237" w:type="dxa"/>
            <w:gridSpan w:val="3"/>
            <w:tcBorders>
              <w:left w:val="nil"/>
              <w:bottom w:val="single" w:sz="4" w:space="0" w:color="auto"/>
              <w:right w:val="nil"/>
            </w:tcBorders>
          </w:tcPr>
          <w:p w:rsidR="004933FC" w:rsidRPr="004A252C" w:rsidRDefault="004933FC" w:rsidP="00AB7662">
            <w:pPr>
              <w:pStyle w:val="Default"/>
              <w:jc w:val="center"/>
              <w:rPr>
                <w:rFonts w:ascii="Times New Roman" w:eastAsia="TimesNewRomanPSMT" w:hAnsi="Times New Roman" w:cs="Times New Roman"/>
                <w:b/>
                <w:color w:val="auto"/>
                <w:sz w:val="20"/>
                <w:szCs w:val="20"/>
                <w:lang w:val="en-US"/>
              </w:rPr>
            </w:pPr>
            <w:r w:rsidRPr="004A252C">
              <w:rPr>
                <w:rFonts w:ascii="Times New Roman" w:eastAsia="TimesNewRomanPSMT" w:hAnsi="Times New Roman" w:cs="Times New Roman"/>
                <w:sz w:val="20"/>
                <w:szCs w:val="20"/>
                <w:lang w:val="en-US"/>
              </w:rPr>
              <w:t>Patients with duration of hypertension, yrs</w:t>
            </w:r>
          </w:p>
        </w:tc>
      </w:tr>
      <w:tr w:rsidR="004933FC" w:rsidRPr="004A252C" w:rsidTr="006B2C74">
        <w:tc>
          <w:tcPr>
            <w:tcW w:w="2122" w:type="dxa"/>
            <w:vMerge/>
            <w:tcBorders>
              <w:top w:val="nil"/>
              <w:left w:val="nil"/>
              <w:bottom w:val="single" w:sz="4" w:space="0" w:color="auto"/>
              <w:right w:val="nil"/>
            </w:tcBorders>
          </w:tcPr>
          <w:p w:rsidR="004933FC" w:rsidRPr="004A252C" w:rsidRDefault="004933FC" w:rsidP="00AB7662">
            <w:pPr>
              <w:pStyle w:val="Default"/>
              <w:jc w:val="center"/>
              <w:rPr>
                <w:rFonts w:ascii="Times New Roman" w:eastAsia="TimesNewRomanPSMT" w:hAnsi="Times New Roman" w:cs="Times New Roman"/>
                <w:b/>
                <w:color w:val="auto"/>
                <w:sz w:val="20"/>
                <w:szCs w:val="20"/>
                <w:lang w:val="uk-UA"/>
              </w:rPr>
            </w:pPr>
          </w:p>
        </w:tc>
        <w:tc>
          <w:tcPr>
            <w:tcW w:w="1530" w:type="dxa"/>
            <w:vMerge/>
            <w:tcBorders>
              <w:top w:val="nil"/>
              <w:left w:val="nil"/>
              <w:bottom w:val="single" w:sz="4" w:space="0" w:color="auto"/>
              <w:right w:val="nil"/>
            </w:tcBorders>
          </w:tcPr>
          <w:p w:rsidR="004933FC" w:rsidRPr="004A252C" w:rsidRDefault="004933FC" w:rsidP="00AB7662">
            <w:pPr>
              <w:pStyle w:val="Default"/>
              <w:jc w:val="center"/>
              <w:rPr>
                <w:rFonts w:ascii="Times New Roman" w:eastAsia="TimesNewRomanPSMT" w:hAnsi="Times New Roman" w:cs="Times New Roman"/>
                <w:b/>
                <w:color w:val="auto"/>
                <w:sz w:val="20"/>
                <w:szCs w:val="20"/>
                <w:lang w:val="uk-UA"/>
              </w:rPr>
            </w:pPr>
          </w:p>
        </w:tc>
        <w:tc>
          <w:tcPr>
            <w:tcW w:w="2268" w:type="dxa"/>
            <w:tcBorders>
              <w:left w:val="nil"/>
              <w:bottom w:val="single" w:sz="4" w:space="0" w:color="auto"/>
              <w:right w:val="nil"/>
            </w:tcBorders>
          </w:tcPr>
          <w:p w:rsidR="004933FC" w:rsidRPr="004A252C" w:rsidRDefault="004933FC" w:rsidP="007F0CEA">
            <w:pPr>
              <w:pStyle w:val="Default"/>
              <w:ind w:firstLine="0"/>
              <w:jc w:val="left"/>
              <w:rPr>
                <w:rFonts w:ascii="Times New Roman" w:eastAsia="TimesNewRomanPSMT" w:hAnsi="Times New Roman" w:cs="Times New Roman"/>
                <w:color w:val="auto"/>
                <w:sz w:val="20"/>
                <w:szCs w:val="20"/>
                <w:lang w:val="en-US"/>
              </w:rPr>
            </w:pPr>
            <w:r w:rsidRPr="004A252C">
              <w:rPr>
                <w:rFonts w:ascii="Times New Roman" w:eastAsia="TimesNewRomanPSMT" w:hAnsi="Times New Roman" w:cs="Times New Roman"/>
                <w:sz w:val="20"/>
                <w:szCs w:val="20"/>
                <w:lang w:val="en-US"/>
              </w:rPr>
              <w:t>&lt; 5</w:t>
            </w:r>
          </w:p>
        </w:tc>
        <w:tc>
          <w:tcPr>
            <w:tcW w:w="1985" w:type="dxa"/>
            <w:tcBorders>
              <w:left w:val="nil"/>
              <w:bottom w:val="single" w:sz="4" w:space="0" w:color="auto"/>
              <w:right w:val="nil"/>
            </w:tcBorders>
          </w:tcPr>
          <w:p w:rsidR="004933FC" w:rsidRPr="004A252C" w:rsidRDefault="007F0CEA" w:rsidP="007F0CEA">
            <w:pPr>
              <w:pStyle w:val="Default"/>
              <w:ind w:hanging="289"/>
              <w:jc w:val="left"/>
              <w:rPr>
                <w:rFonts w:ascii="Times New Roman" w:eastAsia="TimesNewRomanPSMT" w:hAnsi="Times New Roman" w:cs="Times New Roman"/>
                <w:color w:val="auto"/>
                <w:sz w:val="20"/>
                <w:szCs w:val="20"/>
                <w:lang w:val="en-US"/>
              </w:rPr>
            </w:pPr>
            <w:r>
              <w:rPr>
                <w:rFonts w:ascii="Times New Roman" w:eastAsia="TimesNewRomanPSMT" w:hAnsi="Times New Roman" w:cs="Times New Roman"/>
                <w:sz w:val="20"/>
                <w:szCs w:val="20"/>
                <w:lang w:val="en-US"/>
              </w:rPr>
              <w:t xml:space="preserve">        </w:t>
            </w:r>
            <w:r w:rsidR="004933FC" w:rsidRPr="004A252C">
              <w:rPr>
                <w:rFonts w:ascii="Times New Roman" w:eastAsia="TimesNewRomanPSMT" w:hAnsi="Times New Roman" w:cs="Times New Roman"/>
                <w:sz w:val="20"/>
                <w:szCs w:val="20"/>
                <w:lang w:val="en-US"/>
              </w:rPr>
              <w:t>5-10</w:t>
            </w:r>
          </w:p>
        </w:tc>
        <w:tc>
          <w:tcPr>
            <w:tcW w:w="1984" w:type="dxa"/>
            <w:tcBorders>
              <w:left w:val="nil"/>
              <w:bottom w:val="single" w:sz="4" w:space="0" w:color="auto"/>
              <w:right w:val="nil"/>
            </w:tcBorders>
          </w:tcPr>
          <w:p w:rsidR="004933FC" w:rsidRPr="004A252C" w:rsidRDefault="004933FC" w:rsidP="00AB7662">
            <w:pPr>
              <w:pStyle w:val="Default"/>
              <w:ind w:left="0" w:firstLine="0"/>
              <w:jc w:val="center"/>
              <w:rPr>
                <w:rFonts w:ascii="Times New Roman" w:eastAsia="TimesNewRomanPSMT" w:hAnsi="Times New Roman" w:cs="Times New Roman"/>
                <w:color w:val="auto"/>
                <w:sz w:val="20"/>
                <w:szCs w:val="20"/>
                <w:lang w:val="en-US"/>
              </w:rPr>
            </w:pPr>
            <w:r w:rsidRPr="004A252C">
              <w:rPr>
                <w:rFonts w:ascii="Times New Roman" w:eastAsia="TimesNewRomanPSMT" w:hAnsi="Times New Roman" w:cs="Times New Roman"/>
                <w:sz w:val="20"/>
                <w:szCs w:val="20"/>
                <w:lang w:val="en-US"/>
              </w:rPr>
              <w:t>&gt; 10</w:t>
            </w:r>
          </w:p>
        </w:tc>
      </w:tr>
      <w:tr w:rsidR="004933FC" w:rsidRPr="004A252C" w:rsidTr="006B2C74">
        <w:tc>
          <w:tcPr>
            <w:tcW w:w="2122" w:type="dxa"/>
            <w:tcBorders>
              <w:left w:val="nil"/>
              <w:bottom w:val="nil"/>
              <w:right w:val="nil"/>
            </w:tcBorders>
          </w:tcPr>
          <w:p w:rsidR="004933FC" w:rsidRPr="004A252C" w:rsidRDefault="004933FC" w:rsidP="00055366">
            <w:pPr>
              <w:pStyle w:val="Default"/>
              <w:ind w:left="0" w:right="-362" w:firstLine="0"/>
              <w:jc w:val="left"/>
              <w:rPr>
                <w:rFonts w:ascii="Times New Roman" w:eastAsia="TimesNewRomanPSMT" w:hAnsi="Times New Roman" w:cs="Times New Roman"/>
                <w:b/>
                <w:color w:val="auto"/>
                <w:sz w:val="20"/>
                <w:szCs w:val="20"/>
              </w:rPr>
            </w:pPr>
            <w:r w:rsidRPr="004A252C">
              <w:rPr>
                <w:rFonts w:ascii="Times New Roman" w:eastAsia="TimesNewRomanPSMT" w:hAnsi="Times New Roman" w:cs="Times New Roman"/>
                <w:sz w:val="20"/>
                <w:szCs w:val="20"/>
              </w:rPr>
              <w:t>TNF-α, pg/m</w:t>
            </w:r>
            <w:r w:rsidR="00FF5066" w:rsidRPr="004A252C">
              <w:rPr>
                <w:rFonts w:ascii="Times New Roman" w:eastAsia="TimesNewRomanPSMT" w:hAnsi="Times New Roman" w:cs="Times New Roman"/>
                <w:sz w:val="20"/>
                <w:szCs w:val="20"/>
                <w:lang w:val="en-US"/>
              </w:rPr>
              <w:t>L</w:t>
            </w:r>
            <w:r w:rsidR="00055366" w:rsidRPr="004A252C">
              <w:rPr>
                <w:rFonts w:ascii="Times New Roman" w:eastAsia="TimesNewRomanPSMT" w:hAnsi="Times New Roman" w:cs="Times New Roman"/>
                <w:sz w:val="20"/>
                <w:szCs w:val="20"/>
              </w:rPr>
              <w:t xml:space="preserve">                               </w:t>
            </w:r>
          </w:p>
        </w:tc>
        <w:tc>
          <w:tcPr>
            <w:tcW w:w="1530" w:type="dxa"/>
            <w:tcBorders>
              <w:left w:val="nil"/>
              <w:bottom w:val="nil"/>
              <w:right w:val="nil"/>
            </w:tcBorders>
          </w:tcPr>
          <w:p w:rsidR="004933FC" w:rsidRPr="004A252C" w:rsidRDefault="004933FC" w:rsidP="00055366">
            <w:pPr>
              <w:pStyle w:val="Default"/>
              <w:ind w:left="322" w:hanging="142"/>
              <w:jc w:val="left"/>
              <w:rPr>
                <w:rFonts w:ascii="Times New Roman" w:eastAsia="TimesNewRomanPSMT" w:hAnsi="Times New Roman" w:cs="Times New Roman"/>
                <w:b/>
                <w:color w:val="auto"/>
                <w:sz w:val="20"/>
                <w:szCs w:val="20"/>
                <w:lang w:val="uk-UA"/>
              </w:rPr>
            </w:pPr>
            <w:r w:rsidRPr="004A252C">
              <w:rPr>
                <w:rFonts w:ascii="Times New Roman" w:eastAsia="TimesNewRomanPSMT" w:hAnsi="Times New Roman" w:cs="Times New Roman"/>
                <w:sz w:val="20"/>
                <w:szCs w:val="20"/>
              </w:rPr>
              <w:t>13.2 ± 3.4</w:t>
            </w:r>
          </w:p>
        </w:tc>
        <w:tc>
          <w:tcPr>
            <w:tcW w:w="2268" w:type="dxa"/>
            <w:tcBorders>
              <w:left w:val="nil"/>
              <w:bottom w:val="nil"/>
              <w:right w:val="nil"/>
            </w:tcBorders>
          </w:tcPr>
          <w:tbl>
            <w:tblPr>
              <w:tblW w:w="0" w:type="auto"/>
              <w:tblBorders>
                <w:top w:val="nil"/>
                <w:left w:val="nil"/>
                <w:bottom w:val="nil"/>
                <w:right w:val="nil"/>
              </w:tblBorders>
              <w:tblLayout w:type="fixed"/>
              <w:tblLook w:val="0000" w:firstRow="0" w:lastRow="0" w:firstColumn="0" w:lastColumn="0" w:noHBand="0" w:noVBand="0"/>
            </w:tblPr>
            <w:tblGrid>
              <w:gridCol w:w="1735"/>
              <w:gridCol w:w="236"/>
            </w:tblGrid>
            <w:tr w:rsidR="004933FC" w:rsidRPr="004A252C" w:rsidTr="00AB7662">
              <w:trPr>
                <w:trHeight w:val="175"/>
              </w:trPr>
              <w:tc>
                <w:tcPr>
                  <w:tcW w:w="1735" w:type="dxa"/>
                </w:tcPr>
                <w:p w:rsidR="004933FC" w:rsidRPr="004A252C" w:rsidRDefault="004933FC" w:rsidP="006B2C74">
                  <w:pPr>
                    <w:pStyle w:val="Default"/>
                    <w:ind w:left="-182" w:right="-2092" w:firstLine="182"/>
                    <w:rPr>
                      <w:rFonts w:ascii="Times New Roman" w:hAnsi="Times New Roman" w:cs="Times New Roman"/>
                      <w:sz w:val="20"/>
                      <w:szCs w:val="20"/>
                    </w:rPr>
                  </w:pPr>
                  <w:r w:rsidRPr="004A252C">
                    <w:rPr>
                      <w:rFonts w:ascii="Times New Roman" w:hAnsi="Times New Roman" w:cs="Times New Roman"/>
                      <w:sz w:val="20"/>
                      <w:szCs w:val="20"/>
                    </w:rPr>
                    <w:t>108</w:t>
                  </w:r>
                  <w:r w:rsidR="006B2C74">
                    <w:rPr>
                      <w:rFonts w:ascii="Times New Roman" w:hAnsi="Times New Roman" w:cs="Times New Roman"/>
                      <w:sz w:val="20"/>
                      <w:szCs w:val="20"/>
                      <w:lang w:val="en-US"/>
                    </w:rPr>
                    <w:t xml:space="preserve"> </w:t>
                  </w:r>
                  <w:r w:rsidRPr="004A252C">
                    <w:rPr>
                      <w:rFonts w:ascii="Times New Roman" w:hAnsi="Times New Roman" w:cs="Times New Roman"/>
                      <w:sz w:val="20"/>
                      <w:szCs w:val="20"/>
                    </w:rPr>
                    <w:t>±</w:t>
                  </w:r>
                  <w:r w:rsidR="00FF5066" w:rsidRPr="004A252C">
                    <w:rPr>
                      <w:rFonts w:ascii="Times New Roman" w:hAnsi="Times New Roman" w:cs="Times New Roman"/>
                      <w:sz w:val="20"/>
                      <w:szCs w:val="20"/>
                      <w:lang w:val="en-US"/>
                    </w:rPr>
                    <w:t xml:space="preserve"> </w:t>
                  </w:r>
                  <w:r w:rsidRPr="004A252C">
                    <w:rPr>
                      <w:rFonts w:ascii="Times New Roman" w:hAnsi="Times New Roman" w:cs="Times New Roman"/>
                      <w:sz w:val="20"/>
                      <w:szCs w:val="20"/>
                    </w:rPr>
                    <w:t>23.0</w:t>
                  </w:r>
                  <w:r w:rsidRPr="004A252C">
                    <w:rPr>
                      <w:rFonts w:ascii="Times New Roman" w:hAnsi="Times New Roman" w:cs="Times New Roman"/>
                      <w:sz w:val="20"/>
                      <w:szCs w:val="20"/>
                      <w:vertAlign w:val="superscript"/>
                    </w:rPr>
                    <w:t>*</w:t>
                  </w:r>
                </w:p>
              </w:tc>
              <w:tc>
                <w:tcPr>
                  <w:tcW w:w="236" w:type="dxa"/>
                </w:tcPr>
                <w:p w:rsidR="004933FC" w:rsidRPr="004A252C" w:rsidRDefault="004933FC" w:rsidP="00AB7662">
                  <w:pPr>
                    <w:pStyle w:val="Default"/>
                    <w:jc w:val="center"/>
                    <w:rPr>
                      <w:rFonts w:ascii="Times New Roman" w:hAnsi="Times New Roman" w:cs="Times New Roman"/>
                      <w:sz w:val="20"/>
                      <w:szCs w:val="20"/>
                      <w:lang w:val="en-US"/>
                    </w:rPr>
                  </w:pPr>
                </w:p>
              </w:tc>
            </w:tr>
          </w:tbl>
          <w:p w:rsidR="004933FC" w:rsidRPr="004A252C" w:rsidRDefault="004933FC" w:rsidP="00AB7662">
            <w:pPr>
              <w:pStyle w:val="Default"/>
              <w:jc w:val="center"/>
              <w:rPr>
                <w:rFonts w:ascii="Times New Roman" w:eastAsia="TimesNewRomanPSMT" w:hAnsi="Times New Roman" w:cs="Times New Roman"/>
                <w:b/>
                <w:color w:val="auto"/>
                <w:sz w:val="20"/>
                <w:szCs w:val="20"/>
                <w:lang w:val="en-US"/>
              </w:rPr>
            </w:pPr>
          </w:p>
        </w:tc>
        <w:tc>
          <w:tcPr>
            <w:tcW w:w="1985" w:type="dxa"/>
            <w:tcBorders>
              <w:left w:val="nil"/>
              <w:bottom w:val="nil"/>
              <w:right w:val="nil"/>
            </w:tcBorders>
          </w:tcPr>
          <w:tbl>
            <w:tblPr>
              <w:tblW w:w="0" w:type="auto"/>
              <w:tblBorders>
                <w:top w:val="nil"/>
                <w:left w:val="nil"/>
                <w:bottom w:val="nil"/>
                <w:right w:val="nil"/>
              </w:tblBorders>
              <w:tblLayout w:type="fixed"/>
              <w:tblLook w:val="0000" w:firstRow="0" w:lastRow="0" w:firstColumn="0" w:lastColumn="0" w:noHBand="0" w:noVBand="0"/>
            </w:tblPr>
            <w:tblGrid>
              <w:gridCol w:w="1593"/>
            </w:tblGrid>
            <w:tr w:rsidR="004933FC" w:rsidRPr="004A252C" w:rsidTr="00D31BCB">
              <w:trPr>
                <w:trHeight w:val="175"/>
              </w:trPr>
              <w:tc>
                <w:tcPr>
                  <w:tcW w:w="1593" w:type="dxa"/>
                </w:tcPr>
                <w:p w:rsidR="004933FC" w:rsidRPr="004A252C" w:rsidRDefault="004933FC" w:rsidP="006B2C74">
                  <w:pPr>
                    <w:pStyle w:val="Default"/>
                    <w:ind w:right="-310" w:hanging="40"/>
                    <w:rPr>
                      <w:rFonts w:ascii="Times New Roman" w:hAnsi="Times New Roman" w:cs="Times New Roman"/>
                      <w:sz w:val="20"/>
                      <w:szCs w:val="20"/>
                    </w:rPr>
                  </w:pPr>
                  <w:r w:rsidRPr="004A252C">
                    <w:rPr>
                      <w:rFonts w:ascii="Times New Roman" w:hAnsi="Times New Roman" w:cs="Times New Roman"/>
                      <w:sz w:val="20"/>
                      <w:szCs w:val="20"/>
                    </w:rPr>
                    <w:t>128</w:t>
                  </w:r>
                  <w:r w:rsidR="006B2C74">
                    <w:rPr>
                      <w:rFonts w:ascii="Times New Roman" w:hAnsi="Times New Roman" w:cs="Times New Roman"/>
                      <w:sz w:val="20"/>
                      <w:szCs w:val="20"/>
                      <w:lang w:val="en-US"/>
                    </w:rPr>
                    <w:t xml:space="preserve"> </w:t>
                  </w:r>
                  <w:r w:rsidRPr="004A252C">
                    <w:rPr>
                      <w:rFonts w:ascii="Times New Roman" w:hAnsi="Times New Roman" w:cs="Times New Roman"/>
                      <w:sz w:val="20"/>
                      <w:szCs w:val="20"/>
                    </w:rPr>
                    <w:t>±</w:t>
                  </w:r>
                  <w:r w:rsidR="00FF5066" w:rsidRPr="004A252C">
                    <w:rPr>
                      <w:rFonts w:ascii="Times New Roman" w:hAnsi="Times New Roman" w:cs="Times New Roman"/>
                      <w:sz w:val="20"/>
                      <w:szCs w:val="20"/>
                      <w:lang w:val="en-US"/>
                    </w:rPr>
                    <w:t xml:space="preserve"> </w:t>
                  </w:r>
                  <w:r w:rsidRPr="004A252C">
                    <w:rPr>
                      <w:rFonts w:ascii="Times New Roman" w:hAnsi="Times New Roman" w:cs="Times New Roman"/>
                      <w:sz w:val="20"/>
                      <w:szCs w:val="20"/>
                    </w:rPr>
                    <w:t>25.8</w:t>
                  </w:r>
                  <w:r w:rsidRPr="004A252C">
                    <w:rPr>
                      <w:rFonts w:ascii="Times New Roman" w:hAnsi="Times New Roman" w:cs="Times New Roman"/>
                      <w:sz w:val="20"/>
                      <w:szCs w:val="20"/>
                      <w:vertAlign w:val="superscript"/>
                    </w:rPr>
                    <w:t>*</w:t>
                  </w:r>
                  <w:r w:rsidR="00FF5066" w:rsidRPr="004A252C">
                    <w:rPr>
                      <w:rFonts w:ascii="Times New Roman" w:hAnsi="Times New Roman" w:cs="Times New Roman"/>
                      <w:sz w:val="20"/>
                      <w:szCs w:val="20"/>
                      <w:vertAlign w:val="superscript"/>
                    </w:rPr>
                    <w:t>♦</w:t>
                  </w:r>
                </w:p>
              </w:tc>
            </w:tr>
          </w:tbl>
          <w:p w:rsidR="004933FC" w:rsidRPr="004A252C" w:rsidRDefault="004933FC" w:rsidP="00AB7662">
            <w:pPr>
              <w:pStyle w:val="Default"/>
              <w:jc w:val="left"/>
              <w:rPr>
                <w:rFonts w:ascii="Times New Roman" w:eastAsia="TimesNewRomanPSMT" w:hAnsi="Times New Roman" w:cs="Times New Roman"/>
                <w:b/>
                <w:color w:val="auto"/>
                <w:sz w:val="20"/>
                <w:szCs w:val="20"/>
                <w:lang w:val="uk-UA"/>
              </w:rPr>
            </w:pPr>
          </w:p>
        </w:tc>
        <w:tc>
          <w:tcPr>
            <w:tcW w:w="1984" w:type="dxa"/>
            <w:tcBorders>
              <w:left w:val="nil"/>
              <w:bottom w:val="nil"/>
              <w:right w:val="nil"/>
            </w:tcBorders>
          </w:tcPr>
          <w:p w:rsidR="004933FC" w:rsidRPr="004A252C" w:rsidRDefault="004933FC" w:rsidP="006B2C74">
            <w:pPr>
              <w:pStyle w:val="Default"/>
              <w:ind w:left="0" w:firstLine="0"/>
              <w:jc w:val="center"/>
              <w:rPr>
                <w:rFonts w:ascii="Times New Roman" w:eastAsia="TimesNewRomanPSMT" w:hAnsi="Times New Roman" w:cs="Times New Roman"/>
                <w:b/>
                <w:color w:val="auto"/>
                <w:sz w:val="20"/>
                <w:szCs w:val="20"/>
                <w:lang w:val="uk-UA"/>
              </w:rPr>
            </w:pPr>
            <w:r w:rsidRPr="004A252C">
              <w:rPr>
                <w:rFonts w:ascii="Times New Roman" w:hAnsi="Times New Roman" w:cs="Times New Roman"/>
                <w:sz w:val="20"/>
                <w:szCs w:val="20"/>
              </w:rPr>
              <w:t>145</w:t>
            </w:r>
            <w:r w:rsidR="006B2C74">
              <w:rPr>
                <w:rFonts w:ascii="Times New Roman" w:hAnsi="Times New Roman" w:cs="Times New Roman"/>
                <w:sz w:val="20"/>
                <w:szCs w:val="20"/>
                <w:lang w:val="en-US"/>
              </w:rPr>
              <w:t xml:space="preserve"> </w:t>
            </w:r>
            <w:r w:rsidRPr="004A252C">
              <w:rPr>
                <w:rFonts w:ascii="Times New Roman" w:hAnsi="Times New Roman" w:cs="Times New Roman"/>
                <w:sz w:val="20"/>
                <w:szCs w:val="20"/>
              </w:rPr>
              <w:t>±</w:t>
            </w:r>
            <w:r w:rsidR="00856282" w:rsidRPr="004A252C">
              <w:rPr>
                <w:rFonts w:ascii="Times New Roman" w:hAnsi="Times New Roman" w:cs="Times New Roman"/>
                <w:sz w:val="20"/>
                <w:szCs w:val="20"/>
                <w:lang w:val="en-US"/>
              </w:rPr>
              <w:t xml:space="preserve"> </w:t>
            </w:r>
            <w:r w:rsidR="006B2C74">
              <w:rPr>
                <w:rFonts w:ascii="Times New Roman" w:hAnsi="Times New Roman" w:cs="Times New Roman"/>
                <w:sz w:val="20"/>
                <w:szCs w:val="20"/>
              </w:rPr>
              <w:t>28.4</w:t>
            </w:r>
            <w:r w:rsidRPr="004A252C">
              <w:rPr>
                <w:rFonts w:ascii="Times New Roman" w:hAnsi="Times New Roman" w:cs="Times New Roman"/>
                <w:sz w:val="20"/>
                <w:szCs w:val="20"/>
                <w:vertAlign w:val="superscript"/>
              </w:rPr>
              <w:t>*</w:t>
            </w:r>
            <w:r w:rsidR="00263BBD" w:rsidRPr="004A252C">
              <w:rPr>
                <w:rFonts w:ascii="Times New Roman" w:hAnsi="Times New Roman" w:cs="Times New Roman"/>
                <w:sz w:val="20"/>
                <w:szCs w:val="20"/>
                <w:vertAlign w:val="superscript"/>
              </w:rPr>
              <w:t>*</w:t>
            </w:r>
            <w:r w:rsidR="00FF5066" w:rsidRPr="004A252C">
              <w:rPr>
                <w:rFonts w:ascii="Times New Roman" w:hAnsi="Times New Roman" w:cs="Times New Roman"/>
                <w:sz w:val="20"/>
                <w:szCs w:val="20"/>
                <w:vertAlign w:val="superscript"/>
              </w:rPr>
              <w:t>♦ ●</w:t>
            </w:r>
          </w:p>
        </w:tc>
      </w:tr>
      <w:tr w:rsidR="004933FC" w:rsidRPr="004A252C" w:rsidTr="006B2C74">
        <w:tc>
          <w:tcPr>
            <w:tcW w:w="2122" w:type="dxa"/>
            <w:tcBorders>
              <w:top w:val="nil"/>
              <w:left w:val="nil"/>
              <w:bottom w:val="nil"/>
              <w:right w:val="nil"/>
            </w:tcBorders>
          </w:tcPr>
          <w:p w:rsidR="004933FC" w:rsidRPr="004A252C" w:rsidRDefault="004933FC" w:rsidP="00FF5066">
            <w:pPr>
              <w:pStyle w:val="Default"/>
              <w:ind w:left="0" w:firstLine="0"/>
              <w:jc w:val="left"/>
              <w:rPr>
                <w:rFonts w:ascii="Times New Roman" w:eastAsia="TimesNewRomanPSMT" w:hAnsi="Times New Roman" w:cs="Times New Roman"/>
                <w:b/>
                <w:color w:val="auto"/>
                <w:sz w:val="20"/>
                <w:szCs w:val="20"/>
                <w:lang w:val="en-US"/>
              </w:rPr>
            </w:pPr>
            <w:r w:rsidRPr="004A252C">
              <w:rPr>
                <w:rFonts w:ascii="Times New Roman" w:eastAsia="TimesNewRomanPSMT" w:hAnsi="Times New Roman" w:cs="Times New Roman"/>
                <w:sz w:val="20"/>
                <w:szCs w:val="20"/>
              </w:rPr>
              <w:t>sTNF-αRI, ng/m</w:t>
            </w:r>
            <w:r w:rsidR="00FF5066" w:rsidRPr="004A252C">
              <w:rPr>
                <w:rFonts w:ascii="Times New Roman" w:eastAsia="TimesNewRomanPSMT" w:hAnsi="Times New Roman" w:cs="Times New Roman"/>
                <w:sz w:val="20"/>
                <w:szCs w:val="20"/>
                <w:lang w:val="en-US"/>
              </w:rPr>
              <w:t>L</w:t>
            </w:r>
          </w:p>
        </w:tc>
        <w:tc>
          <w:tcPr>
            <w:tcW w:w="1530" w:type="dxa"/>
            <w:tcBorders>
              <w:top w:val="nil"/>
              <w:left w:val="nil"/>
              <w:bottom w:val="nil"/>
              <w:right w:val="nil"/>
            </w:tcBorders>
          </w:tcPr>
          <w:p w:rsidR="004933FC" w:rsidRPr="004A252C" w:rsidRDefault="004933FC" w:rsidP="00AB7662">
            <w:pPr>
              <w:pStyle w:val="Default"/>
              <w:ind w:firstLine="0"/>
              <w:jc w:val="left"/>
              <w:rPr>
                <w:rFonts w:ascii="Times New Roman" w:eastAsia="TimesNewRomanPSMT" w:hAnsi="Times New Roman" w:cs="Times New Roman"/>
                <w:b/>
                <w:color w:val="auto"/>
                <w:sz w:val="20"/>
                <w:szCs w:val="20"/>
                <w:lang w:val="uk-UA"/>
              </w:rPr>
            </w:pPr>
            <w:r w:rsidRPr="004A252C">
              <w:rPr>
                <w:rFonts w:ascii="Times New Roman" w:eastAsia="TimesNewRomanPSMT" w:hAnsi="Times New Roman" w:cs="Times New Roman"/>
                <w:sz w:val="20"/>
                <w:szCs w:val="20"/>
              </w:rPr>
              <w:t>1.20 ± 0.60</w:t>
            </w:r>
          </w:p>
        </w:tc>
        <w:tc>
          <w:tcPr>
            <w:tcW w:w="2268" w:type="dxa"/>
            <w:tcBorders>
              <w:top w:val="nil"/>
              <w:left w:val="nil"/>
              <w:bottom w:val="nil"/>
              <w:right w:val="nil"/>
            </w:tcBorders>
          </w:tcPr>
          <w:p w:rsidR="004933FC" w:rsidRPr="004A252C" w:rsidRDefault="006B2C74" w:rsidP="006B2C74">
            <w:pPr>
              <w:pStyle w:val="Default"/>
              <w:ind w:left="0" w:firstLine="0"/>
              <w:jc w:val="left"/>
              <w:rPr>
                <w:rFonts w:ascii="Times New Roman" w:eastAsia="TimesNewRomanPSMT" w:hAnsi="Times New Roman" w:cs="Times New Roman"/>
                <w:color w:val="auto"/>
                <w:sz w:val="20"/>
                <w:szCs w:val="20"/>
              </w:rPr>
            </w:pPr>
            <w:r>
              <w:rPr>
                <w:rFonts w:ascii="Times New Roman" w:eastAsia="TimesNewRomanPSMT" w:hAnsi="Times New Roman" w:cs="Times New Roman"/>
                <w:color w:val="auto"/>
                <w:sz w:val="20"/>
                <w:szCs w:val="20"/>
                <w:lang w:val="en-US"/>
              </w:rPr>
              <w:t xml:space="preserve"> </w:t>
            </w:r>
            <w:r w:rsidR="004933FC" w:rsidRPr="004A252C">
              <w:rPr>
                <w:rFonts w:ascii="Times New Roman" w:eastAsia="TimesNewRomanPSMT" w:hAnsi="Times New Roman" w:cs="Times New Roman"/>
                <w:color w:val="auto"/>
                <w:sz w:val="20"/>
                <w:szCs w:val="20"/>
              </w:rPr>
              <w:t>2.08</w:t>
            </w:r>
            <w:r w:rsidR="00FF5066" w:rsidRPr="004A252C">
              <w:rPr>
                <w:rFonts w:ascii="Times New Roman" w:eastAsia="TimesNewRomanPSMT" w:hAnsi="Times New Roman" w:cs="Times New Roman"/>
                <w:color w:val="auto"/>
                <w:sz w:val="20"/>
                <w:szCs w:val="20"/>
                <w:lang w:val="en-US"/>
              </w:rPr>
              <w:t xml:space="preserve"> </w:t>
            </w:r>
            <w:r w:rsidR="004933FC" w:rsidRPr="004A252C">
              <w:rPr>
                <w:rFonts w:ascii="Times New Roman" w:eastAsia="TimesNewRomanPSMT" w:hAnsi="Times New Roman" w:cs="Times New Roman"/>
                <w:color w:val="auto"/>
                <w:sz w:val="20"/>
                <w:szCs w:val="20"/>
              </w:rPr>
              <w:t>±</w:t>
            </w:r>
            <w:r w:rsidR="00FF5066" w:rsidRPr="004A252C">
              <w:rPr>
                <w:rFonts w:ascii="Times New Roman" w:eastAsia="TimesNewRomanPSMT" w:hAnsi="Times New Roman" w:cs="Times New Roman"/>
                <w:color w:val="auto"/>
                <w:sz w:val="20"/>
                <w:szCs w:val="20"/>
                <w:lang w:val="en-US"/>
              </w:rPr>
              <w:t xml:space="preserve"> </w:t>
            </w:r>
            <w:r w:rsidR="004933FC" w:rsidRPr="004A252C">
              <w:rPr>
                <w:rFonts w:ascii="Times New Roman" w:eastAsia="TimesNewRomanPSMT" w:hAnsi="Times New Roman" w:cs="Times New Roman"/>
                <w:color w:val="auto"/>
                <w:sz w:val="20"/>
                <w:szCs w:val="20"/>
              </w:rPr>
              <w:t>0.21</w:t>
            </w:r>
            <w:r w:rsidR="004933FC" w:rsidRPr="004A252C">
              <w:rPr>
                <w:rFonts w:ascii="Times New Roman" w:eastAsia="TimesNewRomanPSMT" w:hAnsi="Times New Roman" w:cs="Times New Roman"/>
                <w:color w:val="auto"/>
                <w:sz w:val="20"/>
                <w:szCs w:val="20"/>
                <w:vertAlign w:val="superscript"/>
              </w:rPr>
              <w:t>*</w:t>
            </w:r>
          </w:p>
        </w:tc>
        <w:tc>
          <w:tcPr>
            <w:tcW w:w="1985" w:type="dxa"/>
            <w:tcBorders>
              <w:top w:val="nil"/>
              <w:left w:val="nil"/>
              <w:bottom w:val="nil"/>
              <w:right w:val="nil"/>
            </w:tcBorders>
          </w:tcPr>
          <w:p w:rsidR="004933FC" w:rsidRPr="004A252C" w:rsidRDefault="006B2C74" w:rsidP="00AB7662">
            <w:pPr>
              <w:pStyle w:val="Default"/>
              <w:ind w:left="0" w:firstLine="0"/>
              <w:jc w:val="left"/>
              <w:rPr>
                <w:rFonts w:ascii="Times New Roman" w:eastAsia="TimesNewRomanPSMT" w:hAnsi="Times New Roman" w:cs="Times New Roman"/>
                <w:color w:val="auto"/>
                <w:sz w:val="20"/>
                <w:szCs w:val="20"/>
              </w:rPr>
            </w:pPr>
            <w:r>
              <w:rPr>
                <w:rFonts w:ascii="Times New Roman" w:eastAsia="TimesNewRomanPSMT" w:hAnsi="Times New Roman" w:cs="Times New Roman"/>
                <w:color w:val="auto"/>
                <w:sz w:val="20"/>
                <w:szCs w:val="20"/>
                <w:lang w:val="en-US"/>
              </w:rPr>
              <w:t xml:space="preserve"> </w:t>
            </w:r>
            <w:r w:rsidR="004933FC" w:rsidRPr="004A252C">
              <w:rPr>
                <w:rFonts w:ascii="Times New Roman" w:eastAsia="TimesNewRomanPSMT" w:hAnsi="Times New Roman" w:cs="Times New Roman"/>
                <w:color w:val="auto"/>
                <w:sz w:val="20"/>
                <w:szCs w:val="20"/>
              </w:rPr>
              <w:t>2.14</w:t>
            </w:r>
            <w:r w:rsidR="00FF5066" w:rsidRPr="004A252C">
              <w:rPr>
                <w:rFonts w:ascii="Times New Roman" w:eastAsia="TimesNewRomanPSMT" w:hAnsi="Times New Roman" w:cs="Times New Roman"/>
                <w:color w:val="auto"/>
                <w:sz w:val="20"/>
                <w:szCs w:val="20"/>
                <w:lang w:val="en-US"/>
              </w:rPr>
              <w:t xml:space="preserve"> </w:t>
            </w:r>
            <w:r w:rsidR="004933FC" w:rsidRPr="004A252C">
              <w:rPr>
                <w:rFonts w:ascii="Times New Roman" w:eastAsia="TimesNewRomanPSMT" w:hAnsi="Times New Roman" w:cs="Times New Roman"/>
                <w:color w:val="auto"/>
                <w:sz w:val="20"/>
                <w:szCs w:val="20"/>
              </w:rPr>
              <w:t>±</w:t>
            </w:r>
            <w:r w:rsidR="00FF5066" w:rsidRPr="004A252C">
              <w:rPr>
                <w:rFonts w:ascii="Times New Roman" w:eastAsia="TimesNewRomanPSMT" w:hAnsi="Times New Roman" w:cs="Times New Roman"/>
                <w:color w:val="auto"/>
                <w:sz w:val="20"/>
                <w:szCs w:val="20"/>
                <w:lang w:val="en-US"/>
              </w:rPr>
              <w:t xml:space="preserve"> </w:t>
            </w:r>
            <w:r w:rsidR="004933FC" w:rsidRPr="004A252C">
              <w:rPr>
                <w:rFonts w:ascii="Times New Roman" w:eastAsia="TimesNewRomanPSMT" w:hAnsi="Times New Roman" w:cs="Times New Roman"/>
                <w:color w:val="auto"/>
                <w:sz w:val="20"/>
                <w:szCs w:val="20"/>
              </w:rPr>
              <w:t>0.18</w:t>
            </w:r>
            <w:r w:rsidR="004933FC" w:rsidRPr="004A252C">
              <w:rPr>
                <w:rFonts w:ascii="Times New Roman" w:eastAsia="TimesNewRomanPSMT" w:hAnsi="Times New Roman" w:cs="Times New Roman"/>
                <w:color w:val="auto"/>
                <w:sz w:val="20"/>
                <w:szCs w:val="20"/>
                <w:vertAlign w:val="superscript"/>
              </w:rPr>
              <w:t>*</w:t>
            </w:r>
          </w:p>
        </w:tc>
        <w:tc>
          <w:tcPr>
            <w:tcW w:w="1984" w:type="dxa"/>
            <w:tcBorders>
              <w:top w:val="nil"/>
              <w:left w:val="nil"/>
              <w:bottom w:val="nil"/>
              <w:right w:val="nil"/>
            </w:tcBorders>
          </w:tcPr>
          <w:p w:rsidR="004933FC" w:rsidRPr="004A252C" w:rsidRDefault="006B2C74" w:rsidP="006B2C74">
            <w:pPr>
              <w:pStyle w:val="Default"/>
              <w:ind w:left="0" w:firstLine="0"/>
              <w:jc w:val="left"/>
              <w:rPr>
                <w:rFonts w:ascii="Times New Roman" w:eastAsia="TimesNewRomanPSMT" w:hAnsi="Times New Roman" w:cs="Times New Roman"/>
                <w:color w:val="auto"/>
                <w:sz w:val="20"/>
                <w:szCs w:val="20"/>
                <w:lang w:val="en-US"/>
              </w:rPr>
            </w:pPr>
            <w:r>
              <w:rPr>
                <w:rFonts w:ascii="Times New Roman" w:eastAsia="TimesNewRomanPSMT" w:hAnsi="Times New Roman" w:cs="Times New Roman"/>
                <w:color w:val="auto"/>
                <w:sz w:val="20"/>
                <w:szCs w:val="20"/>
                <w:lang w:val="en-US"/>
              </w:rPr>
              <w:t xml:space="preserve">     </w:t>
            </w:r>
            <w:r w:rsidR="004933FC" w:rsidRPr="004A252C">
              <w:rPr>
                <w:rFonts w:ascii="Times New Roman" w:eastAsia="TimesNewRomanPSMT" w:hAnsi="Times New Roman" w:cs="Times New Roman"/>
                <w:color w:val="auto"/>
                <w:sz w:val="20"/>
                <w:szCs w:val="20"/>
                <w:lang w:val="en-US"/>
              </w:rPr>
              <w:t>2.</w:t>
            </w:r>
            <w:r w:rsidR="004933FC" w:rsidRPr="004A252C">
              <w:rPr>
                <w:rFonts w:ascii="Times New Roman" w:eastAsia="TimesNewRomanPSMT" w:hAnsi="Times New Roman" w:cs="Times New Roman"/>
                <w:color w:val="auto"/>
                <w:sz w:val="20"/>
                <w:szCs w:val="20"/>
              </w:rPr>
              <w:t>20</w:t>
            </w:r>
            <w:r w:rsidR="00856282" w:rsidRPr="004A252C">
              <w:rPr>
                <w:rFonts w:ascii="Times New Roman" w:eastAsia="TimesNewRomanPSMT" w:hAnsi="Times New Roman" w:cs="Times New Roman"/>
                <w:color w:val="auto"/>
                <w:sz w:val="20"/>
                <w:szCs w:val="20"/>
                <w:lang w:val="en-US"/>
              </w:rPr>
              <w:t xml:space="preserve"> </w:t>
            </w:r>
            <w:r w:rsidR="004933FC" w:rsidRPr="004A252C">
              <w:rPr>
                <w:rFonts w:ascii="Times New Roman" w:eastAsia="TimesNewRomanPSMT" w:hAnsi="Times New Roman" w:cs="Times New Roman"/>
                <w:color w:val="auto"/>
                <w:sz w:val="20"/>
                <w:szCs w:val="20"/>
                <w:lang w:val="en-US"/>
              </w:rPr>
              <w:t>±</w:t>
            </w:r>
            <w:r w:rsidR="00856282" w:rsidRPr="004A252C">
              <w:rPr>
                <w:rFonts w:ascii="Times New Roman" w:eastAsia="TimesNewRomanPSMT" w:hAnsi="Times New Roman" w:cs="Times New Roman"/>
                <w:color w:val="auto"/>
                <w:sz w:val="20"/>
                <w:szCs w:val="20"/>
                <w:lang w:val="en-US"/>
              </w:rPr>
              <w:t xml:space="preserve"> </w:t>
            </w:r>
            <w:r w:rsidR="004933FC" w:rsidRPr="004A252C">
              <w:rPr>
                <w:rFonts w:ascii="Times New Roman" w:eastAsia="TimesNewRomanPSMT" w:hAnsi="Times New Roman" w:cs="Times New Roman"/>
                <w:color w:val="auto"/>
                <w:sz w:val="20"/>
                <w:szCs w:val="20"/>
                <w:lang w:val="en-US"/>
              </w:rPr>
              <w:t>0.</w:t>
            </w:r>
            <w:r w:rsidR="004933FC" w:rsidRPr="004A252C">
              <w:rPr>
                <w:rFonts w:ascii="Times New Roman" w:eastAsia="TimesNewRomanPSMT" w:hAnsi="Times New Roman" w:cs="Times New Roman"/>
                <w:color w:val="auto"/>
                <w:sz w:val="20"/>
                <w:szCs w:val="20"/>
              </w:rPr>
              <w:t>19</w:t>
            </w:r>
            <w:r w:rsidR="004933FC" w:rsidRPr="004A252C">
              <w:rPr>
                <w:rFonts w:ascii="Times New Roman" w:eastAsia="TimesNewRomanPSMT" w:hAnsi="Times New Roman" w:cs="Times New Roman"/>
                <w:color w:val="auto"/>
                <w:sz w:val="20"/>
                <w:szCs w:val="20"/>
                <w:vertAlign w:val="superscript"/>
                <w:lang w:val="en-US"/>
              </w:rPr>
              <w:t>*</w:t>
            </w:r>
          </w:p>
        </w:tc>
      </w:tr>
      <w:tr w:rsidR="004933FC" w:rsidRPr="00BA10F8" w:rsidTr="006B2C74">
        <w:trPr>
          <w:trHeight w:val="256"/>
        </w:trPr>
        <w:tc>
          <w:tcPr>
            <w:tcW w:w="2122" w:type="dxa"/>
            <w:tcBorders>
              <w:top w:val="nil"/>
              <w:left w:val="nil"/>
              <w:bottom w:val="nil"/>
              <w:right w:val="nil"/>
            </w:tcBorders>
          </w:tcPr>
          <w:p w:rsidR="004933FC" w:rsidRPr="004A252C" w:rsidRDefault="004933FC" w:rsidP="00FF5066">
            <w:pPr>
              <w:pStyle w:val="Default"/>
              <w:ind w:left="0" w:firstLine="0"/>
              <w:jc w:val="left"/>
              <w:rPr>
                <w:rFonts w:ascii="Times New Roman" w:eastAsia="TimesNewRomanPSMT" w:hAnsi="Times New Roman" w:cs="Times New Roman"/>
                <w:b/>
                <w:color w:val="auto"/>
                <w:sz w:val="20"/>
                <w:szCs w:val="20"/>
                <w:lang w:val="en-US"/>
              </w:rPr>
            </w:pPr>
            <w:r w:rsidRPr="004A252C">
              <w:rPr>
                <w:rFonts w:ascii="Times New Roman" w:eastAsia="TimesNewRomanPSMT" w:hAnsi="Times New Roman" w:cs="Times New Roman"/>
                <w:sz w:val="20"/>
                <w:szCs w:val="20"/>
                <w:lang w:val="en-US"/>
              </w:rPr>
              <w:t>8-isoprostane, ng/m</w:t>
            </w:r>
            <w:r w:rsidR="00FF5066" w:rsidRPr="004A252C">
              <w:rPr>
                <w:rFonts w:ascii="Times New Roman" w:eastAsia="TimesNewRomanPSMT" w:hAnsi="Times New Roman" w:cs="Times New Roman"/>
                <w:sz w:val="20"/>
                <w:szCs w:val="20"/>
                <w:lang w:val="en-US"/>
              </w:rPr>
              <w:t>L</w:t>
            </w:r>
          </w:p>
        </w:tc>
        <w:tc>
          <w:tcPr>
            <w:tcW w:w="1530" w:type="dxa"/>
            <w:tcBorders>
              <w:top w:val="nil"/>
              <w:left w:val="nil"/>
              <w:bottom w:val="nil"/>
              <w:right w:val="nil"/>
            </w:tcBorders>
          </w:tcPr>
          <w:p w:rsidR="004933FC" w:rsidRPr="004A252C" w:rsidRDefault="004933FC" w:rsidP="00AB7662">
            <w:pPr>
              <w:pStyle w:val="Default"/>
              <w:ind w:firstLine="0"/>
              <w:jc w:val="left"/>
              <w:rPr>
                <w:rFonts w:ascii="Times New Roman" w:eastAsia="TimesNewRomanPSMT" w:hAnsi="Times New Roman" w:cs="Times New Roman"/>
                <w:b/>
                <w:color w:val="auto"/>
                <w:sz w:val="20"/>
                <w:szCs w:val="20"/>
                <w:lang w:val="uk-UA"/>
              </w:rPr>
            </w:pPr>
            <w:r w:rsidRPr="004A252C">
              <w:rPr>
                <w:rFonts w:ascii="Times New Roman" w:eastAsia="TimesNewRomanPSMT" w:hAnsi="Times New Roman" w:cs="Times New Roman"/>
                <w:sz w:val="20"/>
                <w:szCs w:val="20"/>
                <w:lang w:val="en-US"/>
              </w:rPr>
              <w:t>1.41 ± 0.25</w:t>
            </w:r>
          </w:p>
        </w:tc>
        <w:tc>
          <w:tcPr>
            <w:tcW w:w="2268" w:type="dxa"/>
            <w:tcBorders>
              <w:top w:val="nil"/>
              <w:left w:val="nil"/>
              <w:bottom w:val="nil"/>
              <w:right w:val="nil"/>
            </w:tcBorders>
          </w:tcPr>
          <w:p w:rsidR="004933FC" w:rsidRPr="004A252C" w:rsidRDefault="00BA10F8" w:rsidP="00BA10F8">
            <w:pPr>
              <w:pStyle w:val="Default"/>
              <w:ind w:left="0" w:firstLine="0"/>
              <w:jc w:val="left"/>
              <w:rPr>
                <w:rFonts w:ascii="Times New Roman" w:eastAsia="TimesNewRomanPSMT" w:hAnsi="Times New Roman" w:cs="Times New Roman"/>
                <w:color w:val="auto"/>
                <w:sz w:val="20"/>
                <w:szCs w:val="20"/>
                <w:lang w:val="en-US"/>
              </w:rPr>
            </w:pPr>
            <w:r>
              <w:rPr>
                <w:rFonts w:ascii="Times New Roman" w:eastAsia="TimesNewRomanPSMT" w:hAnsi="Times New Roman" w:cs="Times New Roman"/>
                <w:color w:val="auto"/>
                <w:sz w:val="20"/>
                <w:szCs w:val="20"/>
                <w:lang w:val="en-US"/>
              </w:rPr>
              <w:t xml:space="preserve"> </w:t>
            </w:r>
            <w:r w:rsidR="004933FC" w:rsidRPr="004A252C">
              <w:rPr>
                <w:rFonts w:ascii="Times New Roman" w:eastAsia="TimesNewRomanPSMT" w:hAnsi="Times New Roman" w:cs="Times New Roman"/>
                <w:color w:val="auto"/>
                <w:sz w:val="20"/>
                <w:szCs w:val="20"/>
              </w:rPr>
              <w:t>9</w:t>
            </w:r>
            <w:r w:rsidR="004933FC" w:rsidRPr="004A252C">
              <w:rPr>
                <w:rFonts w:ascii="Times New Roman" w:eastAsia="TimesNewRomanPSMT" w:hAnsi="Times New Roman" w:cs="Times New Roman"/>
                <w:color w:val="auto"/>
                <w:sz w:val="20"/>
                <w:szCs w:val="20"/>
                <w:lang w:val="en-US"/>
              </w:rPr>
              <w:t>.</w:t>
            </w:r>
            <w:r w:rsidR="004933FC" w:rsidRPr="004A252C">
              <w:rPr>
                <w:rFonts w:ascii="Times New Roman" w:eastAsia="TimesNewRomanPSMT" w:hAnsi="Times New Roman" w:cs="Times New Roman"/>
                <w:color w:val="auto"/>
                <w:sz w:val="20"/>
                <w:szCs w:val="20"/>
              </w:rPr>
              <w:t>17</w:t>
            </w:r>
            <w:r w:rsidR="00FF5066" w:rsidRPr="004A252C">
              <w:rPr>
                <w:rFonts w:ascii="Times New Roman" w:eastAsia="TimesNewRomanPSMT" w:hAnsi="Times New Roman" w:cs="Times New Roman"/>
                <w:color w:val="auto"/>
                <w:sz w:val="20"/>
                <w:szCs w:val="20"/>
                <w:lang w:val="en-US"/>
              </w:rPr>
              <w:t xml:space="preserve"> </w:t>
            </w:r>
            <w:r w:rsidR="004933FC" w:rsidRPr="004A252C">
              <w:rPr>
                <w:rFonts w:ascii="Times New Roman" w:eastAsia="TimesNewRomanPSMT" w:hAnsi="Times New Roman" w:cs="Times New Roman"/>
                <w:color w:val="auto"/>
                <w:sz w:val="20"/>
                <w:szCs w:val="20"/>
                <w:lang w:val="en-US"/>
              </w:rPr>
              <w:t>±</w:t>
            </w:r>
            <w:r w:rsidR="00FF5066" w:rsidRPr="004A252C">
              <w:rPr>
                <w:rFonts w:ascii="Times New Roman" w:eastAsia="TimesNewRomanPSMT" w:hAnsi="Times New Roman" w:cs="Times New Roman"/>
                <w:color w:val="auto"/>
                <w:sz w:val="20"/>
                <w:szCs w:val="20"/>
                <w:lang w:val="en-US"/>
              </w:rPr>
              <w:t xml:space="preserve"> </w:t>
            </w:r>
            <w:r w:rsidR="004933FC" w:rsidRPr="004A252C">
              <w:rPr>
                <w:rFonts w:ascii="Times New Roman" w:eastAsia="TimesNewRomanPSMT" w:hAnsi="Times New Roman" w:cs="Times New Roman"/>
                <w:color w:val="auto"/>
                <w:sz w:val="20"/>
                <w:szCs w:val="20"/>
              </w:rPr>
              <w:t>1</w:t>
            </w:r>
            <w:r w:rsidR="004933FC" w:rsidRPr="004A252C">
              <w:rPr>
                <w:rFonts w:ascii="Times New Roman" w:eastAsia="TimesNewRomanPSMT" w:hAnsi="Times New Roman" w:cs="Times New Roman"/>
                <w:color w:val="auto"/>
                <w:sz w:val="20"/>
                <w:szCs w:val="20"/>
                <w:lang w:val="en-US"/>
              </w:rPr>
              <w:t>.</w:t>
            </w:r>
            <w:r w:rsidR="004933FC" w:rsidRPr="004A252C">
              <w:rPr>
                <w:rFonts w:ascii="Times New Roman" w:eastAsia="TimesNewRomanPSMT" w:hAnsi="Times New Roman" w:cs="Times New Roman"/>
                <w:color w:val="auto"/>
                <w:sz w:val="20"/>
                <w:szCs w:val="20"/>
              </w:rPr>
              <w:t>72</w:t>
            </w:r>
            <w:r w:rsidR="004933FC" w:rsidRPr="004A252C">
              <w:rPr>
                <w:rFonts w:ascii="Times New Roman" w:eastAsia="TimesNewRomanPSMT" w:hAnsi="Times New Roman" w:cs="Times New Roman"/>
                <w:color w:val="auto"/>
                <w:sz w:val="20"/>
                <w:szCs w:val="20"/>
                <w:vertAlign w:val="superscript"/>
                <w:lang w:val="en-US"/>
              </w:rPr>
              <w:t>*</w:t>
            </w:r>
            <w:r w:rsidR="00454368" w:rsidRPr="004A252C">
              <w:rPr>
                <w:rFonts w:ascii="Times New Roman" w:eastAsia="TimesNewRomanPSMT" w:hAnsi="Times New Roman" w:cs="Times New Roman"/>
                <w:color w:val="auto"/>
                <w:sz w:val="20"/>
                <w:szCs w:val="20"/>
                <w:vertAlign w:val="superscript"/>
                <w:lang w:val="en-US"/>
              </w:rPr>
              <w:t>**</w:t>
            </w:r>
          </w:p>
        </w:tc>
        <w:tc>
          <w:tcPr>
            <w:tcW w:w="1985" w:type="dxa"/>
            <w:tcBorders>
              <w:top w:val="nil"/>
              <w:left w:val="nil"/>
              <w:bottom w:val="nil"/>
              <w:right w:val="nil"/>
            </w:tcBorders>
          </w:tcPr>
          <w:p w:rsidR="004933FC" w:rsidRPr="004A252C" w:rsidRDefault="00BA10F8" w:rsidP="00AB7662">
            <w:pPr>
              <w:pStyle w:val="Default"/>
              <w:ind w:left="0" w:firstLine="0"/>
              <w:jc w:val="left"/>
              <w:rPr>
                <w:rFonts w:ascii="Times New Roman" w:eastAsia="TimesNewRomanPSMT" w:hAnsi="Times New Roman" w:cs="Times New Roman"/>
                <w:b/>
                <w:color w:val="auto"/>
                <w:sz w:val="20"/>
                <w:szCs w:val="20"/>
                <w:lang w:val="uk-UA"/>
              </w:rPr>
            </w:pPr>
            <w:r>
              <w:rPr>
                <w:rFonts w:ascii="Times New Roman" w:eastAsia="TimesNewRomanPSMT" w:hAnsi="Times New Roman" w:cs="Times New Roman"/>
                <w:color w:val="auto"/>
                <w:sz w:val="20"/>
                <w:szCs w:val="20"/>
                <w:lang w:val="en-US"/>
              </w:rPr>
              <w:t xml:space="preserve"> </w:t>
            </w:r>
            <w:r w:rsidR="004933FC" w:rsidRPr="004A252C">
              <w:rPr>
                <w:rFonts w:ascii="Times New Roman" w:eastAsia="TimesNewRomanPSMT" w:hAnsi="Times New Roman" w:cs="Times New Roman"/>
                <w:color w:val="auto"/>
                <w:sz w:val="20"/>
                <w:szCs w:val="20"/>
                <w:lang w:val="en-US"/>
              </w:rPr>
              <w:t>1</w:t>
            </w:r>
            <w:r w:rsidR="004933FC" w:rsidRPr="004A252C">
              <w:rPr>
                <w:rFonts w:ascii="Times New Roman" w:eastAsia="TimesNewRomanPSMT" w:hAnsi="Times New Roman" w:cs="Times New Roman"/>
                <w:color w:val="auto"/>
                <w:sz w:val="20"/>
                <w:szCs w:val="20"/>
              </w:rPr>
              <w:t>9</w:t>
            </w:r>
            <w:r w:rsidR="004933FC" w:rsidRPr="004A252C">
              <w:rPr>
                <w:rFonts w:ascii="Times New Roman" w:eastAsia="TimesNewRomanPSMT" w:hAnsi="Times New Roman" w:cs="Times New Roman"/>
                <w:color w:val="auto"/>
                <w:sz w:val="20"/>
                <w:szCs w:val="20"/>
                <w:lang w:val="en-US"/>
              </w:rPr>
              <w:t>.</w:t>
            </w:r>
            <w:r w:rsidR="004933FC" w:rsidRPr="004A252C">
              <w:rPr>
                <w:rFonts w:ascii="Times New Roman" w:eastAsia="TimesNewRomanPSMT" w:hAnsi="Times New Roman" w:cs="Times New Roman"/>
                <w:color w:val="auto"/>
                <w:sz w:val="20"/>
                <w:szCs w:val="20"/>
              </w:rPr>
              <w:t>3</w:t>
            </w:r>
            <w:r w:rsidR="00FF5066" w:rsidRPr="004A252C">
              <w:rPr>
                <w:rFonts w:ascii="Times New Roman" w:eastAsia="TimesNewRomanPSMT" w:hAnsi="Times New Roman" w:cs="Times New Roman"/>
                <w:color w:val="auto"/>
                <w:sz w:val="20"/>
                <w:szCs w:val="20"/>
                <w:lang w:val="en-US"/>
              </w:rPr>
              <w:t xml:space="preserve"> </w:t>
            </w:r>
            <w:r w:rsidR="004933FC" w:rsidRPr="004A252C">
              <w:rPr>
                <w:rFonts w:ascii="Times New Roman" w:eastAsia="TimesNewRomanPSMT" w:hAnsi="Times New Roman" w:cs="Times New Roman"/>
                <w:color w:val="auto"/>
                <w:sz w:val="20"/>
                <w:szCs w:val="20"/>
                <w:lang w:val="en-US"/>
              </w:rPr>
              <w:t>±</w:t>
            </w:r>
            <w:r w:rsidR="004933FC" w:rsidRPr="004A252C">
              <w:rPr>
                <w:rFonts w:ascii="Times New Roman" w:eastAsia="TimesNewRomanPSMT" w:hAnsi="Times New Roman" w:cs="Times New Roman"/>
                <w:color w:val="auto"/>
                <w:sz w:val="20"/>
                <w:szCs w:val="20"/>
              </w:rPr>
              <w:t>4</w:t>
            </w:r>
            <w:r w:rsidR="004933FC" w:rsidRPr="004A252C">
              <w:rPr>
                <w:rFonts w:ascii="Times New Roman" w:eastAsia="TimesNewRomanPSMT" w:hAnsi="Times New Roman" w:cs="Times New Roman"/>
                <w:color w:val="auto"/>
                <w:sz w:val="20"/>
                <w:szCs w:val="20"/>
                <w:lang w:val="en-US"/>
              </w:rPr>
              <w:t>.</w:t>
            </w:r>
            <w:r w:rsidR="004933FC" w:rsidRPr="004A252C">
              <w:rPr>
                <w:rFonts w:ascii="Times New Roman" w:eastAsia="TimesNewRomanPSMT" w:hAnsi="Times New Roman" w:cs="Times New Roman"/>
                <w:color w:val="auto"/>
                <w:sz w:val="20"/>
                <w:szCs w:val="20"/>
              </w:rPr>
              <w:t>0</w:t>
            </w:r>
            <w:r w:rsidR="004933FC" w:rsidRPr="004A252C">
              <w:rPr>
                <w:rFonts w:ascii="Times New Roman" w:eastAsia="TimesNewRomanPSMT" w:hAnsi="Times New Roman" w:cs="Times New Roman"/>
                <w:color w:val="auto"/>
                <w:sz w:val="20"/>
                <w:szCs w:val="20"/>
                <w:lang w:val="en-US"/>
              </w:rPr>
              <w:t>9</w:t>
            </w:r>
            <w:r w:rsidR="004933FC" w:rsidRPr="004A252C">
              <w:rPr>
                <w:rFonts w:ascii="Times New Roman" w:eastAsia="TimesNewRomanPSMT" w:hAnsi="Times New Roman" w:cs="Times New Roman"/>
                <w:color w:val="auto"/>
                <w:sz w:val="20"/>
                <w:szCs w:val="20"/>
                <w:vertAlign w:val="superscript"/>
                <w:lang w:val="en-US"/>
              </w:rPr>
              <w:t>*</w:t>
            </w:r>
            <w:r w:rsidR="00454368" w:rsidRPr="004A252C">
              <w:rPr>
                <w:rFonts w:ascii="Times New Roman" w:eastAsia="TimesNewRomanPSMT" w:hAnsi="Times New Roman" w:cs="Times New Roman"/>
                <w:color w:val="auto"/>
                <w:sz w:val="20"/>
                <w:szCs w:val="20"/>
                <w:vertAlign w:val="superscript"/>
                <w:lang w:val="en-US"/>
              </w:rPr>
              <w:t>**</w:t>
            </w:r>
            <w:r w:rsidR="00A4456F" w:rsidRPr="004A252C">
              <w:rPr>
                <w:rFonts w:ascii="Times New Roman" w:eastAsia="TimesNewRomanPSMT" w:hAnsi="Times New Roman" w:cs="Times New Roman"/>
                <w:color w:val="auto"/>
                <w:sz w:val="20"/>
                <w:szCs w:val="20"/>
                <w:vertAlign w:val="superscript"/>
                <w:lang w:val="en-US"/>
              </w:rPr>
              <w:t>♦♦♦</w:t>
            </w:r>
          </w:p>
        </w:tc>
        <w:tc>
          <w:tcPr>
            <w:tcW w:w="1984" w:type="dxa"/>
            <w:tcBorders>
              <w:top w:val="nil"/>
              <w:left w:val="nil"/>
              <w:bottom w:val="nil"/>
              <w:right w:val="nil"/>
            </w:tcBorders>
          </w:tcPr>
          <w:p w:rsidR="004933FC" w:rsidRPr="004A252C" w:rsidRDefault="006B2C74" w:rsidP="006B2C74">
            <w:pPr>
              <w:pStyle w:val="Default"/>
              <w:ind w:left="0" w:firstLine="0"/>
              <w:jc w:val="left"/>
              <w:rPr>
                <w:rFonts w:ascii="Times New Roman" w:eastAsia="TimesNewRomanPSMT" w:hAnsi="Times New Roman" w:cs="Times New Roman"/>
                <w:color w:val="auto"/>
                <w:sz w:val="20"/>
                <w:szCs w:val="20"/>
                <w:lang w:val="en-US"/>
              </w:rPr>
            </w:pPr>
            <w:r>
              <w:rPr>
                <w:rFonts w:ascii="Times New Roman" w:eastAsia="TimesNewRomanPSMT" w:hAnsi="Times New Roman" w:cs="Times New Roman"/>
                <w:color w:val="auto"/>
                <w:sz w:val="20"/>
                <w:szCs w:val="20"/>
                <w:lang w:val="en-US"/>
              </w:rPr>
              <w:t xml:space="preserve">   </w:t>
            </w:r>
            <w:r w:rsidR="00BA10F8">
              <w:rPr>
                <w:rFonts w:ascii="Times New Roman" w:eastAsia="TimesNewRomanPSMT" w:hAnsi="Times New Roman" w:cs="Times New Roman"/>
                <w:color w:val="auto"/>
                <w:sz w:val="20"/>
                <w:szCs w:val="20"/>
                <w:lang w:val="en-US"/>
              </w:rPr>
              <w:t xml:space="preserve">  </w:t>
            </w:r>
            <w:r w:rsidR="004933FC" w:rsidRPr="004A252C">
              <w:rPr>
                <w:rFonts w:ascii="Times New Roman" w:eastAsia="TimesNewRomanPSMT" w:hAnsi="Times New Roman" w:cs="Times New Roman"/>
                <w:color w:val="auto"/>
                <w:sz w:val="20"/>
                <w:szCs w:val="20"/>
              </w:rPr>
              <w:t>14</w:t>
            </w:r>
            <w:r w:rsidR="004933FC" w:rsidRPr="004A252C">
              <w:rPr>
                <w:rFonts w:ascii="Times New Roman" w:eastAsia="TimesNewRomanPSMT" w:hAnsi="Times New Roman" w:cs="Times New Roman"/>
                <w:color w:val="auto"/>
                <w:sz w:val="20"/>
                <w:szCs w:val="20"/>
                <w:lang w:val="en-US"/>
              </w:rPr>
              <w:t>.9</w:t>
            </w:r>
            <w:r w:rsidR="00856282" w:rsidRPr="004A252C">
              <w:rPr>
                <w:rFonts w:ascii="Times New Roman" w:eastAsia="TimesNewRomanPSMT" w:hAnsi="Times New Roman" w:cs="Times New Roman"/>
                <w:color w:val="auto"/>
                <w:sz w:val="20"/>
                <w:szCs w:val="20"/>
                <w:lang w:val="en-US"/>
              </w:rPr>
              <w:t xml:space="preserve"> </w:t>
            </w:r>
            <w:r w:rsidR="004933FC" w:rsidRPr="004A252C">
              <w:rPr>
                <w:rFonts w:ascii="Times New Roman" w:eastAsia="TimesNewRomanPSMT" w:hAnsi="Times New Roman" w:cs="Times New Roman"/>
                <w:color w:val="auto"/>
                <w:sz w:val="20"/>
                <w:szCs w:val="20"/>
                <w:lang w:val="en-US"/>
              </w:rPr>
              <w:t>±</w:t>
            </w:r>
            <w:r w:rsidR="00856282" w:rsidRPr="004A252C">
              <w:rPr>
                <w:rFonts w:ascii="Times New Roman" w:eastAsia="TimesNewRomanPSMT" w:hAnsi="Times New Roman" w:cs="Times New Roman"/>
                <w:color w:val="auto"/>
                <w:sz w:val="20"/>
                <w:szCs w:val="20"/>
                <w:lang w:val="en-US"/>
              </w:rPr>
              <w:t xml:space="preserve"> </w:t>
            </w:r>
            <w:r w:rsidR="00856282" w:rsidRPr="004A252C">
              <w:rPr>
                <w:rFonts w:ascii="Times New Roman" w:eastAsia="TimesNewRomanPSMT" w:hAnsi="Times New Roman" w:cs="Times New Roman"/>
                <w:color w:val="auto"/>
                <w:sz w:val="20"/>
                <w:szCs w:val="20"/>
              </w:rPr>
              <w:t>3.</w:t>
            </w:r>
            <w:r w:rsidR="004933FC" w:rsidRPr="004A252C">
              <w:rPr>
                <w:rFonts w:ascii="Times New Roman" w:eastAsia="TimesNewRomanPSMT" w:hAnsi="Times New Roman" w:cs="Times New Roman"/>
                <w:color w:val="auto"/>
                <w:sz w:val="20"/>
                <w:szCs w:val="20"/>
              </w:rPr>
              <w:t>79</w:t>
            </w:r>
            <w:r w:rsidR="004933FC" w:rsidRPr="004A252C">
              <w:rPr>
                <w:rFonts w:ascii="Times New Roman" w:eastAsia="TimesNewRomanPSMT" w:hAnsi="Times New Roman" w:cs="Times New Roman"/>
                <w:color w:val="auto"/>
                <w:sz w:val="20"/>
                <w:szCs w:val="20"/>
                <w:vertAlign w:val="superscript"/>
                <w:lang w:val="en-US"/>
              </w:rPr>
              <w:t>*</w:t>
            </w:r>
            <w:r w:rsidR="00454368" w:rsidRPr="004A252C">
              <w:rPr>
                <w:rFonts w:ascii="Times New Roman" w:eastAsia="TimesNewRomanPSMT" w:hAnsi="Times New Roman" w:cs="Times New Roman"/>
                <w:color w:val="auto"/>
                <w:sz w:val="20"/>
                <w:szCs w:val="20"/>
                <w:vertAlign w:val="superscript"/>
                <w:lang w:val="en-US"/>
              </w:rPr>
              <w:t>**</w:t>
            </w:r>
            <w:r w:rsidR="00A4456F" w:rsidRPr="004A252C">
              <w:rPr>
                <w:rFonts w:ascii="Times New Roman" w:eastAsia="TimesNewRomanPSMT" w:hAnsi="Times New Roman" w:cs="Times New Roman"/>
                <w:color w:val="auto"/>
                <w:sz w:val="20"/>
                <w:szCs w:val="20"/>
                <w:vertAlign w:val="superscript"/>
                <w:lang w:val="en-US"/>
              </w:rPr>
              <w:t>♦</w:t>
            </w:r>
          </w:p>
        </w:tc>
      </w:tr>
      <w:tr w:rsidR="004933FC" w:rsidRPr="00BA10F8" w:rsidTr="006B2C74">
        <w:tc>
          <w:tcPr>
            <w:tcW w:w="2122" w:type="dxa"/>
            <w:tcBorders>
              <w:top w:val="nil"/>
              <w:left w:val="nil"/>
              <w:right w:val="nil"/>
            </w:tcBorders>
          </w:tcPr>
          <w:p w:rsidR="004933FC" w:rsidRPr="004A252C" w:rsidRDefault="002C43DE" w:rsidP="00FF5066">
            <w:pPr>
              <w:pStyle w:val="Default"/>
              <w:ind w:left="0" w:firstLine="0"/>
              <w:jc w:val="left"/>
              <w:rPr>
                <w:rFonts w:ascii="Times New Roman" w:eastAsia="TimesNewRomanPSMT" w:hAnsi="Times New Roman" w:cs="Times New Roman"/>
                <w:b/>
                <w:color w:val="auto"/>
                <w:sz w:val="20"/>
                <w:szCs w:val="20"/>
                <w:lang w:val="en-US"/>
              </w:rPr>
            </w:pPr>
            <w:r>
              <w:rPr>
                <w:rFonts w:ascii="Times New Roman" w:eastAsia="TimesNewRomanPSMT" w:hAnsi="Times New Roman" w:cs="Times New Roman"/>
                <w:sz w:val="20"/>
                <w:szCs w:val="20"/>
                <w:lang w:val="en-US"/>
              </w:rPr>
              <w:t>CRP</w:t>
            </w:r>
            <w:r w:rsidR="004933FC" w:rsidRPr="004A252C">
              <w:rPr>
                <w:rFonts w:ascii="Times New Roman" w:eastAsia="TimesNewRomanPSMT" w:hAnsi="Times New Roman" w:cs="Times New Roman"/>
                <w:sz w:val="20"/>
                <w:szCs w:val="20"/>
                <w:lang w:val="en-US"/>
              </w:rPr>
              <w:t xml:space="preserve"> mg/</w:t>
            </w:r>
            <w:r w:rsidR="00FF5066" w:rsidRPr="004A252C">
              <w:rPr>
                <w:rFonts w:ascii="Times New Roman" w:eastAsia="TimesNewRomanPSMT" w:hAnsi="Times New Roman" w:cs="Times New Roman"/>
                <w:sz w:val="20"/>
                <w:szCs w:val="20"/>
                <w:lang w:val="en-US"/>
              </w:rPr>
              <w:t>L</w:t>
            </w:r>
          </w:p>
        </w:tc>
        <w:tc>
          <w:tcPr>
            <w:tcW w:w="1530" w:type="dxa"/>
            <w:tcBorders>
              <w:top w:val="nil"/>
              <w:left w:val="nil"/>
              <w:right w:val="nil"/>
            </w:tcBorders>
          </w:tcPr>
          <w:p w:rsidR="004933FC" w:rsidRPr="004A252C" w:rsidRDefault="004933FC" w:rsidP="00AB7662">
            <w:pPr>
              <w:pStyle w:val="Default"/>
              <w:ind w:firstLine="0"/>
              <w:jc w:val="left"/>
              <w:rPr>
                <w:rFonts w:ascii="Times New Roman" w:eastAsia="TimesNewRomanPSMT" w:hAnsi="Times New Roman" w:cs="Times New Roman"/>
                <w:b/>
                <w:color w:val="auto"/>
                <w:sz w:val="20"/>
                <w:szCs w:val="20"/>
                <w:lang w:val="uk-UA"/>
              </w:rPr>
            </w:pPr>
            <w:r w:rsidRPr="004A252C">
              <w:rPr>
                <w:rFonts w:ascii="Times New Roman" w:eastAsia="TimesNewRomanPSMT" w:hAnsi="Times New Roman" w:cs="Times New Roman"/>
                <w:color w:val="auto"/>
                <w:sz w:val="20"/>
                <w:szCs w:val="20"/>
                <w:lang w:val="en-US"/>
              </w:rPr>
              <w:t>6</w:t>
            </w:r>
            <w:r w:rsidR="00FF5066" w:rsidRPr="004A252C">
              <w:rPr>
                <w:rFonts w:ascii="Times New Roman" w:eastAsia="TimesNewRomanPSMT" w:hAnsi="Times New Roman" w:cs="Times New Roman"/>
                <w:color w:val="auto"/>
                <w:sz w:val="20"/>
                <w:szCs w:val="20"/>
                <w:lang w:val="en-US"/>
              </w:rPr>
              <w:t>.23 ± 0.</w:t>
            </w:r>
            <w:r w:rsidRPr="004A252C">
              <w:rPr>
                <w:rFonts w:ascii="Times New Roman" w:eastAsia="TimesNewRomanPSMT" w:hAnsi="Times New Roman" w:cs="Times New Roman"/>
                <w:color w:val="auto"/>
                <w:sz w:val="20"/>
                <w:szCs w:val="20"/>
                <w:lang w:val="en-US"/>
              </w:rPr>
              <w:t>33</w:t>
            </w:r>
          </w:p>
        </w:tc>
        <w:tc>
          <w:tcPr>
            <w:tcW w:w="2268" w:type="dxa"/>
            <w:tcBorders>
              <w:top w:val="nil"/>
              <w:left w:val="nil"/>
              <w:right w:val="nil"/>
            </w:tcBorders>
          </w:tcPr>
          <w:p w:rsidR="004933FC" w:rsidRPr="004A252C" w:rsidRDefault="00BA10F8" w:rsidP="00BA10F8">
            <w:pPr>
              <w:pStyle w:val="Default"/>
              <w:ind w:left="0" w:firstLine="0"/>
              <w:jc w:val="left"/>
              <w:rPr>
                <w:rFonts w:ascii="Times New Roman" w:eastAsia="TimesNewRomanPSMT" w:hAnsi="Times New Roman" w:cs="Times New Roman"/>
                <w:b/>
                <w:color w:val="auto"/>
                <w:sz w:val="20"/>
                <w:szCs w:val="20"/>
                <w:lang w:val="uk-UA"/>
              </w:rPr>
            </w:pPr>
            <w:r>
              <w:rPr>
                <w:rFonts w:ascii="Times New Roman" w:eastAsia="TimesNewRomanPSMT" w:hAnsi="Times New Roman" w:cs="Times New Roman"/>
                <w:color w:val="auto"/>
                <w:sz w:val="20"/>
                <w:szCs w:val="20"/>
                <w:lang w:val="en-US"/>
              </w:rPr>
              <w:t xml:space="preserve"> </w:t>
            </w:r>
            <w:r w:rsidR="00FF5066" w:rsidRPr="004A252C">
              <w:rPr>
                <w:rFonts w:ascii="Times New Roman" w:eastAsia="TimesNewRomanPSMT" w:hAnsi="Times New Roman" w:cs="Times New Roman"/>
                <w:color w:val="auto"/>
                <w:sz w:val="20"/>
                <w:szCs w:val="20"/>
                <w:lang w:val="en-US"/>
              </w:rPr>
              <w:t>6.</w:t>
            </w:r>
            <w:r w:rsidR="004933FC" w:rsidRPr="00BA10F8">
              <w:rPr>
                <w:rFonts w:ascii="Times New Roman" w:eastAsia="TimesNewRomanPSMT" w:hAnsi="Times New Roman" w:cs="Times New Roman"/>
                <w:color w:val="auto"/>
                <w:sz w:val="20"/>
                <w:szCs w:val="20"/>
                <w:lang w:val="en-US"/>
              </w:rPr>
              <w:t>08</w:t>
            </w:r>
            <w:r w:rsidR="00FF5066" w:rsidRPr="004A252C">
              <w:rPr>
                <w:rFonts w:ascii="Times New Roman" w:eastAsia="TimesNewRomanPSMT" w:hAnsi="Times New Roman" w:cs="Times New Roman"/>
                <w:color w:val="auto"/>
                <w:sz w:val="20"/>
                <w:szCs w:val="20"/>
                <w:lang w:val="en-US"/>
              </w:rPr>
              <w:t xml:space="preserve"> ± 0.</w:t>
            </w:r>
            <w:r w:rsidR="004933FC" w:rsidRPr="00BA10F8">
              <w:rPr>
                <w:rFonts w:ascii="Times New Roman" w:eastAsia="TimesNewRomanPSMT" w:hAnsi="Times New Roman" w:cs="Times New Roman"/>
                <w:color w:val="auto"/>
                <w:sz w:val="20"/>
                <w:szCs w:val="20"/>
                <w:lang w:val="en-US"/>
              </w:rPr>
              <w:t>65</w:t>
            </w:r>
          </w:p>
        </w:tc>
        <w:tc>
          <w:tcPr>
            <w:tcW w:w="1985" w:type="dxa"/>
            <w:tcBorders>
              <w:top w:val="nil"/>
              <w:left w:val="nil"/>
              <w:right w:val="nil"/>
            </w:tcBorders>
          </w:tcPr>
          <w:p w:rsidR="004933FC" w:rsidRPr="004A252C" w:rsidRDefault="00BA10F8" w:rsidP="00AB7662">
            <w:pPr>
              <w:pStyle w:val="Default"/>
              <w:ind w:left="0" w:firstLine="0"/>
              <w:jc w:val="left"/>
              <w:rPr>
                <w:rFonts w:ascii="Times New Roman" w:eastAsia="TimesNewRomanPSMT" w:hAnsi="Times New Roman" w:cs="Times New Roman"/>
                <w:b/>
                <w:color w:val="auto"/>
                <w:sz w:val="20"/>
                <w:szCs w:val="20"/>
                <w:lang w:val="uk-UA"/>
              </w:rPr>
            </w:pPr>
            <w:r>
              <w:rPr>
                <w:rFonts w:ascii="Times New Roman" w:eastAsia="TimesNewRomanPSMT" w:hAnsi="Times New Roman" w:cs="Times New Roman"/>
                <w:sz w:val="20"/>
                <w:szCs w:val="20"/>
                <w:lang w:val="en-US"/>
              </w:rPr>
              <w:t xml:space="preserve"> </w:t>
            </w:r>
            <w:r w:rsidR="00856282" w:rsidRPr="004A252C">
              <w:rPr>
                <w:rFonts w:ascii="Times New Roman" w:eastAsia="TimesNewRomanPSMT" w:hAnsi="Times New Roman" w:cs="Times New Roman"/>
                <w:sz w:val="20"/>
                <w:szCs w:val="20"/>
                <w:lang w:val="en-US"/>
              </w:rPr>
              <w:t>6.</w:t>
            </w:r>
            <w:r w:rsidR="004933FC" w:rsidRPr="00BA10F8">
              <w:rPr>
                <w:rFonts w:ascii="Times New Roman" w:eastAsia="TimesNewRomanPSMT" w:hAnsi="Times New Roman" w:cs="Times New Roman"/>
                <w:sz w:val="20"/>
                <w:szCs w:val="20"/>
                <w:lang w:val="en-US"/>
              </w:rPr>
              <w:t>28</w:t>
            </w:r>
            <w:r w:rsidR="00856282" w:rsidRPr="004A252C">
              <w:rPr>
                <w:rFonts w:ascii="Times New Roman" w:eastAsia="TimesNewRomanPSMT" w:hAnsi="Times New Roman" w:cs="Times New Roman"/>
                <w:sz w:val="20"/>
                <w:szCs w:val="20"/>
                <w:lang w:val="en-US"/>
              </w:rPr>
              <w:t xml:space="preserve"> ± 0.</w:t>
            </w:r>
            <w:r w:rsidR="004933FC" w:rsidRPr="00BA10F8">
              <w:rPr>
                <w:rFonts w:ascii="Times New Roman" w:eastAsia="TimesNewRomanPSMT" w:hAnsi="Times New Roman" w:cs="Times New Roman"/>
                <w:sz w:val="20"/>
                <w:szCs w:val="20"/>
                <w:lang w:val="en-US"/>
              </w:rPr>
              <w:t>51</w:t>
            </w:r>
          </w:p>
        </w:tc>
        <w:tc>
          <w:tcPr>
            <w:tcW w:w="1984" w:type="dxa"/>
            <w:tcBorders>
              <w:top w:val="nil"/>
              <w:left w:val="nil"/>
              <w:right w:val="nil"/>
            </w:tcBorders>
          </w:tcPr>
          <w:p w:rsidR="004933FC" w:rsidRPr="004A252C" w:rsidRDefault="00BA10F8" w:rsidP="00BA10F8">
            <w:pPr>
              <w:pStyle w:val="Default"/>
              <w:ind w:left="0" w:firstLine="0"/>
              <w:jc w:val="left"/>
              <w:rPr>
                <w:rFonts w:ascii="Times New Roman" w:eastAsia="TimesNewRomanPSMT" w:hAnsi="Times New Roman" w:cs="Times New Roman"/>
                <w:b/>
                <w:color w:val="auto"/>
                <w:sz w:val="20"/>
                <w:szCs w:val="20"/>
                <w:lang w:val="uk-UA"/>
              </w:rPr>
            </w:pPr>
            <w:r>
              <w:rPr>
                <w:rFonts w:ascii="Times New Roman" w:eastAsia="TimesNewRomanPSMT" w:hAnsi="Times New Roman" w:cs="Times New Roman"/>
                <w:sz w:val="20"/>
                <w:szCs w:val="20"/>
                <w:lang w:val="en-US"/>
              </w:rPr>
              <w:t xml:space="preserve">     </w:t>
            </w:r>
            <w:r w:rsidR="00856282" w:rsidRPr="004A252C">
              <w:rPr>
                <w:rFonts w:ascii="Times New Roman" w:eastAsia="TimesNewRomanPSMT" w:hAnsi="Times New Roman" w:cs="Times New Roman"/>
                <w:sz w:val="20"/>
                <w:szCs w:val="20"/>
                <w:lang w:val="en-US"/>
              </w:rPr>
              <w:t>6.</w:t>
            </w:r>
            <w:r w:rsidR="004933FC" w:rsidRPr="004A252C">
              <w:rPr>
                <w:rFonts w:ascii="Times New Roman" w:eastAsia="TimesNewRomanPSMT" w:hAnsi="Times New Roman" w:cs="Times New Roman"/>
                <w:sz w:val="20"/>
                <w:szCs w:val="20"/>
                <w:lang w:val="en-US"/>
              </w:rPr>
              <w:t>3</w:t>
            </w:r>
            <w:r w:rsidR="004933FC" w:rsidRPr="00BA10F8">
              <w:rPr>
                <w:rFonts w:ascii="Times New Roman" w:eastAsia="TimesNewRomanPSMT" w:hAnsi="Times New Roman" w:cs="Times New Roman"/>
                <w:sz w:val="20"/>
                <w:szCs w:val="20"/>
                <w:lang w:val="en-US"/>
              </w:rPr>
              <w:t>8</w:t>
            </w:r>
            <w:r w:rsidR="00856282" w:rsidRPr="004A252C">
              <w:rPr>
                <w:rFonts w:ascii="Times New Roman" w:eastAsia="TimesNewRomanPSMT" w:hAnsi="Times New Roman" w:cs="Times New Roman"/>
                <w:sz w:val="20"/>
                <w:szCs w:val="20"/>
                <w:lang w:val="en-US"/>
              </w:rPr>
              <w:t xml:space="preserve"> </w:t>
            </w:r>
            <w:r w:rsidR="004933FC" w:rsidRPr="004A252C">
              <w:rPr>
                <w:rFonts w:ascii="Times New Roman" w:eastAsia="TimesNewRomanPSMT" w:hAnsi="Times New Roman" w:cs="Times New Roman"/>
                <w:sz w:val="20"/>
                <w:szCs w:val="20"/>
                <w:lang w:val="en-US"/>
              </w:rPr>
              <w:t>±</w:t>
            </w:r>
            <w:r w:rsidR="006B2C74">
              <w:rPr>
                <w:rFonts w:ascii="Times New Roman" w:eastAsia="TimesNewRomanPSMT" w:hAnsi="Times New Roman" w:cs="Times New Roman"/>
                <w:sz w:val="20"/>
                <w:szCs w:val="20"/>
                <w:lang w:val="en-US"/>
              </w:rPr>
              <w:t xml:space="preserve"> </w:t>
            </w:r>
            <w:r w:rsidR="00856282" w:rsidRPr="00BA10F8">
              <w:rPr>
                <w:rFonts w:ascii="Times New Roman" w:eastAsia="TimesNewRomanPSMT" w:hAnsi="Times New Roman" w:cs="Times New Roman"/>
                <w:sz w:val="20"/>
                <w:szCs w:val="20"/>
                <w:lang w:val="en-US"/>
              </w:rPr>
              <w:t>0.</w:t>
            </w:r>
            <w:r w:rsidR="004933FC" w:rsidRPr="00BA10F8">
              <w:rPr>
                <w:rFonts w:ascii="Times New Roman" w:eastAsia="TimesNewRomanPSMT" w:hAnsi="Times New Roman" w:cs="Times New Roman"/>
                <w:sz w:val="20"/>
                <w:szCs w:val="20"/>
                <w:lang w:val="en-US"/>
              </w:rPr>
              <w:t>59</w:t>
            </w:r>
          </w:p>
        </w:tc>
      </w:tr>
    </w:tbl>
    <w:p w:rsidR="00454368" w:rsidRDefault="004933FC" w:rsidP="00454368">
      <w:pPr>
        <w:autoSpaceDE w:val="0"/>
        <w:autoSpaceDN w:val="0"/>
        <w:adjustRightInd w:val="0"/>
        <w:spacing w:after="0" w:line="240" w:lineRule="auto"/>
        <w:ind w:left="0" w:firstLine="0"/>
        <w:rPr>
          <w:rFonts w:ascii="Times New Roman" w:eastAsia="TimesNewRomanPSMT" w:hAnsi="Times New Roman" w:cs="Times New Roman"/>
          <w:sz w:val="20"/>
          <w:szCs w:val="20"/>
          <w:lang w:val="en-US"/>
        </w:rPr>
      </w:pPr>
      <w:r w:rsidRPr="004A252C">
        <w:rPr>
          <w:rFonts w:ascii="Times New Roman" w:hAnsi="Times New Roman" w:cs="Times New Roman"/>
          <w:iCs/>
          <w:sz w:val="20"/>
          <w:szCs w:val="20"/>
          <w:lang w:val="en-US"/>
        </w:rPr>
        <w:t>Note</w:t>
      </w:r>
      <w:r w:rsidRPr="004A252C">
        <w:rPr>
          <w:rFonts w:ascii="Times New Roman" w:eastAsia="TimesNewRomanPSMT" w:hAnsi="Times New Roman" w:cs="Times New Roman"/>
          <w:sz w:val="20"/>
          <w:szCs w:val="20"/>
          <w:lang w:val="en-US"/>
        </w:rPr>
        <w:t xml:space="preserve">: </w:t>
      </w:r>
      <w:r w:rsidR="00454368" w:rsidRPr="004A252C">
        <w:rPr>
          <w:rFonts w:ascii="Times New Roman" w:eastAsia="TimesNewRomanPSMT" w:hAnsi="Times New Roman" w:cs="Times New Roman"/>
          <w:sz w:val="20"/>
          <w:szCs w:val="20"/>
          <w:lang w:val="en-US"/>
        </w:rPr>
        <w:t xml:space="preserve">* – </w:t>
      </w:r>
      <w:r w:rsidR="006B2C74">
        <w:rPr>
          <w:rFonts w:ascii="Times New Roman" w:eastAsia="TimesNewRomanPSMT" w:hAnsi="Times New Roman" w:cs="Times New Roman"/>
          <w:sz w:val="20"/>
          <w:szCs w:val="20"/>
          <w:lang w:val="en-US"/>
        </w:rPr>
        <w:t>P</w:t>
      </w:r>
      <w:r w:rsidR="00454368" w:rsidRPr="004A252C">
        <w:rPr>
          <w:rFonts w:ascii="Times New Roman" w:eastAsia="TimesNewRomanPSMT" w:hAnsi="Times New Roman" w:cs="Times New Roman"/>
          <w:sz w:val="20"/>
          <w:szCs w:val="20"/>
          <w:lang w:val="en-US"/>
        </w:rPr>
        <w:t xml:space="preserve"> &lt; 0.05</w:t>
      </w:r>
      <w:r w:rsidR="004A252C">
        <w:rPr>
          <w:rFonts w:ascii="Times New Roman" w:eastAsia="TimesNewRomanPSMT" w:hAnsi="Times New Roman" w:cs="Times New Roman"/>
          <w:sz w:val="20"/>
          <w:szCs w:val="20"/>
          <w:lang w:val="en-US"/>
        </w:rPr>
        <w:t>,</w:t>
      </w:r>
      <w:r w:rsidR="00454368" w:rsidRPr="004A252C">
        <w:rPr>
          <w:rFonts w:ascii="Times New Roman" w:eastAsia="TimesNewRomanPSMT" w:hAnsi="Times New Roman" w:cs="Times New Roman"/>
          <w:sz w:val="20"/>
          <w:szCs w:val="20"/>
          <w:vertAlign w:val="superscript"/>
          <w:lang w:val="en-US"/>
        </w:rPr>
        <w:t xml:space="preserve"> **</w:t>
      </w:r>
      <w:r w:rsidR="00454368" w:rsidRPr="004A252C">
        <w:rPr>
          <w:rFonts w:ascii="Times New Roman" w:eastAsia="TimesNewRomanPSMT" w:hAnsi="Times New Roman" w:cs="Times New Roman"/>
          <w:sz w:val="20"/>
          <w:szCs w:val="20"/>
          <w:lang w:val="en-US"/>
        </w:rPr>
        <w:t xml:space="preserve"> – </w:t>
      </w:r>
      <w:r w:rsidR="006B2C74">
        <w:rPr>
          <w:rFonts w:ascii="Times New Roman" w:eastAsia="TimesNewRomanPSMT" w:hAnsi="Times New Roman" w:cs="Times New Roman"/>
          <w:sz w:val="20"/>
          <w:szCs w:val="20"/>
          <w:lang w:val="en-US"/>
        </w:rPr>
        <w:t>P</w:t>
      </w:r>
      <w:r w:rsidR="00454368" w:rsidRPr="004A252C">
        <w:rPr>
          <w:rFonts w:ascii="Times New Roman" w:eastAsia="TimesNewRomanPSMT" w:hAnsi="Times New Roman" w:cs="Times New Roman"/>
          <w:sz w:val="20"/>
          <w:szCs w:val="20"/>
          <w:lang w:val="en-US"/>
        </w:rPr>
        <w:t xml:space="preserve"> &lt; 0.01</w:t>
      </w:r>
      <w:r w:rsidR="004A252C">
        <w:rPr>
          <w:rFonts w:ascii="Times New Roman" w:eastAsia="TimesNewRomanPSMT" w:hAnsi="Times New Roman" w:cs="Times New Roman"/>
          <w:sz w:val="20"/>
          <w:szCs w:val="20"/>
          <w:lang w:val="en-US"/>
        </w:rPr>
        <w:t>,</w:t>
      </w:r>
      <w:r w:rsidR="00454368" w:rsidRPr="004A252C">
        <w:rPr>
          <w:rFonts w:ascii="Times New Roman" w:eastAsia="TimesNewRomanPSMT" w:hAnsi="Times New Roman" w:cs="Times New Roman"/>
          <w:sz w:val="20"/>
          <w:szCs w:val="20"/>
          <w:vertAlign w:val="superscript"/>
          <w:lang w:val="en-US"/>
        </w:rPr>
        <w:t>***</w:t>
      </w:r>
      <w:r w:rsidR="00454368" w:rsidRPr="004A252C">
        <w:rPr>
          <w:rFonts w:ascii="Times New Roman" w:eastAsia="TimesNewRomanPSMT" w:hAnsi="Times New Roman" w:cs="Times New Roman"/>
          <w:sz w:val="20"/>
          <w:szCs w:val="20"/>
          <w:lang w:val="en-US"/>
        </w:rPr>
        <w:t xml:space="preserve"> – </w:t>
      </w:r>
      <w:r w:rsidR="006B2C74">
        <w:rPr>
          <w:rFonts w:ascii="Times New Roman" w:eastAsia="TimesNewRomanPSMT" w:hAnsi="Times New Roman" w:cs="Times New Roman"/>
          <w:sz w:val="20"/>
          <w:szCs w:val="20"/>
          <w:lang w:val="en-US"/>
        </w:rPr>
        <w:t>P</w:t>
      </w:r>
      <w:r w:rsidR="00454368" w:rsidRPr="004A252C">
        <w:rPr>
          <w:rFonts w:ascii="Times New Roman" w:eastAsia="TimesNewRomanPSMT" w:hAnsi="Times New Roman" w:cs="Times New Roman"/>
          <w:sz w:val="20"/>
          <w:szCs w:val="20"/>
          <w:lang w:val="en-US"/>
        </w:rPr>
        <w:t xml:space="preserve"> &lt; 0.001</w:t>
      </w:r>
      <w:r w:rsidR="004A252C">
        <w:rPr>
          <w:rFonts w:ascii="Times New Roman" w:eastAsia="TimesNewRomanPSMT" w:hAnsi="Times New Roman" w:cs="Times New Roman"/>
          <w:sz w:val="20"/>
          <w:szCs w:val="20"/>
          <w:lang w:val="en-US"/>
        </w:rPr>
        <w:t>,</w:t>
      </w:r>
      <w:r w:rsidR="00454368" w:rsidRPr="004A252C">
        <w:rPr>
          <w:rFonts w:ascii="Times New Roman" w:eastAsia="TimesNewRomanPSMT" w:hAnsi="Times New Roman" w:cs="Times New Roman"/>
          <w:sz w:val="20"/>
          <w:szCs w:val="20"/>
          <w:lang w:val="en-US"/>
        </w:rPr>
        <w:t xml:space="preserve"> vs control group</w:t>
      </w:r>
      <w:r w:rsidR="003602BD" w:rsidRPr="004A252C">
        <w:rPr>
          <w:rFonts w:ascii="Times New Roman" w:eastAsia="TimesNewRomanPSMT" w:hAnsi="Times New Roman" w:cs="Times New Roman"/>
          <w:sz w:val="20"/>
          <w:szCs w:val="20"/>
          <w:lang w:val="en-US"/>
        </w:rPr>
        <w:t xml:space="preserve">; </w:t>
      </w:r>
      <w:r w:rsidR="003602BD" w:rsidRPr="004A252C">
        <w:rPr>
          <w:rFonts w:ascii="Times New Roman" w:eastAsia="TimesNewRomanPSMT" w:hAnsi="Times New Roman" w:cs="Times New Roman"/>
          <w:sz w:val="20"/>
          <w:szCs w:val="20"/>
          <w:vertAlign w:val="superscript"/>
          <w:lang w:val="en-US"/>
        </w:rPr>
        <w:t>♦</w:t>
      </w:r>
      <w:r w:rsidR="003602BD" w:rsidRPr="004A252C">
        <w:rPr>
          <w:rFonts w:ascii="Times New Roman" w:eastAsia="TimesNewRomanPSMT" w:hAnsi="Times New Roman" w:cs="Times New Roman"/>
          <w:sz w:val="20"/>
          <w:szCs w:val="20"/>
          <w:lang w:val="en-US"/>
        </w:rPr>
        <w:t xml:space="preserve"> – P &lt; 0.05</w:t>
      </w:r>
      <w:r w:rsidR="004A252C">
        <w:rPr>
          <w:rFonts w:ascii="Times New Roman" w:eastAsia="TimesNewRomanPSMT" w:hAnsi="Times New Roman" w:cs="Times New Roman"/>
          <w:sz w:val="20"/>
          <w:szCs w:val="20"/>
          <w:lang w:val="en-US"/>
        </w:rPr>
        <w:t xml:space="preserve">, </w:t>
      </w:r>
      <w:r w:rsidR="003602BD" w:rsidRPr="004A252C">
        <w:rPr>
          <w:rFonts w:ascii="Times New Roman" w:eastAsia="TimesNewRomanPSMT" w:hAnsi="Times New Roman" w:cs="Times New Roman"/>
          <w:sz w:val="20"/>
          <w:szCs w:val="20"/>
          <w:vertAlign w:val="superscript"/>
          <w:lang w:val="en-US"/>
        </w:rPr>
        <w:t>♦♦</w:t>
      </w:r>
      <w:r w:rsidR="004A252C">
        <w:rPr>
          <w:rFonts w:ascii="Times New Roman" w:eastAsia="TimesNewRomanPSMT" w:hAnsi="Times New Roman" w:cs="Times New Roman"/>
          <w:sz w:val="20"/>
          <w:szCs w:val="20"/>
          <w:lang w:val="en-US"/>
        </w:rPr>
        <w:t xml:space="preserve"> – P &lt; 0.01,</w:t>
      </w:r>
      <w:r w:rsidR="003602BD" w:rsidRPr="004A252C">
        <w:rPr>
          <w:rFonts w:ascii="Times New Roman" w:eastAsia="TimesNewRomanPSMT" w:hAnsi="Times New Roman" w:cs="Times New Roman"/>
          <w:sz w:val="20"/>
          <w:szCs w:val="20"/>
          <w:lang w:val="en-US"/>
        </w:rPr>
        <w:t xml:space="preserve"> </w:t>
      </w:r>
      <w:r w:rsidR="003602BD" w:rsidRPr="004A252C">
        <w:rPr>
          <w:rFonts w:ascii="Times New Roman" w:eastAsia="TimesNewRomanPSMT" w:hAnsi="Times New Roman" w:cs="Times New Roman"/>
          <w:sz w:val="20"/>
          <w:szCs w:val="20"/>
          <w:vertAlign w:val="superscript"/>
          <w:lang w:val="en-US"/>
        </w:rPr>
        <w:t>♦♦♦</w:t>
      </w:r>
      <w:r w:rsidR="004A252C">
        <w:rPr>
          <w:rFonts w:ascii="Times New Roman" w:eastAsia="TimesNewRomanPSMT" w:hAnsi="Times New Roman" w:cs="Times New Roman"/>
          <w:sz w:val="20"/>
          <w:szCs w:val="20"/>
          <w:lang w:val="en-US"/>
        </w:rPr>
        <w:t xml:space="preserve"> </w:t>
      </w:r>
      <w:r w:rsidR="003602BD" w:rsidRPr="004A252C">
        <w:rPr>
          <w:rFonts w:ascii="Times New Roman" w:eastAsia="TimesNewRomanPSMT" w:hAnsi="Times New Roman" w:cs="Times New Roman"/>
          <w:sz w:val="20"/>
          <w:szCs w:val="20"/>
          <w:lang w:val="en-US"/>
        </w:rPr>
        <w:t>– P &lt; 0.001 vs patients</w:t>
      </w:r>
      <w:r w:rsidR="006B2C74">
        <w:rPr>
          <w:rFonts w:ascii="Times New Roman" w:eastAsia="TimesNewRomanPSMT" w:hAnsi="Times New Roman" w:cs="Times New Roman"/>
          <w:sz w:val="20"/>
          <w:szCs w:val="20"/>
          <w:lang w:val="en-US"/>
        </w:rPr>
        <w:t xml:space="preserve"> with duration of hypertension &lt; 5</w:t>
      </w:r>
      <w:r w:rsidR="003602BD" w:rsidRPr="004A252C">
        <w:rPr>
          <w:rFonts w:ascii="Times New Roman" w:eastAsia="TimesNewRomanPSMT" w:hAnsi="Times New Roman" w:cs="Times New Roman"/>
          <w:sz w:val="20"/>
          <w:szCs w:val="20"/>
          <w:lang w:val="en-US"/>
        </w:rPr>
        <w:t xml:space="preserve"> years;</w:t>
      </w:r>
      <w:r w:rsidR="003602BD" w:rsidRPr="004A252C">
        <w:rPr>
          <w:rFonts w:ascii="Times New Roman" w:eastAsia="TimesNewRomanPSMT" w:hAnsi="Times New Roman" w:cs="Times New Roman"/>
          <w:sz w:val="20"/>
          <w:szCs w:val="20"/>
          <w:vertAlign w:val="superscript"/>
          <w:lang w:val="en-US"/>
        </w:rPr>
        <w:t xml:space="preserve"> ●</w:t>
      </w:r>
      <w:r w:rsidR="003602BD" w:rsidRPr="004A252C">
        <w:rPr>
          <w:rFonts w:ascii="Times New Roman" w:eastAsia="TimesNewRomanPSMT" w:hAnsi="Times New Roman" w:cs="Times New Roman"/>
          <w:sz w:val="20"/>
          <w:szCs w:val="20"/>
          <w:lang w:val="en-US"/>
        </w:rPr>
        <w:t xml:space="preserve"> – P &lt; 0.05</w:t>
      </w:r>
      <w:r w:rsidR="006B2C74">
        <w:rPr>
          <w:rFonts w:ascii="Times New Roman" w:eastAsia="TimesNewRomanPSMT" w:hAnsi="Times New Roman" w:cs="Times New Roman"/>
          <w:sz w:val="20"/>
          <w:szCs w:val="20"/>
          <w:lang w:val="en-US"/>
        </w:rPr>
        <w:t>,</w:t>
      </w:r>
      <w:r w:rsidR="003602BD" w:rsidRPr="004A252C">
        <w:rPr>
          <w:rFonts w:ascii="Times New Roman" w:eastAsia="TimesNewRomanPSMT" w:hAnsi="Times New Roman" w:cs="Times New Roman"/>
          <w:sz w:val="20"/>
          <w:szCs w:val="20"/>
          <w:lang w:val="en-US"/>
        </w:rPr>
        <w:t xml:space="preserve"> </w:t>
      </w:r>
      <w:r w:rsidR="003602BD" w:rsidRPr="004A252C">
        <w:rPr>
          <w:rFonts w:ascii="Times New Roman" w:eastAsia="TimesNewRomanPSMT" w:hAnsi="Times New Roman" w:cs="Times New Roman"/>
          <w:sz w:val="20"/>
          <w:szCs w:val="20"/>
          <w:vertAlign w:val="superscript"/>
          <w:lang w:val="en-US"/>
        </w:rPr>
        <w:t>●●</w:t>
      </w:r>
      <w:r w:rsidR="003602BD" w:rsidRPr="004A252C">
        <w:rPr>
          <w:rFonts w:ascii="Times New Roman" w:eastAsia="TimesNewRomanPSMT" w:hAnsi="Times New Roman" w:cs="Times New Roman"/>
          <w:sz w:val="20"/>
          <w:szCs w:val="20"/>
          <w:lang w:val="en-US"/>
        </w:rPr>
        <w:t xml:space="preserve"> – P &lt; 0.01</w:t>
      </w:r>
      <w:r w:rsidR="006B2C74">
        <w:rPr>
          <w:rFonts w:ascii="Times New Roman" w:eastAsia="TimesNewRomanPSMT" w:hAnsi="Times New Roman" w:cs="Times New Roman"/>
          <w:sz w:val="20"/>
          <w:szCs w:val="20"/>
          <w:lang w:val="en-US"/>
        </w:rPr>
        <w:t>,</w:t>
      </w:r>
      <w:r w:rsidR="003602BD" w:rsidRPr="004A252C">
        <w:rPr>
          <w:rFonts w:ascii="Times New Roman" w:eastAsia="TimesNewRomanPSMT" w:hAnsi="Times New Roman" w:cs="Times New Roman"/>
          <w:sz w:val="20"/>
          <w:szCs w:val="20"/>
          <w:lang w:val="en-US"/>
        </w:rPr>
        <w:t xml:space="preserve"> </w:t>
      </w:r>
      <w:r w:rsidR="003602BD" w:rsidRPr="004A252C">
        <w:rPr>
          <w:rFonts w:ascii="Times New Roman" w:eastAsia="TimesNewRomanPSMT" w:hAnsi="Times New Roman" w:cs="Times New Roman"/>
          <w:sz w:val="20"/>
          <w:szCs w:val="20"/>
          <w:vertAlign w:val="superscript"/>
          <w:lang w:val="en-US"/>
        </w:rPr>
        <w:t xml:space="preserve">●●● </w:t>
      </w:r>
      <w:r w:rsidR="003602BD" w:rsidRPr="004A252C">
        <w:rPr>
          <w:rFonts w:ascii="Times New Roman" w:eastAsia="TimesNewRomanPSMT" w:hAnsi="Times New Roman" w:cs="Times New Roman"/>
          <w:sz w:val="20"/>
          <w:szCs w:val="20"/>
          <w:lang w:val="en-US"/>
        </w:rPr>
        <w:t>– P &lt; 0.001 vs patients w</w:t>
      </w:r>
      <w:r w:rsidR="006B2C74">
        <w:rPr>
          <w:rFonts w:ascii="Times New Roman" w:eastAsia="TimesNewRomanPSMT" w:hAnsi="Times New Roman" w:cs="Times New Roman"/>
          <w:sz w:val="20"/>
          <w:szCs w:val="20"/>
          <w:lang w:val="en-US"/>
        </w:rPr>
        <w:t xml:space="preserve">ith duration of hypertension </w:t>
      </w:r>
      <w:r w:rsidR="003602BD" w:rsidRPr="004A252C">
        <w:rPr>
          <w:rFonts w:ascii="Times New Roman" w:eastAsia="TimesNewRomanPSMT" w:hAnsi="Times New Roman" w:cs="Times New Roman"/>
          <w:sz w:val="20"/>
          <w:szCs w:val="20"/>
          <w:lang w:val="en-US"/>
        </w:rPr>
        <w:t>5-10 years</w:t>
      </w:r>
      <w:r w:rsidR="006B2C74">
        <w:rPr>
          <w:rFonts w:ascii="Times New Roman" w:eastAsia="TimesNewRomanPSMT" w:hAnsi="Times New Roman" w:cs="Times New Roman"/>
          <w:sz w:val="20"/>
          <w:szCs w:val="20"/>
          <w:lang w:val="en-US"/>
        </w:rPr>
        <w:t>.</w:t>
      </w:r>
    </w:p>
    <w:p w:rsidR="00741CFA" w:rsidRPr="00B5541A" w:rsidRDefault="00741CFA" w:rsidP="00454368">
      <w:pPr>
        <w:autoSpaceDE w:val="0"/>
        <w:autoSpaceDN w:val="0"/>
        <w:adjustRightInd w:val="0"/>
        <w:spacing w:after="0" w:line="240" w:lineRule="auto"/>
        <w:ind w:left="0" w:firstLine="0"/>
        <w:rPr>
          <w:rFonts w:ascii="Times New Roman" w:eastAsia="TimesNewRomanPSMT" w:hAnsi="Times New Roman" w:cs="Times New Roman"/>
          <w:sz w:val="20"/>
          <w:szCs w:val="20"/>
          <w:lang w:val="en-US"/>
        </w:rPr>
      </w:pPr>
    </w:p>
    <w:p w:rsidR="00D35E73" w:rsidRDefault="004C062C" w:rsidP="00D35E73">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r w:rsidRPr="00094779">
        <w:rPr>
          <w:rFonts w:ascii="Times New Roman" w:eastAsia="TimesNewRomanPSMT" w:hAnsi="Times New Roman" w:cs="Times New Roman"/>
          <w:sz w:val="20"/>
          <w:szCs w:val="20"/>
          <w:lang w:val="en-US"/>
        </w:rPr>
        <w:t>Rank correlation analysis has been performed to determine the relationship between blood pressure and levels of TNF-</w:t>
      </w:r>
      <w:r w:rsidRPr="00094779">
        <w:rPr>
          <w:rFonts w:ascii="Times New Roman" w:eastAsia="TimesNewRomanPSMT" w:hAnsi="Times New Roman" w:cs="Times New Roman"/>
          <w:sz w:val="20"/>
          <w:szCs w:val="20"/>
        </w:rPr>
        <w:t>α</w:t>
      </w:r>
      <w:r w:rsidRPr="00094779">
        <w:rPr>
          <w:rFonts w:ascii="Times New Roman" w:eastAsia="TimesNewRomanPSMT" w:hAnsi="Times New Roman" w:cs="Times New Roman"/>
          <w:sz w:val="20"/>
          <w:szCs w:val="20"/>
          <w:lang w:val="en-US"/>
        </w:rPr>
        <w:t>, CRP and 8-isoprostane.</w:t>
      </w:r>
      <w:r w:rsidR="00856282" w:rsidRPr="00094779">
        <w:rPr>
          <w:rFonts w:ascii="Times New Roman" w:eastAsia="TimesNewRomanPSMT" w:hAnsi="Times New Roman" w:cs="Times New Roman"/>
          <w:sz w:val="20"/>
          <w:szCs w:val="20"/>
          <w:lang w:val="en-US"/>
        </w:rPr>
        <w:t xml:space="preserve"> </w:t>
      </w:r>
      <w:r w:rsidRPr="00094779">
        <w:rPr>
          <w:rFonts w:ascii="Times New Roman" w:eastAsia="TimesNewRomanPSMT" w:hAnsi="Times New Roman" w:cs="Times New Roman"/>
          <w:sz w:val="20"/>
          <w:szCs w:val="20"/>
          <w:lang w:val="en-US"/>
        </w:rPr>
        <w:t>The relationship between the grade of hypertension and the change in the levels of the studied cytokines was as follows: the correlation coefficient (r) for the TNF-</w:t>
      </w:r>
      <w:r w:rsidRPr="00094779">
        <w:rPr>
          <w:rFonts w:ascii="Times New Roman" w:eastAsia="TimesNewRomanPSMT" w:hAnsi="Times New Roman" w:cs="Times New Roman"/>
          <w:sz w:val="20"/>
          <w:szCs w:val="20"/>
        </w:rPr>
        <w:t>α</w:t>
      </w:r>
      <w:r w:rsidRPr="00094779">
        <w:rPr>
          <w:rFonts w:ascii="Times New Roman" w:eastAsia="TimesNewRomanPSMT" w:hAnsi="Times New Roman" w:cs="Times New Roman"/>
          <w:sz w:val="20"/>
          <w:szCs w:val="20"/>
          <w:lang w:val="en-US"/>
        </w:rPr>
        <w:t xml:space="preserve"> blood level </w:t>
      </w:r>
      <w:r w:rsidRPr="00EA2F7C">
        <w:rPr>
          <w:rFonts w:ascii="Times New Roman" w:eastAsia="TimesNewRomanPSMT" w:hAnsi="Times New Roman" w:cs="Times New Roman"/>
          <w:sz w:val="20"/>
          <w:szCs w:val="20"/>
          <w:lang w:val="en-US"/>
        </w:rPr>
        <w:t>was 0.204 (</w:t>
      </w:r>
      <w:r w:rsidRPr="00094779">
        <w:rPr>
          <w:rFonts w:ascii="Times New Roman" w:eastAsia="TimesNewRomanPSMT" w:hAnsi="Times New Roman" w:cs="Times New Roman"/>
          <w:sz w:val="20"/>
          <w:szCs w:val="20"/>
          <w:lang w:val="en-US"/>
        </w:rPr>
        <w:t xml:space="preserve">P = 0.25), for </w:t>
      </w:r>
      <w:r w:rsidR="001043FD" w:rsidRPr="00094779">
        <w:rPr>
          <w:rFonts w:ascii="Times New Roman" w:eastAsia="TimesNewRomanPSMT" w:hAnsi="Times New Roman" w:cs="Times New Roman"/>
          <w:sz w:val="20"/>
          <w:szCs w:val="20"/>
          <w:lang w:val="en-US"/>
        </w:rPr>
        <w:t>sTNF-</w:t>
      </w:r>
      <w:r w:rsidR="001043FD" w:rsidRPr="00094779">
        <w:rPr>
          <w:rFonts w:ascii="Times New Roman" w:eastAsia="TimesNewRomanPSMT" w:hAnsi="Times New Roman" w:cs="Times New Roman"/>
          <w:sz w:val="20"/>
          <w:szCs w:val="20"/>
        </w:rPr>
        <w:t>α</w:t>
      </w:r>
      <w:r w:rsidR="001043FD" w:rsidRPr="00094779">
        <w:rPr>
          <w:rFonts w:ascii="Times New Roman" w:eastAsia="TimesNewRomanPSMT" w:hAnsi="Times New Roman" w:cs="Times New Roman"/>
          <w:sz w:val="20"/>
          <w:szCs w:val="20"/>
          <w:lang w:val="en-US"/>
        </w:rPr>
        <w:t>RI</w:t>
      </w:r>
      <w:r w:rsidR="001043FD" w:rsidRPr="00794689">
        <w:rPr>
          <w:rFonts w:ascii="Times New Roman" w:eastAsia="TimesNewRomanPSMT" w:hAnsi="Times New Roman" w:cs="Times New Roman"/>
          <w:sz w:val="20"/>
          <w:szCs w:val="20"/>
          <w:lang w:val="en-US"/>
        </w:rPr>
        <w:t xml:space="preserve">, </w:t>
      </w:r>
      <w:r w:rsidRPr="00794689">
        <w:rPr>
          <w:rFonts w:ascii="Times New Roman" w:eastAsia="TimesNewRomanPSMT" w:hAnsi="Times New Roman" w:cs="Times New Roman"/>
          <w:sz w:val="20"/>
          <w:szCs w:val="20"/>
          <w:lang w:val="en-US"/>
        </w:rPr>
        <w:t xml:space="preserve">r </w:t>
      </w:r>
      <w:r w:rsidRPr="00EA2F7C">
        <w:rPr>
          <w:rFonts w:ascii="Times New Roman" w:eastAsia="TimesNewRomanPSMT" w:hAnsi="Times New Roman" w:cs="Times New Roman"/>
          <w:sz w:val="20"/>
          <w:szCs w:val="20"/>
          <w:lang w:val="en-US"/>
        </w:rPr>
        <w:t>= -</w:t>
      </w:r>
      <w:r w:rsidR="001043FD" w:rsidRPr="00EA2F7C">
        <w:rPr>
          <w:rFonts w:ascii="Times New Roman" w:eastAsia="TimesNewRomanPSMT" w:hAnsi="Times New Roman" w:cs="Times New Roman"/>
          <w:sz w:val="20"/>
          <w:szCs w:val="20"/>
          <w:lang w:val="en-US"/>
        </w:rPr>
        <w:t xml:space="preserve"> </w:t>
      </w:r>
      <w:r w:rsidR="00EA2F7C" w:rsidRPr="00EA2F7C">
        <w:rPr>
          <w:rFonts w:ascii="Times New Roman" w:eastAsia="TimesNewRomanPSMT" w:hAnsi="Times New Roman" w:cs="Times New Roman"/>
          <w:sz w:val="20"/>
          <w:szCs w:val="20"/>
          <w:lang w:val="en-US"/>
        </w:rPr>
        <w:t>0.01</w:t>
      </w:r>
      <w:r w:rsidR="00D35E73" w:rsidRPr="00EA2F7C">
        <w:rPr>
          <w:rFonts w:ascii="Times New Roman" w:eastAsia="TimesNewRomanPSMT" w:hAnsi="Times New Roman" w:cs="Times New Roman"/>
          <w:sz w:val="20"/>
          <w:szCs w:val="20"/>
          <w:lang w:val="en-US"/>
        </w:rPr>
        <w:t xml:space="preserve"> </w:t>
      </w:r>
      <w:r w:rsidRPr="00EA2F7C">
        <w:rPr>
          <w:rFonts w:ascii="Times New Roman" w:eastAsia="TimesNewRomanPSMT" w:hAnsi="Times New Roman" w:cs="Times New Roman"/>
          <w:sz w:val="20"/>
          <w:szCs w:val="20"/>
          <w:lang w:val="en-US"/>
        </w:rPr>
        <w:t>(</w:t>
      </w:r>
      <w:r w:rsidRPr="00794689">
        <w:rPr>
          <w:rFonts w:ascii="Times New Roman" w:eastAsia="TimesNewRomanPSMT" w:hAnsi="Times New Roman" w:cs="Times New Roman"/>
          <w:sz w:val="20"/>
          <w:szCs w:val="20"/>
          <w:lang w:val="en-US"/>
        </w:rPr>
        <w:t xml:space="preserve">P = </w:t>
      </w:r>
      <w:r w:rsidR="00856282" w:rsidRPr="00794689">
        <w:rPr>
          <w:rFonts w:ascii="Times New Roman" w:eastAsia="TimesNewRomanPSMT" w:hAnsi="Times New Roman" w:cs="Times New Roman"/>
          <w:sz w:val="20"/>
          <w:szCs w:val="20"/>
          <w:lang w:val="en-US"/>
        </w:rPr>
        <w:t>0.9</w:t>
      </w:r>
      <w:r w:rsidRPr="00794689">
        <w:rPr>
          <w:rFonts w:ascii="Times New Roman" w:eastAsia="TimesNewRomanPSMT" w:hAnsi="Times New Roman" w:cs="Times New Roman"/>
          <w:sz w:val="20"/>
          <w:szCs w:val="20"/>
          <w:lang w:val="en-US"/>
        </w:rPr>
        <w:t xml:space="preserve">7), for </w:t>
      </w:r>
      <w:r w:rsidR="00D35E73" w:rsidRPr="00794689">
        <w:rPr>
          <w:rFonts w:ascii="Times New Roman" w:eastAsia="TimesNewRomanPSMT" w:hAnsi="Times New Roman" w:cs="Times New Roman"/>
          <w:sz w:val="20"/>
          <w:szCs w:val="20"/>
          <w:lang w:val="en-US"/>
        </w:rPr>
        <w:t>8-isoprostane</w:t>
      </w:r>
      <w:r w:rsidRPr="00794689">
        <w:rPr>
          <w:rFonts w:ascii="Times New Roman" w:eastAsia="TimesNewRomanPSMT" w:hAnsi="Times New Roman" w:cs="Times New Roman"/>
          <w:sz w:val="20"/>
          <w:szCs w:val="20"/>
          <w:lang w:val="en-US"/>
        </w:rPr>
        <w:t xml:space="preserve"> r </w:t>
      </w:r>
      <w:r w:rsidRPr="00EA2F7C">
        <w:rPr>
          <w:rFonts w:ascii="Times New Roman" w:eastAsia="TimesNewRomanPSMT" w:hAnsi="Times New Roman" w:cs="Times New Roman"/>
          <w:sz w:val="20"/>
          <w:szCs w:val="20"/>
          <w:lang w:val="en-US"/>
        </w:rPr>
        <w:t xml:space="preserve">= 0.11 </w:t>
      </w:r>
      <w:r w:rsidRPr="00794689">
        <w:rPr>
          <w:rFonts w:ascii="Times New Roman" w:eastAsia="TimesNewRomanPSMT" w:hAnsi="Times New Roman" w:cs="Times New Roman"/>
          <w:sz w:val="20"/>
          <w:szCs w:val="20"/>
          <w:lang w:val="en-US"/>
        </w:rPr>
        <w:t xml:space="preserve">(P = 0.94), for CRP r = </w:t>
      </w:r>
      <w:r w:rsidR="00EA2F7C">
        <w:rPr>
          <w:rFonts w:ascii="Times New Roman" w:eastAsia="TimesNewRomanPSMT" w:hAnsi="Times New Roman" w:cs="Times New Roman"/>
          <w:sz w:val="20"/>
          <w:szCs w:val="20"/>
          <w:lang w:val="en-US"/>
        </w:rPr>
        <w:t>0.02</w:t>
      </w:r>
      <w:r w:rsidR="00D35E73" w:rsidRPr="00794689">
        <w:rPr>
          <w:rFonts w:ascii="Times New Roman" w:eastAsia="TimesNewRomanPSMT" w:hAnsi="Times New Roman" w:cs="Times New Roman"/>
          <w:sz w:val="20"/>
          <w:szCs w:val="20"/>
          <w:lang w:val="en-US"/>
        </w:rPr>
        <w:t xml:space="preserve"> </w:t>
      </w:r>
      <w:r w:rsidRPr="00794689">
        <w:rPr>
          <w:rFonts w:ascii="Times New Roman" w:eastAsia="TimesNewRomanPSMT" w:hAnsi="Times New Roman" w:cs="Times New Roman"/>
          <w:sz w:val="20"/>
          <w:szCs w:val="20"/>
          <w:lang w:val="en-US"/>
        </w:rPr>
        <w:t>(</w:t>
      </w:r>
      <w:r w:rsidRPr="00794689">
        <w:rPr>
          <w:rFonts w:ascii="Times New Roman" w:eastAsia="TimesNewRomanPSMT" w:hAnsi="Times New Roman" w:cs="Times New Roman"/>
          <w:sz w:val="20"/>
          <w:szCs w:val="20"/>
        </w:rPr>
        <w:t>Р</w:t>
      </w:r>
      <w:r w:rsidR="00094779" w:rsidRPr="00794689">
        <w:rPr>
          <w:rFonts w:ascii="Times New Roman" w:eastAsia="TimesNewRomanPSMT" w:hAnsi="Times New Roman" w:cs="Times New Roman"/>
          <w:sz w:val="20"/>
          <w:szCs w:val="20"/>
          <w:lang w:val="en-US"/>
        </w:rPr>
        <w:t xml:space="preserve"> = 0.44). </w:t>
      </w:r>
      <w:r w:rsidRPr="00794689">
        <w:rPr>
          <w:rFonts w:ascii="Times New Roman" w:eastAsia="TimesNewRomanPSMT" w:hAnsi="Times New Roman" w:cs="Times New Roman"/>
          <w:sz w:val="20"/>
          <w:szCs w:val="20"/>
          <w:lang w:val="en-US"/>
        </w:rPr>
        <w:t>Correlation co</w:t>
      </w:r>
      <w:r w:rsidR="005F497E" w:rsidRPr="00794689">
        <w:rPr>
          <w:rFonts w:ascii="Times New Roman" w:eastAsia="TimesNewRomanPSMT" w:hAnsi="Times New Roman" w:cs="Times New Roman"/>
          <w:sz w:val="20"/>
          <w:szCs w:val="20"/>
          <w:lang w:val="en-US"/>
        </w:rPr>
        <w:t>efficients with the duration of</w:t>
      </w:r>
      <w:r w:rsidR="001043FD" w:rsidRPr="00794689">
        <w:rPr>
          <w:rFonts w:ascii="Times New Roman" w:eastAsia="TimesNewRomanPSMT" w:hAnsi="Times New Roman" w:cs="Times New Roman"/>
          <w:sz w:val="20"/>
          <w:szCs w:val="20"/>
          <w:lang w:val="en-US"/>
        </w:rPr>
        <w:t xml:space="preserve"> hypertension </w:t>
      </w:r>
      <w:r w:rsidRPr="00794689">
        <w:rPr>
          <w:rFonts w:ascii="Times New Roman" w:eastAsia="TimesNewRomanPSMT" w:hAnsi="Times New Roman" w:cs="Times New Roman"/>
          <w:sz w:val="20"/>
          <w:szCs w:val="20"/>
          <w:lang w:val="en-US"/>
        </w:rPr>
        <w:t>were: for TNF-</w:t>
      </w:r>
      <w:r w:rsidRPr="00794689">
        <w:rPr>
          <w:rFonts w:ascii="Times New Roman" w:eastAsia="TimesNewRomanPSMT" w:hAnsi="Times New Roman" w:cs="Times New Roman"/>
          <w:sz w:val="20"/>
          <w:szCs w:val="20"/>
        </w:rPr>
        <w:t>α</w:t>
      </w:r>
      <w:r w:rsidR="00856282" w:rsidRPr="00794689">
        <w:rPr>
          <w:rFonts w:ascii="Times New Roman" w:eastAsia="TimesNewRomanPSMT" w:hAnsi="Times New Roman" w:cs="Times New Roman"/>
          <w:sz w:val="20"/>
          <w:szCs w:val="20"/>
          <w:lang w:val="en-US"/>
        </w:rPr>
        <w:t xml:space="preserve"> </w:t>
      </w:r>
      <w:r w:rsidR="00856282" w:rsidRPr="00EA2F7C">
        <w:rPr>
          <w:rFonts w:ascii="Times New Roman" w:eastAsia="TimesNewRomanPSMT" w:hAnsi="Times New Roman" w:cs="Times New Roman"/>
          <w:sz w:val="20"/>
          <w:szCs w:val="20"/>
          <w:lang w:val="en-US"/>
        </w:rPr>
        <w:t xml:space="preserve">r = 0.24 </w:t>
      </w:r>
      <w:r w:rsidR="00856282" w:rsidRPr="00794689">
        <w:rPr>
          <w:rFonts w:ascii="Times New Roman" w:eastAsia="TimesNewRomanPSMT" w:hAnsi="Times New Roman" w:cs="Times New Roman"/>
          <w:sz w:val="20"/>
          <w:szCs w:val="20"/>
          <w:lang w:val="en-US"/>
        </w:rPr>
        <w:t>(P = 0.17</w:t>
      </w:r>
      <w:r w:rsidRPr="00794689">
        <w:rPr>
          <w:rFonts w:ascii="Times New Roman" w:eastAsia="TimesNewRomanPSMT" w:hAnsi="Times New Roman" w:cs="Times New Roman"/>
          <w:sz w:val="20"/>
          <w:szCs w:val="20"/>
          <w:lang w:val="en-US"/>
        </w:rPr>
        <w:t xml:space="preserve">), for </w:t>
      </w:r>
      <w:r w:rsidR="00322C50" w:rsidRPr="00794689">
        <w:rPr>
          <w:rFonts w:ascii="Times New Roman" w:eastAsia="TimesNewRomanPSMT" w:hAnsi="Times New Roman" w:cs="Times New Roman"/>
          <w:sz w:val="20"/>
          <w:szCs w:val="20"/>
          <w:lang w:val="en-US"/>
        </w:rPr>
        <w:t>sTNF-</w:t>
      </w:r>
      <w:r w:rsidR="00322C50" w:rsidRPr="00794689">
        <w:rPr>
          <w:rFonts w:ascii="Times New Roman" w:eastAsia="TimesNewRomanPSMT" w:hAnsi="Times New Roman" w:cs="Times New Roman"/>
          <w:sz w:val="20"/>
          <w:szCs w:val="20"/>
        </w:rPr>
        <w:t>α</w:t>
      </w:r>
      <w:r w:rsidR="00322C50" w:rsidRPr="00794689">
        <w:rPr>
          <w:rFonts w:ascii="Times New Roman" w:eastAsia="TimesNewRomanPSMT" w:hAnsi="Times New Roman" w:cs="Times New Roman"/>
          <w:sz w:val="20"/>
          <w:szCs w:val="20"/>
          <w:lang w:val="en-US"/>
        </w:rPr>
        <w:t xml:space="preserve">RI </w:t>
      </w:r>
      <w:r w:rsidR="00856282" w:rsidRPr="00EA2F7C">
        <w:rPr>
          <w:rFonts w:ascii="Times New Roman" w:eastAsia="TimesNewRomanPSMT" w:hAnsi="Times New Roman" w:cs="Times New Roman"/>
          <w:sz w:val="20"/>
          <w:szCs w:val="20"/>
          <w:lang w:val="en-US"/>
        </w:rPr>
        <w:t xml:space="preserve">r = 0.17 </w:t>
      </w:r>
      <w:r w:rsidR="00856282" w:rsidRPr="00794689">
        <w:rPr>
          <w:rFonts w:ascii="Times New Roman" w:eastAsia="TimesNewRomanPSMT" w:hAnsi="Times New Roman" w:cs="Times New Roman"/>
          <w:sz w:val="20"/>
          <w:szCs w:val="20"/>
          <w:lang w:val="en-US"/>
        </w:rPr>
        <w:t>(P = 0.53</w:t>
      </w:r>
      <w:r w:rsidRPr="00794689">
        <w:rPr>
          <w:rFonts w:ascii="Times New Roman" w:eastAsia="TimesNewRomanPSMT" w:hAnsi="Times New Roman" w:cs="Times New Roman"/>
          <w:sz w:val="20"/>
          <w:szCs w:val="20"/>
          <w:lang w:val="en-US"/>
        </w:rPr>
        <w:t xml:space="preserve">), for </w:t>
      </w:r>
      <w:r w:rsidR="00D35E73" w:rsidRPr="00794689">
        <w:rPr>
          <w:rFonts w:ascii="Times New Roman" w:eastAsia="TimesNewRomanPSMT" w:hAnsi="Times New Roman" w:cs="Times New Roman"/>
          <w:sz w:val="20"/>
          <w:szCs w:val="20"/>
          <w:lang w:val="en-US"/>
        </w:rPr>
        <w:t>8-isoprostane</w:t>
      </w:r>
      <w:r w:rsidR="00856282" w:rsidRPr="00794689">
        <w:rPr>
          <w:rFonts w:ascii="Times New Roman" w:eastAsia="TimesNewRomanPSMT" w:hAnsi="Times New Roman" w:cs="Times New Roman"/>
          <w:sz w:val="20"/>
          <w:szCs w:val="20"/>
          <w:lang w:val="en-US"/>
        </w:rPr>
        <w:t xml:space="preserve"> </w:t>
      </w:r>
      <w:r w:rsidR="00EA2F7C">
        <w:rPr>
          <w:rFonts w:ascii="Times New Roman" w:eastAsia="TimesNewRomanPSMT" w:hAnsi="Times New Roman" w:cs="Times New Roman"/>
          <w:sz w:val="20"/>
          <w:szCs w:val="20"/>
          <w:lang w:val="en-US"/>
        </w:rPr>
        <w:t>r = 0.01</w:t>
      </w:r>
      <w:r w:rsidR="00D35E73" w:rsidRPr="00794689">
        <w:rPr>
          <w:rFonts w:ascii="Times New Roman" w:eastAsia="TimesNewRomanPSMT" w:hAnsi="Times New Roman" w:cs="Times New Roman"/>
          <w:sz w:val="20"/>
          <w:szCs w:val="20"/>
          <w:lang w:val="en-US"/>
        </w:rPr>
        <w:t xml:space="preserve"> </w:t>
      </w:r>
      <w:r w:rsidR="00856282" w:rsidRPr="00794689">
        <w:rPr>
          <w:rFonts w:ascii="Times New Roman" w:eastAsia="TimesNewRomanPSMT" w:hAnsi="Times New Roman" w:cs="Times New Roman"/>
          <w:sz w:val="20"/>
          <w:szCs w:val="20"/>
          <w:lang w:val="en-US"/>
        </w:rPr>
        <w:t>(P = 0.95</w:t>
      </w:r>
      <w:r w:rsidRPr="00794689">
        <w:rPr>
          <w:rFonts w:ascii="Times New Roman" w:eastAsia="TimesNewRomanPSMT" w:hAnsi="Times New Roman" w:cs="Times New Roman"/>
          <w:sz w:val="20"/>
          <w:szCs w:val="20"/>
          <w:lang w:val="en-US"/>
        </w:rPr>
        <w:t xml:space="preserve">), for </w:t>
      </w:r>
      <w:r w:rsidRPr="00EA2F7C">
        <w:rPr>
          <w:rFonts w:ascii="Times New Roman" w:eastAsia="TimesNewRomanPSMT" w:hAnsi="Times New Roman" w:cs="Times New Roman"/>
          <w:sz w:val="20"/>
          <w:szCs w:val="20"/>
          <w:lang w:val="en-US"/>
        </w:rPr>
        <w:t xml:space="preserve">CRP </w:t>
      </w:r>
      <w:r w:rsidR="00EA2F7C" w:rsidRPr="00EA2F7C">
        <w:rPr>
          <w:rFonts w:ascii="Times New Roman" w:eastAsia="TimesNewRomanPSMT" w:hAnsi="Times New Roman" w:cs="Times New Roman"/>
          <w:sz w:val="20"/>
          <w:szCs w:val="20"/>
          <w:lang w:val="en-US"/>
        </w:rPr>
        <w:t>r = 0.32</w:t>
      </w:r>
      <w:r w:rsidR="00D35E73" w:rsidRPr="00794689">
        <w:rPr>
          <w:rFonts w:ascii="Times New Roman" w:eastAsia="TimesNewRomanPSMT" w:hAnsi="Times New Roman" w:cs="Times New Roman"/>
          <w:sz w:val="20"/>
          <w:szCs w:val="20"/>
          <w:lang w:val="en-US"/>
        </w:rPr>
        <w:t xml:space="preserve"> </w:t>
      </w:r>
      <w:r w:rsidRPr="00794689">
        <w:rPr>
          <w:rFonts w:ascii="Times New Roman" w:eastAsia="TimesNewRomanPSMT" w:hAnsi="Times New Roman" w:cs="Times New Roman"/>
          <w:sz w:val="20"/>
          <w:szCs w:val="20"/>
          <w:lang w:val="en-US"/>
        </w:rPr>
        <w:t>(</w:t>
      </w:r>
      <w:r w:rsidRPr="00794689">
        <w:rPr>
          <w:rFonts w:ascii="Times New Roman" w:eastAsia="TimesNewRomanPSMT" w:hAnsi="Times New Roman" w:cs="Times New Roman"/>
          <w:sz w:val="20"/>
          <w:szCs w:val="20"/>
        </w:rPr>
        <w:t>Р</w:t>
      </w:r>
      <w:r w:rsidRPr="00794689">
        <w:rPr>
          <w:rFonts w:ascii="Times New Roman" w:eastAsia="TimesNewRomanPSMT" w:hAnsi="Times New Roman" w:cs="Times New Roman"/>
          <w:sz w:val="20"/>
          <w:szCs w:val="20"/>
          <w:lang w:val="en-US"/>
        </w:rPr>
        <w:t xml:space="preserve"> = 0.74).</w:t>
      </w:r>
      <w:r w:rsidRPr="00094779">
        <w:rPr>
          <w:rFonts w:ascii="Times New Roman" w:eastAsia="TimesNewRomanPSMT" w:hAnsi="Times New Roman" w:cs="Times New Roman"/>
          <w:sz w:val="20"/>
          <w:szCs w:val="20"/>
          <w:lang w:val="en-US"/>
        </w:rPr>
        <w:t xml:space="preserve"> Taking into account the insignificance of the correlations revealed, a one-factor dispersion analysis was applied which allows to determine with certainty the influence of the grade and duration of hypertension on the dynamics of the studied indices levels. It was found that the grade of hypertension </w:t>
      </w:r>
      <w:r w:rsidR="00B6481F" w:rsidRPr="00094779">
        <w:rPr>
          <w:rFonts w:ascii="Times New Roman" w:eastAsia="TimesNewRomanPSMT" w:hAnsi="Times New Roman" w:cs="Times New Roman"/>
          <w:sz w:val="20"/>
          <w:szCs w:val="20"/>
          <w:lang w:val="en-US"/>
        </w:rPr>
        <w:t>is related to</w:t>
      </w:r>
      <w:r w:rsidRPr="00094779">
        <w:rPr>
          <w:rFonts w:ascii="Times New Roman" w:eastAsia="TimesNewRomanPSMT" w:hAnsi="Times New Roman" w:cs="Times New Roman"/>
          <w:sz w:val="20"/>
          <w:szCs w:val="20"/>
          <w:lang w:val="en-US"/>
        </w:rPr>
        <w:t xml:space="preserve"> the serum </w:t>
      </w:r>
      <w:r w:rsidR="00B6481F" w:rsidRPr="00094779">
        <w:rPr>
          <w:rFonts w:ascii="Times New Roman" w:eastAsia="TimesNewRomanPSMT" w:hAnsi="Times New Roman" w:cs="Times New Roman"/>
          <w:sz w:val="20"/>
          <w:szCs w:val="20"/>
          <w:lang w:val="en-US"/>
        </w:rPr>
        <w:t xml:space="preserve">levels of </w:t>
      </w:r>
      <w:r w:rsidRPr="00094779">
        <w:rPr>
          <w:rFonts w:ascii="Times New Roman" w:eastAsia="TimesNewRomanPSMT" w:hAnsi="Times New Roman" w:cs="Times New Roman"/>
          <w:sz w:val="20"/>
          <w:szCs w:val="20"/>
          <w:lang w:val="en-US"/>
        </w:rPr>
        <w:t>TNF-</w:t>
      </w:r>
      <w:r w:rsidRPr="00094779">
        <w:rPr>
          <w:rFonts w:ascii="Times New Roman" w:eastAsia="TimesNewRomanPSMT" w:hAnsi="Times New Roman" w:cs="Times New Roman"/>
          <w:sz w:val="20"/>
          <w:szCs w:val="20"/>
        </w:rPr>
        <w:t>α</w:t>
      </w:r>
      <w:r w:rsidRPr="00094779">
        <w:rPr>
          <w:rFonts w:ascii="Times New Roman" w:eastAsia="TimesNewRomanPSMT" w:hAnsi="Times New Roman" w:cs="Times New Roman"/>
          <w:sz w:val="20"/>
          <w:szCs w:val="20"/>
          <w:lang w:val="en-US"/>
        </w:rPr>
        <w:t xml:space="preserve"> and </w:t>
      </w:r>
      <w:r w:rsidR="00D35E73" w:rsidRPr="00D35E73">
        <w:rPr>
          <w:rFonts w:ascii="Times New Roman" w:eastAsia="TimesNewRomanPSMT" w:hAnsi="Times New Roman" w:cs="Times New Roman"/>
          <w:sz w:val="20"/>
          <w:szCs w:val="20"/>
          <w:lang w:val="en-US"/>
        </w:rPr>
        <w:t>8-isoprostane</w:t>
      </w:r>
      <w:r w:rsidR="00794689">
        <w:rPr>
          <w:rFonts w:ascii="Times New Roman" w:eastAsia="TimesNewRomanPSMT" w:hAnsi="Times New Roman" w:cs="Times New Roman"/>
          <w:sz w:val="20"/>
          <w:szCs w:val="20"/>
          <w:lang w:val="en-US"/>
        </w:rPr>
        <w:t>,</w:t>
      </w:r>
      <w:r w:rsidRPr="00094779">
        <w:rPr>
          <w:rFonts w:ascii="Times New Roman" w:eastAsia="TimesNewRomanPSMT" w:hAnsi="Times New Roman" w:cs="Times New Roman"/>
          <w:sz w:val="20"/>
          <w:szCs w:val="20"/>
          <w:lang w:val="en-US"/>
        </w:rPr>
        <w:t xml:space="preserve"> (F = 9</w:t>
      </w:r>
      <w:r w:rsidR="00094779" w:rsidRPr="00094779">
        <w:rPr>
          <w:rFonts w:ascii="Times New Roman" w:eastAsia="TimesNewRomanPSMT" w:hAnsi="Times New Roman" w:cs="Times New Roman"/>
          <w:sz w:val="20"/>
          <w:szCs w:val="20"/>
          <w:lang w:val="en-US"/>
        </w:rPr>
        <w:t>.</w:t>
      </w:r>
      <w:r w:rsidRPr="00094779">
        <w:rPr>
          <w:rFonts w:ascii="Times New Roman" w:eastAsia="TimesNewRomanPSMT" w:hAnsi="Times New Roman" w:cs="Times New Roman"/>
          <w:sz w:val="20"/>
          <w:szCs w:val="20"/>
          <w:lang w:val="en-US"/>
        </w:rPr>
        <w:t>58</w:t>
      </w:r>
      <w:r w:rsidR="00094779" w:rsidRPr="00094779">
        <w:rPr>
          <w:rFonts w:ascii="Times New Roman" w:eastAsia="TimesNewRomanPSMT" w:hAnsi="Times New Roman" w:cs="Times New Roman"/>
          <w:sz w:val="20"/>
          <w:szCs w:val="20"/>
          <w:lang w:val="en-US"/>
        </w:rPr>
        <w:t>,</w:t>
      </w:r>
      <w:r w:rsidRPr="00094779">
        <w:rPr>
          <w:rFonts w:ascii="Times New Roman" w:eastAsia="TimesNewRomanPSMT" w:hAnsi="Times New Roman" w:cs="Times New Roman"/>
          <w:sz w:val="20"/>
          <w:szCs w:val="20"/>
          <w:lang w:val="en-US"/>
        </w:rPr>
        <w:t xml:space="preserve"> </w:t>
      </w:r>
      <w:r w:rsidRPr="00094779">
        <w:rPr>
          <w:rFonts w:ascii="Times New Roman" w:eastAsia="TimesNewRomanPSMT" w:hAnsi="Times New Roman" w:cs="Times New Roman"/>
          <w:sz w:val="20"/>
          <w:szCs w:val="20"/>
        </w:rPr>
        <w:t>Р</w:t>
      </w:r>
      <w:r w:rsidRPr="00094779">
        <w:rPr>
          <w:rFonts w:ascii="Times New Roman" w:eastAsia="TimesNewRomanPSMT" w:hAnsi="Times New Roman" w:cs="Times New Roman"/>
          <w:sz w:val="20"/>
          <w:szCs w:val="20"/>
          <w:lang w:val="en-US"/>
        </w:rPr>
        <w:t xml:space="preserve"> = 0</w:t>
      </w:r>
      <w:r w:rsidR="00794689">
        <w:rPr>
          <w:rFonts w:ascii="Times New Roman" w:eastAsia="TimesNewRomanPSMT" w:hAnsi="Times New Roman" w:cs="Times New Roman"/>
          <w:sz w:val="20"/>
          <w:szCs w:val="20"/>
          <w:lang w:val="en-US"/>
        </w:rPr>
        <w:t>.</w:t>
      </w:r>
      <w:r w:rsidRPr="00094779">
        <w:rPr>
          <w:rFonts w:ascii="Times New Roman" w:eastAsia="TimesNewRomanPSMT" w:hAnsi="Times New Roman" w:cs="Times New Roman"/>
          <w:sz w:val="20"/>
          <w:szCs w:val="20"/>
          <w:lang w:val="en-US"/>
        </w:rPr>
        <w:t>002 and F = 8</w:t>
      </w:r>
      <w:r w:rsidR="00094779" w:rsidRPr="00094779">
        <w:rPr>
          <w:rFonts w:ascii="Times New Roman" w:eastAsia="TimesNewRomanPSMT" w:hAnsi="Times New Roman" w:cs="Times New Roman"/>
          <w:sz w:val="20"/>
          <w:szCs w:val="20"/>
          <w:lang w:val="en-US"/>
        </w:rPr>
        <w:t>.</w:t>
      </w:r>
      <w:r w:rsidRPr="00094779">
        <w:rPr>
          <w:rFonts w:ascii="Times New Roman" w:eastAsia="TimesNewRomanPSMT" w:hAnsi="Times New Roman" w:cs="Times New Roman"/>
          <w:sz w:val="20"/>
          <w:szCs w:val="20"/>
          <w:lang w:val="en-US"/>
        </w:rPr>
        <w:t>34</w:t>
      </w:r>
      <w:r w:rsidR="00094779" w:rsidRPr="00094779">
        <w:rPr>
          <w:rFonts w:ascii="Times New Roman" w:eastAsia="TimesNewRomanPSMT" w:hAnsi="Times New Roman" w:cs="Times New Roman"/>
          <w:sz w:val="20"/>
          <w:szCs w:val="20"/>
          <w:lang w:val="en-US"/>
        </w:rPr>
        <w:t>,</w:t>
      </w:r>
      <w:r w:rsidRPr="00094779">
        <w:rPr>
          <w:rFonts w:ascii="Times New Roman" w:eastAsia="TimesNewRomanPSMT" w:hAnsi="Times New Roman" w:cs="Times New Roman"/>
          <w:sz w:val="20"/>
          <w:szCs w:val="20"/>
          <w:lang w:val="en-US"/>
        </w:rPr>
        <w:t xml:space="preserve"> </w:t>
      </w:r>
      <w:r w:rsidRPr="00094779">
        <w:rPr>
          <w:rFonts w:ascii="Times New Roman" w:eastAsia="TimesNewRomanPSMT" w:hAnsi="Times New Roman" w:cs="Times New Roman"/>
          <w:sz w:val="20"/>
          <w:szCs w:val="20"/>
        </w:rPr>
        <w:t>Р</w:t>
      </w:r>
      <w:r w:rsidR="00385E96" w:rsidRPr="00094779">
        <w:rPr>
          <w:rFonts w:ascii="Times New Roman" w:eastAsia="TimesNewRomanPSMT" w:hAnsi="Times New Roman" w:cs="Times New Roman"/>
          <w:sz w:val="20"/>
          <w:szCs w:val="20"/>
          <w:lang w:val="en-US"/>
        </w:rPr>
        <w:t xml:space="preserve"> = 0</w:t>
      </w:r>
      <w:r w:rsidR="00794689">
        <w:rPr>
          <w:rFonts w:ascii="Times New Roman" w:eastAsia="TimesNewRomanPSMT" w:hAnsi="Times New Roman" w:cs="Times New Roman"/>
          <w:sz w:val="20"/>
          <w:szCs w:val="20"/>
          <w:lang w:val="en-US"/>
        </w:rPr>
        <w:t>.</w:t>
      </w:r>
      <w:r w:rsidR="00385E96" w:rsidRPr="00094779">
        <w:rPr>
          <w:rFonts w:ascii="Times New Roman" w:eastAsia="TimesNewRomanPSMT" w:hAnsi="Times New Roman" w:cs="Times New Roman"/>
          <w:sz w:val="20"/>
          <w:szCs w:val="20"/>
          <w:lang w:val="en-US"/>
        </w:rPr>
        <w:t>004 respectively),</w:t>
      </w:r>
      <w:r w:rsidRPr="00094779">
        <w:rPr>
          <w:rFonts w:ascii="Times New Roman" w:eastAsia="TimesNewRomanPSMT" w:hAnsi="Times New Roman" w:cs="Times New Roman"/>
          <w:sz w:val="20"/>
          <w:szCs w:val="20"/>
          <w:lang w:val="en-US"/>
        </w:rPr>
        <w:t xml:space="preserve"> but not sTNF-</w:t>
      </w:r>
      <w:r w:rsidRPr="00094779">
        <w:rPr>
          <w:rFonts w:ascii="Times New Roman" w:eastAsia="TimesNewRomanPSMT" w:hAnsi="Times New Roman" w:cs="Times New Roman"/>
          <w:sz w:val="20"/>
          <w:szCs w:val="20"/>
        </w:rPr>
        <w:t>α</w:t>
      </w:r>
      <w:r w:rsidRPr="00094779">
        <w:rPr>
          <w:rFonts w:ascii="Times New Roman" w:eastAsia="TimesNewRomanPSMT" w:hAnsi="Times New Roman" w:cs="Times New Roman"/>
          <w:sz w:val="20"/>
          <w:szCs w:val="20"/>
          <w:lang w:val="en-US"/>
        </w:rPr>
        <w:t>RI</w:t>
      </w:r>
      <w:r w:rsidR="00506DEB" w:rsidRPr="00094779">
        <w:rPr>
          <w:rFonts w:ascii="Times New Roman" w:eastAsia="TimesNewRomanPSMT" w:hAnsi="Times New Roman" w:cs="Times New Roman"/>
          <w:sz w:val="20"/>
          <w:szCs w:val="20"/>
          <w:lang w:val="en-US"/>
        </w:rPr>
        <w:t xml:space="preserve"> and CRP,</w:t>
      </w:r>
      <w:r w:rsidR="005B437D" w:rsidRPr="00094779">
        <w:rPr>
          <w:rFonts w:ascii="Times New Roman" w:eastAsia="TimesNewRomanPSMT" w:hAnsi="Times New Roman" w:cs="Times New Roman"/>
          <w:sz w:val="20"/>
          <w:szCs w:val="20"/>
          <w:lang w:val="en-US"/>
        </w:rPr>
        <w:t xml:space="preserve"> </w:t>
      </w:r>
      <w:r w:rsidRPr="00094779">
        <w:rPr>
          <w:rFonts w:ascii="Times New Roman" w:eastAsia="TimesNewRomanPSMT" w:hAnsi="Times New Roman" w:cs="Times New Roman"/>
          <w:sz w:val="20"/>
          <w:szCs w:val="20"/>
          <w:lang w:val="en-US"/>
        </w:rPr>
        <w:t xml:space="preserve">and the duration of hypertension is related to the </w:t>
      </w:r>
      <w:r w:rsidR="00506DEB" w:rsidRPr="00094779">
        <w:rPr>
          <w:rFonts w:ascii="Times New Roman" w:eastAsia="TimesNewRomanPSMT" w:hAnsi="Times New Roman" w:cs="Times New Roman"/>
          <w:sz w:val="20"/>
          <w:szCs w:val="20"/>
          <w:lang w:val="en-US"/>
        </w:rPr>
        <w:t>levels</w:t>
      </w:r>
      <w:r w:rsidRPr="00094779">
        <w:rPr>
          <w:rFonts w:ascii="Times New Roman" w:eastAsia="TimesNewRomanPSMT" w:hAnsi="Times New Roman" w:cs="Times New Roman"/>
          <w:sz w:val="20"/>
          <w:szCs w:val="20"/>
          <w:lang w:val="en-US"/>
        </w:rPr>
        <w:t xml:space="preserve"> of TNF-</w:t>
      </w:r>
      <w:r w:rsidRPr="00094779">
        <w:rPr>
          <w:rFonts w:ascii="Times New Roman" w:eastAsia="TimesNewRomanPSMT" w:hAnsi="Times New Roman" w:cs="Times New Roman"/>
          <w:sz w:val="20"/>
          <w:szCs w:val="20"/>
        </w:rPr>
        <w:t>α</w:t>
      </w:r>
      <w:r w:rsidR="005B437D" w:rsidRPr="00094779">
        <w:rPr>
          <w:rFonts w:ascii="Times New Roman" w:eastAsia="TimesNewRomanPSMT" w:hAnsi="Times New Roman" w:cs="Times New Roman"/>
          <w:sz w:val="20"/>
          <w:szCs w:val="20"/>
          <w:lang w:val="en-US"/>
        </w:rPr>
        <w:t>,</w:t>
      </w:r>
      <w:r w:rsidRPr="00094779">
        <w:rPr>
          <w:rFonts w:ascii="Times New Roman" w:eastAsia="TimesNewRomanPSMT" w:hAnsi="Times New Roman" w:cs="Times New Roman"/>
          <w:sz w:val="20"/>
          <w:szCs w:val="20"/>
          <w:lang w:val="en-US"/>
        </w:rPr>
        <w:t xml:space="preserve"> sTNF-</w:t>
      </w:r>
      <w:r w:rsidRPr="00094779">
        <w:rPr>
          <w:rFonts w:ascii="Times New Roman" w:eastAsia="TimesNewRomanPSMT" w:hAnsi="Times New Roman" w:cs="Times New Roman"/>
          <w:sz w:val="20"/>
          <w:szCs w:val="20"/>
        </w:rPr>
        <w:t>α</w:t>
      </w:r>
      <w:r w:rsidRPr="00094779">
        <w:rPr>
          <w:rFonts w:ascii="Times New Roman" w:eastAsia="TimesNewRomanPSMT" w:hAnsi="Times New Roman" w:cs="Times New Roman"/>
          <w:sz w:val="20"/>
          <w:szCs w:val="20"/>
          <w:lang w:val="en-US"/>
        </w:rPr>
        <w:t xml:space="preserve">RI </w:t>
      </w:r>
      <w:r w:rsidR="00506DEB" w:rsidRPr="00094779">
        <w:rPr>
          <w:rFonts w:ascii="Times New Roman" w:eastAsia="TimesNewRomanPSMT" w:hAnsi="Times New Roman" w:cs="Times New Roman"/>
          <w:sz w:val="20"/>
          <w:szCs w:val="20"/>
          <w:lang w:val="en-US"/>
        </w:rPr>
        <w:t>and CRP</w:t>
      </w:r>
      <w:r w:rsidR="005B437D" w:rsidRPr="00094779">
        <w:rPr>
          <w:rFonts w:ascii="Times New Roman" w:eastAsia="TimesNewRomanPSMT" w:hAnsi="Times New Roman" w:cs="Times New Roman"/>
          <w:sz w:val="20"/>
          <w:szCs w:val="20"/>
          <w:lang w:val="en-US"/>
        </w:rPr>
        <w:t xml:space="preserve"> </w:t>
      </w:r>
      <w:r w:rsidRPr="00094779">
        <w:rPr>
          <w:rFonts w:ascii="Times New Roman" w:eastAsia="TimesNewRomanPSMT" w:hAnsi="Times New Roman" w:cs="Times New Roman"/>
          <w:sz w:val="20"/>
          <w:szCs w:val="20"/>
          <w:lang w:val="en-US"/>
        </w:rPr>
        <w:t>(F = 6</w:t>
      </w:r>
      <w:r w:rsidR="00094779" w:rsidRPr="00094779">
        <w:rPr>
          <w:rFonts w:ascii="Times New Roman" w:eastAsia="TimesNewRomanPSMT" w:hAnsi="Times New Roman" w:cs="Times New Roman"/>
          <w:sz w:val="20"/>
          <w:szCs w:val="20"/>
          <w:lang w:val="en-US"/>
        </w:rPr>
        <w:t>.</w:t>
      </w:r>
      <w:r w:rsidRPr="00094779">
        <w:rPr>
          <w:rFonts w:ascii="Times New Roman" w:eastAsia="TimesNewRomanPSMT" w:hAnsi="Times New Roman" w:cs="Times New Roman"/>
          <w:sz w:val="20"/>
          <w:szCs w:val="20"/>
          <w:lang w:val="en-US"/>
        </w:rPr>
        <w:t>72</w:t>
      </w:r>
      <w:r w:rsidR="00094779" w:rsidRPr="00094779">
        <w:rPr>
          <w:rFonts w:ascii="Times New Roman" w:eastAsia="TimesNewRomanPSMT" w:hAnsi="Times New Roman" w:cs="Times New Roman"/>
          <w:sz w:val="20"/>
          <w:szCs w:val="20"/>
          <w:lang w:val="en-US"/>
        </w:rPr>
        <w:t xml:space="preserve">, </w:t>
      </w:r>
      <w:r w:rsidRPr="00094779">
        <w:rPr>
          <w:rFonts w:ascii="Times New Roman" w:eastAsia="TimesNewRomanPSMT" w:hAnsi="Times New Roman" w:cs="Times New Roman"/>
          <w:sz w:val="20"/>
          <w:szCs w:val="20"/>
        </w:rPr>
        <w:t>Р</w:t>
      </w:r>
      <w:r w:rsidRPr="00094779">
        <w:rPr>
          <w:rFonts w:ascii="Times New Roman" w:eastAsia="TimesNewRomanPSMT" w:hAnsi="Times New Roman" w:cs="Times New Roman"/>
          <w:sz w:val="20"/>
          <w:szCs w:val="20"/>
          <w:lang w:val="en-US"/>
        </w:rPr>
        <w:t xml:space="preserve"> = 0</w:t>
      </w:r>
      <w:r w:rsidR="00094779" w:rsidRPr="00094779">
        <w:rPr>
          <w:rFonts w:ascii="Times New Roman" w:eastAsia="TimesNewRomanPSMT" w:hAnsi="Times New Roman" w:cs="Times New Roman"/>
          <w:sz w:val="20"/>
          <w:szCs w:val="20"/>
          <w:lang w:val="en-US"/>
        </w:rPr>
        <w:t xml:space="preserve">.003; </w:t>
      </w:r>
      <w:r w:rsidRPr="00094779">
        <w:rPr>
          <w:rFonts w:ascii="Times New Roman" w:eastAsia="TimesNewRomanPSMT" w:hAnsi="Times New Roman" w:cs="Times New Roman"/>
          <w:sz w:val="20"/>
          <w:szCs w:val="20"/>
          <w:lang w:val="en-US"/>
        </w:rPr>
        <w:t>F = 2</w:t>
      </w:r>
      <w:r w:rsidR="00094779" w:rsidRPr="00094779">
        <w:rPr>
          <w:rFonts w:ascii="Times New Roman" w:eastAsia="TimesNewRomanPSMT" w:hAnsi="Times New Roman" w:cs="Times New Roman"/>
          <w:sz w:val="20"/>
          <w:szCs w:val="20"/>
          <w:lang w:val="en-US"/>
        </w:rPr>
        <w:t>.</w:t>
      </w:r>
      <w:r w:rsidRPr="00094779">
        <w:rPr>
          <w:rFonts w:ascii="Times New Roman" w:eastAsia="TimesNewRomanPSMT" w:hAnsi="Times New Roman" w:cs="Times New Roman"/>
          <w:sz w:val="20"/>
          <w:szCs w:val="20"/>
          <w:lang w:val="en-US"/>
        </w:rPr>
        <w:t>34</w:t>
      </w:r>
      <w:r w:rsidR="00094779" w:rsidRPr="00094779">
        <w:rPr>
          <w:rFonts w:ascii="Times New Roman" w:eastAsia="TimesNewRomanPSMT" w:hAnsi="Times New Roman" w:cs="Times New Roman"/>
          <w:sz w:val="20"/>
          <w:szCs w:val="20"/>
          <w:lang w:val="en-US"/>
        </w:rPr>
        <w:t>,</w:t>
      </w:r>
      <w:r w:rsidRPr="00094779">
        <w:rPr>
          <w:rFonts w:ascii="Times New Roman" w:eastAsia="TimesNewRomanPSMT" w:hAnsi="Times New Roman" w:cs="Times New Roman"/>
          <w:sz w:val="20"/>
          <w:szCs w:val="20"/>
          <w:lang w:val="en-US"/>
        </w:rPr>
        <w:t xml:space="preserve"> </w:t>
      </w:r>
      <w:r w:rsidRPr="00094779">
        <w:rPr>
          <w:rFonts w:ascii="Times New Roman" w:eastAsia="TimesNewRomanPSMT" w:hAnsi="Times New Roman" w:cs="Times New Roman"/>
          <w:sz w:val="20"/>
          <w:szCs w:val="20"/>
        </w:rPr>
        <w:t>Р</w:t>
      </w:r>
      <w:r w:rsidRPr="00094779">
        <w:rPr>
          <w:rFonts w:ascii="Times New Roman" w:eastAsia="TimesNewRomanPSMT" w:hAnsi="Times New Roman" w:cs="Times New Roman"/>
          <w:sz w:val="20"/>
          <w:szCs w:val="20"/>
          <w:lang w:val="en-US"/>
        </w:rPr>
        <w:t xml:space="preserve"> = 0</w:t>
      </w:r>
      <w:r w:rsidR="00D82975" w:rsidRPr="00094779">
        <w:rPr>
          <w:rFonts w:ascii="Times New Roman" w:eastAsia="TimesNewRomanPSMT" w:hAnsi="Times New Roman" w:cs="Times New Roman"/>
          <w:sz w:val="20"/>
          <w:szCs w:val="20"/>
          <w:lang w:val="en-US"/>
        </w:rPr>
        <w:t>.</w:t>
      </w:r>
      <w:r w:rsidRPr="00094779">
        <w:rPr>
          <w:rFonts w:ascii="Times New Roman" w:eastAsia="TimesNewRomanPSMT" w:hAnsi="Times New Roman" w:cs="Times New Roman"/>
          <w:sz w:val="20"/>
          <w:szCs w:val="20"/>
          <w:lang w:val="en-US"/>
        </w:rPr>
        <w:t>006</w:t>
      </w:r>
      <w:r w:rsidR="00D82975" w:rsidRPr="00094779">
        <w:rPr>
          <w:rFonts w:ascii="Times New Roman" w:eastAsia="TimesNewRomanPSMT" w:hAnsi="Times New Roman" w:cs="Times New Roman"/>
          <w:sz w:val="20"/>
          <w:szCs w:val="20"/>
          <w:lang w:val="en-US"/>
        </w:rPr>
        <w:t>;</w:t>
      </w:r>
      <w:r w:rsidRPr="00094779">
        <w:rPr>
          <w:rFonts w:ascii="Times New Roman" w:eastAsia="TimesNewRomanPSMT" w:hAnsi="Times New Roman" w:cs="Times New Roman"/>
          <w:sz w:val="20"/>
          <w:szCs w:val="20"/>
          <w:lang w:val="en-US"/>
        </w:rPr>
        <w:t xml:space="preserve"> </w:t>
      </w:r>
      <w:r w:rsidR="002B63BD" w:rsidRPr="00094779">
        <w:rPr>
          <w:rFonts w:ascii="Times New Roman" w:eastAsia="TimesNewRomanPSMT" w:hAnsi="Times New Roman" w:cs="Times New Roman"/>
          <w:sz w:val="20"/>
          <w:szCs w:val="20"/>
          <w:lang w:val="en-US"/>
        </w:rPr>
        <w:t>F = 9.96</w:t>
      </w:r>
      <w:r w:rsidR="00094779" w:rsidRPr="00094779">
        <w:rPr>
          <w:rFonts w:ascii="Times New Roman" w:eastAsia="TimesNewRomanPSMT" w:hAnsi="Times New Roman" w:cs="Times New Roman"/>
          <w:sz w:val="20"/>
          <w:szCs w:val="20"/>
          <w:lang w:val="en-US"/>
        </w:rPr>
        <w:t>,</w:t>
      </w:r>
      <w:r w:rsidR="002B63BD" w:rsidRPr="00094779">
        <w:rPr>
          <w:rFonts w:ascii="Times New Roman" w:eastAsia="TimesNewRomanPSMT" w:hAnsi="Times New Roman" w:cs="Times New Roman"/>
          <w:sz w:val="20"/>
          <w:szCs w:val="20"/>
          <w:lang w:val="en-US"/>
        </w:rPr>
        <w:t xml:space="preserve"> P = 0.002</w:t>
      </w:r>
      <w:r w:rsidR="00385E96" w:rsidRPr="00094779">
        <w:rPr>
          <w:rFonts w:ascii="Times New Roman" w:eastAsia="TimesNewRomanPSMT" w:hAnsi="Times New Roman" w:cs="Times New Roman"/>
          <w:sz w:val="20"/>
          <w:szCs w:val="20"/>
          <w:lang w:val="en-US"/>
        </w:rPr>
        <w:t xml:space="preserve"> </w:t>
      </w:r>
      <w:r w:rsidRPr="00094779">
        <w:rPr>
          <w:rFonts w:ascii="Times New Roman" w:eastAsia="TimesNewRomanPSMT" w:hAnsi="Times New Roman" w:cs="Times New Roman"/>
          <w:sz w:val="20"/>
          <w:szCs w:val="20"/>
          <w:lang w:val="en-US"/>
        </w:rPr>
        <w:t xml:space="preserve">respectively), with no effect on the level of </w:t>
      </w:r>
      <w:r w:rsidR="00D35E73" w:rsidRPr="00D35E73">
        <w:rPr>
          <w:rFonts w:ascii="Times New Roman" w:eastAsia="TimesNewRomanPSMT" w:hAnsi="Times New Roman" w:cs="Times New Roman"/>
          <w:sz w:val="20"/>
          <w:szCs w:val="20"/>
          <w:lang w:val="en-US"/>
        </w:rPr>
        <w:t>8-isoprostane</w:t>
      </w:r>
      <w:r w:rsidRPr="00094779">
        <w:rPr>
          <w:rFonts w:ascii="Times New Roman" w:eastAsia="TimesNewRomanPSMT" w:hAnsi="Times New Roman" w:cs="Times New Roman"/>
          <w:sz w:val="20"/>
          <w:szCs w:val="20"/>
          <w:lang w:val="en-US"/>
        </w:rPr>
        <w:t>. Analy</w:t>
      </w:r>
      <w:r w:rsidR="00506DEB" w:rsidRPr="00094779">
        <w:rPr>
          <w:rFonts w:ascii="Times New Roman" w:eastAsia="TimesNewRomanPSMT" w:hAnsi="Times New Roman" w:cs="Times New Roman"/>
          <w:sz w:val="20"/>
          <w:szCs w:val="20"/>
          <w:lang w:val="en-US"/>
        </w:rPr>
        <w:t>sis of</w:t>
      </w:r>
      <w:r w:rsidRPr="00094779">
        <w:rPr>
          <w:rFonts w:ascii="Times New Roman" w:eastAsia="TimesNewRomanPSMT" w:hAnsi="Times New Roman" w:cs="Times New Roman"/>
          <w:sz w:val="20"/>
          <w:szCs w:val="20"/>
          <w:lang w:val="en-US"/>
        </w:rPr>
        <w:t xml:space="preserve"> the relationships between the levels of </w:t>
      </w:r>
      <w:r w:rsidR="00D35E73" w:rsidRPr="00D35E73">
        <w:rPr>
          <w:rFonts w:ascii="Times New Roman" w:eastAsia="TimesNewRomanPSMT" w:hAnsi="Times New Roman" w:cs="Times New Roman"/>
          <w:sz w:val="20"/>
          <w:szCs w:val="20"/>
          <w:lang w:val="en-US"/>
        </w:rPr>
        <w:t>8-isoprostane</w:t>
      </w:r>
      <w:r w:rsidRPr="00094779">
        <w:rPr>
          <w:rFonts w:ascii="Times New Roman" w:eastAsia="TimesNewRomanPSMT" w:hAnsi="Times New Roman" w:cs="Times New Roman"/>
          <w:sz w:val="20"/>
          <w:szCs w:val="20"/>
          <w:lang w:val="en-US"/>
        </w:rPr>
        <w:t>, TNF-</w:t>
      </w:r>
      <w:r w:rsidRPr="00094779">
        <w:rPr>
          <w:rFonts w:ascii="Times New Roman" w:eastAsia="TimesNewRomanPSMT" w:hAnsi="Times New Roman" w:cs="Times New Roman"/>
          <w:sz w:val="20"/>
          <w:szCs w:val="20"/>
        </w:rPr>
        <w:t>α</w:t>
      </w:r>
      <w:r w:rsidRPr="00094779">
        <w:rPr>
          <w:rFonts w:ascii="Times New Roman" w:eastAsia="TimesNewRomanPSMT" w:hAnsi="Times New Roman" w:cs="Times New Roman"/>
          <w:sz w:val="20"/>
          <w:szCs w:val="20"/>
          <w:lang w:val="en-US"/>
        </w:rPr>
        <w:t xml:space="preserve"> and sTNF-</w:t>
      </w:r>
      <w:r w:rsidRPr="00094779">
        <w:rPr>
          <w:rFonts w:ascii="Times New Roman" w:eastAsia="TimesNewRomanPSMT" w:hAnsi="Times New Roman" w:cs="Times New Roman"/>
          <w:sz w:val="20"/>
          <w:szCs w:val="20"/>
        </w:rPr>
        <w:t>α</w:t>
      </w:r>
      <w:r w:rsidRPr="00094779">
        <w:rPr>
          <w:rFonts w:ascii="Times New Roman" w:eastAsia="TimesNewRomanPSMT" w:hAnsi="Times New Roman" w:cs="Times New Roman"/>
          <w:sz w:val="20"/>
          <w:szCs w:val="20"/>
          <w:lang w:val="en-US"/>
        </w:rPr>
        <w:t>RI</w:t>
      </w:r>
      <w:r w:rsidR="00506DEB" w:rsidRPr="00094779">
        <w:rPr>
          <w:rFonts w:ascii="Times New Roman" w:eastAsia="TimesNewRomanPSMT" w:hAnsi="Times New Roman" w:cs="Times New Roman"/>
          <w:sz w:val="20"/>
          <w:szCs w:val="20"/>
          <w:lang w:val="en-US"/>
        </w:rPr>
        <w:t xml:space="preserve"> has shown no significant correlations.</w:t>
      </w:r>
      <w:r w:rsidR="00D35E73" w:rsidRPr="00D35E73">
        <w:rPr>
          <w:rFonts w:ascii="Times New Roman" w:eastAsia="TimesNewRomanPSMT" w:hAnsi="Times New Roman" w:cs="Times New Roman"/>
          <w:sz w:val="20"/>
          <w:szCs w:val="20"/>
          <w:lang w:val="en-US"/>
        </w:rPr>
        <w:t xml:space="preserve"> </w:t>
      </w:r>
    </w:p>
    <w:p w:rsidR="00D35E73" w:rsidRPr="0020167C" w:rsidRDefault="00D35E73" w:rsidP="00D35E73">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r w:rsidRPr="0020167C">
        <w:rPr>
          <w:rFonts w:ascii="Times New Roman" w:eastAsia="TimesNewRomanPSMT" w:hAnsi="Times New Roman" w:cs="Times New Roman"/>
          <w:sz w:val="20"/>
          <w:szCs w:val="20"/>
          <w:lang w:val="en-US"/>
        </w:rPr>
        <w:t xml:space="preserve">In the first group of patients on the background of treatment </w:t>
      </w:r>
      <w:r>
        <w:rPr>
          <w:rFonts w:ascii="Times New Roman" w:eastAsia="TimesNewRomanPSMT" w:hAnsi="Times New Roman" w:cs="Times New Roman"/>
          <w:sz w:val="20"/>
          <w:szCs w:val="20"/>
          <w:lang w:val="en-US"/>
        </w:rPr>
        <w:t>(</w:t>
      </w:r>
      <w:r w:rsidRPr="00D35E73">
        <w:rPr>
          <w:rFonts w:ascii="Times New Roman" w:eastAsia="TimesNewRomanPSMT" w:hAnsi="Times New Roman" w:cs="Times New Roman"/>
          <w:sz w:val="20"/>
          <w:szCs w:val="20"/>
          <w:lang w:val="en-US"/>
        </w:rPr>
        <w:t>Table 4</w:t>
      </w:r>
      <w:r>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with bisoprolol and indapamide, the mean levels of TNF-</w:t>
      </w:r>
      <w:r w:rsidRPr="0020167C">
        <w:rPr>
          <w:rFonts w:ascii="Times New Roman" w:eastAsia="TimesNewRomanPSMT" w:hAnsi="Times New Roman" w:cs="Times New Roman"/>
          <w:sz w:val="20"/>
          <w:szCs w:val="20"/>
        </w:rPr>
        <w:t>α</w:t>
      </w:r>
      <w:r w:rsidRPr="0020167C">
        <w:rPr>
          <w:rFonts w:ascii="Times New Roman" w:eastAsia="TimesNewRomanPSMT" w:hAnsi="Times New Roman" w:cs="Times New Roman"/>
          <w:sz w:val="20"/>
          <w:szCs w:val="20"/>
          <w:lang w:val="en-US"/>
        </w:rPr>
        <w:t xml:space="preserve"> significantly decreased to </w:t>
      </w:r>
      <w:r>
        <w:rPr>
          <w:rFonts w:ascii="Times New Roman" w:eastAsia="TimesNewRomanPSMT" w:hAnsi="Times New Roman" w:cs="Times New Roman"/>
          <w:sz w:val="20"/>
          <w:szCs w:val="20"/>
          <w:lang w:val="en-US"/>
        </w:rPr>
        <w:t>70.</w:t>
      </w:r>
      <w:r w:rsidR="00983FDC">
        <w:rPr>
          <w:rFonts w:ascii="Times New Roman" w:eastAsia="TimesNewRomanPSMT" w:hAnsi="Times New Roman" w:cs="Times New Roman"/>
          <w:sz w:val="20"/>
          <w:szCs w:val="20"/>
          <w:lang w:val="en-US"/>
        </w:rPr>
        <w:t>2</w:t>
      </w:r>
      <w:r>
        <w:rPr>
          <w:rFonts w:ascii="Times New Roman" w:eastAsia="TimesNewRomanPSMT" w:hAnsi="Times New Roman" w:cs="Times New Roman"/>
          <w:sz w:val="20"/>
          <w:szCs w:val="20"/>
          <w:lang w:val="en-US"/>
        </w:rPr>
        <w:t xml:space="preserve"> pg/</w:t>
      </w:r>
      <w:r w:rsidRPr="0020167C">
        <w:rPr>
          <w:rFonts w:ascii="Times New Roman" w:eastAsia="TimesNewRomanPSMT" w:hAnsi="Times New Roman" w:cs="Times New Roman"/>
          <w:sz w:val="20"/>
          <w:szCs w:val="20"/>
          <w:lang w:val="en-US"/>
        </w:rPr>
        <w:t>m</w:t>
      </w:r>
      <w:r>
        <w:rPr>
          <w:rFonts w:ascii="Times New Roman" w:eastAsia="TimesNewRomanPSMT" w:hAnsi="Times New Roman" w:cs="Times New Roman"/>
          <w:sz w:val="20"/>
          <w:szCs w:val="20"/>
          <w:lang w:val="en-US"/>
        </w:rPr>
        <w:t>L</w:t>
      </w:r>
      <w:r w:rsidRPr="0020167C">
        <w:rPr>
          <w:rFonts w:ascii="Times New Roman" w:eastAsia="TimesNewRomanPSMT" w:hAnsi="Times New Roman" w:cs="Times New Roman"/>
          <w:sz w:val="20"/>
          <w:szCs w:val="20"/>
          <w:lang w:val="en-US"/>
        </w:rPr>
        <w:t xml:space="preserve"> compared to baseline before treatment, showing a 61</w:t>
      </w:r>
      <w:r w:rsidR="008C7E93">
        <w:rPr>
          <w:rFonts w:ascii="Times New Roman" w:eastAsia="TimesNewRomanPSMT" w:hAnsi="Times New Roman" w:cs="Times New Roman"/>
          <w:sz w:val="20"/>
          <w:szCs w:val="20"/>
          <w:lang w:val="en-US"/>
        </w:rPr>
        <w:t>.</w:t>
      </w:r>
      <w:r w:rsidR="00170B26">
        <w:rPr>
          <w:rFonts w:ascii="Times New Roman" w:eastAsia="TimesNewRomanPSMT" w:hAnsi="Times New Roman" w:cs="Times New Roman"/>
          <w:sz w:val="20"/>
          <w:szCs w:val="20"/>
          <w:lang w:val="en-US"/>
        </w:rPr>
        <w:t>0</w:t>
      </w:r>
      <w:r w:rsidRPr="0020167C">
        <w:rPr>
          <w:rFonts w:ascii="Times New Roman" w:eastAsia="TimesNewRomanPSMT" w:hAnsi="Times New Roman" w:cs="Times New Roman"/>
          <w:sz w:val="20"/>
          <w:szCs w:val="20"/>
          <w:lang w:val="en-US"/>
        </w:rPr>
        <w:t>% reduction. The mean levels of soluble sTNF-</w:t>
      </w:r>
      <w:r w:rsidRPr="0020167C">
        <w:rPr>
          <w:rFonts w:ascii="Times New Roman" w:eastAsia="TimesNewRomanPSMT" w:hAnsi="Times New Roman" w:cs="Times New Roman"/>
          <w:sz w:val="20"/>
          <w:szCs w:val="20"/>
        </w:rPr>
        <w:t>α</w:t>
      </w:r>
      <w:r w:rsidRPr="0020167C">
        <w:rPr>
          <w:rFonts w:ascii="Times New Roman" w:eastAsia="TimesNewRomanPSMT" w:hAnsi="Times New Roman" w:cs="Times New Roman"/>
          <w:sz w:val="20"/>
          <w:szCs w:val="20"/>
          <w:lang w:val="en-US"/>
        </w:rPr>
        <w:t>RI, which is a natural inhibitor of TNF-</w:t>
      </w:r>
      <w:r w:rsidRPr="0020167C">
        <w:rPr>
          <w:rFonts w:ascii="Times New Roman" w:eastAsia="TimesNewRomanPSMT" w:hAnsi="Times New Roman" w:cs="Times New Roman"/>
          <w:sz w:val="20"/>
          <w:szCs w:val="20"/>
        </w:rPr>
        <w:t>α</w:t>
      </w:r>
      <w:r>
        <w:rPr>
          <w:rFonts w:ascii="Times New Roman" w:eastAsia="TimesNewRomanPSMT" w:hAnsi="Times New Roman" w:cs="Times New Roman"/>
          <w:sz w:val="20"/>
          <w:szCs w:val="20"/>
          <w:lang w:val="en-US"/>
        </w:rPr>
        <w:t xml:space="preserve">, increased </w:t>
      </w:r>
      <w:r w:rsidRPr="0020167C">
        <w:rPr>
          <w:rFonts w:ascii="Times New Roman" w:eastAsia="TimesNewRomanPSMT" w:hAnsi="Times New Roman" w:cs="Times New Roman"/>
          <w:sz w:val="20"/>
          <w:szCs w:val="20"/>
          <w:lang w:val="en-US"/>
        </w:rPr>
        <w:t>to</w:t>
      </w:r>
      <w:r>
        <w:rPr>
          <w:rFonts w:ascii="Times New Roman" w:eastAsia="TimesNewRomanPSMT" w:hAnsi="Times New Roman" w:cs="Times New Roman"/>
          <w:sz w:val="20"/>
          <w:szCs w:val="20"/>
          <w:lang w:val="en-US"/>
        </w:rPr>
        <w:t xml:space="preserve"> 0.24 ng/</w:t>
      </w:r>
      <w:r w:rsidRPr="0020167C">
        <w:rPr>
          <w:rFonts w:ascii="Times New Roman" w:eastAsia="TimesNewRomanPSMT" w:hAnsi="Times New Roman" w:cs="Times New Roman"/>
          <w:sz w:val="20"/>
          <w:szCs w:val="20"/>
          <w:lang w:val="en-US"/>
        </w:rPr>
        <w:t>m</w:t>
      </w:r>
      <w:r>
        <w:rPr>
          <w:rFonts w:ascii="Times New Roman" w:eastAsia="TimesNewRomanPSMT" w:hAnsi="Times New Roman" w:cs="Times New Roman"/>
          <w:sz w:val="20"/>
          <w:szCs w:val="20"/>
          <w:lang w:val="en-US"/>
        </w:rPr>
        <w:t>L</w:t>
      </w:r>
      <w:r w:rsidRPr="0020167C">
        <w:rPr>
          <w:rFonts w:ascii="Times New Roman" w:eastAsia="TimesNewRomanPSMT" w:hAnsi="Times New Roman" w:cs="Times New Roman"/>
          <w:sz w:val="20"/>
          <w:szCs w:val="20"/>
          <w:lang w:val="en-US"/>
        </w:rPr>
        <w:t xml:space="preserve"> (11</w:t>
      </w:r>
      <w:r w:rsidR="00983FDC">
        <w:rPr>
          <w:rFonts w:ascii="Times New Roman" w:eastAsia="TimesNewRomanPSMT" w:hAnsi="Times New Roman" w:cs="Times New Roman"/>
          <w:sz w:val="20"/>
          <w:szCs w:val="20"/>
          <w:lang w:val="en-US"/>
        </w:rPr>
        <w:t>.1</w:t>
      </w:r>
      <w:r w:rsidRPr="0020167C">
        <w:rPr>
          <w:rFonts w:ascii="Times New Roman" w:eastAsia="TimesNewRomanPSMT" w:hAnsi="Times New Roman" w:cs="Times New Roman"/>
          <w:sz w:val="20"/>
          <w:szCs w:val="20"/>
          <w:lang w:val="en-US"/>
        </w:rPr>
        <w:t>%) as a result of treatment. A significant decrease in the ratio of TNF-</w:t>
      </w:r>
      <w:r w:rsidRPr="0020167C">
        <w:rPr>
          <w:rFonts w:ascii="Times New Roman" w:eastAsia="TimesNewRomanPSMT" w:hAnsi="Times New Roman" w:cs="Times New Roman"/>
          <w:sz w:val="20"/>
          <w:szCs w:val="20"/>
        </w:rPr>
        <w:t>α</w:t>
      </w:r>
      <w:r>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sTNF-</w:t>
      </w:r>
      <w:r w:rsidRPr="0020167C">
        <w:rPr>
          <w:rFonts w:ascii="Times New Roman" w:eastAsia="TimesNewRomanPSMT" w:hAnsi="Times New Roman" w:cs="Times New Roman"/>
          <w:sz w:val="20"/>
          <w:szCs w:val="20"/>
        </w:rPr>
        <w:t>α</w:t>
      </w:r>
      <w:r>
        <w:rPr>
          <w:rFonts w:ascii="Times New Roman" w:eastAsia="TimesNewRomanPSMT" w:hAnsi="Times New Roman" w:cs="Times New Roman"/>
          <w:sz w:val="20"/>
          <w:szCs w:val="20"/>
          <w:lang w:val="en-US"/>
        </w:rPr>
        <w:t>RI at 34.</w:t>
      </w:r>
      <w:r w:rsidR="00FF76BC">
        <w:rPr>
          <w:rFonts w:ascii="Times New Roman" w:eastAsia="TimesNewRomanPSMT" w:hAnsi="Times New Roman" w:cs="Times New Roman"/>
          <w:sz w:val="20"/>
          <w:szCs w:val="20"/>
          <w:lang w:val="en-US"/>
        </w:rPr>
        <w:t>4</w:t>
      </w:r>
      <w:r>
        <w:rPr>
          <w:rFonts w:ascii="Times New Roman" w:eastAsia="TimesNewRomanPSMT" w:hAnsi="Times New Roman" w:cs="Times New Roman"/>
          <w:sz w:val="20"/>
          <w:szCs w:val="20"/>
          <w:lang w:val="en-US"/>
        </w:rPr>
        <w:t xml:space="preserve"> (6</w:t>
      </w:r>
      <w:r w:rsidR="00FF76BC">
        <w:rPr>
          <w:rFonts w:ascii="Times New Roman" w:eastAsia="TimesNewRomanPSMT" w:hAnsi="Times New Roman" w:cs="Times New Roman"/>
          <w:sz w:val="20"/>
          <w:szCs w:val="20"/>
          <w:lang w:val="en-US"/>
        </w:rPr>
        <w:t>4.9</w:t>
      </w:r>
      <w:r w:rsidRPr="0020167C">
        <w:rPr>
          <w:rFonts w:ascii="Times New Roman" w:eastAsia="TimesNewRomanPSMT" w:hAnsi="Times New Roman" w:cs="Times New Roman"/>
          <w:sz w:val="20"/>
          <w:szCs w:val="20"/>
          <w:lang w:val="en-US"/>
        </w:rPr>
        <w:t>%) indicated a predominant increase in the level of sTNF-</w:t>
      </w:r>
      <w:r w:rsidRPr="0020167C">
        <w:rPr>
          <w:rFonts w:ascii="Times New Roman" w:eastAsia="TimesNewRomanPSMT" w:hAnsi="Times New Roman" w:cs="Times New Roman"/>
          <w:sz w:val="20"/>
          <w:szCs w:val="20"/>
        </w:rPr>
        <w:t>α</w:t>
      </w:r>
      <w:r w:rsidRPr="0020167C">
        <w:rPr>
          <w:rFonts w:ascii="Times New Roman" w:eastAsia="TimesNewRomanPSMT" w:hAnsi="Times New Roman" w:cs="Times New Roman"/>
          <w:sz w:val="20"/>
          <w:szCs w:val="20"/>
          <w:lang w:val="en-US"/>
        </w:rPr>
        <w:t>RI along with a decrease in TNF-</w:t>
      </w:r>
      <w:r w:rsidRPr="0020167C">
        <w:rPr>
          <w:rFonts w:ascii="Times New Roman" w:eastAsia="TimesNewRomanPSMT" w:hAnsi="Times New Roman" w:cs="Times New Roman"/>
          <w:sz w:val="20"/>
          <w:szCs w:val="20"/>
        </w:rPr>
        <w:t>α</w:t>
      </w:r>
      <w:r w:rsidRPr="0020167C">
        <w:rPr>
          <w:rFonts w:ascii="Times New Roman" w:eastAsia="TimesNewRomanPSMT" w:hAnsi="Times New Roman" w:cs="Times New Roman"/>
          <w:sz w:val="20"/>
          <w:szCs w:val="20"/>
          <w:lang w:val="en-US"/>
        </w:rPr>
        <w:t>. Since soluble forms of receptors act as natural antagonists of TNF-</w:t>
      </w:r>
      <w:r w:rsidRPr="0020167C">
        <w:rPr>
          <w:rFonts w:ascii="Times New Roman" w:eastAsia="TimesNewRomanPSMT" w:hAnsi="Times New Roman" w:cs="Times New Roman"/>
          <w:sz w:val="20"/>
          <w:szCs w:val="20"/>
        </w:rPr>
        <w:t>α</w:t>
      </w:r>
      <w:r w:rsidRPr="0020167C">
        <w:rPr>
          <w:rFonts w:ascii="Times New Roman" w:eastAsia="TimesNewRomanPSMT" w:hAnsi="Times New Roman" w:cs="Times New Roman"/>
          <w:sz w:val="20"/>
          <w:szCs w:val="20"/>
          <w:lang w:val="en-US"/>
        </w:rPr>
        <w:t>, a decrease in this ratio reflects suppression of autoimmune and apoptotic activity in patients as, a result of treatment.</w:t>
      </w:r>
    </w:p>
    <w:p w:rsidR="004C062C" w:rsidRPr="00856282" w:rsidRDefault="004C062C" w:rsidP="00856282">
      <w:pPr>
        <w:autoSpaceDE w:val="0"/>
        <w:autoSpaceDN w:val="0"/>
        <w:adjustRightInd w:val="0"/>
        <w:spacing w:after="0" w:line="240" w:lineRule="auto"/>
        <w:ind w:left="0"/>
        <w:rPr>
          <w:rFonts w:ascii="Times New Roman" w:eastAsia="TimesNewRomanPSMT" w:hAnsi="Times New Roman" w:cs="Times New Roman"/>
          <w:sz w:val="20"/>
          <w:szCs w:val="20"/>
          <w:lang w:val="en-US"/>
        </w:rPr>
      </w:pPr>
    </w:p>
    <w:p w:rsidR="004933FC" w:rsidRPr="0020167C" w:rsidRDefault="008C7E93" w:rsidP="004933FC">
      <w:pPr>
        <w:autoSpaceDE w:val="0"/>
        <w:autoSpaceDN w:val="0"/>
        <w:adjustRightInd w:val="0"/>
        <w:spacing w:after="0" w:line="240" w:lineRule="auto"/>
        <w:ind w:left="0" w:firstLine="0"/>
        <w:jc w:val="right"/>
        <w:rPr>
          <w:rFonts w:ascii="Times New Roman" w:eastAsia="TimesNewRomanPSMT" w:hAnsi="Times New Roman" w:cs="Times New Roman"/>
          <w:b/>
          <w:sz w:val="20"/>
          <w:szCs w:val="20"/>
          <w:lang w:val="en-US"/>
        </w:rPr>
      </w:pPr>
      <w:r>
        <w:rPr>
          <w:rFonts w:ascii="Times New Roman" w:eastAsia="TimesNewRomanPSMT" w:hAnsi="Times New Roman" w:cs="Times New Roman"/>
          <w:b/>
          <w:sz w:val="20"/>
          <w:szCs w:val="20"/>
          <w:lang w:val="en-US"/>
        </w:rPr>
        <w:t>Table 4</w:t>
      </w:r>
      <w:r w:rsidR="004933FC" w:rsidRPr="0020167C">
        <w:rPr>
          <w:rFonts w:ascii="Times New Roman" w:eastAsia="TimesNewRomanPSMT" w:hAnsi="Times New Roman" w:cs="Times New Roman"/>
          <w:b/>
          <w:sz w:val="20"/>
          <w:szCs w:val="20"/>
          <w:lang w:val="en-US"/>
        </w:rPr>
        <w:t xml:space="preserve"> </w:t>
      </w:r>
    </w:p>
    <w:p w:rsidR="009C3C8C" w:rsidRPr="00016256" w:rsidRDefault="004933FC" w:rsidP="00AA1EAF">
      <w:pPr>
        <w:pBdr>
          <w:between w:val="single" w:sz="4" w:space="1" w:color="auto"/>
        </w:pBdr>
        <w:autoSpaceDE w:val="0"/>
        <w:autoSpaceDN w:val="0"/>
        <w:adjustRightInd w:val="0"/>
        <w:spacing w:after="0" w:line="240" w:lineRule="auto"/>
        <w:ind w:left="0" w:firstLine="0"/>
        <w:rPr>
          <w:rFonts w:ascii="Times New Roman" w:eastAsia="TimesNewRomanPSMT" w:hAnsi="Times New Roman" w:cs="Times New Roman"/>
          <w:b/>
          <w:sz w:val="20"/>
          <w:szCs w:val="20"/>
          <w:lang w:val="en-US"/>
        </w:rPr>
      </w:pPr>
      <w:r w:rsidRPr="0020167C">
        <w:rPr>
          <w:rFonts w:ascii="Times New Roman" w:eastAsia="TimesNewRomanPSMT" w:hAnsi="Times New Roman" w:cs="Times New Roman"/>
          <w:b/>
          <w:sz w:val="20"/>
          <w:szCs w:val="20"/>
          <w:lang w:val="en-US"/>
        </w:rPr>
        <w:t>Dynamics of the cytokines, CRP and 8-isoprostane in the course of combined antihypertensive therapy in the observed patients</w:t>
      </w:r>
      <w:r w:rsidR="00620D9A" w:rsidRPr="00620D9A">
        <w:rPr>
          <w:rFonts w:ascii="Times New Roman" w:eastAsia="TimesNewRomanPSMT" w:hAnsi="Times New Roman" w:cs="Times New Roman"/>
          <w:b/>
          <w:sz w:val="20"/>
          <w:szCs w:val="20"/>
          <w:lang w:val="en-US"/>
        </w:rPr>
        <w:t>(x ± SD)</w:t>
      </w:r>
      <w:r w:rsidR="00620D9A">
        <w:rPr>
          <w:rFonts w:ascii="Times New Roman" w:eastAsia="TimesNewRomanPSMT" w:hAnsi="Times New Roman" w:cs="Times New Roman"/>
          <w:b/>
          <w:sz w:val="20"/>
          <w:szCs w:val="20"/>
          <w:lang w:val="en-US"/>
        </w:rPr>
        <w:t xml:space="preserve"> </w:t>
      </w:r>
    </w:p>
    <w:tbl>
      <w:tblPr>
        <w:tblStyle w:val="a3"/>
        <w:tblpPr w:leftFromText="180" w:rightFromText="180" w:vertAnchor="text" w:horzAnchor="margin" w:tblpY="105"/>
        <w:tblW w:w="9747" w:type="dxa"/>
        <w:tblBorders>
          <w:left w:val="none" w:sz="0" w:space="0" w:color="auto"/>
          <w:right w:val="none" w:sz="0" w:space="0" w:color="auto"/>
          <w:insideV w:val="none" w:sz="0" w:space="0" w:color="auto"/>
        </w:tblBorders>
        <w:tblLook w:val="04A0" w:firstRow="1" w:lastRow="0" w:firstColumn="1" w:lastColumn="0" w:noHBand="0" w:noVBand="1"/>
      </w:tblPr>
      <w:tblGrid>
        <w:gridCol w:w="4077"/>
        <w:gridCol w:w="1701"/>
        <w:gridCol w:w="1985"/>
        <w:gridCol w:w="1984"/>
      </w:tblGrid>
      <w:tr w:rsidR="00D241C6" w:rsidTr="00170B26">
        <w:tc>
          <w:tcPr>
            <w:tcW w:w="4077" w:type="dxa"/>
            <w:tcBorders>
              <w:bottom w:val="single" w:sz="4" w:space="0" w:color="auto"/>
            </w:tcBorders>
          </w:tcPr>
          <w:p w:rsidR="009C3C8C" w:rsidRDefault="009C3C8C" w:rsidP="006117FB">
            <w:pPr>
              <w:autoSpaceDE w:val="0"/>
              <w:autoSpaceDN w:val="0"/>
              <w:adjustRightInd w:val="0"/>
              <w:spacing w:after="0" w:line="240" w:lineRule="auto"/>
              <w:ind w:left="0" w:firstLine="0"/>
              <w:contextualSpacing/>
              <w:rPr>
                <w:rFonts w:ascii="Times New Roman" w:eastAsia="TimesNewRomanPSMT" w:hAnsi="Times New Roman" w:cs="Times New Roman"/>
                <w:sz w:val="20"/>
                <w:szCs w:val="20"/>
                <w:lang w:val="en-US"/>
              </w:rPr>
            </w:pPr>
            <w:r w:rsidRPr="009C3C8C">
              <w:rPr>
                <w:rFonts w:ascii="Times New Roman" w:eastAsia="TimesNewRomanPSMT" w:hAnsi="Times New Roman" w:cs="Times New Roman"/>
                <w:sz w:val="20"/>
                <w:szCs w:val="20"/>
                <w:lang w:val="en-US"/>
              </w:rPr>
              <w:t>Parameter</w:t>
            </w:r>
          </w:p>
        </w:tc>
        <w:tc>
          <w:tcPr>
            <w:tcW w:w="1701" w:type="dxa"/>
            <w:tcBorders>
              <w:bottom w:val="single" w:sz="4" w:space="0" w:color="auto"/>
            </w:tcBorders>
          </w:tcPr>
          <w:p w:rsidR="009C3C8C" w:rsidRDefault="009C3C8C" w:rsidP="006117FB">
            <w:pPr>
              <w:autoSpaceDE w:val="0"/>
              <w:autoSpaceDN w:val="0"/>
              <w:adjustRightInd w:val="0"/>
              <w:spacing w:after="0" w:line="240" w:lineRule="auto"/>
              <w:ind w:left="0" w:right="-675" w:firstLine="459"/>
              <w:contextualSpacing/>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I</w:t>
            </w:r>
            <w:r w:rsidRPr="009C3C8C">
              <w:rPr>
                <w:rFonts w:ascii="Times New Roman" w:eastAsia="TimesNewRomanPSMT" w:hAnsi="Times New Roman" w:cs="Times New Roman"/>
                <w:sz w:val="20"/>
                <w:szCs w:val="20"/>
                <w:lang w:val="en-US"/>
              </w:rPr>
              <w:t xml:space="preserve"> group</w:t>
            </w:r>
          </w:p>
        </w:tc>
        <w:tc>
          <w:tcPr>
            <w:tcW w:w="1985" w:type="dxa"/>
            <w:tcBorders>
              <w:bottom w:val="single" w:sz="4" w:space="0" w:color="auto"/>
            </w:tcBorders>
          </w:tcPr>
          <w:p w:rsidR="009C3C8C" w:rsidRDefault="009C3C8C" w:rsidP="006117FB">
            <w:pPr>
              <w:autoSpaceDE w:val="0"/>
              <w:autoSpaceDN w:val="0"/>
              <w:adjustRightInd w:val="0"/>
              <w:spacing w:after="0" w:line="240" w:lineRule="auto"/>
              <w:ind w:left="459" w:firstLine="0"/>
              <w:contextualSpacing/>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II </w:t>
            </w:r>
            <w:r w:rsidRPr="009C3C8C">
              <w:rPr>
                <w:rFonts w:ascii="Times New Roman" w:eastAsia="TimesNewRomanPSMT" w:hAnsi="Times New Roman" w:cs="Times New Roman"/>
                <w:sz w:val="20"/>
                <w:szCs w:val="20"/>
                <w:lang w:val="en-US"/>
              </w:rPr>
              <w:t>group</w:t>
            </w:r>
          </w:p>
        </w:tc>
        <w:tc>
          <w:tcPr>
            <w:tcW w:w="1984" w:type="dxa"/>
            <w:tcBorders>
              <w:bottom w:val="single" w:sz="4" w:space="0" w:color="auto"/>
            </w:tcBorders>
          </w:tcPr>
          <w:p w:rsidR="009C3C8C" w:rsidRDefault="009C3C8C" w:rsidP="006117FB">
            <w:pPr>
              <w:autoSpaceDE w:val="0"/>
              <w:autoSpaceDN w:val="0"/>
              <w:adjustRightInd w:val="0"/>
              <w:spacing w:after="0" w:line="240" w:lineRule="auto"/>
              <w:ind w:left="601" w:hanging="142"/>
              <w:contextualSpacing/>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III </w:t>
            </w:r>
            <w:r w:rsidRPr="009C3C8C">
              <w:rPr>
                <w:rFonts w:ascii="Times New Roman" w:eastAsia="TimesNewRomanPSMT" w:hAnsi="Times New Roman" w:cs="Times New Roman"/>
                <w:sz w:val="20"/>
                <w:szCs w:val="20"/>
                <w:lang w:val="en-US"/>
              </w:rPr>
              <w:t>group</w:t>
            </w:r>
          </w:p>
        </w:tc>
      </w:tr>
      <w:tr w:rsidR="00D241C6" w:rsidTr="00170B26">
        <w:tc>
          <w:tcPr>
            <w:tcW w:w="4077" w:type="dxa"/>
            <w:tcBorders>
              <w:bottom w:val="nil"/>
            </w:tcBorders>
          </w:tcPr>
          <w:p w:rsidR="009C3C8C" w:rsidRDefault="00D241C6" w:rsidP="006117FB">
            <w:pPr>
              <w:autoSpaceDE w:val="0"/>
              <w:autoSpaceDN w:val="0"/>
              <w:adjustRightInd w:val="0"/>
              <w:spacing w:after="0" w:line="240" w:lineRule="auto"/>
              <w:ind w:left="0" w:firstLine="0"/>
              <w:contextualSpacing/>
              <w:rPr>
                <w:rFonts w:ascii="Times New Roman" w:eastAsia="TimesNewRomanPSMT" w:hAnsi="Times New Roman" w:cs="Times New Roman"/>
                <w:sz w:val="20"/>
                <w:szCs w:val="20"/>
                <w:lang w:val="en-US"/>
              </w:rPr>
            </w:pPr>
            <w:r w:rsidRPr="00D241C6">
              <w:rPr>
                <w:rFonts w:ascii="Times New Roman" w:eastAsia="TimesNewRomanPSMT" w:hAnsi="Times New Roman" w:cs="Times New Roman"/>
                <w:sz w:val="20"/>
                <w:szCs w:val="20"/>
                <w:lang w:val="en-US"/>
              </w:rPr>
              <w:t>TNF-α, pg/m</w:t>
            </w:r>
            <w:r>
              <w:rPr>
                <w:rFonts w:ascii="Times New Roman" w:eastAsia="TimesNewRomanPSMT" w:hAnsi="Times New Roman" w:cs="Times New Roman"/>
                <w:sz w:val="20"/>
                <w:szCs w:val="20"/>
                <w:lang w:val="en-US"/>
              </w:rPr>
              <w:t>L, p</w:t>
            </w:r>
            <w:r w:rsidRPr="00D241C6">
              <w:rPr>
                <w:rFonts w:ascii="Times New Roman" w:eastAsia="TimesNewRomanPSMT" w:hAnsi="Times New Roman" w:cs="Times New Roman"/>
                <w:sz w:val="20"/>
                <w:szCs w:val="20"/>
                <w:lang w:val="en-US"/>
              </w:rPr>
              <w:t xml:space="preserve">rior to treatment  </w:t>
            </w:r>
          </w:p>
        </w:tc>
        <w:tc>
          <w:tcPr>
            <w:tcW w:w="1701" w:type="dxa"/>
            <w:tcBorders>
              <w:bottom w:val="nil"/>
            </w:tcBorders>
          </w:tcPr>
          <w:p w:rsidR="009C3C8C" w:rsidRDefault="008C7E93" w:rsidP="008C7E93">
            <w:pPr>
              <w:autoSpaceDE w:val="0"/>
              <w:autoSpaceDN w:val="0"/>
              <w:adjustRightInd w:val="0"/>
              <w:spacing w:after="0" w:line="240" w:lineRule="auto"/>
              <w:ind w:left="34" w:right="-250" w:hanging="34"/>
              <w:contextualSpacing/>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115 </w:t>
            </w:r>
            <w:r w:rsidR="00D241C6" w:rsidRPr="00D241C6">
              <w:rPr>
                <w:rFonts w:ascii="Times New Roman" w:eastAsia="TimesNewRomanPSMT" w:hAnsi="Times New Roman" w:cs="Times New Roman"/>
                <w:sz w:val="20"/>
                <w:szCs w:val="20"/>
                <w:lang w:val="en-US"/>
              </w:rPr>
              <w:t>±</w:t>
            </w:r>
            <w:r w:rsidR="00D241C6">
              <w:rPr>
                <w:rFonts w:ascii="Times New Roman" w:eastAsia="TimesNewRomanPSMT" w:hAnsi="Times New Roman" w:cs="Times New Roman"/>
                <w:sz w:val="20"/>
                <w:szCs w:val="20"/>
                <w:lang w:val="en-US"/>
              </w:rPr>
              <w:t xml:space="preserve"> </w:t>
            </w:r>
            <w:r>
              <w:rPr>
                <w:rFonts w:ascii="Times New Roman" w:eastAsia="TimesNewRomanPSMT" w:hAnsi="Times New Roman" w:cs="Times New Roman"/>
                <w:sz w:val="20"/>
                <w:szCs w:val="20"/>
                <w:lang w:val="en-US"/>
              </w:rPr>
              <w:t>19.6</w:t>
            </w:r>
          </w:p>
        </w:tc>
        <w:tc>
          <w:tcPr>
            <w:tcW w:w="1985" w:type="dxa"/>
            <w:tcBorders>
              <w:bottom w:val="nil"/>
            </w:tcBorders>
          </w:tcPr>
          <w:p w:rsidR="009C3C8C" w:rsidRDefault="00D241C6" w:rsidP="008C7E93">
            <w:pPr>
              <w:autoSpaceDE w:val="0"/>
              <w:autoSpaceDN w:val="0"/>
              <w:adjustRightInd w:val="0"/>
              <w:spacing w:after="0" w:line="240" w:lineRule="auto"/>
              <w:ind w:left="0" w:firstLine="0"/>
              <w:contextualSpacing/>
              <w:rPr>
                <w:rFonts w:ascii="Times New Roman" w:eastAsia="TimesNewRomanPSMT" w:hAnsi="Times New Roman" w:cs="Times New Roman"/>
                <w:sz w:val="20"/>
                <w:szCs w:val="20"/>
                <w:lang w:val="en-US"/>
              </w:rPr>
            </w:pPr>
            <w:r w:rsidRPr="00D241C6">
              <w:rPr>
                <w:rFonts w:ascii="Times New Roman" w:eastAsia="TimesNewRomanPSMT" w:hAnsi="Times New Roman" w:cs="Times New Roman"/>
                <w:sz w:val="20"/>
                <w:szCs w:val="20"/>
                <w:lang w:val="en-US"/>
              </w:rPr>
              <w:t>13</w:t>
            </w:r>
            <w:r w:rsidR="008C7E93">
              <w:rPr>
                <w:rFonts w:ascii="Times New Roman" w:eastAsia="TimesNewRomanPSMT" w:hAnsi="Times New Roman" w:cs="Times New Roman"/>
                <w:sz w:val="20"/>
                <w:szCs w:val="20"/>
                <w:lang w:val="en-US"/>
              </w:rPr>
              <w:t xml:space="preserve">3 </w:t>
            </w:r>
            <w:r w:rsidRPr="00D241C6">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w:t>
            </w:r>
            <w:r w:rsidRPr="00D241C6">
              <w:rPr>
                <w:rFonts w:ascii="Times New Roman" w:eastAsia="TimesNewRomanPSMT" w:hAnsi="Times New Roman" w:cs="Times New Roman"/>
                <w:sz w:val="20"/>
                <w:szCs w:val="20"/>
                <w:lang w:val="en-US"/>
              </w:rPr>
              <w:t>22.</w:t>
            </w:r>
            <w:r w:rsidR="008C7E93">
              <w:rPr>
                <w:rFonts w:ascii="Times New Roman" w:eastAsia="TimesNewRomanPSMT" w:hAnsi="Times New Roman" w:cs="Times New Roman"/>
                <w:sz w:val="20"/>
                <w:szCs w:val="20"/>
                <w:lang w:val="en-US"/>
              </w:rPr>
              <w:t>6</w:t>
            </w:r>
          </w:p>
        </w:tc>
        <w:tc>
          <w:tcPr>
            <w:tcW w:w="1984" w:type="dxa"/>
            <w:tcBorders>
              <w:bottom w:val="nil"/>
            </w:tcBorders>
          </w:tcPr>
          <w:p w:rsidR="009C3C8C" w:rsidRDefault="00B65584" w:rsidP="008C7E93">
            <w:pPr>
              <w:autoSpaceDE w:val="0"/>
              <w:autoSpaceDN w:val="0"/>
              <w:adjustRightInd w:val="0"/>
              <w:spacing w:after="0" w:line="240" w:lineRule="auto"/>
              <w:ind w:left="317" w:firstLine="0"/>
              <w:contextualSpacing/>
              <w:rPr>
                <w:rFonts w:ascii="Times New Roman" w:eastAsia="TimesNewRomanPSMT" w:hAnsi="Times New Roman" w:cs="Times New Roman"/>
                <w:sz w:val="20"/>
                <w:szCs w:val="20"/>
                <w:lang w:val="en-US"/>
              </w:rPr>
            </w:pPr>
            <w:r w:rsidRPr="00B65584">
              <w:rPr>
                <w:rFonts w:ascii="Times New Roman" w:eastAsia="TimesNewRomanPSMT" w:hAnsi="Times New Roman" w:cs="Times New Roman"/>
                <w:sz w:val="20"/>
                <w:szCs w:val="20"/>
                <w:lang w:val="en-US"/>
              </w:rPr>
              <w:t>78.2</w:t>
            </w:r>
            <w:r>
              <w:rPr>
                <w:rFonts w:ascii="Times New Roman" w:eastAsia="TimesNewRomanPSMT" w:hAnsi="Times New Roman" w:cs="Times New Roman"/>
                <w:sz w:val="20"/>
                <w:szCs w:val="20"/>
                <w:lang w:val="en-US"/>
              </w:rPr>
              <w:t xml:space="preserve"> </w:t>
            </w:r>
            <w:r w:rsidRPr="00B65584">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w:t>
            </w:r>
            <w:r w:rsidRPr="00B65584">
              <w:rPr>
                <w:rFonts w:ascii="Times New Roman" w:eastAsia="TimesNewRomanPSMT" w:hAnsi="Times New Roman" w:cs="Times New Roman"/>
                <w:sz w:val="20"/>
                <w:szCs w:val="20"/>
                <w:lang w:val="en-US"/>
              </w:rPr>
              <w:t>23.</w:t>
            </w:r>
            <w:r w:rsidR="008C7E93">
              <w:rPr>
                <w:rFonts w:ascii="Times New Roman" w:eastAsia="TimesNewRomanPSMT" w:hAnsi="Times New Roman" w:cs="Times New Roman"/>
                <w:sz w:val="20"/>
                <w:szCs w:val="20"/>
                <w:lang w:val="en-US"/>
              </w:rPr>
              <w:t>7</w:t>
            </w:r>
            <w:r w:rsidRPr="00B65584">
              <w:rPr>
                <w:rFonts w:ascii="Times New Roman" w:eastAsia="TimesNewRomanPSMT" w:hAnsi="Times New Roman" w:cs="Times New Roman"/>
                <w:sz w:val="20"/>
                <w:szCs w:val="20"/>
                <w:lang w:val="en-US"/>
              </w:rPr>
              <w:t xml:space="preserve">  </w:t>
            </w:r>
          </w:p>
        </w:tc>
      </w:tr>
      <w:tr w:rsidR="00B65584" w:rsidTr="00170B26">
        <w:trPr>
          <w:trHeight w:val="219"/>
        </w:trPr>
        <w:tc>
          <w:tcPr>
            <w:tcW w:w="4077" w:type="dxa"/>
            <w:tcBorders>
              <w:top w:val="nil"/>
              <w:bottom w:val="nil"/>
            </w:tcBorders>
          </w:tcPr>
          <w:p w:rsidR="00B65584" w:rsidRDefault="00B65584" w:rsidP="006117FB">
            <w:pPr>
              <w:autoSpaceDE w:val="0"/>
              <w:autoSpaceDN w:val="0"/>
              <w:adjustRightInd w:val="0"/>
              <w:spacing w:after="0" w:line="240" w:lineRule="auto"/>
              <w:ind w:left="0" w:firstLine="0"/>
              <w:contextualSpacing/>
              <w:rPr>
                <w:rFonts w:ascii="Times New Roman" w:eastAsia="TimesNewRomanPSMT" w:hAnsi="Times New Roman" w:cs="Times New Roman"/>
                <w:sz w:val="20"/>
                <w:szCs w:val="20"/>
                <w:lang w:val="en-US"/>
              </w:rPr>
            </w:pPr>
            <w:r w:rsidRPr="00D241C6">
              <w:rPr>
                <w:rFonts w:ascii="Times New Roman" w:eastAsia="TimesNewRomanPSMT" w:hAnsi="Times New Roman" w:cs="Times New Roman"/>
                <w:sz w:val="20"/>
                <w:szCs w:val="20"/>
                <w:lang w:val="en-US"/>
              </w:rPr>
              <w:t>TNF-α, pg/mL,</w:t>
            </w:r>
            <w:r>
              <w:rPr>
                <w:rFonts w:ascii="Times New Roman" w:eastAsia="TimesNewRomanPSMT" w:hAnsi="Times New Roman" w:cs="Times New Roman"/>
                <w:sz w:val="20"/>
                <w:szCs w:val="20"/>
                <w:lang w:val="en-US"/>
              </w:rPr>
              <w:t xml:space="preserve"> a</w:t>
            </w:r>
            <w:r w:rsidRPr="00D241C6">
              <w:rPr>
                <w:rFonts w:ascii="Times New Roman" w:eastAsia="TimesNewRomanPSMT" w:hAnsi="Times New Roman" w:cs="Times New Roman"/>
                <w:sz w:val="20"/>
                <w:szCs w:val="20"/>
                <w:lang w:val="en-US"/>
              </w:rPr>
              <w:t>fter 2 months treatment</w:t>
            </w:r>
          </w:p>
        </w:tc>
        <w:tc>
          <w:tcPr>
            <w:tcW w:w="1701" w:type="dxa"/>
            <w:tcBorders>
              <w:top w:val="nil"/>
              <w:bottom w:val="nil"/>
            </w:tcBorders>
          </w:tcPr>
          <w:p w:rsidR="00B65584" w:rsidRDefault="00B65584" w:rsidP="008C7E93">
            <w:pPr>
              <w:autoSpaceDE w:val="0"/>
              <w:autoSpaceDN w:val="0"/>
              <w:adjustRightInd w:val="0"/>
              <w:spacing w:after="0" w:line="240" w:lineRule="auto"/>
              <w:ind w:left="0" w:firstLine="0"/>
              <w:contextualSpacing/>
              <w:rPr>
                <w:rFonts w:ascii="Times New Roman" w:eastAsia="TimesNewRomanPSMT" w:hAnsi="Times New Roman" w:cs="Times New Roman"/>
                <w:sz w:val="20"/>
                <w:szCs w:val="20"/>
                <w:lang w:val="en-US"/>
              </w:rPr>
            </w:pPr>
            <w:r w:rsidRPr="00D241C6">
              <w:rPr>
                <w:rFonts w:ascii="Times New Roman" w:eastAsia="TimesNewRomanPSMT" w:hAnsi="Times New Roman" w:cs="Times New Roman"/>
                <w:sz w:val="20"/>
                <w:szCs w:val="20"/>
                <w:lang w:val="en-US"/>
              </w:rPr>
              <w:t>44.</w:t>
            </w:r>
            <w:r w:rsidR="008C7E93">
              <w:rPr>
                <w:rFonts w:ascii="Times New Roman" w:eastAsia="TimesNewRomanPSMT" w:hAnsi="Times New Roman" w:cs="Times New Roman"/>
                <w:sz w:val="20"/>
                <w:szCs w:val="20"/>
                <w:lang w:val="en-US"/>
              </w:rPr>
              <w:t>8</w:t>
            </w:r>
            <w:r>
              <w:rPr>
                <w:rFonts w:ascii="Times New Roman" w:eastAsia="TimesNewRomanPSMT" w:hAnsi="Times New Roman" w:cs="Times New Roman"/>
                <w:sz w:val="20"/>
                <w:szCs w:val="20"/>
                <w:lang w:val="en-US"/>
              </w:rPr>
              <w:t xml:space="preserve"> </w:t>
            </w:r>
            <w:r w:rsidRPr="00D241C6">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w:t>
            </w:r>
            <w:r w:rsidRPr="00D241C6">
              <w:rPr>
                <w:rFonts w:ascii="Times New Roman" w:eastAsia="TimesNewRomanPSMT" w:hAnsi="Times New Roman" w:cs="Times New Roman"/>
                <w:sz w:val="20"/>
                <w:szCs w:val="20"/>
                <w:lang w:val="en-US"/>
              </w:rPr>
              <w:t>8.21***</w:t>
            </w:r>
          </w:p>
        </w:tc>
        <w:tc>
          <w:tcPr>
            <w:tcW w:w="1985" w:type="dxa"/>
            <w:tcBorders>
              <w:top w:val="nil"/>
              <w:bottom w:val="nil"/>
            </w:tcBorders>
          </w:tcPr>
          <w:p w:rsidR="00B65584" w:rsidRPr="0020167C" w:rsidRDefault="00B65584" w:rsidP="008C7E93">
            <w:pPr>
              <w:autoSpaceDE w:val="0"/>
              <w:autoSpaceDN w:val="0"/>
              <w:adjustRightInd w:val="0"/>
              <w:spacing w:line="240" w:lineRule="auto"/>
              <w:ind w:left="0" w:firstLine="0"/>
              <w:contextualSpacing/>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rPr>
              <w:t>4</w:t>
            </w:r>
            <w:r w:rsidR="008C7E93">
              <w:rPr>
                <w:rFonts w:ascii="Times New Roman" w:eastAsia="TimesNewRomanPSMT" w:hAnsi="Times New Roman" w:cs="Times New Roman"/>
                <w:sz w:val="20"/>
                <w:szCs w:val="20"/>
                <w:lang w:val="en-US"/>
              </w:rPr>
              <w:t xml:space="preserve">5 </w:t>
            </w:r>
            <w:r w:rsidRPr="0020167C">
              <w:rPr>
                <w:rFonts w:ascii="Times New Roman" w:eastAsia="TimesNewRomanPSMT" w:hAnsi="Times New Roman" w:cs="Times New Roman"/>
                <w:sz w:val="20"/>
                <w:szCs w:val="20"/>
              </w:rPr>
              <w:t>±</w:t>
            </w:r>
            <w:r>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rPr>
              <w:t>5.63</w:t>
            </w:r>
            <w:r w:rsidRPr="0020167C">
              <w:rPr>
                <w:rFonts w:ascii="Times New Roman" w:eastAsia="TimesNewRomanPSMT" w:hAnsi="Times New Roman" w:cs="Times New Roman"/>
                <w:sz w:val="20"/>
                <w:szCs w:val="20"/>
                <w:lang w:val="en-US"/>
              </w:rPr>
              <w:t>***</w:t>
            </w:r>
          </w:p>
        </w:tc>
        <w:tc>
          <w:tcPr>
            <w:tcW w:w="1984" w:type="dxa"/>
            <w:tcBorders>
              <w:top w:val="nil"/>
              <w:bottom w:val="nil"/>
            </w:tcBorders>
          </w:tcPr>
          <w:p w:rsidR="00B65584" w:rsidRDefault="00B65584" w:rsidP="008C7E93">
            <w:pPr>
              <w:autoSpaceDE w:val="0"/>
              <w:autoSpaceDN w:val="0"/>
              <w:adjustRightInd w:val="0"/>
              <w:spacing w:after="0" w:line="240" w:lineRule="auto"/>
              <w:ind w:left="0" w:firstLine="0"/>
              <w:contextualSpacing/>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w:t>
            </w:r>
            <w:r w:rsidR="00512240">
              <w:rPr>
                <w:rFonts w:ascii="Times New Roman" w:eastAsia="TimesNewRomanPSMT" w:hAnsi="Times New Roman" w:cs="Times New Roman"/>
                <w:sz w:val="20"/>
                <w:szCs w:val="20"/>
                <w:lang w:val="en-US"/>
              </w:rPr>
              <w:t xml:space="preserve"> </w:t>
            </w:r>
            <w:r>
              <w:rPr>
                <w:rFonts w:ascii="Times New Roman" w:eastAsia="TimesNewRomanPSMT" w:hAnsi="Times New Roman" w:cs="Times New Roman"/>
                <w:sz w:val="20"/>
                <w:szCs w:val="20"/>
                <w:lang w:val="en-US"/>
              </w:rPr>
              <w:t xml:space="preserve"> </w:t>
            </w:r>
            <w:r w:rsidRPr="00B65584">
              <w:rPr>
                <w:rFonts w:ascii="Times New Roman" w:eastAsia="TimesNewRomanPSMT" w:hAnsi="Times New Roman" w:cs="Times New Roman"/>
                <w:sz w:val="20"/>
                <w:szCs w:val="20"/>
                <w:lang w:val="en-US"/>
              </w:rPr>
              <w:t>40.6</w:t>
            </w:r>
            <w:r>
              <w:rPr>
                <w:rFonts w:ascii="Times New Roman" w:eastAsia="TimesNewRomanPSMT" w:hAnsi="Times New Roman" w:cs="Times New Roman"/>
                <w:sz w:val="20"/>
                <w:szCs w:val="20"/>
                <w:lang w:val="en-US"/>
              </w:rPr>
              <w:t xml:space="preserve"> </w:t>
            </w:r>
            <w:r w:rsidRPr="00B65584">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w:t>
            </w:r>
            <w:r w:rsidRPr="00B65584">
              <w:rPr>
                <w:rFonts w:ascii="Times New Roman" w:eastAsia="TimesNewRomanPSMT" w:hAnsi="Times New Roman" w:cs="Times New Roman"/>
                <w:sz w:val="20"/>
                <w:szCs w:val="20"/>
                <w:lang w:val="en-US"/>
              </w:rPr>
              <w:t>15.8***</w:t>
            </w:r>
          </w:p>
        </w:tc>
      </w:tr>
      <w:tr w:rsidR="00B65584" w:rsidTr="00170B26">
        <w:trPr>
          <w:trHeight w:val="265"/>
        </w:trPr>
        <w:tc>
          <w:tcPr>
            <w:tcW w:w="4077" w:type="dxa"/>
            <w:tcBorders>
              <w:top w:val="nil"/>
              <w:bottom w:val="nil"/>
            </w:tcBorders>
          </w:tcPr>
          <w:p w:rsidR="00B65584" w:rsidRPr="00D241C6" w:rsidRDefault="00B65584" w:rsidP="006117FB">
            <w:pPr>
              <w:autoSpaceDE w:val="0"/>
              <w:autoSpaceDN w:val="0"/>
              <w:adjustRightInd w:val="0"/>
              <w:spacing w:after="0" w:line="240" w:lineRule="auto"/>
              <w:ind w:left="0" w:firstLine="0"/>
              <w:contextualSpacing/>
              <w:rPr>
                <w:rFonts w:ascii="Times New Roman" w:eastAsia="TimesNewRomanPSMT" w:hAnsi="Times New Roman" w:cs="Times New Roman"/>
                <w:sz w:val="20"/>
                <w:szCs w:val="20"/>
                <w:lang w:val="en-US"/>
              </w:rPr>
            </w:pPr>
            <w:r w:rsidRPr="00B65584">
              <w:rPr>
                <w:rFonts w:ascii="Times New Roman" w:eastAsia="TimesNewRomanPSMT" w:hAnsi="Times New Roman" w:cs="Times New Roman"/>
                <w:sz w:val="20"/>
                <w:szCs w:val="20"/>
                <w:lang w:val="en-US"/>
              </w:rPr>
              <w:t>sTNF-αRI, ng/m</w:t>
            </w:r>
            <w:r>
              <w:rPr>
                <w:rFonts w:ascii="Times New Roman" w:eastAsia="TimesNewRomanPSMT" w:hAnsi="Times New Roman" w:cs="Times New Roman"/>
                <w:sz w:val="20"/>
                <w:szCs w:val="20"/>
                <w:lang w:val="en-US"/>
              </w:rPr>
              <w:t xml:space="preserve">L, </w:t>
            </w:r>
            <w:r w:rsidRPr="00B65584">
              <w:rPr>
                <w:rFonts w:ascii="Times New Roman" w:eastAsia="TimesNewRomanPSMT" w:hAnsi="Times New Roman" w:cs="Times New Roman"/>
                <w:sz w:val="20"/>
                <w:szCs w:val="20"/>
                <w:lang w:val="en-US"/>
              </w:rPr>
              <w:t xml:space="preserve">prior to treatment  </w:t>
            </w:r>
          </w:p>
        </w:tc>
        <w:tc>
          <w:tcPr>
            <w:tcW w:w="1701" w:type="dxa"/>
            <w:tcBorders>
              <w:top w:val="nil"/>
              <w:bottom w:val="nil"/>
            </w:tcBorders>
          </w:tcPr>
          <w:p w:rsidR="00B65584" w:rsidRDefault="00B65584" w:rsidP="006117FB">
            <w:pPr>
              <w:autoSpaceDE w:val="0"/>
              <w:autoSpaceDN w:val="0"/>
              <w:adjustRightInd w:val="0"/>
              <w:spacing w:after="0" w:line="240" w:lineRule="auto"/>
              <w:ind w:left="0" w:firstLine="0"/>
              <w:contextualSpacing/>
              <w:rPr>
                <w:rFonts w:ascii="Times New Roman" w:eastAsia="TimesNewRomanPSMT" w:hAnsi="Times New Roman" w:cs="Times New Roman"/>
                <w:sz w:val="20"/>
                <w:szCs w:val="20"/>
                <w:lang w:val="en-US"/>
              </w:rPr>
            </w:pPr>
            <w:r w:rsidRPr="00B65584">
              <w:rPr>
                <w:rFonts w:ascii="Times New Roman" w:eastAsia="TimesNewRomanPSMT" w:hAnsi="Times New Roman" w:cs="Times New Roman"/>
                <w:sz w:val="20"/>
                <w:szCs w:val="20"/>
                <w:lang w:val="en-US"/>
              </w:rPr>
              <w:t>2.17</w:t>
            </w:r>
            <w:r>
              <w:rPr>
                <w:rFonts w:ascii="Times New Roman" w:eastAsia="TimesNewRomanPSMT" w:hAnsi="Times New Roman" w:cs="Times New Roman"/>
                <w:sz w:val="20"/>
                <w:szCs w:val="20"/>
                <w:lang w:val="en-US"/>
              </w:rPr>
              <w:t xml:space="preserve"> </w:t>
            </w:r>
            <w:r w:rsidRPr="00B65584">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w:t>
            </w:r>
            <w:r w:rsidRPr="00B65584">
              <w:rPr>
                <w:rFonts w:ascii="Times New Roman" w:eastAsia="TimesNewRomanPSMT" w:hAnsi="Times New Roman" w:cs="Times New Roman"/>
                <w:sz w:val="20"/>
                <w:szCs w:val="20"/>
                <w:lang w:val="en-US"/>
              </w:rPr>
              <w:t xml:space="preserve">0.12  </w:t>
            </w:r>
          </w:p>
        </w:tc>
        <w:tc>
          <w:tcPr>
            <w:tcW w:w="1985" w:type="dxa"/>
            <w:tcBorders>
              <w:top w:val="nil"/>
              <w:bottom w:val="nil"/>
            </w:tcBorders>
          </w:tcPr>
          <w:p w:rsidR="00B65584" w:rsidRDefault="002D6C70" w:rsidP="006117FB">
            <w:pPr>
              <w:autoSpaceDE w:val="0"/>
              <w:autoSpaceDN w:val="0"/>
              <w:adjustRightInd w:val="0"/>
              <w:spacing w:line="240" w:lineRule="auto"/>
              <w:ind w:left="0" w:firstLine="0"/>
              <w:contextualSpacing/>
              <w:rPr>
                <w:rFonts w:ascii="Times New Roman" w:eastAsia="TimesNewRomanPSMT" w:hAnsi="Times New Roman" w:cs="Times New Roman"/>
                <w:sz w:val="20"/>
                <w:szCs w:val="20"/>
                <w:lang w:val="en-US"/>
              </w:rPr>
            </w:pPr>
            <w:r w:rsidRPr="002D6C70">
              <w:rPr>
                <w:rFonts w:ascii="Times New Roman" w:eastAsia="TimesNewRomanPSMT" w:hAnsi="Times New Roman" w:cs="Times New Roman"/>
                <w:sz w:val="20"/>
                <w:szCs w:val="20"/>
                <w:lang w:val="en-US"/>
              </w:rPr>
              <w:t>2.10</w:t>
            </w:r>
            <w:r>
              <w:rPr>
                <w:rFonts w:ascii="Times New Roman" w:eastAsia="TimesNewRomanPSMT" w:hAnsi="Times New Roman" w:cs="Times New Roman"/>
                <w:sz w:val="20"/>
                <w:szCs w:val="20"/>
                <w:lang w:val="en-US"/>
              </w:rPr>
              <w:t xml:space="preserve"> </w:t>
            </w:r>
            <w:r w:rsidRPr="002D6C70">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0.</w:t>
            </w:r>
            <w:r w:rsidRPr="002D6C70">
              <w:rPr>
                <w:rFonts w:ascii="Times New Roman" w:eastAsia="TimesNewRomanPSMT" w:hAnsi="Times New Roman" w:cs="Times New Roman"/>
                <w:sz w:val="20"/>
                <w:szCs w:val="20"/>
                <w:lang w:val="en-US"/>
              </w:rPr>
              <w:t xml:space="preserve">16  </w:t>
            </w:r>
          </w:p>
        </w:tc>
        <w:tc>
          <w:tcPr>
            <w:tcW w:w="1984" w:type="dxa"/>
            <w:tcBorders>
              <w:top w:val="nil"/>
              <w:bottom w:val="nil"/>
            </w:tcBorders>
          </w:tcPr>
          <w:p w:rsidR="00B65584" w:rsidRDefault="00E87AE1" w:rsidP="006117FB">
            <w:pPr>
              <w:autoSpaceDE w:val="0"/>
              <w:autoSpaceDN w:val="0"/>
              <w:adjustRightInd w:val="0"/>
              <w:spacing w:after="0" w:line="240" w:lineRule="auto"/>
              <w:ind w:left="317" w:firstLine="0"/>
              <w:contextualSpacing/>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w:t>
            </w:r>
            <w:r w:rsidR="002D6C70" w:rsidRPr="002D6C70">
              <w:rPr>
                <w:rFonts w:ascii="Times New Roman" w:eastAsia="TimesNewRomanPSMT" w:hAnsi="Times New Roman" w:cs="Times New Roman"/>
                <w:sz w:val="20"/>
                <w:szCs w:val="20"/>
                <w:lang w:val="en-US"/>
              </w:rPr>
              <w:t>2.25</w:t>
            </w:r>
            <w:r w:rsidR="002D6C70">
              <w:rPr>
                <w:rFonts w:ascii="Times New Roman" w:eastAsia="TimesNewRomanPSMT" w:hAnsi="Times New Roman" w:cs="Times New Roman"/>
                <w:sz w:val="20"/>
                <w:szCs w:val="20"/>
                <w:lang w:val="en-US"/>
              </w:rPr>
              <w:t xml:space="preserve"> </w:t>
            </w:r>
            <w:r w:rsidR="002D6C70" w:rsidRPr="002D6C70">
              <w:rPr>
                <w:rFonts w:ascii="Times New Roman" w:eastAsia="TimesNewRomanPSMT" w:hAnsi="Times New Roman" w:cs="Times New Roman"/>
                <w:sz w:val="20"/>
                <w:szCs w:val="20"/>
                <w:lang w:val="en-US"/>
              </w:rPr>
              <w:t>±</w:t>
            </w:r>
            <w:r w:rsidR="002D6C70">
              <w:rPr>
                <w:rFonts w:ascii="Times New Roman" w:eastAsia="TimesNewRomanPSMT" w:hAnsi="Times New Roman" w:cs="Times New Roman"/>
                <w:sz w:val="20"/>
                <w:szCs w:val="20"/>
                <w:lang w:val="en-US"/>
              </w:rPr>
              <w:t xml:space="preserve"> </w:t>
            </w:r>
            <w:r w:rsidR="002D6C70" w:rsidRPr="002D6C70">
              <w:rPr>
                <w:rFonts w:ascii="Times New Roman" w:eastAsia="TimesNewRomanPSMT" w:hAnsi="Times New Roman" w:cs="Times New Roman"/>
                <w:sz w:val="20"/>
                <w:szCs w:val="20"/>
                <w:lang w:val="en-US"/>
              </w:rPr>
              <w:t xml:space="preserve">0.21  </w:t>
            </w:r>
          </w:p>
        </w:tc>
      </w:tr>
      <w:tr w:rsidR="00B65584" w:rsidTr="00170B26">
        <w:trPr>
          <w:trHeight w:val="269"/>
        </w:trPr>
        <w:tc>
          <w:tcPr>
            <w:tcW w:w="4077" w:type="dxa"/>
            <w:tcBorders>
              <w:top w:val="nil"/>
              <w:bottom w:val="nil"/>
            </w:tcBorders>
          </w:tcPr>
          <w:p w:rsidR="00B65584" w:rsidRPr="00D241C6" w:rsidRDefault="00B65584" w:rsidP="006117FB">
            <w:pPr>
              <w:autoSpaceDE w:val="0"/>
              <w:autoSpaceDN w:val="0"/>
              <w:adjustRightInd w:val="0"/>
              <w:spacing w:after="0" w:line="240" w:lineRule="auto"/>
              <w:ind w:left="0" w:firstLine="0"/>
              <w:contextualSpacing/>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sTNF-αRI, ng/mL,</w:t>
            </w:r>
            <w:r w:rsidRPr="00B65584">
              <w:rPr>
                <w:lang w:val="en-US"/>
              </w:rPr>
              <w:t xml:space="preserve"> </w:t>
            </w:r>
            <w:r w:rsidRPr="00B65584">
              <w:rPr>
                <w:rFonts w:ascii="Times New Roman" w:eastAsia="TimesNewRomanPSMT" w:hAnsi="Times New Roman" w:cs="Times New Roman"/>
                <w:sz w:val="20"/>
                <w:szCs w:val="20"/>
                <w:lang w:val="en-US"/>
              </w:rPr>
              <w:t>after 2 months treatment</w:t>
            </w:r>
          </w:p>
        </w:tc>
        <w:tc>
          <w:tcPr>
            <w:tcW w:w="1701" w:type="dxa"/>
            <w:tcBorders>
              <w:top w:val="nil"/>
              <w:bottom w:val="nil"/>
            </w:tcBorders>
          </w:tcPr>
          <w:p w:rsidR="00B65584" w:rsidRDefault="00B65584" w:rsidP="00E87AE1">
            <w:pPr>
              <w:autoSpaceDE w:val="0"/>
              <w:autoSpaceDN w:val="0"/>
              <w:adjustRightInd w:val="0"/>
              <w:spacing w:after="0" w:line="240" w:lineRule="auto"/>
              <w:ind w:left="0" w:firstLine="0"/>
              <w:contextualSpacing/>
              <w:rPr>
                <w:rFonts w:ascii="Times New Roman" w:eastAsia="TimesNewRomanPSMT" w:hAnsi="Times New Roman" w:cs="Times New Roman"/>
                <w:sz w:val="20"/>
                <w:szCs w:val="20"/>
                <w:lang w:val="en-US"/>
              </w:rPr>
            </w:pPr>
            <w:r w:rsidRPr="00B65584">
              <w:rPr>
                <w:rFonts w:ascii="Times New Roman" w:eastAsia="TimesNewRomanPSMT" w:hAnsi="Times New Roman" w:cs="Times New Roman"/>
                <w:sz w:val="20"/>
                <w:szCs w:val="20"/>
                <w:lang w:val="en-US"/>
              </w:rPr>
              <w:t>2.41</w:t>
            </w:r>
            <w:r>
              <w:rPr>
                <w:rFonts w:ascii="Times New Roman" w:eastAsia="TimesNewRomanPSMT" w:hAnsi="Times New Roman" w:cs="Times New Roman"/>
                <w:sz w:val="20"/>
                <w:szCs w:val="20"/>
                <w:lang w:val="en-US"/>
              </w:rPr>
              <w:t xml:space="preserve"> </w:t>
            </w:r>
            <w:r w:rsidRPr="00B65584">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w:t>
            </w:r>
            <w:r w:rsidRPr="00B65584">
              <w:rPr>
                <w:rFonts w:ascii="Times New Roman" w:eastAsia="TimesNewRomanPSMT" w:hAnsi="Times New Roman" w:cs="Times New Roman"/>
                <w:sz w:val="20"/>
                <w:szCs w:val="20"/>
                <w:lang w:val="en-US"/>
              </w:rPr>
              <w:t>0.03*</w:t>
            </w:r>
          </w:p>
        </w:tc>
        <w:tc>
          <w:tcPr>
            <w:tcW w:w="1985" w:type="dxa"/>
            <w:tcBorders>
              <w:top w:val="nil"/>
              <w:bottom w:val="nil"/>
            </w:tcBorders>
          </w:tcPr>
          <w:p w:rsidR="00B65584" w:rsidRDefault="002D6C70" w:rsidP="00873E87">
            <w:pPr>
              <w:autoSpaceDE w:val="0"/>
              <w:autoSpaceDN w:val="0"/>
              <w:adjustRightInd w:val="0"/>
              <w:spacing w:line="240" w:lineRule="auto"/>
              <w:ind w:left="0" w:firstLine="0"/>
              <w:contextualSpacing/>
              <w:rPr>
                <w:rFonts w:ascii="Times New Roman" w:eastAsia="TimesNewRomanPSMT" w:hAnsi="Times New Roman" w:cs="Times New Roman"/>
                <w:sz w:val="20"/>
                <w:szCs w:val="20"/>
                <w:lang w:val="en-US"/>
              </w:rPr>
            </w:pPr>
            <w:r w:rsidRPr="002D6C70">
              <w:rPr>
                <w:rFonts w:ascii="Times New Roman" w:eastAsia="TimesNewRomanPSMT" w:hAnsi="Times New Roman" w:cs="Times New Roman"/>
                <w:sz w:val="20"/>
                <w:szCs w:val="20"/>
                <w:lang w:val="en-US"/>
              </w:rPr>
              <w:t>2.63</w:t>
            </w:r>
            <w:r>
              <w:rPr>
                <w:rFonts w:ascii="Times New Roman" w:eastAsia="TimesNewRomanPSMT" w:hAnsi="Times New Roman" w:cs="Times New Roman"/>
                <w:sz w:val="20"/>
                <w:szCs w:val="20"/>
                <w:lang w:val="en-US"/>
              </w:rPr>
              <w:t xml:space="preserve"> </w:t>
            </w:r>
            <w:r w:rsidRPr="002D6C70">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w:t>
            </w:r>
            <w:r w:rsidRPr="002D6C70">
              <w:rPr>
                <w:rFonts w:ascii="Times New Roman" w:eastAsia="TimesNewRomanPSMT" w:hAnsi="Times New Roman" w:cs="Times New Roman"/>
                <w:sz w:val="20"/>
                <w:szCs w:val="20"/>
                <w:lang w:val="en-US"/>
              </w:rPr>
              <w:t>0.53*</w:t>
            </w:r>
          </w:p>
        </w:tc>
        <w:tc>
          <w:tcPr>
            <w:tcW w:w="1984" w:type="dxa"/>
            <w:tcBorders>
              <w:top w:val="nil"/>
              <w:bottom w:val="nil"/>
            </w:tcBorders>
          </w:tcPr>
          <w:p w:rsidR="00B65584" w:rsidRDefault="00E87AE1" w:rsidP="00E87AE1">
            <w:pPr>
              <w:autoSpaceDE w:val="0"/>
              <w:autoSpaceDN w:val="0"/>
              <w:adjustRightInd w:val="0"/>
              <w:spacing w:after="0" w:line="240" w:lineRule="auto"/>
              <w:ind w:firstLine="0"/>
              <w:contextualSpacing/>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w:t>
            </w:r>
            <w:r w:rsidR="002D6C70" w:rsidRPr="002D6C70">
              <w:rPr>
                <w:rFonts w:ascii="Times New Roman" w:eastAsia="TimesNewRomanPSMT" w:hAnsi="Times New Roman" w:cs="Times New Roman"/>
                <w:sz w:val="20"/>
                <w:szCs w:val="20"/>
                <w:lang w:val="en-US"/>
              </w:rPr>
              <w:t>2.38</w:t>
            </w:r>
            <w:r w:rsidR="002D6C70">
              <w:rPr>
                <w:rFonts w:ascii="Times New Roman" w:eastAsia="TimesNewRomanPSMT" w:hAnsi="Times New Roman" w:cs="Times New Roman"/>
                <w:sz w:val="20"/>
                <w:szCs w:val="20"/>
                <w:lang w:val="en-US"/>
              </w:rPr>
              <w:t xml:space="preserve"> </w:t>
            </w:r>
            <w:r w:rsidR="002D6C70" w:rsidRPr="002D6C70">
              <w:rPr>
                <w:rFonts w:ascii="Times New Roman" w:eastAsia="TimesNewRomanPSMT" w:hAnsi="Times New Roman" w:cs="Times New Roman"/>
                <w:sz w:val="20"/>
                <w:szCs w:val="20"/>
                <w:lang w:val="en-US"/>
              </w:rPr>
              <w:t>±</w:t>
            </w:r>
            <w:r w:rsidR="002D6C70">
              <w:rPr>
                <w:rFonts w:ascii="Times New Roman" w:eastAsia="TimesNewRomanPSMT" w:hAnsi="Times New Roman" w:cs="Times New Roman"/>
                <w:sz w:val="20"/>
                <w:szCs w:val="20"/>
                <w:lang w:val="en-US"/>
              </w:rPr>
              <w:t xml:space="preserve"> </w:t>
            </w:r>
            <w:r w:rsidR="002D6C70" w:rsidRPr="002D6C70">
              <w:rPr>
                <w:rFonts w:ascii="Times New Roman" w:eastAsia="TimesNewRomanPSMT" w:hAnsi="Times New Roman" w:cs="Times New Roman"/>
                <w:sz w:val="20"/>
                <w:szCs w:val="20"/>
                <w:lang w:val="en-US"/>
              </w:rPr>
              <w:t>0.19</w:t>
            </w:r>
          </w:p>
        </w:tc>
      </w:tr>
      <w:tr w:rsidR="006117FB" w:rsidRPr="006D6628" w:rsidTr="00170B26">
        <w:trPr>
          <w:trHeight w:val="269"/>
        </w:trPr>
        <w:tc>
          <w:tcPr>
            <w:tcW w:w="4077" w:type="dxa"/>
            <w:tcBorders>
              <w:top w:val="nil"/>
              <w:bottom w:val="nil"/>
            </w:tcBorders>
          </w:tcPr>
          <w:p w:rsidR="006117FB" w:rsidRPr="00EA2F7C" w:rsidRDefault="006117FB" w:rsidP="00B65584">
            <w:pPr>
              <w:autoSpaceDE w:val="0"/>
              <w:autoSpaceDN w:val="0"/>
              <w:adjustRightInd w:val="0"/>
              <w:spacing w:after="0" w:line="240" w:lineRule="auto"/>
              <w:ind w:left="0" w:firstLine="0"/>
              <w:contextualSpacing/>
              <w:rPr>
                <w:rFonts w:ascii="Times New Roman" w:eastAsia="TimesNewRomanPSMT" w:hAnsi="Times New Roman" w:cs="Times New Roman"/>
                <w:sz w:val="20"/>
                <w:szCs w:val="20"/>
                <w:lang w:val="en-US"/>
              </w:rPr>
            </w:pPr>
            <w:r w:rsidRPr="00EA2F7C">
              <w:rPr>
                <w:rFonts w:ascii="Times New Roman" w:eastAsia="TimesNewRomanPSMT" w:hAnsi="Times New Roman" w:cs="Times New Roman"/>
                <w:sz w:val="20"/>
                <w:szCs w:val="20"/>
                <w:lang w:val="en-US"/>
              </w:rPr>
              <w:t xml:space="preserve">TNF-α/ sTNF-αRI, prior to treatment  </w:t>
            </w:r>
          </w:p>
        </w:tc>
        <w:tc>
          <w:tcPr>
            <w:tcW w:w="1701" w:type="dxa"/>
            <w:tcBorders>
              <w:top w:val="nil"/>
              <w:bottom w:val="nil"/>
            </w:tcBorders>
          </w:tcPr>
          <w:p w:rsidR="006117FB" w:rsidRPr="00EA2F7C" w:rsidRDefault="00E87AE1" w:rsidP="006D6628">
            <w:pPr>
              <w:autoSpaceDE w:val="0"/>
              <w:autoSpaceDN w:val="0"/>
              <w:adjustRightInd w:val="0"/>
              <w:spacing w:after="0" w:line="240" w:lineRule="auto"/>
              <w:ind w:left="0" w:firstLine="0"/>
              <w:contextualSpacing/>
              <w:rPr>
                <w:rFonts w:ascii="Times New Roman" w:eastAsia="TimesNewRomanPSMT" w:hAnsi="Times New Roman" w:cs="Times New Roman"/>
                <w:sz w:val="20"/>
                <w:szCs w:val="20"/>
                <w:lang w:val="en-US"/>
              </w:rPr>
            </w:pPr>
            <w:r w:rsidRPr="00EA2F7C">
              <w:rPr>
                <w:rFonts w:ascii="Times New Roman" w:eastAsia="TimesNewRomanPSMT" w:hAnsi="Times New Roman" w:cs="Times New Roman"/>
                <w:sz w:val="20"/>
                <w:szCs w:val="20"/>
                <w:lang w:val="en-US"/>
              </w:rPr>
              <w:t xml:space="preserve">   </w:t>
            </w:r>
            <w:r w:rsidR="006117FB" w:rsidRPr="00EA2F7C">
              <w:rPr>
                <w:rFonts w:ascii="Times New Roman" w:eastAsia="TimesNewRomanPSMT" w:hAnsi="Times New Roman" w:cs="Times New Roman"/>
                <w:sz w:val="20"/>
                <w:szCs w:val="20"/>
                <w:lang w:val="en-US"/>
              </w:rPr>
              <w:t>53</w:t>
            </w:r>
            <w:r w:rsidR="008C7E93" w:rsidRPr="00EA2F7C">
              <w:rPr>
                <w:rFonts w:ascii="Times New Roman" w:eastAsia="TimesNewRomanPSMT" w:hAnsi="Times New Roman" w:cs="Times New Roman"/>
                <w:sz w:val="20"/>
                <w:szCs w:val="20"/>
                <w:lang w:val="en-US"/>
              </w:rPr>
              <w:t xml:space="preserve"> ±</w:t>
            </w:r>
            <w:r w:rsidR="006117FB" w:rsidRPr="00EA2F7C">
              <w:rPr>
                <w:rFonts w:ascii="Times New Roman" w:eastAsia="TimesNewRomanPSMT" w:hAnsi="Times New Roman" w:cs="Times New Roman"/>
                <w:sz w:val="20"/>
                <w:szCs w:val="20"/>
                <w:lang w:val="en-US"/>
              </w:rPr>
              <w:t xml:space="preserve"> </w:t>
            </w:r>
            <w:r w:rsidR="006D6628" w:rsidRPr="00EA2F7C">
              <w:rPr>
                <w:rFonts w:ascii="Times New Roman" w:eastAsia="TimesNewRomanPSMT" w:hAnsi="Times New Roman" w:cs="Times New Roman"/>
                <w:sz w:val="20"/>
                <w:szCs w:val="20"/>
                <w:lang w:val="en-US"/>
              </w:rPr>
              <w:t>17.4</w:t>
            </w:r>
          </w:p>
        </w:tc>
        <w:tc>
          <w:tcPr>
            <w:tcW w:w="1985" w:type="dxa"/>
            <w:tcBorders>
              <w:top w:val="nil"/>
              <w:bottom w:val="nil"/>
            </w:tcBorders>
          </w:tcPr>
          <w:p w:rsidR="006117FB" w:rsidRPr="00EA2F7C" w:rsidRDefault="006117FB" w:rsidP="00E87AE1">
            <w:pPr>
              <w:autoSpaceDE w:val="0"/>
              <w:autoSpaceDN w:val="0"/>
              <w:adjustRightInd w:val="0"/>
              <w:spacing w:line="240" w:lineRule="auto"/>
              <w:ind w:left="0" w:firstLine="0"/>
              <w:contextualSpacing/>
              <w:rPr>
                <w:rFonts w:ascii="Times New Roman" w:eastAsia="TimesNewRomanPSMT" w:hAnsi="Times New Roman" w:cs="Times New Roman"/>
                <w:sz w:val="20"/>
                <w:szCs w:val="20"/>
                <w:lang w:val="en-US"/>
              </w:rPr>
            </w:pPr>
            <w:r w:rsidRPr="00EA2F7C">
              <w:rPr>
                <w:rFonts w:ascii="Times New Roman" w:eastAsia="TimesNewRomanPSMT" w:hAnsi="Times New Roman" w:cs="Times New Roman"/>
                <w:sz w:val="20"/>
                <w:szCs w:val="20"/>
                <w:lang w:val="en-US"/>
              </w:rPr>
              <w:t>63.</w:t>
            </w:r>
            <w:r w:rsidR="001D1DD2" w:rsidRPr="00EA2F7C">
              <w:rPr>
                <w:rFonts w:ascii="Times New Roman" w:eastAsia="TimesNewRomanPSMT" w:hAnsi="Times New Roman" w:cs="Times New Roman"/>
                <w:sz w:val="20"/>
                <w:szCs w:val="20"/>
                <w:lang w:val="en-US"/>
              </w:rPr>
              <w:t>3</w:t>
            </w:r>
            <w:r w:rsidR="00E87AE1" w:rsidRPr="00EA2F7C">
              <w:rPr>
                <w:rFonts w:ascii="Times New Roman" w:eastAsia="TimesNewRomanPSMT" w:hAnsi="Times New Roman" w:cs="Times New Roman"/>
                <w:sz w:val="20"/>
                <w:szCs w:val="20"/>
                <w:lang w:val="en-US"/>
              </w:rPr>
              <w:t xml:space="preserve"> ± </w:t>
            </w:r>
            <w:r w:rsidR="006D6628" w:rsidRPr="00EA2F7C">
              <w:rPr>
                <w:rFonts w:ascii="Times New Roman" w:eastAsia="TimesNewRomanPSMT" w:hAnsi="Times New Roman" w:cs="Times New Roman"/>
                <w:sz w:val="20"/>
                <w:szCs w:val="20"/>
                <w:lang w:val="en-US"/>
              </w:rPr>
              <w:t>19.3</w:t>
            </w:r>
          </w:p>
        </w:tc>
        <w:tc>
          <w:tcPr>
            <w:tcW w:w="1984" w:type="dxa"/>
            <w:tcBorders>
              <w:top w:val="nil"/>
              <w:bottom w:val="nil"/>
            </w:tcBorders>
          </w:tcPr>
          <w:p w:rsidR="006117FB" w:rsidRPr="00EA2F7C" w:rsidRDefault="00170B26" w:rsidP="0051548B">
            <w:pPr>
              <w:autoSpaceDE w:val="0"/>
              <w:autoSpaceDN w:val="0"/>
              <w:adjustRightInd w:val="0"/>
              <w:spacing w:after="0" w:line="240" w:lineRule="auto"/>
              <w:ind w:left="0" w:firstLine="0"/>
              <w:contextualSpacing/>
              <w:rPr>
                <w:rFonts w:ascii="Times New Roman" w:eastAsia="TimesNewRomanPSMT" w:hAnsi="Times New Roman" w:cs="Times New Roman"/>
                <w:sz w:val="20"/>
                <w:szCs w:val="20"/>
                <w:lang w:val="en-US"/>
              </w:rPr>
            </w:pPr>
            <w:r w:rsidRPr="00EA2F7C">
              <w:rPr>
                <w:rFonts w:ascii="Times New Roman" w:eastAsia="TimesNewRomanPSMT" w:hAnsi="Times New Roman" w:cs="Times New Roman"/>
                <w:sz w:val="20"/>
                <w:szCs w:val="20"/>
                <w:lang w:val="en-US"/>
              </w:rPr>
              <w:t xml:space="preserve">    </w:t>
            </w:r>
            <w:r w:rsidR="003D3943" w:rsidRPr="00EA2F7C">
              <w:rPr>
                <w:rFonts w:ascii="Times New Roman" w:eastAsia="TimesNewRomanPSMT" w:hAnsi="Times New Roman" w:cs="Times New Roman"/>
                <w:sz w:val="20"/>
                <w:szCs w:val="20"/>
                <w:lang w:val="en-US"/>
              </w:rPr>
              <w:t xml:space="preserve">  </w:t>
            </w:r>
            <w:r w:rsidRPr="00EA2F7C">
              <w:rPr>
                <w:rFonts w:ascii="Times New Roman" w:eastAsia="TimesNewRomanPSMT" w:hAnsi="Times New Roman" w:cs="Times New Roman"/>
                <w:sz w:val="20"/>
                <w:szCs w:val="20"/>
                <w:lang w:val="en-US"/>
              </w:rPr>
              <w:t xml:space="preserve">  </w:t>
            </w:r>
            <w:r w:rsidR="006117FB" w:rsidRPr="00EA2F7C">
              <w:rPr>
                <w:rFonts w:ascii="Times New Roman" w:eastAsia="TimesNewRomanPSMT" w:hAnsi="Times New Roman" w:cs="Times New Roman"/>
                <w:sz w:val="20"/>
                <w:szCs w:val="20"/>
                <w:lang w:val="en-US"/>
              </w:rPr>
              <w:t>34.</w:t>
            </w:r>
            <w:r w:rsidR="0051548B" w:rsidRPr="00EA2F7C">
              <w:rPr>
                <w:rFonts w:ascii="Times New Roman" w:eastAsia="TimesNewRomanPSMT" w:hAnsi="Times New Roman" w:cs="Times New Roman"/>
                <w:sz w:val="20"/>
                <w:szCs w:val="20"/>
                <w:lang w:val="en-US"/>
              </w:rPr>
              <w:t>8</w:t>
            </w:r>
            <w:r w:rsidR="00E87AE1" w:rsidRPr="00EA2F7C">
              <w:rPr>
                <w:rFonts w:ascii="Times New Roman" w:eastAsia="TimesNewRomanPSMT" w:hAnsi="Times New Roman" w:cs="Times New Roman"/>
                <w:sz w:val="20"/>
                <w:szCs w:val="20"/>
                <w:lang w:val="en-US"/>
              </w:rPr>
              <w:t xml:space="preserve"> ±</w:t>
            </w:r>
            <w:r w:rsidR="006117FB" w:rsidRPr="00EA2F7C">
              <w:rPr>
                <w:rFonts w:ascii="Times New Roman" w:eastAsia="TimesNewRomanPSMT" w:hAnsi="Times New Roman" w:cs="Times New Roman"/>
                <w:sz w:val="20"/>
                <w:szCs w:val="20"/>
                <w:lang w:val="en-US"/>
              </w:rPr>
              <w:t xml:space="preserve"> </w:t>
            </w:r>
            <w:r w:rsidR="006D6628" w:rsidRPr="00EA2F7C">
              <w:rPr>
                <w:rFonts w:ascii="Times New Roman" w:eastAsia="TimesNewRomanPSMT" w:hAnsi="Times New Roman" w:cs="Times New Roman"/>
                <w:sz w:val="20"/>
                <w:szCs w:val="20"/>
                <w:lang w:val="en-US"/>
              </w:rPr>
              <w:t>12.2</w:t>
            </w:r>
            <w:r w:rsidR="006117FB" w:rsidRPr="00EA2F7C">
              <w:rPr>
                <w:rFonts w:ascii="Times New Roman" w:eastAsia="TimesNewRomanPSMT" w:hAnsi="Times New Roman" w:cs="Times New Roman"/>
                <w:sz w:val="20"/>
                <w:szCs w:val="20"/>
                <w:lang w:val="en-US"/>
              </w:rPr>
              <w:t xml:space="preserve"> </w:t>
            </w:r>
          </w:p>
        </w:tc>
      </w:tr>
      <w:tr w:rsidR="002D6C70" w:rsidRPr="006D6628" w:rsidTr="00170B26">
        <w:trPr>
          <w:trHeight w:val="269"/>
        </w:trPr>
        <w:tc>
          <w:tcPr>
            <w:tcW w:w="4077" w:type="dxa"/>
            <w:tcBorders>
              <w:top w:val="nil"/>
              <w:bottom w:val="nil"/>
            </w:tcBorders>
          </w:tcPr>
          <w:p w:rsidR="002D6C70" w:rsidRPr="00EA2F7C" w:rsidRDefault="006117FB" w:rsidP="00B65584">
            <w:pPr>
              <w:autoSpaceDE w:val="0"/>
              <w:autoSpaceDN w:val="0"/>
              <w:adjustRightInd w:val="0"/>
              <w:spacing w:after="0" w:line="240" w:lineRule="auto"/>
              <w:ind w:left="0" w:firstLine="0"/>
              <w:contextualSpacing/>
              <w:rPr>
                <w:rFonts w:ascii="Times New Roman" w:eastAsia="TimesNewRomanPSMT" w:hAnsi="Times New Roman" w:cs="Times New Roman"/>
                <w:sz w:val="20"/>
                <w:szCs w:val="20"/>
                <w:lang w:val="en-US"/>
              </w:rPr>
            </w:pPr>
            <w:r w:rsidRPr="00EA2F7C">
              <w:rPr>
                <w:rFonts w:ascii="Times New Roman" w:eastAsia="TimesNewRomanPSMT" w:hAnsi="Times New Roman" w:cs="Times New Roman"/>
                <w:sz w:val="20"/>
                <w:szCs w:val="20"/>
                <w:lang w:val="en-US"/>
              </w:rPr>
              <w:t>TNF-α/ sTNF-αRI,  after 2 months treatment</w:t>
            </w:r>
          </w:p>
        </w:tc>
        <w:tc>
          <w:tcPr>
            <w:tcW w:w="1701" w:type="dxa"/>
            <w:tcBorders>
              <w:top w:val="nil"/>
              <w:bottom w:val="nil"/>
            </w:tcBorders>
          </w:tcPr>
          <w:p w:rsidR="002D6C70" w:rsidRPr="00EA2F7C" w:rsidRDefault="006117FB" w:rsidP="00E87AE1">
            <w:pPr>
              <w:autoSpaceDE w:val="0"/>
              <w:autoSpaceDN w:val="0"/>
              <w:adjustRightInd w:val="0"/>
              <w:spacing w:after="0" w:line="240" w:lineRule="auto"/>
              <w:ind w:left="0" w:firstLine="0"/>
              <w:contextualSpacing/>
              <w:rPr>
                <w:rFonts w:ascii="Times New Roman" w:eastAsia="TimesNewRomanPSMT" w:hAnsi="Times New Roman" w:cs="Times New Roman"/>
                <w:sz w:val="20"/>
                <w:szCs w:val="20"/>
                <w:lang w:val="en-US"/>
              </w:rPr>
            </w:pPr>
            <w:r w:rsidRPr="00EA2F7C">
              <w:rPr>
                <w:rFonts w:ascii="Times New Roman" w:eastAsia="TimesNewRomanPSMT" w:hAnsi="Times New Roman" w:cs="Times New Roman"/>
                <w:sz w:val="20"/>
                <w:szCs w:val="20"/>
                <w:lang w:val="en-US"/>
              </w:rPr>
              <w:t>18.</w:t>
            </w:r>
            <w:r w:rsidR="00FF76BC" w:rsidRPr="00EA2F7C">
              <w:rPr>
                <w:rFonts w:ascii="Times New Roman" w:eastAsia="TimesNewRomanPSMT" w:hAnsi="Times New Roman" w:cs="Times New Roman"/>
                <w:sz w:val="20"/>
                <w:szCs w:val="20"/>
                <w:lang w:val="en-US"/>
              </w:rPr>
              <w:t>6</w:t>
            </w:r>
            <w:r w:rsidR="00E87AE1" w:rsidRPr="00EA2F7C">
              <w:rPr>
                <w:rFonts w:ascii="Times New Roman" w:eastAsia="TimesNewRomanPSMT" w:hAnsi="Times New Roman" w:cs="Times New Roman"/>
                <w:sz w:val="20"/>
                <w:szCs w:val="20"/>
                <w:lang w:val="en-US"/>
              </w:rPr>
              <w:t xml:space="preserve"> ± </w:t>
            </w:r>
            <w:r w:rsidR="006D6628" w:rsidRPr="00EA2F7C">
              <w:rPr>
                <w:rFonts w:ascii="Times New Roman" w:eastAsia="TimesNewRomanPSMT" w:hAnsi="Times New Roman" w:cs="Times New Roman"/>
                <w:sz w:val="20"/>
                <w:szCs w:val="20"/>
                <w:lang w:val="en-US"/>
              </w:rPr>
              <w:t>7.8</w:t>
            </w:r>
            <w:r w:rsidRPr="00EA2F7C">
              <w:rPr>
                <w:rFonts w:ascii="Times New Roman" w:eastAsia="TimesNewRomanPSMT" w:hAnsi="Times New Roman" w:cs="Times New Roman"/>
                <w:sz w:val="20"/>
                <w:szCs w:val="20"/>
                <w:lang w:val="en-US"/>
              </w:rPr>
              <w:t>**</w:t>
            </w:r>
          </w:p>
        </w:tc>
        <w:tc>
          <w:tcPr>
            <w:tcW w:w="1985" w:type="dxa"/>
            <w:tcBorders>
              <w:top w:val="nil"/>
              <w:bottom w:val="nil"/>
            </w:tcBorders>
          </w:tcPr>
          <w:p w:rsidR="002D6C70" w:rsidRPr="00EA2F7C" w:rsidRDefault="006117FB" w:rsidP="00E87AE1">
            <w:pPr>
              <w:autoSpaceDE w:val="0"/>
              <w:autoSpaceDN w:val="0"/>
              <w:adjustRightInd w:val="0"/>
              <w:spacing w:line="240" w:lineRule="auto"/>
              <w:ind w:left="0" w:firstLine="0"/>
              <w:contextualSpacing/>
              <w:rPr>
                <w:rFonts w:ascii="Times New Roman" w:eastAsia="TimesNewRomanPSMT" w:hAnsi="Times New Roman" w:cs="Times New Roman"/>
                <w:sz w:val="20"/>
                <w:szCs w:val="20"/>
                <w:lang w:val="en-US"/>
              </w:rPr>
            </w:pPr>
            <w:r w:rsidRPr="00EA2F7C">
              <w:rPr>
                <w:rFonts w:ascii="Times New Roman" w:eastAsia="TimesNewRomanPSMT" w:hAnsi="Times New Roman" w:cs="Times New Roman"/>
                <w:sz w:val="20"/>
                <w:szCs w:val="20"/>
                <w:lang w:val="en-US"/>
              </w:rPr>
              <w:t>1</w:t>
            </w:r>
            <w:r w:rsidR="00D61C67" w:rsidRPr="00EA2F7C">
              <w:rPr>
                <w:rFonts w:ascii="Times New Roman" w:eastAsia="TimesNewRomanPSMT" w:hAnsi="Times New Roman" w:cs="Times New Roman"/>
                <w:sz w:val="20"/>
                <w:szCs w:val="20"/>
                <w:lang w:val="en-US"/>
              </w:rPr>
              <w:t>7.1</w:t>
            </w:r>
            <w:r w:rsidR="00E87AE1" w:rsidRPr="00EA2F7C">
              <w:rPr>
                <w:rFonts w:ascii="Times New Roman" w:eastAsia="TimesNewRomanPSMT" w:hAnsi="Times New Roman" w:cs="Times New Roman"/>
                <w:sz w:val="20"/>
                <w:szCs w:val="20"/>
                <w:lang w:val="en-US"/>
              </w:rPr>
              <w:t xml:space="preserve"> ± </w:t>
            </w:r>
            <w:r w:rsidR="006D6628" w:rsidRPr="00EA2F7C">
              <w:rPr>
                <w:rFonts w:ascii="Times New Roman" w:eastAsia="TimesNewRomanPSMT" w:hAnsi="Times New Roman" w:cs="Times New Roman"/>
                <w:sz w:val="20"/>
                <w:szCs w:val="20"/>
                <w:lang w:val="en-US"/>
              </w:rPr>
              <w:t>6.4</w:t>
            </w:r>
            <w:r w:rsidRPr="00EA2F7C">
              <w:rPr>
                <w:rFonts w:ascii="Times New Roman" w:eastAsia="TimesNewRomanPSMT" w:hAnsi="Times New Roman" w:cs="Times New Roman"/>
                <w:sz w:val="20"/>
                <w:szCs w:val="20"/>
                <w:lang w:val="en-US"/>
              </w:rPr>
              <w:t>**</w:t>
            </w:r>
          </w:p>
        </w:tc>
        <w:tc>
          <w:tcPr>
            <w:tcW w:w="1984" w:type="dxa"/>
            <w:tcBorders>
              <w:top w:val="nil"/>
              <w:bottom w:val="nil"/>
            </w:tcBorders>
          </w:tcPr>
          <w:p w:rsidR="002D6C70" w:rsidRPr="00EA2F7C" w:rsidRDefault="00170B26" w:rsidP="006D6628">
            <w:pPr>
              <w:autoSpaceDE w:val="0"/>
              <w:autoSpaceDN w:val="0"/>
              <w:adjustRightInd w:val="0"/>
              <w:spacing w:after="0" w:line="240" w:lineRule="auto"/>
              <w:ind w:left="0" w:firstLine="0"/>
              <w:contextualSpacing/>
              <w:rPr>
                <w:rFonts w:ascii="Times New Roman" w:eastAsia="TimesNewRomanPSMT" w:hAnsi="Times New Roman" w:cs="Times New Roman"/>
                <w:sz w:val="20"/>
                <w:szCs w:val="20"/>
                <w:lang w:val="en-US"/>
              </w:rPr>
            </w:pPr>
            <w:r w:rsidRPr="00EA2F7C">
              <w:rPr>
                <w:rFonts w:ascii="Times New Roman" w:eastAsia="TimesNewRomanPSMT" w:hAnsi="Times New Roman" w:cs="Times New Roman"/>
                <w:sz w:val="20"/>
                <w:szCs w:val="20"/>
                <w:lang w:val="en-US"/>
              </w:rPr>
              <w:t xml:space="preserve">   </w:t>
            </w:r>
            <w:r w:rsidR="003D3943" w:rsidRPr="00EA2F7C">
              <w:rPr>
                <w:rFonts w:ascii="Times New Roman" w:eastAsia="TimesNewRomanPSMT" w:hAnsi="Times New Roman" w:cs="Times New Roman"/>
                <w:sz w:val="20"/>
                <w:szCs w:val="20"/>
                <w:lang w:val="en-US"/>
              </w:rPr>
              <w:t xml:space="preserve">  </w:t>
            </w:r>
            <w:r w:rsidRPr="00EA2F7C">
              <w:rPr>
                <w:rFonts w:ascii="Times New Roman" w:eastAsia="TimesNewRomanPSMT" w:hAnsi="Times New Roman" w:cs="Times New Roman"/>
                <w:sz w:val="20"/>
                <w:szCs w:val="20"/>
                <w:lang w:val="en-US"/>
              </w:rPr>
              <w:t xml:space="preserve">   </w:t>
            </w:r>
            <w:r w:rsidR="006117FB" w:rsidRPr="00EA2F7C">
              <w:rPr>
                <w:rFonts w:ascii="Times New Roman" w:eastAsia="TimesNewRomanPSMT" w:hAnsi="Times New Roman" w:cs="Times New Roman"/>
                <w:sz w:val="20"/>
                <w:szCs w:val="20"/>
                <w:lang w:val="en-US"/>
              </w:rPr>
              <w:t>17.</w:t>
            </w:r>
            <w:r w:rsidR="0051548B" w:rsidRPr="00EA2F7C">
              <w:rPr>
                <w:rFonts w:ascii="Times New Roman" w:eastAsia="TimesNewRomanPSMT" w:hAnsi="Times New Roman" w:cs="Times New Roman"/>
                <w:sz w:val="20"/>
                <w:szCs w:val="20"/>
                <w:lang w:val="en-US"/>
              </w:rPr>
              <w:t>1</w:t>
            </w:r>
            <w:r w:rsidR="00E87AE1" w:rsidRPr="00EA2F7C">
              <w:rPr>
                <w:rFonts w:ascii="Times New Roman" w:eastAsia="TimesNewRomanPSMT" w:hAnsi="Times New Roman" w:cs="Times New Roman"/>
                <w:sz w:val="20"/>
                <w:szCs w:val="20"/>
                <w:lang w:val="en-US"/>
              </w:rPr>
              <w:t xml:space="preserve"> ± </w:t>
            </w:r>
            <w:r w:rsidR="006D6628" w:rsidRPr="00EA2F7C">
              <w:rPr>
                <w:rFonts w:ascii="Times New Roman" w:eastAsia="TimesNewRomanPSMT" w:hAnsi="Times New Roman" w:cs="Times New Roman"/>
                <w:sz w:val="20"/>
                <w:szCs w:val="20"/>
                <w:lang w:val="en-US"/>
              </w:rPr>
              <w:t>6.6</w:t>
            </w:r>
            <w:r w:rsidR="006117FB" w:rsidRPr="00EA2F7C">
              <w:rPr>
                <w:rFonts w:ascii="Times New Roman" w:eastAsia="TimesNewRomanPSMT" w:hAnsi="Times New Roman" w:cs="Times New Roman"/>
                <w:sz w:val="20"/>
                <w:szCs w:val="20"/>
                <w:lang w:val="en-US"/>
              </w:rPr>
              <w:t>**</w:t>
            </w:r>
          </w:p>
        </w:tc>
      </w:tr>
      <w:tr w:rsidR="002D6C70" w:rsidTr="00170B26">
        <w:trPr>
          <w:trHeight w:val="269"/>
        </w:trPr>
        <w:tc>
          <w:tcPr>
            <w:tcW w:w="4077" w:type="dxa"/>
            <w:tcBorders>
              <w:top w:val="nil"/>
              <w:bottom w:val="nil"/>
            </w:tcBorders>
          </w:tcPr>
          <w:p w:rsidR="002D6C70" w:rsidRDefault="006117FB" w:rsidP="006117FB">
            <w:pPr>
              <w:autoSpaceDE w:val="0"/>
              <w:autoSpaceDN w:val="0"/>
              <w:adjustRightInd w:val="0"/>
              <w:spacing w:after="0" w:line="240" w:lineRule="auto"/>
              <w:ind w:left="0" w:firstLine="0"/>
              <w:contextualSpacing/>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8-isoprostane, </w:t>
            </w:r>
            <w:r w:rsidRPr="006117FB">
              <w:rPr>
                <w:rFonts w:ascii="Times New Roman" w:eastAsia="TimesNewRomanPSMT" w:hAnsi="Times New Roman" w:cs="Times New Roman"/>
                <w:sz w:val="20"/>
                <w:szCs w:val="20"/>
                <w:lang w:val="en-US"/>
              </w:rPr>
              <w:t>ng/m</w:t>
            </w:r>
            <w:r w:rsidR="0092385D">
              <w:rPr>
                <w:rFonts w:ascii="Times New Roman" w:eastAsia="TimesNewRomanPSMT" w:hAnsi="Times New Roman" w:cs="Times New Roman"/>
                <w:sz w:val="20"/>
                <w:szCs w:val="20"/>
                <w:lang w:val="en-US"/>
              </w:rPr>
              <w:t>L,</w:t>
            </w:r>
            <w:r w:rsidRPr="006117FB">
              <w:rPr>
                <w:lang w:val="en-US"/>
              </w:rPr>
              <w:t xml:space="preserve"> </w:t>
            </w:r>
            <w:r w:rsidRPr="006117FB">
              <w:rPr>
                <w:rFonts w:ascii="Times New Roman" w:eastAsia="TimesNewRomanPSMT" w:hAnsi="Times New Roman" w:cs="Times New Roman"/>
                <w:sz w:val="20"/>
                <w:szCs w:val="20"/>
                <w:lang w:val="en-US"/>
              </w:rPr>
              <w:t xml:space="preserve">prior to treatment  </w:t>
            </w:r>
          </w:p>
        </w:tc>
        <w:tc>
          <w:tcPr>
            <w:tcW w:w="1701" w:type="dxa"/>
            <w:tcBorders>
              <w:top w:val="nil"/>
              <w:bottom w:val="nil"/>
            </w:tcBorders>
          </w:tcPr>
          <w:p w:rsidR="002D6C70" w:rsidRPr="00B65584" w:rsidRDefault="006117FB" w:rsidP="00E87AE1">
            <w:pPr>
              <w:autoSpaceDE w:val="0"/>
              <w:autoSpaceDN w:val="0"/>
              <w:adjustRightInd w:val="0"/>
              <w:spacing w:after="0" w:line="240" w:lineRule="auto"/>
              <w:ind w:left="0" w:firstLine="0"/>
              <w:contextualSpacing/>
              <w:rPr>
                <w:rFonts w:ascii="Times New Roman" w:eastAsia="TimesNewRomanPSMT" w:hAnsi="Times New Roman" w:cs="Times New Roman"/>
                <w:sz w:val="20"/>
                <w:szCs w:val="20"/>
                <w:lang w:val="en-US"/>
              </w:rPr>
            </w:pPr>
            <w:r w:rsidRPr="006117FB">
              <w:rPr>
                <w:rFonts w:ascii="Times New Roman" w:eastAsia="TimesNewRomanPSMT" w:hAnsi="Times New Roman" w:cs="Times New Roman"/>
                <w:sz w:val="20"/>
                <w:szCs w:val="20"/>
                <w:lang w:val="en-US"/>
              </w:rPr>
              <w:t>20.</w:t>
            </w:r>
            <w:r w:rsidR="00983FDC">
              <w:rPr>
                <w:rFonts w:ascii="Times New Roman" w:eastAsia="TimesNewRomanPSMT" w:hAnsi="Times New Roman" w:cs="Times New Roman"/>
                <w:sz w:val="20"/>
                <w:szCs w:val="20"/>
                <w:lang w:val="en-US"/>
              </w:rPr>
              <w:t>5</w:t>
            </w:r>
            <w:r>
              <w:rPr>
                <w:rFonts w:ascii="Times New Roman" w:eastAsia="TimesNewRomanPSMT" w:hAnsi="Times New Roman" w:cs="Times New Roman"/>
                <w:sz w:val="20"/>
                <w:szCs w:val="20"/>
                <w:lang w:val="en-US"/>
              </w:rPr>
              <w:t xml:space="preserve"> </w:t>
            </w:r>
            <w:r w:rsidRPr="006117FB">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w:t>
            </w:r>
            <w:r w:rsidRPr="006117FB">
              <w:rPr>
                <w:rFonts w:ascii="Times New Roman" w:eastAsia="TimesNewRomanPSMT" w:hAnsi="Times New Roman" w:cs="Times New Roman"/>
                <w:sz w:val="20"/>
                <w:szCs w:val="20"/>
                <w:lang w:val="en-US"/>
              </w:rPr>
              <w:t>17.</w:t>
            </w:r>
            <w:r w:rsidR="00983FDC">
              <w:rPr>
                <w:rFonts w:ascii="Times New Roman" w:eastAsia="TimesNewRomanPSMT" w:hAnsi="Times New Roman" w:cs="Times New Roman"/>
                <w:sz w:val="20"/>
                <w:szCs w:val="20"/>
                <w:lang w:val="en-US"/>
              </w:rPr>
              <w:t>4</w:t>
            </w:r>
            <w:r w:rsidRPr="006117FB">
              <w:rPr>
                <w:rFonts w:ascii="Times New Roman" w:eastAsia="TimesNewRomanPSMT" w:hAnsi="Times New Roman" w:cs="Times New Roman"/>
                <w:sz w:val="20"/>
                <w:szCs w:val="20"/>
                <w:lang w:val="en-US"/>
              </w:rPr>
              <w:t xml:space="preserve">  </w:t>
            </w:r>
          </w:p>
        </w:tc>
        <w:tc>
          <w:tcPr>
            <w:tcW w:w="1985" w:type="dxa"/>
            <w:tcBorders>
              <w:top w:val="nil"/>
              <w:bottom w:val="nil"/>
            </w:tcBorders>
          </w:tcPr>
          <w:p w:rsidR="002D6C70" w:rsidRDefault="006117FB" w:rsidP="00983FDC">
            <w:pPr>
              <w:autoSpaceDE w:val="0"/>
              <w:autoSpaceDN w:val="0"/>
              <w:adjustRightInd w:val="0"/>
              <w:spacing w:line="240" w:lineRule="auto"/>
              <w:ind w:left="0" w:firstLine="0"/>
              <w:contextualSpacing/>
              <w:rPr>
                <w:rFonts w:ascii="Times New Roman" w:eastAsia="TimesNewRomanPSMT" w:hAnsi="Times New Roman" w:cs="Times New Roman"/>
                <w:sz w:val="20"/>
                <w:szCs w:val="20"/>
                <w:lang w:val="en-US"/>
              </w:rPr>
            </w:pPr>
            <w:r w:rsidRPr="006117FB">
              <w:rPr>
                <w:rFonts w:ascii="Times New Roman" w:eastAsia="TimesNewRomanPSMT" w:hAnsi="Times New Roman" w:cs="Times New Roman"/>
                <w:sz w:val="20"/>
                <w:szCs w:val="20"/>
                <w:lang w:val="en-US"/>
              </w:rPr>
              <w:t>12.</w:t>
            </w:r>
            <w:r w:rsidR="00983FDC">
              <w:rPr>
                <w:rFonts w:ascii="Times New Roman" w:eastAsia="TimesNewRomanPSMT" w:hAnsi="Times New Roman" w:cs="Times New Roman"/>
                <w:sz w:val="20"/>
                <w:szCs w:val="20"/>
                <w:lang w:val="en-US"/>
              </w:rPr>
              <w:t>7</w:t>
            </w:r>
            <w:r w:rsidR="0013206A">
              <w:rPr>
                <w:rFonts w:ascii="Times New Roman" w:eastAsia="TimesNewRomanPSMT" w:hAnsi="Times New Roman" w:cs="Times New Roman"/>
                <w:sz w:val="20"/>
                <w:szCs w:val="20"/>
                <w:lang w:val="en-US"/>
              </w:rPr>
              <w:t xml:space="preserve"> </w:t>
            </w:r>
            <w:r w:rsidRPr="006117FB">
              <w:rPr>
                <w:rFonts w:ascii="Times New Roman" w:eastAsia="TimesNewRomanPSMT" w:hAnsi="Times New Roman" w:cs="Times New Roman"/>
                <w:sz w:val="20"/>
                <w:szCs w:val="20"/>
                <w:lang w:val="en-US"/>
              </w:rPr>
              <w:t>±</w:t>
            </w:r>
            <w:r w:rsidR="0013206A">
              <w:rPr>
                <w:rFonts w:ascii="Times New Roman" w:eastAsia="TimesNewRomanPSMT" w:hAnsi="Times New Roman" w:cs="Times New Roman"/>
                <w:sz w:val="20"/>
                <w:szCs w:val="20"/>
                <w:lang w:val="en-US"/>
              </w:rPr>
              <w:t xml:space="preserve"> </w:t>
            </w:r>
            <w:r w:rsidRPr="006117FB">
              <w:rPr>
                <w:rFonts w:ascii="Times New Roman" w:eastAsia="TimesNewRomanPSMT" w:hAnsi="Times New Roman" w:cs="Times New Roman"/>
                <w:sz w:val="20"/>
                <w:szCs w:val="20"/>
                <w:lang w:val="en-US"/>
              </w:rPr>
              <w:t xml:space="preserve">9.63  </w:t>
            </w:r>
          </w:p>
        </w:tc>
        <w:tc>
          <w:tcPr>
            <w:tcW w:w="1984" w:type="dxa"/>
            <w:tcBorders>
              <w:top w:val="nil"/>
              <w:bottom w:val="nil"/>
            </w:tcBorders>
          </w:tcPr>
          <w:p w:rsidR="002D6C70" w:rsidRPr="002D6C70" w:rsidRDefault="003D3943" w:rsidP="00983FDC">
            <w:pPr>
              <w:autoSpaceDE w:val="0"/>
              <w:autoSpaceDN w:val="0"/>
              <w:adjustRightInd w:val="0"/>
              <w:spacing w:after="0" w:line="240" w:lineRule="auto"/>
              <w:ind w:left="317" w:firstLine="0"/>
              <w:contextualSpacing/>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w:t>
            </w:r>
            <w:r w:rsidR="0013206A" w:rsidRPr="0013206A">
              <w:rPr>
                <w:rFonts w:ascii="Times New Roman" w:eastAsia="TimesNewRomanPSMT" w:hAnsi="Times New Roman" w:cs="Times New Roman"/>
                <w:sz w:val="20"/>
                <w:szCs w:val="20"/>
                <w:lang w:val="en-US"/>
              </w:rPr>
              <w:t>2</w:t>
            </w:r>
            <w:r w:rsidR="00983FDC">
              <w:rPr>
                <w:rFonts w:ascii="Times New Roman" w:eastAsia="TimesNewRomanPSMT" w:hAnsi="Times New Roman" w:cs="Times New Roman"/>
                <w:sz w:val="20"/>
                <w:szCs w:val="20"/>
                <w:lang w:val="en-US"/>
              </w:rPr>
              <w:t>0.2</w:t>
            </w:r>
            <w:r w:rsidR="0013206A">
              <w:rPr>
                <w:rFonts w:ascii="Times New Roman" w:eastAsia="TimesNewRomanPSMT" w:hAnsi="Times New Roman" w:cs="Times New Roman"/>
                <w:sz w:val="20"/>
                <w:szCs w:val="20"/>
                <w:lang w:val="en-US"/>
              </w:rPr>
              <w:t xml:space="preserve"> </w:t>
            </w:r>
            <w:r w:rsidR="0013206A" w:rsidRPr="0013206A">
              <w:rPr>
                <w:rFonts w:ascii="Times New Roman" w:eastAsia="TimesNewRomanPSMT" w:hAnsi="Times New Roman" w:cs="Times New Roman"/>
                <w:sz w:val="20"/>
                <w:szCs w:val="20"/>
                <w:lang w:val="en-US"/>
              </w:rPr>
              <w:t>±</w:t>
            </w:r>
            <w:r w:rsidR="0013206A">
              <w:rPr>
                <w:rFonts w:ascii="Times New Roman" w:eastAsia="TimesNewRomanPSMT" w:hAnsi="Times New Roman" w:cs="Times New Roman"/>
                <w:sz w:val="20"/>
                <w:szCs w:val="20"/>
                <w:lang w:val="en-US"/>
              </w:rPr>
              <w:t xml:space="preserve"> </w:t>
            </w:r>
            <w:r w:rsidR="0013206A" w:rsidRPr="0013206A">
              <w:rPr>
                <w:rFonts w:ascii="Times New Roman" w:eastAsia="TimesNewRomanPSMT" w:hAnsi="Times New Roman" w:cs="Times New Roman"/>
                <w:sz w:val="20"/>
                <w:szCs w:val="20"/>
                <w:lang w:val="en-US"/>
              </w:rPr>
              <w:t xml:space="preserve">11.9  </w:t>
            </w:r>
          </w:p>
        </w:tc>
      </w:tr>
      <w:tr w:rsidR="00B65584" w:rsidTr="00170B26">
        <w:tc>
          <w:tcPr>
            <w:tcW w:w="4077" w:type="dxa"/>
            <w:tcBorders>
              <w:top w:val="nil"/>
              <w:bottom w:val="nil"/>
            </w:tcBorders>
          </w:tcPr>
          <w:p w:rsidR="00B65584" w:rsidRDefault="006117FB" w:rsidP="00B65584">
            <w:pPr>
              <w:autoSpaceDE w:val="0"/>
              <w:autoSpaceDN w:val="0"/>
              <w:adjustRightInd w:val="0"/>
              <w:spacing w:after="0" w:line="240" w:lineRule="auto"/>
              <w:ind w:left="0" w:firstLine="0"/>
              <w:rPr>
                <w:rFonts w:ascii="Times New Roman" w:eastAsia="TimesNewRomanPSMT" w:hAnsi="Times New Roman" w:cs="Times New Roman"/>
                <w:sz w:val="20"/>
                <w:szCs w:val="20"/>
                <w:lang w:val="en-US"/>
              </w:rPr>
            </w:pPr>
            <w:r w:rsidRPr="006117FB">
              <w:rPr>
                <w:rFonts w:ascii="Times New Roman" w:eastAsia="TimesNewRomanPSMT" w:hAnsi="Times New Roman" w:cs="Times New Roman"/>
                <w:sz w:val="20"/>
                <w:szCs w:val="20"/>
                <w:lang w:val="en-US"/>
              </w:rPr>
              <w:t>8-isoprostane, ng/mL</w:t>
            </w:r>
            <w:r>
              <w:rPr>
                <w:rFonts w:ascii="Times New Roman" w:eastAsia="TimesNewRomanPSMT" w:hAnsi="Times New Roman" w:cs="Times New Roman"/>
                <w:sz w:val="20"/>
                <w:szCs w:val="20"/>
                <w:lang w:val="en-US"/>
              </w:rPr>
              <w:t xml:space="preserve">, </w:t>
            </w:r>
            <w:r w:rsidRPr="006117FB">
              <w:rPr>
                <w:rFonts w:ascii="Times New Roman" w:eastAsia="TimesNewRomanPSMT" w:hAnsi="Times New Roman" w:cs="Times New Roman"/>
                <w:sz w:val="20"/>
                <w:szCs w:val="20"/>
                <w:lang w:val="en-US"/>
              </w:rPr>
              <w:t>after 2 months treatment</w:t>
            </w:r>
          </w:p>
        </w:tc>
        <w:tc>
          <w:tcPr>
            <w:tcW w:w="1701" w:type="dxa"/>
            <w:tcBorders>
              <w:top w:val="nil"/>
              <w:bottom w:val="nil"/>
            </w:tcBorders>
          </w:tcPr>
          <w:p w:rsidR="00B65584" w:rsidRDefault="006117FB" w:rsidP="00873E87">
            <w:pPr>
              <w:autoSpaceDE w:val="0"/>
              <w:autoSpaceDN w:val="0"/>
              <w:adjustRightInd w:val="0"/>
              <w:spacing w:after="0" w:line="240" w:lineRule="auto"/>
              <w:ind w:left="0" w:firstLine="0"/>
              <w:rPr>
                <w:rFonts w:ascii="Times New Roman" w:eastAsia="TimesNewRomanPSMT" w:hAnsi="Times New Roman" w:cs="Times New Roman"/>
                <w:sz w:val="20"/>
                <w:szCs w:val="20"/>
                <w:lang w:val="en-US"/>
              </w:rPr>
            </w:pPr>
            <w:r w:rsidRPr="006117FB">
              <w:rPr>
                <w:rFonts w:ascii="Times New Roman" w:eastAsia="TimesNewRomanPSMT" w:hAnsi="Times New Roman" w:cs="Times New Roman"/>
                <w:sz w:val="20"/>
                <w:szCs w:val="20"/>
                <w:lang w:val="en-US"/>
              </w:rPr>
              <w:t>12.3</w:t>
            </w:r>
            <w:r>
              <w:rPr>
                <w:rFonts w:ascii="Times New Roman" w:eastAsia="TimesNewRomanPSMT" w:hAnsi="Times New Roman" w:cs="Times New Roman"/>
                <w:sz w:val="20"/>
                <w:szCs w:val="20"/>
                <w:lang w:val="en-US"/>
              </w:rPr>
              <w:t xml:space="preserve"> </w:t>
            </w:r>
            <w:r w:rsidRPr="006117FB">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w:t>
            </w:r>
            <w:r w:rsidRPr="006117FB">
              <w:rPr>
                <w:rFonts w:ascii="Times New Roman" w:eastAsia="TimesNewRomanPSMT" w:hAnsi="Times New Roman" w:cs="Times New Roman"/>
                <w:sz w:val="20"/>
                <w:szCs w:val="20"/>
                <w:lang w:val="en-US"/>
              </w:rPr>
              <w:t>7.27*</w:t>
            </w:r>
          </w:p>
        </w:tc>
        <w:tc>
          <w:tcPr>
            <w:tcW w:w="1985" w:type="dxa"/>
            <w:tcBorders>
              <w:top w:val="nil"/>
              <w:bottom w:val="nil"/>
            </w:tcBorders>
          </w:tcPr>
          <w:p w:rsidR="00B65584" w:rsidRDefault="0013206A" w:rsidP="00B65584">
            <w:pPr>
              <w:autoSpaceDE w:val="0"/>
              <w:autoSpaceDN w:val="0"/>
              <w:adjustRightInd w:val="0"/>
              <w:spacing w:after="0" w:line="240" w:lineRule="auto"/>
              <w:ind w:left="0" w:firstLine="0"/>
              <w:rPr>
                <w:rFonts w:ascii="Times New Roman" w:eastAsia="TimesNewRomanPSMT" w:hAnsi="Times New Roman" w:cs="Times New Roman"/>
                <w:sz w:val="20"/>
                <w:szCs w:val="20"/>
                <w:lang w:val="en-US"/>
              </w:rPr>
            </w:pPr>
            <w:r w:rsidRPr="0013206A">
              <w:rPr>
                <w:rFonts w:ascii="Times New Roman" w:eastAsia="TimesNewRomanPSMT" w:hAnsi="Times New Roman" w:cs="Times New Roman"/>
                <w:sz w:val="20"/>
                <w:szCs w:val="20"/>
                <w:lang w:val="en-US"/>
              </w:rPr>
              <w:t>2.42</w:t>
            </w:r>
            <w:r>
              <w:rPr>
                <w:rFonts w:ascii="Times New Roman" w:eastAsia="TimesNewRomanPSMT" w:hAnsi="Times New Roman" w:cs="Times New Roman"/>
                <w:sz w:val="20"/>
                <w:szCs w:val="20"/>
                <w:lang w:val="en-US"/>
              </w:rPr>
              <w:t xml:space="preserve"> </w:t>
            </w:r>
            <w:r w:rsidRPr="0013206A">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w:t>
            </w:r>
            <w:r w:rsidRPr="0013206A">
              <w:rPr>
                <w:rFonts w:ascii="Times New Roman" w:eastAsia="TimesNewRomanPSMT" w:hAnsi="Times New Roman" w:cs="Times New Roman"/>
                <w:sz w:val="20"/>
                <w:szCs w:val="20"/>
                <w:lang w:val="en-US"/>
              </w:rPr>
              <w:t>1.49*</w:t>
            </w:r>
          </w:p>
        </w:tc>
        <w:tc>
          <w:tcPr>
            <w:tcW w:w="1984" w:type="dxa"/>
            <w:tcBorders>
              <w:top w:val="nil"/>
              <w:bottom w:val="nil"/>
            </w:tcBorders>
          </w:tcPr>
          <w:p w:rsidR="00B65584" w:rsidRDefault="00E87AE1" w:rsidP="0051548B">
            <w:pPr>
              <w:autoSpaceDE w:val="0"/>
              <w:autoSpaceDN w:val="0"/>
              <w:adjustRightInd w:val="0"/>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w:t>
            </w:r>
            <w:r w:rsidR="003D3943">
              <w:rPr>
                <w:rFonts w:ascii="Times New Roman" w:eastAsia="TimesNewRomanPSMT" w:hAnsi="Times New Roman" w:cs="Times New Roman"/>
                <w:sz w:val="20"/>
                <w:szCs w:val="20"/>
                <w:lang w:val="en-US"/>
              </w:rPr>
              <w:t xml:space="preserve">   </w:t>
            </w:r>
            <w:r>
              <w:rPr>
                <w:rFonts w:ascii="Times New Roman" w:eastAsia="TimesNewRomanPSMT" w:hAnsi="Times New Roman" w:cs="Times New Roman"/>
                <w:sz w:val="20"/>
                <w:szCs w:val="20"/>
                <w:lang w:val="en-US"/>
              </w:rPr>
              <w:t xml:space="preserve">  </w:t>
            </w:r>
            <w:r w:rsidR="0013206A" w:rsidRPr="0013206A">
              <w:rPr>
                <w:rFonts w:ascii="Times New Roman" w:eastAsia="TimesNewRomanPSMT" w:hAnsi="Times New Roman" w:cs="Times New Roman"/>
                <w:sz w:val="20"/>
                <w:szCs w:val="20"/>
                <w:lang w:val="en-US"/>
              </w:rPr>
              <w:t>10.</w:t>
            </w:r>
            <w:r w:rsidR="0051548B">
              <w:rPr>
                <w:rFonts w:ascii="Times New Roman" w:eastAsia="TimesNewRomanPSMT" w:hAnsi="Times New Roman" w:cs="Times New Roman"/>
                <w:sz w:val="20"/>
                <w:szCs w:val="20"/>
                <w:lang w:val="en-US"/>
              </w:rPr>
              <w:t>2</w:t>
            </w:r>
            <w:r w:rsidR="0013206A">
              <w:rPr>
                <w:rFonts w:ascii="Times New Roman" w:eastAsia="TimesNewRomanPSMT" w:hAnsi="Times New Roman" w:cs="Times New Roman"/>
                <w:sz w:val="20"/>
                <w:szCs w:val="20"/>
                <w:lang w:val="en-US"/>
              </w:rPr>
              <w:t xml:space="preserve"> </w:t>
            </w:r>
            <w:r w:rsidR="0013206A" w:rsidRPr="0013206A">
              <w:rPr>
                <w:rFonts w:ascii="Times New Roman" w:eastAsia="TimesNewRomanPSMT" w:hAnsi="Times New Roman" w:cs="Times New Roman"/>
                <w:sz w:val="20"/>
                <w:szCs w:val="20"/>
                <w:lang w:val="en-US"/>
              </w:rPr>
              <w:t>±</w:t>
            </w:r>
            <w:r w:rsidR="0013206A">
              <w:rPr>
                <w:rFonts w:ascii="Times New Roman" w:eastAsia="TimesNewRomanPSMT" w:hAnsi="Times New Roman" w:cs="Times New Roman"/>
                <w:sz w:val="20"/>
                <w:szCs w:val="20"/>
                <w:lang w:val="en-US"/>
              </w:rPr>
              <w:t xml:space="preserve"> </w:t>
            </w:r>
            <w:r w:rsidR="0013206A" w:rsidRPr="0013206A">
              <w:rPr>
                <w:rFonts w:ascii="Times New Roman" w:eastAsia="TimesNewRomanPSMT" w:hAnsi="Times New Roman" w:cs="Times New Roman"/>
                <w:sz w:val="20"/>
                <w:szCs w:val="20"/>
                <w:lang w:val="en-US"/>
              </w:rPr>
              <w:t>7.61*</w:t>
            </w:r>
          </w:p>
        </w:tc>
      </w:tr>
      <w:tr w:rsidR="00B65584" w:rsidTr="00170B26">
        <w:tc>
          <w:tcPr>
            <w:tcW w:w="4077" w:type="dxa"/>
            <w:tcBorders>
              <w:top w:val="nil"/>
              <w:bottom w:val="nil"/>
            </w:tcBorders>
          </w:tcPr>
          <w:p w:rsidR="00B65584" w:rsidRDefault="0013206A" w:rsidP="0013206A">
            <w:pPr>
              <w:autoSpaceDE w:val="0"/>
              <w:autoSpaceDN w:val="0"/>
              <w:adjustRightInd w:val="0"/>
              <w:spacing w:after="0" w:line="240" w:lineRule="auto"/>
              <w:ind w:left="0" w:firstLine="0"/>
              <w:rPr>
                <w:rFonts w:ascii="Times New Roman" w:eastAsia="TimesNewRomanPSMT" w:hAnsi="Times New Roman" w:cs="Times New Roman"/>
                <w:sz w:val="20"/>
                <w:szCs w:val="20"/>
                <w:lang w:val="en-US"/>
              </w:rPr>
            </w:pPr>
            <w:r w:rsidRPr="0013206A">
              <w:rPr>
                <w:rFonts w:ascii="Times New Roman" w:eastAsia="TimesNewRomanPSMT" w:hAnsi="Times New Roman" w:cs="Times New Roman"/>
                <w:sz w:val="20"/>
                <w:szCs w:val="20"/>
                <w:lang w:val="en-US"/>
              </w:rPr>
              <w:t>CRP mg/</w:t>
            </w:r>
            <w:r w:rsidR="0092385D">
              <w:rPr>
                <w:rFonts w:ascii="Times New Roman" w:eastAsia="TimesNewRomanPSMT" w:hAnsi="Times New Roman" w:cs="Times New Roman"/>
                <w:sz w:val="20"/>
                <w:szCs w:val="20"/>
                <w:lang w:val="en-US"/>
              </w:rPr>
              <w:t>L,</w:t>
            </w:r>
            <w:r w:rsidRPr="0013206A">
              <w:rPr>
                <w:lang w:val="en-US"/>
              </w:rPr>
              <w:t xml:space="preserve"> </w:t>
            </w:r>
            <w:r w:rsidRPr="0013206A">
              <w:rPr>
                <w:rFonts w:ascii="Times New Roman" w:eastAsia="TimesNewRomanPSMT" w:hAnsi="Times New Roman" w:cs="Times New Roman"/>
                <w:sz w:val="20"/>
                <w:szCs w:val="20"/>
                <w:lang w:val="en-US"/>
              </w:rPr>
              <w:t xml:space="preserve">prior to treatment  </w:t>
            </w:r>
          </w:p>
        </w:tc>
        <w:tc>
          <w:tcPr>
            <w:tcW w:w="1701" w:type="dxa"/>
            <w:tcBorders>
              <w:top w:val="nil"/>
              <w:bottom w:val="nil"/>
            </w:tcBorders>
          </w:tcPr>
          <w:p w:rsidR="00B65584" w:rsidRDefault="0013206A" w:rsidP="00873E87">
            <w:pPr>
              <w:autoSpaceDE w:val="0"/>
              <w:autoSpaceDN w:val="0"/>
              <w:adjustRightInd w:val="0"/>
              <w:spacing w:after="0" w:line="240" w:lineRule="auto"/>
              <w:ind w:left="0" w:firstLine="0"/>
              <w:rPr>
                <w:rFonts w:ascii="Times New Roman" w:eastAsia="TimesNewRomanPSMT" w:hAnsi="Times New Roman" w:cs="Times New Roman"/>
                <w:sz w:val="20"/>
                <w:szCs w:val="20"/>
                <w:lang w:val="en-US"/>
              </w:rPr>
            </w:pPr>
            <w:r w:rsidRPr="0013206A">
              <w:rPr>
                <w:rFonts w:ascii="Times New Roman" w:eastAsia="TimesNewRomanPSMT" w:hAnsi="Times New Roman" w:cs="Times New Roman"/>
                <w:sz w:val="20"/>
                <w:szCs w:val="20"/>
                <w:lang w:val="en-US"/>
              </w:rPr>
              <w:t>5.86</w:t>
            </w:r>
            <w:r>
              <w:rPr>
                <w:rFonts w:ascii="Times New Roman" w:eastAsia="TimesNewRomanPSMT" w:hAnsi="Times New Roman" w:cs="Times New Roman"/>
                <w:sz w:val="20"/>
                <w:szCs w:val="20"/>
                <w:lang w:val="en-US"/>
              </w:rPr>
              <w:t xml:space="preserve"> </w:t>
            </w:r>
            <w:r w:rsidRPr="0013206A">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w:t>
            </w:r>
            <w:r w:rsidRPr="0013206A">
              <w:rPr>
                <w:rFonts w:ascii="Times New Roman" w:eastAsia="TimesNewRomanPSMT" w:hAnsi="Times New Roman" w:cs="Times New Roman"/>
                <w:sz w:val="20"/>
                <w:szCs w:val="20"/>
                <w:lang w:val="en-US"/>
              </w:rPr>
              <w:t>0.48</w:t>
            </w:r>
          </w:p>
        </w:tc>
        <w:tc>
          <w:tcPr>
            <w:tcW w:w="1985" w:type="dxa"/>
            <w:tcBorders>
              <w:top w:val="nil"/>
              <w:bottom w:val="nil"/>
            </w:tcBorders>
          </w:tcPr>
          <w:p w:rsidR="00B65584" w:rsidRDefault="0013206A" w:rsidP="00B65584">
            <w:pPr>
              <w:autoSpaceDE w:val="0"/>
              <w:autoSpaceDN w:val="0"/>
              <w:adjustRightInd w:val="0"/>
              <w:spacing w:after="0" w:line="240" w:lineRule="auto"/>
              <w:ind w:left="0" w:firstLine="0"/>
              <w:rPr>
                <w:rFonts w:ascii="Times New Roman" w:eastAsia="TimesNewRomanPSMT" w:hAnsi="Times New Roman" w:cs="Times New Roman"/>
                <w:sz w:val="20"/>
                <w:szCs w:val="20"/>
                <w:lang w:val="en-US"/>
              </w:rPr>
            </w:pPr>
            <w:r w:rsidRPr="0013206A">
              <w:rPr>
                <w:rFonts w:ascii="Times New Roman" w:eastAsia="TimesNewRomanPSMT" w:hAnsi="Times New Roman" w:cs="Times New Roman"/>
                <w:sz w:val="20"/>
                <w:szCs w:val="20"/>
                <w:lang w:val="en-US"/>
              </w:rPr>
              <w:t>6.81</w:t>
            </w:r>
            <w:r>
              <w:rPr>
                <w:rFonts w:ascii="Times New Roman" w:eastAsia="TimesNewRomanPSMT" w:hAnsi="Times New Roman" w:cs="Times New Roman"/>
                <w:sz w:val="20"/>
                <w:szCs w:val="20"/>
                <w:lang w:val="en-US"/>
              </w:rPr>
              <w:t xml:space="preserve"> </w:t>
            </w:r>
            <w:r w:rsidRPr="0013206A">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w:t>
            </w:r>
            <w:r w:rsidRPr="0013206A">
              <w:rPr>
                <w:rFonts w:ascii="Times New Roman" w:eastAsia="TimesNewRomanPSMT" w:hAnsi="Times New Roman" w:cs="Times New Roman"/>
                <w:sz w:val="20"/>
                <w:szCs w:val="20"/>
                <w:lang w:val="en-US"/>
              </w:rPr>
              <w:t>0.59</w:t>
            </w:r>
          </w:p>
        </w:tc>
        <w:tc>
          <w:tcPr>
            <w:tcW w:w="1984" w:type="dxa"/>
            <w:tcBorders>
              <w:top w:val="nil"/>
              <w:bottom w:val="nil"/>
            </w:tcBorders>
          </w:tcPr>
          <w:p w:rsidR="00B65584" w:rsidRDefault="00170B26" w:rsidP="00873E87">
            <w:pPr>
              <w:autoSpaceDE w:val="0"/>
              <w:autoSpaceDN w:val="0"/>
              <w:adjustRightInd w:val="0"/>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w:t>
            </w:r>
            <w:r w:rsidR="003D3943">
              <w:rPr>
                <w:rFonts w:ascii="Times New Roman" w:eastAsia="TimesNewRomanPSMT" w:hAnsi="Times New Roman" w:cs="Times New Roman"/>
                <w:sz w:val="20"/>
                <w:szCs w:val="20"/>
                <w:lang w:val="en-US"/>
              </w:rPr>
              <w:t xml:space="preserve"> </w:t>
            </w:r>
            <w:r w:rsidR="0013206A" w:rsidRPr="0013206A">
              <w:rPr>
                <w:rFonts w:ascii="Times New Roman" w:eastAsia="TimesNewRomanPSMT" w:hAnsi="Times New Roman" w:cs="Times New Roman"/>
                <w:sz w:val="20"/>
                <w:szCs w:val="20"/>
                <w:lang w:val="en-US"/>
              </w:rPr>
              <w:t>6.3</w:t>
            </w:r>
            <w:r w:rsidR="00A25DE3">
              <w:rPr>
                <w:rFonts w:ascii="Times New Roman" w:eastAsia="TimesNewRomanPSMT" w:hAnsi="Times New Roman" w:cs="Times New Roman"/>
                <w:sz w:val="20"/>
                <w:szCs w:val="20"/>
                <w:lang w:val="en-US"/>
              </w:rPr>
              <w:t xml:space="preserve"> </w:t>
            </w:r>
            <w:r w:rsidR="0013206A" w:rsidRPr="0013206A">
              <w:rPr>
                <w:rFonts w:ascii="Times New Roman" w:eastAsia="TimesNewRomanPSMT" w:hAnsi="Times New Roman" w:cs="Times New Roman"/>
                <w:sz w:val="20"/>
                <w:szCs w:val="20"/>
                <w:lang w:val="en-US"/>
              </w:rPr>
              <w:t>±</w:t>
            </w:r>
            <w:r w:rsidR="00A25DE3">
              <w:rPr>
                <w:rFonts w:ascii="Times New Roman" w:eastAsia="TimesNewRomanPSMT" w:hAnsi="Times New Roman" w:cs="Times New Roman"/>
                <w:sz w:val="20"/>
                <w:szCs w:val="20"/>
                <w:lang w:val="en-US"/>
              </w:rPr>
              <w:t xml:space="preserve"> </w:t>
            </w:r>
            <w:r w:rsidR="0013206A" w:rsidRPr="0013206A">
              <w:rPr>
                <w:rFonts w:ascii="Times New Roman" w:eastAsia="TimesNewRomanPSMT" w:hAnsi="Times New Roman" w:cs="Times New Roman"/>
                <w:sz w:val="20"/>
                <w:szCs w:val="20"/>
                <w:lang w:val="en-US"/>
              </w:rPr>
              <w:t>0.49</w:t>
            </w:r>
          </w:p>
        </w:tc>
      </w:tr>
      <w:tr w:rsidR="00B65584" w:rsidTr="00170B26">
        <w:tc>
          <w:tcPr>
            <w:tcW w:w="4077" w:type="dxa"/>
            <w:tcBorders>
              <w:top w:val="nil"/>
            </w:tcBorders>
          </w:tcPr>
          <w:p w:rsidR="00B65584" w:rsidRDefault="0013206A" w:rsidP="00B65584">
            <w:pPr>
              <w:autoSpaceDE w:val="0"/>
              <w:autoSpaceDN w:val="0"/>
              <w:adjustRightInd w:val="0"/>
              <w:spacing w:after="0" w:line="240" w:lineRule="auto"/>
              <w:ind w:left="0" w:firstLine="0"/>
              <w:rPr>
                <w:rFonts w:ascii="Times New Roman" w:eastAsia="TimesNewRomanPSMT" w:hAnsi="Times New Roman" w:cs="Times New Roman"/>
                <w:sz w:val="20"/>
                <w:szCs w:val="20"/>
                <w:lang w:val="en-US"/>
              </w:rPr>
            </w:pPr>
            <w:r w:rsidRPr="0013206A">
              <w:rPr>
                <w:rFonts w:ascii="Times New Roman" w:eastAsia="TimesNewRomanPSMT" w:hAnsi="Times New Roman" w:cs="Times New Roman"/>
                <w:sz w:val="20"/>
                <w:szCs w:val="20"/>
                <w:lang w:val="en-US"/>
              </w:rPr>
              <w:t>CRP mg/L</w:t>
            </w:r>
            <w:r w:rsidR="0092385D">
              <w:rPr>
                <w:rFonts w:ascii="Times New Roman" w:eastAsia="TimesNewRomanPSMT" w:hAnsi="Times New Roman" w:cs="Times New Roman"/>
                <w:sz w:val="20"/>
                <w:szCs w:val="20"/>
                <w:lang w:val="en-US"/>
              </w:rPr>
              <w:t xml:space="preserve">, </w:t>
            </w:r>
            <w:r w:rsidRPr="0013206A">
              <w:rPr>
                <w:rFonts w:ascii="Times New Roman" w:eastAsia="TimesNewRomanPSMT" w:hAnsi="Times New Roman" w:cs="Times New Roman"/>
                <w:sz w:val="20"/>
                <w:szCs w:val="20"/>
                <w:lang w:val="en-US"/>
              </w:rPr>
              <w:t>after 2 months treatment</w:t>
            </w:r>
          </w:p>
        </w:tc>
        <w:tc>
          <w:tcPr>
            <w:tcW w:w="1701" w:type="dxa"/>
            <w:tcBorders>
              <w:top w:val="nil"/>
            </w:tcBorders>
          </w:tcPr>
          <w:p w:rsidR="00B65584" w:rsidRDefault="0013206A" w:rsidP="00B65584">
            <w:pPr>
              <w:autoSpaceDE w:val="0"/>
              <w:autoSpaceDN w:val="0"/>
              <w:adjustRightInd w:val="0"/>
              <w:spacing w:after="0" w:line="240" w:lineRule="auto"/>
              <w:ind w:left="0" w:firstLine="0"/>
              <w:rPr>
                <w:rFonts w:ascii="Times New Roman" w:eastAsia="TimesNewRomanPSMT" w:hAnsi="Times New Roman" w:cs="Times New Roman"/>
                <w:sz w:val="20"/>
                <w:szCs w:val="20"/>
                <w:lang w:val="en-US"/>
              </w:rPr>
            </w:pPr>
            <w:r w:rsidRPr="0013206A">
              <w:rPr>
                <w:rFonts w:ascii="Times New Roman" w:eastAsia="TimesNewRomanPSMT" w:hAnsi="Times New Roman" w:cs="Times New Roman"/>
                <w:sz w:val="20"/>
                <w:szCs w:val="20"/>
                <w:lang w:val="en-US"/>
              </w:rPr>
              <w:t>3.85</w:t>
            </w:r>
            <w:r>
              <w:rPr>
                <w:rFonts w:ascii="Times New Roman" w:eastAsia="TimesNewRomanPSMT" w:hAnsi="Times New Roman" w:cs="Times New Roman"/>
                <w:sz w:val="20"/>
                <w:szCs w:val="20"/>
                <w:lang w:val="en-US"/>
              </w:rPr>
              <w:t xml:space="preserve"> </w:t>
            </w:r>
            <w:r w:rsidRPr="0013206A">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w:t>
            </w:r>
            <w:r w:rsidRPr="0013206A">
              <w:rPr>
                <w:rFonts w:ascii="Times New Roman" w:eastAsia="TimesNewRomanPSMT" w:hAnsi="Times New Roman" w:cs="Times New Roman"/>
                <w:sz w:val="20"/>
                <w:szCs w:val="20"/>
                <w:lang w:val="en-US"/>
              </w:rPr>
              <w:t>0.36</w:t>
            </w:r>
          </w:p>
        </w:tc>
        <w:tc>
          <w:tcPr>
            <w:tcW w:w="1985" w:type="dxa"/>
            <w:tcBorders>
              <w:top w:val="nil"/>
            </w:tcBorders>
          </w:tcPr>
          <w:p w:rsidR="00B65584" w:rsidRDefault="0013206A" w:rsidP="00B65584">
            <w:pPr>
              <w:autoSpaceDE w:val="0"/>
              <w:autoSpaceDN w:val="0"/>
              <w:adjustRightInd w:val="0"/>
              <w:spacing w:after="0" w:line="240" w:lineRule="auto"/>
              <w:ind w:left="0" w:firstLine="0"/>
              <w:rPr>
                <w:rFonts w:ascii="Times New Roman" w:eastAsia="TimesNewRomanPSMT" w:hAnsi="Times New Roman" w:cs="Times New Roman"/>
                <w:sz w:val="20"/>
                <w:szCs w:val="20"/>
                <w:lang w:val="en-US"/>
              </w:rPr>
            </w:pPr>
            <w:r w:rsidRPr="0013206A">
              <w:rPr>
                <w:rFonts w:ascii="Times New Roman" w:eastAsia="TimesNewRomanPSMT" w:hAnsi="Times New Roman" w:cs="Times New Roman"/>
                <w:sz w:val="20"/>
                <w:szCs w:val="20"/>
                <w:lang w:val="en-US"/>
              </w:rPr>
              <w:t>3.68</w:t>
            </w:r>
            <w:r>
              <w:rPr>
                <w:rFonts w:ascii="Times New Roman" w:eastAsia="TimesNewRomanPSMT" w:hAnsi="Times New Roman" w:cs="Times New Roman"/>
                <w:sz w:val="20"/>
                <w:szCs w:val="20"/>
                <w:lang w:val="en-US"/>
              </w:rPr>
              <w:t xml:space="preserve"> </w:t>
            </w:r>
            <w:r w:rsidRPr="0013206A">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w:t>
            </w:r>
            <w:r w:rsidRPr="0013206A">
              <w:rPr>
                <w:rFonts w:ascii="Times New Roman" w:eastAsia="TimesNewRomanPSMT" w:hAnsi="Times New Roman" w:cs="Times New Roman"/>
                <w:sz w:val="20"/>
                <w:szCs w:val="20"/>
                <w:lang w:val="en-US"/>
              </w:rPr>
              <w:t>0.38*</w:t>
            </w:r>
          </w:p>
        </w:tc>
        <w:tc>
          <w:tcPr>
            <w:tcW w:w="1984" w:type="dxa"/>
            <w:tcBorders>
              <w:top w:val="nil"/>
            </w:tcBorders>
          </w:tcPr>
          <w:p w:rsidR="00B65584" w:rsidRDefault="00170B26" w:rsidP="00B65584">
            <w:pPr>
              <w:autoSpaceDE w:val="0"/>
              <w:autoSpaceDN w:val="0"/>
              <w:adjustRightInd w:val="0"/>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w:t>
            </w:r>
            <w:r w:rsidR="00A25DE3" w:rsidRPr="00A25DE3">
              <w:rPr>
                <w:rFonts w:ascii="Times New Roman" w:eastAsia="TimesNewRomanPSMT" w:hAnsi="Times New Roman" w:cs="Times New Roman"/>
                <w:sz w:val="20"/>
                <w:szCs w:val="20"/>
                <w:lang w:val="en-US"/>
              </w:rPr>
              <w:t>5.14</w:t>
            </w:r>
            <w:r w:rsidR="00016256">
              <w:rPr>
                <w:rFonts w:ascii="Times New Roman" w:eastAsia="TimesNewRomanPSMT" w:hAnsi="Times New Roman" w:cs="Times New Roman"/>
                <w:sz w:val="20"/>
                <w:szCs w:val="20"/>
                <w:lang w:val="en-US"/>
              </w:rPr>
              <w:t xml:space="preserve"> </w:t>
            </w:r>
            <w:r w:rsidR="00A25DE3" w:rsidRPr="00A25DE3">
              <w:rPr>
                <w:rFonts w:ascii="Times New Roman" w:eastAsia="TimesNewRomanPSMT" w:hAnsi="Times New Roman" w:cs="Times New Roman"/>
                <w:sz w:val="20"/>
                <w:szCs w:val="20"/>
                <w:lang w:val="en-US"/>
              </w:rPr>
              <w:t>±</w:t>
            </w:r>
            <w:r w:rsidR="00016256">
              <w:rPr>
                <w:rFonts w:ascii="Times New Roman" w:eastAsia="TimesNewRomanPSMT" w:hAnsi="Times New Roman" w:cs="Times New Roman"/>
                <w:sz w:val="20"/>
                <w:szCs w:val="20"/>
                <w:lang w:val="en-US"/>
              </w:rPr>
              <w:t xml:space="preserve"> </w:t>
            </w:r>
            <w:r w:rsidR="00A25DE3" w:rsidRPr="00A25DE3">
              <w:rPr>
                <w:rFonts w:ascii="Times New Roman" w:eastAsia="TimesNewRomanPSMT" w:hAnsi="Times New Roman" w:cs="Times New Roman"/>
                <w:sz w:val="20"/>
                <w:szCs w:val="20"/>
                <w:lang w:val="en-US"/>
              </w:rPr>
              <w:t>0.42</w:t>
            </w:r>
          </w:p>
        </w:tc>
      </w:tr>
    </w:tbl>
    <w:p w:rsidR="009C3C8C" w:rsidRPr="0020167C" w:rsidRDefault="00016256" w:rsidP="00AA1EAF">
      <w:pPr>
        <w:ind w:firstLine="245"/>
        <w:rPr>
          <w:rFonts w:ascii="Times New Roman" w:eastAsia="TimesNewRomanPSMT" w:hAnsi="Times New Roman" w:cs="Times New Roman"/>
          <w:sz w:val="20"/>
          <w:szCs w:val="20"/>
          <w:lang w:val="en-US"/>
        </w:rPr>
      </w:pPr>
      <w:r w:rsidRPr="00016256">
        <w:rPr>
          <w:rFonts w:ascii="Times New Roman" w:eastAsia="TimesNewRomanPSMT" w:hAnsi="Times New Roman" w:cs="Times New Roman"/>
          <w:sz w:val="20"/>
          <w:szCs w:val="20"/>
          <w:lang w:val="en-US"/>
        </w:rPr>
        <w:t>Note: * – p &lt; 0.05</w:t>
      </w:r>
      <w:r w:rsidR="00170B26">
        <w:rPr>
          <w:rFonts w:ascii="Times New Roman" w:eastAsia="TimesNewRomanPSMT" w:hAnsi="Times New Roman" w:cs="Times New Roman"/>
          <w:sz w:val="20"/>
          <w:szCs w:val="20"/>
          <w:lang w:val="en-US"/>
        </w:rPr>
        <w:t>,</w:t>
      </w:r>
      <w:r w:rsidRPr="00016256">
        <w:rPr>
          <w:rFonts w:ascii="Times New Roman" w:eastAsia="TimesNewRomanPSMT" w:hAnsi="Times New Roman" w:cs="Times New Roman"/>
          <w:sz w:val="20"/>
          <w:szCs w:val="20"/>
          <w:lang w:val="en-US"/>
        </w:rPr>
        <w:t xml:space="preserve"> ** – p &lt; 0.01</w:t>
      </w:r>
      <w:r w:rsidR="00170B26">
        <w:rPr>
          <w:rFonts w:ascii="Times New Roman" w:eastAsia="TimesNewRomanPSMT" w:hAnsi="Times New Roman" w:cs="Times New Roman"/>
          <w:sz w:val="20"/>
          <w:szCs w:val="20"/>
          <w:lang w:val="en-US"/>
        </w:rPr>
        <w:t>, *** – p &lt; 0.001</w:t>
      </w:r>
      <w:r w:rsidRPr="00016256">
        <w:rPr>
          <w:rFonts w:ascii="Times New Roman" w:eastAsia="TimesNewRomanPSMT" w:hAnsi="Times New Roman" w:cs="Times New Roman"/>
          <w:sz w:val="20"/>
          <w:szCs w:val="20"/>
          <w:lang w:val="en-US"/>
        </w:rPr>
        <w:t xml:space="preserve"> vs levels prior to treatme</w:t>
      </w:r>
      <w:r>
        <w:rPr>
          <w:rFonts w:ascii="Times New Roman" w:eastAsia="TimesNewRomanPSMT" w:hAnsi="Times New Roman" w:cs="Times New Roman"/>
          <w:sz w:val="20"/>
          <w:szCs w:val="20"/>
          <w:lang w:val="en-US"/>
        </w:rPr>
        <w:t>nt</w:t>
      </w:r>
    </w:p>
    <w:p w:rsidR="004C062C" w:rsidRPr="0020167C" w:rsidRDefault="004C062C" w:rsidP="00406FD8">
      <w:pPr>
        <w:autoSpaceDE w:val="0"/>
        <w:autoSpaceDN w:val="0"/>
        <w:adjustRightInd w:val="0"/>
        <w:spacing w:after="0" w:line="240" w:lineRule="auto"/>
        <w:ind w:left="0"/>
        <w:rPr>
          <w:rFonts w:ascii="Times New Roman" w:eastAsia="TimesNewRomanPSMT" w:hAnsi="Times New Roman" w:cs="Times New Roman"/>
          <w:sz w:val="20"/>
          <w:szCs w:val="20"/>
          <w:lang w:val="en-US"/>
        </w:rPr>
      </w:pPr>
      <w:r w:rsidRPr="0020167C">
        <w:rPr>
          <w:rFonts w:ascii="Times New Roman" w:eastAsia="TimesNewRomanPSMT" w:hAnsi="Times New Roman" w:cs="Times New Roman"/>
          <w:sz w:val="20"/>
          <w:szCs w:val="20"/>
          <w:lang w:val="en-US"/>
        </w:rPr>
        <w:t xml:space="preserve">In the second group </w:t>
      </w:r>
      <w:r w:rsidR="00FF76BC" w:rsidRPr="00FF76BC">
        <w:rPr>
          <w:rFonts w:ascii="Times New Roman" w:eastAsia="TimesNewRomanPSMT" w:hAnsi="Times New Roman" w:cs="Times New Roman"/>
          <w:sz w:val="20"/>
          <w:szCs w:val="20"/>
          <w:lang w:val="en-US"/>
        </w:rPr>
        <w:t>(Table 4)</w:t>
      </w:r>
      <w:r w:rsidR="00FF76BC">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of patients, on the background of treatment with a combination of lacidipine and candesartan, the mean TNF-</w:t>
      </w:r>
      <w:r w:rsidRPr="0020167C">
        <w:rPr>
          <w:rFonts w:ascii="Times New Roman" w:eastAsia="TimesNewRomanPSMT" w:hAnsi="Times New Roman" w:cs="Times New Roman"/>
          <w:sz w:val="20"/>
          <w:szCs w:val="20"/>
        </w:rPr>
        <w:t>α</w:t>
      </w:r>
      <w:r w:rsidRPr="0020167C">
        <w:rPr>
          <w:rFonts w:ascii="Times New Roman" w:eastAsia="TimesNewRomanPSMT" w:hAnsi="Times New Roman" w:cs="Times New Roman"/>
          <w:sz w:val="20"/>
          <w:szCs w:val="20"/>
          <w:lang w:val="en-US"/>
        </w:rPr>
        <w:t xml:space="preserve"> decreased by</w:t>
      </w:r>
      <w:r w:rsidR="00016256">
        <w:rPr>
          <w:rFonts w:ascii="Times New Roman" w:eastAsia="TimesNewRomanPSMT" w:hAnsi="Times New Roman" w:cs="Times New Roman"/>
          <w:sz w:val="20"/>
          <w:szCs w:val="20"/>
          <w:lang w:val="en-US"/>
        </w:rPr>
        <w:t xml:space="preserve"> 8</w:t>
      </w:r>
      <w:r w:rsidR="00FF76BC">
        <w:rPr>
          <w:rFonts w:ascii="Times New Roman" w:eastAsia="TimesNewRomanPSMT" w:hAnsi="Times New Roman" w:cs="Times New Roman"/>
          <w:sz w:val="20"/>
          <w:szCs w:val="20"/>
          <w:lang w:val="en-US"/>
        </w:rPr>
        <w:t xml:space="preserve">8 </w:t>
      </w:r>
      <w:r w:rsidR="00016256">
        <w:rPr>
          <w:rFonts w:ascii="Times New Roman" w:eastAsia="TimesNewRomanPSMT" w:hAnsi="Times New Roman" w:cs="Times New Roman"/>
          <w:sz w:val="20"/>
          <w:szCs w:val="20"/>
          <w:lang w:val="en-US"/>
        </w:rPr>
        <w:t>pg/</w:t>
      </w:r>
      <w:r w:rsidRPr="0020167C">
        <w:rPr>
          <w:rFonts w:ascii="Times New Roman" w:eastAsia="TimesNewRomanPSMT" w:hAnsi="Times New Roman" w:cs="Times New Roman"/>
          <w:sz w:val="20"/>
          <w:szCs w:val="20"/>
          <w:lang w:val="en-US"/>
        </w:rPr>
        <w:t>m</w:t>
      </w:r>
      <w:r w:rsidR="00016256">
        <w:rPr>
          <w:rFonts w:ascii="Times New Roman" w:eastAsia="TimesNewRomanPSMT" w:hAnsi="Times New Roman" w:cs="Times New Roman"/>
          <w:sz w:val="20"/>
          <w:szCs w:val="20"/>
          <w:lang w:val="en-US"/>
        </w:rPr>
        <w:t>L</w:t>
      </w:r>
      <w:r w:rsidRPr="0020167C">
        <w:rPr>
          <w:rFonts w:ascii="Times New Roman" w:eastAsia="TimesNewRomanPSMT" w:hAnsi="Times New Roman" w:cs="Times New Roman"/>
          <w:sz w:val="20"/>
          <w:szCs w:val="20"/>
          <w:lang w:val="en-US"/>
        </w:rPr>
        <w:t xml:space="preserve"> (66</w:t>
      </w:r>
      <w:r w:rsidR="00FF76BC">
        <w:rPr>
          <w:rFonts w:ascii="Times New Roman" w:eastAsia="TimesNewRomanPSMT" w:hAnsi="Times New Roman" w:cs="Times New Roman"/>
          <w:sz w:val="20"/>
          <w:szCs w:val="20"/>
          <w:lang w:val="en-US"/>
        </w:rPr>
        <w:t>.2</w:t>
      </w:r>
      <w:r w:rsidR="00016256">
        <w:rPr>
          <w:rFonts w:ascii="Times New Roman" w:eastAsia="TimesNewRomanPSMT" w:hAnsi="Times New Roman" w:cs="Times New Roman"/>
          <w:sz w:val="20"/>
          <w:szCs w:val="20"/>
          <w:lang w:val="en-US"/>
        </w:rPr>
        <w:t>%)</w:t>
      </w:r>
      <w:r w:rsidRPr="0020167C">
        <w:rPr>
          <w:rFonts w:ascii="Times New Roman" w:eastAsia="TimesNewRomanPSMT" w:hAnsi="Times New Roman" w:cs="Times New Roman"/>
          <w:sz w:val="20"/>
          <w:szCs w:val="20"/>
          <w:lang w:val="en-US"/>
        </w:rPr>
        <w:t xml:space="preserve"> compared to the baseline before treatment. With respect to sTNF-</w:t>
      </w:r>
      <w:r w:rsidRPr="0020167C">
        <w:rPr>
          <w:rFonts w:ascii="Times New Roman" w:eastAsia="TimesNewRomanPSMT" w:hAnsi="Times New Roman" w:cs="Times New Roman"/>
          <w:sz w:val="20"/>
          <w:szCs w:val="20"/>
        </w:rPr>
        <w:t>α</w:t>
      </w:r>
      <w:r w:rsidRPr="0020167C">
        <w:rPr>
          <w:rFonts w:ascii="Times New Roman" w:eastAsia="TimesNewRomanPSMT" w:hAnsi="Times New Roman" w:cs="Times New Roman"/>
          <w:sz w:val="20"/>
          <w:szCs w:val="20"/>
          <w:lang w:val="en-US"/>
        </w:rPr>
        <w:t xml:space="preserve">RI, the reverse trend was observed, that is, an increase </w:t>
      </w:r>
      <w:r w:rsidR="00016256">
        <w:rPr>
          <w:rFonts w:ascii="Times New Roman" w:eastAsia="TimesNewRomanPSMT" w:hAnsi="Times New Roman" w:cs="Times New Roman"/>
          <w:sz w:val="20"/>
          <w:szCs w:val="20"/>
          <w:lang w:val="en-US"/>
        </w:rPr>
        <w:t>in its average level by 0.53 ng/</w:t>
      </w:r>
      <w:r w:rsidRPr="0020167C">
        <w:rPr>
          <w:rFonts w:ascii="Times New Roman" w:eastAsia="TimesNewRomanPSMT" w:hAnsi="Times New Roman" w:cs="Times New Roman"/>
          <w:sz w:val="20"/>
          <w:szCs w:val="20"/>
          <w:lang w:val="en-US"/>
        </w:rPr>
        <w:t>m</w:t>
      </w:r>
      <w:r w:rsidR="00016256">
        <w:rPr>
          <w:rFonts w:ascii="Times New Roman" w:eastAsia="TimesNewRomanPSMT" w:hAnsi="Times New Roman" w:cs="Times New Roman"/>
          <w:sz w:val="20"/>
          <w:szCs w:val="20"/>
          <w:lang w:val="en-US"/>
        </w:rPr>
        <w:t>L (25</w:t>
      </w:r>
      <w:r w:rsidR="00D61C67">
        <w:rPr>
          <w:rFonts w:ascii="Times New Roman" w:eastAsia="TimesNewRomanPSMT" w:hAnsi="Times New Roman" w:cs="Times New Roman"/>
          <w:sz w:val="20"/>
          <w:szCs w:val="20"/>
          <w:lang w:val="en-US"/>
        </w:rPr>
        <w:t>.</w:t>
      </w:r>
      <w:r w:rsidR="00C3791D">
        <w:rPr>
          <w:rFonts w:ascii="Times New Roman" w:eastAsia="TimesNewRomanPSMT" w:hAnsi="Times New Roman" w:cs="Times New Roman"/>
          <w:sz w:val="20"/>
          <w:szCs w:val="20"/>
          <w:lang w:val="en-US"/>
        </w:rPr>
        <w:t>2</w:t>
      </w:r>
      <w:r w:rsidRPr="0020167C">
        <w:rPr>
          <w:rFonts w:ascii="Times New Roman" w:eastAsia="TimesNewRomanPSMT" w:hAnsi="Times New Roman" w:cs="Times New Roman"/>
          <w:sz w:val="20"/>
          <w:szCs w:val="20"/>
          <w:lang w:val="en-US"/>
        </w:rPr>
        <w:t xml:space="preserve">%) as, a result of </w:t>
      </w:r>
      <w:r w:rsidR="00954CBE" w:rsidRPr="0020167C">
        <w:rPr>
          <w:rFonts w:ascii="Times New Roman" w:eastAsia="TimesNewRomanPSMT" w:hAnsi="Times New Roman" w:cs="Times New Roman"/>
          <w:sz w:val="20"/>
          <w:szCs w:val="20"/>
          <w:lang w:val="en-US"/>
        </w:rPr>
        <w:t>treatmen</w:t>
      </w:r>
      <w:r w:rsidR="00741CFA">
        <w:rPr>
          <w:rFonts w:ascii="Times New Roman" w:eastAsia="TimesNewRomanPSMT" w:hAnsi="Times New Roman" w:cs="Times New Roman"/>
          <w:sz w:val="20"/>
          <w:szCs w:val="20"/>
          <w:lang w:val="en-US"/>
        </w:rPr>
        <w:t>t.</w:t>
      </w:r>
      <w:r w:rsidR="00016256">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A 7</w:t>
      </w:r>
      <w:r w:rsidR="00016256">
        <w:rPr>
          <w:rFonts w:ascii="Times New Roman" w:eastAsia="TimesNewRomanPSMT" w:hAnsi="Times New Roman" w:cs="Times New Roman"/>
          <w:sz w:val="20"/>
          <w:szCs w:val="20"/>
          <w:lang w:val="en-US"/>
        </w:rPr>
        <w:t>3</w:t>
      </w:r>
      <w:r w:rsidR="00D61C67">
        <w:rPr>
          <w:rFonts w:ascii="Times New Roman" w:eastAsia="TimesNewRomanPSMT" w:hAnsi="Times New Roman" w:cs="Times New Roman"/>
          <w:sz w:val="20"/>
          <w:szCs w:val="20"/>
          <w:lang w:val="en-US"/>
        </w:rPr>
        <w:t>.0</w:t>
      </w:r>
      <w:r w:rsidRPr="0020167C">
        <w:rPr>
          <w:rFonts w:ascii="Times New Roman" w:eastAsia="TimesNewRomanPSMT" w:hAnsi="Times New Roman" w:cs="Times New Roman"/>
          <w:sz w:val="20"/>
          <w:szCs w:val="20"/>
          <w:lang w:val="en-US"/>
        </w:rPr>
        <w:t>% decrease in TNF-</w:t>
      </w:r>
      <w:r w:rsidRPr="0020167C">
        <w:rPr>
          <w:rFonts w:ascii="Times New Roman" w:eastAsia="TimesNewRomanPSMT" w:hAnsi="Times New Roman" w:cs="Times New Roman"/>
          <w:sz w:val="20"/>
          <w:szCs w:val="20"/>
        </w:rPr>
        <w:t>α</w:t>
      </w:r>
      <w:r w:rsidR="00741CFA">
        <w:rPr>
          <w:rFonts w:ascii="Times New Roman" w:eastAsia="TimesNewRomanPSMT" w:hAnsi="Times New Roman" w:cs="Times New Roman"/>
          <w:sz w:val="20"/>
          <w:szCs w:val="20"/>
          <w:lang w:val="en-US"/>
        </w:rPr>
        <w:t>/</w:t>
      </w:r>
      <w:r w:rsidRPr="0020167C">
        <w:rPr>
          <w:rFonts w:ascii="Times New Roman" w:eastAsia="TimesNewRomanPSMT" w:hAnsi="Times New Roman" w:cs="Times New Roman"/>
          <w:sz w:val="20"/>
          <w:szCs w:val="20"/>
          <w:lang w:val="en-US"/>
        </w:rPr>
        <w:t>sTNF-</w:t>
      </w:r>
      <w:r w:rsidRPr="0020167C">
        <w:rPr>
          <w:rFonts w:ascii="Times New Roman" w:eastAsia="TimesNewRomanPSMT" w:hAnsi="Times New Roman" w:cs="Times New Roman"/>
          <w:sz w:val="20"/>
          <w:szCs w:val="20"/>
        </w:rPr>
        <w:t>α</w:t>
      </w:r>
      <w:r w:rsidRPr="0020167C">
        <w:rPr>
          <w:rFonts w:ascii="Times New Roman" w:eastAsia="TimesNewRomanPSMT" w:hAnsi="Times New Roman" w:cs="Times New Roman"/>
          <w:sz w:val="20"/>
          <w:szCs w:val="20"/>
          <w:lang w:val="en-US"/>
        </w:rPr>
        <w:t>RI ratio reflected a significant decrease in the level of autoimmune activation under the influence of 10-week ARB + CCB therapy.</w:t>
      </w:r>
      <w:r w:rsidR="00406FD8">
        <w:rPr>
          <w:rFonts w:ascii="Times New Roman" w:eastAsia="TimesNewRomanPSMT" w:hAnsi="Times New Roman" w:cs="Times New Roman"/>
          <w:sz w:val="20"/>
          <w:szCs w:val="20"/>
          <w:lang w:val="en-US"/>
        </w:rPr>
        <w:t xml:space="preserve"> </w:t>
      </w:r>
      <w:r w:rsidRPr="002907EC">
        <w:rPr>
          <w:rFonts w:ascii="Times New Roman" w:eastAsia="TimesNewRomanPSMT" w:hAnsi="Times New Roman" w:cs="Times New Roman"/>
          <w:sz w:val="20"/>
          <w:szCs w:val="20"/>
          <w:lang w:val="en-US"/>
        </w:rPr>
        <w:t>In the third group of patients, the combination of fosinopril sodium with hydrochlorothiazide significantly reduced the mean TNF-</w:t>
      </w:r>
      <w:r w:rsidRPr="002907EC">
        <w:rPr>
          <w:rFonts w:ascii="Times New Roman" w:eastAsia="TimesNewRomanPSMT" w:hAnsi="Times New Roman" w:cs="Times New Roman"/>
          <w:sz w:val="20"/>
          <w:szCs w:val="20"/>
        </w:rPr>
        <w:t>α</w:t>
      </w:r>
      <w:r w:rsidRPr="002907EC">
        <w:rPr>
          <w:rFonts w:ascii="Times New Roman" w:eastAsia="TimesNewRomanPSMT" w:hAnsi="Times New Roman" w:cs="Times New Roman"/>
          <w:sz w:val="20"/>
          <w:szCs w:val="20"/>
          <w:lang w:val="en-US"/>
        </w:rPr>
        <w:t xml:space="preserve"> </w:t>
      </w:r>
      <w:r w:rsidR="00AA1EAF" w:rsidRPr="002907EC">
        <w:rPr>
          <w:rFonts w:ascii="Times New Roman" w:eastAsia="TimesNewRomanPSMT" w:hAnsi="Times New Roman" w:cs="Times New Roman"/>
          <w:sz w:val="20"/>
          <w:szCs w:val="20"/>
          <w:lang w:val="en-US"/>
        </w:rPr>
        <w:t>by</w:t>
      </w:r>
      <w:r w:rsidR="002907EC">
        <w:rPr>
          <w:rFonts w:ascii="Times New Roman" w:eastAsia="TimesNewRomanPSMT" w:hAnsi="Times New Roman" w:cs="Times New Roman"/>
          <w:sz w:val="20"/>
          <w:szCs w:val="20"/>
          <w:lang w:val="en-US"/>
        </w:rPr>
        <w:t xml:space="preserve"> 37.6</w:t>
      </w:r>
      <w:r w:rsidR="00AA1EAF">
        <w:rPr>
          <w:rFonts w:ascii="Times New Roman" w:eastAsia="TimesNewRomanPSMT" w:hAnsi="Times New Roman" w:cs="Times New Roman"/>
          <w:sz w:val="20"/>
          <w:szCs w:val="20"/>
          <w:lang w:val="en-US"/>
        </w:rPr>
        <w:t xml:space="preserve"> pg</w:t>
      </w:r>
      <w:r w:rsidR="002A011F" w:rsidRPr="00B5541A">
        <w:rPr>
          <w:rFonts w:ascii="Times New Roman" w:eastAsia="TimesNewRomanPSMT" w:hAnsi="Times New Roman" w:cs="Times New Roman"/>
          <w:sz w:val="20"/>
          <w:szCs w:val="20"/>
          <w:lang w:val="en-US"/>
        </w:rPr>
        <w:t>/m</w:t>
      </w:r>
      <w:r w:rsidR="00AA1EAF">
        <w:rPr>
          <w:rFonts w:ascii="Times New Roman" w:eastAsia="TimesNewRomanPSMT" w:hAnsi="Times New Roman" w:cs="Times New Roman"/>
          <w:sz w:val="20"/>
          <w:szCs w:val="20"/>
          <w:lang w:val="en-US"/>
        </w:rPr>
        <w:t>L</w:t>
      </w:r>
      <w:r w:rsidR="002A011F" w:rsidRPr="00B5541A">
        <w:rPr>
          <w:rFonts w:ascii="Times New Roman" w:eastAsia="TimesNewRomanPSMT" w:hAnsi="Times New Roman" w:cs="Times New Roman"/>
          <w:sz w:val="20"/>
          <w:szCs w:val="20"/>
          <w:lang w:val="en-US"/>
        </w:rPr>
        <w:t xml:space="preserve"> (48</w:t>
      </w:r>
      <w:r w:rsidR="002907EC">
        <w:rPr>
          <w:rFonts w:ascii="Times New Roman" w:eastAsia="TimesNewRomanPSMT" w:hAnsi="Times New Roman" w:cs="Times New Roman"/>
          <w:sz w:val="20"/>
          <w:szCs w:val="20"/>
          <w:lang w:val="en-US"/>
        </w:rPr>
        <w:t>.1</w:t>
      </w:r>
      <w:r w:rsidR="001924D9">
        <w:rPr>
          <w:rFonts w:ascii="Times New Roman" w:eastAsia="TimesNewRomanPSMT" w:hAnsi="Times New Roman" w:cs="Times New Roman"/>
          <w:sz w:val="20"/>
          <w:szCs w:val="20"/>
          <w:lang w:val="en-US"/>
        </w:rPr>
        <w:t xml:space="preserve">%). </w:t>
      </w:r>
      <w:r w:rsidRPr="00B5541A">
        <w:rPr>
          <w:rFonts w:ascii="Times New Roman" w:eastAsia="TimesNewRomanPSMT" w:hAnsi="Times New Roman" w:cs="Times New Roman"/>
          <w:sz w:val="20"/>
          <w:szCs w:val="20"/>
          <w:lang w:val="en-US"/>
        </w:rPr>
        <w:t>With respect to sTNF-</w:t>
      </w:r>
      <w:r w:rsidRPr="00B5541A">
        <w:rPr>
          <w:rFonts w:ascii="Times New Roman" w:eastAsia="TimesNewRomanPSMT" w:hAnsi="Times New Roman" w:cs="Times New Roman"/>
          <w:sz w:val="20"/>
          <w:szCs w:val="20"/>
        </w:rPr>
        <w:t>α</w:t>
      </w:r>
      <w:r w:rsidR="00ED0E27" w:rsidRPr="00B5541A">
        <w:rPr>
          <w:rFonts w:ascii="Times New Roman" w:eastAsia="TimesNewRomanPSMT" w:hAnsi="Times New Roman" w:cs="Times New Roman"/>
          <w:sz w:val="20"/>
          <w:szCs w:val="20"/>
          <w:lang w:val="en-US"/>
        </w:rPr>
        <w:t>RI</w:t>
      </w:r>
      <w:r w:rsidRPr="00B5541A">
        <w:rPr>
          <w:rFonts w:ascii="Times New Roman" w:eastAsia="TimesNewRomanPSMT" w:hAnsi="Times New Roman" w:cs="Times New Roman"/>
          <w:sz w:val="20"/>
          <w:szCs w:val="20"/>
          <w:lang w:val="en-US"/>
        </w:rPr>
        <w:t xml:space="preserve"> an insignificant increase in the mean level </w:t>
      </w:r>
      <w:r w:rsidR="00ED0E27" w:rsidRPr="00B5541A">
        <w:rPr>
          <w:rFonts w:ascii="Times New Roman" w:eastAsia="TimesNewRomanPSMT" w:hAnsi="Times New Roman" w:cs="Times New Roman"/>
          <w:sz w:val="20"/>
          <w:szCs w:val="20"/>
          <w:lang w:val="en-US"/>
        </w:rPr>
        <w:t>of sTNF-</w:t>
      </w:r>
      <w:r w:rsidR="00ED0E27" w:rsidRPr="00B5541A">
        <w:rPr>
          <w:rFonts w:ascii="Times New Roman" w:eastAsia="TimesNewRomanPSMT" w:hAnsi="Times New Roman" w:cs="Times New Roman"/>
          <w:sz w:val="20"/>
          <w:szCs w:val="20"/>
        </w:rPr>
        <w:t>α</w:t>
      </w:r>
      <w:r w:rsidR="00ED0E27" w:rsidRPr="00B5541A">
        <w:rPr>
          <w:rFonts w:ascii="Times New Roman" w:eastAsia="TimesNewRomanPSMT" w:hAnsi="Times New Roman" w:cs="Times New Roman"/>
          <w:sz w:val="20"/>
          <w:szCs w:val="20"/>
          <w:lang w:val="en-US"/>
        </w:rPr>
        <w:t xml:space="preserve">RI as, a result of </w:t>
      </w:r>
      <w:r w:rsidR="001924D9">
        <w:rPr>
          <w:rFonts w:ascii="Times New Roman" w:eastAsia="TimesNewRomanPSMT" w:hAnsi="Times New Roman" w:cs="Times New Roman"/>
          <w:sz w:val="20"/>
          <w:szCs w:val="20"/>
          <w:lang w:val="en-US"/>
        </w:rPr>
        <w:t>treatment, by 0.13 ng/</w:t>
      </w:r>
      <w:r w:rsidR="00ED0E27" w:rsidRPr="00B5541A">
        <w:rPr>
          <w:rFonts w:ascii="Times New Roman" w:eastAsia="TimesNewRomanPSMT" w:hAnsi="Times New Roman" w:cs="Times New Roman"/>
          <w:sz w:val="20"/>
          <w:szCs w:val="20"/>
          <w:lang w:val="en-US"/>
        </w:rPr>
        <w:t>m</w:t>
      </w:r>
      <w:r w:rsidR="001924D9">
        <w:rPr>
          <w:rFonts w:ascii="Times New Roman" w:eastAsia="TimesNewRomanPSMT" w:hAnsi="Times New Roman" w:cs="Times New Roman"/>
          <w:sz w:val="20"/>
          <w:szCs w:val="20"/>
          <w:lang w:val="en-US"/>
        </w:rPr>
        <w:t>L (5</w:t>
      </w:r>
      <w:r w:rsidR="0051548B">
        <w:rPr>
          <w:rFonts w:ascii="Times New Roman" w:eastAsia="TimesNewRomanPSMT" w:hAnsi="Times New Roman" w:cs="Times New Roman"/>
          <w:sz w:val="20"/>
          <w:szCs w:val="20"/>
          <w:lang w:val="en-US"/>
        </w:rPr>
        <w:t>.8</w:t>
      </w:r>
      <w:r w:rsidR="001924D9">
        <w:rPr>
          <w:rFonts w:ascii="Times New Roman" w:eastAsia="TimesNewRomanPSMT" w:hAnsi="Times New Roman" w:cs="Times New Roman"/>
          <w:sz w:val="20"/>
          <w:szCs w:val="20"/>
          <w:lang w:val="en-US"/>
        </w:rPr>
        <w:t xml:space="preserve">%). </w:t>
      </w:r>
      <w:r w:rsidRPr="00B5541A">
        <w:rPr>
          <w:rFonts w:ascii="Times New Roman" w:eastAsia="TimesNewRomanPSMT" w:hAnsi="Times New Roman" w:cs="Times New Roman"/>
          <w:sz w:val="20"/>
          <w:szCs w:val="20"/>
          <w:lang w:val="en-US"/>
        </w:rPr>
        <w:t>The value of TNF-</w:t>
      </w:r>
      <w:r w:rsidRPr="00B5541A">
        <w:rPr>
          <w:rFonts w:ascii="Times New Roman" w:eastAsia="TimesNewRomanPSMT" w:hAnsi="Times New Roman" w:cs="Times New Roman"/>
          <w:sz w:val="20"/>
          <w:szCs w:val="20"/>
        </w:rPr>
        <w:t>α</w:t>
      </w:r>
      <w:r w:rsidR="001924D9">
        <w:rPr>
          <w:rFonts w:ascii="Times New Roman" w:eastAsia="TimesNewRomanPSMT" w:hAnsi="Times New Roman" w:cs="Times New Roman"/>
          <w:sz w:val="20"/>
          <w:szCs w:val="20"/>
          <w:lang w:val="en-US"/>
        </w:rPr>
        <w:t>/</w:t>
      </w:r>
      <w:r w:rsidRPr="00B5541A">
        <w:rPr>
          <w:rFonts w:ascii="Times New Roman" w:eastAsia="TimesNewRomanPSMT" w:hAnsi="Times New Roman" w:cs="Times New Roman"/>
          <w:sz w:val="20"/>
          <w:szCs w:val="20"/>
          <w:lang w:val="en-US"/>
        </w:rPr>
        <w:t>sTNF-</w:t>
      </w:r>
      <w:r w:rsidRPr="00B5541A">
        <w:rPr>
          <w:rFonts w:ascii="Times New Roman" w:eastAsia="TimesNewRomanPSMT" w:hAnsi="Times New Roman" w:cs="Times New Roman"/>
          <w:sz w:val="20"/>
          <w:szCs w:val="20"/>
        </w:rPr>
        <w:t>α</w:t>
      </w:r>
      <w:r w:rsidRPr="00B5541A">
        <w:rPr>
          <w:rFonts w:ascii="Times New Roman" w:eastAsia="TimesNewRomanPSMT" w:hAnsi="Times New Roman" w:cs="Times New Roman"/>
          <w:sz w:val="20"/>
          <w:szCs w:val="20"/>
          <w:lang w:val="en-US"/>
        </w:rPr>
        <w:t xml:space="preserve">RI ratio </w:t>
      </w:r>
      <w:r w:rsidR="0051548B">
        <w:rPr>
          <w:rFonts w:ascii="Times New Roman" w:eastAsia="TimesNewRomanPSMT" w:hAnsi="Times New Roman" w:cs="Times New Roman"/>
          <w:sz w:val="20"/>
          <w:szCs w:val="20"/>
          <w:lang w:val="en-US"/>
        </w:rPr>
        <w:t>decreased by 17.7</w:t>
      </w:r>
      <w:r w:rsidRPr="00B5541A">
        <w:rPr>
          <w:rFonts w:ascii="Times New Roman" w:eastAsia="TimesNewRomanPSMT" w:hAnsi="Times New Roman" w:cs="Times New Roman"/>
          <w:sz w:val="20"/>
          <w:szCs w:val="20"/>
          <w:lang w:val="en-US"/>
        </w:rPr>
        <w:t>, or approximately twice, by 5</w:t>
      </w:r>
      <w:r w:rsidR="0051548B">
        <w:rPr>
          <w:rFonts w:ascii="Times New Roman" w:eastAsia="TimesNewRomanPSMT" w:hAnsi="Times New Roman" w:cs="Times New Roman"/>
          <w:sz w:val="20"/>
          <w:szCs w:val="20"/>
          <w:lang w:val="en-US"/>
        </w:rPr>
        <w:t>0.9</w:t>
      </w:r>
      <w:r w:rsidRPr="00B5541A">
        <w:rPr>
          <w:rFonts w:ascii="Times New Roman" w:eastAsia="TimesNewRomanPSMT" w:hAnsi="Times New Roman" w:cs="Times New Roman"/>
          <w:sz w:val="20"/>
          <w:szCs w:val="20"/>
          <w:lang w:val="en-US"/>
        </w:rPr>
        <w:t xml:space="preserve">%, compared to </w:t>
      </w:r>
      <w:r w:rsidRPr="00B5541A">
        <w:rPr>
          <w:rFonts w:ascii="Times New Roman" w:eastAsia="TimesNewRomanPSMT" w:hAnsi="Times New Roman" w:cs="Times New Roman"/>
          <w:sz w:val="20"/>
          <w:szCs w:val="20"/>
          <w:lang w:val="en-US"/>
        </w:rPr>
        <w:lastRenderedPageBreak/>
        <w:t>baseline before treatment, which also reflected a decrease in the level of autoimmune activation under the influence of therapy.</w:t>
      </w:r>
    </w:p>
    <w:p w:rsidR="004C062C" w:rsidRPr="0020167C" w:rsidRDefault="004C062C" w:rsidP="001C7E16">
      <w:pPr>
        <w:autoSpaceDE w:val="0"/>
        <w:autoSpaceDN w:val="0"/>
        <w:adjustRightInd w:val="0"/>
        <w:spacing w:after="0" w:line="240" w:lineRule="auto"/>
        <w:ind w:left="0"/>
        <w:rPr>
          <w:rFonts w:ascii="Times New Roman" w:eastAsia="TimesNewRomanPSMT" w:hAnsi="Times New Roman" w:cs="Times New Roman"/>
          <w:sz w:val="20"/>
          <w:szCs w:val="20"/>
          <w:lang w:val="en-US"/>
        </w:rPr>
      </w:pPr>
      <w:r w:rsidRPr="0020167C">
        <w:rPr>
          <w:rFonts w:ascii="Times New Roman" w:eastAsia="TimesNewRomanPSMT" w:hAnsi="Times New Roman" w:cs="Times New Roman"/>
          <w:sz w:val="20"/>
          <w:szCs w:val="20"/>
          <w:lang w:val="en-US"/>
        </w:rPr>
        <w:t xml:space="preserve">Analyzing the obtained data with respect to the level of 8-isoprostan after 2 months from the start of therapy on the background of treatment in the third group patients, its level decreased by </w:t>
      </w:r>
      <w:r w:rsidR="001924D9">
        <w:rPr>
          <w:rFonts w:ascii="Times New Roman" w:eastAsia="TimesNewRomanPSMT" w:hAnsi="Times New Roman" w:cs="Times New Roman"/>
          <w:sz w:val="20"/>
          <w:szCs w:val="20"/>
          <w:lang w:val="en-US"/>
        </w:rPr>
        <w:t>50</w:t>
      </w:r>
      <w:r w:rsidRPr="0020167C">
        <w:rPr>
          <w:rFonts w:ascii="Times New Roman" w:eastAsia="TimesNewRomanPSMT" w:hAnsi="Times New Roman" w:cs="Times New Roman"/>
          <w:sz w:val="20"/>
          <w:szCs w:val="20"/>
          <w:lang w:val="en-US"/>
        </w:rPr>
        <w:t>% (</w:t>
      </w:r>
      <w:r w:rsidR="00406FD8">
        <w:rPr>
          <w:rFonts w:ascii="Times New Roman" w:eastAsia="TimesNewRomanPSMT" w:hAnsi="Times New Roman" w:cs="Times New Roman"/>
          <w:sz w:val="20"/>
          <w:szCs w:val="20"/>
          <w:lang w:val="en-US"/>
        </w:rPr>
        <w:t>2</w:t>
      </w:r>
      <w:r w:rsidRPr="0020167C">
        <w:rPr>
          <w:rFonts w:ascii="Times New Roman" w:eastAsia="TimesNewRomanPSMT" w:hAnsi="Times New Roman" w:cs="Times New Roman"/>
          <w:sz w:val="20"/>
          <w:szCs w:val="20"/>
          <w:lang w:val="en-US"/>
        </w:rPr>
        <w:t>-fold) from the initial level. In the second group of drugs, the reduction in serum levels of 8-isoprostane by 8</w:t>
      </w:r>
      <w:r w:rsidR="00406FD8">
        <w:rPr>
          <w:rFonts w:ascii="Times New Roman" w:eastAsia="TimesNewRomanPSMT" w:hAnsi="Times New Roman" w:cs="Times New Roman"/>
          <w:sz w:val="20"/>
          <w:szCs w:val="20"/>
          <w:lang w:val="en-US"/>
        </w:rPr>
        <w:t>0.9</w:t>
      </w:r>
      <w:r w:rsidRPr="0020167C">
        <w:rPr>
          <w:rFonts w:ascii="Times New Roman" w:eastAsia="TimesNewRomanPSMT" w:hAnsi="Times New Roman" w:cs="Times New Roman"/>
          <w:sz w:val="20"/>
          <w:szCs w:val="20"/>
          <w:lang w:val="en-US"/>
        </w:rPr>
        <w:t>% (5.2-fold) was observed after 2 month of treatment compared with the baseline. In the first group of patients, the level of 8-isoprostane also decreased by 40% (1.</w:t>
      </w:r>
      <w:r w:rsidR="00406FD8">
        <w:rPr>
          <w:rFonts w:ascii="Times New Roman" w:eastAsia="TimesNewRomanPSMT" w:hAnsi="Times New Roman" w:cs="Times New Roman"/>
          <w:sz w:val="20"/>
          <w:szCs w:val="20"/>
          <w:lang w:val="en-US"/>
        </w:rPr>
        <w:t>7</w:t>
      </w:r>
      <w:r w:rsidRPr="0020167C">
        <w:rPr>
          <w:rFonts w:ascii="Times New Roman" w:eastAsia="TimesNewRomanPSMT" w:hAnsi="Times New Roman" w:cs="Times New Roman"/>
          <w:sz w:val="20"/>
          <w:szCs w:val="20"/>
          <w:lang w:val="en-US"/>
        </w:rPr>
        <w:t>-fold) from the initial level after 2 month of therapy</w:t>
      </w:r>
      <w:r w:rsidR="00F47A8D" w:rsidRPr="0020167C">
        <w:rPr>
          <w:rFonts w:ascii="Times New Roman" w:eastAsia="TimesNewRomanPSMT" w:hAnsi="Times New Roman" w:cs="Times New Roman"/>
          <w:sz w:val="20"/>
          <w:szCs w:val="20"/>
          <w:lang w:val="en-US"/>
        </w:rPr>
        <w:t>.</w:t>
      </w:r>
      <w:r w:rsidRPr="0020167C">
        <w:rPr>
          <w:rFonts w:ascii="Times New Roman" w:eastAsia="TimesNewRomanPSMT" w:hAnsi="Times New Roman" w:cs="Times New Roman"/>
          <w:sz w:val="20"/>
          <w:szCs w:val="20"/>
          <w:lang w:val="en-US"/>
        </w:rPr>
        <w:t xml:space="preserve"> Thus, different protocols of combined therapy with beta-adrenoblocker plus diuretic (bisoprolol and indapamide) and ACE inhibitor plus diuretic (fosinopril and hydrochlorothiazide) expressed similar effect on the dynamics of 8-isoprostane levels during 2 months of treatment.</w:t>
      </w:r>
      <w:r w:rsidR="001C7E16" w:rsidRPr="001C7E16">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Analyzing the dynamics of CRP on the background of combined treatment, we obtained the following data: the mean values of CRP in blood plasma decreased</w:t>
      </w:r>
      <w:r w:rsidR="001924D9">
        <w:rPr>
          <w:rFonts w:ascii="Times New Roman" w:eastAsia="TimesNewRomanPSMT" w:hAnsi="Times New Roman" w:cs="Times New Roman"/>
          <w:sz w:val="20"/>
          <w:szCs w:val="20"/>
          <w:lang w:val="en-US"/>
        </w:rPr>
        <w:t xml:space="preserve"> by 2.01 mg</w:t>
      </w:r>
      <w:r w:rsidRPr="0020167C">
        <w:rPr>
          <w:rFonts w:ascii="Times New Roman" w:eastAsia="TimesNewRomanPSMT" w:hAnsi="Times New Roman" w:cs="Times New Roman"/>
          <w:sz w:val="20"/>
          <w:szCs w:val="20"/>
          <w:lang w:val="en-US"/>
        </w:rPr>
        <w:t>/</w:t>
      </w:r>
      <w:r w:rsidR="001924D9">
        <w:rPr>
          <w:rFonts w:ascii="Times New Roman" w:eastAsia="TimesNewRomanPSMT" w:hAnsi="Times New Roman" w:cs="Times New Roman"/>
          <w:sz w:val="20"/>
          <w:szCs w:val="20"/>
          <w:lang w:val="en-US"/>
        </w:rPr>
        <w:t>L</w:t>
      </w:r>
      <w:r w:rsidRPr="0020167C">
        <w:rPr>
          <w:rFonts w:ascii="Times New Roman" w:eastAsia="TimesNewRomanPSMT" w:hAnsi="Times New Roman" w:cs="Times New Roman"/>
          <w:sz w:val="20"/>
          <w:szCs w:val="20"/>
          <w:lang w:val="en-US"/>
        </w:rPr>
        <w:t xml:space="preserve"> </w:t>
      </w:r>
      <w:r w:rsidRPr="00B1299F">
        <w:rPr>
          <w:rFonts w:ascii="Times New Roman" w:eastAsia="TimesNewRomanPSMT" w:hAnsi="Times New Roman" w:cs="Times New Roman"/>
          <w:sz w:val="20"/>
          <w:szCs w:val="20"/>
          <w:lang w:val="en-US"/>
        </w:rPr>
        <w:t>(34</w:t>
      </w:r>
      <w:r w:rsidR="00B1299F" w:rsidRPr="00B1299F">
        <w:rPr>
          <w:rFonts w:ascii="Times New Roman" w:eastAsia="TimesNewRomanPSMT" w:hAnsi="Times New Roman" w:cs="Times New Roman"/>
          <w:sz w:val="20"/>
          <w:szCs w:val="20"/>
          <w:lang w:val="en-US"/>
        </w:rPr>
        <w:t>.3</w:t>
      </w:r>
      <w:r w:rsidR="001924D9" w:rsidRPr="00B1299F">
        <w:rPr>
          <w:rFonts w:ascii="Times New Roman" w:eastAsia="TimesNewRomanPSMT" w:hAnsi="Times New Roman" w:cs="Times New Roman"/>
          <w:sz w:val="20"/>
          <w:szCs w:val="20"/>
          <w:lang w:val="en-US"/>
        </w:rPr>
        <w:t>%), by 3.13 mg/L</w:t>
      </w:r>
      <w:r w:rsidR="00DA327B" w:rsidRPr="00B1299F">
        <w:rPr>
          <w:rFonts w:ascii="Times New Roman" w:eastAsia="TimesNewRomanPSMT" w:hAnsi="Times New Roman" w:cs="Times New Roman"/>
          <w:sz w:val="20"/>
          <w:szCs w:val="20"/>
          <w:lang w:val="en-US"/>
        </w:rPr>
        <w:t xml:space="preserve"> (4</w:t>
      </w:r>
      <w:r w:rsidRPr="00B1299F">
        <w:rPr>
          <w:rFonts w:ascii="Times New Roman" w:eastAsia="TimesNewRomanPSMT" w:hAnsi="Times New Roman" w:cs="Times New Roman"/>
          <w:sz w:val="20"/>
          <w:szCs w:val="20"/>
          <w:lang w:val="en-US"/>
        </w:rPr>
        <w:t>6</w:t>
      </w:r>
      <w:r w:rsidR="00B1299F" w:rsidRPr="00B1299F">
        <w:rPr>
          <w:rFonts w:ascii="Times New Roman" w:eastAsia="TimesNewRomanPSMT" w:hAnsi="Times New Roman" w:cs="Times New Roman"/>
          <w:sz w:val="20"/>
          <w:szCs w:val="20"/>
          <w:lang w:val="en-US"/>
        </w:rPr>
        <w:t>.0</w:t>
      </w:r>
      <w:r w:rsidRPr="00B1299F">
        <w:rPr>
          <w:rFonts w:ascii="Times New Roman" w:eastAsia="TimesNewRomanPSMT" w:hAnsi="Times New Roman" w:cs="Times New Roman"/>
          <w:sz w:val="20"/>
          <w:szCs w:val="20"/>
          <w:lang w:val="en-US"/>
        </w:rPr>
        <w:t>%)</w:t>
      </w:r>
      <w:r w:rsidR="005D1939" w:rsidRPr="00B1299F">
        <w:rPr>
          <w:rFonts w:ascii="Times New Roman" w:eastAsia="TimesNewRomanPSMT" w:hAnsi="Times New Roman" w:cs="Times New Roman"/>
          <w:sz w:val="20"/>
          <w:szCs w:val="20"/>
          <w:lang w:val="en-US"/>
        </w:rPr>
        <w:t xml:space="preserve"> </w:t>
      </w:r>
      <w:r w:rsidR="00DA327B" w:rsidRPr="00B1299F">
        <w:rPr>
          <w:rFonts w:ascii="Times New Roman" w:eastAsia="TimesNewRomanPSMT" w:hAnsi="Times New Roman" w:cs="Times New Roman"/>
          <w:sz w:val="20"/>
          <w:szCs w:val="20"/>
          <w:lang w:val="en-US"/>
        </w:rPr>
        <w:t>by 1.16 mg</w:t>
      </w:r>
      <w:r w:rsidRPr="00B1299F">
        <w:rPr>
          <w:rFonts w:ascii="Times New Roman" w:eastAsia="TimesNewRomanPSMT" w:hAnsi="Times New Roman" w:cs="Times New Roman"/>
          <w:sz w:val="20"/>
          <w:szCs w:val="20"/>
          <w:lang w:val="en-US"/>
        </w:rPr>
        <w:t>/</w:t>
      </w:r>
      <w:r w:rsidR="00DA327B" w:rsidRPr="00B1299F">
        <w:rPr>
          <w:rFonts w:ascii="Times New Roman" w:eastAsia="TimesNewRomanPSMT" w:hAnsi="Times New Roman" w:cs="Times New Roman"/>
          <w:sz w:val="20"/>
          <w:szCs w:val="20"/>
          <w:lang w:val="en-US"/>
        </w:rPr>
        <w:t>L</w:t>
      </w:r>
      <w:r w:rsidR="00D31BCB" w:rsidRPr="00B1299F">
        <w:rPr>
          <w:rFonts w:ascii="Times New Roman" w:eastAsia="TimesNewRomanPSMT" w:hAnsi="Times New Roman" w:cs="Times New Roman"/>
          <w:sz w:val="20"/>
          <w:szCs w:val="20"/>
          <w:lang w:val="en-US"/>
        </w:rPr>
        <w:t xml:space="preserve"> </w:t>
      </w:r>
      <w:r w:rsidRPr="00B1299F">
        <w:rPr>
          <w:rFonts w:ascii="Times New Roman" w:eastAsia="TimesNewRomanPSMT" w:hAnsi="Times New Roman" w:cs="Times New Roman"/>
          <w:sz w:val="20"/>
          <w:szCs w:val="20"/>
          <w:lang w:val="en-US"/>
        </w:rPr>
        <w:t>(18</w:t>
      </w:r>
      <w:r w:rsidR="00B1299F" w:rsidRPr="00B1299F">
        <w:rPr>
          <w:rFonts w:ascii="Times New Roman" w:eastAsia="TimesNewRomanPSMT" w:hAnsi="Times New Roman" w:cs="Times New Roman"/>
          <w:sz w:val="20"/>
          <w:szCs w:val="20"/>
          <w:lang w:val="en-US"/>
        </w:rPr>
        <w:t>.4</w:t>
      </w:r>
      <w:r w:rsidRPr="00B1299F">
        <w:rPr>
          <w:rFonts w:ascii="Times New Roman" w:eastAsia="TimesNewRomanPSMT" w:hAnsi="Times New Roman" w:cs="Times New Roman"/>
          <w:sz w:val="20"/>
          <w:szCs w:val="20"/>
          <w:lang w:val="en-US"/>
        </w:rPr>
        <w:t xml:space="preserve">%) as, a result of therapy in the </w:t>
      </w:r>
      <w:r w:rsidR="00DA327B" w:rsidRPr="00B1299F">
        <w:rPr>
          <w:rFonts w:ascii="Times New Roman" w:eastAsia="TimesNewRomanPSMT" w:hAnsi="Times New Roman" w:cs="Times New Roman"/>
          <w:sz w:val="20"/>
          <w:szCs w:val="20"/>
          <w:lang w:val="en-US"/>
        </w:rPr>
        <w:t>I</w:t>
      </w:r>
      <w:r w:rsidRPr="00B1299F">
        <w:rPr>
          <w:rFonts w:ascii="Times New Roman" w:eastAsia="TimesNewRomanPSMT" w:hAnsi="Times New Roman" w:cs="Times New Roman"/>
          <w:sz w:val="20"/>
          <w:szCs w:val="20"/>
          <w:lang w:val="en-US"/>
        </w:rPr>
        <w:t xml:space="preserve">, </w:t>
      </w:r>
      <w:r w:rsidR="00DA327B" w:rsidRPr="00B1299F">
        <w:rPr>
          <w:rFonts w:ascii="Times New Roman" w:eastAsia="TimesNewRomanPSMT" w:hAnsi="Times New Roman" w:cs="Times New Roman"/>
          <w:sz w:val="20"/>
          <w:szCs w:val="20"/>
          <w:lang w:val="en-US"/>
        </w:rPr>
        <w:t>II</w:t>
      </w:r>
      <w:r w:rsidRPr="00B1299F">
        <w:rPr>
          <w:rFonts w:ascii="Times New Roman" w:eastAsia="TimesNewRomanPSMT" w:hAnsi="Times New Roman" w:cs="Times New Roman"/>
          <w:sz w:val="20"/>
          <w:szCs w:val="20"/>
          <w:lang w:val="en-US"/>
        </w:rPr>
        <w:t xml:space="preserve"> and </w:t>
      </w:r>
      <w:r w:rsidR="00DA327B" w:rsidRPr="00B1299F">
        <w:rPr>
          <w:rFonts w:ascii="Times New Roman" w:eastAsia="TimesNewRomanPSMT" w:hAnsi="Times New Roman" w:cs="Times New Roman"/>
          <w:sz w:val="20"/>
          <w:szCs w:val="20"/>
          <w:lang w:val="en-US"/>
        </w:rPr>
        <w:t>III</w:t>
      </w:r>
      <w:r w:rsidRPr="00B1299F">
        <w:rPr>
          <w:rFonts w:ascii="Times New Roman" w:eastAsia="TimesNewRomanPSMT" w:hAnsi="Times New Roman" w:cs="Times New Roman"/>
          <w:sz w:val="20"/>
          <w:szCs w:val="20"/>
          <w:lang w:val="en-US"/>
        </w:rPr>
        <w:t xml:space="preserve"> clinical groups, respectively.</w:t>
      </w:r>
    </w:p>
    <w:p w:rsidR="002C6A3D" w:rsidRPr="0020167C" w:rsidRDefault="002C6A3D" w:rsidP="0020167C">
      <w:pPr>
        <w:spacing w:after="0" w:line="240" w:lineRule="auto"/>
        <w:ind w:left="0"/>
        <w:rPr>
          <w:rFonts w:ascii="Times New Roman" w:eastAsia="TimesNewRomanPSMT" w:hAnsi="Times New Roman" w:cs="Times New Roman"/>
          <w:sz w:val="20"/>
          <w:szCs w:val="20"/>
          <w:lang w:val="en-US"/>
        </w:rPr>
      </w:pPr>
      <w:r w:rsidRPr="0020167C">
        <w:rPr>
          <w:rFonts w:ascii="Times New Roman" w:eastAsia="TimesNewRomanPSMT" w:hAnsi="Times New Roman" w:cs="Times New Roman"/>
          <w:sz w:val="20"/>
          <w:szCs w:val="20"/>
          <w:lang w:val="en-US"/>
        </w:rPr>
        <w:t>Under the influence of combined antihypertensive therapy with all the three schemes, there was an improvement in clinical status, presented by a decrease in the intensity and frequency of headache, dizziness, pain in the heart area, fatigue, and an increas</w:t>
      </w:r>
      <w:r w:rsidR="00B1299F">
        <w:rPr>
          <w:rFonts w:ascii="Times New Roman" w:eastAsia="TimesNewRomanPSMT" w:hAnsi="Times New Roman" w:cs="Times New Roman"/>
          <w:sz w:val="20"/>
          <w:szCs w:val="20"/>
          <w:lang w:val="en-US"/>
        </w:rPr>
        <w:t>e in exercise tolerance</w:t>
      </w:r>
      <w:r w:rsidRPr="0020167C">
        <w:rPr>
          <w:rFonts w:ascii="Times New Roman" w:eastAsia="TimesNewRomanPSMT" w:hAnsi="Times New Roman" w:cs="Times New Roman"/>
          <w:sz w:val="20"/>
          <w:szCs w:val="20"/>
          <w:lang w:val="en-US"/>
        </w:rPr>
        <w:t xml:space="preserve"> </w:t>
      </w:r>
      <w:r w:rsidR="00620D9A" w:rsidRPr="00620D9A">
        <w:rPr>
          <w:rFonts w:ascii="Times New Roman" w:eastAsia="TimesNewRomanPSMT" w:hAnsi="Times New Roman" w:cs="Times New Roman"/>
          <w:sz w:val="20"/>
          <w:szCs w:val="20"/>
          <w:lang w:val="en-US"/>
        </w:rPr>
        <w:t>as a result</w:t>
      </w:r>
      <w:r w:rsidR="00B1299F" w:rsidRPr="00620D9A">
        <w:rPr>
          <w:rFonts w:ascii="Times New Roman" w:eastAsia="TimesNewRomanPSMT" w:hAnsi="Times New Roman" w:cs="Times New Roman"/>
          <w:sz w:val="20"/>
          <w:szCs w:val="20"/>
          <w:lang w:val="en-US"/>
        </w:rPr>
        <w:t xml:space="preserve"> significant reduction in blood pressure (Table 5).</w:t>
      </w:r>
      <w:r w:rsidR="00B1299F">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All patients who received treatment with one of the combined anti-hyp</w:t>
      </w:r>
      <w:r w:rsidR="00620D9A">
        <w:rPr>
          <w:rFonts w:ascii="Times New Roman" w:eastAsia="TimesNewRomanPSMT" w:hAnsi="Times New Roman" w:cs="Times New Roman"/>
          <w:sz w:val="20"/>
          <w:szCs w:val="20"/>
          <w:lang w:val="en-US"/>
        </w:rPr>
        <w:t>ertensive therapy regimens were</w:t>
      </w:r>
      <w:r w:rsidR="00A823AD" w:rsidRPr="00A823AD">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 xml:space="preserve">discharged from the hospital </w:t>
      </w:r>
      <w:r w:rsidR="001A2EC9" w:rsidRPr="0020167C">
        <w:rPr>
          <w:rFonts w:ascii="Times New Roman" w:eastAsia="TimesNewRomanPSMT" w:hAnsi="Times New Roman" w:cs="Times New Roman"/>
          <w:sz w:val="20"/>
          <w:szCs w:val="20"/>
          <w:lang w:val="en-US"/>
        </w:rPr>
        <w:t xml:space="preserve">(on the 10th -14th day of treatment) </w:t>
      </w:r>
      <w:r w:rsidRPr="0020167C">
        <w:rPr>
          <w:rFonts w:ascii="Times New Roman" w:eastAsia="TimesNewRomanPSMT" w:hAnsi="Times New Roman" w:cs="Times New Roman"/>
          <w:sz w:val="20"/>
          <w:szCs w:val="20"/>
          <w:lang w:val="en-US"/>
        </w:rPr>
        <w:t>in a satisfactory condition.</w:t>
      </w:r>
    </w:p>
    <w:p w:rsidR="003F0C38" w:rsidRPr="004C1E24" w:rsidRDefault="004C1E24" w:rsidP="003F0C38">
      <w:pPr>
        <w:spacing w:after="0" w:line="240" w:lineRule="auto"/>
        <w:ind w:left="0"/>
        <w:jc w:val="right"/>
        <w:rPr>
          <w:rFonts w:ascii="Times New Roman" w:eastAsia="TimesNewRomanPSMT" w:hAnsi="Times New Roman" w:cs="Times New Roman"/>
          <w:b/>
          <w:sz w:val="20"/>
          <w:szCs w:val="20"/>
          <w:lang w:val="en-US"/>
        </w:rPr>
      </w:pPr>
      <w:r w:rsidRPr="004C1E24">
        <w:rPr>
          <w:rFonts w:ascii="Times New Roman" w:eastAsia="TimesNewRomanPSMT" w:hAnsi="Times New Roman" w:cs="Times New Roman"/>
          <w:b/>
          <w:sz w:val="20"/>
          <w:szCs w:val="20"/>
          <w:lang w:val="en-US"/>
        </w:rPr>
        <w:t>Table 5</w:t>
      </w:r>
    </w:p>
    <w:p w:rsidR="003F0C38" w:rsidRDefault="003F0C38" w:rsidP="003F0C38">
      <w:pPr>
        <w:spacing w:after="0" w:line="240" w:lineRule="auto"/>
        <w:ind w:left="0" w:firstLine="0"/>
        <w:rPr>
          <w:rFonts w:ascii="Times New Roman" w:eastAsia="TimesNewRomanPSMT" w:hAnsi="Times New Roman" w:cs="Times New Roman"/>
          <w:b/>
          <w:sz w:val="20"/>
          <w:szCs w:val="20"/>
          <w:lang w:val="en-US"/>
        </w:rPr>
      </w:pPr>
      <w:r w:rsidRPr="003F0C38">
        <w:rPr>
          <w:rFonts w:ascii="Times New Roman" w:eastAsia="TimesNewRomanPSMT" w:hAnsi="Times New Roman" w:cs="Times New Roman"/>
          <w:b/>
          <w:sz w:val="20"/>
          <w:szCs w:val="20"/>
          <w:lang w:val="en-US"/>
        </w:rPr>
        <w:t>Blood pressure and heart rate</w:t>
      </w:r>
      <w:r w:rsidR="0092385D">
        <w:rPr>
          <w:rFonts w:ascii="Times New Roman" w:eastAsia="TimesNewRomanPSMT" w:hAnsi="Times New Roman" w:cs="Times New Roman"/>
          <w:b/>
          <w:sz w:val="20"/>
          <w:szCs w:val="20"/>
          <w:lang w:val="en-US"/>
        </w:rPr>
        <w:t xml:space="preserve"> dynamics during the course of </w:t>
      </w:r>
      <w:r w:rsidRPr="003F0C38">
        <w:rPr>
          <w:rFonts w:ascii="Times New Roman" w:eastAsia="TimesNewRomanPSMT" w:hAnsi="Times New Roman" w:cs="Times New Roman"/>
          <w:b/>
          <w:sz w:val="20"/>
          <w:szCs w:val="20"/>
          <w:lang w:val="en-US"/>
        </w:rPr>
        <w:t>treatment (</w:t>
      </w:r>
      <w:r w:rsidR="00A823AD">
        <w:rPr>
          <w:rFonts w:ascii="Times New Roman" w:eastAsia="TimesNewRomanPSMT" w:hAnsi="Times New Roman" w:cs="Times New Roman"/>
          <w:b/>
          <w:sz w:val="20"/>
          <w:szCs w:val="20"/>
          <w:lang w:val="en-US"/>
        </w:rPr>
        <w:t xml:space="preserve">x </w:t>
      </w:r>
      <w:r w:rsidRPr="003F0C38">
        <w:rPr>
          <w:rFonts w:ascii="Times New Roman" w:eastAsia="TimesNewRomanPSMT" w:hAnsi="Times New Roman" w:cs="Times New Roman"/>
          <w:b/>
          <w:sz w:val="20"/>
          <w:szCs w:val="20"/>
          <w:lang w:val="en-US"/>
        </w:rPr>
        <w:t>± SD)</w:t>
      </w:r>
    </w:p>
    <w:p w:rsidR="003F0C38" w:rsidRPr="003F0C38" w:rsidRDefault="003F0C38" w:rsidP="003F0C38">
      <w:pPr>
        <w:spacing w:after="0" w:line="240" w:lineRule="auto"/>
        <w:ind w:left="0" w:firstLine="0"/>
        <w:rPr>
          <w:rFonts w:ascii="Times New Roman" w:eastAsia="TimesNewRomanPSMT" w:hAnsi="Times New Roman" w:cs="Times New Roman"/>
          <w:b/>
          <w:sz w:val="20"/>
          <w:szCs w:val="20"/>
          <w:lang w:val="en-US"/>
        </w:rPr>
      </w:pPr>
    </w:p>
    <w:tbl>
      <w:tblPr>
        <w:tblStyle w:val="a3"/>
        <w:tblW w:w="9834" w:type="dxa"/>
        <w:tblBorders>
          <w:left w:val="none" w:sz="0" w:space="0" w:color="auto"/>
          <w:right w:val="none" w:sz="0" w:space="0" w:color="auto"/>
          <w:insideV w:val="none" w:sz="0" w:space="0" w:color="auto"/>
        </w:tblBorders>
        <w:tblLook w:val="04A0" w:firstRow="1" w:lastRow="0" w:firstColumn="1" w:lastColumn="0" w:noHBand="0" w:noVBand="1"/>
      </w:tblPr>
      <w:tblGrid>
        <w:gridCol w:w="4644"/>
        <w:gridCol w:w="1701"/>
        <w:gridCol w:w="1843"/>
        <w:gridCol w:w="1646"/>
      </w:tblGrid>
      <w:tr w:rsidR="00436B0F" w:rsidTr="00620D9A">
        <w:tc>
          <w:tcPr>
            <w:tcW w:w="4644" w:type="dxa"/>
            <w:tcBorders>
              <w:bottom w:val="single" w:sz="4" w:space="0" w:color="auto"/>
            </w:tcBorders>
          </w:tcPr>
          <w:p w:rsidR="00436B0F" w:rsidRDefault="00436B0F" w:rsidP="00436B0F">
            <w:pPr>
              <w:spacing w:after="0" w:line="240" w:lineRule="auto"/>
              <w:ind w:left="0" w:right="1396" w:firstLine="0"/>
              <w:rPr>
                <w:rFonts w:ascii="Times New Roman" w:eastAsia="TimesNewRomanPSMT" w:hAnsi="Times New Roman" w:cs="Times New Roman"/>
                <w:sz w:val="20"/>
                <w:szCs w:val="20"/>
                <w:lang w:val="en-US"/>
              </w:rPr>
            </w:pPr>
            <w:r w:rsidRPr="00436B0F">
              <w:rPr>
                <w:rFonts w:ascii="Times New Roman" w:eastAsia="TimesNewRomanPSMT" w:hAnsi="Times New Roman" w:cs="Times New Roman"/>
                <w:sz w:val="20"/>
                <w:szCs w:val="20"/>
                <w:lang w:val="en-US"/>
              </w:rPr>
              <w:t>Parameter</w:t>
            </w:r>
          </w:p>
        </w:tc>
        <w:tc>
          <w:tcPr>
            <w:tcW w:w="1701" w:type="dxa"/>
            <w:tcBorders>
              <w:bottom w:val="single" w:sz="4" w:space="0" w:color="auto"/>
            </w:tcBorders>
          </w:tcPr>
          <w:p w:rsidR="00436B0F" w:rsidRPr="00436B0F" w:rsidRDefault="00436B0F" w:rsidP="00873E87">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I </w:t>
            </w:r>
            <w:r w:rsidRPr="00436B0F">
              <w:rPr>
                <w:rFonts w:ascii="Times New Roman" w:eastAsia="TimesNewRomanPSMT" w:hAnsi="Times New Roman" w:cs="Times New Roman"/>
                <w:sz w:val="20"/>
                <w:szCs w:val="20"/>
                <w:lang w:val="en-US"/>
              </w:rPr>
              <w:t>group</w:t>
            </w:r>
          </w:p>
        </w:tc>
        <w:tc>
          <w:tcPr>
            <w:tcW w:w="1843" w:type="dxa"/>
            <w:tcBorders>
              <w:bottom w:val="single" w:sz="4" w:space="0" w:color="auto"/>
            </w:tcBorders>
          </w:tcPr>
          <w:p w:rsidR="00436B0F" w:rsidRDefault="00436B0F" w:rsidP="00873E87">
            <w:pPr>
              <w:spacing w:after="0" w:line="240" w:lineRule="auto"/>
              <w:ind w:left="0" w:firstLine="0"/>
              <w:rPr>
                <w:rFonts w:ascii="Times New Roman" w:eastAsia="TimesNewRomanPSMT" w:hAnsi="Times New Roman" w:cs="Times New Roman"/>
                <w:sz w:val="20"/>
                <w:szCs w:val="20"/>
                <w:lang w:val="en-US"/>
              </w:rPr>
            </w:pPr>
            <w:r w:rsidRPr="00436B0F">
              <w:rPr>
                <w:rFonts w:ascii="Times New Roman" w:eastAsia="TimesNewRomanPSMT" w:hAnsi="Times New Roman" w:cs="Times New Roman"/>
                <w:sz w:val="20"/>
                <w:szCs w:val="20"/>
                <w:lang w:val="en-US"/>
              </w:rPr>
              <w:t>I</w:t>
            </w:r>
            <w:r>
              <w:rPr>
                <w:rFonts w:ascii="Times New Roman" w:eastAsia="TimesNewRomanPSMT" w:hAnsi="Times New Roman" w:cs="Times New Roman"/>
                <w:sz w:val="20"/>
                <w:szCs w:val="20"/>
                <w:lang w:val="en-US"/>
              </w:rPr>
              <w:t>I</w:t>
            </w:r>
            <w:r w:rsidRPr="00436B0F">
              <w:rPr>
                <w:rFonts w:ascii="Times New Roman" w:eastAsia="TimesNewRomanPSMT" w:hAnsi="Times New Roman" w:cs="Times New Roman"/>
                <w:sz w:val="20"/>
                <w:szCs w:val="20"/>
                <w:lang w:val="en-US"/>
              </w:rPr>
              <w:t xml:space="preserve"> group</w:t>
            </w:r>
          </w:p>
        </w:tc>
        <w:tc>
          <w:tcPr>
            <w:tcW w:w="1646" w:type="dxa"/>
            <w:tcBorders>
              <w:bottom w:val="single" w:sz="4" w:space="0" w:color="auto"/>
            </w:tcBorders>
          </w:tcPr>
          <w:p w:rsidR="00436B0F" w:rsidRDefault="00436B0F" w:rsidP="00873E87">
            <w:pPr>
              <w:spacing w:after="0" w:line="240" w:lineRule="auto"/>
              <w:ind w:left="0" w:firstLine="0"/>
              <w:rPr>
                <w:rFonts w:ascii="Times New Roman" w:eastAsia="TimesNewRomanPSMT" w:hAnsi="Times New Roman" w:cs="Times New Roman"/>
                <w:sz w:val="20"/>
                <w:szCs w:val="20"/>
                <w:lang w:val="en-US"/>
              </w:rPr>
            </w:pPr>
            <w:r w:rsidRPr="00436B0F">
              <w:rPr>
                <w:rFonts w:ascii="Times New Roman" w:eastAsia="TimesNewRomanPSMT" w:hAnsi="Times New Roman" w:cs="Times New Roman"/>
                <w:sz w:val="20"/>
                <w:szCs w:val="20"/>
                <w:lang w:val="en-US"/>
              </w:rPr>
              <w:t>I</w:t>
            </w:r>
            <w:r>
              <w:rPr>
                <w:rFonts w:ascii="Times New Roman" w:eastAsia="TimesNewRomanPSMT" w:hAnsi="Times New Roman" w:cs="Times New Roman"/>
                <w:sz w:val="20"/>
                <w:szCs w:val="20"/>
                <w:lang w:val="en-US"/>
              </w:rPr>
              <w:t>II</w:t>
            </w:r>
            <w:r w:rsidRPr="00436B0F">
              <w:rPr>
                <w:rFonts w:ascii="Times New Roman" w:eastAsia="TimesNewRomanPSMT" w:hAnsi="Times New Roman" w:cs="Times New Roman"/>
                <w:sz w:val="20"/>
                <w:szCs w:val="20"/>
                <w:lang w:val="en-US"/>
              </w:rPr>
              <w:t xml:space="preserve"> group</w:t>
            </w:r>
          </w:p>
        </w:tc>
      </w:tr>
      <w:tr w:rsidR="00436B0F" w:rsidTr="00620D9A">
        <w:tc>
          <w:tcPr>
            <w:tcW w:w="4644" w:type="dxa"/>
            <w:tcBorders>
              <w:bottom w:val="nil"/>
            </w:tcBorders>
          </w:tcPr>
          <w:p w:rsidR="00436B0F" w:rsidRDefault="00070105" w:rsidP="003F0C38">
            <w:pPr>
              <w:spacing w:after="0" w:line="240" w:lineRule="auto"/>
              <w:ind w:left="0" w:firstLine="0"/>
              <w:rPr>
                <w:rFonts w:ascii="Times New Roman" w:eastAsia="TimesNewRomanPSMT" w:hAnsi="Times New Roman" w:cs="Times New Roman"/>
                <w:sz w:val="20"/>
                <w:szCs w:val="20"/>
                <w:lang w:val="en-US"/>
              </w:rPr>
            </w:pPr>
            <w:r w:rsidRPr="00070105">
              <w:rPr>
                <w:rFonts w:ascii="Times New Roman" w:eastAsia="TimesNewRomanPSMT" w:hAnsi="Times New Roman" w:cs="Times New Roman"/>
                <w:sz w:val="20"/>
                <w:szCs w:val="20"/>
                <w:lang w:val="en-US"/>
              </w:rPr>
              <w:t>Systolic blood pressure pr</w:t>
            </w:r>
            <w:r w:rsidR="003F0C38">
              <w:rPr>
                <w:rFonts w:ascii="Times New Roman" w:eastAsia="TimesNewRomanPSMT" w:hAnsi="Times New Roman" w:cs="Times New Roman"/>
                <w:sz w:val="20"/>
                <w:szCs w:val="20"/>
                <w:lang w:val="en-US"/>
              </w:rPr>
              <w:t>i</w:t>
            </w:r>
            <w:r w:rsidRPr="00070105">
              <w:rPr>
                <w:rFonts w:ascii="Times New Roman" w:eastAsia="TimesNewRomanPSMT" w:hAnsi="Times New Roman" w:cs="Times New Roman"/>
                <w:sz w:val="20"/>
                <w:szCs w:val="20"/>
                <w:lang w:val="en-US"/>
              </w:rPr>
              <w:t xml:space="preserve">or to treatment  </w:t>
            </w:r>
          </w:p>
        </w:tc>
        <w:tc>
          <w:tcPr>
            <w:tcW w:w="1701" w:type="dxa"/>
            <w:tcBorders>
              <w:bottom w:val="nil"/>
            </w:tcBorders>
          </w:tcPr>
          <w:p w:rsidR="00436B0F" w:rsidRDefault="00070105" w:rsidP="00873E87">
            <w:pPr>
              <w:spacing w:after="0" w:line="240" w:lineRule="auto"/>
              <w:ind w:left="0" w:firstLine="0"/>
              <w:rPr>
                <w:rFonts w:ascii="Times New Roman" w:eastAsia="TimesNewRomanPSMT" w:hAnsi="Times New Roman" w:cs="Times New Roman"/>
                <w:sz w:val="20"/>
                <w:szCs w:val="20"/>
                <w:lang w:val="en-US"/>
              </w:rPr>
            </w:pPr>
            <w:r w:rsidRPr="00070105">
              <w:rPr>
                <w:rFonts w:ascii="Times New Roman" w:eastAsia="TimesNewRomanPSMT" w:hAnsi="Times New Roman" w:cs="Times New Roman"/>
                <w:sz w:val="20"/>
                <w:szCs w:val="20"/>
                <w:lang w:val="en-US"/>
              </w:rPr>
              <w:t>168.3 ± 26.6</w:t>
            </w:r>
          </w:p>
        </w:tc>
        <w:tc>
          <w:tcPr>
            <w:tcW w:w="1843" w:type="dxa"/>
            <w:tcBorders>
              <w:bottom w:val="nil"/>
            </w:tcBorders>
          </w:tcPr>
          <w:p w:rsidR="00436B0F" w:rsidRDefault="00F05974" w:rsidP="00873E87">
            <w:pPr>
              <w:spacing w:after="0" w:line="240" w:lineRule="auto"/>
              <w:ind w:left="0" w:firstLine="0"/>
              <w:rPr>
                <w:rFonts w:ascii="Times New Roman" w:eastAsia="TimesNewRomanPSMT" w:hAnsi="Times New Roman" w:cs="Times New Roman"/>
                <w:sz w:val="20"/>
                <w:szCs w:val="20"/>
                <w:lang w:val="en-US"/>
              </w:rPr>
            </w:pPr>
            <w:r w:rsidRPr="0090612F">
              <w:rPr>
                <w:rFonts w:ascii="Times New Roman" w:eastAsia="TimesNewRomanPSMT" w:hAnsi="Times New Roman" w:cs="Times New Roman"/>
                <w:sz w:val="20"/>
                <w:szCs w:val="20"/>
                <w:lang w:val="en-US"/>
              </w:rPr>
              <w:t>176.0</w:t>
            </w:r>
            <w:r w:rsidR="00D33F8F">
              <w:rPr>
                <w:rFonts w:ascii="Times New Roman" w:eastAsia="TimesNewRomanPSMT" w:hAnsi="Times New Roman" w:cs="Times New Roman"/>
                <w:sz w:val="20"/>
                <w:szCs w:val="20"/>
                <w:lang w:val="en-US"/>
              </w:rPr>
              <w:t xml:space="preserve"> </w:t>
            </w:r>
            <w:r w:rsidRPr="0090612F">
              <w:rPr>
                <w:rFonts w:ascii="Times New Roman" w:eastAsia="TimesNewRomanPSMT" w:hAnsi="Times New Roman" w:cs="Times New Roman"/>
                <w:sz w:val="20"/>
                <w:szCs w:val="20"/>
                <w:lang w:val="en-US"/>
              </w:rPr>
              <w:t>±</w:t>
            </w:r>
            <w:r w:rsidR="00D33F8F">
              <w:rPr>
                <w:rFonts w:ascii="Times New Roman" w:eastAsia="TimesNewRomanPSMT" w:hAnsi="Times New Roman" w:cs="Times New Roman"/>
                <w:sz w:val="20"/>
                <w:szCs w:val="20"/>
                <w:lang w:val="en-US"/>
              </w:rPr>
              <w:t xml:space="preserve"> 27.2</w:t>
            </w:r>
          </w:p>
        </w:tc>
        <w:tc>
          <w:tcPr>
            <w:tcW w:w="1646" w:type="dxa"/>
            <w:tcBorders>
              <w:bottom w:val="nil"/>
            </w:tcBorders>
          </w:tcPr>
          <w:p w:rsidR="00436B0F" w:rsidRDefault="00582CC0" w:rsidP="00582CC0">
            <w:pPr>
              <w:spacing w:after="0" w:line="240" w:lineRule="auto"/>
              <w:ind w:left="0" w:firstLine="0"/>
              <w:rPr>
                <w:rFonts w:ascii="Times New Roman" w:eastAsia="TimesNewRomanPSMT" w:hAnsi="Times New Roman" w:cs="Times New Roman"/>
                <w:sz w:val="20"/>
                <w:szCs w:val="20"/>
                <w:lang w:val="en-US"/>
              </w:rPr>
            </w:pPr>
            <w:r w:rsidRPr="0090612F">
              <w:rPr>
                <w:rFonts w:ascii="Times New Roman" w:eastAsia="TimesNewRomanPSMT" w:hAnsi="Times New Roman" w:cs="Times New Roman"/>
                <w:sz w:val="20"/>
                <w:szCs w:val="20"/>
                <w:lang w:val="en-US"/>
              </w:rPr>
              <w:t>180.</w:t>
            </w:r>
            <w:r>
              <w:rPr>
                <w:rFonts w:ascii="Times New Roman" w:eastAsia="TimesNewRomanPSMT" w:hAnsi="Times New Roman" w:cs="Times New Roman"/>
                <w:sz w:val="20"/>
                <w:szCs w:val="20"/>
                <w:lang w:val="en-US"/>
              </w:rPr>
              <w:t xml:space="preserve">2 </w:t>
            </w:r>
            <w:r w:rsidRPr="0090612F">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w:t>
            </w:r>
            <w:r w:rsidRPr="0090612F">
              <w:rPr>
                <w:rFonts w:ascii="Times New Roman" w:eastAsia="TimesNewRomanPSMT" w:hAnsi="Times New Roman" w:cs="Times New Roman"/>
                <w:sz w:val="20"/>
                <w:szCs w:val="20"/>
                <w:lang w:val="en-US"/>
              </w:rPr>
              <w:t>28.</w:t>
            </w:r>
            <w:r>
              <w:rPr>
                <w:rFonts w:ascii="Times New Roman" w:eastAsia="TimesNewRomanPSMT" w:hAnsi="Times New Roman" w:cs="Times New Roman"/>
                <w:sz w:val="20"/>
                <w:szCs w:val="20"/>
                <w:lang w:val="en-US"/>
              </w:rPr>
              <w:t>6</w:t>
            </w:r>
          </w:p>
        </w:tc>
      </w:tr>
      <w:tr w:rsidR="00436B0F" w:rsidTr="00620D9A">
        <w:tc>
          <w:tcPr>
            <w:tcW w:w="4644" w:type="dxa"/>
            <w:tcBorders>
              <w:top w:val="nil"/>
              <w:bottom w:val="nil"/>
            </w:tcBorders>
          </w:tcPr>
          <w:p w:rsidR="00436B0F" w:rsidRDefault="00070105" w:rsidP="00070105">
            <w:pPr>
              <w:spacing w:after="0" w:line="240" w:lineRule="auto"/>
              <w:ind w:left="0" w:firstLine="0"/>
              <w:rPr>
                <w:rFonts w:ascii="Times New Roman" w:eastAsia="TimesNewRomanPSMT" w:hAnsi="Times New Roman" w:cs="Times New Roman"/>
                <w:sz w:val="20"/>
                <w:szCs w:val="20"/>
                <w:lang w:val="en-US"/>
              </w:rPr>
            </w:pPr>
            <w:r w:rsidRPr="00070105">
              <w:rPr>
                <w:rFonts w:ascii="Times New Roman" w:eastAsia="TimesNewRomanPSMT" w:hAnsi="Times New Roman" w:cs="Times New Roman"/>
                <w:sz w:val="20"/>
                <w:szCs w:val="20"/>
                <w:lang w:val="en-US"/>
              </w:rPr>
              <w:t xml:space="preserve">Systolic blood pressure </w:t>
            </w:r>
            <w:r w:rsidR="002D1640" w:rsidRPr="002D1640">
              <w:rPr>
                <w:rFonts w:ascii="Times New Roman" w:eastAsia="TimesNewRomanPSMT" w:hAnsi="Times New Roman" w:cs="Times New Roman"/>
                <w:sz w:val="20"/>
                <w:szCs w:val="20"/>
                <w:lang w:val="en-US"/>
              </w:rPr>
              <w:t>after 2 weeks of treatment</w:t>
            </w:r>
          </w:p>
        </w:tc>
        <w:tc>
          <w:tcPr>
            <w:tcW w:w="1701" w:type="dxa"/>
            <w:tcBorders>
              <w:top w:val="nil"/>
              <w:bottom w:val="nil"/>
            </w:tcBorders>
          </w:tcPr>
          <w:p w:rsidR="00436B0F" w:rsidRDefault="00070105" w:rsidP="00873E87">
            <w:pPr>
              <w:spacing w:after="0" w:line="240" w:lineRule="auto"/>
              <w:ind w:left="0" w:firstLine="0"/>
              <w:rPr>
                <w:rFonts w:ascii="Times New Roman" w:eastAsia="TimesNewRomanPSMT" w:hAnsi="Times New Roman" w:cs="Times New Roman"/>
                <w:sz w:val="20"/>
                <w:szCs w:val="20"/>
                <w:lang w:val="en-US"/>
              </w:rPr>
            </w:pPr>
            <w:r w:rsidRPr="00070105">
              <w:rPr>
                <w:rFonts w:ascii="Times New Roman" w:eastAsia="TimesNewRomanPSMT" w:hAnsi="Times New Roman" w:cs="Times New Roman"/>
                <w:sz w:val="20"/>
                <w:szCs w:val="20"/>
                <w:lang w:val="en-US"/>
              </w:rPr>
              <w:t>129.5 ± 11.9*</w:t>
            </w:r>
            <w:r w:rsidR="005B55B9" w:rsidRPr="005B55B9">
              <w:rPr>
                <w:rFonts w:ascii="Times New Roman" w:eastAsia="TimesNewRomanPSMT" w:hAnsi="Times New Roman" w:cs="Times New Roman"/>
                <w:sz w:val="20"/>
                <w:szCs w:val="20"/>
                <w:lang w:val="en-US"/>
              </w:rPr>
              <w:t>**</w:t>
            </w:r>
          </w:p>
        </w:tc>
        <w:tc>
          <w:tcPr>
            <w:tcW w:w="1843" w:type="dxa"/>
            <w:tcBorders>
              <w:top w:val="nil"/>
              <w:bottom w:val="nil"/>
            </w:tcBorders>
          </w:tcPr>
          <w:p w:rsidR="00436B0F" w:rsidRDefault="00D33F8F" w:rsidP="00D33F8F">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131.6 </w:t>
            </w:r>
            <w:r w:rsidR="00F05974" w:rsidRPr="0090612F">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11.0</w:t>
            </w:r>
            <w:r w:rsidRPr="00D33F8F">
              <w:rPr>
                <w:rFonts w:ascii="Times New Roman" w:eastAsia="TimesNewRomanPSMT" w:hAnsi="Times New Roman" w:cs="Times New Roman"/>
                <w:sz w:val="20"/>
                <w:szCs w:val="20"/>
                <w:lang w:val="en-US"/>
              </w:rPr>
              <w:t>*</w:t>
            </w:r>
            <w:r w:rsidR="00094707" w:rsidRPr="00094707">
              <w:rPr>
                <w:rFonts w:ascii="Times New Roman" w:eastAsia="TimesNewRomanPSMT" w:hAnsi="Times New Roman" w:cs="Times New Roman"/>
                <w:sz w:val="20"/>
                <w:szCs w:val="20"/>
                <w:lang w:val="en-US"/>
              </w:rPr>
              <w:t>**</w:t>
            </w:r>
          </w:p>
        </w:tc>
        <w:tc>
          <w:tcPr>
            <w:tcW w:w="1646" w:type="dxa"/>
            <w:tcBorders>
              <w:top w:val="nil"/>
              <w:bottom w:val="nil"/>
            </w:tcBorders>
          </w:tcPr>
          <w:p w:rsidR="00436B0F" w:rsidRDefault="00582CC0" w:rsidP="00582CC0">
            <w:pPr>
              <w:spacing w:after="0" w:line="240" w:lineRule="auto"/>
              <w:ind w:left="0" w:firstLine="0"/>
              <w:rPr>
                <w:rFonts w:ascii="Times New Roman" w:eastAsia="TimesNewRomanPSMT" w:hAnsi="Times New Roman" w:cs="Times New Roman"/>
                <w:sz w:val="20"/>
                <w:szCs w:val="20"/>
                <w:lang w:val="en-US"/>
              </w:rPr>
            </w:pPr>
            <w:r w:rsidRPr="0090612F">
              <w:rPr>
                <w:rFonts w:ascii="Times New Roman" w:eastAsia="TimesNewRomanPSMT" w:hAnsi="Times New Roman" w:cs="Times New Roman"/>
                <w:sz w:val="20"/>
                <w:szCs w:val="20"/>
                <w:lang w:val="en-US"/>
              </w:rPr>
              <w:t>132.</w:t>
            </w:r>
            <w:r>
              <w:rPr>
                <w:rFonts w:ascii="Times New Roman" w:eastAsia="TimesNewRomanPSMT" w:hAnsi="Times New Roman" w:cs="Times New Roman"/>
                <w:sz w:val="20"/>
                <w:szCs w:val="20"/>
                <w:lang w:val="en-US"/>
              </w:rPr>
              <w:t xml:space="preserve">6 </w:t>
            </w:r>
            <w:r w:rsidRPr="0090612F">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9.7</w:t>
            </w:r>
            <w:r w:rsidRPr="00582CC0">
              <w:rPr>
                <w:rFonts w:ascii="Times New Roman" w:eastAsia="TimesNewRomanPSMT" w:hAnsi="Times New Roman" w:cs="Times New Roman"/>
                <w:sz w:val="20"/>
                <w:szCs w:val="20"/>
                <w:lang w:val="en-US"/>
              </w:rPr>
              <w:t>*</w:t>
            </w:r>
            <w:r w:rsidR="005B55B9" w:rsidRPr="005B55B9">
              <w:rPr>
                <w:rFonts w:ascii="Times New Roman" w:eastAsia="TimesNewRomanPSMT" w:hAnsi="Times New Roman" w:cs="Times New Roman"/>
                <w:sz w:val="20"/>
                <w:szCs w:val="20"/>
                <w:lang w:val="en-US"/>
              </w:rPr>
              <w:t>**</w:t>
            </w:r>
          </w:p>
        </w:tc>
      </w:tr>
      <w:tr w:rsidR="00436B0F" w:rsidTr="00620D9A">
        <w:tc>
          <w:tcPr>
            <w:tcW w:w="4644" w:type="dxa"/>
            <w:tcBorders>
              <w:top w:val="nil"/>
              <w:bottom w:val="nil"/>
            </w:tcBorders>
          </w:tcPr>
          <w:p w:rsidR="00436B0F" w:rsidRDefault="002D1640" w:rsidP="002D1640">
            <w:pPr>
              <w:spacing w:after="0" w:line="240" w:lineRule="auto"/>
              <w:ind w:left="0" w:firstLine="0"/>
              <w:rPr>
                <w:rFonts w:ascii="Times New Roman" w:eastAsia="TimesNewRomanPSMT" w:hAnsi="Times New Roman" w:cs="Times New Roman"/>
                <w:sz w:val="20"/>
                <w:szCs w:val="20"/>
                <w:lang w:val="en-US"/>
              </w:rPr>
            </w:pPr>
            <w:r w:rsidRPr="002D1640">
              <w:rPr>
                <w:rFonts w:ascii="Times New Roman" w:eastAsia="TimesNewRomanPSMT" w:hAnsi="Times New Roman" w:cs="Times New Roman"/>
                <w:sz w:val="20"/>
                <w:szCs w:val="20"/>
                <w:lang w:val="en-US"/>
              </w:rPr>
              <w:t xml:space="preserve">Diastolic blood pressure prior to treatment   </w:t>
            </w:r>
          </w:p>
        </w:tc>
        <w:tc>
          <w:tcPr>
            <w:tcW w:w="1701" w:type="dxa"/>
            <w:tcBorders>
              <w:top w:val="nil"/>
              <w:bottom w:val="nil"/>
            </w:tcBorders>
          </w:tcPr>
          <w:p w:rsidR="00436B0F" w:rsidRDefault="002D1640" w:rsidP="00873E87">
            <w:pPr>
              <w:spacing w:after="0" w:line="240" w:lineRule="auto"/>
              <w:ind w:left="0" w:firstLine="0"/>
              <w:rPr>
                <w:rFonts w:ascii="Times New Roman" w:eastAsia="TimesNewRomanPSMT" w:hAnsi="Times New Roman" w:cs="Times New Roman"/>
                <w:sz w:val="20"/>
                <w:szCs w:val="20"/>
                <w:lang w:val="en-US"/>
              </w:rPr>
            </w:pPr>
            <w:r w:rsidRPr="002D1640">
              <w:rPr>
                <w:rFonts w:ascii="Times New Roman" w:eastAsia="TimesNewRomanPSMT" w:hAnsi="Times New Roman" w:cs="Times New Roman"/>
                <w:sz w:val="20"/>
                <w:szCs w:val="20"/>
                <w:lang w:val="en-US"/>
              </w:rPr>
              <w:t>100.8 ± 12.7</w:t>
            </w:r>
          </w:p>
        </w:tc>
        <w:tc>
          <w:tcPr>
            <w:tcW w:w="1843" w:type="dxa"/>
            <w:tcBorders>
              <w:top w:val="nil"/>
              <w:bottom w:val="nil"/>
            </w:tcBorders>
          </w:tcPr>
          <w:p w:rsidR="00436B0F" w:rsidRDefault="00D33F8F" w:rsidP="00D33F8F">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105.2 ± 14.1</w:t>
            </w:r>
          </w:p>
        </w:tc>
        <w:tc>
          <w:tcPr>
            <w:tcW w:w="1646" w:type="dxa"/>
            <w:tcBorders>
              <w:top w:val="nil"/>
              <w:bottom w:val="nil"/>
            </w:tcBorders>
          </w:tcPr>
          <w:p w:rsidR="00436B0F" w:rsidRDefault="00582CC0" w:rsidP="00873E87">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107.1 </w:t>
            </w:r>
            <w:r w:rsidRPr="0090612F">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11.3</w:t>
            </w:r>
          </w:p>
        </w:tc>
      </w:tr>
      <w:tr w:rsidR="00436B0F" w:rsidTr="00620D9A">
        <w:tc>
          <w:tcPr>
            <w:tcW w:w="4644" w:type="dxa"/>
            <w:tcBorders>
              <w:top w:val="nil"/>
              <w:bottom w:val="nil"/>
            </w:tcBorders>
          </w:tcPr>
          <w:p w:rsidR="00436B0F" w:rsidRDefault="0092385D" w:rsidP="002D1640">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Diastolic blood pressure </w:t>
            </w:r>
            <w:r w:rsidR="002D1640" w:rsidRPr="002D1640">
              <w:rPr>
                <w:rFonts w:ascii="Times New Roman" w:eastAsia="TimesNewRomanPSMT" w:hAnsi="Times New Roman" w:cs="Times New Roman"/>
                <w:sz w:val="20"/>
                <w:szCs w:val="20"/>
                <w:lang w:val="en-US"/>
              </w:rPr>
              <w:t>after 2 weeks of treatment</w:t>
            </w:r>
          </w:p>
        </w:tc>
        <w:tc>
          <w:tcPr>
            <w:tcW w:w="1701" w:type="dxa"/>
            <w:tcBorders>
              <w:top w:val="nil"/>
              <w:bottom w:val="nil"/>
            </w:tcBorders>
          </w:tcPr>
          <w:p w:rsidR="00436B0F" w:rsidRDefault="002D1640" w:rsidP="00873E87">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w:t>
            </w:r>
            <w:r w:rsidRPr="002D1640">
              <w:rPr>
                <w:rFonts w:ascii="Times New Roman" w:eastAsia="TimesNewRomanPSMT" w:hAnsi="Times New Roman" w:cs="Times New Roman"/>
                <w:sz w:val="20"/>
                <w:szCs w:val="20"/>
                <w:lang w:val="en-US"/>
              </w:rPr>
              <w:t>75.5 ± 6.3*</w:t>
            </w:r>
            <w:r w:rsidR="005B55B9" w:rsidRPr="005B55B9">
              <w:rPr>
                <w:rFonts w:ascii="Times New Roman" w:eastAsia="TimesNewRomanPSMT" w:hAnsi="Times New Roman" w:cs="Times New Roman"/>
                <w:sz w:val="20"/>
                <w:szCs w:val="20"/>
                <w:lang w:val="en-US"/>
              </w:rPr>
              <w:t>**</w:t>
            </w:r>
          </w:p>
        </w:tc>
        <w:tc>
          <w:tcPr>
            <w:tcW w:w="1843" w:type="dxa"/>
            <w:tcBorders>
              <w:top w:val="nil"/>
              <w:bottom w:val="nil"/>
            </w:tcBorders>
          </w:tcPr>
          <w:p w:rsidR="00436B0F" w:rsidRDefault="00D33F8F" w:rsidP="00D33F8F">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w:t>
            </w:r>
            <w:r w:rsidR="00F05974" w:rsidRPr="0090612F">
              <w:rPr>
                <w:rFonts w:ascii="Times New Roman" w:eastAsia="TimesNewRomanPSMT" w:hAnsi="Times New Roman" w:cs="Times New Roman"/>
                <w:sz w:val="20"/>
                <w:szCs w:val="20"/>
                <w:lang w:val="en-US"/>
              </w:rPr>
              <w:t>75.</w:t>
            </w:r>
            <w:r>
              <w:rPr>
                <w:rFonts w:ascii="Times New Roman" w:eastAsia="TimesNewRomanPSMT" w:hAnsi="Times New Roman" w:cs="Times New Roman"/>
                <w:sz w:val="20"/>
                <w:szCs w:val="20"/>
                <w:lang w:val="en-US"/>
              </w:rPr>
              <w:t xml:space="preserve">3 </w:t>
            </w:r>
            <w:r w:rsidR="00F05974" w:rsidRPr="0090612F">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5.0</w:t>
            </w:r>
            <w:r w:rsidRPr="00D33F8F">
              <w:rPr>
                <w:rFonts w:ascii="Times New Roman" w:eastAsia="TimesNewRomanPSMT" w:hAnsi="Times New Roman" w:cs="Times New Roman"/>
                <w:sz w:val="20"/>
                <w:szCs w:val="20"/>
                <w:lang w:val="en-US"/>
              </w:rPr>
              <w:t>*</w:t>
            </w:r>
            <w:r w:rsidR="00094707" w:rsidRPr="00094707">
              <w:rPr>
                <w:rFonts w:ascii="Times New Roman" w:eastAsia="TimesNewRomanPSMT" w:hAnsi="Times New Roman" w:cs="Times New Roman"/>
                <w:sz w:val="20"/>
                <w:szCs w:val="20"/>
                <w:lang w:val="en-US"/>
              </w:rPr>
              <w:t>**</w:t>
            </w:r>
          </w:p>
        </w:tc>
        <w:tc>
          <w:tcPr>
            <w:tcW w:w="1646" w:type="dxa"/>
            <w:tcBorders>
              <w:top w:val="nil"/>
              <w:bottom w:val="nil"/>
            </w:tcBorders>
          </w:tcPr>
          <w:p w:rsidR="00436B0F" w:rsidRDefault="00582CC0" w:rsidP="00873E87">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76.5 </w:t>
            </w:r>
            <w:r w:rsidRPr="0090612F">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5.</w:t>
            </w:r>
            <w:r w:rsidRPr="0090612F">
              <w:rPr>
                <w:rFonts w:ascii="Times New Roman" w:eastAsia="TimesNewRomanPSMT" w:hAnsi="Times New Roman" w:cs="Times New Roman"/>
                <w:sz w:val="20"/>
                <w:szCs w:val="20"/>
                <w:lang w:val="en-US"/>
              </w:rPr>
              <w:t>8</w:t>
            </w:r>
            <w:r w:rsidRPr="00582CC0">
              <w:rPr>
                <w:rFonts w:ascii="Times New Roman" w:eastAsia="TimesNewRomanPSMT" w:hAnsi="Times New Roman" w:cs="Times New Roman"/>
                <w:sz w:val="20"/>
                <w:szCs w:val="20"/>
                <w:lang w:val="en-US"/>
              </w:rPr>
              <w:t>*</w:t>
            </w:r>
            <w:r w:rsidR="005B55B9" w:rsidRPr="005B55B9">
              <w:rPr>
                <w:rFonts w:ascii="Times New Roman" w:eastAsia="TimesNewRomanPSMT" w:hAnsi="Times New Roman" w:cs="Times New Roman"/>
                <w:sz w:val="20"/>
                <w:szCs w:val="20"/>
                <w:lang w:val="en-US"/>
              </w:rPr>
              <w:t>**</w:t>
            </w:r>
          </w:p>
        </w:tc>
      </w:tr>
      <w:tr w:rsidR="00436B0F" w:rsidTr="00620D9A">
        <w:tc>
          <w:tcPr>
            <w:tcW w:w="4644" w:type="dxa"/>
            <w:tcBorders>
              <w:top w:val="nil"/>
              <w:bottom w:val="nil"/>
            </w:tcBorders>
          </w:tcPr>
          <w:p w:rsidR="00436B0F" w:rsidRDefault="0090612F" w:rsidP="002D1640">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A</w:t>
            </w:r>
            <w:r w:rsidRPr="0090612F">
              <w:rPr>
                <w:rFonts w:ascii="Times New Roman" w:eastAsia="TimesNewRomanPSMT" w:hAnsi="Times New Roman" w:cs="Times New Roman"/>
                <w:sz w:val="20"/>
                <w:szCs w:val="20"/>
                <w:lang w:val="en-US"/>
              </w:rPr>
              <w:t xml:space="preserve">verage BP </w:t>
            </w:r>
            <w:r w:rsidR="002D1640" w:rsidRPr="002D1640">
              <w:rPr>
                <w:rFonts w:ascii="Times New Roman" w:eastAsia="TimesNewRomanPSMT" w:hAnsi="Times New Roman" w:cs="Times New Roman"/>
                <w:sz w:val="20"/>
                <w:szCs w:val="20"/>
                <w:lang w:val="en-US"/>
              </w:rPr>
              <w:t xml:space="preserve">blood pressure prior to treatment   </w:t>
            </w:r>
          </w:p>
        </w:tc>
        <w:tc>
          <w:tcPr>
            <w:tcW w:w="1701" w:type="dxa"/>
            <w:tcBorders>
              <w:top w:val="nil"/>
              <w:bottom w:val="nil"/>
            </w:tcBorders>
          </w:tcPr>
          <w:p w:rsidR="00436B0F" w:rsidRDefault="002D1640" w:rsidP="00873E87">
            <w:pPr>
              <w:spacing w:after="0" w:line="240" w:lineRule="auto"/>
              <w:ind w:left="0" w:firstLine="0"/>
              <w:rPr>
                <w:rFonts w:ascii="Times New Roman" w:eastAsia="TimesNewRomanPSMT" w:hAnsi="Times New Roman" w:cs="Times New Roman"/>
                <w:sz w:val="20"/>
                <w:szCs w:val="20"/>
                <w:lang w:val="en-US"/>
              </w:rPr>
            </w:pPr>
            <w:r w:rsidRPr="002D1640">
              <w:rPr>
                <w:rFonts w:ascii="Times New Roman" w:eastAsia="TimesNewRomanPSMT" w:hAnsi="Times New Roman" w:cs="Times New Roman"/>
                <w:sz w:val="20"/>
                <w:szCs w:val="20"/>
                <w:lang w:val="en-US"/>
              </w:rPr>
              <w:t>123.3 ± 16.0</w:t>
            </w:r>
          </w:p>
        </w:tc>
        <w:tc>
          <w:tcPr>
            <w:tcW w:w="1843" w:type="dxa"/>
            <w:tcBorders>
              <w:top w:val="nil"/>
              <w:bottom w:val="nil"/>
            </w:tcBorders>
          </w:tcPr>
          <w:p w:rsidR="00436B0F" w:rsidRDefault="00F05974" w:rsidP="00D33F8F">
            <w:pPr>
              <w:spacing w:after="0" w:line="240" w:lineRule="auto"/>
              <w:ind w:left="0" w:firstLine="0"/>
              <w:rPr>
                <w:rFonts w:ascii="Times New Roman" w:eastAsia="TimesNewRomanPSMT" w:hAnsi="Times New Roman" w:cs="Times New Roman"/>
                <w:sz w:val="20"/>
                <w:szCs w:val="20"/>
                <w:lang w:val="en-US"/>
              </w:rPr>
            </w:pPr>
            <w:r w:rsidRPr="0090612F">
              <w:rPr>
                <w:rFonts w:ascii="Times New Roman" w:eastAsia="TimesNewRomanPSMT" w:hAnsi="Times New Roman" w:cs="Times New Roman"/>
                <w:sz w:val="20"/>
                <w:szCs w:val="20"/>
                <w:lang w:val="en-US"/>
              </w:rPr>
              <w:t>128.</w:t>
            </w:r>
            <w:r w:rsidR="00D33F8F">
              <w:rPr>
                <w:rFonts w:ascii="Times New Roman" w:eastAsia="TimesNewRomanPSMT" w:hAnsi="Times New Roman" w:cs="Times New Roman"/>
                <w:sz w:val="20"/>
                <w:szCs w:val="20"/>
                <w:lang w:val="en-US"/>
              </w:rPr>
              <w:t xml:space="preserve">8 </w:t>
            </w:r>
            <w:r w:rsidRPr="0090612F">
              <w:rPr>
                <w:rFonts w:ascii="Times New Roman" w:eastAsia="TimesNewRomanPSMT" w:hAnsi="Times New Roman" w:cs="Times New Roman"/>
                <w:sz w:val="20"/>
                <w:szCs w:val="20"/>
                <w:lang w:val="en-US"/>
              </w:rPr>
              <w:t>±</w:t>
            </w:r>
            <w:r w:rsidR="00D33F8F">
              <w:rPr>
                <w:rFonts w:ascii="Times New Roman" w:eastAsia="TimesNewRomanPSMT" w:hAnsi="Times New Roman" w:cs="Times New Roman"/>
                <w:sz w:val="20"/>
                <w:szCs w:val="20"/>
                <w:lang w:val="en-US"/>
              </w:rPr>
              <w:t xml:space="preserve"> 17.6</w:t>
            </w:r>
          </w:p>
        </w:tc>
        <w:tc>
          <w:tcPr>
            <w:tcW w:w="1646" w:type="dxa"/>
            <w:tcBorders>
              <w:top w:val="nil"/>
              <w:bottom w:val="nil"/>
            </w:tcBorders>
          </w:tcPr>
          <w:p w:rsidR="00436B0F" w:rsidRDefault="00582CC0" w:rsidP="00582CC0">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131.3 ± 15.7</w:t>
            </w:r>
          </w:p>
        </w:tc>
      </w:tr>
      <w:tr w:rsidR="00436B0F" w:rsidTr="00620D9A">
        <w:tc>
          <w:tcPr>
            <w:tcW w:w="4644" w:type="dxa"/>
            <w:tcBorders>
              <w:top w:val="nil"/>
              <w:bottom w:val="nil"/>
            </w:tcBorders>
          </w:tcPr>
          <w:p w:rsidR="00436B0F" w:rsidRDefault="0090612F" w:rsidP="002D1640">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A</w:t>
            </w:r>
            <w:r w:rsidRPr="0090612F">
              <w:rPr>
                <w:rFonts w:ascii="Times New Roman" w:eastAsia="TimesNewRomanPSMT" w:hAnsi="Times New Roman" w:cs="Times New Roman"/>
                <w:sz w:val="20"/>
                <w:szCs w:val="20"/>
                <w:lang w:val="en-US"/>
              </w:rPr>
              <w:t xml:space="preserve">verage BP </w:t>
            </w:r>
            <w:r w:rsidR="002D1640" w:rsidRPr="002D1640">
              <w:rPr>
                <w:rFonts w:ascii="Times New Roman" w:eastAsia="TimesNewRomanPSMT" w:hAnsi="Times New Roman" w:cs="Times New Roman"/>
                <w:sz w:val="20"/>
                <w:szCs w:val="20"/>
                <w:lang w:val="en-US"/>
              </w:rPr>
              <w:t xml:space="preserve">blood pressure after 2 weeks of treatment  </w:t>
            </w:r>
          </w:p>
        </w:tc>
        <w:tc>
          <w:tcPr>
            <w:tcW w:w="1701" w:type="dxa"/>
            <w:tcBorders>
              <w:top w:val="nil"/>
              <w:bottom w:val="nil"/>
            </w:tcBorders>
          </w:tcPr>
          <w:p w:rsidR="00436B0F" w:rsidRDefault="002D1640" w:rsidP="00873E87">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w:t>
            </w:r>
            <w:r w:rsidRPr="002D1640">
              <w:rPr>
                <w:rFonts w:ascii="Times New Roman" w:eastAsia="TimesNewRomanPSMT" w:hAnsi="Times New Roman" w:cs="Times New Roman"/>
                <w:sz w:val="20"/>
                <w:szCs w:val="20"/>
                <w:lang w:val="en-US"/>
              </w:rPr>
              <w:t>93.4 ± 6.5*</w:t>
            </w:r>
            <w:r w:rsidR="005B55B9" w:rsidRPr="005B55B9">
              <w:rPr>
                <w:rFonts w:ascii="Times New Roman" w:eastAsia="TimesNewRomanPSMT" w:hAnsi="Times New Roman" w:cs="Times New Roman"/>
                <w:sz w:val="20"/>
                <w:szCs w:val="20"/>
                <w:lang w:val="en-US"/>
              </w:rPr>
              <w:t>**</w:t>
            </w:r>
          </w:p>
        </w:tc>
        <w:tc>
          <w:tcPr>
            <w:tcW w:w="1843" w:type="dxa"/>
            <w:tcBorders>
              <w:top w:val="nil"/>
              <w:bottom w:val="nil"/>
            </w:tcBorders>
          </w:tcPr>
          <w:p w:rsidR="00436B0F" w:rsidRDefault="00D33F8F" w:rsidP="00873E87">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93.9 </w:t>
            </w:r>
            <w:r w:rsidR="00F05974" w:rsidRPr="0090612F">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6.2</w:t>
            </w:r>
            <w:r w:rsidRPr="00D33F8F">
              <w:rPr>
                <w:rFonts w:ascii="Times New Roman" w:eastAsia="TimesNewRomanPSMT" w:hAnsi="Times New Roman" w:cs="Times New Roman"/>
                <w:sz w:val="20"/>
                <w:szCs w:val="20"/>
                <w:lang w:val="en-US"/>
              </w:rPr>
              <w:t>*</w:t>
            </w:r>
            <w:r w:rsidR="00094707" w:rsidRPr="00094707">
              <w:rPr>
                <w:rFonts w:ascii="Times New Roman" w:eastAsia="TimesNewRomanPSMT" w:hAnsi="Times New Roman" w:cs="Times New Roman"/>
                <w:sz w:val="20"/>
                <w:szCs w:val="20"/>
                <w:lang w:val="en-US"/>
              </w:rPr>
              <w:t>*</w:t>
            </w:r>
            <w:r w:rsidR="005B55B9" w:rsidRPr="005B55B9">
              <w:rPr>
                <w:rFonts w:ascii="Times New Roman" w:eastAsia="TimesNewRomanPSMT" w:hAnsi="Times New Roman" w:cs="Times New Roman"/>
                <w:sz w:val="20"/>
                <w:szCs w:val="20"/>
                <w:lang w:val="en-US"/>
              </w:rPr>
              <w:t>*</w:t>
            </w:r>
          </w:p>
        </w:tc>
        <w:tc>
          <w:tcPr>
            <w:tcW w:w="1646" w:type="dxa"/>
            <w:tcBorders>
              <w:top w:val="nil"/>
              <w:bottom w:val="nil"/>
            </w:tcBorders>
          </w:tcPr>
          <w:p w:rsidR="00436B0F" w:rsidRDefault="00620D9A" w:rsidP="00873E87">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w:t>
            </w:r>
            <w:r w:rsidR="00582CC0">
              <w:rPr>
                <w:rFonts w:ascii="Times New Roman" w:eastAsia="TimesNewRomanPSMT" w:hAnsi="Times New Roman" w:cs="Times New Roman"/>
                <w:sz w:val="20"/>
                <w:szCs w:val="20"/>
                <w:lang w:val="en-US"/>
              </w:rPr>
              <w:t xml:space="preserve">95.0 </w:t>
            </w:r>
            <w:r w:rsidR="00582CC0" w:rsidRPr="0090612F">
              <w:rPr>
                <w:rFonts w:ascii="Times New Roman" w:eastAsia="TimesNewRomanPSMT" w:hAnsi="Times New Roman" w:cs="Times New Roman"/>
                <w:sz w:val="20"/>
                <w:szCs w:val="20"/>
                <w:lang w:val="en-US"/>
              </w:rPr>
              <w:t>±</w:t>
            </w:r>
            <w:r w:rsidR="00582CC0">
              <w:rPr>
                <w:rFonts w:ascii="Times New Roman" w:eastAsia="TimesNewRomanPSMT" w:hAnsi="Times New Roman" w:cs="Times New Roman"/>
                <w:sz w:val="20"/>
                <w:szCs w:val="20"/>
                <w:lang w:val="en-US"/>
              </w:rPr>
              <w:t xml:space="preserve"> </w:t>
            </w:r>
            <w:r w:rsidR="00582CC0" w:rsidRPr="0090612F">
              <w:rPr>
                <w:rFonts w:ascii="Times New Roman" w:eastAsia="TimesNewRomanPSMT" w:hAnsi="Times New Roman" w:cs="Times New Roman"/>
                <w:sz w:val="20"/>
                <w:szCs w:val="20"/>
                <w:lang w:val="en-US"/>
              </w:rPr>
              <w:t>5.7</w:t>
            </w:r>
            <w:r w:rsidR="00582CC0" w:rsidRPr="00582CC0">
              <w:rPr>
                <w:rFonts w:ascii="Times New Roman" w:eastAsia="TimesNewRomanPSMT" w:hAnsi="Times New Roman" w:cs="Times New Roman"/>
                <w:sz w:val="20"/>
                <w:szCs w:val="20"/>
                <w:lang w:val="en-US"/>
              </w:rPr>
              <w:t>*</w:t>
            </w:r>
            <w:r w:rsidR="005B55B9" w:rsidRPr="005B55B9">
              <w:rPr>
                <w:rFonts w:ascii="Times New Roman" w:eastAsia="TimesNewRomanPSMT" w:hAnsi="Times New Roman" w:cs="Times New Roman"/>
                <w:sz w:val="20"/>
                <w:szCs w:val="20"/>
                <w:lang w:val="en-US"/>
              </w:rPr>
              <w:t>**</w:t>
            </w:r>
          </w:p>
        </w:tc>
      </w:tr>
      <w:tr w:rsidR="00436B0F" w:rsidTr="00620D9A">
        <w:tc>
          <w:tcPr>
            <w:tcW w:w="4644" w:type="dxa"/>
            <w:tcBorders>
              <w:top w:val="nil"/>
              <w:bottom w:val="nil"/>
            </w:tcBorders>
          </w:tcPr>
          <w:p w:rsidR="00436B0F" w:rsidRDefault="002D1640" w:rsidP="002D1640">
            <w:pPr>
              <w:spacing w:after="0" w:line="240" w:lineRule="auto"/>
              <w:ind w:left="0" w:firstLine="0"/>
              <w:rPr>
                <w:rFonts w:ascii="Times New Roman" w:eastAsia="TimesNewRomanPSMT" w:hAnsi="Times New Roman" w:cs="Times New Roman"/>
                <w:sz w:val="20"/>
                <w:szCs w:val="20"/>
                <w:lang w:val="en-US"/>
              </w:rPr>
            </w:pPr>
            <w:r w:rsidRPr="002D1640">
              <w:rPr>
                <w:rFonts w:ascii="Times New Roman" w:eastAsia="TimesNewRomanPSMT" w:hAnsi="Times New Roman" w:cs="Times New Roman"/>
                <w:sz w:val="20"/>
                <w:szCs w:val="20"/>
                <w:lang w:val="en-US"/>
              </w:rPr>
              <w:t xml:space="preserve">Pulse blood pressure prior to treatment     </w:t>
            </w:r>
          </w:p>
        </w:tc>
        <w:tc>
          <w:tcPr>
            <w:tcW w:w="1701" w:type="dxa"/>
            <w:tcBorders>
              <w:top w:val="nil"/>
              <w:bottom w:val="nil"/>
            </w:tcBorders>
          </w:tcPr>
          <w:p w:rsidR="00436B0F" w:rsidRDefault="003F0C38" w:rsidP="00873E87">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w:t>
            </w:r>
            <w:r w:rsidR="002D1640" w:rsidRPr="002D1640">
              <w:rPr>
                <w:rFonts w:ascii="Times New Roman" w:eastAsia="TimesNewRomanPSMT" w:hAnsi="Times New Roman" w:cs="Times New Roman"/>
                <w:sz w:val="20"/>
                <w:szCs w:val="20"/>
                <w:lang w:val="en-US"/>
              </w:rPr>
              <w:t>67.5 ± 19.9</w:t>
            </w:r>
          </w:p>
        </w:tc>
        <w:tc>
          <w:tcPr>
            <w:tcW w:w="1843" w:type="dxa"/>
            <w:tcBorders>
              <w:top w:val="nil"/>
              <w:bottom w:val="nil"/>
            </w:tcBorders>
          </w:tcPr>
          <w:p w:rsidR="00436B0F" w:rsidRDefault="00D33F8F" w:rsidP="00873E87">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71.2 </w:t>
            </w:r>
            <w:r w:rsidRPr="00D33F8F">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18.0</w:t>
            </w:r>
          </w:p>
        </w:tc>
        <w:tc>
          <w:tcPr>
            <w:tcW w:w="1646" w:type="dxa"/>
            <w:tcBorders>
              <w:top w:val="nil"/>
              <w:bottom w:val="nil"/>
            </w:tcBorders>
          </w:tcPr>
          <w:p w:rsidR="00436B0F" w:rsidRDefault="00620D9A" w:rsidP="00873E87">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w:t>
            </w:r>
            <w:r w:rsidR="005B55B9">
              <w:rPr>
                <w:rFonts w:ascii="Times New Roman" w:eastAsia="TimesNewRomanPSMT" w:hAnsi="Times New Roman" w:cs="Times New Roman"/>
                <w:sz w:val="20"/>
                <w:szCs w:val="20"/>
                <w:lang w:val="en-US"/>
              </w:rPr>
              <w:t xml:space="preserve">73.1 </w:t>
            </w:r>
            <w:r w:rsidR="005B55B9" w:rsidRPr="005B55B9">
              <w:rPr>
                <w:rFonts w:ascii="Times New Roman" w:eastAsia="TimesNewRomanPSMT" w:hAnsi="Times New Roman" w:cs="Times New Roman"/>
                <w:sz w:val="20"/>
                <w:szCs w:val="20"/>
                <w:lang w:val="en-US"/>
              </w:rPr>
              <w:t>±</w:t>
            </w:r>
            <w:r w:rsidR="005B55B9">
              <w:rPr>
                <w:rFonts w:ascii="Times New Roman" w:eastAsia="TimesNewRomanPSMT" w:hAnsi="Times New Roman" w:cs="Times New Roman"/>
                <w:sz w:val="20"/>
                <w:szCs w:val="20"/>
                <w:lang w:val="en-US"/>
              </w:rPr>
              <w:t xml:space="preserve"> 22.2</w:t>
            </w:r>
          </w:p>
        </w:tc>
      </w:tr>
      <w:tr w:rsidR="003F0C38" w:rsidTr="00620D9A">
        <w:tc>
          <w:tcPr>
            <w:tcW w:w="4644" w:type="dxa"/>
            <w:tcBorders>
              <w:top w:val="nil"/>
              <w:bottom w:val="nil"/>
            </w:tcBorders>
          </w:tcPr>
          <w:p w:rsidR="003F0C38" w:rsidRPr="002D1640" w:rsidRDefault="003F0C38" w:rsidP="003F0C38">
            <w:pPr>
              <w:spacing w:after="0" w:line="240" w:lineRule="auto"/>
              <w:ind w:left="0" w:firstLine="0"/>
              <w:rPr>
                <w:rFonts w:ascii="Times New Roman" w:eastAsia="TimesNewRomanPSMT" w:hAnsi="Times New Roman" w:cs="Times New Roman"/>
                <w:sz w:val="20"/>
                <w:szCs w:val="20"/>
                <w:lang w:val="en-US"/>
              </w:rPr>
            </w:pPr>
            <w:r w:rsidRPr="003F0C38">
              <w:rPr>
                <w:rFonts w:ascii="Times New Roman" w:eastAsia="TimesNewRomanPSMT" w:hAnsi="Times New Roman" w:cs="Times New Roman"/>
                <w:sz w:val="20"/>
                <w:szCs w:val="20"/>
                <w:lang w:val="en-US"/>
              </w:rPr>
              <w:t xml:space="preserve">Pulse blood pressure after 2 weeks of treatment  </w:t>
            </w:r>
          </w:p>
        </w:tc>
        <w:tc>
          <w:tcPr>
            <w:tcW w:w="1701" w:type="dxa"/>
            <w:tcBorders>
              <w:top w:val="nil"/>
              <w:bottom w:val="nil"/>
            </w:tcBorders>
          </w:tcPr>
          <w:p w:rsidR="003F0C38" w:rsidRDefault="003F0C38" w:rsidP="00873E87">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w:t>
            </w:r>
            <w:r w:rsidRPr="003F0C38">
              <w:rPr>
                <w:rFonts w:ascii="Times New Roman" w:eastAsia="TimesNewRomanPSMT" w:hAnsi="Times New Roman" w:cs="Times New Roman"/>
                <w:sz w:val="20"/>
                <w:szCs w:val="20"/>
                <w:lang w:val="en-US"/>
              </w:rPr>
              <w:t>54.0 ± 11.8*</w:t>
            </w:r>
            <w:r w:rsidR="005B55B9" w:rsidRPr="005B55B9">
              <w:rPr>
                <w:rFonts w:ascii="Times New Roman" w:eastAsia="TimesNewRomanPSMT" w:hAnsi="Times New Roman" w:cs="Times New Roman"/>
                <w:sz w:val="20"/>
                <w:szCs w:val="20"/>
                <w:lang w:val="en-US"/>
              </w:rPr>
              <w:t>**</w:t>
            </w:r>
          </w:p>
        </w:tc>
        <w:tc>
          <w:tcPr>
            <w:tcW w:w="1843" w:type="dxa"/>
            <w:tcBorders>
              <w:top w:val="nil"/>
              <w:bottom w:val="nil"/>
            </w:tcBorders>
          </w:tcPr>
          <w:p w:rsidR="003F0C38" w:rsidRDefault="00D33F8F" w:rsidP="00873E87">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55.9 </w:t>
            </w:r>
            <w:r w:rsidRPr="00D33F8F">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10.6</w:t>
            </w:r>
            <w:r w:rsidRPr="00D33F8F">
              <w:rPr>
                <w:rFonts w:ascii="Times New Roman" w:eastAsia="TimesNewRomanPSMT" w:hAnsi="Times New Roman" w:cs="Times New Roman"/>
                <w:sz w:val="20"/>
                <w:szCs w:val="20"/>
                <w:lang w:val="en-US"/>
              </w:rPr>
              <w:t>*</w:t>
            </w:r>
            <w:r w:rsidR="005B55B9" w:rsidRPr="005B55B9">
              <w:rPr>
                <w:rFonts w:ascii="Times New Roman" w:eastAsia="TimesNewRomanPSMT" w:hAnsi="Times New Roman" w:cs="Times New Roman"/>
                <w:sz w:val="20"/>
                <w:szCs w:val="20"/>
                <w:lang w:val="en-US"/>
              </w:rPr>
              <w:t>**</w:t>
            </w:r>
          </w:p>
        </w:tc>
        <w:tc>
          <w:tcPr>
            <w:tcW w:w="1646" w:type="dxa"/>
            <w:tcBorders>
              <w:top w:val="nil"/>
              <w:bottom w:val="nil"/>
            </w:tcBorders>
          </w:tcPr>
          <w:p w:rsidR="003F0C38" w:rsidRDefault="00620D9A" w:rsidP="00873E87">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w:t>
            </w:r>
            <w:r w:rsidR="005B55B9">
              <w:rPr>
                <w:rFonts w:ascii="Times New Roman" w:eastAsia="TimesNewRomanPSMT" w:hAnsi="Times New Roman" w:cs="Times New Roman"/>
                <w:sz w:val="20"/>
                <w:szCs w:val="20"/>
                <w:lang w:val="en-US"/>
              </w:rPr>
              <w:t xml:space="preserve">55.6 </w:t>
            </w:r>
            <w:r w:rsidR="005B55B9" w:rsidRPr="005B55B9">
              <w:rPr>
                <w:rFonts w:ascii="Times New Roman" w:eastAsia="TimesNewRomanPSMT" w:hAnsi="Times New Roman" w:cs="Times New Roman"/>
                <w:sz w:val="20"/>
                <w:szCs w:val="20"/>
                <w:lang w:val="en-US"/>
              </w:rPr>
              <w:t>±</w:t>
            </w:r>
            <w:r w:rsidR="005B55B9">
              <w:rPr>
                <w:rFonts w:ascii="Times New Roman" w:eastAsia="TimesNewRomanPSMT" w:hAnsi="Times New Roman" w:cs="Times New Roman"/>
                <w:sz w:val="20"/>
                <w:szCs w:val="20"/>
                <w:lang w:val="en-US"/>
              </w:rPr>
              <w:t xml:space="preserve"> 10.1</w:t>
            </w:r>
            <w:r w:rsidR="005B55B9" w:rsidRPr="005B55B9">
              <w:rPr>
                <w:rFonts w:ascii="Times New Roman" w:eastAsia="TimesNewRomanPSMT" w:hAnsi="Times New Roman" w:cs="Times New Roman"/>
                <w:sz w:val="20"/>
                <w:szCs w:val="20"/>
                <w:lang w:val="en-US"/>
              </w:rPr>
              <w:t>***</w:t>
            </w:r>
          </w:p>
        </w:tc>
      </w:tr>
      <w:tr w:rsidR="003F0C38" w:rsidTr="00620D9A">
        <w:tc>
          <w:tcPr>
            <w:tcW w:w="4644" w:type="dxa"/>
            <w:tcBorders>
              <w:top w:val="nil"/>
              <w:bottom w:val="nil"/>
            </w:tcBorders>
          </w:tcPr>
          <w:p w:rsidR="003F0C38" w:rsidRPr="002D1640" w:rsidRDefault="003F0C38" w:rsidP="003F0C38">
            <w:pPr>
              <w:spacing w:after="0" w:line="240" w:lineRule="auto"/>
              <w:ind w:left="0" w:firstLine="0"/>
              <w:rPr>
                <w:rFonts w:ascii="Times New Roman" w:eastAsia="TimesNewRomanPSMT" w:hAnsi="Times New Roman" w:cs="Times New Roman"/>
                <w:sz w:val="20"/>
                <w:szCs w:val="20"/>
                <w:lang w:val="en-US"/>
              </w:rPr>
            </w:pPr>
            <w:r w:rsidRPr="003F0C38">
              <w:rPr>
                <w:rFonts w:ascii="Times New Roman" w:eastAsia="TimesNewRomanPSMT" w:hAnsi="Times New Roman" w:cs="Times New Roman"/>
                <w:sz w:val="20"/>
                <w:szCs w:val="20"/>
                <w:lang w:val="en-US"/>
              </w:rPr>
              <w:t xml:space="preserve">HR prior to treatment     </w:t>
            </w:r>
          </w:p>
        </w:tc>
        <w:tc>
          <w:tcPr>
            <w:tcW w:w="1701" w:type="dxa"/>
            <w:tcBorders>
              <w:top w:val="nil"/>
              <w:bottom w:val="nil"/>
            </w:tcBorders>
          </w:tcPr>
          <w:p w:rsidR="003F0C38" w:rsidRDefault="003F0C38" w:rsidP="00873E87">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w:t>
            </w:r>
            <w:r w:rsidRPr="003F0C38">
              <w:rPr>
                <w:rFonts w:ascii="Times New Roman" w:eastAsia="TimesNewRomanPSMT" w:hAnsi="Times New Roman" w:cs="Times New Roman"/>
                <w:sz w:val="20"/>
                <w:szCs w:val="20"/>
                <w:lang w:val="en-US"/>
              </w:rPr>
              <w:t>83.4 ± 11.9</w:t>
            </w:r>
          </w:p>
        </w:tc>
        <w:tc>
          <w:tcPr>
            <w:tcW w:w="1843" w:type="dxa"/>
            <w:tcBorders>
              <w:top w:val="nil"/>
              <w:bottom w:val="nil"/>
            </w:tcBorders>
          </w:tcPr>
          <w:p w:rsidR="003F0C38" w:rsidRDefault="00D33F8F" w:rsidP="00873E87">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74.2 </w:t>
            </w:r>
            <w:r w:rsidRPr="00D33F8F">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9.2</w:t>
            </w:r>
          </w:p>
        </w:tc>
        <w:tc>
          <w:tcPr>
            <w:tcW w:w="1646" w:type="dxa"/>
            <w:tcBorders>
              <w:top w:val="nil"/>
              <w:bottom w:val="nil"/>
            </w:tcBorders>
          </w:tcPr>
          <w:p w:rsidR="003F0C38" w:rsidRDefault="00620D9A" w:rsidP="00873E87">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w:t>
            </w:r>
            <w:r w:rsidR="005B55B9">
              <w:rPr>
                <w:rFonts w:ascii="Times New Roman" w:eastAsia="TimesNewRomanPSMT" w:hAnsi="Times New Roman" w:cs="Times New Roman"/>
                <w:sz w:val="20"/>
                <w:szCs w:val="20"/>
                <w:lang w:val="en-US"/>
              </w:rPr>
              <w:t xml:space="preserve">78.4 </w:t>
            </w:r>
            <w:r w:rsidR="005B55B9" w:rsidRPr="005B55B9">
              <w:rPr>
                <w:rFonts w:ascii="Times New Roman" w:eastAsia="TimesNewRomanPSMT" w:hAnsi="Times New Roman" w:cs="Times New Roman"/>
                <w:sz w:val="20"/>
                <w:szCs w:val="20"/>
                <w:lang w:val="en-US"/>
              </w:rPr>
              <w:t>±</w:t>
            </w:r>
            <w:r w:rsidR="005B55B9">
              <w:rPr>
                <w:rFonts w:ascii="Times New Roman" w:eastAsia="TimesNewRomanPSMT" w:hAnsi="Times New Roman" w:cs="Times New Roman"/>
                <w:sz w:val="20"/>
                <w:szCs w:val="20"/>
                <w:lang w:val="en-US"/>
              </w:rPr>
              <w:t xml:space="preserve"> 12.1</w:t>
            </w:r>
          </w:p>
        </w:tc>
      </w:tr>
      <w:tr w:rsidR="003F0C38" w:rsidTr="00620D9A">
        <w:tc>
          <w:tcPr>
            <w:tcW w:w="4644" w:type="dxa"/>
            <w:tcBorders>
              <w:top w:val="nil"/>
            </w:tcBorders>
          </w:tcPr>
          <w:p w:rsidR="003F0C38" w:rsidRPr="002D1640" w:rsidRDefault="003F0C38" w:rsidP="003F0C38">
            <w:pPr>
              <w:spacing w:after="0" w:line="240" w:lineRule="auto"/>
              <w:ind w:left="0" w:firstLine="0"/>
              <w:rPr>
                <w:rFonts w:ascii="Times New Roman" w:eastAsia="TimesNewRomanPSMT" w:hAnsi="Times New Roman" w:cs="Times New Roman"/>
                <w:sz w:val="20"/>
                <w:szCs w:val="20"/>
                <w:lang w:val="en-US"/>
              </w:rPr>
            </w:pPr>
            <w:r w:rsidRPr="003F0C38">
              <w:rPr>
                <w:rFonts w:ascii="Times New Roman" w:eastAsia="TimesNewRomanPSMT" w:hAnsi="Times New Roman" w:cs="Times New Roman"/>
                <w:sz w:val="20"/>
                <w:szCs w:val="20"/>
                <w:lang w:val="en-US"/>
              </w:rPr>
              <w:t xml:space="preserve">HR after 2 weeks of treatment  </w:t>
            </w:r>
          </w:p>
        </w:tc>
        <w:tc>
          <w:tcPr>
            <w:tcW w:w="1701" w:type="dxa"/>
            <w:tcBorders>
              <w:top w:val="nil"/>
            </w:tcBorders>
          </w:tcPr>
          <w:p w:rsidR="003F0C38" w:rsidRDefault="003F0C38" w:rsidP="00873E87">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w:t>
            </w:r>
            <w:r w:rsidRPr="003F0C38">
              <w:rPr>
                <w:rFonts w:ascii="Times New Roman" w:eastAsia="TimesNewRomanPSMT" w:hAnsi="Times New Roman" w:cs="Times New Roman"/>
                <w:sz w:val="20"/>
                <w:szCs w:val="20"/>
                <w:lang w:val="en-US"/>
              </w:rPr>
              <w:t>75.3 ± 6.2*</w:t>
            </w:r>
          </w:p>
        </w:tc>
        <w:tc>
          <w:tcPr>
            <w:tcW w:w="1843" w:type="dxa"/>
            <w:tcBorders>
              <w:top w:val="nil"/>
            </w:tcBorders>
          </w:tcPr>
          <w:p w:rsidR="003F0C38" w:rsidRDefault="00582CC0" w:rsidP="00873E87">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w:t>
            </w:r>
            <w:r w:rsidR="00D33F8F">
              <w:rPr>
                <w:rFonts w:ascii="Times New Roman" w:eastAsia="TimesNewRomanPSMT" w:hAnsi="Times New Roman" w:cs="Times New Roman"/>
                <w:sz w:val="20"/>
                <w:szCs w:val="20"/>
                <w:lang w:val="en-US"/>
              </w:rPr>
              <w:t xml:space="preserve">76.7 </w:t>
            </w:r>
            <w:r w:rsidR="00D33F8F" w:rsidRPr="00D33F8F">
              <w:rPr>
                <w:rFonts w:ascii="Times New Roman" w:eastAsia="TimesNewRomanPSMT" w:hAnsi="Times New Roman" w:cs="Times New Roman"/>
                <w:sz w:val="20"/>
                <w:szCs w:val="20"/>
                <w:lang w:val="en-US"/>
              </w:rPr>
              <w:t>±</w:t>
            </w:r>
            <w:r w:rsidR="00D33F8F">
              <w:rPr>
                <w:rFonts w:ascii="Times New Roman" w:eastAsia="TimesNewRomanPSMT" w:hAnsi="Times New Roman" w:cs="Times New Roman"/>
                <w:sz w:val="20"/>
                <w:szCs w:val="20"/>
                <w:lang w:val="en-US"/>
              </w:rPr>
              <w:t xml:space="preserve"> </w:t>
            </w:r>
            <w:r>
              <w:rPr>
                <w:rFonts w:ascii="Times New Roman" w:eastAsia="TimesNewRomanPSMT" w:hAnsi="Times New Roman" w:cs="Times New Roman"/>
                <w:sz w:val="20"/>
                <w:szCs w:val="20"/>
                <w:lang w:val="en-US"/>
              </w:rPr>
              <w:t>4.8</w:t>
            </w:r>
          </w:p>
        </w:tc>
        <w:tc>
          <w:tcPr>
            <w:tcW w:w="1646" w:type="dxa"/>
            <w:tcBorders>
              <w:top w:val="nil"/>
            </w:tcBorders>
          </w:tcPr>
          <w:p w:rsidR="003F0C38" w:rsidRDefault="00620D9A" w:rsidP="00873E87">
            <w:pPr>
              <w:spacing w:after="0" w:line="240" w:lineRule="auto"/>
              <w:ind w:left="0" w:firstLine="0"/>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  </w:t>
            </w:r>
            <w:r w:rsidR="005B55B9">
              <w:rPr>
                <w:rFonts w:ascii="Times New Roman" w:eastAsia="TimesNewRomanPSMT" w:hAnsi="Times New Roman" w:cs="Times New Roman"/>
                <w:sz w:val="20"/>
                <w:szCs w:val="20"/>
                <w:lang w:val="en-US"/>
              </w:rPr>
              <w:t xml:space="preserve">73.1 </w:t>
            </w:r>
            <w:r w:rsidR="005B55B9" w:rsidRPr="005B55B9">
              <w:rPr>
                <w:rFonts w:ascii="Times New Roman" w:eastAsia="TimesNewRomanPSMT" w:hAnsi="Times New Roman" w:cs="Times New Roman"/>
                <w:sz w:val="20"/>
                <w:szCs w:val="20"/>
                <w:lang w:val="en-US"/>
              </w:rPr>
              <w:t>±</w:t>
            </w:r>
            <w:r w:rsidR="005B55B9">
              <w:rPr>
                <w:rFonts w:ascii="Times New Roman" w:eastAsia="TimesNewRomanPSMT" w:hAnsi="Times New Roman" w:cs="Times New Roman"/>
                <w:sz w:val="20"/>
                <w:szCs w:val="20"/>
                <w:lang w:val="en-US"/>
              </w:rPr>
              <w:t xml:space="preserve"> 6.6*</w:t>
            </w:r>
          </w:p>
        </w:tc>
      </w:tr>
    </w:tbl>
    <w:p w:rsidR="00873E87" w:rsidRDefault="00094707" w:rsidP="0020167C">
      <w:pPr>
        <w:spacing w:after="0" w:line="240" w:lineRule="auto"/>
        <w:ind w:left="0"/>
        <w:rPr>
          <w:rFonts w:ascii="Times New Roman" w:eastAsia="TimesNewRomanPSMT" w:hAnsi="Times New Roman" w:cs="Times New Roman"/>
          <w:sz w:val="20"/>
          <w:szCs w:val="20"/>
          <w:lang w:val="en-US"/>
        </w:rPr>
      </w:pPr>
      <w:r w:rsidRPr="00094707">
        <w:rPr>
          <w:rFonts w:ascii="Times New Roman" w:eastAsia="TimesNewRomanPSMT" w:hAnsi="Times New Roman" w:cs="Times New Roman"/>
          <w:sz w:val="20"/>
          <w:szCs w:val="20"/>
          <w:lang w:val="en-US"/>
        </w:rPr>
        <w:t>Note: * – p &lt; 0.05; ** – p &lt; 0.01; *** – p &lt; 0.001; vs levels prior to treatment</w:t>
      </w:r>
    </w:p>
    <w:p w:rsidR="00094707" w:rsidRDefault="00094707" w:rsidP="0020167C">
      <w:pPr>
        <w:spacing w:after="0" w:line="240" w:lineRule="auto"/>
        <w:ind w:left="0"/>
        <w:rPr>
          <w:rFonts w:ascii="Times New Roman" w:hAnsi="Times New Roman" w:cs="Times New Roman"/>
          <w:sz w:val="20"/>
          <w:szCs w:val="20"/>
          <w:lang w:val="en-US"/>
        </w:rPr>
      </w:pPr>
    </w:p>
    <w:p w:rsidR="002C6A3D" w:rsidRPr="00620D9A" w:rsidRDefault="002C6A3D" w:rsidP="00620D9A">
      <w:pPr>
        <w:spacing w:after="0" w:line="240" w:lineRule="auto"/>
        <w:ind w:left="0"/>
        <w:rPr>
          <w:rFonts w:ascii="Times New Roman" w:eastAsia="TimesNewRomanPSMT" w:hAnsi="Times New Roman" w:cs="Times New Roman"/>
          <w:color w:val="000000" w:themeColor="text1"/>
          <w:sz w:val="20"/>
          <w:szCs w:val="20"/>
          <w:lang w:val="en-US"/>
        </w:rPr>
      </w:pPr>
      <w:r w:rsidRPr="0090612F">
        <w:rPr>
          <w:rFonts w:ascii="Times New Roman" w:eastAsia="TimesNewRomanPSMT" w:hAnsi="Times New Roman" w:cs="Times New Roman"/>
          <w:sz w:val="20"/>
          <w:szCs w:val="20"/>
          <w:lang w:val="en-US"/>
        </w:rPr>
        <w:t xml:space="preserve">In patients treated with bisoprolol and indapamide, a reduction of the mean values of office </w:t>
      </w:r>
      <w:r w:rsidR="005B55B9">
        <w:rPr>
          <w:rFonts w:ascii="Times New Roman" w:eastAsia="TimesNewRomanPSMT" w:hAnsi="Times New Roman" w:cs="Times New Roman"/>
          <w:sz w:val="20"/>
          <w:szCs w:val="20"/>
          <w:lang w:val="en-US"/>
        </w:rPr>
        <w:t>s</w:t>
      </w:r>
      <w:r w:rsidR="0090612F" w:rsidRPr="0090612F">
        <w:rPr>
          <w:rFonts w:ascii="Times New Roman" w:eastAsia="TimesNewRomanPSMT" w:hAnsi="Times New Roman" w:cs="Times New Roman"/>
          <w:sz w:val="20"/>
          <w:szCs w:val="20"/>
          <w:lang w:val="en-US"/>
        </w:rPr>
        <w:t>ystolic blood pressure (</w:t>
      </w:r>
      <w:r w:rsidRPr="0090612F">
        <w:rPr>
          <w:rFonts w:ascii="Times New Roman" w:eastAsia="TimesNewRomanPSMT" w:hAnsi="Times New Roman" w:cs="Times New Roman"/>
          <w:sz w:val="20"/>
          <w:szCs w:val="20"/>
          <w:lang w:val="en-US"/>
        </w:rPr>
        <w:t>SBP</w:t>
      </w:r>
      <w:r w:rsidR="0090612F" w:rsidRPr="0090612F">
        <w:rPr>
          <w:rFonts w:ascii="Times New Roman" w:eastAsia="TimesNewRomanPSMT" w:hAnsi="Times New Roman" w:cs="Times New Roman"/>
          <w:sz w:val="20"/>
          <w:szCs w:val="20"/>
          <w:lang w:val="en-US"/>
        </w:rPr>
        <w:t>)</w:t>
      </w:r>
      <w:r w:rsidRPr="0090612F">
        <w:rPr>
          <w:rFonts w:ascii="Times New Roman" w:eastAsia="TimesNewRomanPSMT" w:hAnsi="Times New Roman" w:cs="Times New Roman"/>
          <w:sz w:val="20"/>
          <w:szCs w:val="20"/>
          <w:lang w:val="en-US"/>
        </w:rPr>
        <w:t xml:space="preserve"> by 38.8 mm Hg</w:t>
      </w:r>
      <w:r w:rsidR="00620D9A">
        <w:rPr>
          <w:rFonts w:ascii="Times New Roman" w:eastAsia="TimesNewRomanPSMT" w:hAnsi="Times New Roman" w:cs="Times New Roman"/>
          <w:sz w:val="20"/>
          <w:szCs w:val="20"/>
          <w:lang w:val="en-US"/>
        </w:rPr>
        <w:t>,</w:t>
      </w:r>
      <w:r w:rsidRPr="0090612F">
        <w:rPr>
          <w:rFonts w:ascii="Times New Roman" w:eastAsia="TimesNewRomanPSMT" w:hAnsi="Times New Roman" w:cs="Times New Roman"/>
          <w:sz w:val="20"/>
          <w:szCs w:val="20"/>
          <w:lang w:val="uk-UA"/>
        </w:rPr>
        <w:t xml:space="preserve"> </w:t>
      </w:r>
      <w:r w:rsidRPr="0090612F">
        <w:rPr>
          <w:rFonts w:ascii="Times New Roman" w:eastAsia="TimesNewRomanPSMT" w:hAnsi="Times New Roman" w:cs="Times New Roman"/>
          <w:sz w:val="20"/>
          <w:szCs w:val="20"/>
          <w:lang w:val="en-US"/>
        </w:rPr>
        <w:t xml:space="preserve">office </w:t>
      </w:r>
      <w:r w:rsidR="005B55B9">
        <w:rPr>
          <w:rFonts w:ascii="Times New Roman" w:eastAsia="TimesNewRomanPSMT" w:hAnsi="Times New Roman" w:cs="Times New Roman"/>
          <w:sz w:val="20"/>
          <w:szCs w:val="20"/>
          <w:lang w:val="en-US"/>
        </w:rPr>
        <w:t>d</w:t>
      </w:r>
      <w:r w:rsidR="0090612F" w:rsidRPr="0090612F">
        <w:rPr>
          <w:rFonts w:ascii="Times New Roman" w:eastAsia="TimesNewRomanPSMT" w:hAnsi="Times New Roman" w:cs="Times New Roman"/>
          <w:sz w:val="20"/>
          <w:szCs w:val="20"/>
          <w:lang w:val="en-US"/>
        </w:rPr>
        <w:t xml:space="preserve">iastolic blood pressure </w:t>
      </w:r>
      <w:r w:rsidR="0090612F">
        <w:rPr>
          <w:rFonts w:ascii="Times New Roman" w:eastAsia="TimesNewRomanPSMT" w:hAnsi="Times New Roman" w:cs="Times New Roman"/>
          <w:sz w:val="20"/>
          <w:szCs w:val="20"/>
          <w:lang w:val="en-US"/>
        </w:rPr>
        <w:t>(</w:t>
      </w:r>
      <w:r w:rsidRPr="0090612F">
        <w:rPr>
          <w:rFonts w:ascii="Times New Roman" w:eastAsia="TimesNewRomanPSMT" w:hAnsi="Times New Roman" w:cs="Times New Roman"/>
          <w:sz w:val="20"/>
          <w:szCs w:val="20"/>
          <w:lang w:val="en-US"/>
        </w:rPr>
        <w:t>DBP</w:t>
      </w:r>
      <w:r w:rsidR="0090612F">
        <w:rPr>
          <w:rFonts w:ascii="Times New Roman" w:eastAsia="TimesNewRomanPSMT" w:hAnsi="Times New Roman" w:cs="Times New Roman"/>
          <w:sz w:val="20"/>
          <w:szCs w:val="20"/>
          <w:lang w:val="en-US"/>
        </w:rPr>
        <w:t>)</w:t>
      </w:r>
      <w:r w:rsidRPr="0090612F">
        <w:rPr>
          <w:rFonts w:ascii="Times New Roman" w:eastAsia="TimesNewRomanPSMT" w:hAnsi="Times New Roman" w:cs="Times New Roman"/>
          <w:sz w:val="20"/>
          <w:szCs w:val="20"/>
          <w:lang w:val="en-US"/>
        </w:rPr>
        <w:t xml:space="preserve"> by 25.3 mm Hg, average BP by 29.8 mm Hg</w:t>
      </w:r>
      <w:r w:rsidR="00E80E5F">
        <w:rPr>
          <w:rFonts w:ascii="Times New Roman" w:eastAsia="TimesNewRomanPSMT" w:hAnsi="Times New Roman" w:cs="Times New Roman"/>
          <w:sz w:val="20"/>
          <w:szCs w:val="20"/>
          <w:lang w:val="en-US"/>
        </w:rPr>
        <w:t xml:space="preserve">, </w:t>
      </w:r>
      <w:r w:rsidR="00F05974">
        <w:rPr>
          <w:rFonts w:ascii="Times New Roman" w:eastAsia="TimesNewRomanPSMT" w:hAnsi="Times New Roman" w:cs="Times New Roman"/>
          <w:sz w:val="20"/>
          <w:szCs w:val="20"/>
          <w:lang w:val="en-US"/>
        </w:rPr>
        <w:t>pulse</w:t>
      </w:r>
      <w:r w:rsidR="00E80E5F">
        <w:rPr>
          <w:rFonts w:ascii="Times New Roman" w:eastAsia="TimesNewRomanPSMT" w:hAnsi="Times New Roman" w:cs="Times New Roman"/>
          <w:sz w:val="20"/>
          <w:szCs w:val="20"/>
          <w:lang w:val="en-US"/>
        </w:rPr>
        <w:t xml:space="preserve"> BP</w:t>
      </w:r>
      <w:r w:rsidR="00E80E5F" w:rsidRPr="00E80E5F">
        <w:rPr>
          <w:rFonts w:ascii="Times New Roman" w:eastAsia="TimesNewRomanPSMT" w:hAnsi="Times New Roman" w:cs="Times New Roman"/>
          <w:sz w:val="20"/>
          <w:szCs w:val="20"/>
          <w:lang w:val="en-US"/>
        </w:rPr>
        <w:t xml:space="preserve"> by 13.5</w:t>
      </w:r>
      <w:r w:rsidR="00E80E5F">
        <w:rPr>
          <w:rFonts w:ascii="Times New Roman" w:eastAsia="TimesNewRomanPSMT" w:hAnsi="Times New Roman" w:cs="Times New Roman"/>
          <w:sz w:val="20"/>
          <w:szCs w:val="20"/>
          <w:lang w:val="en-US"/>
        </w:rPr>
        <w:t xml:space="preserve"> </w:t>
      </w:r>
      <w:r w:rsidR="00E80E5F" w:rsidRPr="00E80E5F">
        <w:rPr>
          <w:rFonts w:ascii="Times New Roman" w:eastAsia="TimesNewRomanPSMT" w:hAnsi="Times New Roman" w:cs="Times New Roman"/>
          <w:sz w:val="20"/>
          <w:szCs w:val="20"/>
          <w:lang w:val="en-US"/>
        </w:rPr>
        <w:t xml:space="preserve">mm Hg, </w:t>
      </w:r>
      <w:r w:rsidRPr="0090612F">
        <w:rPr>
          <w:rFonts w:ascii="Times New Roman" w:eastAsia="TimesNewRomanPSMT" w:hAnsi="Times New Roman" w:cs="Times New Roman"/>
          <w:sz w:val="20"/>
          <w:szCs w:val="20"/>
          <w:lang w:val="en-US"/>
        </w:rPr>
        <w:t>during the period of inpatient treatment has been observed (</w:t>
      </w:r>
      <w:r w:rsidRPr="00FB6CE8">
        <w:rPr>
          <w:rFonts w:ascii="Times New Roman" w:eastAsia="TimesNewRomanPSMT" w:hAnsi="Times New Roman" w:cs="Times New Roman"/>
          <w:sz w:val="20"/>
          <w:szCs w:val="20"/>
          <w:lang w:val="en-US"/>
        </w:rPr>
        <w:t>23.</w:t>
      </w:r>
      <w:r w:rsidR="00DB5B5E" w:rsidRPr="00FB6CE8">
        <w:rPr>
          <w:rFonts w:ascii="Times New Roman" w:eastAsia="TimesNewRomanPSMT" w:hAnsi="Times New Roman" w:cs="Times New Roman"/>
          <w:sz w:val="20"/>
          <w:szCs w:val="20"/>
          <w:lang w:val="en-US"/>
        </w:rPr>
        <w:t>1</w:t>
      </w:r>
      <w:r w:rsidRPr="00FB6CE8">
        <w:rPr>
          <w:rFonts w:ascii="Times New Roman" w:eastAsia="TimesNewRomanPSMT" w:hAnsi="Times New Roman" w:cs="Times New Roman"/>
          <w:sz w:val="20"/>
          <w:szCs w:val="20"/>
          <w:lang w:val="en-US"/>
        </w:rPr>
        <w:t xml:space="preserve">%, 25.1%, 24.2%, </w:t>
      </w:r>
      <w:r w:rsidR="00DB5B5E" w:rsidRPr="00FB6CE8">
        <w:rPr>
          <w:rFonts w:ascii="Times New Roman" w:eastAsia="TimesNewRomanPSMT" w:hAnsi="Times New Roman" w:cs="Times New Roman"/>
          <w:sz w:val="20"/>
          <w:szCs w:val="20"/>
          <w:lang w:val="en-US"/>
        </w:rPr>
        <w:t>and 20.0%</w:t>
      </w:r>
      <w:r w:rsidR="00F05974">
        <w:rPr>
          <w:rFonts w:ascii="Times New Roman" w:eastAsia="TimesNewRomanPSMT" w:hAnsi="Times New Roman" w:cs="Times New Roman"/>
          <w:sz w:val="20"/>
          <w:szCs w:val="20"/>
          <w:lang w:val="en-US"/>
        </w:rPr>
        <w:t xml:space="preserve"> </w:t>
      </w:r>
      <w:r w:rsidRPr="0090612F">
        <w:rPr>
          <w:rFonts w:ascii="Times New Roman" w:eastAsia="TimesNewRomanPSMT" w:hAnsi="Times New Roman" w:cs="Times New Roman"/>
          <w:sz w:val="20"/>
          <w:szCs w:val="20"/>
          <w:lang w:val="en-US"/>
        </w:rPr>
        <w:t xml:space="preserve">respectively, compared to the </w:t>
      </w:r>
      <w:r w:rsidR="00F05974" w:rsidRPr="00F05974">
        <w:rPr>
          <w:rFonts w:ascii="Times New Roman" w:eastAsia="TimesNewRomanPSMT" w:hAnsi="Times New Roman" w:cs="Times New Roman"/>
          <w:sz w:val="20"/>
          <w:szCs w:val="20"/>
          <w:lang w:val="en-US"/>
        </w:rPr>
        <w:t xml:space="preserve">prior to </w:t>
      </w:r>
      <w:r w:rsidR="00F05974">
        <w:rPr>
          <w:rFonts w:ascii="Times New Roman" w:eastAsia="TimesNewRomanPSMT" w:hAnsi="Times New Roman" w:cs="Times New Roman"/>
          <w:sz w:val="20"/>
          <w:szCs w:val="20"/>
          <w:lang w:val="en-US"/>
        </w:rPr>
        <w:t>treatment</w:t>
      </w:r>
      <w:r w:rsidR="00F05974" w:rsidRPr="00620D9A">
        <w:rPr>
          <w:rFonts w:ascii="Times New Roman" w:eastAsia="TimesNewRomanPSMT" w:hAnsi="Times New Roman" w:cs="Times New Roman"/>
          <w:color w:val="000000" w:themeColor="text1"/>
          <w:sz w:val="20"/>
          <w:szCs w:val="20"/>
          <w:lang w:val="en-US"/>
        </w:rPr>
        <w:t>)</w:t>
      </w:r>
      <w:r w:rsidR="00620D9A" w:rsidRPr="00620D9A">
        <w:rPr>
          <w:rFonts w:ascii="Times New Roman" w:eastAsia="TimesNewRomanPSMT" w:hAnsi="Times New Roman" w:cs="Times New Roman"/>
          <w:color w:val="000000" w:themeColor="text1"/>
          <w:sz w:val="20"/>
          <w:szCs w:val="20"/>
          <w:lang w:val="en-US"/>
        </w:rPr>
        <w:t xml:space="preserve"> (Table 5).</w:t>
      </w:r>
      <w:r w:rsidR="00620D9A">
        <w:rPr>
          <w:rFonts w:ascii="Times New Roman" w:eastAsia="TimesNewRomanPSMT" w:hAnsi="Times New Roman" w:cs="Times New Roman"/>
          <w:color w:val="000000" w:themeColor="text1"/>
          <w:sz w:val="20"/>
          <w:szCs w:val="20"/>
          <w:lang w:val="en-US"/>
        </w:rPr>
        <w:t xml:space="preserve"> </w:t>
      </w:r>
      <w:r w:rsidRPr="0090612F">
        <w:rPr>
          <w:rFonts w:ascii="Times New Roman" w:eastAsia="TimesNewRomanPSMT" w:hAnsi="Times New Roman" w:cs="Times New Roman"/>
          <w:sz w:val="20"/>
          <w:szCs w:val="20"/>
          <w:lang w:val="en-US"/>
        </w:rPr>
        <w:t>In the group of patients who took candesartan with lacidipine, there were similar changes during the inpatient</w:t>
      </w:r>
      <w:r w:rsidR="005F497E" w:rsidRPr="0090612F">
        <w:rPr>
          <w:rFonts w:ascii="Times New Roman" w:eastAsia="TimesNewRomanPSMT" w:hAnsi="Times New Roman" w:cs="Times New Roman"/>
          <w:sz w:val="20"/>
          <w:szCs w:val="20"/>
          <w:lang w:val="en-US"/>
        </w:rPr>
        <w:t xml:space="preserve"> treatment in the mean values </w:t>
      </w:r>
      <w:r w:rsidRPr="0090612F">
        <w:rPr>
          <w:rFonts w:ascii="Times New Roman" w:eastAsia="TimesNewRomanPSMT" w:hAnsi="Times New Roman" w:cs="Times New Roman"/>
          <w:sz w:val="20"/>
          <w:szCs w:val="20"/>
          <w:lang w:val="en-US"/>
        </w:rPr>
        <w:t>o</w:t>
      </w:r>
      <w:r w:rsidR="00F05974">
        <w:rPr>
          <w:rFonts w:ascii="Times New Roman" w:eastAsia="TimesNewRomanPSMT" w:hAnsi="Times New Roman" w:cs="Times New Roman"/>
          <w:sz w:val="20"/>
          <w:szCs w:val="20"/>
          <w:lang w:val="en-US"/>
        </w:rPr>
        <w:t xml:space="preserve">f the office SBP by 44.5 mm Hg, office DBP 29.9 mm Hg, mean BP by 34.8 mm Hg, </w:t>
      </w:r>
      <w:r w:rsidR="00F05974" w:rsidRPr="00F05974">
        <w:rPr>
          <w:rFonts w:ascii="Times New Roman" w:eastAsia="TimesNewRomanPSMT" w:hAnsi="Times New Roman" w:cs="Times New Roman"/>
          <w:sz w:val="20"/>
          <w:szCs w:val="20"/>
          <w:lang w:val="en-US"/>
        </w:rPr>
        <w:t>pulse BP by 1</w:t>
      </w:r>
      <w:r w:rsidR="00D33F8F">
        <w:rPr>
          <w:rFonts w:ascii="Times New Roman" w:eastAsia="TimesNewRomanPSMT" w:hAnsi="Times New Roman" w:cs="Times New Roman"/>
          <w:sz w:val="20"/>
          <w:szCs w:val="20"/>
          <w:lang w:val="en-US"/>
        </w:rPr>
        <w:t>5</w:t>
      </w:r>
      <w:r w:rsidR="00F05974" w:rsidRPr="00F05974">
        <w:rPr>
          <w:rFonts w:ascii="Times New Roman" w:eastAsia="TimesNewRomanPSMT" w:hAnsi="Times New Roman" w:cs="Times New Roman"/>
          <w:sz w:val="20"/>
          <w:szCs w:val="20"/>
          <w:lang w:val="en-US"/>
        </w:rPr>
        <w:t>.</w:t>
      </w:r>
      <w:r w:rsidR="00D33F8F">
        <w:rPr>
          <w:rFonts w:ascii="Times New Roman" w:eastAsia="TimesNewRomanPSMT" w:hAnsi="Times New Roman" w:cs="Times New Roman"/>
          <w:sz w:val="20"/>
          <w:szCs w:val="20"/>
          <w:lang w:val="en-US"/>
        </w:rPr>
        <w:t>2</w:t>
      </w:r>
      <w:r w:rsidR="00F05974" w:rsidRPr="00F05974">
        <w:rPr>
          <w:rFonts w:ascii="Times New Roman" w:eastAsia="TimesNewRomanPSMT" w:hAnsi="Times New Roman" w:cs="Times New Roman"/>
          <w:sz w:val="20"/>
          <w:szCs w:val="20"/>
          <w:lang w:val="en-US"/>
        </w:rPr>
        <w:t xml:space="preserve"> mm Hg </w:t>
      </w:r>
      <w:r w:rsidRPr="0090612F">
        <w:rPr>
          <w:rFonts w:ascii="Times New Roman" w:eastAsia="TimesNewRomanPSMT" w:hAnsi="Times New Roman" w:cs="Times New Roman"/>
          <w:sz w:val="20"/>
          <w:szCs w:val="20"/>
          <w:lang w:val="en-US"/>
        </w:rPr>
        <w:t>(25.</w:t>
      </w:r>
      <w:r w:rsidR="00A823AD" w:rsidRPr="00A823AD">
        <w:rPr>
          <w:rFonts w:ascii="Times New Roman" w:eastAsia="TimesNewRomanPSMT" w:hAnsi="Times New Roman" w:cs="Times New Roman"/>
          <w:sz w:val="20"/>
          <w:szCs w:val="20"/>
          <w:lang w:val="en-US"/>
        </w:rPr>
        <w:t>3</w:t>
      </w:r>
      <w:r w:rsidRPr="0090612F">
        <w:rPr>
          <w:rFonts w:ascii="Times New Roman" w:eastAsia="TimesNewRomanPSMT" w:hAnsi="Times New Roman" w:cs="Times New Roman"/>
          <w:sz w:val="20"/>
          <w:szCs w:val="20"/>
          <w:lang w:val="en-US"/>
        </w:rPr>
        <w:t xml:space="preserve">%, 28.4%, </w:t>
      </w:r>
      <w:r w:rsidR="00D33F8F">
        <w:rPr>
          <w:rFonts w:ascii="Times New Roman" w:eastAsia="TimesNewRomanPSMT" w:hAnsi="Times New Roman" w:cs="Times New Roman"/>
          <w:sz w:val="20"/>
          <w:szCs w:val="20"/>
          <w:lang w:val="en-US"/>
        </w:rPr>
        <w:t>27.</w:t>
      </w:r>
      <w:r w:rsidR="00A823AD" w:rsidRPr="00A823AD">
        <w:rPr>
          <w:rFonts w:ascii="Times New Roman" w:eastAsia="TimesNewRomanPSMT" w:hAnsi="Times New Roman" w:cs="Times New Roman"/>
          <w:sz w:val="20"/>
          <w:szCs w:val="20"/>
          <w:lang w:val="en-US"/>
        </w:rPr>
        <w:t>1</w:t>
      </w:r>
      <w:r w:rsidR="00D33F8F">
        <w:rPr>
          <w:rFonts w:ascii="Times New Roman" w:eastAsia="TimesNewRomanPSMT" w:hAnsi="Times New Roman" w:cs="Times New Roman"/>
          <w:sz w:val="20"/>
          <w:szCs w:val="20"/>
          <w:lang w:val="en-US"/>
        </w:rPr>
        <w:t xml:space="preserve">% </w:t>
      </w:r>
      <w:r w:rsidR="00D33F8F" w:rsidRPr="0090612F">
        <w:rPr>
          <w:rFonts w:ascii="Times New Roman" w:eastAsia="TimesNewRomanPSMT" w:hAnsi="Times New Roman" w:cs="Times New Roman"/>
          <w:sz w:val="20"/>
          <w:szCs w:val="20"/>
          <w:lang w:val="en-US"/>
        </w:rPr>
        <w:t xml:space="preserve">and </w:t>
      </w:r>
      <w:r w:rsidR="00D33F8F">
        <w:rPr>
          <w:rFonts w:ascii="Times New Roman" w:eastAsia="TimesNewRomanPSMT" w:hAnsi="Times New Roman" w:cs="Times New Roman"/>
          <w:sz w:val="20"/>
          <w:szCs w:val="20"/>
          <w:lang w:val="en-US"/>
        </w:rPr>
        <w:t xml:space="preserve">21,4% </w:t>
      </w:r>
      <w:r w:rsidRPr="0090612F">
        <w:rPr>
          <w:rFonts w:ascii="Times New Roman" w:eastAsia="TimesNewRomanPSMT" w:hAnsi="Times New Roman" w:cs="Times New Roman"/>
          <w:sz w:val="20"/>
          <w:szCs w:val="20"/>
          <w:lang w:val="en-US"/>
        </w:rPr>
        <w:t>respect</w:t>
      </w:r>
      <w:r w:rsidR="00582CC0">
        <w:rPr>
          <w:rFonts w:ascii="Times New Roman" w:eastAsia="TimesNewRomanPSMT" w:hAnsi="Times New Roman" w:cs="Times New Roman"/>
          <w:sz w:val="20"/>
          <w:szCs w:val="20"/>
          <w:lang w:val="en-US"/>
        </w:rPr>
        <w:t xml:space="preserve">ively, </w:t>
      </w:r>
      <w:r w:rsidR="00094707" w:rsidRPr="00094707">
        <w:rPr>
          <w:rFonts w:ascii="Times New Roman" w:eastAsia="TimesNewRomanPSMT" w:hAnsi="Times New Roman" w:cs="Times New Roman"/>
          <w:sz w:val="20"/>
          <w:szCs w:val="20"/>
          <w:lang w:val="en-US"/>
        </w:rPr>
        <w:t>compared to the prior to treatment</w:t>
      </w:r>
      <w:r w:rsidR="00582CC0">
        <w:rPr>
          <w:rFonts w:ascii="Times New Roman" w:eastAsia="TimesNewRomanPSMT" w:hAnsi="Times New Roman" w:cs="Times New Roman"/>
          <w:sz w:val="20"/>
          <w:szCs w:val="20"/>
          <w:lang w:val="en-US"/>
        </w:rPr>
        <w:t>).</w:t>
      </w:r>
      <w:r w:rsidR="00620D9A">
        <w:rPr>
          <w:rFonts w:ascii="Times New Roman" w:eastAsia="TimesNewRomanPSMT" w:hAnsi="Times New Roman" w:cs="Times New Roman"/>
          <w:color w:val="000000" w:themeColor="text1"/>
          <w:sz w:val="20"/>
          <w:szCs w:val="20"/>
          <w:lang w:val="en-US"/>
        </w:rPr>
        <w:t xml:space="preserve"> </w:t>
      </w:r>
      <w:r w:rsidRPr="0090612F">
        <w:rPr>
          <w:rFonts w:ascii="Times New Roman" w:eastAsia="TimesNewRomanPSMT" w:hAnsi="Times New Roman" w:cs="Times New Roman"/>
          <w:sz w:val="20"/>
          <w:szCs w:val="20"/>
          <w:lang w:val="en-US"/>
        </w:rPr>
        <w:t xml:space="preserve">In the third group, treated by fosinopril </w:t>
      </w:r>
      <w:r w:rsidR="00094707">
        <w:rPr>
          <w:rFonts w:ascii="Times New Roman" w:eastAsia="TimesNewRomanPSMT" w:hAnsi="Times New Roman" w:cs="Times New Roman"/>
          <w:sz w:val="20"/>
          <w:szCs w:val="20"/>
          <w:lang w:val="en-US"/>
        </w:rPr>
        <w:t>sodium with hydrochlorothiazide</w:t>
      </w:r>
      <w:r w:rsidRPr="0090612F">
        <w:rPr>
          <w:rFonts w:ascii="Times New Roman" w:eastAsia="TimesNewRomanPSMT" w:hAnsi="Times New Roman" w:cs="Times New Roman"/>
          <w:sz w:val="20"/>
          <w:szCs w:val="20"/>
          <w:lang w:val="en-US"/>
        </w:rPr>
        <w:t xml:space="preserve"> during the period of inpatient treatment, there was a d</w:t>
      </w:r>
      <w:r w:rsidR="005F497E" w:rsidRPr="0090612F">
        <w:rPr>
          <w:rFonts w:ascii="Times New Roman" w:eastAsia="TimesNewRomanPSMT" w:hAnsi="Times New Roman" w:cs="Times New Roman"/>
          <w:sz w:val="20"/>
          <w:szCs w:val="20"/>
          <w:lang w:val="en-US"/>
        </w:rPr>
        <w:t xml:space="preserve">ecrease in the average values </w:t>
      </w:r>
      <w:r w:rsidRPr="0090612F">
        <w:rPr>
          <w:rFonts w:ascii="Times New Roman" w:eastAsia="TimesNewRomanPSMT" w:hAnsi="Times New Roman" w:cs="Times New Roman"/>
          <w:sz w:val="20"/>
          <w:szCs w:val="20"/>
          <w:lang w:val="en-US"/>
        </w:rPr>
        <w:t>of offic</w:t>
      </w:r>
      <w:r w:rsidR="00582CC0">
        <w:rPr>
          <w:rFonts w:ascii="Times New Roman" w:eastAsia="TimesNewRomanPSMT" w:hAnsi="Times New Roman" w:cs="Times New Roman"/>
          <w:sz w:val="20"/>
          <w:szCs w:val="20"/>
          <w:lang w:val="en-US"/>
        </w:rPr>
        <w:t xml:space="preserve">e SBP by 47.6 mm Hg, office DBP by 30.6 mm Hg, mean BP by 36.3 mm Hg, </w:t>
      </w:r>
      <w:r w:rsidR="00582CC0" w:rsidRPr="00582CC0">
        <w:rPr>
          <w:rFonts w:ascii="Times New Roman" w:eastAsia="TimesNewRomanPSMT" w:hAnsi="Times New Roman" w:cs="Times New Roman"/>
          <w:sz w:val="20"/>
          <w:szCs w:val="20"/>
          <w:lang w:val="en-US"/>
        </w:rPr>
        <w:t>pulse BP by 1</w:t>
      </w:r>
      <w:r w:rsidR="00582CC0">
        <w:rPr>
          <w:rFonts w:ascii="Times New Roman" w:eastAsia="TimesNewRomanPSMT" w:hAnsi="Times New Roman" w:cs="Times New Roman"/>
          <w:sz w:val="20"/>
          <w:szCs w:val="20"/>
          <w:lang w:val="en-US"/>
        </w:rPr>
        <w:t>7.</w:t>
      </w:r>
      <w:r w:rsidR="00094707">
        <w:rPr>
          <w:rFonts w:ascii="Times New Roman" w:eastAsia="TimesNewRomanPSMT" w:hAnsi="Times New Roman" w:cs="Times New Roman"/>
          <w:sz w:val="20"/>
          <w:szCs w:val="20"/>
          <w:lang w:val="en-US"/>
        </w:rPr>
        <w:t>5 mm Hg</w:t>
      </w:r>
      <w:r w:rsidR="00582CC0" w:rsidRPr="00582CC0">
        <w:rPr>
          <w:rFonts w:ascii="Times New Roman" w:eastAsia="TimesNewRomanPSMT" w:hAnsi="Times New Roman" w:cs="Times New Roman"/>
          <w:sz w:val="20"/>
          <w:szCs w:val="20"/>
          <w:lang w:val="en-US"/>
        </w:rPr>
        <w:t xml:space="preserve"> </w:t>
      </w:r>
      <w:r w:rsidR="00582CC0">
        <w:rPr>
          <w:rFonts w:ascii="Times New Roman" w:eastAsia="TimesNewRomanPSMT" w:hAnsi="Times New Roman" w:cs="Times New Roman"/>
          <w:sz w:val="20"/>
          <w:szCs w:val="20"/>
          <w:lang w:val="en-US"/>
        </w:rPr>
        <w:t>(26.4</w:t>
      </w:r>
      <w:r w:rsidRPr="0090612F">
        <w:rPr>
          <w:rFonts w:ascii="Times New Roman" w:eastAsia="TimesNewRomanPSMT" w:hAnsi="Times New Roman" w:cs="Times New Roman"/>
          <w:sz w:val="20"/>
          <w:szCs w:val="20"/>
          <w:lang w:val="en-US"/>
        </w:rPr>
        <w:t>%, 28.</w:t>
      </w:r>
      <w:r w:rsidR="00582CC0">
        <w:rPr>
          <w:rFonts w:ascii="Times New Roman" w:eastAsia="TimesNewRomanPSMT" w:hAnsi="Times New Roman" w:cs="Times New Roman"/>
          <w:sz w:val="20"/>
          <w:szCs w:val="20"/>
          <w:lang w:val="en-US"/>
        </w:rPr>
        <w:t>6%, 27.6% and 24</w:t>
      </w:r>
      <w:r w:rsidR="00A823AD">
        <w:rPr>
          <w:rFonts w:ascii="Times New Roman" w:eastAsia="TimesNewRomanPSMT" w:hAnsi="Times New Roman" w:cs="Times New Roman"/>
          <w:sz w:val="20"/>
          <w:szCs w:val="20"/>
          <w:lang w:val="en-US"/>
        </w:rPr>
        <w:t>.0</w:t>
      </w:r>
      <w:r w:rsidR="00582CC0">
        <w:rPr>
          <w:rFonts w:ascii="Times New Roman" w:eastAsia="TimesNewRomanPSMT" w:hAnsi="Times New Roman" w:cs="Times New Roman"/>
          <w:sz w:val="20"/>
          <w:szCs w:val="20"/>
          <w:lang w:val="en-US"/>
        </w:rPr>
        <w:t>%</w:t>
      </w:r>
      <w:r w:rsidRPr="0090612F">
        <w:rPr>
          <w:rFonts w:ascii="Times New Roman" w:eastAsia="TimesNewRomanPSMT" w:hAnsi="Times New Roman" w:cs="Times New Roman"/>
          <w:sz w:val="20"/>
          <w:szCs w:val="20"/>
          <w:lang w:val="en-US"/>
        </w:rPr>
        <w:t xml:space="preserve"> respectively, </w:t>
      </w:r>
      <w:r w:rsidR="00094707" w:rsidRPr="00094707">
        <w:rPr>
          <w:rFonts w:ascii="Times New Roman" w:eastAsia="TimesNewRomanPSMT" w:hAnsi="Times New Roman" w:cs="Times New Roman"/>
          <w:sz w:val="20"/>
          <w:szCs w:val="20"/>
          <w:lang w:val="en-US"/>
        </w:rPr>
        <w:t>compared to the prior to treatment</w:t>
      </w:r>
      <w:r w:rsidR="00582CC0">
        <w:rPr>
          <w:rFonts w:ascii="Times New Roman" w:eastAsia="TimesNewRomanPSMT" w:hAnsi="Times New Roman" w:cs="Times New Roman"/>
          <w:sz w:val="20"/>
          <w:szCs w:val="20"/>
          <w:lang w:val="en-US"/>
        </w:rPr>
        <w:t>).</w:t>
      </w:r>
      <w:r w:rsidR="00620D9A">
        <w:rPr>
          <w:rFonts w:ascii="Times New Roman" w:eastAsia="TimesNewRomanPSMT" w:hAnsi="Times New Roman" w:cs="Times New Roman"/>
          <w:color w:val="000000" w:themeColor="text1"/>
          <w:sz w:val="20"/>
          <w:szCs w:val="20"/>
          <w:lang w:val="en-US"/>
        </w:rPr>
        <w:t xml:space="preserve"> </w:t>
      </w:r>
      <w:r w:rsidRPr="00094707">
        <w:rPr>
          <w:rFonts w:ascii="Times New Roman" w:eastAsia="TimesNewRomanPSMT" w:hAnsi="Times New Roman" w:cs="Times New Roman"/>
          <w:sz w:val="20"/>
          <w:szCs w:val="20"/>
          <w:lang w:val="en-US"/>
        </w:rPr>
        <w:t xml:space="preserve">Thus, there was a significant decrease in both the office SBP and DBP and, accordingly, mean BP </w:t>
      </w:r>
      <w:r w:rsidR="00094707" w:rsidRPr="00094707">
        <w:rPr>
          <w:rFonts w:ascii="Times New Roman" w:eastAsia="TimesNewRomanPSMT" w:hAnsi="Times New Roman" w:cs="Times New Roman"/>
          <w:sz w:val="20"/>
          <w:szCs w:val="20"/>
          <w:lang w:val="en-US"/>
        </w:rPr>
        <w:t>and puls</w:t>
      </w:r>
      <w:r w:rsidR="00094707">
        <w:rPr>
          <w:rFonts w:ascii="Times New Roman" w:eastAsia="TimesNewRomanPSMT" w:hAnsi="Times New Roman" w:cs="Times New Roman"/>
          <w:sz w:val="20"/>
          <w:szCs w:val="20"/>
          <w:lang w:val="en-US"/>
        </w:rPr>
        <w:t>e</w:t>
      </w:r>
      <w:r w:rsidR="00094707" w:rsidRPr="00094707">
        <w:rPr>
          <w:rFonts w:ascii="Times New Roman" w:eastAsia="TimesNewRomanPSMT" w:hAnsi="Times New Roman" w:cs="Times New Roman"/>
          <w:sz w:val="20"/>
          <w:szCs w:val="20"/>
          <w:lang w:val="en-US"/>
        </w:rPr>
        <w:t xml:space="preserve"> BP</w:t>
      </w:r>
      <w:r w:rsidR="00094707">
        <w:rPr>
          <w:rFonts w:ascii="Times New Roman" w:eastAsia="TimesNewRomanPSMT" w:hAnsi="Times New Roman" w:cs="Times New Roman"/>
          <w:sz w:val="20"/>
          <w:szCs w:val="20"/>
          <w:lang w:val="en-US"/>
        </w:rPr>
        <w:t xml:space="preserve"> </w:t>
      </w:r>
      <w:r w:rsidRPr="00B5541A">
        <w:rPr>
          <w:rFonts w:ascii="Times New Roman" w:eastAsia="TimesNewRomanPSMT" w:hAnsi="Times New Roman" w:cs="Times New Roman"/>
          <w:sz w:val="20"/>
          <w:szCs w:val="20"/>
          <w:lang w:val="en-US"/>
        </w:rPr>
        <w:t>in patients, regardless of the group of drugs they took. The level of blood pressure reduction reached the target for both SBP and DBP.</w:t>
      </w:r>
    </w:p>
    <w:p w:rsidR="002C6A3D" w:rsidRPr="00B5541A" w:rsidRDefault="002C6A3D" w:rsidP="0020167C">
      <w:pPr>
        <w:spacing w:after="0" w:line="240" w:lineRule="auto"/>
        <w:ind w:left="0"/>
        <w:rPr>
          <w:rFonts w:ascii="Times New Roman" w:eastAsia="TimesNewRomanPSMT" w:hAnsi="Times New Roman" w:cs="Times New Roman"/>
          <w:sz w:val="20"/>
          <w:szCs w:val="20"/>
          <w:lang w:val="en-US"/>
        </w:rPr>
      </w:pPr>
      <w:r w:rsidRPr="00B5541A">
        <w:rPr>
          <w:rFonts w:ascii="Times New Roman" w:eastAsia="TimesNewRomanPSMT" w:hAnsi="Times New Roman" w:cs="Times New Roman"/>
          <w:sz w:val="20"/>
          <w:szCs w:val="20"/>
          <w:lang w:val="en-US"/>
        </w:rPr>
        <w:t xml:space="preserve">There was also a change found in the average heart rate during the inpatient treatment period: a decrease in the heart rate in patients taking bisoprolol with indapamide and fosinopril with hydrochlorothiazide </w:t>
      </w:r>
      <w:r w:rsidR="005B55B9">
        <w:rPr>
          <w:rFonts w:ascii="Times New Roman" w:eastAsia="TimesNewRomanPSMT" w:hAnsi="Times New Roman" w:cs="Times New Roman"/>
          <w:sz w:val="20"/>
          <w:szCs w:val="20"/>
          <w:lang w:val="en-US"/>
        </w:rPr>
        <w:t>by 8 bpm (9.6%) and by 5 bpm (6.7</w:t>
      </w:r>
      <w:r w:rsidRPr="00B5541A">
        <w:rPr>
          <w:rFonts w:ascii="Times New Roman" w:eastAsia="TimesNewRomanPSMT" w:hAnsi="Times New Roman" w:cs="Times New Roman"/>
          <w:sz w:val="20"/>
          <w:szCs w:val="20"/>
          <w:lang w:val="en-US"/>
        </w:rPr>
        <w:t xml:space="preserve">%), respectively. Conversely, patients of the </w:t>
      </w:r>
      <w:r w:rsidR="005B55B9">
        <w:rPr>
          <w:rFonts w:ascii="Times New Roman" w:eastAsia="TimesNewRomanPSMT" w:hAnsi="Times New Roman" w:cs="Times New Roman"/>
          <w:sz w:val="20"/>
          <w:szCs w:val="20"/>
          <w:lang w:val="en-US"/>
        </w:rPr>
        <w:t>II</w:t>
      </w:r>
      <w:r w:rsidRPr="00B5541A">
        <w:rPr>
          <w:rFonts w:ascii="Times New Roman" w:eastAsia="TimesNewRomanPSMT" w:hAnsi="Times New Roman" w:cs="Times New Roman"/>
          <w:sz w:val="20"/>
          <w:szCs w:val="20"/>
          <w:lang w:val="en-US"/>
        </w:rPr>
        <w:t xml:space="preserve"> group tended</w:t>
      </w:r>
      <w:r w:rsidR="008F6059">
        <w:rPr>
          <w:rFonts w:ascii="Times New Roman" w:eastAsia="TimesNewRomanPSMT" w:hAnsi="Times New Roman" w:cs="Times New Roman"/>
          <w:sz w:val="20"/>
          <w:szCs w:val="20"/>
          <w:lang w:val="en-US"/>
        </w:rPr>
        <w:t xml:space="preserve"> to increase HR by 3 bpm (3.4%)</w:t>
      </w:r>
      <w:r w:rsidRPr="00B5541A">
        <w:rPr>
          <w:rFonts w:ascii="Times New Roman" w:eastAsia="TimesNewRomanPSMT" w:hAnsi="Times New Roman" w:cs="Times New Roman"/>
          <w:sz w:val="20"/>
          <w:szCs w:val="20"/>
          <w:lang w:val="en-US"/>
        </w:rPr>
        <w:t>.</w:t>
      </w:r>
    </w:p>
    <w:p w:rsidR="00873E87" w:rsidRDefault="00873E87" w:rsidP="0092385D">
      <w:pPr>
        <w:autoSpaceDE w:val="0"/>
        <w:autoSpaceDN w:val="0"/>
        <w:adjustRightInd w:val="0"/>
        <w:spacing w:after="0" w:line="240" w:lineRule="auto"/>
        <w:ind w:left="0"/>
        <w:rPr>
          <w:rFonts w:ascii="Times New Roman" w:eastAsia="TimesNewRomanPSMT" w:hAnsi="Times New Roman" w:cs="Times New Roman"/>
          <w:b/>
          <w:sz w:val="20"/>
          <w:szCs w:val="20"/>
          <w:lang w:val="en-US"/>
        </w:rPr>
      </w:pPr>
    </w:p>
    <w:p w:rsidR="004C062C" w:rsidRPr="00B5541A" w:rsidRDefault="004C062C" w:rsidP="0020167C">
      <w:pPr>
        <w:autoSpaceDE w:val="0"/>
        <w:autoSpaceDN w:val="0"/>
        <w:adjustRightInd w:val="0"/>
        <w:spacing w:after="0" w:line="240" w:lineRule="auto"/>
        <w:ind w:left="0"/>
        <w:rPr>
          <w:rFonts w:ascii="Times New Roman" w:eastAsia="TimesNewRomanPSMT" w:hAnsi="Times New Roman" w:cs="Times New Roman"/>
          <w:b/>
          <w:sz w:val="20"/>
          <w:szCs w:val="20"/>
          <w:lang w:val="en-US"/>
        </w:rPr>
      </w:pPr>
      <w:r w:rsidRPr="00B5541A">
        <w:rPr>
          <w:rFonts w:ascii="Times New Roman" w:eastAsia="TimesNewRomanPSMT" w:hAnsi="Times New Roman" w:cs="Times New Roman"/>
          <w:b/>
          <w:sz w:val="20"/>
          <w:szCs w:val="20"/>
          <w:lang w:val="en-US"/>
        </w:rPr>
        <w:t>Discussion</w:t>
      </w:r>
    </w:p>
    <w:p w:rsidR="00464BE7" w:rsidRPr="00B5541A" w:rsidRDefault="00464BE7" w:rsidP="0020167C">
      <w:pPr>
        <w:autoSpaceDE w:val="0"/>
        <w:autoSpaceDN w:val="0"/>
        <w:adjustRightInd w:val="0"/>
        <w:spacing w:after="0" w:line="240" w:lineRule="auto"/>
        <w:ind w:left="0"/>
        <w:rPr>
          <w:rFonts w:ascii="Times New Roman" w:eastAsia="Times New Roman" w:hAnsi="Times New Roman" w:cs="Times New Roman"/>
          <w:color w:val="FF0000"/>
          <w:sz w:val="20"/>
          <w:szCs w:val="20"/>
          <w:lang w:val="en-US" w:eastAsia="ru-RU"/>
        </w:rPr>
      </w:pPr>
      <w:r w:rsidRPr="00B5541A">
        <w:rPr>
          <w:rFonts w:ascii="Times New Roman" w:eastAsia="TimesNewRomanPSMT" w:hAnsi="Times New Roman" w:cs="Times New Roman"/>
          <w:sz w:val="20"/>
          <w:szCs w:val="20"/>
          <w:lang w:val="en-US"/>
        </w:rPr>
        <w:t>The mean value of TNF-α was 14.</w:t>
      </w:r>
      <w:r w:rsidR="004C1E24">
        <w:rPr>
          <w:rFonts w:ascii="Times New Roman" w:eastAsia="TimesNewRomanPSMT" w:hAnsi="Times New Roman" w:cs="Times New Roman"/>
          <w:sz w:val="20"/>
          <w:szCs w:val="20"/>
          <w:lang w:val="en-US"/>
        </w:rPr>
        <w:t>2</w:t>
      </w:r>
      <w:r w:rsidRPr="00B5541A">
        <w:rPr>
          <w:rFonts w:ascii="Times New Roman" w:eastAsia="TimesNewRomanPSMT" w:hAnsi="Times New Roman" w:cs="Times New Roman"/>
          <w:sz w:val="20"/>
          <w:szCs w:val="20"/>
          <w:lang w:val="en-US"/>
        </w:rPr>
        <w:t xml:space="preserve"> times higher than the control values, suggesting the possible role of hemodynamic stress as one of the stimuli for increasing synthesis and release of pro-inflammatory cytokines, in particular TNF-α, into the circulation</w:t>
      </w:r>
      <w:r w:rsidR="00FC18C5" w:rsidRPr="00B5541A">
        <w:rPr>
          <w:rFonts w:ascii="Times New Roman" w:eastAsia="TimesNewRomanPSMT" w:hAnsi="Times New Roman" w:cs="Times New Roman"/>
          <w:sz w:val="20"/>
          <w:szCs w:val="20"/>
          <w:lang w:val="en-US"/>
        </w:rPr>
        <w:t xml:space="preserve"> </w:t>
      </w:r>
      <w:r w:rsidR="00E23AF7">
        <w:rPr>
          <w:rFonts w:ascii="Times New Roman" w:eastAsia="TimesNewRomanPSMT" w:hAnsi="Times New Roman" w:cs="Times New Roman"/>
          <w:sz w:val="20"/>
          <w:szCs w:val="20"/>
          <w:lang w:val="en-US"/>
        </w:rPr>
        <w:t>(</w:t>
      </w:r>
      <w:r w:rsidR="00F65521" w:rsidRPr="00803CA9">
        <w:rPr>
          <w:rFonts w:ascii="Times New Roman" w:eastAsia="TimesNewRomanPSMT" w:hAnsi="Times New Roman" w:cs="Times New Roman"/>
          <w:sz w:val="20"/>
          <w:szCs w:val="20"/>
          <w:lang w:val="en-US"/>
        </w:rPr>
        <w:t>Grander, 2004</w:t>
      </w:r>
      <w:r w:rsidR="00F65521">
        <w:rPr>
          <w:rFonts w:ascii="Times New Roman" w:eastAsia="TimesNewRomanPSMT" w:hAnsi="Times New Roman" w:cs="Times New Roman"/>
          <w:sz w:val="20"/>
          <w:szCs w:val="20"/>
          <w:lang w:val="en-US"/>
        </w:rPr>
        <w:t xml:space="preserve">; </w:t>
      </w:r>
      <w:r w:rsidR="00803CA9" w:rsidRPr="00803CA9">
        <w:rPr>
          <w:rFonts w:ascii="Times New Roman" w:eastAsia="TimesNewRomanPSMT" w:hAnsi="Times New Roman" w:cs="Times New Roman"/>
          <w:sz w:val="20"/>
          <w:szCs w:val="20"/>
          <w:lang w:val="en-US"/>
        </w:rPr>
        <w:t>Azra &amp; Feel, 2005; Bautista et al</w:t>
      </w:r>
      <w:r w:rsidR="00F65521">
        <w:rPr>
          <w:rFonts w:ascii="Times New Roman" w:eastAsia="TimesNewRomanPSMT" w:hAnsi="Times New Roman" w:cs="Times New Roman"/>
          <w:sz w:val="20"/>
          <w:szCs w:val="20"/>
          <w:lang w:val="en-US"/>
        </w:rPr>
        <w:t>., 2005</w:t>
      </w:r>
      <w:r w:rsidR="00E23AF7">
        <w:rPr>
          <w:rFonts w:ascii="Times New Roman" w:eastAsia="TimesNewRomanPSMT" w:hAnsi="Times New Roman" w:cs="Times New Roman"/>
          <w:sz w:val="20"/>
          <w:szCs w:val="20"/>
          <w:lang w:val="en-US"/>
        </w:rPr>
        <w:t xml:space="preserve">). </w:t>
      </w:r>
      <w:r w:rsidRPr="00B5541A">
        <w:rPr>
          <w:rFonts w:ascii="Times New Roman" w:eastAsia="TimesNewRomanPSMT" w:hAnsi="Times New Roman" w:cs="Times New Roman"/>
          <w:sz w:val="20"/>
          <w:szCs w:val="20"/>
          <w:lang w:val="en-US"/>
        </w:rPr>
        <w:t>The mean value of sTNF-αRI in patients with increased TNF-α activity</w:t>
      </w:r>
      <w:r w:rsidR="004E3544" w:rsidRPr="00B5541A">
        <w:rPr>
          <w:rFonts w:ascii="Times New Roman" w:eastAsia="TimesNewRomanPSMT" w:hAnsi="Times New Roman" w:cs="Times New Roman"/>
          <w:sz w:val="20"/>
          <w:szCs w:val="20"/>
          <w:lang w:val="en-US"/>
        </w:rPr>
        <w:t>, likely,</w:t>
      </w:r>
      <w:r w:rsidRPr="00B5541A">
        <w:rPr>
          <w:rFonts w:ascii="Times New Roman" w:eastAsia="TimesNewRomanPSMT" w:hAnsi="Times New Roman" w:cs="Times New Roman"/>
          <w:sz w:val="20"/>
          <w:szCs w:val="20"/>
          <w:lang w:val="en-US"/>
        </w:rPr>
        <w:t xml:space="preserve"> due to increased blood pressure was 1.78 times, or 78.3% higher, compared to normal subjects.</w:t>
      </w:r>
      <w:r w:rsidRPr="00B5541A">
        <w:rPr>
          <w:rFonts w:ascii="Times New Roman" w:eastAsia="Times New Roman" w:hAnsi="Times New Roman" w:cs="Times New Roman"/>
          <w:color w:val="222222"/>
          <w:sz w:val="20"/>
          <w:szCs w:val="20"/>
          <w:lang w:val="en-US" w:eastAsia="ru-RU"/>
        </w:rPr>
        <w:t xml:space="preserve"> </w:t>
      </w:r>
    </w:p>
    <w:p w:rsidR="00DD2BE7" w:rsidRPr="00B5541A" w:rsidRDefault="00CA0FE5" w:rsidP="0020167C">
      <w:pPr>
        <w:autoSpaceDE w:val="0"/>
        <w:autoSpaceDN w:val="0"/>
        <w:adjustRightInd w:val="0"/>
        <w:spacing w:after="0" w:line="240" w:lineRule="auto"/>
        <w:ind w:left="0"/>
        <w:rPr>
          <w:rFonts w:ascii="Times New Roman" w:eastAsia="TimesNewRomanPSMT" w:hAnsi="Times New Roman" w:cs="Times New Roman"/>
          <w:sz w:val="20"/>
          <w:szCs w:val="20"/>
          <w:lang w:val="uk-UA"/>
        </w:rPr>
      </w:pPr>
      <w:r w:rsidRPr="00B5541A">
        <w:rPr>
          <w:rFonts w:ascii="Times New Roman" w:eastAsia="TimesNewRomanPSMT" w:hAnsi="Times New Roman" w:cs="Times New Roman"/>
          <w:sz w:val="20"/>
          <w:szCs w:val="20"/>
          <w:lang w:val="uk-UA"/>
        </w:rPr>
        <w:t>Numerous epidemiological studies have shown a relationship between tachycardia and hypertension. Incre</w:t>
      </w:r>
      <w:r w:rsidR="00845DC2" w:rsidRPr="00B5541A">
        <w:rPr>
          <w:rFonts w:ascii="Times New Roman" w:eastAsia="TimesNewRomanPSMT" w:hAnsi="Times New Roman" w:cs="Times New Roman"/>
          <w:sz w:val="20"/>
          <w:szCs w:val="20"/>
          <w:lang w:val="uk-UA"/>
        </w:rPr>
        <w:t xml:space="preserve">asing heart rate is associated with many risk factors, including dyslipidemia, </w:t>
      </w:r>
      <w:r w:rsidRPr="00B5541A">
        <w:rPr>
          <w:rFonts w:ascii="Times New Roman" w:eastAsia="TimesNewRomanPSMT" w:hAnsi="Times New Roman" w:cs="Times New Roman"/>
          <w:sz w:val="20"/>
          <w:szCs w:val="20"/>
          <w:lang w:val="uk-UA"/>
        </w:rPr>
        <w:t>hyperinsulinemia, obesity, and elevated hematocrit. Tachycardia is a marker of increased activity of the sympathetic nervous system. It is known that the decrease in heart rate correlates with lon</w:t>
      </w:r>
      <w:r w:rsidR="00845DC2" w:rsidRPr="00B5541A">
        <w:rPr>
          <w:rFonts w:ascii="Times New Roman" w:eastAsia="TimesNewRomanPSMT" w:hAnsi="Times New Roman" w:cs="Times New Roman"/>
          <w:sz w:val="20"/>
          <w:szCs w:val="20"/>
          <w:lang w:val="uk-UA"/>
        </w:rPr>
        <w:t>ger life in mammals. Moreover, ß-blockers affect the</w:t>
      </w:r>
      <w:r w:rsidRPr="00B5541A">
        <w:rPr>
          <w:rFonts w:ascii="Times New Roman" w:eastAsia="TimesNewRomanPSMT" w:hAnsi="Times New Roman" w:cs="Times New Roman"/>
          <w:sz w:val="20"/>
          <w:szCs w:val="20"/>
          <w:lang w:val="uk-UA"/>
        </w:rPr>
        <w:t xml:space="preserve"> renin-angiotensin-aldosterone system (RAAS), inhibiting the release of renin by blockade of ß 1 -receptors in juxtaglomerular apparatus of the kidneys. Bisoprolol is a β-blocker with a high degree of cardioselectivity, from which this value is 1:75. Bisoprolol does not effect the level of atherogenic fractions of lipids (triglycerides, cholesterol, l</w:t>
      </w:r>
      <w:r w:rsidR="00845DC2" w:rsidRPr="00B5541A">
        <w:rPr>
          <w:rFonts w:ascii="Times New Roman" w:eastAsia="TimesNewRomanPSMT" w:hAnsi="Times New Roman" w:cs="Times New Roman"/>
          <w:sz w:val="20"/>
          <w:szCs w:val="20"/>
          <w:lang w:val="uk-UA"/>
        </w:rPr>
        <w:t xml:space="preserve">ow-density </w:t>
      </w:r>
      <w:r w:rsidR="00845DC2" w:rsidRPr="00B5541A">
        <w:rPr>
          <w:rFonts w:ascii="Times New Roman" w:eastAsia="TimesNewRomanPSMT" w:hAnsi="Times New Roman" w:cs="Times New Roman"/>
          <w:sz w:val="20"/>
          <w:szCs w:val="20"/>
          <w:lang w:val="uk-UA"/>
        </w:rPr>
        <w:lastRenderedPageBreak/>
        <w:t xml:space="preserve">lipoproteins) in  the long reception </w:t>
      </w:r>
      <w:r w:rsidRPr="00B5541A">
        <w:rPr>
          <w:rFonts w:ascii="Times New Roman" w:eastAsia="TimesNewRomanPSMT" w:hAnsi="Times New Roman" w:cs="Times New Roman"/>
          <w:sz w:val="20"/>
          <w:szCs w:val="20"/>
          <w:lang w:val="uk-UA"/>
        </w:rPr>
        <w:t xml:space="preserve">(Ostroumova </w:t>
      </w:r>
      <w:r w:rsidR="00803CA9" w:rsidRPr="00803CA9">
        <w:rPr>
          <w:rFonts w:ascii="Times New Roman" w:eastAsia="TimesNewRomanPSMT" w:hAnsi="Times New Roman" w:cs="Times New Roman"/>
          <w:sz w:val="20"/>
          <w:szCs w:val="20"/>
          <w:lang w:val="en-US"/>
        </w:rPr>
        <w:t>&amp;</w:t>
      </w:r>
      <w:r w:rsidR="00803CA9">
        <w:rPr>
          <w:rFonts w:ascii="Times New Roman" w:eastAsia="TimesNewRomanPSMT" w:hAnsi="Times New Roman" w:cs="Times New Roman"/>
          <w:sz w:val="20"/>
          <w:szCs w:val="20"/>
          <w:lang w:val="uk-UA"/>
        </w:rPr>
        <w:t xml:space="preserve"> </w:t>
      </w:r>
      <w:r w:rsidRPr="00B5541A">
        <w:rPr>
          <w:rFonts w:ascii="Times New Roman" w:eastAsia="TimesNewRomanPSMT" w:hAnsi="Times New Roman" w:cs="Times New Roman"/>
          <w:sz w:val="20"/>
          <w:szCs w:val="20"/>
          <w:lang w:val="uk-UA"/>
        </w:rPr>
        <w:t xml:space="preserve">Maksimov, 2012; Knjaz’kova, 2013). </w:t>
      </w:r>
      <w:r w:rsidRPr="00B5541A">
        <w:rPr>
          <w:rFonts w:ascii="Times New Roman" w:eastAsia="TimesNewRomanPSMT" w:hAnsi="Times New Roman" w:cs="Times New Roman"/>
          <w:sz w:val="20"/>
          <w:szCs w:val="20"/>
          <w:lang w:val="en-US"/>
        </w:rPr>
        <w:t>T</w:t>
      </w:r>
      <w:r w:rsidRPr="00B5541A">
        <w:rPr>
          <w:rFonts w:ascii="Times New Roman" w:eastAsia="TimesNewRomanPSMT" w:hAnsi="Times New Roman" w:cs="Times New Roman"/>
          <w:sz w:val="20"/>
          <w:szCs w:val="20"/>
          <w:lang w:val="uk-UA"/>
        </w:rPr>
        <w:t xml:space="preserve">he combination of bisoprolol with indapamid is able to improve endothelial function due to the presence </w:t>
      </w:r>
      <w:r w:rsidR="002A5446">
        <w:rPr>
          <w:rFonts w:ascii="Times New Roman" w:eastAsia="TimesNewRomanPSMT" w:hAnsi="Times New Roman" w:cs="Times New Roman"/>
          <w:sz w:val="20"/>
          <w:szCs w:val="20"/>
          <w:lang w:val="uk-UA"/>
        </w:rPr>
        <w:t xml:space="preserve">of its antioxidant properties. An important </w:t>
      </w:r>
      <w:r w:rsidR="00845DC2" w:rsidRPr="00B5541A">
        <w:rPr>
          <w:rFonts w:ascii="Times New Roman" w:eastAsia="TimesNewRomanPSMT" w:hAnsi="Times New Roman" w:cs="Times New Roman"/>
          <w:sz w:val="20"/>
          <w:szCs w:val="20"/>
          <w:lang w:val="uk-UA"/>
        </w:rPr>
        <w:t xml:space="preserve">role </w:t>
      </w:r>
      <w:r w:rsidR="002A5446">
        <w:rPr>
          <w:rFonts w:ascii="Times New Roman" w:eastAsia="TimesNewRomanPSMT" w:hAnsi="Times New Roman" w:cs="Times New Roman"/>
          <w:sz w:val="20"/>
          <w:szCs w:val="20"/>
          <w:lang w:val="uk-UA"/>
        </w:rPr>
        <w:t>in this combination</w:t>
      </w:r>
      <w:r w:rsidR="00845DC2" w:rsidRPr="00B5541A">
        <w:rPr>
          <w:rFonts w:ascii="Times New Roman" w:eastAsia="TimesNewRomanPSMT" w:hAnsi="Times New Roman" w:cs="Times New Roman"/>
          <w:sz w:val="20"/>
          <w:szCs w:val="20"/>
          <w:lang w:val="uk-UA"/>
        </w:rPr>
        <w:t xml:space="preserve"> is played by indapamid, which, unlike </w:t>
      </w:r>
      <w:r w:rsidRPr="00B5541A">
        <w:rPr>
          <w:rFonts w:ascii="Times New Roman" w:eastAsia="TimesNewRomanPSMT" w:hAnsi="Times New Roman" w:cs="Times New Roman"/>
          <w:sz w:val="20"/>
          <w:szCs w:val="20"/>
          <w:lang w:val="uk-UA"/>
        </w:rPr>
        <w:t xml:space="preserve">other diuretics </w:t>
      </w:r>
      <w:r w:rsidR="00845DC2" w:rsidRPr="00B5541A">
        <w:rPr>
          <w:rFonts w:ascii="Times New Roman" w:eastAsia="TimesNewRomanPSMT" w:hAnsi="Times New Roman" w:cs="Times New Roman"/>
          <w:sz w:val="20"/>
          <w:szCs w:val="20"/>
          <w:lang w:val="uk-UA"/>
        </w:rPr>
        <w:t>has a direct</w:t>
      </w:r>
      <w:r w:rsidRPr="00B5541A">
        <w:rPr>
          <w:rFonts w:ascii="Times New Roman" w:eastAsia="TimesNewRomanPSMT" w:hAnsi="Times New Roman" w:cs="Times New Roman"/>
          <w:sz w:val="20"/>
          <w:szCs w:val="20"/>
          <w:lang w:val="uk-UA"/>
        </w:rPr>
        <w:t xml:space="preserve"> vasodilator action. (London, 2004) </w:t>
      </w:r>
    </w:p>
    <w:p w:rsidR="001E15FF" w:rsidRPr="001C7E16" w:rsidRDefault="001E15FF" w:rsidP="001C7E16">
      <w:pPr>
        <w:autoSpaceDE w:val="0"/>
        <w:autoSpaceDN w:val="0"/>
        <w:adjustRightInd w:val="0"/>
        <w:spacing w:after="0" w:line="240" w:lineRule="auto"/>
        <w:ind w:left="0"/>
        <w:rPr>
          <w:rFonts w:ascii="Times New Roman" w:hAnsi="Times New Roman" w:cs="Times New Roman"/>
          <w:sz w:val="20"/>
          <w:szCs w:val="20"/>
          <w:lang w:val="en-US"/>
        </w:rPr>
      </w:pPr>
      <w:r w:rsidRPr="00B5541A">
        <w:rPr>
          <w:rFonts w:ascii="Times New Roman" w:eastAsia="TimesNewRomanPSMT" w:hAnsi="Times New Roman" w:cs="Times New Roman"/>
          <w:sz w:val="20"/>
          <w:szCs w:val="20"/>
          <w:lang w:val="en-US"/>
        </w:rPr>
        <w:t xml:space="preserve">Lacidipine occupies a special place among the CCB, showing the most pronounced antiatherosclerotic properties. Its antioxidant activity is comparable to one of vitamin E and exceeds that of all other CCB </w:t>
      </w:r>
      <w:r w:rsidR="00803CA9">
        <w:rPr>
          <w:rFonts w:ascii="Times New Roman" w:eastAsia="TimesNewRomanPSMT" w:hAnsi="Times New Roman" w:cs="Times New Roman"/>
          <w:sz w:val="20"/>
          <w:szCs w:val="20"/>
          <w:lang w:val="en-US"/>
        </w:rPr>
        <w:t>(</w:t>
      </w:r>
      <w:r w:rsidR="00803CA9" w:rsidRPr="00305403">
        <w:rPr>
          <w:rFonts w:ascii="Times New Roman" w:eastAsia="TimesNewRomanPSMT" w:hAnsi="Times New Roman" w:cs="Times New Roman"/>
          <w:sz w:val="20"/>
          <w:szCs w:val="20"/>
          <w:lang w:val="en-US"/>
        </w:rPr>
        <w:t>Svischenko</w:t>
      </w:r>
      <w:r w:rsidR="00803CA9">
        <w:rPr>
          <w:rFonts w:ascii="Times New Roman" w:eastAsia="TimesNewRomanPSMT" w:hAnsi="Times New Roman" w:cs="Times New Roman"/>
          <w:sz w:val="20"/>
          <w:szCs w:val="20"/>
          <w:lang w:val="en-US"/>
        </w:rPr>
        <w:t>, 2002).</w:t>
      </w:r>
      <w:r w:rsidRPr="00B5541A">
        <w:rPr>
          <w:rFonts w:ascii="Times New Roman" w:eastAsia="TimesNewRomanPSMT" w:hAnsi="Times New Roman" w:cs="Times New Roman"/>
          <w:sz w:val="20"/>
          <w:szCs w:val="20"/>
          <w:lang w:val="en-US"/>
        </w:rPr>
        <w:t xml:space="preserve"> Lacidipine forms a stronger bond to the cell membrane compared to the other CCB. This determines its high local concentration in the blood vessels tissues (to which it is highly selective), which is particularly important in conditions of hypercholesterolemia, when the cell membrane’s availability to CCB is decreased due to high cholesterol load. Lacidipine’s binding to the cell membrane remains strong even in described conditions, being significantly higher than other CCB’s</w:t>
      </w:r>
      <w:r w:rsidR="00803CA9">
        <w:rPr>
          <w:rFonts w:ascii="Times New Roman" w:eastAsia="TimesNewRomanPSMT" w:hAnsi="Times New Roman" w:cs="Times New Roman"/>
          <w:sz w:val="20"/>
          <w:szCs w:val="20"/>
          <w:lang w:val="en-US"/>
        </w:rPr>
        <w:t xml:space="preserve"> (</w:t>
      </w:r>
      <w:r w:rsidR="00803CA9" w:rsidRPr="00305403">
        <w:rPr>
          <w:rFonts w:ascii="Times New Roman" w:eastAsia="TimesNewRomanPSMT" w:hAnsi="Times New Roman" w:cs="Times New Roman"/>
          <w:sz w:val="20"/>
          <w:szCs w:val="20"/>
          <w:lang w:val="en-US"/>
        </w:rPr>
        <w:t>Herbette</w:t>
      </w:r>
      <w:r w:rsidR="00803CA9">
        <w:rPr>
          <w:rFonts w:ascii="Times New Roman" w:eastAsia="TimesNewRomanPSMT" w:hAnsi="Times New Roman" w:cs="Times New Roman"/>
          <w:sz w:val="20"/>
          <w:szCs w:val="20"/>
          <w:lang w:val="en-US"/>
        </w:rPr>
        <w:t>, 1995).</w:t>
      </w:r>
      <w:r w:rsidRPr="00B5541A">
        <w:rPr>
          <w:rFonts w:ascii="Times New Roman" w:eastAsia="TimesNewRomanPSMT" w:hAnsi="Times New Roman" w:cs="Times New Roman"/>
          <w:sz w:val="20"/>
          <w:szCs w:val="20"/>
          <w:lang w:val="en-US"/>
        </w:rPr>
        <w:t xml:space="preserve"> The tight bond with the membrane defines a longer duration of lacidipine action and its ability to intervene in the majority of intracellular processes that take place in the early stages of atherogenesis.</w:t>
      </w:r>
      <w:r w:rsidRPr="00B5541A">
        <w:rPr>
          <w:rFonts w:ascii="Times New Roman" w:hAnsi="Times New Roman" w:cs="Times New Roman"/>
          <w:sz w:val="20"/>
          <w:szCs w:val="20"/>
          <w:lang w:val="en-US"/>
        </w:rPr>
        <w:t xml:space="preserve"> </w:t>
      </w:r>
      <w:r w:rsidRPr="00B5541A">
        <w:rPr>
          <w:rFonts w:ascii="Times New Roman" w:eastAsia="TimesNewRomanPSMT" w:hAnsi="Times New Roman" w:cs="Times New Roman"/>
          <w:sz w:val="20"/>
          <w:szCs w:val="20"/>
          <w:lang w:val="en-US"/>
        </w:rPr>
        <w:t xml:space="preserve">The main role in the action of the drug on various links of the atherosclerotic process is given to its high vascular selectivity and the ability to tightly bind to the cell membrane in conjunction with an intense antioxidant effect and </w:t>
      </w:r>
      <w:r w:rsidR="00DD2BE7" w:rsidRPr="00B5541A">
        <w:rPr>
          <w:rFonts w:ascii="Times New Roman" w:eastAsia="TimesNewRomanPSMT" w:hAnsi="Times New Roman" w:cs="Times New Roman"/>
          <w:sz w:val="20"/>
          <w:szCs w:val="20"/>
          <w:lang w:val="en-US"/>
        </w:rPr>
        <w:t>the ability to optimize the calcium</w:t>
      </w:r>
      <w:r w:rsidRPr="00B5541A">
        <w:rPr>
          <w:rFonts w:ascii="Times New Roman" w:eastAsia="TimesNewRomanPSMT" w:hAnsi="Times New Roman" w:cs="Times New Roman"/>
          <w:sz w:val="20"/>
          <w:szCs w:val="20"/>
          <w:lang w:val="en-US"/>
        </w:rPr>
        <w:t xml:space="preserve"> homeostasis. Importantly, the anti-atherogenic effect of lacidipine is not determined by its antihypertensive effect: it is observed</w:t>
      </w:r>
      <w:r w:rsidR="00225FA5">
        <w:rPr>
          <w:rFonts w:ascii="Times New Roman" w:eastAsia="TimesNewRomanPSMT" w:hAnsi="Times New Roman" w:cs="Times New Roman"/>
          <w:sz w:val="20"/>
          <w:szCs w:val="20"/>
          <w:lang w:val="en-US"/>
        </w:rPr>
        <w:t xml:space="preserve"> even when using </w:t>
      </w:r>
      <w:r w:rsidR="00DD2BE7" w:rsidRPr="00B5541A">
        <w:rPr>
          <w:rFonts w:ascii="Times New Roman" w:eastAsia="TimesNewRomanPSMT" w:hAnsi="Times New Roman" w:cs="Times New Roman"/>
          <w:sz w:val="20"/>
          <w:szCs w:val="20"/>
          <w:lang w:val="en-US"/>
        </w:rPr>
        <w:t xml:space="preserve">lacidipine in low </w:t>
      </w:r>
      <w:r w:rsidRPr="00B5541A">
        <w:rPr>
          <w:rFonts w:ascii="Times New Roman" w:eastAsia="TimesNewRomanPSMT" w:hAnsi="Times New Roman" w:cs="Times New Roman"/>
          <w:sz w:val="20"/>
          <w:szCs w:val="20"/>
          <w:lang w:val="en-US"/>
        </w:rPr>
        <w:t>doses that do not affect blood pressure</w:t>
      </w:r>
      <w:r w:rsidR="00803CA9">
        <w:rPr>
          <w:rFonts w:ascii="Times New Roman" w:eastAsia="TimesNewRomanPSMT" w:hAnsi="Times New Roman" w:cs="Times New Roman"/>
          <w:sz w:val="20"/>
          <w:szCs w:val="20"/>
          <w:lang w:val="en-US"/>
        </w:rPr>
        <w:t xml:space="preserve"> (</w:t>
      </w:r>
      <w:r w:rsidR="00803CA9" w:rsidRPr="00305403">
        <w:rPr>
          <w:rFonts w:ascii="Times New Roman" w:eastAsia="TimesNewRomanPSMT" w:hAnsi="Times New Roman" w:cs="Times New Roman"/>
          <w:sz w:val="20"/>
          <w:szCs w:val="20"/>
          <w:lang w:val="en-US"/>
        </w:rPr>
        <w:t>Svischenko</w:t>
      </w:r>
      <w:r w:rsidR="00803CA9">
        <w:rPr>
          <w:rFonts w:ascii="Times New Roman" w:eastAsia="TimesNewRomanPSMT" w:hAnsi="Times New Roman" w:cs="Times New Roman"/>
          <w:sz w:val="20"/>
          <w:szCs w:val="20"/>
          <w:lang w:val="en-US"/>
        </w:rPr>
        <w:t>, 2002</w:t>
      </w:r>
      <w:r w:rsidR="00803CA9" w:rsidRPr="00803CA9">
        <w:rPr>
          <w:rFonts w:ascii="Times New Roman" w:eastAsia="TimesNewRomanPSMT" w:hAnsi="Times New Roman" w:cs="Times New Roman"/>
          <w:sz w:val="20"/>
          <w:szCs w:val="20"/>
          <w:lang w:val="en-US"/>
        </w:rPr>
        <w:t>).</w:t>
      </w:r>
    </w:p>
    <w:p w:rsidR="009771B0" w:rsidRPr="00B5541A" w:rsidRDefault="009771B0" w:rsidP="008F6059">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r w:rsidRPr="00B5541A">
        <w:rPr>
          <w:rFonts w:ascii="Times New Roman" w:eastAsia="TimesNewRomanPSMT" w:hAnsi="Times New Roman" w:cs="Times New Roman"/>
          <w:sz w:val="20"/>
          <w:szCs w:val="20"/>
          <w:lang w:val="en-US"/>
        </w:rPr>
        <w:t>Fosinopril is the only angiotensin-converting enzyme (ACE) inhibitor that retains the phosphinic acid residue in its chemical formula. Fosinopril - an ester that is hydrolyzed in the body by the action of esterases in the active communication of fosinoprilat</w:t>
      </w:r>
      <w:r w:rsidR="00803CA9">
        <w:rPr>
          <w:rFonts w:ascii="Times New Roman" w:eastAsia="TimesNewRomanPSMT" w:hAnsi="Times New Roman" w:cs="Times New Roman"/>
          <w:sz w:val="20"/>
          <w:szCs w:val="20"/>
          <w:lang w:val="en-US"/>
        </w:rPr>
        <w:t xml:space="preserve"> (</w:t>
      </w:r>
      <w:r w:rsidR="00B41DAF" w:rsidRPr="00305403">
        <w:rPr>
          <w:rFonts w:ascii="Times New Roman" w:eastAsia="TimesNewRomanPSMT" w:hAnsi="Times New Roman" w:cs="Times New Roman"/>
          <w:sz w:val="20"/>
          <w:szCs w:val="20"/>
          <w:lang w:val="en-US"/>
        </w:rPr>
        <w:t xml:space="preserve">Ageev </w:t>
      </w:r>
      <w:r w:rsidR="00B41DAF" w:rsidRPr="00803CA9">
        <w:rPr>
          <w:rFonts w:ascii="Times New Roman" w:eastAsia="TimesNewRomanPSMT" w:hAnsi="Times New Roman" w:cs="Times New Roman"/>
          <w:sz w:val="20"/>
          <w:szCs w:val="20"/>
          <w:lang w:val="en-US"/>
        </w:rPr>
        <w:t>&amp;</w:t>
      </w:r>
      <w:r w:rsidR="00B41DAF">
        <w:rPr>
          <w:rFonts w:ascii="Times New Roman" w:eastAsia="TimesNewRomanPSMT" w:hAnsi="Times New Roman" w:cs="Times New Roman"/>
          <w:sz w:val="20"/>
          <w:szCs w:val="20"/>
          <w:lang w:val="en-US"/>
        </w:rPr>
        <w:t xml:space="preserve"> </w:t>
      </w:r>
      <w:r w:rsidR="00B41DAF" w:rsidRPr="00305403">
        <w:rPr>
          <w:rFonts w:ascii="Times New Roman" w:eastAsia="TimesNewRomanPSMT" w:hAnsi="Times New Roman" w:cs="Times New Roman"/>
          <w:sz w:val="20"/>
          <w:szCs w:val="20"/>
          <w:lang w:val="en-US"/>
        </w:rPr>
        <w:t>Mareev</w:t>
      </w:r>
      <w:r w:rsidR="00B41DAF">
        <w:rPr>
          <w:rFonts w:ascii="Times New Roman" w:eastAsia="TimesNewRomanPSMT" w:hAnsi="Times New Roman" w:cs="Times New Roman"/>
          <w:sz w:val="20"/>
          <w:szCs w:val="20"/>
          <w:lang w:val="en-US"/>
        </w:rPr>
        <w:t xml:space="preserve">, 2000; </w:t>
      </w:r>
      <w:r w:rsidR="00B41DAF" w:rsidRPr="00305403">
        <w:rPr>
          <w:rFonts w:ascii="Times New Roman" w:eastAsia="TimesNewRomanPSMT" w:hAnsi="Times New Roman" w:cs="Times New Roman"/>
          <w:sz w:val="20"/>
          <w:szCs w:val="20"/>
          <w:lang w:val="uk-UA"/>
        </w:rPr>
        <w:t xml:space="preserve">Sirenko </w:t>
      </w:r>
      <w:r w:rsidR="00B41DAF" w:rsidRPr="00803CA9">
        <w:rPr>
          <w:rFonts w:ascii="Times New Roman" w:eastAsia="TimesNewRomanPSMT" w:hAnsi="Times New Roman" w:cs="Times New Roman"/>
          <w:sz w:val="20"/>
          <w:szCs w:val="20"/>
          <w:lang w:val="en-US"/>
        </w:rPr>
        <w:t>&amp;</w:t>
      </w:r>
      <w:r w:rsidR="00B41DAF">
        <w:rPr>
          <w:rFonts w:ascii="Times New Roman" w:eastAsia="TimesNewRomanPSMT" w:hAnsi="Times New Roman" w:cs="Times New Roman"/>
          <w:sz w:val="20"/>
          <w:szCs w:val="20"/>
          <w:lang w:val="en-US"/>
        </w:rPr>
        <w:t xml:space="preserve"> </w:t>
      </w:r>
      <w:r w:rsidR="00B41DAF" w:rsidRPr="00305403">
        <w:rPr>
          <w:rFonts w:ascii="Times New Roman" w:eastAsia="TimesNewRomanPSMT" w:hAnsi="Times New Roman" w:cs="Times New Roman"/>
          <w:sz w:val="20"/>
          <w:szCs w:val="20"/>
          <w:lang w:val="uk-UA"/>
        </w:rPr>
        <w:t>Rekovec</w:t>
      </w:r>
      <w:r w:rsidR="00B41DAF">
        <w:rPr>
          <w:rFonts w:ascii="Times New Roman" w:eastAsia="TimesNewRomanPSMT" w:hAnsi="Times New Roman" w:cs="Times New Roman"/>
          <w:sz w:val="20"/>
          <w:szCs w:val="20"/>
          <w:lang w:val="en-US"/>
        </w:rPr>
        <w:t>, 2005</w:t>
      </w:r>
      <w:r w:rsidR="00803CA9">
        <w:rPr>
          <w:rFonts w:ascii="Times New Roman" w:eastAsia="TimesNewRomanPSMT" w:hAnsi="Times New Roman" w:cs="Times New Roman"/>
          <w:sz w:val="20"/>
          <w:szCs w:val="20"/>
          <w:lang w:val="en-US"/>
        </w:rPr>
        <w:t>)</w:t>
      </w:r>
      <w:r w:rsidR="00B41DAF">
        <w:rPr>
          <w:rFonts w:ascii="Times New Roman" w:eastAsia="TimesNewRomanPSMT" w:hAnsi="Times New Roman" w:cs="Times New Roman"/>
          <w:sz w:val="20"/>
          <w:szCs w:val="20"/>
          <w:lang w:val="en-US"/>
        </w:rPr>
        <w:t>.</w:t>
      </w:r>
      <w:r w:rsidR="00502CE6" w:rsidRPr="00B5541A">
        <w:rPr>
          <w:rFonts w:ascii="Times New Roman" w:eastAsia="TimesNewRomanPSMT" w:hAnsi="Times New Roman" w:cs="Times New Roman"/>
          <w:sz w:val="20"/>
          <w:szCs w:val="20"/>
          <w:lang w:val="en-US"/>
        </w:rPr>
        <w:t xml:space="preserve"> </w:t>
      </w:r>
      <w:r w:rsidRPr="00B5541A">
        <w:rPr>
          <w:rFonts w:ascii="Times New Roman" w:eastAsia="TimesNewRomanPSMT" w:hAnsi="Times New Roman" w:cs="Times New Roman"/>
          <w:sz w:val="20"/>
          <w:szCs w:val="20"/>
          <w:lang w:val="en-US"/>
        </w:rPr>
        <w:t xml:space="preserve">Fosinopril due to its specific connection phosphinate group of ACE prevents conversion of angiotensin I to angiotensin II, resulting in vasopressor activity and aldosterone secretion reduced </w:t>
      </w:r>
      <w:r w:rsidR="00B41DAF">
        <w:rPr>
          <w:rFonts w:ascii="Times New Roman" w:eastAsia="TimesNewRomanPSMT" w:hAnsi="Times New Roman" w:cs="Times New Roman"/>
          <w:sz w:val="20"/>
          <w:szCs w:val="20"/>
          <w:lang w:val="en-US"/>
        </w:rPr>
        <w:t>(</w:t>
      </w:r>
      <w:r w:rsidR="00F65521" w:rsidRPr="00305403">
        <w:rPr>
          <w:rFonts w:ascii="Times New Roman" w:eastAsia="TimesNewRomanPSMT" w:hAnsi="Times New Roman" w:cs="Times New Roman"/>
          <w:sz w:val="20"/>
          <w:szCs w:val="20"/>
          <w:lang w:val="uk-UA"/>
        </w:rPr>
        <w:t xml:space="preserve">Preobrazhenskij </w:t>
      </w:r>
      <w:r w:rsidR="00F65521" w:rsidRPr="00803CA9">
        <w:rPr>
          <w:rFonts w:ascii="Times New Roman" w:eastAsia="TimesNewRomanPSMT" w:hAnsi="Times New Roman" w:cs="Times New Roman"/>
          <w:sz w:val="20"/>
          <w:szCs w:val="20"/>
          <w:lang w:val="en-US"/>
        </w:rPr>
        <w:t>&amp;</w:t>
      </w:r>
      <w:r w:rsidR="00F65521">
        <w:rPr>
          <w:rFonts w:ascii="Times New Roman" w:eastAsia="TimesNewRomanPSMT" w:hAnsi="Times New Roman" w:cs="Times New Roman"/>
          <w:sz w:val="20"/>
          <w:szCs w:val="20"/>
          <w:lang w:val="en-US"/>
        </w:rPr>
        <w:t xml:space="preserve"> </w:t>
      </w:r>
      <w:r w:rsidR="00F65521" w:rsidRPr="00305403">
        <w:rPr>
          <w:rFonts w:ascii="Times New Roman" w:eastAsia="TimesNewRomanPSMT" w:hAnsi="Times New Roman" w:cs="Times New Roman"/>
          <w:sz w:val="20"/>
          <w:szCs w:val="20"/>
          <w:lang w:val="uk-UA"/>
        </w:rPr>
        <w:t>Savchenko</w:t>
      </w:r>
      <w:r w:rsidR="00F65521">
        <w:rPr>
          <w:rFonts w:ascii="Times New Roman" w:eastAsia="TimesNewRomanPSMT" w:hAnsi="Times New Roman" w:cs="Times New Roman"/>
          <w:sz w:val="20"/>
          <w:szCs w:val="20"/>
          <w:lang w:val="en-US"/>
        </w:rPr>
        <w:t xml:space="preserve">, 2000; </w:t>
      </w:r>
      <w:r w:rsidR="00B41DAF" w:rsidRPr="00305403">
        <w:rPr>
          <w:rFonts w:ascii="Times New Roman" w:eastAsia="TimesNewRomanPSMT" w:hAnsi="Times New Roman" w:cs="Times New Roman"/>
          <w:sz w:val="20"/>
          <w:szCs w:val="20"/>
          <w:lang w:val="uk-UA"/>
        </w:rPr>
        <w:t>Dzjak</w:t>
      </w:r>
      <w:r w:rsidR="00B41DAF">
        <w:rPr>
          <w:rFonts w:ascii="Times New Roman" w:eastAsia="TimesNewRomanPSMT" w:hAnsi="Times New Roman" w:cs="Times New Roman"/>
          <w:sz w:val="20"/>
          <w:szCs w:val="20"/>
          <w:lang w:val="en-US"/>
        </w:rPr>
        <w:t xml:space="preserve"> et al</w:t>
      </w:r>
      <w:r w:rsidR="00B963D9">
        <w:rPr>
          <w:rFonts w:ascii="Times New Roman" w:eastAsia="TimesNewRomanPSMT" w:hAnsi="Times New Roman" w:cs="Times New Roman"/>
          <w:sz w:val="20"/>
          <w:szCs w:val="20"/>
          <w:lang w:val="en-US"/>
        </w:rPr>
        <w:t>.</w:t>
      </w:r>
      <w:r w:rsidR="00B41DAF">
        <w:rPr>
          <w:rFonts w:ascii="Times New Roman" w:eastAsia="TimesNewRomanPSMT" w:hAnsi="Times New Roman" w:cs="Times New Roman"/>
          <w:sz w:val="20"/>
          <w:szCs w:val="20"/>
          <w:lang w:val="en-US"/>
        </w:rPr>
        <w:t xml:space="preserve">, 2005;). </w:t>
      </w:r>
      <w:r w:rsidRPr="00B5541A">
        <w:rPr>
          <w:rFonts w:ascii="Times New Roman" w:eastAsia="TimesNewRomanPSMT" w:hAnsi="Times New Roman" w:cs="Times New Roman"/>
          <w:sz w:val="20"/>
          <w:szCs w:val="20"/>
          <w:lang w:val="en-US"/>
        </w:rPr>
        <w:t>Fosinopril is de-esterified by the liver or gastrointestinal mucosa and is converted to its active form, fosinoprilat. Fosinoprilat competitively binds to ACE, preventing ACE from binding to and converting angiotensin I to angiotensin II. Inhibiting the production of AII lowers peripheral vascular resistance, decreases afterload, and decreases blood pressure, thus helping to alleviate the negative effects of AII on cardiac performance.</w:t>
      </w:r>
      <w:r w:rsidR="00512114" w:rsidRPr="00B5541A">
        <w:rPr>
          <w:rFonts w:ascii="Times New Roman" w:eastAsia="TimesNewRomanPSMT" w:hAnsi="Times New Roman" w:cs="Times New Roman"/>
          <w:sz w:val="20"/>
          <w:szCs w:val="20"/>
          <w:lang w:val="en-US"/>
        </w:rPr>
        <w:t xml:space="preserve"> </w:t>
      </w:r>
      <w:r w:rsidRPr="00B5541A">
        <w:rPr>
          <w:rFonts w:ascii="Times New Roman" w:eastAsia="TimesNewRomanPSMT" w:hAnsi="Times New Roman" w:cs="Times New Roman"/>
          <w:sz w:val="20"/>
          <w:szCs w:val="20"/>
          <w:lang w:val="en-US"/>
        </w:rPr>
        <w:t>The second mechani</w:t>
      </w:r>
      <w:r w:rsidR="00512114" w:rsidRPr="00B5541A">
        <w:rPr>
          <w:rFonts w:ascii="Times New Roman" w:eastAsia="TimesNewRomanPSMT" w:hAnsi="Times New Roman" w:cs="Times New Roman"/>
          <w:sz w:val="20"/>
          <w:szCs w:val="20"/>
          <w:lang w:val="en-US"/>
        </w:rPr>
        <w:t xml:space="preserve">sm of action of ACE-inhibitors </w:t>
      </w:r>
      <w:r w:rsidRPr="00B5541A">
        <w:rPr>
          <w:rFonts w:ascii="Times New Roman" w:eastAsia="TimesNewRomanPSMT" w:hAnsi="Times New Roman" w:cs="Times New Roman"/>
          <w:sz w:val="20"/>
          <w:szCs w:val="20"/>
          <w:lang w:val="en-US"/>
        </w:rPr>
        <w:t>on endothelial function is thei</w:t>
      </w:r>
      <w:r w:rsidR="00512114" w:rsidRPr="00B5541A">
        <w:rPr>
          <w:rFonts w:ascii="Times New Roman" w:eastAsia="TimesNewRomanPSMT" w:hAnsi="Times New Roman" w:cs="Times New Roman"/>
          <w:sz w:val="20"/>
          <w:szCs w:val="20"/>
          <w:lang w:val="en-US"/>
        </w:rPr>
        <w:t>r ability to prevent the split</w:t>
      </w:r>
      <w:r w:rsidRPr="00B5541A">
        <w:rPr>
          <w:rFonts w:ascii="Times New Roman" w:eastAsia="TimesNewRomanPSMT" w:hAnsi="Times New Roman" w:cs="Times New Roman"/>
          <w:sz w:val="20"/>
          <w:szCs w:val="20"/>
          <w:lang w:val="en-US"/>
        </w:rPr>
        <w:t xml:space="preserve">ting of bradykinin </w:t>
      </w:r>
      <w:r w:rsidR="00B41DAF">
        <w:rPr>
          <w:rFonts w:ascii="Times New Roman" w:eastAsia="TimesNewRomanPSMT" w:hAnsi="Times New Roman" w:cs="Times New Roman"/>
          <w:sz w:val="20"/>
          <w:szCs w:val="20"/>
          <w:lang w:val="en-US"/>
        </w:rPr>
        <w:t>(</w:t>
      </w:r>
      <w:r w:rsidR="00B41DAF" w:rsidRPr="00305403">
        <w:rPr>
          <w:rFonts w:ascii="Times New Roman" w:eastAsia="TimesNewRomanPSMT" w:hAnsi="Times New Roman" w:cs="Times New Roman"/>
          <w:sz w:val="20"/>
          <w:szCs w:val="20"/>
          <w:lang w:val="en-US"/>
        </w:rPr>
        <w:t>Greene</w:t>
      </w:r>
      <w:r w:rsidR="00B41DAF">
        <w:rPr>
          <w:rFonts w:ascii="Times New Roman" w:eastAsia="TimesNewRomanPSMT" w:hAnsi="Times New Roman" w:cs="Times New Roman"/>
          <w:sz w:val="20"/>
          <w:szCs w:val="20"/>
          <w:lang w:val="en-US"/>
        </w:rPr>
        <w:t xml:space="preserve">, 2000). </w:t>
      </w:r>
      <w:r w:rsidRPr="00B5541A">
        <w:rPr>
          <w:rFonts w:ascii="Times New Roman" w:eastAsia="TimesNewRomanPSMT" w:hAnsi="Times New Roman" w:cs="Times New Roman"/>
          <w:sz w:val="20"/>
          <w:szCs w:val="20"/>
          <w:lang w:val="en-US"/>
        </w:rPr>
        <w:t xml:space="preserve">The </w:t>
      </w:r>
      <w:r w:rsidR="00512114" w:rsidRPr="00B5541A">
        <w:rPr>
          <w:rFonts w:ascii="Times New Roman" w:eastAsia="TimesNewRomanPSMT" w:hAnsi="Times New Roman" w:cs="Times New Roman"/>
          <w:sz w:val="20"/>
          <w:szCs w:val="20"/>
          <w:lang w:val="en-US"/>
        </w:rPr>
        <w:t xml:space="preserve">ACE is identical to the kinase </w:t>
      </w:r>
      <w:r w:rsidRPr="00B5541A">
        <w:rPr>
          <w:rFonts w:ascii="Times New Roman" w:eastAsia="TimesNewRomanPSMT" w:hAnsi="Times New Roman" w:cs="Times New Roman"/>
          <w:sz w:val="20"/>
          <w:szCs w:val="20"/>
          <w:lang w:val="en-US"/>
        </w:rPr>
        <w:t>II enzyme, which causes t</w:t>
      </w:r>
      <w:r w:rsidR="00512114" w:rsidRPr="00B5541A">
        <w:rPr>
          <w:rFonts w:ascii="Times New Roman" w:eastAsia="TimesNewRomanPSMT" w:hAnsi="Times New Roman" w:cs="Times New Roman"/>
          <w:sz w:val="20"/>
          <w:szCs w:val="20"/>
          <w:lang w:val="en-US"/>
        </w:rPr>
        <w:t xml:space="preserve">he conversion of bradykinin to </w:t>
      </w:r>
      <w:r w:rsidRPr="00B5541A">
        <w:rPr>
          <w:rFonts w:ascii="Times New Roman" w:eastAsia="TimesNewRomanPSMT" w:hAnsi="Times New Roman" w:cs="Times New Roman"/>
          <w:sz w:val="20"/>
          <w:szCs w:val="20"/>
          <w:lang w:val="en-US"/>
        </w:rPr>
        <w:t xml:space="preserve">an inactive state. Bradykinin </w:t>
      </w:r>
      <w:r w:rsidR="00512114" w:rsidRPr="00B5541A">
        <w:rPr>
          <w:rFonts w:ascii="Times New Roman" w:eastAsia="TimesNewRomanPSMT" w:hAnsi="Times New Roman" w:cs="Times New Roman"/>
          <w:sz w:val="20"/>
          <w:szCs w:val="20"/>
          <w:lang w:val="en-US"/>
        </w:rPr>
        <w:t xml:space="preserve">is a potent stimulator for the </w:t>
      </w:r>
      <w:r w:rsidRPr="00B5541A">
        <w:rPr>
          <w:rFonts w:ascii="Times New Roman" w:eastAsia="TimesNewRomanPSMT" w:hAnsi="Times New Roman" w:cs="Times New Roman"/>
          <w:sz w:val="20"/>
          <w:szCs w:val="20"/>
          <w:lang w:val="en-US"/>
        </w:rPr>
        <w:t>release of endothelium-d</w:t>
      </w:r>
      <w:r w:rsidR="00512114" w:rsidRPr="00B5541A">
        <w:rPr>
          <w:rFonts w:ascii="Times New Roman" w:eastAsia="TimesNewRomanPSMT" w:hAnsi="Times New Roman" w:cs="Times New Roman"/>
          <w:sz w:val="20"/>
          <w:szCs w:val="20"/>
          <w:lang w:val="en-US"/>
        </w:rPr>
        <w:t xml:space="preserve">ependent relaxing factors such </w:t>
      </w:r>
      <w:r w:rsidRPr="00B5541A">
        <w:rPr>
          <w:rFonts w:ascii="Times New Roman" w:eastAsia="TimesNewRomanPSMT" w:hAnsi="Times New Roman" w:cs="Times New Roman"/>
          <w:sz w:val="20"/>
          <w:szCs w:val="20"/>
          <w:lang w:val="en-US"/>
        </w:rPr>
        <w:t>as nitric oxide, endothelium hyperpolarizati</w:t>
      </w:r>
      <w:r w:rsidR="00512114" w:rsidRPr="00B5541A">
        <w:rPr>
          <w:rFonts w:ascii="Times New Roman" w:eastAsia="TimesNewRomanPSMT" w:hAnsi="Times New Roman" w:cs="Times New Roman"/>
          <w:sz w:val="20"/>
          <w:szCs w:val="20"/>
          <w:lang w:val="en-US"/>
        </w:rPr>
        <w:t xml:space="preserve">on factor and </w:t>
      </w:r>
      <w:r w:rsidRPr="00B5541A">
        <w:rPr>
          <w:rFonts w:ascii="Times New Roman" w:eastAsia="TimesNewRomanPSMT" w:hAnsi="Times New Roman" w:cs="Times New Roman"/>
          <w:sz w:val="20"/>
          <w:szCs w:val="20"/>
          <w:lang w:val="en-US"/>
        </w:rPr>
        <w:t>prostacyclin (PGI2).</w:t>
      </w:r>
    </w:p>
    <w:p w:rsidR="00464BE7" w:rsidRPr="00B5541A" w:rsidRDefault="00CA0FE5" w:rsidP="008F6059">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r w:rsidRPr="00B5541A">
        <w:rPr>
          <w:rFonts w:ascii="Times New Roman" w:eastAsia="TimesNewRomanPSMT" w:hAnsi="Times New Roman" w:cs="Times New Roman"/>
          <w:sz w:val="20"/>
          <w:szCs w:val="20"/>
          <w:lang w:val="en-US"/>
        </w:rPr>
        <w:t xml:space="preserve">The advantage of fosinopril is the balanced double way of isolation </w:t>
      </w:r>
      <w:r w:rsidR="0092385D" w:rsidRPr="0092385D">
        <w:rPr>
          <w:rFonts w:ascii="Times New Roman" w:eastAsia="TimesNewRomanPSMT" w:hAnsi="Times New Roman" w:cs="Times New Roman"/>
          <w:sz w:val="20"/>
          <w:szCs w:val="20"/>
          <w:lang w:val="en-US"/>
        </w:rPr>
        <w:t>–</w:t>
      </w:r>
      <w:r w:rsidRPr="00B5541A">
        <w:rPr>
          <w:rFonts w:ascii="Times New Roman" w:eastAsia="TimesNewRomanPSMT" w:hAnsi="Times New Roman" w:cs="Times New Roman"/>
          <w:sz w:val="20"/>
          <w:szCs w:val="20"/>
          <w:lang w:val="en-US"/>
        </w:rPr>
        <w:t xml:space="preserve"> slightly more than half of the total volume of the drug (54</w:t>
      </w:r>
      <w:r w:rsidR="002A5446">
        <w:rPr>
          <w:rFonts w:ascii="Times New Roman" w:eastAsia="TimesNewRomanPSMT" w:hAnsi="Times New Roman" w:cs="Times New Roman"/>
          <w:sz w:val="20"/>
          <w:szCs w:val="20"/>
          <w:lang w:val="en-US"/>
        </w:rPr>
        <w:t>.0</w:t>
      </w:r>
      <w:r w:rsidRPr="00B5541A">
        <w:rPr>
          <w:rFonts w:ascii="Times New Roman" w:eastAsia="TimesNewRomanPSMT" w:hAnsi="Times New Roman" w:cs="Times New Roman"/>
          <w:sz w:val="20"/>
          <w:szCs w:val="20"/>
          <w:lang w:val="en-US"/>
        </w:rPr>
        <w:t>%) is excreted from the body by renal excretion with urine, the rest (46</w:t>
      </w:r>
      <w:r w:rsidR="002A5446">
        <w:rPr>
          <w:rFonts w:ascii="Times New Roman" w:eastAsia="TimesNewRomanPSMT" w:hAnsi="Times New Roman" w:cs="Times New Roman"/>
          <w:sz w:val="20"/>
          <w:szCs w:val="20"/>
          <w:lang w:val="en-US"/>
        </w:rPr>
        <w:t>.0</w:t>
      </w:r>
      <w:r w:rsidRPr="00B5541A">
        <w:rPr>
          <w:rFonts w:ascii="Times New Roman" w:eastAsia="TimesNewRomanPSMT" w:hAnsi="Times New Roman" w:cs="Times New Roman"/>
          <w:sz w:val="20"/>
          <w:szCs w:val="20"/>
          <w:lang w:val="en-US"/>
        </w:rPr>
        <w:t>%) by hepatic degradation of active metabolites with their sequential release through the gastrointestinal tract.</w:t>
      </w:r>
      <w:r w:rsidR="00B5541A" w:rsidRPr="00B5541A">
        <w:rPr>
          <w:rFonts w:ascii="Times New Roman" w:eastAsia="TimesNewRomanPSMT" w:hAnsi="Times New Roman" w:cs="Times New Roman"/>
          <w:sz w:val="20"/>
          <w:szCs w:val="20"/>
          <w:lang w:val="en-US"/>
        </w:rPr>
        <w:t xml:space="preserve"> </w:t>
      </w:r>
      <w:r w:rsidRPr="00B5541A">
        <w:rPr>
          <w:rFonts w:ascii="Times New Roman" w:eastAsia="TimesNewRomanPSMT" w:hAnsi="Times New Roman" w:cs="Times New Roman"/>
          <w:sz w:val="20"/>
          <w:szCs w:val="20"/>
          <w:lang w:val="en-US"/>
        </w:rPr>
        <w:t xml:space="preserve">It is important to note that the decrease in renal filtration increases proportionally hepatic route of excretion of the drug, and on the contrary, in liver disease - increase the contribution of renal excretion. Actually, this pharmacokinetic feature of fosinopril is the basis of the important clinical recommendations: as in renal and hepatic insufficiency additional correction doses of fosinopril is not usually required </w:t>
      </w:r>
      <w:r w:rsidR="00B41DAF">
        <w:rPr>
          <w:rFonts w:ascii="Times New Roman" w:eastAsia="TimesNewRomanPSMT" w:hAnsi="Times New Roman" w:cs="Times New Roman"/>
          <w:sz w:val="20"/>
          <w:szCs w:val="20"/>
          <w:lang w:val="en-US"/>
        </w:rPr>
        <w:t>(</w:t>
      </w:r>
      <w:r w:rsidR="00B41DAF" w:rsidRPr="00305403">
        <w:rPr>
          <w:rFonts w:ascii="Times New Roman" w:eastAsia="TimesNewRomanPSMT" w:hAnsi="Times New Roman" w:cs="Times New Roman"/>
          <w:sz w:val="20"/>
          <w:szCs w:val="20"/>
          <w:lang w:val="en-US"/>
        </w:rPr>
        <w:t xml:space="preserve">Ageev </w:t>
      </w:r>
      <w:r w:rsidR="00B41DAF" w:rsidRPr="00803CA9">
        <w:rPr>
          <w:rFonts w:ascii="Times New Roman" w:eastAsia="TimesNewRomanPSMT" w:hAnsi="Times New Roman" w:cs="Times New Roman"/>
          <w:sz w:val="20"/>
          <w:szCs w:val="20"/>
          <w:lang w:val="en-US"/>
        </w:rPr>
        <w:t>&amp;</w:t>
      </w:r>
      <w:r w:rsidR="00B41DAF">
        <w:rPr>
          <w:rFonts w:ascii="Times New Roman" w:eastAsia="TimesNewRomanPSMT" w:hAnsi="Times New Roman" w:cs="Times New Roman"/>
          <w:sz w:val="20"/>
          <w:szCs w:val="20"/>
          <w:lang w:val="en-US"/>
        </w:rPr>
        <w:t xml:space="preserve"> </w:t>
      </w:r>
      <w:r w:rsidR="00B41DAF" w:rsidRPr="00305403">
        <w:rPr>
          <w:rFonts w:ascii="Times New Roman" w:eastAsia="TimesNewRomanPSMT" w:hAnsi="Times New Roman" w:cs="Times New Roman"/>
          <w:sz w:val="20"/>
          <w:szCs w:val="20"/>
          <w:lang w:val="en-US"/>
        </w:rPr>
        <w:t>Mareev</w:t>
      </w:r>
      <w:r w:rsidR="009F670F">
        <w:rPr>
          <w:rFonts w:ascii="Times New Roman" w:eastAsia="TimesNewRomanPSMT" w:hAnsi="Times New Roman" w:cs="Times New Roman"/>
          <w:sz w:val="20"/>
          <w:szCs w:val="20"/>
          <w:lang w:val="en-US"/>
        </w:rPr>
        <w:t>, 2000;</w:t>
      </w:r>
      <w:r w:rsidR="00B41DAF">
        <w:rPr>
          <w:rFonts w:ascii="Times New Roman" w:eastAsia="TimesNewRomanPSMT" w:hAnsi="Times New Roman" w:cs="Times New Roman"/>
          <w:sz w:val="20"/>
          <w:szCs w:val="20"/>
          <w:lang w:val="en-US"/>
        </w:rPr>
        <w:t xml:space="preserve"> </w:t>
      </w:r>
      <w:r w:rsidR="008C4430" w:rsidRPr="00305403">
        <w:rPr>
          <w:rFonts w:ascii="Times New Roman" w:eastAsia="TimesNewRomanPSMT" w:hAnsi="Times New Roman" w:cs="Times New Roman"/>
          <w:sz w:val="20"/>
          <w:szCs w:val="20"/>
          <w:lang w:val="en-US"/>
        </w:rPr>
        <w:t>Karpov</w:t>
      </w:r>
      <w:r w:rsidR="008C4430">
        <w:rPr>
          <w:rFonts w:ascii="Times New Roman" w:eastAsia="TimesNewRomanPSMT" w:hAnsi="Times New Roman" w:cs="Times New Roman"/>
          <w:sz w:val="20"/>
          <w:szCs w:val="20"/>
          <w:lang w:val="en-US"/>
        </w:rPr>
        <w:t>, 2001</w:t>
      </w:r>
      <w:r w:rsidR="00B41DAF">
        <w:rPr>
          <w:rFonts w:ascii="Times New Roman" w:eastAsia="TimesNewRomanPSMT" w:hAnsi="Times New Roman" w:cs="Times New Roman"/>
          <w:sz w:val="20"/>
          <w:szCs w:val="20"/>
          <w:lang w:val="en-US"/>
        </w:rPr>
        <w:t xml:space="preserve">). </w:t>
      </w:r>
      <w:r w:rsidR="00512114" w:rsidRPr="00B5541A">
        <w:rPr>
          <w:rFonts w:ascii="Times New Roman" w:eastAsia="TimesNewRomanPSMT" w:hAnsi="Times New Roman" w:cs="Times New Roman"/>
          <w:sz w:val="20"/>
          <w:szCs w:val="20"/>
          <w:lang w:val="en-US"/>
        </w:rPr>
        <w:t>This characteristic of fosinopril makes the drug a safer choice than other ACE inhibitors for heart failure patients with impaired kidney function resulting from poor perfusion as fosinopril can still be eliminated by the liver, preventing accumulation of the drug in the body.</w:t>
      </w:r>
    </w:p>
    <w:p w:rsidR="003C5AE0" w:rsidRDefault="004C062C" w:rsidP="003C5AE0">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r w:rsidRPr="00B5541A">
        <w:rPr>
          <w:rFonts w:ascii="Times New Roman" w:eastAsia="TimesNewRomanPSMT" w:hAnsi="Times New Roman" w:cs="Times New Roman"/>
          <w:sz w:val="20"/>
          <w:szCs w:val="20"/>
          <w:lang w:val="en-US"/>
        </w:rPr>
        <w:t xml:space="preserve">The results of this study allow to suggest that in individuals with grade 1 hypertension, the detachment of extracellular parts of </w:t>
      </w:r>
      <w:r w:rsidR="009A4A41" w:rsidRPr="00B5541A">
        <w:rPr>
          <w:rFonts w:ascii="Times New Roman" w:eastAsia="TimesNewRomanPSMT" w:hAnsi="Times New Roman" w:cs="Times New Roman"/>
          <w:sz w:val="20"/>
          <w:szCs w:val="20"/>
          <w:lang w:val="en-US"/>
        </w:rPr>
        <w:t>s</w:t>
      </w:r>
      <w:r w:rsidRPr="00B5541A">
        <w:rPr>
          <w:rFonts w:ascii="Times New Roman" w:eastAsia="TimesNewRomanPSMT" w:hAnsi="Times New Roman" w:cs="Times New Roman"/>
          <w:sz w:val="20"/>
          <w:szCs w:val="20"/>
          <w:lang w:val="en-US"/>
        </w:rPr>
        <w:t>TNF-</w:t>
      </w:r>
      <w:r w:rsidRPr="00B5541A">
        <w:rPr>
          <w:rFonts w:ascii="Times New Roman" w:eastAsia="TimesNewRomanPSMT" w:hAnsi="Times New Roman" w:cs="Times New Roman"/>
          <w:sz w:val="20"/>
          <w:szCs w:val="20"/>
        </w:rPr>
        <w:t>α</w:t>
      </w:r>
      <w:r w:rsidRPr="00B5541A">
        <w:rPr>
          <w:rFonts w:ascii="Times New Roman" w:eastAsia="TimesNewRomanPSMT" w:hAnsi="Times New Roman" w:cs="Times New Roman"/>
          <w:sz w:val="20"/>
          <w:szCs w:val="20"/>
          <w:lang w:val="en-US"/>
        </w:rPr>
        <w:t>RI</w:t>
      </w:r>
      <w:r w:rsidR="00C349A9">
        <w:rPr>
          <w:rFonts w:ascii="Times New Roman" w:eastAsia="TimesNewRomanPSMT" w:hAnsi="Times New Roman" w:cs="Times New Roman"/>
          <w:sz w:val="20"/>
          <w:szCs w:val="20"/>
          <w:lang w:val="en-US"/>
        </w:rPr>
        <w:t xml:space="preserve"> </w:t>
      </w:r>
      <w:r w:rsidR="009A4A41" w:rsidRPr="00B5541A">
        <w:rPr>
          <w:rFonts w:ascii="Times New Roman" w:eastAsia="TimesNewRomanPSMT" w:hAnsi="Times New Roman" w:cs="Times New Roman"/>
          <w:sz w:val="20"/>
          <w:szCs w:val="20"/>
          <w:lang w:val="en-US"/>
        </w:rPr>
        <w:t>(2.02</w:t>
      </w:r>
      <w:r w:rsidR="00C349A9">
        <w:rPr>
          <w:rFonts w:ascii="Times New Roman" w:eastAsia="TimesNewRomanPSMT" w:hAnsi="Times New Roman" w:cs="Times New Roman"/>
          <w:sz w:val="20"/>
          <w:szCs w:val="20"/>
          <w:lang w:val="en-US"/>
        </w:rPr>
        <w:t xml:space="preserve"> </w:t>
      </w:r>
      <w:r w:rsidR="009A4A41" w:rsidRPr="00B5541A">
        <w:rPr>
          <w:rFonts w:ascii="Times New Roman" w:eastAsia="TimesNewRomanPSMT" w:hAnsi="Times New Roman" w:cs="Times New Roman"/>
          <w:sz w:val="20"/>
          <w:szCs w:val="20"/>
          <w:lang w:val="en-US"/>
        </w:rPr>
        <w:t>±</w:t>
      </w:r>
      <w:r w:rsidR="00C349A9">
        <w:rPr>
          <w:rFonts w:ascii="Times New Roman" w:eastAsia="TimesNewRomanPSMT" w:hAnsi="Times New Roman" w:cs="Times New Roman"/>
          <w:sz w:val="20"/>
          <w:szCs w:val="20"/>
          <w:lang w:val="en-US"/>
        </w:rPr>
        <w:t xml:space="preserve"> </w:t>
      </w:r>
      <w:r w:rsidR="009A4A41" w:rsidRPr="00B5541A">
        <w:rPr>
          <w:rFonts w:ascii="Times New Roman" w:eastAsia="TimesNewRomanPSMT" w:hAnsi="Times New Roman" w:cs="Times New Roman"/>
          <w:sz w:val="20"/>
          <w:szCs w:val="20"/>
          <w:lang w:val="en-US"/>
        </w:rPr>
        <w:t>0.22 ng/m</w:t>
      </w:r>
      <w:r w:rsidR="00C349A9">
        <w:rPr>
          <w:rFonts w:ascii="Times New Roman" w:eastAsia="TimesNewRomanPSMT" w:hAnsi="Times New Roman" w:cs="Times New Roman"/>
          <w:sz w:val="20"/>
          <w:szCs w:val="20"/>
          <w:lang w:val="en-US"/>
        </w:rPr>
        <w:t>L</w:t>
      </w:r>
      <w:r w:rsidR="00C349A9" w:rsidRPr="00B5541A">
        <w:rPr>
          <w:rFonts w:ascii="Times New Roman" w:eastAsia="TimesNewRomanPSMT" w:hAnsi="Times New Roman" w:cs="Times New Roman"/>
          <w:sz w:val="20"/>
          <w:szCs w:val="20"/>
          <w:lang w:val="en-US"/>
        </w:rPr>
        <w:t>)</w:t>
      </w:r>
      <w:r w:rsidR="00C349A9">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 xml:space="preserve">at high levels of the circulating cytokine </w:t>
      </w:r>
      <w:r w:rsidRPr="0020167C">
        <w:rPr>
          <w:rFonts w:ascii="Times New Roman" w:eastAsia="TimesNewRomanPSMT" w:hAnsi="Times New Roman" w:cs="Times New Roman"/>
          <w:color w:val="000000"/>
          <w:sz w:val="20"/>
          <w:szCs w:val="20"/>
          <w:lang w:val="en-US"/>
        </w:rPr>
        <w:t>(</w:t>
      </w:r>
      <w:r w:rsidRPr="0020167C">
        <w:rPr>
          <w:rFonts w:ascii="Times New Roman" w:hAnsi="Times New Roman" w:cs="Times New Roman"/>
          <w:color w:val="000000"/>
          <w:sz w:val="20"/>
          <w:szCs w:val="20"/>
          <w:lang w:val="en-US"/>
        </w:rPr>
        <w:t>11</w:t>
      </w:r>
      <w:r w:rsidR="002A5446">
        <w:rPr>
          <w:rFonts w:ascii="Times New Roman" w:hAnsi="Times New Roman" w:cs="Times New Roman"/>
          <w:color w:val="000000"/>
          <w:sz w:val="20"/>
          <w:szCs w:val="20"/>
          <w:lang w:val="en-US"/>
        </w:rPr>
        <w:t xml:space="preserve">2 </w:t>
      </w:r>
      <w:r w:rsidRPr="0020167C">
        <w:rPr>
          <w:rFonts w:ascii="Times New Roman" w:hAnsi="Times New Roman" w:cs="Times New Roman"/>
          <w:color w:val="000000"/>
          <w:sz w:val="20"/>
          <w:szCs w:val="20"/>
          <w:lang w:val="en-US"/>
        </w:rPr>
        <w:t>±</w:t>
      </w:r>
      <w:r w:rsidR="00C349A9">
        <w:rPr>
          <w:rFonts w:ascii="Times New Roman" w:hAnsi="Times New Roman" w:cs="Times New Roman"/>
          <w:color w:val="000000"/>
          <w:sz w:val="20"/>
          <w:szCs w:val="20"/>
          <w:lang w:val="en-US"/>
        </w:rPr>
        <w:t xml:space="preserve"> </w:t>
      </w:r>
      <w:r w:rsidRPr="0020167C">
        <w:rPr>
          <w:rFonts w:ascii="Times New Roman" w:hAnsi="Times New Roman" w:cs="Times New Roman"/>
          <w:color w:val="000000"/>
          <w:sz w:val="20"/>
          <w:szCs w:val="20"/>
          <w:lang w:val="en-US"/>
        </w:rPr>
        <w:t>26.11</w:t>
      </w:r>
      <w:r w:rsidRPr="0020167C">
        <w:rPr>
          <w:rFonts w:ascii="Times New Roman" w:eastAsia="TimesNewRomanPSMT" w:hAnsi="Times New Roman" w:cs="Times New Roman"/>
          <w:color w:val="000000"/>
          <w:sz w:val="20"/>
          <w:szCs w:val="20"/>
          <w:lang w:val="en-US"/>
        </w:rPr>
        <w:t xml:space="preserve"> ng/m</w:t>
      </w:r>
      <w:r w:rsidR="00C349A9">
        <w:rPr>
          <w:rFonts w:ascii="Times New Roman" w:eastAsia="TimesNewRomanPSMT" w:hAnsi="Times New Roman" w:cs="Times New Roman"/>
          <w:color w:val="000000"/>
          <w:sz w:val="20"/>
          <w:szCs w:val="20"/>
          <w:lang w:val="en-US"/>
        </w:rPr>
        <w:t>L</w:t>
      </w:r>
      <w:r w:rsidRPr="0020167C">
        <w:rPr>
          <w:rFonts w:ascii="Times New Roman" w:eastAsia="TimesNewRomanPSMT" w:hAnsi="Times New Roman" w:cs="Times New Roman"/>
          <w:color w:val="000000"/>
          <w:sz w:val="20"/>
          <w:szCs w:val="20"/>
          <w:lang w:val="en-US"/>
        </w:rPr>
        <w:t xml:space="preserve">) </w:t>
      </w:r>
      <w:r w:rsidRPr="0020167C">
        <w:rPr>
          <w:rFonts w:ascii="Times New Roman" w:eastAsia="TimesNewRomanPSMT" w:hAnsi="Times New Roman" w:cs="Times New Roman"/>
          <w:sz w:val="20"/>
          <w:szCs w:val="20"/>
          <w:lang w:val="en-US"/>
        </w:rPr>
        <w:t>can possibly be regarded</w:t>
      </w:r>
      <w:r w:rsidR="00C349A9">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as an adaptive mechanism that, on one hand, reduces the number of active receptors on the surface of target cells, and on the other hand, might neutralize the bioactivity of TNF-</w:t>
      </w:r>
      <w:r w:rsidRPr="0020167C">
        <w:rPr>
          <w:rFonts w:ascii="Times New Roman" w:eastAsia="TimesNewRomanPSMT" w:hAnsi="Times New Roman" w:cs="Times New Roman"/>
          <w:sz w:val="20"/>
          <w:szCs w:val="20"/>
        </w:rPr>
        <w:t>α</w:t>
      </w:r>
      <w:r w:rsidRPr="0020167C">
        <w:rPr>
          <w:rFonts w:ascii="Times New Roman" w:eastAsia="TimesNewRomanPSMT" w:hAnsi="Times New Roman" w:cs="Times New Roman"/>
          <w:sz w:val="20"/>
          <w:szCs w:val="20"/>
          <w:lang w:val="en-US"/>
        </w:rPr>
        <w:t xml:space="preserve"> through the soluble receptor forms (sTNF-</w:t>
      </w:r>
      <w:r w:rsidRPr="0020167C">
        <w:rPr>
          <w:rFonts w:ascii="Times New Roman" w:eastAsia="TimesNewRomanPSMT" w:hAnsi="Times New Roman" w:cs="Times New Roman"/>
          <w:sz w:val="20"/>
          <w:szCs w:val="20"/>
        </w:rPr>
        <w:t>α</w:t>
      </w:r>
      <w:r w:rsidRPr="0020167C">
        <w:rPr>
          <w:rFonts w:ascii="Times New Roman" w:eastAsia="TimesNewRomanPSMT" w:hAnsi="Times New Roman" w:cs="Times New Roman"/>
          <w:sz w:val="20"/>
          <w:szCs w:val="20"/>
          <w:lang w:val="en-US"/>
        </w:rPr>
        <w:t xml:space="preserve">RI) binding with the latter. </w:t>
      </w:r>
      <w:r w:rsidR="003C5AE0" w:rsidRPr="003C5AE0">
        <w:rPr>
          <w:rFonts w:ascii="Times New Roman" w:eastAsia="TimesNewRomanPSMT" w:hAnsi="Times New Roman" w:cs="Times New Roman"/>
          <w:sz w:val="20"/>
          <w:szCs w:val="20"/>
          <w:lang w:val="en-US"/>
        </w:rPr>
        <w:t>In patients with grade 2 hypertension, a parallel increase in sTNF-αRI (2.13 ± 0.16 ng/mL) was probably not enough to neutralize the</w:t>
      </w:r>
      <w:r w:rsidR="003C5AE0">
        <w:rPr>
          <w:rFonts w:ascii="Times New Roman" w:eastAsia="TimesNewRomanPSMT" w:hAnsi="Times New Roman" w:cs="Times New Roman"/>
          <w:sz w:val="20"/>
          <w:szCs w:val="20"/>
          <w:lang w:val="en-US"/>
        </w:rPr>
        <w:t xml:space="preserve"> negative effect of TNF-α (142 </w:t>
      </w:r>
      <w:r w:rsidR="003C5AE0" w:rsidRPr="003C5AE0">
        <w:rPr>
          <w:rFonts w:ascii="Times New Roman" w:eastAsia="TimesNewRomanPSMT" w:hAnsi="Times New Roman" w:cs="Times New Roman"/>
          <w:sz w:val="20"/>
          <w:szCs w:val="20"/>
          <w:lang w:val="en-US"/>
        </w:rPr>
        <w:t>± 27.2 ng/mL), as could be evidenced by a further increase in the TNF-α/sTNF-αRI ratio (66.7 vs 55.4 in grade 1 hypertension and 11.0 in normotensive individuals).</w:t>
      </w:r>
      <w:r w:rsidR="003C5AE0">
        <w:rPr>
          <w:rFonts w:ascii="Times New Roman" w:eastAsia="TimesNewRomanPSMT" w:hAnsi="Times New Roman" w:cs="Times New Roman"/>
          <w:sz w:val="20"/>
          <w:szCs w:val="20"/>
          <w:lang w:val="en-US"/>
        </w:rPr>
        <w:t xml:space="preserve"> </w:t>
      </w:r>
      <w:r w:rsidR="003C5AE0" w:rsidRPr="003C5AE0">
        <w:rPr>
          <w:rFonts w:ascii="Times New Roman" w:eastAsia="TimesNewRomanPSMT" w:hAnsi="Times New Roman" w:cs="Times New Roman"/>
          <w:sz w:val="20"/>
          <w:szCs w:val="20"/>
          <w:lang w:val="en-US"/>
        </w:rPr>
        <w:t>At the maximal levels of blood pressure the levels of TNF-α were decreasing (117 ± 18.5 ng/mL), which possibly could be due to its binding to sTNF-αRI. On the other hand, we can suggest the possibility of TNF-α triggering an apoptotic cascade, which leads to the death of cells producing the cytokine. The further increase in sTNF-αRI on the background of a decrease in TNF-α has a positive significance. The fact that the TNF-α/sTNF-αRI value was 53.4, with the TNF-α levels also still exceeding those in grade 1 hypertension and healthy individuals, could indicate that such a level of sTNF-αRI was unable to inactivate TNF-α cytotoxicity.</w:t>
      </w:r>
    </w:p>
    <w:p w:rsidR="004C062C" w:rsidRPr="0020167C" w:rsidRDefault="004C062C" w:rsidP="008F6059">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r w:rsidRPr="0020167C">
        <w:rPr>
          <w:rFonts w:ascii="Times New Roman" w:eastAsia="TimesNewRomanPSMT" w:hAnsi="Times New Roman" w:cs="Times New Roman"/>
          <w:sz w:val="20"/>
          <w:szCs w:val="20"/>
          <w:lang w:val="en-US"/>
        </w:rPr>
        <w:t>Thus, according to single-factor dispersion analysis, there was an increase in the level of CRP in the blood serum of patients with hypertension. This increase depended only on the duration of hypertension, but not on the grade of increase in blood pressure; there was also no significant correlation between CRP and BP, possibly being consistent with existing data on the definition of CRP as an independent risk factor for hypertension. In particular, an increased level of CRP has been shown in normotensive individuals who have developed essential hypertension in the future. The increased level of CRP is related to the deterioration of endothelium-dependent relaxation, posing the potential risk of developing hypertension. In the</w:t>
      </w:r>
      <w:r w:rsidR="00A823AD">
        <w:rPr>
          <w:rFonts w:ascii="Times New Roman" w:eastAsia="TimesNewRomanPSMT" w:hAnsi="Times New Roman" w:cs="Times New Roman"/>
          <w:sz w:val="20"/>
          <w:szCs w:val="20"/>
          <w:lang w:val="en-US"/>
        </w:rPr>
        <w:t xml:space="preserve"> hypertensive population, it is </w:t>
      </w:r>
      <w:r w:rsidRPr="0020167C">
        <w:rPr>
          <w:rFonts w:ascii="Times New Roman" w:eastAsia="TimesNewRomanPSMT" w:hAnsi="Times New Roman" w:cs="Times New Roman"/>
          <w:sz w:val="20"/>
          <w:szCs w:val="20"/>
          <w:lang w:val="en-US"/>
        </w:rPr>
        <w:t>established that CRP is an independent predictor of atherosclerosis progression, more significant than pulsatile and systolic blood pressure. Our findings suggest that elevated CRP levels can be considered as a marker of systemic inflam</w:t>
      </w:r>
      <w:r w:rsidR="002E276E" w:rsidRPr="0020167C">
        <w:rPr>
          <w:rFonts w:ascii="Times New Roman" w:eastAsia="TimesNewRomanPSMT" w:hAnsi="Times New Roman" w:cs="Times New Roman"/>
          <w:sz w:val="20"/>
          <w:szCs w:val="20"/>
          <w:lang w:val="en-US"/>
        </w:rPr>
        <w:t xml:space="preserve">mation in hypertensive </w:t>
      </w:r>
      <w:r w:rsidR="002E276E" w:rsidRPr="008C4430">
        <w:rPr>
          <w:rFonts w:ascii="Times New Roman" w:eastAsia="TimesNewRomanPSMT" w:hAnsi="Times New Roman" w:cs="Times New Roman"/>
          <w:sz w:val="20"/>
          <w:szCs w:val="20"/>
          <w:lang w:val="en-US"/>
        </w:rPr>
        <w:t>patients</w:t>
      </w:r>
      <w:r w:rsidR="008C4430" w:rsidRPr="008C4430">
        <w:rPr>
          <w:rFonts w:ascii="Times New Roman" w:eastAsia="TimesNewRomanPSMT" w:hAnsi="Times New Roman" w:cs="Times New Roman"/>
          <w:sz w:val="20"/>
          <w:szCs w:val="20"/>
          <w:lang w:val="en-US"/>
        </w:rPr>
        <w:t xml:space="preserve"> (Bautista, 2001</w:t>
      </w:r>
      <w:r w:rsidR="008C4430">
        <w:rPr>
          <w:rFonts w:ascii="Times New Roman" w:eastAsia="TimesNewRomanPSMT" w:hAnsi="Times New Roman" w:cs="Times New Roman"/>
          <w:sz w:val="20"/>
          <w:szCs w:val="20"/>
          <w:lang w:val="en-US"/>
        </w:rPr>
        <w:t>;</w:t>
      </w:r>
      <w:r w:rsidR="008C4430" w:rsidRPr="008C4430">
        <w:rPr>
          <w:rFonts w:ascii="Times New Roman" w:eastAsia="TimesNewRomanPSMT" w:hAnsi="Times New Roman" w:cs="Times New Roman"/>
          <w:sz w:val="20"/>
          <w:szCs w:val="20"/>
          <w:lang w:val="en-US"/>
        </w:rPr>
        <w:t xml:space="preserve"> </w:t>
      </w:r>
      <w:r w:rsidR="008C4430" w:rsidRPr="00305403">
        <w:rPr>
          <w:rFonts w:ascii="Times New Roman" w:eastAsia="TimesNewRomanPSMT" w:hAnsi="Times New Roman" w:cs="Times New Roman"/>
          <w:sz w:val="20"/>
          <w:szCs w:val="20"/>
          <w:lang w:val="en-US"/>
        </w:rPr>
        <w:t>Onat</w:t>
      </w:r>
      <w:r w:rsidR="008C4430">
        <w:rPr>
          <w:rFonts w:ascii="Times New Roman" w:eastAsia="TimesNewRomanPSMT" w:hAnsi="Times New Roman" w:cs="Times New Roman"/>
          <w:sz w:val="20"/>
          <w:szCs w:val="20"/>
          <w:lang w:val="en-US"/>
        </w:rPr>
        <w:t xml:space="preserve"> et al</w:t>
      </w:r>
      <w:r w:rsidR="00B963D9">
        <w:rPr>
          <w:rFonts w:ascii="Times New Roman" w:eastAsia="TimesNewRomanPSMT" w:hAnsi="Times New Roman" w:cs="Times New Roman"/>
          <w:sz w:val="20"/>
          <w:szCs w:val="20"/>
          <w:lang w:val="en-US"/>
        </w:rPr>
        <w:t>.</w:t>
      </w:r>
      <w:r w:rsidR="008C4430">
        <w:rPr>
          <w:rFonts w:ascii="Times New Roman" w:eastAsia="TimesNewRomanPSMT" w:hAnsi="Times New Roman" w:cs="Times New Roman"/>
          <w:sz w:val="20"/>
          <w:szCs w:val="20"/>
          <w:lang w:val="en-US"/>
        </w:rPr>
        <w:t>, 2008</w:t>
      </w:r>
      <w:r w:rsidR="008C4430" w:rsidRPr="008C4430">
        <w:rPr>
          <w:rFonts w:ascii="Times New Roman" w:eastAsia="TimesNewRomanPSMT" w:hAnsi="Times New Roman" w:cs="Times New Roman"/>
          <w:sz w:val="20"/>
          <w:szCs w:val="20"/>
          <w:lang w:val="en-US"/>
        </w:rPr>
        <w:t>).</w:t>
      </w:r>
      <w:r w:rsidR="002E276E" w:rsidRPr="0020167C">
        <w:rPr>
          <w:rFonts w:ascii="Times New Roman" w:eastAsia="TimesNewRomanPSMT" w:hAnsi="Times New Roman" w:cs="Times New Roman"/>
          <w:sz w:val="20"/>
          <w:szCs w:val="20"/>
          <w:lang w:val="en-US"/>
        </w:rPr>
        <w:t xml:space="preserve"> </w:t>
      </w:r>
    </w:p>
    <w:p w:rsidR="004C062C" w:rsidRDefault="004C062C" w:rsidP="008F6059">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r w:rsidRPr="0020167C">
        <w:rPr>
          <w:rFonts w:ascii="Times New Roman" w:eastAsia="TimesNewRomanPSMT" w:hAnsi="Times New Roman" w:cs="Times New Roman"/>
          <w:sz w:val="20"/>
          <w:szCs w:val="20"/>
          <w:lang w:val="en-US"/>
        </w:rPr>
        <w:lastRenderedPageBreak/>
        <w:t>Taking into account the correlations revealed, this may indicate the role of OS in the pathogenesis of hypertension as a damaging mechanism that promotes the activation of immune mechanisms, nonspecific inflammation and the further progression of the disease. OS causes damage to the vascular endothelium, and the main disorders in the vascular wall that are characteristic of hypertension are endothelial dysfunction and hypertrophy of the smooth muscle cells.</w:t>
      </w:r>
    </w:p>
    <w:p w:rsidR="00305403" w:rsidRPr="0020167C" w:rsidRDefault="00305403" w:rsidP="0020167C">
      <w:pPr>
        <w:autoSpaceDE w:val="0"/>
        <w:autoSpaceDN w:val="0"/>
        <w:adjustRightInd w:val="0"/>
        <w:spacing w:after="0" w:line="240" w:lineRule="auto"/>
        <w:ind w:left="0"/>
        <w:rPr>
          <w:rFonts w:ascii="Times New Roman" w:eastAsia="TimesNewRomanPSMT" w:hAnsi="Times New Roman" w:cs="Times New Roman"/>
          <w:sz w:val="20"/>
          <w:szCs w:val="20"/>
          <w:lang w:val="en-US"/>
        </w:rPr>
      </w:pPr>
    </w:p>
    <w:p w:rsidR="004C062C" w:rsidRPr="0020167C" w:rsidRDefault="004C062C" w:rsidP="008F6059">
      <w:pPr>
        <w:autoSpaceDE w:val="0"/>
        <w:autoSpaceDN w:val="0"/>
        <w:adjustRightInd w:val="0"/>
        <w:spacing w:after="0" w:line="240" w:lineRule="auto"/>
        <w:ind w:left="0" w:firstLine="851"/>
        <w:rPr>
          <w:rFonts w:ascii="Times New Roman" w:eastAsia="TimesNewRomanPSMT" w:hAnsi="Times New Roman" w:cs="Times New Roman"/>
          <w:b/>
          <w:sz w:val="20"/>
          <w:szCs w:val="20"/>
          <w:lang w:val="en-US"/>
        </w:rPr>
      </w:pPr>
      <w:r w:rsidRPr="0020167C">
        <w:rPr>
          <w:rFonts w:ascii="Times New Roman" w:eastAsia="TimesNewRomanPSMT" w:hAnsi="Times New Roman" w:cs="Times New Roman"/>
          <w:b/>
          <w:sz w:val="20"/>
          <w:szCs w:val="20"/>
          <w:lang w:val="en-US"/>
        </w:rPr>
        <w:t>Conclusions</w:t>
      </w:r>
    </w:p>
    <w:p w:rsidR="00D157EC" w:rsidRDefault="004C062C" w:rsidP="001C7E16">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r w:rsidRPr="00437DAC">
        <w:rPr>
          <w:rFonts w:ascii="Times New Roman" w:eastAsia="TimesNewRomanPSMT" w:hAnsi="Times New Roman" w:cs="Times New Roman"/>
          <w:sz w:val="20"/>
          <w:szCs w:val="20"/>
          <w:lang w:val="en-US"/>
        </w:rPr>
        <w:t xml:space="preserve">The obtained data allows to suggest the possible role of oxidative stress as one of the important pathogenetic mechanisms in hypertension, manifested in this study as an increase in the content of serum 8-isoprostane compared to practically healthy individuals. Thus, oxidative stress possibly promotes the activation of potentially damaging immune mechanisms mediated by pro-inflammatory cytokines, nonspecific inflammation and drives the further progression of the </w:t>
      </w:r>
      <w:r w:rsidR="00174CB1" w:rsidRPr="00437DAC">
        <w:rPr>
          <w:rFonts w:ascii="Times New Roman" w:eastAsia="TimesNewRomanPSMT" w:hAnsi="Times New Roman" w:cs="Times New Roman"/>
          <w:sz w:val="20"/>
          <w:szCs w:val="20"/>
          <w:lang w:val="en-US"/>
        </w:rPr>
        <w:t>target organs lesions</w:t>
      </w:r>
      <w:r w:rsidRPr="00437DAC">
        <w:rPr>
          <w:rFonts w:ascii="Times New Roman" w:eastAsia="TimesNewRomanPSMT" w:hAnsi="Times New Roman" w:cs="Times New Roman"/>
          <w:sz w:val="20"/>
          <w:szCs w:val="20"/>
          <w:lang w:val="en-US"/>
        </w:rPr>
        <w:t>.</w:t>
      </w:r>
    </w:p>
    <w:p w:rsidR="004C062C" w:rsidRPr="00437DAC" w:rsidRDefault="00174CB1" w:rsidP="00D157EC">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r w:rsidRPr="00437DAC">
        <w:rPr>
          <w:rFonts w:ascii="Times New Roman" w:eastAsia="TimesNewRomanPSMT" w:hAnsi="Times New Roman" w:cs="Times New Roman"/>
          <w:sz w:val="20"/>
          <w:szCs w:val="20"/>
          <w:lang w:val="en-US"/>
        </w:rPr>
        <w:t>An increase in circulating</w:t>
      </w:r>
      <w:r w:rsidR="00357823" w:rsidRPr="00437DAC">
        <w:rPr>
          <w:rFonts w:ascii="Times New Roman" w:eastAsia="TimesNewRomanPSMT" w:hAnsi="Times New Roman" w:cs="Times New Roman"/>
          <w:sz w:val="20"/>
          <w:szCs w:val="20"/>
          <w:lang w:val="en-US"/>
        </w:rPr>
        <w:t xml:space="preserve"> TNF-</w:t>
      </w:r>
      <w:r w:rsidR="00357823" w:rsidRPr="00437DAC">
        <w:rPr>
          <w:rFonts w:ascii="Times New Roman" w:eastAsia="TimesNewRomanPSMT" w:hAnsi="Times New Roman" w:cs="Times New Roman"/>
          <w:sz w:val="20"/>
          <w:szCs w:val="20"/>
        </w:rPr>
        <w:t>α</w:t>
      </w:r>
      <w:r w:rsidR="00357823" w:rsidRPr="00437DAC">
        <w:rPr>
          <w:rFonts w:ascii="Times New Roman" w:eastAsia="TimesNewRomanPSMT" w:hAnsi="Times New Roman" w:cs="Times New Roman"/>
          <w:sz w:val="20"/>
          <w:szCs w:val="20"/>
          <w:lang w:val="en-US"/>
        </w:rPr>
        <w:t>, sTNF-</w:t>
      </w:r>
      <w:r w:rsidR="00357823" w:rsidRPr="00437DAC">
        <w:rPr>
          <w:rFonts w:ascii="Times New Roman" w:eastAsia="TimesNewRomanPSMT" w:hAnsi="Times New Roman" w:cs="Times New Roman"/>
          <w:sz w:val="20"/>
          <w:szCs w:val="20"/>
        </w:rPr>
        <w:t>α</w:t>
      </w:r>
      <w:r w:rsidR="00357823" w:rsidRPr="00437DAC">
        <w:rPr>
          <w:rFonts w:ascii="Times New Roman" w:eastAsia="TimesNewRomanPSMT" w:hAnsi="Times New Roman" w:cs="Times New Roman"/>
          <w:sz w:val="20"/>
          <w:szCs w:val="20"/>
          <w:lang w:val="en-US"/>
        </w:rPr>
        <w:t>RI, CRP and 8-isoprostane</w:t>
      </w:r>
      <w:r w:rsidR="00357823" w:rsidRPr="00437DAC">
        <w:rPr>
          <w:rFonts w:ascii="Times New Roman" w:eastAsia="TimesNewRomanPSMT" w:hAnsi="Times New Roman" w:cs="Times New Roman"/>
          <w:b/>
          <w:sz w:val="20"/>
          <w:szCs w:val="20"/>
          <w:lang w:val="en-US"/>
        </w:rPr>
        <w:t xml:space="preserve"> </w:t>
      </w:r>
      <w:r w:rsidRPr="00437DAC">
        <w:rPr>
          <w:rFonts w:ascii="Times New Roman" w:eastAsia="TimesNewRomanPSMT" w:hAnsi="Times New Roman" w:cs="Times New Roman"/>
          <w:bCs/>
          <w:sz w:val="20"/>
          <w:szCs w:val="20"/>
          <w:lang w:val="en-US"/>
        </w:rPr>
        <w:t>levels supports data on involvement of immune activation and oxidative stress in hypertension</w:t>
      </w:r>
      <w:r w:rsidR="00357823" w:rsidRPr="00437DAC">
        <w:rPr>
          <w:rFonts w:ascii="Times New Roman" w:eastAsia="TimesNewRomanPSMT" w:hAnsi="Times New Roman" w:cs="Times New Roman"/>
          <w:sz w:val="20"/>
          <w:szCs w:val="20"/>
          <w:lang w:val="en-US"/>
        </w:rPr>
        <w:t>.</w:t>
      </w:r>
      <w:r w:rsidR="00F070CA" w:rsidRPr="00437DAC">
        <w:rPr>
          <w:rFonts w:ascii="Times New Roman" w:eastAsia="TimesNewRomanPSMT" w:hAnsi="Times New Roman" w:cs="Times New Roman"/>
          <w:sz w:val="20"/>
          <w:szCs w:val="20"/>
          <w:lang w:val="en-US"/>
        </w:rPr>
        <w:t xml:space="preserve"> </w:t>
      </w:r>
      <w:r w:rsidR="004C062C" w:rsidRPr="00437DAC">
        <w:rPr>
          <w:rFonts w:ascii="Times New Roman" w:eastAsia="TimesNewRomanPSMT" w:hAnsi="Times New Roman" w:cs="Times New Roman"/>
          <w:sz w:val="20"/>
          <w:szCs w:val="20"/>
          <w:lang w:val="en-US"/>
        </w:rPr>
        <w:t>It was found that the grade of hypertension influences the increase in the blood levels of TNF-</w:t>
      </w:r>
      <w:r w:rsidR="004C062C" w:rsidRPr="00437DAC">
        <w:rPr>
          <w:rFonts w:ascii="Times New Roman" w:eastAsia="TimesNewRomanPSMT" w:hAnsi="Times New Roman" w:cs="Times New Roman"/>
          <w:sz w:val="20"/>
          <w:szCs w:val="20"/>
        </w:rPr>
        <w:t>α</w:t>
      </w:r>
      <w:r w:rsidR="004C062C" w:rsidRPr="00437DAC">
        <w:rPr>
          <w:rFonts w:ascii="Times New Roman" w:eastAsia="TimesNewRomanPSMT" w:hAnsi="Times New Roman" w:cs="Times New Roman"/>
          <w:sz w:val="20"/>
          <w:szCs w:val="20"/>
          <w:lang w:val="en-US"/>
        </w:rPr>
        <w:t xml:space="preserve"> and 8-iso-PgF2</w:t>
      </w:r>
      <w:r w:rsidR="004C062C" w:rsidRPr="00437DAC">
        <w:rPr>
          <w:rFonts w:ascii="Times New Roman" w:eastAsia="TimesNewRomanPSMT" w:hAnsi="Times New Roman" w:cs="Times New Roman"/>
          <w:sz w:val="20"/>
          <w:szCs w:val="20"/>
        </w:rPr>
        <w:t>α</w:t>
      </w:r>
      <w:r w:rsidR="004C062C" w:rsidRPr="00437DAC">
        <w:rPr>
          <w:rFonts w:ascii="Times New Roman" w:eastAsia="TimesNewRomanPSMT" w:hAnsi="Times New Roman" w:cs="Times New Roman"/>
          <w:sz w:val="20"/>
          <w:szCs w:val="20"/>
          <w:lang w:val="en-US"/>
        </w:rPr>
        <w:t>, but not on of sTNF-</w:t>
      </w:r>
      <w:r w:rsidR="004C062C" w:rsidRPr="00437DAC">
        <w:rPr>
          <w:rFonts w:ascii="Times New Roman" w:eastAsia="TimesNewRomanPSMT" w:hAnsi="Times New Roman" w:cs="Times New Roman"/>
          <w:sz w:val="20"/>
          <w:szCs w:val="20"/>
        </w:rPr>
        <w:t>α</w:t>
      </w:r>
      <w:r w:rsidR="004C062C" w:rsidRPr="00437DAC">
        <w:rPr>
          <w:rFonts w:ascii="Times New Roman" w:eastAsia="TimesNewRomanPSMT" w:hAnsi="Times New Roman" w:cs="Times New Roman"/>
          <w:sz w:val="20"/>
          <w:szCs w:val="20"/>
          <w:lang w:val="en-US"/>
        </w:rPr>
        <w:t>RI, and the duration of hypertension affects the activity of the C-reactive protein, TNF-</w:t>
      </w:r>
      <w:r w:rsidR="004C062C" w:rsidRPr="00437DAC">
        <w:rPr>
          <w:rFonts w:ascii="Times New Roman" w:eastAsia="TimesNewRomanPSMT" w:hAnsi="Times New Roman" w:cs="Times New Roman"/>
          <w:sz w:val="20"/>
          <w:szCs w:val="20"/>
        </w:rPr>
        <w:t>α</w:t>
      </w:r>
      <w:r w:rsidR="004C062C" w:rsidRPr="00437DAC">
        <w:rPr>
          <w:rFonts w:ascii="Times New Roman" w:eastAsia="TimesNewRomanPSMT" w:hAnsi="Times New Roman" w:cs="Times New Roman"/>
          <w:sz w:val="20"/>
          <w:szCs w:val="20"/>
          <w:lang w:val="en-US"/>
        </w:rPr>
        <w:t xml:space="preserve"> and the content of sTNF-</w:t>
      </w:r>
      <w:r w:rsidR="004C062C" w:rsidRPr="00437DAC">
        <w:rPr>
          <w:rFonts w:ascii="Times New Roman" w:eastAsia="TimesNewRomanPSMT" w:hAnsi="Times New Roman" w:cs="Times New Roman"/>
          <w:sz w:val="20"/>
          <w:szCs w:val="20"/>
        </w:rPr>
        <w:t>α</w:t>
      </w:r>
      <w:r w:rsidR="004C062C" w:rsidRPr="00437DAC">
        <w:rPr>
          <w:rFonts w:ascii="Times New Roman" w:eastAsia="TimesNewRomanPSMT" w:hAnsi="Times New Roman" w:cs="Times New Roman"/>
          <w:sz w:val="20"/>
          <w:szCs w:val="20"/>
          <w:lang w:val="en-US"/>
        </w:rPr>
        <w:t>RI, with no effect on the level of 8-iso-PgF2</w:t>
      </w:r>
      <w:r w:rsidR="004C062C" w:rsidRPr="00437DAC">
        <w:rPr>
          <w:rFonts w:ascii="Times New Roman" w:eastAsia="TimesNewRomanPSMT" w:hAnsi="Times New Roman" w:cs="Times New Roman"/>
          <w:sz w:val="20"/>
          <w:szCs w:val="20"/>
        </w:rPr>
        <w:t>α</w:t>
      </w:r>
      <w:r w:rsidR="004C062C" w:rsidRPr="00437DAC">
        <w:rPr>
          <w:rFonts w:ascii="Times New Roman" w:eastAsia="TimesNewRomanPSMT" w:hAnsi="Times New Roman" w:cs="Times New Roman"/>
          <w:sz w:val="20"/>
          <w:szCs w:val="20"/>
          <w:lang w:val="en-US"/>
        </w:rPr>
        <w:t>.</w:t>
      </w:r>
    </w:p>
    <w:p w:rsidR="00A823AD" w:rsidRDefault="004C062C" w:rsidP="00A823AD">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r w:rsidRPr="00437DAC">
        <w:rPr>
          <w:rFonts w:ascii="Times New Roman" w:eastAsia="TimesNewRomanPSMT" w:hAnsi="Times New Roman" w:cs="Times New Roman"/>
          <w:sz w:val="20"/>
          <w:szCs w:val="20"/>
          <w:lang w:val="en-US"/>
        </w:rPr>
        <w:t>The data obtained in the course of 2</w:t>
      </w:r>
      <w:r w:rsidR="00174CB1" w:rsidRPr="00437DAC">
        <w:rPr>
          <w:rFonts w:ascii="Times New Roman" w:eastAsia="TimesNewRomanPSMT" w:hAnsi="Times New Roman" w:cs="Times New Roman"/>
          <w:sz w:val="20"/>
          <w:szCs w:val="20"/>
          <w:lang w:val="en-US"/>
        </w:rPr>
        <w:t>-</w:t>
      </w:r>
      <w:r w:rsidRPr="00437DAC">
        <w:rPr>
          <w:rFonts w:ascii="Times New Roman" w:eastAsia="TimesNewRomanPSMT" w:hAnsi="Times New Roman" w:cs="Times New Roman"/>
          <w:sz w:val="20"/>
          <w:szCs w:val="20"/>
          <w:lang w:val="en-US"/>
        </w:rPr>
        <w:t>months treatment testifies to anti-inflammatory and anti-apoptotic effects of the combined antihypertensive therapy. The most pronounced result was observed in individuals receiving combined therapy with lacidipine plus candesartan and bisoprolol plus indapamide.</w:t>
      </w:r>
    </w:p>
    <w:p w:rsidR="00A823AD" w:rsidRDefault="00A823AD" w:rsidP="00A823AD">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r w:rsidRPr="00A823AD">
        <w:rPr>
          <w:rFonts w:ascii="Times New Roman" w:eastAsia="TimesNewRomanPSMT" w:hAnsi="Times New Roman" w:cs="Times New Roman"/>
          <w:sz w:val="20"/>
          <w:szCs w:val="20"/>
          <w:lang w:val="en-US"/>
        </w:rPr>
        <w:t>It is important that further studies are made to assess the activity of proinflammatory cytokines, namely tumor necrosis factor-α and its type I soluble receptor, the level of C-reactive protein, as an independent marker of systemic inflammation in relation to the development of oxidative stress, by the content of 8-isoprostane, involved large study populations with long follow-up times. The results of advanced research will help in the formation of pathogenetically caused and prognostically significant antihypertensive therapy regimens.</w:t>
      </w:r>
      <w:r w:rsidR="00BD7F60" w:rsidRPr="00BD7F60">
        <w:rPr>
          <w:rFonts w:ascii="Times New Roman" w:eastAsia="TimesNewRomanPSMT" w:hAnsi="Times New Roman" w:cs="Times New Roman"/>
          <w:sz w:val="20"/>
          <w:szCs w:val="20"/>
          <w:lang w:val="en-US"/>
        </w:rPr>
        <w:t xml:space="preserve"> </w:t>
      </w:r>
    </w:p>
    <w:p w:rsidR="00B963D9" w:rsidRDefault="009F670F" w:rsidP="00A823AD">
      <w:pPr>
        <w:autoSpaceDE w:val="0"/>
        <w:autoSpaceDN w:val="0"/>
        <w:adjustRightInd w:val="0"/>
        <w:spacing w:after="0" w:line="240" w:lineRule="auto"/>
        <w:ind w:left="0" w:firstLine="851"/>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w:t>
      </w:r>
      <w:r w:rsidR="00891659" w:rsidRPr="00437DAC">
        <w:rPr>
          <w:rFonts w:ascii="Times New Roman" w:eastAsia="TimesNewRomanPSMT" w:hAnsi="Times New Roman" w:cs="Times New Roman"/>
          <w:sz w:val="20"/>
          <w:szCs w:val="20"/>
          <w:lang w:val="en-US"/>
        </w:rPr>
        <w:t xml:space="preserve">The authors declare </w:t>
      </w:r>
      <w:r w:rsidR="00174CB1" w:rsidRPr="00437DAC">
        <w:rPr>
          <w:rFonts w:ascii="Times New Roman" w:eastAsia="TimesNewRomanPSMT" w:hAnsi="Times New Roman" w:cs="Times New Roman"/>
          <w:sz w:val="20"/>
          <w:szCs w:val="20"/>
          <w:lang w:val="en-US"/>
        </w:rPr>
        <w:t>no</w:t>
      </w:r>
      <w:r w:rsidR="00891659" w:rsidRPr="00437DAC">
        <w:rPr>
          <w:rFonts w:ascii="Times New Roman" w:eastAsia="TimesNewRomanPSMT" w:hAnsi="Times New Roman" w:cs="Times New Roman"/>
          <w:sz w:val="20"/>
          <w:szCs w:val="20"/>
          <w:lang w:val="en-US"/>
        </w:rPr>
        <w:t xml:space="preserve"> conflicts of interest</w:t>
      </w:r>
      <w:r>
        <w:rPr>
          <w:rFonts w:ascii="Times New Roman" w:eastAsia="TimesNewRomanPSMT" w:hAnsi="Times New Roman" w:cs="Times New Roman"/>
          <w:sz w:val="20"/>
          <w:szCs w:val="20"/>
          <w:lang w:val="en-US"/>
        </w:rPr>
        <w:t>"</w:t>
      </w:r>
      <w:r w:rsidR="00891659" w:rsidRPr="00437DAC">
        <w:rPr>
          <w:rFonts w:ascii="Times New Roman" w:eastAsia="TimesNewRomanPSMT" w:hAnsi="Times New Roman" w:cs="Times New Roman"/>
          <w:sz w:val="20"/>
          <w:szCs w:val="20"/>
          <w:lang w:val="en-US"/>
        </w:rPr>
        <w:t>.</w:t>
      </w:r>
    </w:p>
    <w:p w:rsidR="00B963D9" w:rsidRPr="0020167C" w:rsidRDefault="00B963D9" w:rsidP="0020167C">
      <w:pPr>
        <w:autoSpaceDE w:val="0"/>
        <w:autoSpaceDN w:val="0"/>
        <w:adjustRightInd w:val="0"/>
        <w:spacing w:after="0" w:line="240" w:lineRule="auto"/>
        <w:ind w:left="0" w:firstLine="0"/>
        <w:rPr>
          <w:rFonts w:ascii="Times New Roman" w:eastAsia="TimesNewRomanPSMT" w:hAnsi="Times New Roman" w:cs="Times New Roman"/>
          <w:sz w:val="20"/>
          <w:szCs w:val="20"/>
          <w:lang w:val="en-US"/>
        </w:rPr>
      </w:pPr>
    </w:p>
    <w:p w:rsidR="00BB5EC7" w:rsidRPr="0020167C" w:rsidRDefault="004850C1" w:rsidP="004850C1">
      <w:pPr>
        <w:autoSpaceDE w:val="0"/>
        <w:autoSpaceDN w:val="0"/>
        <w:adjustRightInd w:val="0"/>
        <w:spacing w:after="0" w:line="240" w:lineRule="auto"/>
        <w:ind w:left="0"/>
        <w:rPr>
          <w:rFonts w:ascii="Times New Roman" w:eastAsia="TimesNewRomanPSMT" w:hAnsi="Times New Roman" w:cs="Times New Roman"/>
          <w:b/>
          <w:sz w:val="20"/>
          <w:szCs w:val="20"/>
          <w:lang w:val="en-US"/>
        </w:rPr>
      </w:pPr>
      <w:r>
        <w:rPr>
          <w:rFonts w:ascii="Times New Roman" w:eastAsia="TimesNewRomanPSMT" w:hAnsi="Times New Roman" w:cs="Times New Roman"/>
          <w:b/>
          <w:sz w:val="20"/>
          <w:szCs w:val="20"/>
          <w:lang w:val="en-US"/>
        </w:rPr>
        <w:t>References</w:t>
      </w:r>
    </w:p>
    <w:p w:rsidR="0028648A" w:rsidRDefault="0028648A" w:rsidP="00BB5EC7">
      <w:pPr>
        <w:autoSpaceDE w:val="0"/>
        <w:autoSpaceDN w:val="0"/>
        <w:adjustRightInd w:val="0"/>
        <w:spacing w:after="0" w:line="240" w:lineRule="auto"/>
        <w:ind w:left="0"/>
        <w:rPr>
          <w:rFonts w:ascii="Times New Roman" w:eastAsia="TimesNewRomanPSMT" w:hAnsi="Times New Roman" w:cs="Times New Roman"/>
          <w:b/>
          <w:sz w:val="20"/>
          <w:szCs w:val="20"/>
          <w:lang w:val="en-US"/>
        </w:rPr>
      </w:pPr>
    </w:p>
    <w:p w:rsidR="0028648A" w:rsidRPr="00305403" w:rsidRDefault="0028648A" w:rsidP="00CC669E">
      <w:pPr>
        <w:pStyle w:val="a4"/>
        <w:autoSpaceDE w:val="0"/>
        <w:autoSpaceDN w:val="0"/>
        <w:adjustRightInd w:val="0"/>
        <w:spacing w:after="0" w:line="240" w:lineRule="auto"/>
        <w:ind w:left="426" w:hanging="426"/>
        <w:rPr>
          <w:rFonts w:ascii="Times New Roman" w:eastAsia="TimesNewRomanPSMT" w:hAnsi="Times New Roman" w:cs="Times New Roman"/>
          <w:sz w:val="20"/>
          <w:szCs w:val="20"/>
          <w:lang w:val="en-US"/>
        </w:rPr>
      </w:pPr>
      <w:r w:rsidRPr="00305403">
        <w:rPr>
          <w:rFonts w:ascii="Times New Roman" w:eastAsia="TimesNewRomanPSMT" w:hAnsi="Times New Roman" w:cs="Times New Roman"/>
          <w:sz w:val="20"/>
          <w:szCs w:val="20"/>
          <w:lang w:val="en-US"/>
        </w:rPr>
        <w:t>Ageev</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 xml:space="preserve"> F.</w:t>
      </w:r>
      <w:r w:rsidR="00391131" w:rsidRPr="00391131">
        <w:rPr>
          <w:rFonts w:ascii="Times New Roman" w:eastAsia="TimesNewRomanPSMT" w:hAnsi="Times New Roman" w:cs="Times New Roman"/>
          <w:sz w:val="20"/>
          <w:szCs w:val="20"/>
          <w:lang w:val="en-US"/>
        </w:rPr>
        <w:t xml:space="preserve"> </w:t>
      </w:r>
      <w:r w:rsidRPr="00305403">
        <w:rPr>
          <w:rFonts w:ascii="Times New Roman" w:eastAsia="TimesNewRomanPSMT" w:hAnsi="Times New Roman" w:cs="Times New Roman"/>
          <w:sz w:val="20"/>
          <w:szCs w:val="20"/>
          <w:lang w:val="en-US"/>
        </w:rPr>
        <w:t>T.,</w:t>
      </w:r>
      <w:r w:rsidRPr="00620CAA">
        <w:rPr>
          <w:rFonts w:ascii="Times New Roman" w:eastAsia="TimesNewRomanPSMT" w:hAnsi="Times New Roman" w:cs="Times New Roman"/>
          <w:sz w:val="20"/>
          <w:szCs w:val="20"/>
          <w:lang w:val="en-US"/>
        </w:rPr>
        <w:t xml:space="preserve"> &amp;</w:t>
      </w:r>
      <w:r w:rsidRPr="00305403">
        <w:rPr>
          <w:rFonts w:ascii="Times New Roman" w:eastAsia="TimesNewRomanPSMT" w:hAnsi="Times New Roman" w:cs="Times New Roman"/>
          <w:sz w:val="20"/>
          <w:szCs w:val="20"/>
          <w:lang w:val="en-US"/>
        </w:rPr>
        <w:t xml:space="preserve"> Mareev</w:t>
      </w:r>
      <w:r>
        <w:rPr>
          <w:rFonts w:ascii="Times New Roman" w:eastAsia="TimesNewRomanPSMT" w:hAnsi="Times New Roman" w:cs="Times New Roman"/>
          <w:sz w:val="20"/>
          <w:szCs w:val="20"/>
          <w:lang w:val="en-US"/>
        </w:rPr>
        <w:t>,</w:t>
      </w:r>
      <w:r w:rsidR="000D62FB">
        <w:rPr>
          <w:rFonts w:ascii="Times New Roman" w:eastAsia="TimesNewRomanPSMT" w:hAnsi="Times New Roman" w:cs="Times New Roman"/>
          <w:sz w:val="20"/>
          <w:szCs w:val="20"/>
          <w:lang w:val="en-US"/>
        </w:rPr>
        <w:t xml:space="preserve"> V. </w:t>
      </w:r>
      <w:r w:rsidRPr="00305403">
        <w:rPr>
          <w:rFonts w:ascii="Times New Roman" w:eastAsia="TimesNewRomanPSMT" w:hAnsi="Times New Roman" w:cs="Times New Roman"/>
          <w:sz w:val="20"/>
          <w:szCs w:val="20"/>
          <w:lang w:val="en-US"/>
        </w:rPr>
        <w:t xml:space="preserve">U. </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2000</w:t>
      </w:r>
      <w:r>
        <w:rPr>
          <w:rFonts w:ascii="Times New Roman" w:eastAsia="TimesNewRomanPSMT" w:hAnsi="Times New Roman" w:cs="Times New Roman"/>
          <w:sz w:val="20"/>
          <w:szCs w:val="20"/>
          <w:lang w:val="en-US"/>
        </w:rPr>
        <w:t xml:space="preserve">). </w:t>
      </w:r>
      <w:r w:rsidRPr="00620CAA">
        <w:rPr>
          <w:rFonts w:ascii="Times New Roman" w:eastAsia="TimesNewRomanPSMT" w:hAnsi="Times New Roman" w:cs="Times New Roman"/>
          <w:sz w:val="20"/>
          <w:szCs w:val="20"/>
          <w:lang w:val="en-US"/>
        </w:rPr>
        <w:t>Fozinopril v lechenii s</w:t>
      </w:r>
      <w:r w:rsidR="00E64690">
        <w:rPr>
          <w:rFonts w:ascii="Times New Roman" w:eastAsia="TimesNewRomanPSMT" w:hAnsi="Times New Roman" w:cs="Times New Roman"/>
          <w:sz w:val="20"/>
          <w:szCs w:val="20"/>
          <w:lang w:val="en-US"/>
        </w:rPr>
        <w:t>erdechno-sosudistyh zabolevanij</w:t>
      </w:r>
      <w:r>
        <w:rPr>
          <w:rFonts w:ascii="Times New Roman" w:eastAsia="TimesNewRomanPSMT" w:hAnsi="Times New Roman" w:cs="Times New Roman"/>
          <w:sz w:val="20"/>
          <w:szCs w:val="20"/>
          <w:lang w:val="en-US"/>
        </w:rPr>
        <w:t xml:space="preserve"> </w:t>
      </w:r>
      <w:r w:rsidR="00686EBD">
        <w:rPr>
          <w:rFonts w:ascii="Times New Roman" w:eastAsia="TimesNewRomanPSMT" w:hAnsi="Times New Roman" w:cs="Times New Roman"/>
          <w:sz w:val="20"/>
          <w:szCs w:val="20"/>
          <w:lang w:val="en-US"/>
        </w:rPr>
        <w:t>[</w:t>
      </w:r>
      <w:r w:rsidR="00686EBD" w:rsidRPr="00686EBD">
        <w:rPr>
          <w:rFonts w:ascii="Times New Roman" w:eastAsia="TimesNewRomanPSMT" w:hAnsi="Times New Roman" w:cs="Times New Roman"/>
          <w:sz w:val="20"/>
          <w:szCs w:val="20"/>
          <w:lang w:val="en-US"/>
        </w:rPr>
        <w:t>Fozinopril in the treatment of cardiovascular diseases</w:t>
      </w:r>
      <w:r w:rsidR="00686EBD">
        <w:rPr>
          <w:rFonts w:ascii="Times New Roman" w:eastAsia="TimesNewRomanPSMT" w:hAnsi="Times New Roman" w:cs="Times New Roman"/>
          <w:sz w:val="20"/>
          <w:szCs w:val="20"/>
          <w:lang w:val="en-US"/>
        </w:rPr>
        <w:t>]</w:t>
      </w:r>
      <w:r w:rsidR="00E64690" w:rsidRPr="00E64690">
        <w:rPr>
          <w:rFonts w:ascii="Times New Roman" w:eastAsia="TimesNewRomanPSMT" w:hAnsi="Times New Roman" w:cs="Times New Roman"/>
          <w:sz w:val="20"/>
          <w:szCs w:val="20"/>
          <w:lang w:val="en-US"/>
        </w:rPr>
        <w:t>.</w:t>
      </w:r>
      <w:r w:rsidR="00686EBD">
        <w:rPr>
          <w:rFonts w:ascii="Times New Roman" w:eastAsia="TimesNewRomanPSMT" w:hAnsi="Times New Roman" w:cs="Times New Roman"/>
          <w:sz w:val="20"/>
          <w:szCs w:val="20"/>
          <w:lang w:val="en-US"/>
        </w:rPr>
        <w:t xml:space="preserve"> </w:t>
      </w:r>
      <w:r>
        <w:rPr>
          <w:rFonts w:ascii="Times New Roman" w:eastAsia="TimesNewRomanPSMT" w:hAnsi="Times New Roman" w:cs="Times New Roman"/>
          <w:sz w:val="20"/>
          <w:szCs w:val="20"/>
          <w:lang w:val="en-US"/>
        </w:rPr>
        <w:t xml:space="preserve">Russkij </w:t>
      </w:r>
      <w:r w:rsidR="00C71CF5">
        <w:rPr>
          <w:rFonts w:ascii="Times New Roman" w:eastAsia="TimesNewRomanPSMT" w:hAnsi="Times New Roman" w:cs="Times New Roman"/>
          <w:sz w:val="20"/>
          <w:szCs w:val="20"/>
          <w:lang w:val="en-US"/>
        </w:rPr>
        <w:t>M</w:t>
      </w:r>
      <w:r>
        <w:rPr>
          <w:rFonts w:ascii="Times New Roman" w:eastAsia="TimesNewRomanPSMT" w:hAnsi="Times New Roman" w:cs="Times New Roman"/>
          <w:sz w:val="20"/>
          <w:szCs w:val="20"/>
          <w:lang w:val="en-US"/>
        </w:rPr>
        <w:t xml:space="preserve">edicinskij </w:t>
      </w:r>
      <w:r w:rsidR="00C71CF5">
        <w:rPr>
          <w:rFonts w:ascii="Times New Roman" w:eastAsia="TimesNewRomanPSMT" w:hAnsi="Times New Roman" w:cs="Times New Roman"/>
          <w:sz w:val="20"/>
          <w:szCs w:val="20"/>
          <w:lang w:val="en-US"/>
        </w:rPr>
        <w:t>Z</w:t>
      </w:r>
      <w:r>
        <w:rPr>
          <w:rFonts w:ascii="Times New Roman" w:eastAsia="TimesNewRomanPSMT" w:hAnsi="Times New Roman" w:cs="Times New Roman"/>
          <w:sz w:val="20"/>
          <w:szCs w:val="20"/>
          <w:lang w:val="en-US"/>
        </w:rPr>
        <w:t xml:space="preserve">hurnal, </w:t>
      </w:r>
      <w:r w:rsidRPr="00620CAA">
        <w:rPr>
          <w:rFonts w:ascii="Times New Roman" w:eastAsia="TimesNewRomanPSMT" w:hAnsi="Times New Roman" w:cs="Times New Roman"/>
          <w:sz w:val="20"/>
          <w:szCs w:val="20"/>
          <w:lang w:val="en-US"/>
        </w:rPr>
        <w:t>2,</w:t>
      </w:r>
      <w:r w:rsidRPr="00305403">
        <w:rPr>
          <w:rFonts w:ascii="Times New Roman" w:eastAsia="TimesNewRomanPSMT" w:hAnsi="Times New Roman" w:cs="Times New Roman"/>
          <w:sz w:val="20"/>
          <w:szCs w:val="20"/>
          <w:lang w:val="en-US"/>
        </w:rPr>
        <w:t xml:space="preserve"> 56</w:t>
      </w:r>
      <w:r w:rsidR="00AB3651" w:rsidRPr="00AB3651">
        <w:rPr>
          <w:rFonts w:ascii="Times New Roman" w:eastAsia="TimesNewRomanPSMT" w:hAnsi="Times New Roman" w:cs="Times New Roman"/>
          <w:sz w:val="20"/>
          <w:szCs w:val="20"/>
          <w:lang w:val="en-US"/>
        </w:rPr>
        <w:t>–</w:t>
      </w:r>
      <w:r w:rsidR="00E64690">
        <w:rPr>
          <w:rFonts w:ascii="Times New Roman" w:eastAsia="TimesNewRomanPSMT" w:hAnsi="Times New Roman" w:cs="Times New Roman"/>
          <w:sz w:val="20"/>
          <w:szCs w:val="20"/>
          <w:lang w:val="en-US"/>
        </w:rPr>
        <w:t xml:space="preserve">61 </w:t>
      </w:r>
      <w:r w:rsidR="00437DAC">
        <w:rPr>
          <w:rFonts w:ascii="Times New Roman" w:eastAsia="Times New Roman" w:hAnsi="Times New Roman" w:cs="Times New Roman"/>
          <w:bCs/>
          <w:sz w:val="20"/>
          <w:szCs w:val="20"/>
          <w:lang w:val="en-US" w:eastAsia="ru-RU"/>
        </w:rPr>
        <w:t>(i</w:t>
      </w:r>
      <w:r w:rsidRPr="00305403">
        <w:rPr>
          <w:rFonts w:ascii="Times New Roman" w:eastAsia="Times New Roman" w:hAnsi="Times New Roman" w:cs="Times New Roman"/>
          <w:bCs/>
          <w:sz w:val="20"/>
          <w:szCs w:val="20"/>
          <w:lang w:val="en-US" w:eastAsia="ru-RU"/>
        </w:rPr>
        <w:t>n Russian).</w:t>
      </w:r>
    </w:p>
    <w:p w:rsidR="0028648A" w:rsidRPr="0020167C" w:rsidRDefault="0028648A" w:rsidP="00CC669E">
      <w:pPr>
        <w:pStyle w:val="a4"/>
        <w:autoSpaceDE w:val="0"/>
        <w:autoSpaceDN w:val="0"/>
        <w:adjustRightInd w:val="0"/>
        <w:spacing w:after="0" w:line="240" w:lineRule="auto"/>
        <w:ind w:left="426" w:hanging="426"/>
        <w:rPr>
          <w:rFonts w:ascii="Times New Roman" w:eastAsia="TimesNewRomanPSMT" w:hAnsi="Times New Roman" w:cs="Times New Roman"/>
          <w:sz w:val="20"/>
          <w:szCs w:val="20"/>
          <w:lang w:val="en-US"/>
        </w:rPr>
      </w:pPr>
      <w:r w:rsidRPr="0020167C">
        <w:rPr>
          <w:rFonts w:ascii="Times New Roman" w:eastAsia="TimesNewRomanPSMT" w:hAnsi="Times New Roman" w:cs="Times New Roman"/>
          <w:sz w:val="20"/>
          <w:szCs w:val="20"/>
          <w:lang w:val="en-US"/>
        </w:rPr>
        <w:t>Allison</w:t>
      </w:r>
      <w:r>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S</w:t>
      </w:r>
      <w:r>
        <w:rPr>
          <w:rFonts w:ascii="Times New Roman" w:eastAsia="TimesNewRomanPSMT" w:hAnsi="Times New Roman" w:cs="Times New Roman"/>
          <w:sz w:val="20"/>
          <w:szCs w:val="20"/>
          <w:lang w:val="en-US"/>
        </w:rPr>
        <w:t>.</w:t>
      </w:r>
      <w:r w:rsidR="000D62FB">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J.</w:t>
      </w:r>
      <w:r w:rsidRPr="0020167C">
        <w:rPr>
          <w:rStyle w:val="hl"/>
          <w:rFonts w:ascii="Times New Roman" w:hAnsi="Times New Roman" w:cs="Times New Roman"/>
          <w:b/>
          <w:bCs/>
          <w:sz w:val="20"/>
          <w:szCs w:val="20"/>
          <w:shd w:val="clear" w:color="auto" w:fill="FFFFFF"/>
          <w:lang w:val="en-US"/>
        </w:rPr>
        <w:t xml:space="preserve"> </w:t>
      </w:r>
      <w:r>
        <w:rPr>
          <w:rStyle w:val="hl"/>
          <w:rFonts w:ascii="Times New Roman" w:hAnsi="Times New Roman" w:cs="Times New Roman"/>
          <w:b/>
          <w:bCs/>
          <w:sz w:val="20"/>
          <w:szCs w:val="20"/>
          <w:shd w:val="clear" w:color="auto" w:fill="FFFFFF"/>
          <w:lang w:val="en-US"/>
        </w:rPr>
        <w:t>(</w:t>
      </w:r>
      <w:r>
        <w:rPr>
          <w:rFonts w:ascii="Times New Roman" w:eastAsia="TimesNewRomanPSMT" w:hAnsi="Times New Roman" w:cs="Times New Roman"/>
          <w:sz w:val="20"/>
          <w:szCs w:val="20"/>
          <w:lang w:val="en-US"/>
        </w:rPr>
        <w:t xml:space="preserve">2016). </w:t>
      </w:r>
      <w:r w:rsidRPr="0020167C">
        <w:rPr>
          <w:rFonts w:ascii="Times New Roman" w:eastAsia="TimesNewRomanPSMT" w:hAnsi="Times New Roman" w:cs="Times New Roman"/>
          <w:sz w:val="20"/>
          <w:szCs w:val="20"/>
          <w:lang w:val="en-US"/>
        </w:rPr>
        <w:t xml:space="preserve">Oxidative stress and immune activation in hypertension. </w:t>
      </w:r>
      <w:r w:rsidRPr="00CB5A93">
        <w:rPr>
          <w:rFonts w:ascii="Times New Roman" w:eastAsia="TimesNewRomanPSMT" w:hAnsi="Times New Roman" w:cs="Times New Roman"/>
          <w:sz w:val="20"/>
          <w:szCs w:val="20"/>
          <w:lang w:val="en-US"/>
        </w:rPr>
        <w:t>Nature Reviews Nephrology</w:t>
      </w:r>
      <w:r>
        <w:rPr>
          <w:rFonts w:ascii="Times New Roman" w:eastAsia="TimesNewRomanPSMT" w:hAnsi="Times New Roman" w:cs="Times New Roman"/>
          <w:sz w:val="20"/>
          <w:szCs w:val="20"/>
          <w:lang w:val="en-US"/>
        </w:rPr>
        <w:t>,</w:t>
      </w:r>
      <w:r w:rsidR="00902013">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1</w:t>
      </w:r>
      <w:r>
        <w:rPr>
          <w:rFonts w:ascii="Times New Roman" w:eastAsia="TimesNewRomanPSMT" w:hAnsi="Times New Roman" w:cs="Times New Roman"/>
          <w:sz w:val="20"/>
          <w:szCs w:val="20"/>
          <w:lang w:val="en-US"/>
        </w:rPr>
        <w:t>2(1),</w:t>
      </w:r>
      <w:r w:rsidRPr="0020167C">
        <w:rPr>
          <w:rFonts w:ascii="Times New Roman" w:eastAsia="TimesNewRomanPSMT" w:hAnsi="Times New Roman" w:cs="Times New Roman"/>
          <w:sz w:val="20"/>
          <w:szCs w:val="20"/>
          <w:lang w:val="en-US"/>
        </w:rPr>
        <w:t xml:space="preserve"> 4</w:t>
      </w:r>
      <w:r w:rsidR="00AB3651" w:rsidRPr="002D6909">
        <w:rPr>
          <w:rFonts w:ascii="Times New Roman" w:eastAsia="TimesNewRomanPSMT" w:hAnsi="Times New Roman" w:cs="Times New Roman"/>
          <w:sz w:val="20"/>
          <w:szCs w:val="20"/>
          <w:lang w:val="en-US"/>
        </w:rPr>
        <w:t>–</w:t>
      </w:r>
      <w:r w:rsidR="00BB2B10" w:rsidRPr="002D6909">
        <w:rPr>
          <w:rFonts w:ascii="Times New Roman" w:eastAsia="TimesNewRomanPSMT" w:hAnsi="Times New Roman" w:cs="Times New Roman"/>
          <w:sz w:val="20"/>
          <w:szCs w:val="20"/>
          <w:lang w:val="en-US"/>
        </w:rPr>
        <w:t>8</w:t>
      </w:r>
      <w:r w:rsidRPr="0020167C">
        <w:rPr>
          <w:rFonts w:ascii="Times New Roman" w:eastAsia="TimesNewRomanPSMT" w:hAnsi="Times New Roman" w:cs="Times New Roman"/>
          <w:sz w:val="20"/>
          <w:szCs w:val="20"/>
          <w:lang w:val="en-US"/>
        </w:rPr>
        <w:t>.</w:t>
      </w:r>
      <w:r w:rsidRPr="00846715">
        <w:rPr>
          <w:lang w:val="en-US"/>
        </w:rPr>
        <w:t xml:space="preserve"> </w:t>
      </w:r>
      <w:r w:rsidRPr="00CB5A93">
        <w:rPr>
          <w:rFonts w:ascii="Times New Roman" w:eastAsia="TimesNewRomanPSMT" w:hAnsi="Times New Roman" w:cs="Times New Roman"/>
          <w:sz w:val="20"/>
          <w:szCs w:val="20"/>
          <w:lang w:val="en-US"/>
        </w:rPr>
        <w:t>doi.org/10.1038/nrneph.2015.200</w:t>
      </w:r>
    </w:p>
    <w:p w:rsidR="0028648A" w:rsidRPr="00305403" w:rsidRDefault="0028648A" w:rsidP="00CC669E">
      <w:pPr>
        <w:pStyle w:val="a4"/>
        <w:autoSpaceDE w:val="0"/>
        <w:autoSpaceDN w:val="0"/>
        <w:adjustRightInd w:val="0"/>
        <w:spacing w:after="0" w:line="240" w:lineRule="auto"/>
        <w:ind w:left="426" w:hanging="426"/>
        <w:rPr>
          <w:rFonts w:ascii="Times New Roman" w:eastAsia="TimesNewRomanPSMT" w:hAnsi="Times New Roman" w:cs="Times New Roman"/>
          <w:sz w:val="20"/>
          <w:szCs w:val="20"/>
          <w:lang w:val="en-US"/>
        </w:rPr>
      </w:pPr>
      <w:r w:rsidRPr="00305403">
        <w:rPr>
          <w:rFonts w:ascii="Times New Roman" w:eastAsia="TimesNewRomanPSMT" w:hAnsi="Times New Roman" w:cs="Times New Roman"/>
          <w:sz w:val="20"/>
          <w:szCs w:val="20"/>
          <w:lang w:val="en-US"/>
        </w:rPr>
        <w:t>Azra</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 xml:space="preserve"> M., </w:t>
      </w:r>
      <w:r w:rsidRPr="00E97021">
        <w:rPr>
          <w:rFonts w:ascii="Times New Roman" w:eastAsia="TimesNewRomanPSMT" w:hAnsi="Times New Roman" w:cs="Times New Roman"/>
          <w:sz w:val="20"/>
          <w:szCs w:val="20"/>
          <w:lang w:val="en-US"/>
        </w:rPr>
        <w:t>&amp;</w:t>
      </w:r>
      <w:r>
        <w:rPr>
          <w:rFonts w:ascii="Times New Roman" w:eastAsia="TimesNewRomanPSMT" w:hAnsi="Times New Roman" w:cs="Times New Roman"/>
          <w:sz w:val="20"/>
          <w:szCs w:val="20"/>
          <w:lang w:val="en-US"/>
        </w:rPr>
        <w:t xml:space="preserve"> </w:t>
      </w:r>
      <w:r w:rsidRPr="00305403">
        <w:rPr>
          <w:rFonts w:ascii="Times New Roman" w:eastAsia="TimesNewRomanPSMT" w:hAnsi="Times New Roman" w:cs="Times New Roman"/>
          <w:sz w:val="20"/>
          <w:szCs w:val="20"/>
          <w:lang w:val="en-US"/>
        </w:rPr>
        <w:t>Feely</w:t>
      </w:r>
      <w:r>
        <w:rPr>
          <w:rFonts w:ascii="Times New Roman" w:eastAsia="TimesNewRomanPSMT" w:hAnsi="Times New Roman" w:cs="Times New Roman"/>
          <w:sz w:val="20"/>
          <w:szCs w:val="20"/>
          <w:lang w:val="en-US"/>
        </w:rPr>
        <w:t xml:space="preserve">, J. </w:t>
      </w:r>
      <w:r>
        <w:rPr>
          <w:rFonts w:ascii="Times New Roman" w:eastAsia="TimesNewRomanPSMT" w:hAnsi="Times New Roman" w:cs="Times New Roman"/>
          <w:i/>
          <w:sz w:val="20"/>
          <w:szCs w:val="20"/>
          <w:lang w:val="en-US"/>
        </w:rPr>
        <w:t>(</w:t>
      </w:r>
      <w:r w:rsidRPr="00305403">
        <w:rPr>
          <w:rFonts w:ascii="Times New Roman" w:eastAsia="TimesNewRomanPSMT" w:hAnsi="Times New Roman" w:cs="Times New Roman"/>
          <w:sz w:val="20"/>
          <w:szCs w:val="20"/>
          <w:lang w:val="en-US"/>
        </w:rPr>
        <w:t>2005</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 xml:space="preserve"> </w:t>
      </w:r>
      <w:r w:rsidR="00BB2B10">
        <w:rPr>
          <w:rFonts w:ascii="Times New Roman" w:eastAsia="TimesNewRomanPSMT" w:hAnsi="Times New Roman" w:cs="Times New Roman"/>
          <w:sz w:val="20"/>
          <w:szCs w:val="20"/>
          <w:lang w:val="en-US"/>
        </w:rPr>
        <w:t>Arterial stiffness is</w:t>
      </w:r>
      <w:r w:rsidR="00BB2B10" w:rsidRPr="00BB2B10">
        <w:rPr>
          <w:rFonts w:ascii="Times New Roman" w:eastAsia="TimesNewRomanPSMT" w:hAnsi="Times New Roman" w:cs="Times New Roman"/>
          <w:sz w:val="20"/>
          <w:szCs w:val="20"/>
          <w:lang w:val="en-US"/>
        </w:rPr>
        <w:t xml:space="preserve"> </w:t>
      </w:r>
      <w:r w:rsidRPr="005B4BFE">
        <w:rPr>
          <w:rFonts w:ascii="Times New Roman" w:eastAsia="TimesNewRomanPSMT" w:hAnsi="Times New Roman" w:cs="Times New Roman"/>
          <w:sz w:val="20"/>
          <w:szCs w:val="20"/>
          <w:lang w:val="en-US"/>
        </w:rPr>
        <w:t>related to systemic</w:t>
      </w:r>
      <w:r w:rsidRPr="005B4BFE">
        <w:rPr>
          <w:rFonts w:ascii="Times New Roman" w:eastAsia="TimesNewRomanPSMT" w:hAnsi="Times New Roman" w:cs="Times New Roman"/>
          <w:sz w:val="20"/>
          <w:szCs w:val="20"/>
          <w:lang w:val="uk-UA"/>
        </w:rPr>
        <w:t xml:space="preserve"> </w:t>
      </w:r>
      <w:r w:rsidRPr="005B4BFE">
        <w:rPr>
          <w:rFonts w:ascii="Times New Roman" w:eastAsia="TimesNewRomanPSMT" w:hAnsi="Times New Roman" w:cs="Times New Roman"/>
          <w:sz w:val="20"/>
          <w:szCs w:val="20"/>
          <w:lang w:val="en-US"/>
        </w:rPr>
        <w:t>inflammation in essential hypertension.</w:t>
      </w:r>
      <w:r w:rsidRPr="00305403">
        <w:rPr>
          <w:rFonts w:ascii="Times New Roman" w:eastAsia="TimesNewRomanPSMT" w:hAnsi="Times New Roman" w:cs="Times New Roman"/>
          <w:i/>
          <w:sz w:val="20"/>
          <w:szCs w:val="20"/>
          <w:lang w:val="en-US"/>
        </w:rPr>
        <w:t xml:space="preserve"> </w:t>
      </w:r>
      <w:r w:rsidRPr="00EB789D">
        <w:rPr>
          <w:rFonts w:ascii="Times New Roman" w:eastAsia="TimesNewRomanPSMT" w:hAnsi="Times New Roman" w:cs="Times New Roman"/>
          <w:sz w:val="20"/>
          <w:szCs w:val="20"/>
          <w:lang w:val="en-US"/>
        </w:rPr>
        <w:t>Hypertension</w:t>
      </w:r>
      <w:r w:rsidRPr="005B4BFE">
        <w:rPr>
          <w:rFonts w:ascii="Times New Roman" w:eastAsia="TimesNewRomanPSMT" w:hAnsi="Times New Roman" w:cs="Times New Roman"/>
          <w:sz w:val="20"/>
          <w:szCs w:val="20"/>
          <w:lang w:val="en-US"/>
        </w:rPr>
        <w:t>, 46, 1118</w:t>
      </w:r>
      <w:r w:rsidR="00AB3651" w:rsidRPr="00AB3651">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1122.</w:t>
      </w:r>
      <w:r w:rsidRPr="005B4BFE">
        <w:rPr>
          <w:lang w:val="en-US"/>
        </w:rPr>
        <w:t xml:space="preserve"> </w:t>
      </w:r>
      <w:r w:rsidRPr="005B4BFE">
        <w:rPr>
          <w:rFonts w:ascii="Times New Roman" w:eastAsia="TimesNewRomanPSMT" w:hAnsi="Times New Roman" w:cs="Times New Roman"/>
          <w:sz w:val="20"/>
          <w:szCs w:val="20"/>
          <w:lang w:val="en-US"/>
        </w:rPr>
        <w:t>doi.org/10.1161/01.hyp.0000185463.27209.b0</w:t>
      </w:r>
    </w:p>
    <w:p w:rsidR="0028648A" w:rsidRPr="00305403" w:rsidRDefault="0028648A" w:rsidP="00CC669E">
      <w:pPr>
        <w:pStyle w:val="lead"/>
        <w:shd w:val="clear" w:color="auto" w:fill="FFFFFF"/>
        <w:spacing w:before="0" w:beforeAutospacing="0" w:after="48" w:afterAutospacing="0"/>
        <w:ind w:left="426" w:hanging="426"/>
        <w:rPr>
          <w:rFonts w:eastAsia="TimesNewRomanPSMT"/>
          <w:sz w:val="20"/>
          <w:szCs w:val="20"/>
          <w:lang w:val="en-US" w:eastAsia="en-US"/>
        </w:rPr>
      </w:pPr>
      <w:r w:rsidRPr="00305403">
        <w:rPr>
          <w:rFonts w:eastAsia="TimesNewRomanPSMT"/>
          <w:sz w:val="20"/>
          <w:szCs w:val="20"/>
          <w:lang w:val="en-US" w:eastAsia="en-US"/>
        </w:rPr>
        <w:t>Bautista</w:t>
      </w:r>
      <w:r>
        <w:rPr>
          <w:rFonts w:eastAsia="TimesNewRomanPSMT"/>
          <w:sz w:val="20"/>
          <w:szCs w:val="20"/>
          <w:lang w:val="en-US" w:eastAsia="en-US"/>
        </w:rPr>
        <w:t>,</w:t>
      </w:r>
      <w:r w:rsidRPr="00305403">
        <w:rPr>
          <w:rFonts w:eastAsia="TimesNewRomanPSMT"/>
          <w:sz w:val="20"/>
          <w:szCs w:val="20"/>
          <w:lang w:val="en-US" w:eastAsia="en-US"/>
        </w:rPr>
        <w:t xml:space="preserve"> L.</w:t>
      </w:r>
      <w:r w:rsidR="00BB2B10" w:rsidRPr="00BB2B10">
        <w:rPr>
          <w:rFonts w:eastAsia="TimesNewRomanPSMT"/>
          <w:sz w:val="20"/>
          <w:szCs w:val="20"/>
          <w:lang w:val="en-US" w:eastAsia="en-US"/>
        </w:rPr>
        <w:t xml:space="preserve"> </w:t>
      </w:r>
      <w:r w:rsidRPr="00305403">
        <w:rPr>
          <w:rFonts w:eastAsia="TimesNewRomanPSMT"/>
          <w:sz w:val="20"/>
          <w:szCs w:val="20"/>
          <w:lang w:val="en-US" w:eastAsia="en-US"/>
        </w:rPr>
        <w:t xml:space="preserve">E., </w:t>
      </w:r>
      <w:r w:rsidR="00BB2B10">
        <w:rPr>
          <w:rFonts w:eastAsia="TimesNewRomanPSMT"/>
          <w:sz w:val="20"/>
          <w:szCs w:val="20"/>
          <w:lang w:val="en-US" w:eastAsia="en-US"/>
        </w:rPr>
        <w:t>Lopez-</w:t>
      </w:r>
      <w:r w:rsidRPr="00305403">
        <w:rPr>
          <w:rFonts w:eastAsia="TimesNewRomanPSMT"/>
          <w:sz w:val="20"/>
          <w:szCs w:val="20"/>
          <w:lang w:val="en-US" w:eastAsia="en-US"/>
        </w:rPr>
        <w:t>Jaramillo</w:t>
      </w:r>
      <w:r>
        <w:rPr>
          <w:rFonts w:eastAsia="TimesNewRomanPSMT"/>
          <w:sz w:val="20"/>
          <w:szCs w:val="20"/>
          <w:lang w:val="en-US" w:eastAsia="en-US"/>
        </w:rPr>
        <w:t>,</w:t>
      </w:r>
      <w:r w:rsidR="00DF4EC3">
        <w:rPr>
          <w:rFonts w:eastAsia="TimesNewRomanPSMT"/>
          <w:sz w:val="20"/>
          <w:szCs w:val="20"/>
          <w:lang w:val="en-US" w:eastAsia="en-US"/>
        </w:rPr>
        <w:t xml:space="preserve"> P</w:t>
      </w:r>
      <w:r w:rsidRPr="00305403">
        <w:rPr>
          <w:rFonts w:eastAsia="TimesNewRomanPSMT"/>
          <w:sz w:val="20"/>
          <w:szCs w:val="20"/>
          <w:lang w:val="en-US" w:eastAsia="en-US"/>
        </w:rPr>
        <w:t>., Vera</w:t>
      </w:r>
      <w:r>
        <w:rPr>
          <w:rFonts w:eastAsia="TimesNewRomanPSMT"/>
          <w:sz w:val="20"/>
          <w:szCs w:val="20"/>
          <w:lang w:val="en-US" w:eastAsia="en-US"/>
        </w:rPr>
        <w:t>,</w:t>
      </w:r>
      <w:r w:rsidRPr="00305403">
        <w:rPr>
          <w:rFonts w:eastAsia="TimesNewRomanPSMT"/>
          <w:sz w:val="20"/>
          <w:szCs w:val="20"/>
          <w:lang w:val="en-US" w:eastAsia="en-US"/>
        </w:rPr>
        <w:t xml:space="preserve"> L.</w:t>
      </w:r>
      <w:r w:rsidR="00BB2B10" w:rsidRPr="00BB2B10">
        <w:rPr>
          <w:rFonts w:eastAsia="TimesNewRomanPSMT"/>
          <w:sz w:val="20"/>
          <w:szCs w:val="20"/>
          <w:lang w:val="en-US" w:eastAsia="en-US"/>
        </w:rPr>
        <w:t xml:space="preserve"> </w:t>
      </w:r>
      <w:r w:rsidRPr="00305403">
        <w:rPr>
          <w:rFonts w:eastAsia="TimesNewRomanPSMT"/>
          <w:sz w:val="20"/>
          <w:szCs w:val="20"/>
          <w:lang w:val="en-US" w:eastAsia="en-US"/>
        </w:rPr>
        <w:t>M., Casas</w:t>
      </w:r>
      <w:r>
        <w:rPr>
          <w:rFonts w:eastAsia="TimesNewRomanPSMT"/>
          <w:sz w:val="20"/>
          <w:szCs w:val="20"/>
          <w:lang w:val="en-US" w:eastAsia="en-US"/>
        </w:rPr>
        <w:t>,</w:t>
      </w:r>
      <w:r w:rsidRPr="00305403">
        <w:rPr>
          <w:rFonts w:eastAsia="TimesNewRomanPSMT"/>
          <w:sz w:val="20"/>
          <w:szCs w:val="20"/>
          <w:lang w:val="en-US" w:eastAsia="en-US"/>
        </w:rPr>
        <w:t xml:space="preserve"> J.</w:t>
      </w:r>
      <w:r w:rsidR="00BB2B10" w:rsidRPr="00BB2B10">
        <w:rPr>
          <w:rFonts w:eastAsia="TimesNewRomanPSMT"/>
          <w:sz w:val="20"/>
          <w:szCs w:val="20"/>
          <w:lang w:val="en-US" w:eastAsia="en-US"/>
        </w:rPr>
        <w:t xml:space="preserve"> </w:t>
      </w:r>
      <w:r w:rsidRPr="00305403">
        <w:rPr>
          <w:rFonts w:eastAsia="TimesNewRomanPSMT"/>
          <w:sz w:val="20"/>
          <w:szCs w:val="20"/>
          <w:lang w:val="en-US" w:eastAsia="en-US"/>
        </w:rPr>
        <w:t>P., Otero</w:t>
      </w:r>
      <w:r>
        <w:rPr>
          <w:rFonts w:eastAsia="TimesNewRomanPSMT"/>
          <w:sz w:val="20"/>
          <w:szCs w:val="20"/>
          <w:lang w:val="en-US" w:eastAsia="en-US"/>
        </w:rPr>
        <w:t>,</w:t>
      </w:r>
      <w:r w:rsidRPr="00305403">
        <w:rPr>
          <w:rFonts w:eastAsia="TimesNewRomanPSMT"/>
          <w:sz w:val="20"/>
          <w:szCs w:val="20"/>
          <w:lang w:val="en-US" w:eastAsia="en-US"/>
        </w:rPr>
        <w:t xml:space="preserve"> A.</w:t>
      </w:r>
      <w:r w:rsidR="00BB2B10" w:rsidRPr="00BB2B10">
        <w:rPr>
          <w:rFonts w:eastAsia="TimesNewRomanPSMT"/>
          <w:sz w:val="20"/>
          <w:szCs w:val="20"/>
          <w:lang w:val="en-US" w:eastAsia="en-US"/>
        </w:rPr>
        <w:t xml:space="preserve"> </w:t>
      </w:r>
      <w:r w:rsidRPr="00305403">
        <w:rPr>
          <w:rFonts w:eastAsia="TimesNewRomanPSMT"/>
          <w:sz w:val="20"/>
          <w:szCs w:val="20"/>
          <w:lang w:val="en-US" w:eastAsia="en-US"/>
        </w:rPr>
        <w:t xml:space="preserve">P., </w:t>
      </w:r>
      <w:r w:rsidRPr="00087E99">
        <w:rPr>
          <w:rFonts w:eastAsia="TimesNewRomanPSMT"/>
          <w:sz w:val="20"/>
          <w:szCs w:val="20"/>
          <w:lang w:val="en-US"/>
        </w:rPr>
        <w:t xml:space="preserve">&amp; </w:t>
      </w:r>
      <w:r w:rsidRPr="00305403">
        <w:rPr>
          <w:rFonts w:eastAsia="TimesNewRomanPSMT"/>
          <w:sz w:val="20"/>
          <w:szCs w:val="20"/>
          <w:lang w:val="en-US" w:eastAsia="en-US"/>
        </w:rPr>
        <w:t>Guaracao</w:t>
      </w:r>
      <w:r>
        <w:rPr>
          <w:rFonts w:eastAsia="TimesNewRomanPSMT"/>
          <w:sz w:val="20"/>
          <w:szCs w:val="20"/>
          <w:lang w:val="en-US" w:eastAsia="en-US"/>
        </w:rPr>
        <w:t>,</w:t>
      </w:r>
      <w:r w:rsidRPr="00305403">
        <w:rPr>
          <w:rFonts w:eastAsia="TimesNewRomanPSMT"/>
          <w:sz w:val="20"/>
          <w:szCs w:val="20"/>
          <w:lang w:val="en-US" w:eastAsia="en-US"/>
        </w:rPr>
        <w:t xml:space="preserve"> A.</w:t>
      </w:r>
      <w:r w:rsidR="00BB2B10" w:rsidRPr="00BB2B10">
        <w:rPr>
          <w:rFonts w:eastAsia="TimesNewRomanPSMT"/>
          <w:sz w:val="20"/>
          <w:szCs w:val="20"/>
          <w:lang w:val="en-US" w:eastAsia="en-US"/>
        </w:rPr>
        <w:t xml:space="preserve"> </w:t>
      </w:r>
      <w:r w:rsidRPr="00305403">
        <w:rPr>
          <w:rFonts w:eastAsia="TimesNewRomanPSMT"/>
          <w:sz w:val="20"/>
          <w:szCs w:val="20"/>
          <w:lang w:val="en-US" w:eastAsia="en-US"/>
        </w:rPr>
        <w:t>I</w:t>
      </w:r>
      <w:r w:rsidRPr="00305403">
        <w:rPr>
          <w:rFonts w:eastAsia="TimesNewRomanPSMT"/>
          <w:i/>
          <w:sz w:val="20"/>
          <w:szCs w:val="20"/>
          <w:lang w:val="en-US" w:eastAsia="en-US"/>
        </w:rPr>
        <w:t xml:space="preserve">. </w:t>
      </w:r>
      <w:r>
        <w:rPr>
          <w:rFonts w:eastAsia="TimesNewRomanPSMT"/>
          <w:i/>
          <w:sz w:val="20"/>
          <w:szCs w:val="20"/>
          <w:lang w:val="en-US" w:eastAsia="en-US"/>
        </w:rPr>
        <w:t>(</w:t>
      </w:r>
      <w:r w:rsidRPr="00305403">
        <w:rPr>
          <w:rFonts w:eastAsia="TimesNewRomanPSMT"/>
          <w:sz w:val="20"/>
          <w:szCs w:val="20"/>
          <w:lang w:val="en-US" w:eastAsia="en-US"/>
        </w:rPr>
        <w:t>2001</w:t>
      </w:r>
      <w:r>
        <w:rPr>
          <w:rFonts w:eastAsia="TimesNewRomanPSMT"/>
          <w:sz w:val="20"/>
          <w:szCs w:val="20"/>
          <w:lang w:val="en-US" w:eastAsia="en-US"/>
        </w:rPr>
        <w:t xml:space="preserve">). </w:t>
      </w:r>
      <w:r w:rsidRPr="00087E99">
        <w:rPr>
          <w:rFonts w:eastAsia="TimesNewRomanPSMT"/>
          <w:sz w:val="20"/>
          <w:szCs w:val="20"/>
          <w:lang w:val="en-US" w:eastAsia="en-US"/>
        </w:rPr>
        <w:t>Is C-reactive protein an independent risk factor for essential hypertension?</w:t>
      </w:r>
      <w:r>
        <w:rPr>
          <w:rFonts w:eastAsia="TimesNewRomanPSMT"/>
          <w:sz w:val="20"/>
          <w:szCs w:val="20"/>
          <w:lang w:val="en-US" w:eastAsia="en-US"/>
        </w:rPr>
        <w:t xml:space="preserve"> </w:t>
      </w:r>
      <w:r w:rsidR="00DF4EC3" w:rsidRPr="00DF4EC3">
        <w:rPr>
          <w:rFonts w:eastAsia="TimesNewRomanPSMT"/>
          <w:sz w:val="20"/>
          <w:szCs w:val="20"/>
          <w:lang w:val="en-US" w:eastAsia="en-US"/>
        </w:rPr>
        <w:t>Journal of</w:t>
      </w:r>
      <w:r w:rsidR="00897B12">
        <w:rPr>
          <w:rFonts w:eastAsia="TimesNewRomanPSMT"/>
          <w:sz w:val="20"/>
          <w:szCs w:val="20"/>
          <w:lang w:val="en-US" w:eastAsia="en-US"/>
        </w:rPr>
        <w:t xml:space="preserve"> </w:t>
      </w:r>
      <w:r>
        <w:rPr>
          <w:rFonts w:eastAsia="TimesNewRomanPSMT"/>
          <w:sz w:val="20"/>
          <w:szCs w:val="20"/>
          <w:lang w:val="en-US" w:eastAsia="en-US"/>
        </w:rPr>
        <w:t>Hypertension, 19(5),</w:t>
      </w:r>
      <w:r w:rsidRPr="00305403">
        <w:rPr>
          <w:rFonts w:eastAsia="TimesNewRomanPSMT"/>
          <w:sz w:val="20"/>
          <w:szCs w:val="20"/>
          <w:lang w:val="en-US" w:eastAsia="en-US"/>
        </w:rPr>
        <w:t xml:space="preserve"> 857</w:t>
      </w:r>
      <w:r w:rsidR="00AB3651" w:rsidRPr="00AB3651">
        <w:rPr>
          <w:rFonts w:eastAsia="TimesNewRomanPSMT"/>
          <w:sz w:val="20"/>
          <w:szCs w:val="20"/>
          <w:lang w:val="en-US" w:eastAsia="en-US"/>
        </w:rPr>
        <w:t>–</w:t>
      </w:r>
      <w:r w:rsidRPr="00305403">
        <w:rPr>
          <w:rFonts w:eastAsia="TimesNewRomanPSMT"/>
          <w:sz w:val="20"/>
          <w:szCs w:val="20"/>
          <w:lang w:val="en-US" w:eastAsia="en-US"/>
        </w:rPr>
        <w:t>861.</w:t>
      </w:r>
    </w:p>
    <w:p w:rsidR="0028648A" w:rsidRPr="00DF4EC3" w:rsidRDefault="0028648A" w:rsidP="00DF4EC3">
      <w:pPr>
        <w:pStyle w:val="a4"/>
        <w:autoSpaceDE w:val="0"/>
        <w:autoSpaceDN w:val="0"/>
        <w:adjustRightInd w:val="0"/>
        <w:spacing w:after="0" w:line="240" w:lineRule="auto"/>
        <w:ind w:left="426" w:hanging="426"/>
        <w:rPr>
          <w:rFonts w:ascii="Times New Roman" w:eastAsia="TimesNewRomanPSMT" w:hAnsi="Times New Roman" w:cs="Times New Roman"/>
          <w:sz w:val="20"/>
          <w:szCs w:val="20"/>
          <w:lang w:val="en-US"/>
        </w:rPr>
      </w:pPr>
      <w:r w:rsidRPr="0020167C">
        <w:rPr>
          <w:rFonts w:ascii="Times New Roman" w:eastAsia="TimesNewRomanPSMT" w:hAnsi="Times New Roman" w:cs="Times New Roman"/>
          <w:sz w:val="20"/>
          <w:szCs w:val="20"/>
          <w:lang w:val="en-US"/>
        </w:rPr>
        <w:t>Bautista</w:t>
      </w:r>
      <w:r>
        <w:rPr>
          <w:rFonts w:ascii="Times New Roman" w:eastAsia="TimesNewRomanPSMT" w:hAnsi="Times New Roman" w:cs="Times New Roman"/>
          <w:sz w:val="20"/>
          <w:szCs w:val="20"/>
          <w:lang w:val="en-US"/>
        </w:rPr>
        <w:t>,</w:t>
      </w:r>
      <w:r w:rsidRPr="0020167C">
        <w:rPr>
          <w:rFonts w:ascii="Times New Roman" w:eastAsia="TimesNewRomanPSMT" w:hAnsi="Times New Roman" w:cs="Times New Roman"/>
          <w:sz w:val="20"/>
          <w:szCs w:val="20"/>
          <w:lang w:val="en-US"/>
        </w:rPr>
        <w:t xml:space="preserve"> L.</w:t>
      </w:r>
      <w:r w:rsidR="00DF4EC3">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E., Vera</w:t>
      </w:r>
      <w:r>
        <w:rPr>
          <w:rFonts w:ascii="Times New Roman" w:eastAsia="TimesNewRomanPSMT" w:hAnsi="Times New Roman" w:cs="Times New Roman"/>
          <w:sz w:val="20"/>
          <w:szCs w:val="20"/>
          <w:lang w:val="en-US"/>
        </w:rPr>
        <w:t>,</w:t>
      </w:r>
      <w:r w:rsidRPr="0020167C">
        <w:rPr>
          <w:rFonts w:ascii="Times New Roman" w:eastAsia="TimesNewRomanPSMT" w:hAnsi="Times New Roman" w:cs="Times New Roman"/>
          <w:sz w:val="20"/>
          <w:szCs w:val="20"/>
          <w:lang w:val="en-US"/>
        </w:rPr>
        <w:t xml:space="preserve"> L.</w:t>
      </w:r>
      <w:r w:rsidR="00DF4EC3">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M., Arenas</w:t>
      </w:r>
      <w:r>
        <w:rPr>
          <w:rFonts w:ascii="Times New Roman" w:eastAsia="TimesNewRomanPSMT" w:hAnsi="Times New Roman" w:cs="Times New Roman"/>
          <w:sz w:val="20"/>
          <w:szCs w:val="20"/>
          <w:lang w:val="en-US"/>
        </w:rPr>
        <w:t>,</w:t>
      </w:r>
      <w:r w:rsidRPr="0020167C">
        <w:rPr>
          <w:rFonts w:ascii="Times New Roman" w:eastAsia="TimesNewRomanPSMT" w:hAnsi="Times New Roman" w:cs="Times New Roman"/>
          <w:sz w:val="20"/>
          <w:szCs w:val="20"/>
          <w:lang w:val="en-US"/>
        </w:rPr>
        <w:t xml:space="preserve"> I.</w:t>
      </w:r>
      <w:r w:rsidR="00DF4EC3">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 xml:space="preserve">A., </w:t>
      </w:r>
      <w:r w:rsidRPr="00634FB9">
        <w:rPr>
          <w:rFonts w:ascii="Times New Roman" w:eastAsia="TimesNewRomanPSMT" w:hAnsi="Times New Roman" w:cs="Times New Roman"/>
          <w:sz w:val="20"/>
          <w:szCs w:val="20"/>
          <w:lang w:val="en-US"/>
        </w:rPr>
        <w:t>&amp;</w:t>
      </w:r>
      <w:r>
        <w:rPr>
          <w:rFonts w:ascii="Times New Roman" w:eastAsia="TimesNewRomanPSMT" w:hAnsi="Times New Roman" w:cs="Times New Roman"/>
          <w:sz w:val="20"/>
          <w:szCs w:val="20"/>
          <w:lang w:val="en-US"/>
        </w:rPr>
        <w:t xml:space="preserve"> </w:t>
      </w:r>
      <w:r w:rsidRPr="0020167C">
        <w:rPr>
          <w:rFonts w:ascii="Times New Roman" w:eastAsia="TimesNewRomanPSMT" w:hAnsi="Times New Roman" w:cs="Times New Roman"/>
          <w:sz w:val="20"/>
          <w:szCs w:val="20"/>
          <w:lang w:val="en-US"/>
        </w:rPr>
        <w:t>Gamarra</w:t>
      </w:r>
      <w:r>
        <w:rPr>
          <w:rFonts w:ascii="Times New Roman" w:eastAsia="TimesNewRomanPSMT" w:hAnsi="Times New Roman" w:cs="Times New Roman"/>
          <w:sz w:val="20"/>
          <w:szCs w:val="20"/>
          <w:lang w:val="en-US"/>
        </w:rPr>
        <w:t>,</w:t>
      </w:r>
      <w:r w:rsidRPr="0020167C">
        <w:rPr>
          <w:rFonts w:ascii="Times New Roman" w:eastAsia="TimesNewRomanPSMT" w:hAnsi="Times New Roman" w:cs="Times New Roman"/>
          <w:sz w:val="20"/>
          <w:szCs w:val="20"/>
          <w:lang w:val="en-US"/>
        </w:rPr>
        <w:t xml:space="preserve"> G. </w:t>
      </w:r>
      <w:r>
        <w:rPr>
          <w:rFonts w:ascii="Times New Roman" w:eastAsia="TimesNewRomanPSMT" w:hAnsi="Times New Roman" w:cs="Times New Roman"/>
          <w:sz w:val="20"/>
          <w:szCs w:val="20"/>
          <w:lang w:val="en-US"/>
        </w:rPr>
        <w:t>(</w:t>
      </w:r>
      <w:r w:rsidRPr="0020167C">
        <w:rPr>
          <w:rFonts w:ascii="Times New Roman" w:eastAsia="TimesNewRomanPSMT" w:hAnsi="Times New Roman" w:cs="Times New Roman"/>
          <w:sz w:val="20"/>
          <w:szCs w:val="20"/>
          <w:lang w:val="en-US"/>
        </w:rPr>
        <w:t>2005</w:t>
      </w:r>
      <w:r>
        <w:rPr>
          <w:rFonts w:ascii="Times New Roman" w:eastAsia="TimesNewRomanPSMT" w:hAnsi="Times New Roman" w:cs="Times New Roman"/>
          <w:sz w:val="20"/>
          <w:szCs w:val="20"/>
          <w:lang w:val="en-US"/>
        </w:rPr>
        <w:t xml:space="preserve">). </w:t>
      </w:r>
      <w:r w:rsidRPr="00CB5A93">
        <w:rPr>
          <w:rFonts w:ascii="Times New Roman" w:eastAsia="TimesNewRomanPSMT" w:hAnsi="Times New Roman" w:cs="Times New Roman"/>
          <w:sz w:val="20"/>
          <w:szCs w:val="20"/>
          <w:lang w:val="en-US"/>
        </w:rPr>
        <w:t>Independent association between inflammatory markers (C-reactive protein, interleukin-6, and TNF-a) and essential hypertension.</w:t>
      </w:r>
      <w:r w:rsidRPr="0020167C">
        <w:rPr>
          <w:rFonts w:ascii="Times New Roman" w:eastAsia="TimesNewRomanPSMT" w:hAnsi="Times New Roman" w:cs="Times New Roman"/>
          <w:sz w:val="20"/>
          <w:szCs w:val="20"/>
          <w:lang w:val="en-US"/>
        </w:rPr>
        <w:t xml:space="preserve"> </w:t>
      </w:r>
      <w:r w:rsidR="00DF4EC3">
        <w:rPr>
          <w:rFonts w:ascii="Times New Roman" w:eastAsia="TimesNewRomanPSMT" w:hAnsi="Times New Roman" w:cs="Times New Roman"/>
          <w:sz w:val="20"/>
          <w:szCs w:val="20"/>
          <w:lang w:val="en-US"/>
        </w:rPr>
        <w:t>Journal</w:t>
      </w:r>
      <w:r w:rsidRPr="00CB5A93">
        <w:rPr>
          <w:rFonts w:ascii="Times New Roman" w:eastAsia="TimesNewRomanPSMT" w:hAnsi="Times New Roman" w:cs="Times New Roman"/>
          <w:sz w:val="20"/>
          <w:szCs w:val="20"/>
          <w:lang w:val="en-US"/>
        </w:rPr>
        <w:t xml:space="preserve"> </w:t>
      </w:r>
      <w:r w:rsidR="00897B12">
        <w:rPr>
          <w:rFonts w:ascii="Times New Roman" w:eastAsia="TimesNewRomanPSMT" w:hAnsi="Times New Roman" w:cs="Times New Roman"/>
          <w:sz w:val="20"/>
          <w:szCs w:val="20"/>
          <w:lang w:val="en-US"/>
        </w:rPr>
        <w:t xml:space="preserve">of Human </w:t>
      </w:r>
      <w:r w:rsidRPr="00DF4EC3">
        <w:rPr>
          <w:rFonts w:ascii="Times New Roman" w:eastAsia="TimesNewRomanPSMT" w:hAnsi="Times New Roman" w:cs="Times New Roman"/>
          <w:sz w:val="20"/>
          <w:szCs w:val="20"/>
          <w:lang w:val="en-US"/>
        </w:rPr>
        <w:t>Hypertension, 19,</w:t>
      </w:r>
      <w:r w:rsidR="00DF4EC3">
        <w:rPr>
          <w:rFonts w:ascii="Times New Roman" w:eastAsia="TimesNewRomanPSMT" w:hAnsi="Times New Roman" w:cs="Times New Roman"/>
          <w:sz w:val="20"/>
          <w:szCs w:val="20"/>
          <w:lang w:val="en-US"/>
        </w:rPr>
        <w:t xml:space="preserve"> </w:t>
      </w:r>
      <w:r w:rsidRPr="00DF4EC3">
        <w:rPr>
          <w:rFonts w:ascii="Times New Roman" w:eastAsia="TimesNewRomanPSMT" w:hAnsi="Times New Roman" w:cs="Times New Roman"/>
          <w:sz w:val="20"/>
          <w:szCs w:val="20"/>
          <w:lang w:val="en-US"/>
        </w:rPr>
        <w:t>149</w:t>
      </w:r>
      <w:r w:rsidR="00AB3651" w:rsidRPr="00AB3651">
        <w:rPr>
          <w:rFonts w:ascii="Times New Roman" w:eastAsia="TimesNewRomanPSMT" w:hAnsi="Times New Roman" w:cs="Times New Roman"/>
          <w:sz w:val="20"/>
          <w:szCs w:val="20"/>
          <w:lang w:val="uk-UA"/>
        </w:rPr>
        <w:t>–</w:t>
      </w:r>
      <w:r w:rsidR="00897B12">
        <w:rPr>
          <w:rFonts w:ascii="Times New Roman" w:eastAsia="TimesNewRomanPSMT" w:hAnsi="Times New Roman" w:cs="Times New Roman"/>
          <w:sz w:val="20"/>
          <w:szCs w:val="20"/>
          <w:lang w:val="en-US"/>
        </w:rPr>
        <w:t xml:space="preserve">154. </w:t>
      </w:r>
      <w:r w:rsidRPr="00DF4EC3">
        <w:rPr>
          <w:rFonts w:ascii="Times New Roman" w:eastAsia="TimesNewRomanPSMT" w:hAnsi="Times New Roman" w:cs="Times New Roman"/>
          <w:sz w:val="20"/>
          <w:szCs w:val="20"/>
          <w:lang w:val="en-US"/>
        </w:rPr>
        <w:t>doi.org/10.1038/sj.jhh.1001785</w:t>
      </w:r>
    </w:p>
    <w:p w:rsidR="0028648A" w:rsidRPr="004850C1" w:rsidRDefault="0028648A" w:rsidP="00CC669E">
      <w:pPr>
        <w:pStyle w:val="a4"/>
        <w:shd w:val="clear" w:color="auto" w:fill="FFFFFF"/>
        <w:spacing w:after="48" w:line="240" w:lineRule="auto"/>
        <w:ind w:left="426" w:hanging="426"/>
        <w:rPr>
          <w:rFonts w:ascii="Times New Roman" w:eastAsia="Times New Roman" w:hAnsi="Times New Roman" w:cs="Times New Roman"/>
          <w:sz w:val="20"/>
          <w:szCs w:val="20"/>
          <w:lang w:val="en-US" w:eastAsia="ru-RU"/>
        </w:rPr>
      </w:pPr>
      <w:r w:rsidRPr="00305403">
        <w:rPr>
          <w:rFonts w:ascii="Times New Roman" w:eastAsia="Times New Roman" w:hAnsi="Times New Roman" w:cs="Times New Roman"/>
          <w:sz w:val="20"/>
          <w:szCs w:val="20"/>
          <w:lang w:val="en-US" w:eastAsia="ru-RU"/>
        </w:rPr>
        <w:t>Cracowski</w:t>
      </w:r>
      <w:r>
        <w:rPr>
          <w:rFonts w:ascii="Times New Roman" w:eastAsia="Times New Roman" w:hAnsi="Times New Roman" w:cs="Times New Roman"/>
          <w:sz w:val="20"/>
          <w:szCs w:val="20"/>
          <w:lang w:val="en-US" w:eastAsia="ru-RU"/>
        </w:rPr>
        <w:t>,</w:t>
      </w:r>
      <w:r w:rsidRPr="00305403">
        <w:rPr>
          <w:rFonts w:ascii="Times New Roman" w:eastAsia="Times New Roman" w:hAnsi="Times New Roman" w:cs="Times New Roman"/>
          <w:sz w:val="20"/>
          <w:szCs w:val="20"/>
          <w:lang w:val="en-US" w:eastAsia="ru-RU"/>
        </w:rPr>
        <w:t xml:space="preserve"> J.</w:t>
      </w:r>
      <w:r w:rsidR="00897B12">
        <w:rPr>
          <w:rFonts w:ascii="Times New Roman" w:eastAsia="Times New Roman" w:hAnsi="Times New Roman" w:cs="Times New Roman"/>
          <w:sz w:val="20"/>
          <w:szCs w:val="20"/>
          <w:lang w:val="en-US" w:eastAsia="ru-RU"/>
        </w:rPr>
        <w:t xml:space="preserve"> </w:t>
      </w:r>
      <w:r w:rsidRPr="00305403">
        <w:rPr>
          <w:rFonts w:ascii="Times New Roman" w:eastAsia="Times New Roman" w:hAnsi="Times New Roman" w:cs="Times New Roman"/>
          <w:sz w:val="20"/>
          <w:szCs w:val="20"/>
          <w:lang w:val="en-US" w:eastAsia="ru-RU"/>
        </w:rPr>
        <w:t>L., Stance-Labesque</w:t>
      </w:r>
      <w:r>
        <w:rPr>
          <w:rFonts w:ascii="Times New Roman" w:eastAsia="Times New Roman" w:hAnsi="Times New Roman" w:cs="Times New Roman"/>
          <w:sz w:val="20"/>
          <w:szCs w:val="20"/>
          <w:lang w:val="en-US" w:eastAsia="ru-RU"/>
        </w:rPr>
        <w:t>,</w:t>
      </w:r>
      <w:r w:rsidRPr="00305403">
        <w:rPr>
          <w:rFonts w:ascii="Times New Roman" w:eastAsia="Times New Roman" w:hAnsi="Times New Roman" w:cs="Times New Roman"/>
          <w:sz w:val="20"/>
          <w:szCs w:val="20"/>
          <w:lang w:val="en-US" w:eastAsia="ru-RU"/>
        </w:rPr>
        <w:t xml:space="preserve"> F.,</w:t>
      </w:r>
      <w:r w:rsidRPr="00D43AF8">
        <w:rPr>
          <w:rFonts w:eastAsia="TimesNewRomanPSMT"/>
          <w:sz w:val="20"/>
          <w:szCs w:val="20"/>
          <w:lang w:val="en-US"/>
        </w:rPr>
        <w:t xml:space="preserve"> </w:t>
      </w:r>
      <w:r w:rsidRPr="007331D6">
        <w:rPr>
          <w:rFonts w:ascii="Times New Roman" w:eastAsia="TimesNewRomanPSMT" w:hAnsi="Times New Roman" w:cs="Times New Roman"/>
          <w:sz w:val="20"/>
          <w:szCs w:val="20"/>
          <w:lang w:val="en-US"/>
        </w:rPr>
        <w:t>&amp;</w:t>
      </w:r>
      <w:r>
        <w:rPr>
          <w:rFonts w:eastAsia="TimesNewRomanPSMT"/>
          <w:sz w:val="20"/>
          <w:szCs w:val="20"/>
          <w:lang w:val="en-US"/>
        </w:rPr>
        <w:t xml:space="preserve"> </w:t>
      </w:r>
      <w:r w:rsidRPr="00305403">
        <w:rPr>
          <w:rFonts w:ascii="Times New Roman" w:eastAsia="Times New Roman" w:hAnsi="Times New Roman" w:cs="Times New Roman"/>
          <w:sz w:val="20"/>
          <w:szCs w:val="20"/>
          <w:lang w:val="en-US" w:eastAsia="ru-RU"/>
        </w:rPr>
        <w:t xml:space="preserve"> Bessard</w:t>
      </w:r>
      <w:r>
        <w:rPr>
          <w:rFonts w:ascii="Times New Roman" w:eastAsia="Times New Roman" w:hAnsi="Times New Roman" w:cs="Times New Roman"/>
          <w:sz w:val="20"/>
          <w:szCs w:val="20"/>
          <w:lang w:val="en-US" w:eastAsia="ru-RU"/>
        </w:rPr>
        <w:t>,</w:t>
      </w:r>
      <w:r w:rsidRPr="00305403">
        <w:rPr>
          <w:rFonts w:ascii="Times New Roman" w:eastAsia="Times New Roman" w:hAnsi="Times New Roman" w:cs="Times New Roman"/>
          <w:sz w:val="20"/>
          <w:szCs w:val="20"/>
          <w:lang w:val="en-US" w:eastAsia="ru-RU"/>
        </w:rPr>
        <w:t xml:space="preserve"> G. </w:t>
      </w:r>
      <w:r>
        <w:rPr>
          <w:rFonts w:ascii="Times New Roman" w:eastAsia="Times New Roman" w:hAnsi="Times New Roman" w:cs="Times New Roman"/>
          <w:sz w:val="20"/>
          <w:szCs w:val="20"/>
          <w:lang w:val="en-US" w:eastAsia="ru-RU"/>
        </w:rPr>
        <w:t>(</w:t>
      </w:r>
      <w:r w:rsidRPr="00305403">
        <w:rPr>
          <w:rFonts w:ascii="Times New Roman" w:eastAsia="Times New Roman" w:hAnsi="Times New Roman" w:cs="Times New Roman"/>
          <w:sz w:val="20"/>
          <w:szCs w:val="20"/>
          <w:lang w:val="en-US" w:eastAsia="ru-RU"/>
        </w:rPr>
        <w:t>2000</w:t>
      </w:r>
      <w:r>
        <w:rPr>
          <w:rFonts w:ascii="Times New Roman" w:eastAsia="Times New Roman" w:hAnsi="Times New Roman" w:cs="Times New Roman"/>
          <w:sz w:val="20"/>
          <w:szCs w:val="20"/>
          <w:lang w:val="en-US" w:eastAsia="ru-RU"/>
        </w:rPr>
        <w:t xml:space="preserve">). </w:t>
      </w:r>
      <w:r w:rsidRPr="00D43AF8">
        <w:rPr>
          <w:rFonts w:ascii="Times New Roman" w:eastAsia="Times New Roman" w:hAnsi="Times New Roman" w:cs="Times New Roman"/>
          <w:kern w:val="36"/>
          <w:sz w:val="20"/>
          <w:szCs w:val="20"/>
          <w:lang w:val="en-US" w:eastAsia="ru-RU"/>
        </w:rPr>
        <w:t>Isoprostanes: new markers of oxidative stress. Fundamental and clinical data.</w:t>
      </w:r>
      <w:r w:rsidRPr="00305403">
        <w:rPr>
          <w:rFonts w:ascii="Times New Roman" w:eastAsia="Times New Roman" w:hAnsi="Times New Roman" w:cs="Times New Roman"/>
          <w:kern w:val="36"/>
          <w:sz w:val="20"/>
          <w:szCs w:val="20"/>
          <w:lang w:val="en-US" w:eastAsia="ru-RU"/>
        </w:rPr>
        <w:t xml:space="preserve"> </w:t>
      </w:r>
      <w:r>
        <w:rPr>
          <w:rFonts w:ascii="Times New Roman" w:eastAsia="Times New Roman" w:hAnsi="Times New Roman" w:cs="Times New Roman"/>
          <w:sz w:val="20"/>
          <w:szCs w:val="20"/>
          <w:lang w:val="en-US" w:eastAsia="ru-RU"/>
        </w:rPr>
        <w:t xml:space="preserve">La Revue de Médecine Interne, </w:t>
      </w:r>
      <w:r w:rsidRPr="00D43AF8">
        <w:rPr>
          <w:rFonts w:ascii="Times New Roman" w:eastAsia="Times New Roman" w:hAnsi="Times New Roman" w:cs="Times New Roman"/>
          <w:sz w:val="20"/>
          <w:szCs w:val="20"/>
          <w:lang w:val="en-US" w:eastAsia="ru-RU"/>
        </w:rPr>
        <w:t>21(3)</w:t>
      </w:r>
      <w:r>
        <w:rPr>
          <w:rFonts w:ascii="Times New Roman" w:eastAsia="Times New Roman" w:hAnsi="Times New Roman" w:cs="Times New Roman"/>
          <w:sz w:val="20"/>
          <w:szCs w:val="20"/>
          <w:lang w:val="en-US" w:eastAsia="ru-RU"/>
        </w:rPr>
        <w:t>,</w:t>
      </w:r>
      <w:r w:rsidRPr="00D43AF8">
        <w:rPr>
          <w:rFonts w:ascii="Times New Roman" w:eastAsia="Times New Roman" w:hAnsi="Times New Roman" w:cs="Times New Roman"/>
          <w:sz w:val="20"/>
          <w:szCs w:val="20"/>
          <w:lang w:val="en-US" w:eastAsia="ru-RU"/>
        </w:rPr>
        <w:t xml:space="preserve"> 304</w:t>
      </w:r>
      <w:r w:rsidR="00AB3651" w:rsidRPr="00AB3651">
        <w:rPr>
          <w:rFonts w:ascii="Times New Roman" w:eastAsia="Times New Roman" w:hAnsi="Times New Roman" w:cs="Times New Roman"/>
          <w:sz w:val="20"/>
          <w:szCs w:val="20"/>
          <w:lang w:val="en-US" w:eastAsia="ru-RU"/>
        </w:rPr>
        <w:t>–</w:t>
      </w:r>
      <w:r w:rsidRPr="00D43AF8">
        <w:rPr>
          <w:rFonts w:ascii="Times New Roman" w:eastAsia="Times New Roman" w:hAnsi="Times New Roman" w:cs="Times New Roman"/>
          <w:sz w:val="20"/>
          <w:szCs w:val="20"/>
          <w:lang w:val="en-US" w:eastAsia="ru-RU"/>
        </w:rPr>
        <w:t>307.</w:t>
      </w:r>
      <w:r w:rsidR="007331D6">
        <w:rPr>
          <w:rFonts w:ascii="Times New Roman" w:eastAsia="Times New Roman" w:hAnsi="Times New Roman" w:cs="Times New Roman"/>
          <w:sz w:val="20"/>
          <w:szCs w:val="20"/>
          <w:lang w:val="en-US" w:eastAsia="ru-RU"/>
        </w:rPr>
        <w:t xml:space="preserve"> </w:t>
      </w:r>
      <w:r w:rsidRPr="004B0F6C">
        <w:rPr>
          <w:rFonts w:ascii="Times New Roman" w:eastAsia="Times New Roman" w:hAnsi="Times New Roman" w:cs="Times New Roman"/>
          <w:sz w:val="20"/>
          <w:szCs w:val="20"/>
          <w:lang w:val="en-US" w:eastAsia="ru-RU"/>
        </w:rPr>
        <w:t>doi.org/10.1016/s0248-8663(00)80056-9</w:t>
      </w:r>
      <w:r>
        <w:rPr>
          <w:rFonts w:ascii="Times New Roman" w:eastAsia="Times New Roman" w:hAnsi="Times New Roman" w:cs="Times New Roman"/>
          <w:sz w:val="20"/>
          <w:szCs w:val="20"/>
          <w:lang w:val="en-US" w:eastAsia="ru-RU"/>
        </w:rPr>
        <w:t xml:space="preserve"> </w:t>
      </w:r>
    </w:p>
    <w:p w:rsidR="0028648A" w:rsidRPr="00183F8C" w:rsidRDefault="0028648A" w:rsidP="00CC669E">
      <w:pPr>
        <w:pStyle w:val="a4"/>
        <w:autoSpaceDE w:val="0"/>
        <w:autoSpaceDN w:val="0"/>
        <w:adjustRightInd w:val="0"/>
        <w:spacing w:after="0" w:line="240" w:lineRule="auto"/>
        <w:ind w:left="426" w:hanging="426"/>
        <w:rPr>
          <w:rFonts w:ascii="Times New Roman" w:eastAsia="TimesNewRomanPSMT" w:hAnsi="Times New Roman" w:cs="Times New Roman"/>
          <w:sz w:val="20"/>
          <w:szCs w:val="20"/>
          <w:lang w:val="en-US"/>
        </w:rPr>
      </w:pPr>
      <w:r w:rsidRPr="00EB789D">
        <w:rPr>
          <w:rFonts w:ascii="Times New Roman" w:eastAsia="TimesNewRomanPSMT" w:hAnsi="Times New Roman" w:cs="Times New Roman"/>
          <w:sz w:val="20"/>
          <w:szCs w:val="20"/>
          <w:lang w:val="de-DE"/>
        </w:rPr>
        <w:t>Czerska, M., Zieliński, M.,</w:t>
      </w:r>
      <w:r w:rsidRPr="007331D6">
        <w:rPr>
          <w:rFonts w:ascii="Times New Roman" w:eastAsia="TimesNewRomanPSMT" w:hAnsi="Times New Roman" w:cs="Times New Roman"/>
          <w:sz w:val="20"/>
          <w:szCs w:val="20"/>
          <w:lang w:val="de-DE"/>
        </w:rPr>
        <w:t xml:space="preserve"> &amp;</w:t>
      </w:r>
      <w:r w:rsidRPr="00EB789D">
        <w:rPr>
          <w:rFonts w:ascii="Times New Roman" w:eastAsia="TimesNewRomanPSMT" w:hAnsi="Times New Roman" w:cs="Times New Roman"/>
          <w:sz w:val="20"/>
          <w:szCs w:val="20"/>
          <w:lang w:val="de-DE"/>
        </w:rPr>
        <w:t xml:space="preserve"> Gromadzińska, J</w:t>
      </w:r>
      <w:r w:rsidRPr="00EB789D">
        <w:rPr>
          <w:rFonts w:ascii="Times New Roman" w:eastAsia="TimesNewRomanPSMT" w:hAnsi="Times New Roman" w:cs="Times New Roman"/>
          <w:i/>
          <w:sz w:val="20"/>
          <w:szCs w:val="20"/>
          <w:lang w:val="de-DE"/>
        </w:rPr>
        <w:t>. (</w:t>
      </w:r>
      <w:r w:rsidRPr="00EB789D">
        <w:rPr>
          <w:rFonts w:ascii="Times New Roman" w:eastAsia="TimesNewRomanPSMT" w:hAnsi="Times New Roman" w:cs="Times New Roman"/>
          <w:sz w:val="20"/>
          <w:szCs w:val="20"/>
          <w:lang w:val="de-DE"/>
        </w:rPr>
        <w:t xml:space="preserve">2016). </w:t>
      </w:r>
      <w:r w:rsidRPr="004B0F6C">
        <w:rPr>
          <w:rFonts w:ascii="Times New Roman" w:eastAsia="TimesNewRomanPSMT" w:hAnsi="Times New Roman" w:cs="Times New Roman"/>
          <w:sz w:val="20"/>
          <w:szCs w:val="20"/>
          <w:lang w:val="en-US"/>
        </w:rPr>
        <w:t xml:space="preserve">Isoprostanes – A novel major group of oxidative stress markers. </w:t>
      </w:r>
      <w:r w:rsidRPr="00183F8C">
        <w:rPr>
          <w:rFonts w:ascii="Times New Roman" w:eastAsia="TimesNewRomanPSMT" w:hAnsi="Times New Roman" w:cs="Times New Roman"/>
          <w:sz w:val="20"/>
          <w:szCs w:val="20"/>
          <w:lang w:val="en-US"/>
        </w:rPr>
        <w:t>International Journal of Occupational Med</w:t>
      </w:r>
      <w:r>
        <w:rPr>
          <w:rFonts w:ascii="Times New Roman" w:eastAsia="TimesNewRomanPSMT" w:hAnsi="Times New Roman" w:cs="Times New Roman"/>
          <w:sz w:val="20"/>
          <w:szCs w:val="20"/>
          <w:lang w:val="en-US"/>
        </w:rPr>
        <w:t xml:space="preserve">icine </w:t>
      </w:r>
      <w:r w:rsidR="007331D6">
        <w:rPr>
          <w:rFonts w:ascii="Times New Roman" w:eastAsia="TimesNewRomanPSMT" w:hAnsi="Times New Roman" w:cs="Times New Roman"/>
          <w:sz w:val="20"/>
          <w:szCs w:val="20"/>
          <w:lang w:val="en-US"/>
        </w:rPr>
        <w:t>and Environmental Health</w:t>
      </w:r>
      <w:r w:rsidR="00DF4EC3">
        <w:rPr>
          <w:rFonts w:ascii="Times New Roman" w:eastAsia="TimesNewRomanPSMT" w:hAnsi="Times New Roman" w:cs="Times New Roman"/>
          <w:sz w:val="20"/>
          <w:szCs w:val="20"/>
          <w:lang w:val="en-US"/>
        </w:rPr>
        <w:t xml:space="preserve">, </w:t>
      </w:r>
      <w:r w:rsidR="007331D6">
        <w:rPr>
          <w:rFonts w:ascii="Times New Roman" w:eastAsia="TimesNewRomanPSMT" w:hAnsi="Times New Roman" w:cs="Times New Roman"/>
          <w:sz w:val="20"/>
          <w:szCs w:val="20"/>
          <w:lang w:val="en-US"/>
        </w:rPr>
        <w:t xml:space="preserve">29(2), </w:t>
      </w:r>
      <w:r w:rsidRPr="00183F8C">
        <w:rPr>
          <w:rFonts w:ascii="Times New Roman" w:eastAsia="TimesNewRomanPSMT" w:hAnsi="Times New Roman" w:cs="Times New Roman"/>
          <w:sz w:val="20"/>
          <w:szCs w:val="20"/>
          <w:lang w:val="en-US"/>
        </w:rPr>
        <w:t>179–190.</w:t>
      </w:r>
      <w:r w:rsidRPr="00183F8C">
        <w:rPr>
          <w:lang w:val="en-US"/>
        </w:rPr>
        <w:t xml:space="preserve"> </w:t>
      </w:r>
      <w:r w:rsidRPr="00183F8C">
        <w:rPr>
          <w:rFonts w:ascii="Times New Roman" w:eastAsia="TimesNewRomanPSMT" w:hAnsi="Times New Roman" w:cs="Times New Roman"/>
          <w:sz w:val="20"/>
          <w:szCs w:val="20"/>
          <w:lang w:val="en-US"/>
        </w:rPr>
        <w:t>doi.org/10.13075/ijomeh.1896.00596</w:t>
      </w:r>
    </w:p>
    <w:p w:rsidR="0028648A" w:rsidRPr="005B4BFE" w:rsidRDefault="0028648A" w:rsidP="00CC669E">
      <w:pPr>
        <w:pStyle w:val="a4"/>
        <w:autoSpaceDE w:val="0"/>
        <w:autoSpaceDN w:val="0"/>
        <w:adjustRightInd w:val="0"/>
        <w:spacing w:after="0" w:line="240" w:lineRule="auto"/>
        <w:ind w:left="426" w:hanging="426"/>
        <w:rPr>
          <w:rFonts w:ascii="Times New Roman" w:eastAsia="TimesNewRomanPSMT" w:hAnsi="Times New Roman" w:cs="Times New Roman"/>
          <w:sz w:val="20"/>
          <w:szCs w:val="20"/>
          <w:lang w:val="en-US"/>
        </w:rPr>
      </w:pPr>
      <w:r w:rsidRPr="00305403">
        <w:rPr>
          <w:rFonts w:ascii="Times New Roman" w:eastAsia="TimesNewRomanPSMT" w:hAnsi="Times New Roman" w:cs="Times New Roman"/>
          <w:sz w:val="20"/>
          <w:szCs w:val="20"/>
          <w:lang w:val="en-US"/>
        </w:rPr>
        <w:t>Davi</w:t>
      </w:r>
      <w:r>
        <w:rPr>
          <w:rFonts w:ascii="Times New Roman" w:eastAsia="TimesNewRomanPSMT" w:hAnsi="Times New Roman" w:cs="Times New Roman"/>
          <w:sz w:val="20"/>
          <w:szCs w:val="20"/>
          <w:lang w:val="en-US"/>
        </w:rPr>
        <w:t xml:space="preserve">, </w:t>
      </w:r>
      <w:r w:rsidRPr="00305403">
        <w:rPr>
          <w:rFonts w:ascii="Times New Roman" w:eastAsia="TimesNewRomanPSMT" w:hAnsi="Times New Roman" w:cs="Times New Roman"/>
          <w:sz w:val="20"/>
          <w:szCs w:val="20"/>
          <w:lang w:val="en-US"/>
        </w:rPr>
        <w:t>G., Alessandrini</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 xml:space="preserve"> P., Mezzetti</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 xml:space="preserve"> A., Minotti</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 xml:space="preserve"> G., Bucciarelli</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 xml:space="preserve"> T., Costantini</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 xml:space="preserve"> F., </w:t>
      </w:r>
      <w:r w:rsidRPr="00EB789D">
        <w:rPr>
          <w:rFonts w:ascii="Times New Roman" w:eastAsia="TimesNewRomanPSMT" w:hAnsi="Times New Roman" w:cs="Times New Roman"/>
          <w:sz w:val="20"/>
          <w:szCs w:val="20"/>
          <w:lang w:val="en-US"/>
        </w:rPr>
        <w:t>Cipollone</w:t>
      </w:r>
      <w:r>
        <w:rPr>
          <w:rFonts w:ascii="Times New Roman" w:eastAsia="TimesNewRomanPSMT" w:hAnsi="Times New Roman" w:cs="Times New Roman"/>
          <w:sz w:val="20"/>
          <w:szCs w:val="20"/>
          <w:lang w:val="en-US"/>
        </w:rPr>
        <w:t>,</w:t>
      </w:r>
      <w:r w:rsidRPr="00922867">
        <w:rPr>
          <w:rFonts w:ascii="Times New Roman" w:eastAsia="TimesNewRomanPSMT" w:hAnsi="Times New Roman" w:cs="Times New Roman"/>
          <w:sz w:val="20"/>
          <w:szCs w:val="20"/>
          <w:lang w:val="en-US"/>
        </w:rPr>
        <w:t xml:space="preserve"> </w:t>
      </w:r>
      <w:r w:rsidRPr="00EB789D">
        <w:rPr>
          <w:rFonts w:ascii="Times New Roman" w:eastAsia="TimesNewRomanPSMT" w:hAnsi="Times New Roman" w:cs="Times New Roman"/>
          <w:sz w:val="20"/>
          <w:szCs w:val="20"/>
          <w:lang w:val="en-US"/>
        </w:rPr>
        <w:t>F</w:t>
      </w:r>
      <w:r>
        <w:rPr>
          <w:rFonts w:ascii="Times New Roman" w:eastAsia="TimesNewRomanPSMT" w:hAnsi="Times New Roman" w:cs="Times New Roman"/>
          <w:sz w:val="20"/>
          <w:szCs w:val="20"/>
          <w:lang w:val="en-US"/>
        </w:rPr>
        <w:t>.</w:t>
      </w:r>
      <w:r w:rsidRPr="00EB789D">
        <w:rPr>
          <w:rFonts w:ascii="Times New Roman" w:eastAsia="TimesNewRomanPSMT" w:hAnsi="Times New Roman" w:cs="Times New Roman"/>
          <w:sz w:val="20"/>
          <w:szCs w:val="20"/>
          <w:lang w:val="en-US"/>
        </w:rPr>
        <w:t>, Bittolo</w:t>
      </w:r>
      <w:r>
        <w:rPr>
          <w:rFonts w:ascii="Times New Roman" w:eastAsia="TimesNewRomanPSMT" w:hAnsi="Times New Roman" w:cs="Times New Roman"/>
          <w:sz w:val="20"/>
          <w:szCs w:val="20"/>
          <w:lang w:val="en-US"/>
        </w:rPr>
        <w:t>.</w:t>
      </w:r>
      <w:r w:rsidRPr="00EB789D">
        <w:rPr>
          <w:rFonts w:ascii="Times New Roman" w:eastAsia="TimesNewRomanPSMT" w:hAnsi="Times New Roman" w:cs="Times New Roman"/>
          <w:sz w:val="20"/>
          <w:szCs w:val="20"/>
          <w:lang w:val="en-US"/>
        </w:rPr>
        <w:t xml:space="preserve"> B</w:t>
      </w:r>
      <w:r>
        <w:rPr>
          <w:rFonts w:ascii="Times New Roman" w:eastAsia="TimesNewRomanPSMT" w:hAnsi="Times New Roman" w:cs="Times New Roman"/>
          <w:sz w:val="20"/>
          <w:szCs w:val="20"/>
          <w:lang w:val="en-US"/>
        </w:rPr>
        <w:t>.</w:t>
      </w:r>
      <w:r w:rsidRPr="00EB789D">
        <w:rPr>
          <w:rFonts w:ascii="Times New Roman" w:eastAsia="TimesNewRomanPSMT" w:hAnsi="Times New Roman" w:cs="Times New Roman"/>
          <w:sz w:val="20"/>
          <w:szCs w:val="20"/>
          <w:lang w:val="en-US"/>
        </w:rPr>
        <w:t>, Ciabattoni, G</w:t>
      </w:r>
      <w:r>
        <w:rPr>
          <w:rFonts w:ascii="Times New Roman" w:eastAsia="TimesNewRomanPSMT" w:hAnsi="Times New Roman" w:cs="Times New Roman"/>
          <w:sz w:val="20"/>
          <w:szCs w:val="20"/>
          <w:lang w:val="en-US"/>
        </w:rPr>
        <w:t xml:space="preserve">. </w:t>
      </w:r>
      <w:r w:rsidRPr="00E97021">
        <w:rPr>
          <w:rFonts w:ascii="Times New Roman" w:eastAsia="TimesNewRomanPSMT" w:hAnsi="Times New Roman" w:cs="Times New Roman"/>
          <w:sz w:val="20"/>
          <w:szCs w:val="20"/>
          <w:lang w:val="en-US"/>
        </w:rPr>
        <w:t>&amp;</w:t>
      </w:r>
      <w:r>
        <w:rPr>
          <w:rFonts w:ascii="Times New Roman" w:eastAsia="TimesNewRomanPSMT" w:hAnsi="Times New Roman" w:cs="Times New Roman"/>
          <w:sz w:val="20"/>
          <w:szCs w:val="20"/>
          <w:lang w:val="en-US"/>
        </w:rPr>
        <w:t xml:space="preserve"> </w:t>
      </w:r>
      <w:r w:rsidRPr="00EB789D">
        <w:rPr>
          <w:rFonts w:ascii="Times New Roman" w:eastAsia="TimesNewRomanPSMT" w:hAnsi="Times New Roman" w:cs="Times New Roman"/>
          <w:sz w:val="20"/>
          <w:szCs w:val="20"/>
          <w:lang w:val="en-US"/>
        </w:rPr>
        <w:t>Patrono</w:t>
      </w:r>
      <w:r>
        <w:rPr>
          <w:rFonts w:ascii="Times New Roman" w:eastAsia="TimesNewRomanPSMT" w:hAnsi="Times New Roman" w:cs="Times New Roman"/>
          <w:sz w:val="20"/>
          <w:szCs w:val="20"/>
          <w:lang w:val="en-US"/>
        </w:rPr>
        <w:t xml:space="preserve">, </w:t>
      </w:r>
      <w:r w:rsidRPr="00EB789D">
        <w:rPr>
          <w:rFonts w:ascii="Times New Roman" w:eastAsia="TimesNewRomanPSMT" w:hAnsi="Times New Roman" w:cs="Times New Roman"/>
          <w:sz w:val="20"/>
          <w:szCs w:val="20"/>
          <w:lang w:val="en-US"/>
        </w:rPr>
        <w:t>C</w:t>
      </w:r>
      <w:r>
        <w:rPr>
          <w:rFonts w:ascii="Times New Roman" w:eastAsia="TimesNewRomanPSMT" w:hAnsi="Times New Roman" w:cs="Times New Roman"/>
          <w:sz w:val="20"/>
          <w:szCs w:val="20"/>
          <w:lang w:val="en-US"/>
        </w:rPr>
        <w:t xml:space="preserve">. (1997). </w:t>
      </w:r>
      <w:r w:rsidR="00C31F75">
        <w:rPr>
          <w:rFonts w:ascii="Times New Roman" w:eastAsia="TimesNewRomanPSMT" w:hAnsi="Times New Roman" w:cs="Times New Roman"/>
          <w:sz w:val="20"/>
          <w:szCs w:val="20"/>
          <w:lang w:val="en-US"/>
        </w:rPr>
        <w:t xml:space="preserve">In vivo formation of </w:t>
      </w:r>
      <w:r w:rsidRPr="005B4BFE">
        <w:rPr>
          <w:rFonts w:ascii="Times New Roman" w:eastAsia="TimesNewRomanPSMT" w:hAnsi="Times New Roman" w:cs="Times New Roman"/>
          <w:sz w:val="20"/>
          <w:szCs w:val="20"/>
          <w:lang w:val="en-US"/>
        </w:rPr>
        <w:t>8-epi-PGF2 is increased in hypercholesterolemia. Arteriosclerosis, Thrombosis, and Vascular Biology, 17, 3230–3235.</w:t>
      </w:r>
      <w:r w:rsidRPr="007331D6">
        <w:rPr>
          <w:lang w:val="en-US"/>
        </w:rPr>
        <w:t xml:space="preserve"> </w:t>
      </w:r>
      <w:r w:rsidRPr="005B4BFE">
        <w:rPr>
          <w:rFonts w:ascii="Times New Roman" w:eastAsia="TimesNewRomanPSMT" w:hAnsi="Times New Roman" w:cs="Times New Roman"/>
          <w:sz w:val="20"/>
          <w:szCs w:val="20"/>
          <w:lang w:val="en-US"/>
        </w:rPr>
        <w:t>doi.org/10.1161/01.atv.17.11.3230</w:t>
      </w:r>
    </w:p>
    <w:p w:rsidR="0028648A" w:rsidRPr="00305403" w:rsidRDefault="0028648A" w:rsidP="00CC669E">
      <w:pPr>
        <w:pStyle w:val="a4"/>
        <w:autoSpaceDE w:val="0"/>
        <w:autoSpaceDN w:val="0"/>
        <w:adjustRightInd w:val="0"/>
        <w:spacing w:after="0" w:line="240" w:lineRule="auto"/>
        <w:ind w:left="426" w:hanging="426"/>
        <w:rPr>
          <w:rFonts w:ascii="Times New Roman" w:eastAsia="TimesNewRomanPSMT" w:hAnsi="Times New Roman" w:cs="Times New Roman"/>
          <w:sz w:val="20"/>
          <w:szCs w:val="20"/>
          <w:lang w:val="en-US"/>
        </w:rPr>
      </w:pPr>
      <w:r w:rsidRPr="00305403">
        <w:rPr>
          <w:rFonts w:ascii="Times New Roman" w:eastAsia="TimesNewRomanPSMT" w:hAnsi="Times New Roman" w:cs="Times New Roman"/>
          <w:sz w:val="20"/>
          <w:szCs w:val="20"/>
          <w:lang w:val="en-US"/>
        </w:rPr>
        <w:t>Davi</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 xml:space="preserve"> G., Ciabattoni</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 xml:space="preserve"> G., Consoli</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 xml:space="preserve"> A., Mezzetti</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 xml:space="preserve"> A., Falco</w:t>
      </w:r>
      <w:r>
        <w:rPr>
          <w:rFonts w:ascii="Times New Roman" w:eastAsia="TimesNewRomanPSMT" w:hAnsi="Times New Roman" w:cs="Times New Roman"/>
          <w:sz w:val="20"/>
          <w:szCs w:val="20"/>
          <w:lang w:val="en-US"/>
        </w:rPr>
        <w:t>,</w:t>
      </w:r>
      <w:r w:rsidR="00C31F75">
        <w:rPr>
          <w:rFonts w:ascii="Times New Roman" w:eastAsia="TimesNewRomanPSMT" w:hAnsi="Times New Roman" w:cs="Times New Roman"/>
          <w:sz w:val="20"/>
          <w:szCs w:val="20"/>
          <w:lang w:val="en-US"/>
        </w:rPr>
        <w:t xml:space="preserve"> </w:t>
      </w:r>
      <w:r w:rsidRPr="00305403">
        <w:rPr>
          <w:rFonts w:ascii="Times New Roman" w:eastAsia="TimesNewRomanPSMT" w:hAnsi="Times New Roman" w:cs="Times New Roman"/>
          <w:sz w:val="20"/>
          <w:szCs w:val="20"/>
          <w:lang w:val="en-US"/>
        </w:rPr>
        <w:t>A., Santarone</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 xml:space="preserve"> S., </w:t>
      </w:r>
      <w:r w:rsidRPr="00437EAB">
        <w:rPr>
          <w:rFonts w:ascii="Times New Roman" w:eastAsia="TimesNewRomanPSMT" w:hAnsi="Times New Roman" w:cs="Times New Roman"/>
          <w:sz w:val="20"/>
          <w:szCs w:val="20"/>
          <w:lang w:val="en-US"/>
        </w:rPr>
        <w:t>Pennese, E</w:t>
      </w:r>
      <w:r>
        <w:rPr>
          <w:rFonts w:ascii="Times New Roman" w:eastAsia="TimesNewRomanPSMT" w:hAnsi="Times New Roman" w:cs="Times New Roman"/>
          <w:sz w:val="20"/>
          <w:szCs w:val="20"/>
          <w:lang w:val="en-US"/>
        </w:rPr>
        <w:t>.,</w:t>
      </w:r>
      <w:r w:rsidRPr="00437EAB">
        <w:rPr>
          <w:rFonts w:ascii="Times New Roman" w:eastAsia="TimesNewRomanPSMT" w:hAnsi="Times New Roman" w:cs="Times New Roman"/>
          <w:sz w:val="20"/>
          <w:szCs w:val="20"/>
          <w:lang w:val="en-US"/>
        </w:rPr>
        <w:t xml:space="preserve"> Vitacolonna, E</w:t>
      </w:r>
      <w:r>
        <w:rPr>
          <w:rFonts w:ascii="Times New Roman" w:eastAsia="TimesNewRomanPSMT" w:hAnsi="Times New Roman" w:cs="Times New Roman"/>
          <w:sz w:val="20"/>
          <w:szCs w:val="20"/>
          <w:lang w:val="en-US"/>
        </w:rPr>
        <w:t>.,</w:t>
      </w:r>
      <w:r w:rsidRPr="00437EAB">
        <w:rPr>
          <w:rFonts w:ascii="Times New Roman" w:eastAsia="TimesNewRomanPSMT" w:hAnsi="Times New Roman" w:cs="Times New Roman"/>
          <w:sz w:val="20"/>
          <w:szCs w:val="20"/>
          <w:lang w:val="en-US"/>
        </w:rPr>
        <w:t xml:space="preserve"> Bucciarelli, T</w:t>
      </w:r>
      <w:r>
        <w:rPr>
          <w:rFonts w:ascii="Times New Roman" w:eastAsia="TimesNewRomanPSMT" w:hAnsi="Times New Roman" w:cs="Times New Roman"/>
          <w:sz w:val="20"/>
          <w:szCs w:val="20"/>
          <w:lang w:val="en-US"/>
        </w:rPr>
        <w:t>.,</w:t>
      </w:r>
      <w:r w:rsidRPr="00437EAB">
        <w:rPr>
          <w:rFonts w:ascii="Times New Roman" w:eastAsia="TimesNewRomanPSMT" w:hAnsi="Times New Roman" w:cs="Times New Roman"/>
          <w:sz w:val="20"/>
          <w:szCs w:val="20"/>
          <w:lang w:val="en-US"/>
        </w:rPr>
        <w:t xml:space="preserve"> Costantini</w:t>
      </w:r>
      <w:r w:rsidRPr="00922867">
        <w:rPr>
          <w:rFonts w:ascii="Times New Roman" w:eastAsia="TimesNewRomanPSMT" w:hAnsi="Times New Roman" w:cs="Times New Roman"/>
          <w:sz w:val="20"/>
          <w:szCs w:val="20"/>
          <w:lang w:val="en-US"/>
        </w:rPr>
        <w:t xml:space="preserve"> </w:t>
      </w:r>
      <w:r w:rsidRPr="00EB789D">
        <w:rPr>
          <w:rFonts w:ascii="Times New Roman" w:eastAsia="TimesNewRomanPSMT" w:hAnsi="Times New Roman" w:cs="Times New Roman"/>
          <w:sz w:val="20"/>
          <w:szCs w:val="20"/>
          <w:lang w:val="en-US"/>
        </w:rPr>
        <w:t>G</w:t>
      </w:r>
      <w:r>
        <w:rPr>
          <w:rFonts w:ascii="Times New Roman" w:eastAsia="TimesNewRomanPSMT" w:hAnsi="Times New Roman" w:cs="Times New Roman"/>
          <w:sz w:val="20"/>
          <w:szCs w:val="20"/>
          <w:lang w:val="en-US"/>
        </w:rPr>
        <w:t>.</w:t>
      </w:r>
      <w:r w:rsidR="00C31F75">
        <w:rPr>
          <w:rFonts w:ascii="Times New Roman" w:eastAsia="TimesNewRomanPSMT" w:hAnsi="Times New Roman" w:cs="Times New Roman"/>
          <w:sz w:val="20"/>
          <w:szCs w:val="20"/>
          <w:lang w:val="en-US"/>
        </w:rPr>
        <w:t xml:space="preserve"> </w:t>
      </w:r>
      <w:r w:rsidRPr="00437EAB">
        <w:rPr>
          <w:rFonts w:ascii="Times New Roman" w:eastAsia="TimesNewRomanPSMT" w:hAnsi="Times New Roman" w:cs="Times New Roman"/>
          <w:sz w:val="20"/>
          <w:szCs w:val="20"/>
          <w:lang w:val="en-US"/>
        </w:rPr>
        <w:t>F</w:t>
      </w:r>
      <w:r>
        <w:rPr>
          <w:rFonts w:ascii="Times New Roman" w:eastAsia="TimesNewRomanPSMT" w:hAnsi="Times New Roman" w:cs="Times New Roman"/>
          <w:sz w:val="20"/>
          <w:szCs w:val="20"/>
          <w:lang w:val="en-US"/>
        </w:rPr>
        <w:t xml:space="preserve">., </w:t>
      </w:r>
      <w:r w:rsidRPr="00437EAB">
        <w:rPr>
          <w:rFonts w:ascii="Times New Roman" w:eastAsia="TimesNewRomanPSMT" w:hAnsi="Times New Roman" w:cs="Times New Roman"/>
          <w:sz w:val="20"/>
          <w:szCs w:val="20"/>
          <w:lang w:val="en-US"/>
        </w:rPr>
        <w:t>Capani F</w:t>
      </w:r>
      <w:r>
        <w:rPr>
          <w:rFonts w:ascii="Times New Roman" w:eastAsia="TimesNewRomanPSMT" w:hAnsi="Times New Roman" w:cs="Times New Roman"/>
          <w:sz w:val="20"/>
          <w:szCs w:val="20"/>
          <w:lang w:val="en-US"/>
        </w:rPr>
        <w:t>.</w:t>
      </w:r>
      <w:r w:rsidRPr="00437EAB">
        <w:rPr>
          <w:rFonts w:ascii="Times New Roman" w:eastAsia="TimesNewRomanPSMT" w:hAnsi="Times New Roman" w:cs="Times New Roman"/>
          <w:sz w:val="20"/>
          <w:szCs w:val="20"/>
          <w:lang w:val="en-US"/>
        </w:rPr>
        <w:t xml:space="preserve">, </w:t>
      </w:r>
      <w:r w:rsidRPr="00E97021">
        <w:rPr>
          <w:rFonts w:ascii="Times New Roman" w:eastAsia="TimesNewRomanPSMT" w:hAnsi="Times New Roman" w:cs="Times New Roman"/>
          <w:sz w:val="20"/>
          <w:szCs w:val="20"/>
          <w:lang w:val="en-US"/>
        </w:rPr>
        <w:t>&amp;</w:t>
      </w:r>
      <w:r>
        <w:rPr>
          <w:rFonts w:ascii="Times New Roman" w:eastAsia="TimesNewRomanPSMT" w:hAnsi="Times New Roman" w:cs="Times New Roman"/>
          <w:sz w:val="20"/>
          <w:szCs w:val="20"/>
          <w:lang w:val="en-US"/>
        </w:rPr>
        <w:t xml:space="preserve"> </w:t>
      </w:r>
      <w:r w:rsidRPr="00437EAB">
        <w:rPr>
          <w:rFonts w:ascii="Times New Roman" w:eastAsia="TimesNewRomanPSMT" w:hAnsi="Times New Roman" w:cs="Times New Roman"/>
          <w:sz w:val="20"/>
          <w:szCs w:val="20"/>
          <w:lang w:val="en-US"/>
        </w:rPr>
        <w:t>Patrono</w:t>
      </w:r>
      <w:r>
        <w:rPr>
          <w:rFonts w:ascii="Times New Roman" w:eastAsia="TimesNewRomanPSMT" w:hAnsi="Times New Roman" w:cs="Times New Roman"/>
          <w:sz w:val="20"/>
          <w:szCs w:val="20"/>
          <w:lang w:val="en-US"/>
        </w:rPr>
        <w:t xml:space="preserve"> </w:t>
      </w:r>
      <w:r w:rsidRPr="00437EAB">
        <w:rPr>
          <w:rFonts w:ascii="Times New Roman" w:eastAsia="TimesNewRomanPSMT" w:hAnsi="Times New Roman" w:cs="Times New Roman"/>
          <w:sz w:val="20"/>
          <w:szCs w:val="20"/>
          <w:lang w:val="en-US"/>
        </w:rPr>
        <w:t>C</w:t>
      </w:r>
      <w:r>
        <w:rPr>
          <w:rFonts w:ascii="Times New Roman" w:eastAsia="TimesNewRomanPSMT" w:hAnsi="Times New Roman" w:cs="Times New Roman"/>
          <w:sz w:val="20"/>
          <w:szCs w:val="20"/>
          <w:lang w:val="en-US"/>
        </w:rPr>
        <w:t>.</w:t>
      </w:r>
      <w:r w:rsidRPr="00437EAB">
        <w:rPr>
          <w:rFonts w:ascii="Times New Roman" w:eastAsia="TimesNewRomanPSMT" w:hAnsi="Times New Roman" w:cs="Times New Roman"/>
          <w:sz w:val="20"/>
          <w:szCs w:val="20"/>
          <w:lang w:val="en-US"/>
        </w:rPr>
        <w:t xml:space="preserve"> </w:t>
      </w:r>
      <w:r w:rsidRPr="00EB789D">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1999</w:t>
      </w:r>
      <w:r w:rsidRPr="00EB789D">
        <w:rPr>
          <w:rFonts w:ascii="Times New Roman" w:eastAsia="TimesNewRomanPSMT" w:hAnsi="Times New Roman" w:cs="Times New Roman"/>
          <w:sz w:val="20"/>
          <w:szCs w:val="20"/>
          <w:lang w:val="en-US"/>
        </w:rPr>
        <w:t xml:space="preserve">). In vivo formation of 8-iso-prostaglandin F2 and platelet activation in diabetes mellitus: Effects of improved metabolic control and vitamin E supplementation. </w:t>
      </w:r>
      <w:r w:rsidRPr="00305403">
        <w:rPr>
          <w:rFonts w:ascii="Times New Roman" w:eastAsia="TimesNewRomanPSMT" w:hAnsi="Times New Roman" w:cs="Times New Roman"/>
          <w:sz w:val="20"/>
          <w:szCs w:val="20"/>
          <w:lang w:val="en-US"/>
        </w:rPr>
        <w:t>Circulation</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 xml:space="preserve"> </w:t>
      </w:r>
      <w:r>
        <w:rPr>
          <w:rFonts w:ascii="Times New Roman" w:eastAsia="TimesNewRomanPSMT" w:hAnsi="Times New Roman" w:cs="Times New Roman"/>
          <w:sz w:val="20"/>
          <w:szCs w:val="20"/>
          <w:lang w:val="en-US"/>
        </w:rPr>
        <w:t xml:space="preserve">99(2), </w:t>
      </w:r>
      <w:r w:rsidRPr="00305403">
        <w:rPr>
          <w:rFonts w:ascii="Times New Roman" w:eastAsia="TimesNewRomanPSMT" w:hAnsi="Times New Roman" w:cs="Times New Roman"/>
          <w:sz w:val="20"/>
          <w:szCs w:val="20"/>
          <w:lang w:val="en-US"/>
        </w:rPr>
        <w:t>224</w:t>
      </w:r>
      <w:r w:rsidR="00AB3651" w:rsidRPr="00AB3651">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229.</w:t>
      </w:r>
      <w:r w:rsidRPr="00EB789D">
        <w:rPr>
          <w:lang w:val="en-US"/>
        </w:rPr>
        <w:t xml:space="preserve"> </w:t>
      </w:r>
      <w:r w:rsidRPr="00EB789D">
        <w:rPr>
          <w:rFonts w:ascii="Times New Roman" w:eastAsia="TimesNewRomanPSMT" w:hAnsi="Times New Roman" w:cs="Times New Roman"/>
          <w:sz w:val="20"/>
          <w:szCs w:val="20"/>
          <w:lang w:val="en-US"/>
        </w:rPr>
        <w:t>doi.org/10.1161/01.cir.99.2.224</w:t>
      </w:r>
    </w:p>
    <w:p w:rsidR="007331D6" w:rsidRPr="00823C24" w:rsidRDefault="0028648A" w:rsidP="00136557">
      <w:pPr>
        <w:pStyle w:val="a4"/>
        <w:autoSpaceDE w:val="0"/>
        <w:autoSpaceDN w:val="0"/>
        <w:adjustRightInd w:val="0"/>
        <w:spacing w:after="0" w:line="240" w:lineRule="auto"/>
        <w:ind w:left="426" w:hanging="426"/>
        <w:rPr>
          <w:rFonts w:ascii="Times New Roman" w:eastAsia="TimesNewRomanPSMT" w:hAnsi="Times New Roman" w:cs="Times New Roman"/>
          <w:sz w:val="20"/>
          <w:szCs w:val="20"/>
          <w:lang w:val="en-US"/>
        </w:rPr>
      </w:pPr>
      <w:r w:rsidRPr="00823C24">
        <w:rPr>
          <w:rFonts w:ascii="Times New Roman" w:eastAsia="TimesNewRomanPSMT" w:hAnsi="Times New Roman" w:cs="Times New Roman"/>
          <w:sz w:val="20"/>
          <w:szCs w:val="20"/>
          <w:lang w:val="en-US"/>
        </w:rPr>
        <w:t>Dzjak, G.</w:t>
      </w:r>
      <w:r w:rsidR="00C31F75" w:rsidRPr="00823C24">
        <w:rPr>
          <w:rFonts w:ascii="Times New Roman" w:eastAsia="TimesNewRomanPSMT" w:hAnsi="Times New Roman" w:cs="Times New Roman"/>
          <w:sz w:val="20"/>
          <w:szCs w:val="20"/>
          <w:lang w:val="en-US"/>
        </w:rPr>
        <w:t xml:space="preserve"> </w:t>
      </w:r>
      <w:r w:rsidRPr="00823C24">
        <w:rPr>
          <w:rFonts w:ascii="Times New Roman" w:eastAsia="TimesNewRomanPSMT" w:hAnsi="Times New Roman" w:cs="Times New Roman"/>
          <w:sz w:val="20"/>
          <w:szCs w:val="20"/>
          <w:lang w:val="en-US"/>
        </w:rPr>
        <w:t xml:space="preserve">V., </w:t>
      </w:r>
      <w:r w:rsidR="00C31F75" w:rsidRPr="00823C24">
        <w:rPr>
          <w:rFonts w:ascii="Times New Roman" w:eastAsia="TimesNewRomanPSMT" w:hAnsi="Times New Roman" w:cs="Times New Roman"/>
          <w:sz w:val="20"/>
          <w:szCs w:val="20"/>
          <w:lang w:val="en-US"/>
        </w:rPr>
        <w:t xml:space="preserve">&amp; </w:t>
      </w:r>
      <w:r w:rsidRPr="00823C24">
        <w:rPr>
          <w:rFonts w:ascii="Times New Roman" w:eastAsia="TimesNewRomanPSMT" w:hAnsi="Times New Roman" w:cs="Times New Roman"/>
          <w:sz w:val="20"/>
          <w:szCs w:val="20"/>
          <w:lang w:val="en-US"/>
        </w:rPr>
        <w:t>Kolesnik</w:t>
      </w:r>
      <w:r w:rsidR="00C31F75" w:rsidRPr="00823C24">
        <w:rPr>
          <w:rFonts w:ascii="Times New Roman" w:eastAsia="TimesNewRomanPSMT" w:hAnsi="Times New Roman" w:cs="Times New Roman"/>
          <w:sz w:val="20"/>
          <w:szCs w:val="20"/>
          <w:lang w:val="en-US"/>
        </w:rPr>
        <w:t>,</w:t>
      </w:r>
      <w:r w:rsidRPr="00823C24">
        <w:rPr>
          <w:rFonts w:ascii="Times New Roman" w:eastAsia="TimesNewRomanPSMT" w:hAnsi="Times New Roman" w:cs="Times New Roman"/>
          <w:sz w:val="20"/>
          <w:szCs w:val="20"/>
          <w:lang w:val="en-US"/>
        </w:rPr>
        <w:t xml:space="preserve"> T.</w:t>
      </w:r>
      <w:r w:rsidR="00C31F75" w:rsidRPr="00823C24">
        <w:rPr>
          <w:rFonts w:ascii="Times New Roman" w:eastAsia="TimesNewRomanPSMT" w:hAnsi="Times New Roman" w:cs="Times New Roman"/>
          <w:sz w:val="20"/>
          <w:szCs w:val="20"/>
          <w:lang w:val="en-US"/>
        </w:rPr>
        <w:t xml:space="preserve"> V.</w:t>
      </w:r>
      <w:r w:rsidRPr="00823C24">
        <w:rPr>
          <w:rFonts w:ascii="Times New Roman" w:eastAsia="TimesNewRomanPSMT" w:hAnsi="Times New Roman" w:cs="Times New Roman"/>
          <w:sz w:val="20"/>
          <w:szCs w:val="20"/>
          <w:lang w:val="en-US"/>
        </w:rPr>
        <w:t xml:space="preserve"> (2005).</w:t>
      </w:r>
      <w:r w:rsidR="00C31F75" w:rsidRPr="00823C24">
        <w:rPr>
          <w:rFonts w:ascii="Times New Roman" w:eastAsia="TimesNewRomanPSMT" w:hAnsi="Times New Roman" w:cs="Times New Roman"/>
          <w:sz w:val="20"/>
          <w:szCs w:val="20"/>
          <w:lang w:val="en-US"/>
        </w:rPr>
        <w:t xml:space="preserve"> </w:t>
      </w:r>
      <w:r w:rsidR="00136557" w:rsidRPr="00823C24">
        <w:rPr>
          <w:rFonts w:ascii="Times New Roman" w:eastAsia="TimesNewRomanPSMT" w:hAnsi="Times New Roman" w:cs="Times New Roman"/>
          <w:sz w:val="20"/>
          <w:szCs w:val="20"/>
          <w:lang w:val="en-US"/>
        </w:rPr>
        <w:t>Abu Shhihab Nader Jeffektiv</w:t>
      </w:r>
      <w:r w:rsidR="00C31F75" w:rsidRPr="00823C24">
        <w:rPr>
          <w:rFonts w:ascii="Times New Roman" w:eastAsia="TimesNewRomanPSMT" w:hAnsi="Times New Roman" w:cs="Times New Roman"/>
          <w:sz w:val="20"/>
          <w:szCs w:val="20"/>
          <w:lang w:val="en-US"/>
        </w:rPr>
        <w:t>nost' fozinoprila v le</w:t>
      </w:r>
      <w:r w:rsidR="00897B12" w:rsidRPr="00823C24">
        <w:rPr>
          <w:rFonts w:ascii="Times New Roman" w:eastAsia="TimesNewRomanPSMT" w:hAnsi="Times New Roman" w:cs="Times New Roman"/>
          <w:sz w:val="20"/>
          <w:szCs w:val="20"/>
          <w:lang w:val="en-US"/>
        </w:rPr>
        <w:t>chenii arterial'noj gipertenzii</w:t>
      </w:r>
      <w:r w:rsidR="00C31F75" w:rsidRPr="00823C24">
        <w:rPr>
          <w:rFonts w:ascii="Times New Roman" w:eastAsia="TimesNewRomanPSMT" w:hAnsi="Times New Roman" w:cs="Times New Roman"/>
          <w:sz w:val="20"/>
          <w:szCs w:val="20"/>
          <w:lang w:val="en-US"/>
        </w:rPr>
        <w:t xml:space="preserve"> </w:t>
      </w:r>
      <w:r w:rsidR="00136557" w:rsidRPr="00823C24">
        <w:rPr>
          <w:rFonts w:ascii="Times New Roman" w:eastAsia="TimesNewRomanPSMT" w:hAnsi="Times New Roman" w:cs="Times New Roman"/>
          <w:sz w:val="20"/>
          <w:szCs w:val="20"/>
          <w:lang w:val="en-US"/>
        </w:rPr>
        <w:t xml:space="preserve">[Abu Shihab Nader Effective fosinopril in the treatment of arterial hypertension] </w:t>
      </w:r>
      <w:r w:rsidRPr="00823C24">
        <w:rPr>
          <w:rFonts w:ascii="Times New Roman" w:eastAsia="TimesNewRomanPSMT" w:hAnsi="Times New Roman" w:cs="Times New Roman"/>
          <w:sz w:val="20"/>
          <w:szCs w:val="20"/>
          <w:lang w:val="en-US"/>
        </w:rPr>
        <w:t xml:space="preserve">Ukrainskij </w:t>
      </w:r>
      <w:r w:rsidR="00C31F75" w:rsidRPr="00823C24">
        <w:rPr>
          <w:rFonts w:ascii="Times New Roman" w:eastAsia="TimesNewRomanPSMT" w:hAnsi="Times New Roman" w:cs="Times New Roman"/>
          <w:sz w:val="20"/>
          <w:szCs w:val="20"/>
          <w:lang w:val="en-US"/>
        </w:rPr>
        <w:t>K</w:t>
      </w:r>
      <w:r w:rsidRPr="00823C24">
        <w:rPr>
          <w:rFonts w:ascii="Times New Roman" w:eastAsia="TimesNewRomanPSMT" w:hAnsi="Times New Roman" w:cs="Times New Roman"/>
          <w:sz w:val="20"/>
          <w:szCs w:val="20"/>
          <w:lang w:val="en-US"/>
        </w:rPr>
        <w:t xml:space="preserve">ardiologicheskij </w:t>
      </w:r>
      <w:r w:rsidR="00C31F75" w:rsidRPr="00823C24">
        <w:rPr>
          <w:rFonts w:ascii="Times New Roman" w:eastAsia="TimesNewRomanPSMT" w:hAnsi="Times New Roman" w:cs="Times New Roman"/>
          <w:sz w:val="20"/>
          <w:szCs w:val="20"/>
          <w:lang w:val="en-US"/>
        </w:rPr>
        <w:t>Z</w:t>
      </w:r>
      <w:r w:rsidRPr="00823C24">
        <w:rPr>
          <w:rFonts w:ascii="Times New Roman" w:eastAsia="TimesNewRomanPSMT" w:hAnsi="Times New Roman" w:cs="Times New Roman"/>
          <w:sz w:val="20"/>
          <w:szCs w:val="20"/>
          <w:lang w:val="en-US"/>
        </w:rPr>
        <w:t>hurnal, 2,</w:t>
      </w:r>
      <w:r w:rsidR="00C31F75" w:rsidRPr="00823C24">
        <w:rPr>
          <w:rFonts w:ascii="Times New Roman" w:eastAsia="TimesNewRomanPSMT" w:hAnsi="Times New Roman" w:cs="Times New Roman"/>
          <w:sz w:val="20"/>
          <w:szCs w:val="20"/>
          <w:lang w:val="en-US"/>
        </w:rPr>
        <w:t xml:space="preserve"> </w:t>
      </w:r>
      <w:r w:rsidRPr="00823C24">
        <w:rPr>
          <w:rFonts w:ascii="Times New Roman" w:eastAsia="TimesNewRomanPSMT" w:hAnsi="Times New Roman" w:cs="Times New Roman"/>
          <w:sz w:val="20"/>
          <w:szCs w:val="20"/>
          <w:lang w:val="en-US"/>
        </w:rPr>
        <w:t>30</w:t>
      </w:r>
      <w:r w:rsidR="00AB3651" w:rsidRPr="00823C24">
        <w:rPr>
          <w:rFonts w:ascii="Times New Roman" w:eastAsia="TimesNewRomanPSMT" w:hAnsi="Times New Roman" w:cs="Times New Roman"/>
          <w:sz w:val="20"/>
          <w:szCs w:val="20"/>
          <w:lang w:val="en-US"/>
        </w:rPr>
        <w:t>–</w:t>
      </w:r>
      <w:r w:rsidR="00D82975" w:rsidRPr="00823C24">
        <w:rPr>
          <w:rFonts w:ascii="Times New Roman" w:eastAsia="TimesNewRomanPSMT" w:hAnsi="Times New Roman" w:cs="Times New Roman"/>
          <w:sz w:val="20"/>
          <w:szCs w:val="20"/>
          <w:lang w:val="en-US"/>
        </w:rPr>
        <w:t>35</w:t>
      </w:r>
      <w:r w:rsidRPr="00823C24">
        <w:rPr>
          <w:rFonts w:ascii="Times New Roman" w:eastAsia="TimesNewRomanPSMT" w:hAnsi="Times New Roman" w:cs="Times New Roman"/>
          <w:sz w:val="20"/>
          <w:szCs w:val="20"/>
          <w:lang w:val="en-US"/>
        </w:rPr>
        <w:t xml:space="preserve"> (</w:t>
      </w:r>
      <w:r w:rsidR="00C31F75" w:rsidRPr="00823C24">
        <w:rPr>
          <w:rFonts w:ascii="Times New Roman" w:eastAsia="TimesNewRomanPSMT" w:hAnsi="Times New Roman" w:cs="Times New Roman"/>
          <w:sz w:val="20"/>
          <w:szCs w:val="20"/>
          <w:lang w:val="en-US"/>
        </w:rPr>
        <w:t>i</w:t>
      </w:r>
      <w:r w:rsidRPr="00823C24">
        <w:rPr>
          <w:rFonts w:ascii="Times New Roman" w:eastAsia="TimesNewRomanPSMT" w:hAnsi="Times New Roman" w:cs="Times New Roman"/>
          <w:sz w:val="20"/>
          <w:szCs w:val="20"/>
          <w:lang w:val="en-US"/>
        </w:rPr>
        <w:t>n Russian).</w:t>
      </w:r>
    </w:p>
    <w:p w:rsidR="00136557" w:rsidRPr="00AB3651" w:rsidRDefault="0028648A" w:rsidP="00AB3651">
      <w:pPr>
        <w:pStyle w:val="a4"/>
        <w:autoSpaceDE w:val="0"/>
        <w:autoSpaceDN w:val="0"/>
        <w:adjustRightInd w:val="0"/>
        <w:spacing w:after="0" w:line="240" w:lineRule="auto"/>
        <w:ind w:left="426" w:hanging="426"/>
        <w:rPr>
          <w:rFonts w:ascii="Times New Roman" w:eastAsia="TimesNewRomanPSMT" w:hAnsi="Times New Roman" w:cs="Times New Roman"/>
          <w:sz w:val="20"/>
          <w:szCs w:val="20"/>
          <w:lang w:val="en-US"/>
        </w:rPr>
      </w:pPr>
      <w:r w:rsidRPr="007331D6">
        <w:rPr>
          <w:rFonts w:ascii="Times New Roman" w:eastAsia="TimesNewRomanPSMT" w:hAnsi="Times New Roman" w:cs="Times New Roman"/>
          <w:sz w:val="20"/>
          <w:szCs w:val="20"/>
          <w:lang w:val="de-DE"/>
        </w:rPr>
        <w:t>Goldhaber, L., Kim, K.</w:t>
      </w:r>
      <w:r w:rsidR="00AB3651">
        <w:rPr>
          <w:rFonts w:ascii="Times New Roman" w:eastAsia="TimesNewRomanPSMT" w:hAnsi="Times New Roman" w:cs="Times New Roman"/>
          <w:sz w:val="20"/>
          <w:szCs w:val="20"/>
          <w:lang w:val="de-DE"/>
        </w:rPr>
        <w:t xml:space="preserve"> </w:t>
      </w:r>
      <w:r w:rsidRPr="007331D6">
        <w:rPr>
          <w:rFonts w:ascii="Times New Roman" w:eastAsia="TimesNewRomanPSMT" w:hAnsi="Times New Roman" w:cs="Times New Roman"/>
          <w:sz w:val="20"/>
          <w:szCs w:val="20"/>
          <w:lang w:val="de-DE"/>
        </w:rPr>
        <w:t>H., Natterson, P.</w:t>
      </w:r>
      <w:r w:rsidR="00AB3651">
        <w:rPr>
          <w:rFonts w:ascii="Times New Roman" w:eastAsia="TimesNewRomanPSMT" w:hAnsi="Times New Roman" w:cs="Times New Roman"/>
          <w:sz w:val="20"/>
          <w:szCs w:val="20"/>
          <w:lang w:val="de-DE"/>
        </w:rPr>
        <w:t xml:space="preserve"> </w:t>
      </w:r>
      <w:r w:rsidRPr="007331D6">
        <w:rPr>
          <w:rFonts w:ascii="Times New Roman" w:eastAsia="TimesNewRomanPSMT" w:hAnsi="Times New Roman" w:cs="Times New Roman"/>
          <w:sz w:val="20"/>
          <w:szCs w:val="20"/>
          <w:lang w:val="de-DE"/>
        </w:rPr>
        <w:t>D., Lawrence, T., Yang, P., &amp; Weiss, J.</w:t>
      </w:r>
      <w:r w:rsidR="00136557">
        <w:rPr>
          <w:rFonts w:ascii="Times New Roman" w:eastAsia="TimesNewRomanPSMT" w:hAnsi="Times New Roman" w:cs="Times New Roman"/>
          <w:sz w:val="20"/>
          <w:szCs w:val="20"/>
          <w:lang w:val="de-DE"/>
        </w:rPr>
        <w:t xml:space="preserve"> </w:t>
      </w:r>
      <w:r w:rsidRPr="007331D6">
        <w:rPr>
          <w:rFonts w:ascii="Times New Roman" w:eastAsia="TimesNewRomanPSMT" w:hAnsi="Times New Roman" w:cs="Times New Roman"/>
          <w:sz w:val="20"/>
          <w:szCs w:val="20"/>
          <w:lang w:val="de-DE"/>
        </w:rPr>
        <w:t xml:space="preserve">N. (1996). </w:t>
      </w:r>
      <w:r w:rsidRPr="007331D6">
        <w:rPr>
          <w:rFonts w:ascii="Times New Roman" w:eastAsia="TimesNewRomanPSMT" w:hAnsi="Times New Roman" w:cs="Times New Roman"/>
          <w:sz w:val="20"/>
          <w:szCs w:val="20"/>
          <w:lang w:val="en-US"/>
        </w:rPr>
        <w:t>Effects of TNF-alpha on [Ca2+]</w:t>
      </w:r>
      <w:r w:rsidR="00136557">
        <w:rPr>
          <w:rFonts w:ascii="Times New Roman" w:eastAsia="TimesNewRomanPSMT" w:hAnsi="Times New Roman" w:cs="Times New Roman"/>
          <w:sz w:val="20"/>
          <w:szCs w:val="20"/>
          <w:lang w:val="en-US"/>
        </w:rPr>
        <w:t xml:space="preserve"> I </w:t>
      </w:r>
      <w:r w:rsidRPr="007331D6">
        <w:rPr>
          <w:rFonts w:ascii="Times New Roman" w:eastAsia="TimesNewRomanPSMT" w:hAnsi="Times New Roman" w:cs="Times New Roman"/>
          <w:sz w:val="20"/>
          <w:szCs w:val="20"/>
          <w:lang w:val="en-US"/>
        </w:rPr>
        <w:t xml:space="preserve">and contractility in isolated adult rabbit </w:t>
      </w:r>
      <w:r w:rsidR="00136557">
        <w:rPr>
          <w:rFonts w:ascii="Times New Roman" w:eastAsia="TimesNewRomanPSMT" w:hAnsi="Times New Roman" w:cs="Times New Roman"/>
          <w:sz w:val="20"/>
          <w:szCs w:val="20"/>
          <w:lang w:val="en-US"/>
        </w:rPr>
        <w:t xml:space="preserve">ventricular myocytes. </w:t>
      </w:r>
      <w:r w:rsidR="00136557" w:rsidRPr="00136557">
        <w:rPr>
          <w:rFonts w:ascii="Times New Roman" w:eastAsia="TimesNewRomanPSMT" w:hAnsi="Times New Roman" w:cs="Times New Roman"/>
          <w:sz w:val="20"/>
          <w:szCs w:val="20"/>
          <w:lang w:val="en-US"/>
        </w:rPr>
        <w:t>American Journal of P</w:t>
      </w:r>
      <w:r w:rsidR="00136557">
        <w:rPr>
          <w:rFonts w:ascii="Times New Roman" w:eastAsia="TimesNewRomanPSMT" w:hAnsi="Times New Roman" w:cs="Times New Roman"/>
          <w:sz w:val="20"/>
          <w:szCs w:val="20"/>
          <w:lang w:val="en-US"/>
        </w:rPr>
        <w:t xml:space="preserve">hysiology-Heart and Circulatory </w:t>
      </w:r>
      <w:r w:rsidR="00136557" w:rsidRPr="00136557">
        <w:rPr>
          <w:rFonts w:ascii="Times New Roman" w:eastAsia="TimesNewRomanPSMT" w:hAnsi="Times New Roman" w:cs="Times New Roman"/>
          <w:sz w:val="20"/>
          <w:szCs w:val="20"/>
          <w:lang w:val="en-US"/>
        </w:rPr>
        <w:t>Physiology</w:t>
      </w:r>
      <w:r w:rsidR="00AB3651">
        <w:rPr>
          <w:rFonts w:ascii="Times New Roman" w:eastAsia="TimesNewRomanPSMT" w:hAnsi="Times New Roman" w:cs="Times New Roman"/>
          <w:sz w:val="20"/>
          <w:szCs w:val="20"/>
          <w:lang w:val="en-US"/>
        </w:rPr>
        <w:t xml:space="preserve">, </w:t>
      </w:r>
      <w:r w:rsidRPr="007331D6">
        <w:rPr>
          <w:rFonts w:ascii="Times New Roman" w:eastAsia="TimesNewRomanPSMT" w:hAnsi="Times New Roman" w:cs="Times New Roman"/>
          <w:sz w:val="20"/>
          <w:szCs w:val="20"/>
          <w:lang w:val="en-US"/>
        </w:rPr>
        <w:t>271,</w:t>
      </w:r>
      <w:r w:rsidR="00AB3651">
        <w:rPr>
          <w:rFonts w:ascii="Times New Roman" w:eastAsia="TimesNewRomanPSMT" w:hAnsi="Times New Roman" w:cs="Times New Roman"/>
          <w:sz w:val="20"/>
          <w:szCs w:val="20"/>
          <w:lang w:val="en-US"/>
        </w:rPr>
        <w:t xml:space="preserve"> </w:t>
      </w:r>
      <w:r w:rsidRPr="007331D6">
        <w:rPr>
          <w:rFonts w:ascii="Times New Roman" w:eastAsia="TimesNewRomanPSMT" w:hAnsi="Times New Roman" w:cs="Times New Roman"/>
          <w:sz w:val="20"/>
          <w:szCs w:val="20"/>
          <w:lang w:val="en-US"/>
        </w:rPr>
        <w:t>1449</w:t>
      </w:r>
      <w:r w:rsidR="00AB3651" w:rsidRPr="00AB3651">
        <w:rPr>
          <w:rFonts w:ascii="Times New Roman" w:eastAsia="TimesNewRomanPSMT" w:hAnsi="Times New Roman" w:cs="Times New Roman"/>
          <w:sz w:val="20"/>
          <w:szCs w:val="20"/>
          <w:lang w:val="en-US"/>
        </w:rPr>
        <w:t>–</w:t>
      </w:r>
      <w:r w:rsidRPr="007331D6">
        <w:rPr>
          <w:rFonts w:ascii="Times New Roman" w:eastAsia="TimesNewRomanPSMT" w:hAnsi="Times New Roman" w:cs="Times New Roman"/>
          <w:sz w:val="20"/>
          <w:szCs w:val="20"/>
          <w:lang w:val="en-US"/>
        </w:rPr>
        <w:t>1455. doi.org/10.1152/ajpheart.1996.271.4.h1449</w:t>
      </w:r>
    </w:p>
    <w:p w:rsidR="0028648A" w:rsidRPr="007331D6" w:rsidRDefault="00472BD8" w:rsidP="00CC669E">
      <w:pPr>
        <w:pStyle w:val="a4"/>
        <w:autoSpaceDE w:val="0"/>
        <w:autoSpaceDN w:val="0"/>
        <w:adjustRightInd w:val="0"/>
        <w:spacing w:after="0" w:line="240" w:lineRule="auto"/>
        <w:ind w:left="426" w:hanging="426"/>
        <w:rPr>
          <w:rFonts w:ascii="Times New Roman" w:eastAsia="TimesNewRomanPSMT" w:hAnsi="Times New Roman" w:cs="Times New Roman"/>
          <w:sz w:val="20"/>
          <w:szCs w:val="20"/>
          <w:lang w:val="en-US"/>
        </w:rPr>
      </w:pPr>
      <w:hyperlink r:id="rId10" w:history="1">
        <w:r w:rsidR="0028648A" w:rsidRPr="007331D6">
          <w:rPr>
            <w:rFonts w:ascii="Times New Roman" w:eastAsia="TimesNewRomanPSMT" w:hAnsi="Times New Roman" w:cs="Times New Roman"/>
            <w:sz w:val="20"/>
            <w:szCs w:val="20"/>
            <w:lang w:val="en-US"/>
          </w:rPr>
          <w:t>Grainger</w:t>
        </w:r>
      </w:hyperlink>
      <w:r w:rsidR="0028648A" w:rsidRPr="007331D6">
        <w:rPr>
          <w:rFonts w:ascii="Times New Roman" w:eastAsia="TimesNewRomanPSMT" w:hAnsi="Times New Roman" w:cs="Times New Roman"/>
          <w:sz w:val="20"/>
          <w:szCs w:val="20"/>
          <w:lang w:val="en-US"/>
        </w:rPr>
        <w:t xml:space="preserve"> D.</w:t>
      </w:r>
      <w:r w:rsidR="00AB3651">
        <w:rPr>
          <w:rFonts w:ascii="Times New Roman" w:eastAsia="TimesNewRomanPSMT" w:hAnsi="Times New Roman" w:cs="Times New Roman"/>
          <w:sz w:val="20"/>
          <w:szCs w:val="20"/>
          <w:lang w:val="en-US"/>
        </w:rPr>
        <w:t xml:space="preserve"> </w:t>
      </w:r>
      <w:r w:rsidR="0028648A" w:rsidRPr="007331D6">
        <w:rPr>
          <w:rFonts w:ascii="Times New Roman" w:eastAsia="TimesNewRomanPSMT" w:hAnsi="Times New Roman" w:cs="Times New Roman"/>
          <w:sz w:val="20"/>
          <w:szCs w:val="20"/>
          <w:lang w:val="en-US"/>
        </w:rPr>
        <w:t>J. (2007). TGF-β and atherosclerosi</w:t>
      </w:r>
      <w:r w:rsidR="00AB3651">
        <w:rPr>
          <w:rFonts w:ascii="Times New Roman" w:eastAsia="TimesNewRomanPSMT" w:hAnsi="Times New Roman" w:cs="Times New Roman"/>
          <w:sz w:val="20"/>
          <w:szCs w:val="20"/>
          <w:lang w:val="en-US"/>
        </w:rPr>
        <w:t>s in man. Cardiovascular Research, 74</w:t>
      </w:r>
      <w:r w:rsidR="0028648A" w:rsidRPr="007331D6">
        <w:rPr>
          <w:rFonts w:ascii="Times New Roman" w:eastAsia="TimesNewRomanPSMT" w:hAnsi="Times New Roman" w:cs="Times New Roman"/>
          <w:sz w:val="20"/>
          <w:szCs w:val="20"/>
          <w:lang w:val="en-US"/>
        </w:rPr>
        <w:t>(2), 213</w:t>
      </w:r>
      <w:r w:rsidR="00AB3651" w:rsidRPr="00AB3651">
        <w:rPr>
          <w:rFonts w:ascii="Times New Roman" w:eastAsia="TimesNewRomanPSMT" w:hAnsi="Times New Roman" w:cs="Times New Roman"/>
          <w:sz w:val="20"/>
          <w:szCs w:val="20"/>
          <w:lang w:val="en-US"/>
        </w:rPr>
        <w:t>–</w:t>
      </w:r>
      <w:r w:rsidR="0028648A" w:rsidRPr="007331D6">
        <w:rPr>
          <w:rFonts w:ascii="Times New Roman" w:eastAsia="TimesNewRomanPSMT" w:hAnsi="Times New Roman" w:cs="Times New Roman"/>
          <w:sz w:val="20"/>
          <w:szCs w:val="20"/>
          <w:lang w:val="en-US"/>
        </w:rPr>
        <w:t>222. doi.org/10.1016/j.cardiores.2007.02.022</w:t>
      </w:r>
    </w:p>
    <w:p w:rsidR="0028648A" w:rsidRPr="000D0325" w:rsidRDefault="0028648A" w:rsidP="00CC669E">
      <w:pPr>
        <w:pStyle w:val="a4"/>
        <w:autoSpaceDE w:val="0"/>
        <w:autoSpaceDN w:val="0"/>
        <w:adjustRightInd w:val="0"/>
        <w:spacing w:after="0" w:line="240" w:lineRule="auto"/>
        <w:ind w:left="426" w:hanging="426"/>
        <w:rPr>
          <w:rFonts w:ascii="Times New Roman" w:eastAsia="TimesNewRomanPSMT" w:hAnsi="Times New Roman" w:cs="Times New Roman"/>
          <w:sz w:val="20"/>
          <w:szCs w:val="20"/>
          <w:lang w:val="en-US"/>
        </w:rPr>
      </w:pPr>
      <w:r w:rsidRPr="007331D6">
        <w:rPr>
          <w:rFonts w:ascii="Times New Roman" w:eastAsia="TimesNewRomanPSMT" w:hAnsi="Times New Roman" w:cs="Times New Roman"/>
          <w:sz w:val="20"/>
          <w:szCs w:val="20"/>
          <w:lang w:val="en-US"/>
        </w:rPr>
        <w:lastRenderedPageBreak/>
        <w:t>Grander, D.</w:t>
      </w:r>
      <w:r w:rsidR="007029CF">
        <w:rPr>
          <w:rFonts w:ascii="Times New Roman" w:eastAsia="TimesNewRomanPSMT" w:hAnsi="Times New Roman" w:cs="Times New Roman"/>
          <w:sz w:val="20"/>
          <w:szCs w:val="20"/>
          <w:lang w:val="en-US"/>
        </w:rPr>
        <w:t xml:space="preserve"> </w:t>
      </w:r>
      <w:r w:rsidRPr="007331D6">
        <w:rPr>
          <w:rFonts w:ascii="Times New Roman" w:eastAsia="TimesNewRomanPSMT" w:hAnsi="Times New Roman" w:cs="Times New Roman"/>
          <w:sz w:val="20"/>
          <w:szCs w:val="20"/>
          <w:lang w:val="en-US"/>
        </w:rPr>
        <w:t>N., Vowinkel, T.,</w:t>
      </w:r>
      <w:r w:rsidRPr="007331D6">
        <w:rPr>
          <w:lang w:val="en-US"/>
        </w:rPr>
        <w:t xml:space="preserve"> </w:t>
      </w:r>
      <w:r w:rsidRPr="007331D6">
        <w:rPr>
          <w:rFonts w:ascii="Times New Roman" w:eastAsia="TimesNewRomanPSMT" w:hAnsi="Times New Roman" w:cs="Times New Roman"/>
          <w:sz w:val="20"/>
          <w:szCs w:val="20"/>
          <w:lang w:val="en-US"/>
        </w:rPr>
        <w:t xml:space="preserve">&amp; Petnehazy, T. (2004). </w:t>
      </w:r>
      <w:r w:rsidRPr="00350AE8">
        <w:rPr>
          <w:rFonts w:ascii="Times New Roman" w:eastAsia="TimesNewRomanPSMT" w:hAnsi="Times New Roman" w:cs="Times New Roman"/>
          <w:sz w:val="20"/>
          <w:szCs w:val="20"/>
          <w:lang w:val="en-US"/>
        </w:rPr>
        <w:t xml:space="preserve">Modulation of the inflammatory response in </w:t>
      </w:r>
      <w:r w:rsidRPr="000D0325">
        <w:rPr>
          <w:rFonts w:ascii="Times New Roman" w:eastAsia="TimesNewRomanPSMT" w:hAnsi="Times New Roman" w:cs="Times New Roman"/>
          <w:sz w:val="20"/>
          <w:szCs w:val="20"/>
          <w:lang w:val="en-US"/>
        </w:rPr>
        <w:t>cardiovascular disease. Hypertension, 43</w:t>
      </w:r>
      <w:r w:rsidR="007029CF">
        <w:rPr>
          <w:rFonts w:ascii="Times New Roman" w:eastAsia="TimesNewRomanPSMT" w:hAnsi="Times New Roman" w:cs="Times New Roman"/>
          <w:sz w:val="20"/>
          <w:szCs w:val="20"/>
          <w:lang w:val="en-US"/>
        </w:rPr>
        <w:t xml:space="preserve">(5), </w:t>
      </w:r>
      <w:r w:rsidRPr="000D0325">
        <w:rPr>
          <w:rFonts w:ascii="Times New Roman" w:eastAsia="TimesNewRomanPSMT" w:hAnsi="Times New Roman" w:cs="Times New Roman"/>
          <w:sz w:val="20"/>
          <w:szCs w:val="20"/>
          <w:lang w:val="en-US"/>
        </w:rPr>
        <w:t>924</w:t>
      </w:r>
      <w:r w:rsidR="00AB3651" w:rsidRPr="00AB3651">
        <w:rPr>
          <w:rFonts w:ascii="Times New Roman" w:eastAsia="TimesNewRomanPSMT" w:hAnsi="Times New Roman" w:cs="Times New Roman"/>
          <w:sz w:val="20"/>
          <w:szCs w:val="20"/>
          <w:lang w:val="en-US"/>
        </w:rPr>
        <w:t>–</w:t>
      </w:r>
      <w:r w:rsidRPr="000D0325">
        <w:rPr>
          <w:rFonts w:ascii="Times New Roman" w:eastAsia="TimesNewRomanPSMT" w:hAnsi="Times New Roman" w:cs="Times New Roman"/>
          <w:sz w:val="20"/>
          <w:szCs w:val="20"/>
          <w:lang w:val="en-US"/>
        </w:rPr>
        <w:t>931. doi.org/10.1161/01.hyp.0000123070.31763.55</w:t>
      </w:r>
    </w:p>
    <w:p w:rsidR="0028648A" w:rsidRPr="00305403" w:rsidRDefault="0028648A" w:rsidP="00CC669E">
      <w:pPr>
        <w:pStyle w:val="a4"/>
        <w:autoSpaceDE w:val="0"/>
        <w:autoSpaceDN w:val="0"/>
        <w:adjustRightInd w:val="0"/>
        <w:spacing w:after="0" w:line="240" w:lineRule="auto"/>
        <w:ind w:left="426" w:hanging="426"/>
        <w:rPr>
          <w:rFonts w:ascii="Times New Roman" w:eastAsia="TimesNewRomanPSMT" w:hAnsi="Times New Roman" w:cs="Times New Roman"/>
          <w:sz w:val="20"/>
          <w:szCs w:val="20"/>
          <w:lang w:val="en-US"/>
        </w:rPr>
      </w:pPr>
      <w:r w:rsidRPr="00305403">
        <w:rPr>
          <w:rFonts w:ascii="Times New Roman" w:eastAsia="TimesNewRomanPSMT" w:hAnsi="Times New Roman" w:cs="Times New Roman"/>
          <w:sz w:val="20"/>
          <w:szCs w:val="20"/>
          <w:lang w:val="en-US"/>
        </w:rPr>
        <w:t>Greco</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 xml:space="preserve"> A., Mingetti</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 xml:space="preserve"> L.,</w:t>
      </w:r>
      <w:r w:rsidRPr="00D43AF8">
        <w:rPr>
          <w:rFonts w:eastAsia="TimesNewRomanPSMT"/>
          <w:sz w:val="20"/>
          <w:szCs w:val="20"/>
          <w:lang w:val="en-US"/>
        </w:rPr>
        <w:t xml:space="preserve"> </w:t>
      </w:r>
      <w:r w:rsidR="00897B12" w:rsidRPr="00897B12">
        <w:rPr>
          <w:rFonts w:ascii="Times New Roman" w:eastAsia="TimesNewRomanPSMT" w:hAnsi="Times New Roman" w:cs="Times New Roman"/>
          <w:sz w:val="20"/>
          <w:szCs w:val="20"/>
          <w:lang w:val="en-US"/>
        </w:rPr>
        <w:t>&amp;</w:t>
      </w:r>
      <w:r w:rsidRPr="00305403">
        <w:rPr>
          <w:rFonts w:ascii="Times New Roman" w:eastAsia="TimesNewRomanPSMT" w:hAnsi="Times New Roman" w:cs="Times New Roman"/>
          <w:sz w:val="20"/>
          <w:szCs w:val="20"/>
          <w:lang w:val="en-US"/>
        </w:rPr>
        <w:t xml:space="preserve"> Levi</w:t>
      </w:r>
      <w:r>
        <w:rPr>
          <w:rFonts w:ascii="Times New Roman" w:eastAsia="TimesNewRomanPSMT" w:hAnsi="Times New Roman" w:cs="Times New Roman"/>
          <w:sz w:val="20"/>
          <w:szCs w:val="20"/>
          <w:lang w:val="en-US"/>
        </w:rPr>
        <w:t>,</w:t>
      </w:r>
      <w:r w:rsidR="007029CF">
        <w:rPr>
          <w:rFonts w:ascii="Times New Roman" w:eastAsia="TimesNewRomanPSMT" w:hAnsi="Times New Roman" w:cs="Times New Roman"/>
          <w:sz w:val="20"/>
          <w:szCs w:val="20"/>
          <w:lang w:val="en-US"/>
        </w:rPr>
        <w:t xml:space="preserve"> </w:t>
      </w:r>
      <w:r w:rsidRPr="00305403">
        <w:rPr>
          <w:rFonts w:ascii="Times New Roman" w:eastAsia="TimesNewRomanPSMT" w:hAnsi="Times New Roman" w:cs="Times New Roman"/>
          <w:sz w:val="20"/>
          <w:szCs w:val="20"/>
          <w:lang w:val="en-US"/>
        </w:rPr>
        <w:t xml:space="preserve">G. </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2000</w:t>
      </w:r>
      <w:r>
        <w:rPr>
          <w:rFonts w:ascii="Times New Roman" w:eastAsia="TimesNewRomanPSMT" w:hAnsi="Times New Roman" w:cs="Times New Roman"/>
          <w:sz w:val="20"/>
          <w:szCs w:val="20"/>
          <w:lang w:val="en-US"/>
        </w:rPr>
        <w:t xml:space="preserve">). </w:t>
      </w:r>
      <w:r w:rsidRPr="004B0F6C">
        <w:rPr>
          <w:rFonts w:ascii="Times New Roman" w:eastAsia="TimesNewRomanPSMT" w:hAnsi="Times New Roman" w:cs="Times New Roman"/>
          <w:sz w:val="20"/>
          <w:szCs w:val="20"/>
          <w:lang w:val="en-US"/>
        </w:rPr>
        <w:t>Isoprostanes, novel markers of oxidative injury, help understanding the pathogenesis of neurodegenerative diseases. Neurochemical Research</w:t>
      </w:r>
      <w:r>
        <w:rPr>
          <w:rFonts w:ascii="Times New Roman" w:eastAsia="TimesNewRomanPSMT" w:hAnsi="Times New Roman" w:cs="Times New Roman"/>
          <w:sz w:val="20"/>
          <w:szCs w:val="20"/>
          <w:lang w:val="en-US"/>
        </w:rPr>
        <w:t>,</w:t>
      </w:r>
      <w:r w:rsidRPr="004B0F6C">
        <w:rPr>
          <w:rFonts w:ascii="Times New Roman" w:eastAsia="TimesNewRomanPSMT" w:hAnsi="Times New Roman" w:cs="Times New Roman"/>
          <w:sz w:val="20"/>
          <w:szCs w:val="20"/>
          <w:lang w:val="en-US"/>
        </w:rPr>
        <w:t xml:space="preserve"> </w:t>
      </w:r>
      <w:r>
        <w:rPr>
          <w:rFonts w:ascii="Times New Roman" w:eastAsia="TimesNewRomanPSMT" w:hAnsi="Times New Roman" w:cs="Times New Roman"/>
          <w:sz w:val="20"/>
          <w:szCs w:val="20"/>
          <w:lang w:val="en-US"/>
        </w:rPr>
        <w:t>25(9</w:t>
      </w:r>
      <w:r w:rsidR="00AB3651" w:rsidRPr="00AB3651">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10),</w:t>
      </w:r>
      <w:r w:rsidRPr="004B0F6C">
        <w:rPr>
          <w:rFonts w:ascii="Times New Roman" w:eastAsia="TimesNewRomanPSMT" w:hAnsi="Times New Roman" w:cs="Times New Roman"/>
          <w:sz w:val="20"/>
          <w:szCs w:val="20"/>
          <w:lang w:val="en-US"/>
        </w:rPr>
        <w:t xml:space="preserve"> 1357</w:t>
      </w:r>
      <w:r w:rsidRPr="00305403">
        <w:rPr>
          <w:rFonts w:ascii="Times New Roman" w:eastAsia="TimesNewRomanPSMT" w:hAnsi="Times New Roman" w:cs="Times New Roman"/>
          <w:sz w:val="20"/>
          <w:szCs w:val="20"/>
          <w:lang w:val="en-US"/>
        </w:rPr>
        <w:t>–1364.</w:t>
      </w:r>
      <w:r w:rsidRPr="007331D6">
        <w:rPr>
          <w:lang w:val="en-US"/>
        </w:rPr>
        <w:t xml:space="preserve"> </w:t>
      </w:r>
      <w:r w:rsidRPr="004B0F6C">
        <w:rPr>
          <w:rFonts w:ascii="Times New Roman" w:eastAsia="TimesNewRomanPSMT" w:hAnsi="Times New Roman" w:cs="Times New Roman"/>
          <w:sz w:val="20"/>
          <w:szCs w:val="20"/>
          <w:lang w:val="en-US"/>
        </w:rPr>
        <w:t>doi.org/10.1023/a:1007608615682</w:t>
      </w:r>
    </w:p>
    <w:p w:rsidR="0028648A" w:rsidRPr="00305403" w:rsidRDefault="0028648A" w:rsidP="00CC669E">
      <w:pPr>
        <w:pStyle w:val="a4"/>
        <w:autoSpaceDE w:val="0"/>
        <w:autoSpaceDN w:val="0"/>
        <w:adjustRightInd w:val="0"/>
        <w:spacing w:after="0" w:line="240" w:lineRule="auto"/>
        <w:ind w:left="426" w:hanging="426"/>
        <w:rPr>
          <w:rFonts w:ascii="Times New Roman" w:eastAsia="TimesNewRomanPSMT" w:hAnsi="Times New Roman" w:cs="Times New Roman"/>
          <w:sz w:val="20"/>
          <w:szCs w:val="20"/>
          <w:lang w:val="en-US"/>
        </w:rPr>
      </w:pPr>
      <w:r w:rsidRPr="00A823AD">
        <w:rPr>
          <w:rFonts w:ascii="Times New Roman" w:eastAsia="TimesNewRomanPSMT" w:hAnsi="Times New Roman" w:cs="Times New Roman"/>
          <w:sz w:val="20"/>
          <w:szCs w:val="20"/>
          <w:lang w:val="en-US"/>
        </w:rPr>
        <w:t>Greene, E.</w:t>
      </w:r>
      <w:r w:rsidR="007029CF" w:rsidRPr="00A823AD">
        <w:rPr>
          <w:rFonts w:ascii="Times New Roman" w:eastAsia="TimesNewRomanPSMT" w:hAnsi="Times New Roman" w:cs="Times New Roman"/>
          <w:sz w:val="20"/>
          <w:szCs w:val="20"/>
          <w:lang w:val="en-US"/>
        </w:rPr>
        <w:t xml:space="preserve"> </w:t>
      </w:r>
      <w:r w:rsidRPr="00A823AD">
        <w:rPr>
          <w:rFonts w:ascii="Times New Roman" w:eastAsia="TimesNewRomanPSMT" w:hAnsi="Times New Roman" w:cs="Times New Roman"/>
          <w:sz w:val="20"/>
          <w:szCs w:val="20"/>
          <w:lang w:val="en-US"/>
        </w:rPr>
        <w:t>L., Verlarde, V., &amp; Jaffa, A.</w:t>
      </w:r>
      <w:r w:rsidR="007029CF" w:rsidRPr="00A823AD">
        <w:rPr>
          <w:rFonts w:ascii="Times New Roman" w:eastAsia="TimesNewRomanPSMT" w:hAnsi="Times New Roman" w:cs="Times New Roman"/>
          <w:sz w:val="20"/>
          <w:szCs w:val="20"/>
          <w:lang w:val="en-US"/>
        </w:rPr>
        <w:t xml:space="preserve"> </w:t>
      </w:r>
      <w:r w:rsidRPr="00A823AD">
        <w:rPr>
          <w:rFonts w:ascii="Times New Roman" w:eastAsia="TimesNewRomanPSMT" w:hAnsi="Times New Roman" w:cs="Times New Roman"/>
          <w:sz w:val="20"/>
          <w:szCs w:val="20"/>
          <w:lang w:val="en-US"/>
        </w:rPr>
        <w:t xml:space="preserve">A. (2000). </w:t>
      </w:r>
      <w:r w:rsidRPr="003D58F3">
        <w:rPr>
          <w:rFonts w:ascii="Times New Roman" w:eastAsia="TimesNewRomanPSMT" w:hAnsi="Times New Roman" w:cs="Times New Roman"/>
          <w:sz w:val="20"/>
          <w:szCs w:val="20"/>
          <w:lang w:val="en-US"/>
        </w:rPr>
        <w:t>Role of reactive oxygen species in bradykinin-induced mitoden-activated proteinkinase and C-FOS induction in vascular.</w:t>
      </w:r>
      <w:r w:rsidRPr="00305403">
        <w:rPr>
          <w:rFonts w:ascii="Times New Roman" w:eastAsia="TimesNewRomanPSMT" w:hAnsi="Times New Roman" w:cs="Times New Roman"/>
          <w:sz w:val="20"/>
          <w:szCs w:val="20"/>
          <w:lang w:val="en-US"/>
        </w:rPr>
        <w:t xml:space="preserve"> Hypertension</w:t>
      </w:r>
      <w:r>
        <w:rPr>
          <w:rFonts w:ascii="Times New Roman" w:eastAsia="TimesNewRomanPSMT" w:hAnsi="Times New Roman" w:cs="Times New Roman"/>
          <w:sz w:val="20"/>
          <w:szCs w:val="20"/>
          <w:lang w:val="en-US"/>
        </w:rPr>
        <w:t xml:space="preserve">, </w:t>
      </w:r>
      <w:r w:rsidRPr="003D58F3">
        <w:rPr>
          <w:rFonts w:ascii="Times New Roman" w:eastAsia="TimesNewRomanPSMT" w:hAnsi="Times New Roman" w:cs="Times New Roman"/>
          <w:sz w:val="20"/>
          <w:szCs w:val="20"/>
          <w:lang w:val="en-US"/>
        </w:rPr>
        <w:t>35</w:t>
      </w:r>
      <w:r w:rsidR="007029CF">
        <w:rPr>
          <w:rFonts w:ascii="Times New Roman" w:eastAsia="TimesNewRomanPSMT" w:hAnsi="Times New Roman" w:cs="Times New Roman"/>
          <w:sz w:val="20"/>
          <w:szCs w:val="20"/>
          <w:lang w:val="en-US"/>
        </w:rPr>
        <w:t>(4)</w:t>
      </w:r>
      <w:r w:rsidRPr="003D58F3">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 xml:space="preserve"> 942</w:t>
      </w:r>
      <w:r w:rsidR="00AB3651" w:rsidRPr="00AB3651">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947.</w:t>
      </w:r>
    </w:p>
    <w:p w:rsidR="0028648A" w:rsidRPr="0020167C" w:rsidRDefault="0028648A" w:rsidP="00CC669E">
      <w:pPr>
        <w:pStyle w:val="lead"/>
        <w:shd w:val="clear" w:color="auto" w:fill="FFFFFF"/>
        <w:spacing w:before="0" w:beforeAutospacing="0" w:after="48" w:afterAutospacing="0"/>
        <w:ind w:left="426" w:hanging="426"/>
        <w:contextualSpacing/>
        <w:jc w:val="both"/>
        <w:rPr>
          <w:sz w:val="20"/>
          <w:szCs w:val="20"/>
          <w:lang w:val="en-US"/>
        </w:rPr>
      </w:pPr>
      <w:r w:rsidRPr="0020167C">
        <w:rPr>
          <w:sz w:val="20"/>
          <w:szCs w:val="20"/>
          <w:lang w:val="en-US"/>
        </w:rPr>
        <w:t>Haider</w:t>
      </w:r>
      <w:r>
        <w:rPr>
          <w:sz w:val="20"/>
          <w:szCs w:val="20"/>
          <w:lang w:val="en-US"/>
        </w:rPr>
        <w:t>,</w:t>
      </w:r>
      <w:r w:rsidRPr="0020167C">
        <w:rPr>
          <w:sz w:val="20"/>
          <w:szCs w:val="20"/>
          <w:lang w:val="en-US"/>
        </w:rPr>
        <w:t xml:space="preserve"> N., Narula</w:t>
      </w:r>
      <w:r>
        <w:rPr>
          <w:sz w:val="20"/>
          <w:szCs w:val="20"/>
          <w:lang w:val="en-US"/>
        </w:rPr>
        <w:t>,</w:t>
      </w:r>
      <w:r w:rsidRPr="0020167C">
        <w:rPr>
          <w:sz w:val="20"/>
          <w:szCs w:val="20"/>
          <w:lang w:val="en-US"/>
        </w:rPr>
        <w:t xml:space="preserve"> N., </w:t>
      </w:r>
      <w:r w:rsidRPr="00A34BEB">
        <w:rPr>
          <w:rFonts w:eastAsia="TimesNewRomanPSMT"/>
          <w:sz w:val="20"/>
          <w:szCs w:val="20"/>
          <w:lang w:val="en-US"/>
        </w:rPr>
        <w:t>&amp;</w:t>
      </w:r>
      <w:r>
        <w:rPr>
          <w:sz w:val="20"/>
          <w:szCs w:val="20"/>
          <w:lang w:val="en-US"/>
        </w:rPr>
        <w:t xml:space="preserve"> </w:t>
      </w:r>
      <w:r w:rsidRPr="0020167C">
        <w:rPr>
          <w:sz w:val="20"/>
          <w:szCs w:val="20"/>
          <w:lang w:val="en-US"/>
        </w:rPr>
        <w:t>Narula</w:t>
      </w:r>
      <w:r>
        <w:rPr>
          <w:sz w:val="20"/>
          <w:szCs w:val="20"/>
          <w:lang w:val="en-US"/>
        </w:rPr>
        <w:t>,</w:t>
      </w:r>
      <w:r w:rsidRPr="0020167C">
        <w:rPr>
          <w:bCs/>
          <w:sz w:val="20"/>
          <w:szCs w:val="20"/>
          <w:lang w:val="en-US"/>
        </w:rPr>
        <w:t xml:space="preserve"> </w:t>
      </w:r>
      <w:r w:rsidRPr="0020167C">
        <w:rPr>
          <w:sz w:val="20"/>
          <w:szCs w:val="20"/>
          <w:lang w:val="en-US"/>
        </w:rPr>
        <w:t xml:space="preserve">J. </w:t>
      </w:r>
      <w:r>
        <w:rPr>
          <w:sz w:val="20"/>
          <w:szCs w:val="20"/>
          <w:lang w:val="en-US"/>
        </w:rPr>
        <w:t>(</w:t>
      </w:r>
      <w:r w:rsidRPr="0020167C">
        <w:rPr>
          <w:bCs/>
          <w:sz w:val="20"/>
          <w:szCs w:val="20"/>
          <w:lang w:val="en-US"/>
        </w:rPr>
        <w:t>2002</w:t>
      </w:r>
      <w:r>
        <w:rPr>
          <w:bCs/>
          <w:sz w:val="20"/>
          <w:szCs w:val="20"/>
          <w:lang w:val="en-US"/>
        </w:rPr>
        <w:t xml:space="preserve">). </w:t>
      </w:r>
      <w:r w:rsidRPr="00A34BEB">
        <w:rPr>
          <w:sz w:val="20"/>
          <w:szCs w:val="20"/>
          <w:lang w:val="en-US"/>
        </w:rPr>
        <w:t xml:space="preserve">Apoptosis in </w:t>
      </w:r>
      <w:r w:rsidRPr="00A34BEB">
        <w:rPr>
          <w:rStyle w:val="hl"/>
          <w:bCs/>
          <w:sz w:val="20"/>
          <w:szCs w:val="20"/>
          <w:lang w:val="en-US"/>
        </w:rPr>
        <w:t>heart</w:t>
      </w:r>
      <w:r w:rsidRPr="00A34BEB">
        <w:rPr>
          <w:sz w:val="20"/>
          <w:szCs w:val="20"/>
          <w:lang w:val="en-US"/>
        </w:rPr>
        <w:t xml:space="preserve"> </w:t>
      </w:r>
      <w:r w:rsidRPr="00A34BEB">
        <w:rPr>
          <w:rStyle w:val="hl"/>
          <w:bCs/>
          <w:sz w:val="20"/>
          <w:szCs w:val="20"/>
          <w:lang w:val="en-US"/>
        </w:rPr>
        <w:t>failure</w:t>
      </w:r>
      <w:r w:rsidRPr="00A34BEB">
        <w:rPr>
          <w:sz w:val="20"/>
          <w:szCs w:val="20"/>
          <w:lang w:val="en-US"/>
        </w:rPr>
        <w:t xml:space="preserve"> represents programmed </w:t>
      </w:r>
      <w:r w:rsidRPr="00A34BEB">
        <w:rPr>
          <w:rStyle w:val="hl"/>
          <w:bCs/>
          <w:sz w:val="20"/>
          <w:szCs w:val="20"/>
          <w:lang w:val="en-US"/>
        </w:rPr>
        <w:t>cell</w:t>
      </w:r>
      <w:r w:rsidRPr="00A34BEB">
        <w:rPr>
          <w:sz w:val="20"/>
          <w:szCs w:val="20"/>
          <w:lang w:val="en-US"/>
        </w:rPr>
        <w:t xml:space="preserve"> </w:t>
      </w:r>
      <w:r w:rsidRPr="00A34BEB">
        <w:rPr>
          <w:rStyle w:val="hl"/>
          <w:bCs/>
          <w:sz w:val="20"/>
          <w:szCs w:val="20"/>
          <w:lang w:val="en-US"/>
        </w:rPr>
        <w:t>survival</w:t>
      </w:r>
      <w:r w:rsidRPr="00A34BEB">
        <w:rPr>
          <w:sz w:val="20"/>
          <w:szCs w:val="20"/>
          <w:lang w:val="en-US"/>
        </w:rPr>
        <w:t>, not death, of cardiomyocytes and likelihood of reverse remodeling.</w:t>
      </w:r>
      <w:r w:rsidRPr="0020167C">
        <w:rPr>
          <w:bCs/>
          <w:sz w:val="20"/>
          <w:szCs w:val="20"/>
          <w:lang w:val="en-US"/>
        </w:rPr>
        <w:t xml:space="preserve"> </w:t>
      </w:r>
      <w:r w:rsidRPr="006A2248">
        <w:rPr>
          <w:sz w:val="20"/>
          <w:szCs w:val="20"/>
          <w:lang w:val="en-US"/>
        </w:rPr>
        <w:t>Journal</w:t>
      </w:r>
      <w:r w:rsidRPr="0020167C">
        <w:rPr>
          <w:bCs/>
          <w:sz w:val="20"/>
          <w:szCs w:val="20"/>
          <w:lang w:val="en-US"/>
        </w:rPr>
        <w:t xml:space="preserve"> </w:t>
      </w:r>
      <w:r w:rsidRPr="0020167C">
        <w:rPr>
          <w:rStyle w:val="hl"/>
          <w:bCs/>
          <w:sz w:val="20"/>
          <w:szCs w:val="20"/>
          <w:lang w:val="en-US"/>
        </w:rPr>
        <w:t>Cardiac</w:t>
      </w:r>
      <w:r w:rsidRPr="0020167C">
        <w:rPr>
          <w:bCs/>
          <w:sz w:val="20"/>
          <w:szCs w:val="20"/>
          <w:lang w:val="en-US"/>
        </w:rPr>
        <w:t xml:space="preserve"> </w:t>
      </w:r>
      <w:r w:rsidRPr="0020167C">
        <w:rPr>
          <w:rStyle w:val="hl"/>
          <w:bCs/>
          <w:sz w:val="20"/>
          <w:szCs w:val="20"/>
          <w:lang w:val="en-US"/>
        </w:rPr>
        <w:t>Failure</w:t>
      </w:r>
      <w:r>
        <w:rPr>
          <w:bCs/>
          <w:sz w:val="20"/>
          <w:szCs w:val="20"/>
          <w:lang w:val="en-US"/>
        </w:rPr>
        <w:t>,</w:t>
      </w:r>
      <w:r w:rsidRPr="00A34BEB">
        <w:rPr>
          <w:bCs/>
          <w:sz w:val="20"/>
          <w:szCs w:val="20"/>
          <w:lang w:val="en-US"/>
        </w:rPr>
        <w:t xml:space="preserve"> 8</w:t>
      </w:r>
      <w:r w:rsidRPr="00A34BEB">
        <w:rPr>
          <w:sz w:val="20"/>
          <w:szCs w:val="20"/>
          <w:lang w:val="en-US"/>
        </w:rPr>
        <w:t>(</w:t>
      </w:r>
      <w:r w:rsidRPr="00A34BEB">
        <w:rPr>
          <w:bCs/>
          <w:sz w:val="20"/>
          <w:szCs w:val="20"/>
          <w:lang w:val="en-US"/>
        </w:rPr>
        <w:t>6</w:t>
      </w:r>
      <w:r w:rsidRPr="00A34BEB">
        <w:rPr>
          <w:sz w:val="20"/>
          <w:szCs w:val="20"/>
          <w:lang w:val="en-US"/>
        </w:rPr>
        <w:t>),</w:t>
      </w:r>
      <w:r w:rsidRPr="00A34BEB">
        <w:rPr>
          <w:bCs/>
          <w:sz w:val="20"/>
          <w:szCs w:val="20"/>
          <w:lang w:val="en-US"/>
        </w:rPr>
        <w:t xml:space="preserve"> </w:t>
      </w:r>
      <w:r w:rsidRPr="0020167C">
        <w:rPr>
          <w:bCs/>
          <w:sz w:val="20"/>
          <w:szCs w:val="20"/>
          <w:lang w:val="en-US"/>
        </w:rPr>
        <w:t>512</w:t>
      </w:r>
      <w:r w:rsidR="00AB3651" w:rsidRPr="00AB3651">
        <w:rPr>
          <w:sz w:val="20"/>
          <w:szCs w:val="20"/>
          <w:lang w:val="en-US"/>
        </w:rPr>
        <w:t>–</w:t>
      </w:r>
      <w:r w:rsidRPr="0020167C">
        <w:rPr>
          <w:bCs/>
          <w:sz w:val="20"/>
          <w:szCs w:val="20"/>
          <w:lang w:val="en-US"/>
        </w:rPr>
        <w:t>517.</w:t>
      </w:r>
      <w:r w:rsidRPr="002268F5">
        <w:rPr>
          <w:lang w:val="en-US"/>
        </w:rPr>
        <w:t xml:space="preserve"> </w:t>
      </w:r>
      <w:r w:rsidRPr="00A34BEB">
        <w:rPr>
          <w:bCs/>
          <w:sz w:val="20"/>
          <w:szCs w:val="20"/>
          <w:lang w:val="en-US"/>
        </w:rPr>
        <w:t>doi.org/10.1054/jcaf.2002.130034</w:t>
      </w:r>
    </w:p>
    <w:p w:rsidR="0028648A" w:rsidRPr="00305403" w:rsidRDefault="0028648A" w:rsidP="00CC669E">
      <w:pPr>
        <w:pStyle w:val="a4"/>
        <w:autoSpaceDE w:val="0"/>
        <w:autoSpaceDN w:val="0"/>
        <w:adjustRightInd w:val="0"/>
        <w:spacing w:after="0" w:line="240" w:lineRule="auto"/>
        <w:ind w:left="426" w:hanging="426"/>
        <w:rPr>
          <w:rFonts w:ascii="Times New Roman" w:eastAsia="TimesNewRomanPSMT" w:hAnsi="Times New Roman" w:cs="Times New Roman"/>
          <w:sz w:val="20"/>
          <w:szCs w:val="20"/>
          <w:lang w:val="en-US"/>
        </w:rPr>
      </w:pPr>
      <w:r w:rsidRPr="000D0325">
        <w:rPr>
          <w:rFonts w:ascii="Times New Roman" w:eastAsia="TimesNewRomanPSMT" w:hAnsi="Times New Roman" w:cs="Times New Roman"/>
          <w:sz w:val="20"/>
          <w:szCs w:val="20"/>
          <w:lang w:val="en-US"/>
        </w:rPr>
        <w:t>Herbette</w:t>
      </w:r>
      <w:r>
        <w:rPr>
          <w:rFonts w:ascii="Times New Roman" w:eastAsia="TimesNewRomanPSMT" w:hAnsi="Times New Roman" w:cs="Times New Roman"/>
          <w:sz w:val="20"/>
          <w:szCs w:val="20"/>
          <w:lang w:val="en-US"/>
        </w:rPr>
        <w:t>,</w:t>
      </w:r>
      <w:r w:rsidRPr="000D0325">
        <w:rPr>
          <w:rFonts w:ascii="Times New Roman" w:eastAsia="TimesNewRomanPSMT" w:hAnsi="Times New Roman" w:cs="Times New Roman"/>
          <w:sz w:val="20"/>
          <w:szCs w:val="20"/>
          <w:lang w:val="en-US"/>
        </w:rPr>
        <w:t xml:space="preserve"> L.</w:t>
      </w:r>
      <w:r w:rsidR="007029CF">
        <w:rPr>
          <w:rFonts w:ascii="Times New Roman" w:eastAsia="TimesNewRomanPSMT" w:hAnsi="Times New Roman" w:cs="Times New Roman"/>
          <w:sz w:val="20"/>
          <w:szCs w:val="20"/>
          <w:lang w:val="en-US"/>
        </w:rPr>
        <w:t xml:space="preserve"> </w:t>
      </w:r>
      <w:r w:rsidRPr="000D0325">
        <w:rPr>
          <w:rFonts w:ascii="Times New Roman" w:eastAsia="TimesNewRomanPSMT" w:hAnsi="Times New Roman" w:cs="Times New Roman"/>
          <w:sz w:val="20"/>
          <w:szCs w:val="20"/>
          <w:lang w:val="en-US"/>
        </w:rPr>
        <w:t>G.</w:t>
      </w:r>
      <w:r w:rsidRPr="00305403">
        <w:rPr>
          <w:rFonts w:ascii="Times New Roman" w:eastAsia="TimesNewRomanPSMT" w:hAnsi="Times New Roman" w:cs="Times New Roman"/>
          <w:sz w:val="20"/>
          <w:szCs w:val="20"/>
          <w:lang w:val="en-US"/>
        </w:rPr>
        <w:t xml:space="preserve"> </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1995</w:t>
      </w:r>
      <w:r>
        <w:rPr>
          <w:rFonts w:ascii="Times New Roman" w:eastAsia="TimesNewRomanPSMT" w:hAnsi="Times New Roman" w:cs="Times New Roman"/>
          <w:sz w:val="20"/>
          <w:szCs w:val="20"/>
          <w:lang w:val="en-US"/>
        </w:rPr>
        <w:t xml:space="preserve">). </w:t>
      </w:r>
      <w:r w:rsidRPr="00305403">
        <w:rPr>
          <w:rFonts w:ascii="Times New Roman" w:eastAsia="TimesNewRomanPSMT" w:hAnsi="Times New Roman" w:cs="Times New Roman"/>
          <w:sz w:val="20"/>
          <w:szCs w:val="20"/>
          <w:lang w:val="en-US"/>
        </w:rPr>
        <w:t xml:space="preserve">The interaction of Lacidipine with Biological Membranes: The Molecular of Calcium Antagonists. </w:t>
      </w:r>
      <w:r w:rsidRPr="00620CAA">
        <w:rPr>
          <w:rFonts w:ascii="Times New Roman" w:eastAsia="TimesNewRomanPSMT" w:hAnsi="Times New Roman" w:cs="Times New Roman"/>
          <w:sz w:val="20"/>
          <w:szCs w:val="20"/>
          <w:lang w:val="en-US"/>
        </w:rPr>
        <w:t>Reviews in Contemporary Pharmacotherapy</w:t>
      </w:r>
      <w:r>
        <w:rPr>
          <w:rFonts w:ascii="Times New Roman" w:eastAsia="TimesNewRomanPSMT" w:hAnsi="Times New Roman" w:cs="Times New Roman"/>
          <w:sz w:val="20"/>
          <w:szCs w:val="20"/>
          <w:lang w:val="en-US"/>
        </w:rPr>
        <w:t xml:space="preserve">, </w:t>
      </w:r>
      <w:r w:rsidRPr="00620CAA">
        <w:rPr>
          <w:rFonts w:ascii="Times New Roman" w:eastAsia="TimesNewRomanPSMT" w:hAnsi="Times New Roman" w:cs="Times New Roman"/>
          <w:sz w:val="20"/>
          <w:szCs w:val="20"/>
          <w:lang w:val="en-US"/>
        </w:rPr>
        <w:t>6(1),</w:t>
      </w:r>
      <w:r>
        <w:rPr>
          <w:rFonts w:ascii="Times New Roman" w:eastAsia="TimesNewRomanPSMT" w:hAnsi="Times New Roman" w:cs="Times New Roman"/>
          <w:sz w:val="20"/>
          <w:szCs w:val="20"/>
          <w:lang w:val="en-US"/>
        </w:rPr>
        <w:t xml:space="preserve"> </w:t>
      </w:r>
      <w:r w:rsidRPr="00305403">
        <w:rPr>
          <w:rFonts w:ascii="Times New Roman" w:eastAsia="TimesNewRomanPSMT" w:hAnsi="Times New Roman" w:cs="Times New Roman"/>
          <w:sz w:val="20"/>
          <w:szCs w:val="20"/>
          <w:lang w:val="en-US"/>
        </w:rPr>
        <w:t>8</w:t>
      </w:r>
      <w:r w:rsidR="00AB3651" w:rsidRPr="00AB3651">
        <w:rPr>
          <w:rFonts w:ascii="Times New Roman" w:eastAsia="TimesNewRomanPSMT" w:hAnsi="Times New Roman" w:cs="Times New Roman"/>
          <w:sz w:val="20"/>
          <w:szCs w:val="20"/>
          <w:lang w:val="en-US"/>
        </w:rPr>
        <w:t>–</w:t>
      </w:r>
      <w:r w:rsidR="00AB3651">
        <w:rPr>
          <w:rFonts w:ascii="Times New Roman" w:eastAsia="TimesNewRomanPSMT" w:hAnsi="Times New Roman" w:cs="Times New Roman"/>
          <w:sz w:val="20"/>
          <w:szCs w:val="20"/>
          <w:lang w:val="en-US"/>
        </w:rPr>
        <w:t>12</w:t>
      </w:r>
      <w:r w:rsidRPr="00305403">
        <w:rPr>
          <w:rFonts w:ascii="Times New Roman" w:eastAsia="TimesNewRomanPSMT" w:hAnsi="Times New Roman" w:cs="Times New Roman"/>
          <w:sz w:val="20"/>
          <w:szCs w:val="20"/>
          <w:lang w:val="en-US"/>
        </w:rPr>
        <w:t>.</w:t>
      </w:r>
    </w:p>
    <w:p w:rsidR="00270795" w:rsidRPr="00D82975" w:rsidRDefault="0028648A" w:rsidP="00270795">
      <w:pPr>
        <w:pStyle w:val="a4"/>
        <w:shd w:val="clear" w:color="auto" w:fill="FFFFFF"/>
        <w:spacing w:after="48" w:line="240" w:lineRule="auto"/>
        <w:ind w:left="426" w:hanging="426"/>
        <w:rPr>
          <w:rFonts w:ascii="Times New Roman" w:hAnsi="Times New Roman" w:cs="Times New Roman"/>
          <w:sz w:val="20"/>
          <w:szCs w:val="20"/>
          <w:lang w:val="en-US"/>
        </w:rPr>
      </w:pPr>
      <w:r w:rsidRPr="00305403">
        <w:rPr>
          <w:rFonts w:ascii="Times New Roman" w:eastAsia="TimesNewRomanPSMT" w:hAnsi="Times New Roman" w:cs="Times New Roman"/>
          <w:sz w:val="20"/>
          <w:szCs w:val="20"/>
          <w:lang w:val="en-US"/>
        </w:rPr>
        <w:t>Karpov</w:t>
      </w:r>
      <w:r>
        <w:rPr>
          <w:rFonts w:ascii="Times New Roman" w:eastAsia="TimesNewRomanPSMT" w:hAnsi="Times New Roman" w:cs="Times New Roman"/>
          <w:sz w:val="20"/>
          <w:szCs w:val="20"/>
          <w:lang w:val="en-US"/>
        </w:rPr>
        <w:t>,</w:t>
      </w:r>
      <w:r w:rsidR="007029CF">
        <w:rPr>
          <w:rFonts w:ascii="Times New Roman" w:eastAsia="TimesNewRomanPSMT" w:hAnsi="Times New Roman" w:cs="Times New Roman"/>
          <w:sz w:val="20"/>
          <w:szCs w:val="20"/>
          <w:lang w:val="en-US"/>
        </w:rPr>
        <w:t xml:space="preserve"> </w:t>
      </w:r>
      <w:r w:rsidRPr="00305403">
        <w:rPr>
          <w:rFonts w:ascii="Times New Roman" w:eastAsia="TimesNewRomanPSMT" w:hAnsi="Times New Roman" w:cs="Times New Roman"/>
          <w:sz w:val="20"/>
          <w:szCs w:val="20"/>
          <w:lang w:val="en-US"/>
        </w:rPr>
        <w:t>U.</w:t>
      </w:r>
      <w:r w:rsidR="007029CF">
        <w:rPr>
          <w:rFonts w:ascii="Times New Roman" w:eastAsia="TimesNewRomanPSMT" w:hAnsi="Times New Roman" w:cs="Times New Roman"/>
          <w:sz w:val="20"/>
          <w:szCs w:val="20"/>
          <w:lang w:val="en-US"/>
        </w:rPr>
        <w:t xml:space="preserve"> </w:t>
      </w:r>
      <w:r w:rsidRPr="00305403">
        <w:rPr>
          <w:rFonts w:ascii="Times New Roman" w:eastAsia="TimesNewRomanPSMT" w:hAnsi="Times New Roman" w:cs="Times New Roman"/>
          <w:sz w:val="20"/>
          <w:szCs w:val="20"/>
          <w:lang w:val="en-US"/>
        </w:rPr>
        <w:t xml:space="preserve">A. </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2001</w:t>
      </w:r>
      <w:r>
        <w:rPr>
          <w:rFonts w:ascii="Times New Roman" w:eastAsia="TimesNewRomanPSMT" w:hAnsi="Times New Roman" w:cs="Times New Roman"/>
          <w:sz w:val="20"/>
          <w:szCs w:val="20"/>
          <w:lang w:val="en-US"/>
        </w:rPr>
        <w:t xml:space="preserve">). </w:t>
      </w:r>
      <w:r w:rsidR="00AD7744">
        <w:rPr>
          <w:rFonts w:ascii="Times New Roman" w:eastAsia="TimesNewRomanPSMT" w:hAnsi="Times New Roman" w:cs="Times New Roman"/>
          <w:sz w:val="20"/>
          <w:szCs w:val="20"/>
          <w:lang w:val="en-US"/>
        </w:rPr>
        <w:t xml:space="preserve">Fozinopril pri lechenii </w:t>
      </w:r>
      <w:r w:rsidR="00AD7744" w:rsidRPr="00AD7744">
        <w:rPr>
          <w:rFonts w:ascii="Times New Roman" w:eastAsia="TimesNewRomanPSMT" w:hAnsi="Times New Roman" w:cs="Times New Roman"/>
          <w:sz w:val="20"/>
          <w:szCs w:val="20"/>
          <w:lang w:val="en-US"/>
        </w:rPr>
        <w:t>arterial'noj gipertenzii (FLAG): Rossijskaja programma ocenki prakticheskoj dostizhimosti celevyh urovnej arterial'nogo davlenija</w:t>
      </w:r>
      <w:r w:rsidR="00AD7744">
        <w:rPr>
          <w:rFonts w:ascii="Times New Roman" w:eastAsia="TimesNewRomanPSMT" w:hAnsi="Times New Roman" w:cs="Times New Roman"/>
          <w:sz w:val="20"/>
          <w:szCs w:val="20"/>
          <w:lang w:val="en-US"/>
        </w:rPr>
        <w:t xml:space="preserve"> [</w:t>
      </w:r>
      <w:r w:rsidR="00AD7744" w:rsidRPr="00AD7744">
        <w:rPr>
          <w:rFonts w:ascii="Times New Roman" w:eastAsia="TimesNewRomanPSMT" w:hAnsi="Times New Roman" w:cs="Times New Roman"/>
          <w:sz w:val="20"/>
          <w:szCs w:val="20"/>
          <w:lang w:val="en-US"/>
        </w:rPr>
        <w:t>Fozinopril in the Treatment of Hypertension (FLAG): Russian Program for Assessing the Practical Achievement of Target Blood Pressure Levels</w:t>
      </w:r>
      <w:r w:rsidR="00AD7744">
        <w:rPr>
          <w:rFonts w:ascii="Times New Roman" w:eastAsia="TimesNewRomanPSMT" w:hAnsi="Times New Roman" w:cs="Times New Roman"/>
          <w:sz w:val="20"/>
          <w:szCs w:val="20"/>
          <w:lang w:val="en-US"/>
        </w:rPr>
        <w:t xml:space="preserve">] </w:t>
      </w:r>
      <w:r w:rsidRPr="00AD7744">
        <w:rPr>
          <w:rFonts w:ascii="Times New Roman" w:eastAsia="TimesNewRomanPSMT" w:hAnsi="Times New Roman" w:cs="Times New Roman"/>
          <w:sz w:val="20"/>
          <w:szCs w:val="20"/>
          <w:lang w:val="en-US"/>
        </w:rPr>
        <w:t xml:space="preserve">Russkij </w:t>
      </w:r>
      <w:r w:rsidR="00897B12">
        <w:rPr>
          <w:rFonts w:ascii="Times New Roman" w:eastAsia="TimesNewRomanPSMT" w:hAnsi="Times New Roman" w:cs="Times New Roman"/>
          <w:sz w:val="20"/>
          <w:szCs w:val="20"/>
          <w:lang w:val="en-US"/>
        </w:rPr>
        <w:t>M</w:t>
      </w:r>
      <w:r w:rsidRPr="00AD7744">
        <w:rPr>
          <w:rFonts w:ascii="Times New Roman" w:eastAsia="TimesNewRomanPSMT" w:hAnsi="Times New Roman" w:cs="Times New Roman"/>
          <w:sz w:val="20"/>
          <w:szCs w:val="20"/>
          <w:lang w:val="en-US"/>
        </w:rPr>
        <w:t xml:space="preserve">edicinskij </w:t>
      </w:r>
      <w:r w:rsidR="00897B12">
        <w:rPr>
          <w:rFonts w:ascii="Times New Roman" w:eastAsia="TimesNewRomanPSMT" w:hAnsi="Times New Roman" w:cs="Times New Roman"/>
          <w:sz w:val="20"/>
          <w:szCs w:val="20"/>
          <w:lang w:val="en-US"/>
        </w:rPr>
        <w:t>Z</w:t>
      </w:r>
      <w:r w:rsidRPr="00AD7744">
        <w:rPr>
          <w:rFonts w:ascii="Times New Roman" w:eastAsia="TimesNewRomanPSMT" w:hAnsi="Times New Roman" w:cs="Times New Roman"/>
          <w:sz w:val="20"/>
          <w:szCs w:val="20"/>
          <w:lang w:val="en-US"/>
        </w:rPr>
        <w:t>hurnal, 9(10),</w:t>
      </w:r>
      <w:r w:rsidR="00AB3651" w:rsidRPr="00AD7744">
        <w:rPr>
          <w:rFonts w:ascii="Times New Roman" w:eastAsia="TimesNewRomanPSMT" w:hAnsi="Times New Roman" w:cs="Times New Roman"/>
          <w:sz w:val="20"/>
          <w:szCs w:val="20"/>
          <w:lang w:val="en-US"/>
        </w:rPr>
        <w:t xml:space="preserve"> 14–</w:t>
      </w:r>
      <w:r w:rsidR="00D82975">
        <w:rPr>
          <w:rFonts w:ascii="Times New Roman" w:eastAsia="TimesNewRomanPSMT" w:hAnsi="Times New Roman" w:cs="Times New Roman"/>
          <w:sz w:val="20"/>
          <w:szCs w:val="20"/>
          <w:lang w:val="en-US"/>
        </w:rPr>
        <w:t>17</w:t>
      </w:r>
      <w:r w:rsidRPr="00AD7744">
        <w:rPr>
          <w:rFonts w:ascii="Times New Roman" w:eastAsia="Times New Roman" w:hAnsi="Times New Roman" w:cs="Times New Roman"/>
          <w:bCs/>
          <w:sz w:val="20"/>
          <w:szCs w:val="20"/>
          <w:lang w:val="en-US" w:eastAsia="ru-RU"/>
        </w:rPr>
        <w:t xml:space="preserve"> </w:t>
      </w:r>
      <w:r w:rsidRPr="00D82975">
        <w:rPr>
          <w:rFonts w:ascii="Times New Roman" w:eastAsia="Times New Roman" w:hAnsi="Times New Roman" w:cs="Times New Roman"/>
          <w:bCs/>
          <w:sz w:val="20"/>
          <w:szCs w:val="20"/>
          <w:lang w:val="en-US" w:eastAsia="ru-RU"/>
        </w:rPr>
        <w:t>(</w:t>
      </w:r>
      <w:r w:rsidR="00AD7744" w:rsidRPr="00D82975">
        <w:rPr>
          <w:rFonts w:ascii="Times New Roman" w:eastAsia="Times New Roman" w:hAnsi="Times New Roman" w:cs="Times New Roman"/>
          <w:bCs/>
          <w:sz w:val="20"/>
          <w:szCs w:val="20"/>
          <w:lang w:val="en-US" w:eastAsia="ru-RU"/>
        </w:rPr>
        <w:t>i</w:t>
      </w:r>
      <w:r w:rsidRPr="00D82975">
        <w:rPr>
          <w:rFonts w:ascii="Times New Roman" w:eastAsia="Times New Roman" w:hAnsi="Times New Roman" w:cs="Times New Roman"/>
          <w:bCs/>
          <w:sz w:val="20"/>
          <w:szCs w:val="20"/>
          <w:lang w:val="en-US" w:eastAsia="ru-RU"/>
        </w:rPr>
        <w:t>n Russian).</w:t>
      </w:r>
      <w:r w:rsidR="00270795" w:rsidRPr="00D82975">
        <w:rPr>
          <w:rFonts w:ascii="Times New Roman" w:hAnsi="Times New Roman" w:cs="Times New Roman"/>
          <w:sz w:val="20"/>
          <w:szCs w:val="20"/>
          <w:lang w:val="en-US"/>
        </w:rPr>
        <w:t xml:space="preserve"> </w:t>
      </w:r>
    </w:p>
    <w:p w:rsidR="0052006E" w:rsidRPr="00270795" w:rsidRDefault="00270795" w:rsidP="00270795">
      <w:pPr>
        <w:pStyle w:val="a4"/>
        <w:shd w:val="clear" w:color="auto" w:fill="FFFFFF"/>
        <w:spacing w:after="48" w:line="240" w:lineRule="auto"/>
        <w:ind w:left="426" w:hanging="426"/>
        <w:rPr>
          <w:rFonts w:ascii="Times New Roman" w:hAnsi="Times New Roman" w:cs="Times New Roman"/>
          <w:sz w:val="20"/>
          <w:szCs w:val="20"/>
          <w:lang w:val="en-US"/>
        </w:rPr>
      </w:pPr>
      <w:r w:rsidRPr="006A6D7B">
        <w:rPr>
          <w:rFonts w:ascii="Times New Roman" w:hAnsi="Times New Roman" w:cs="Times New Roman"/>
          <w:sz w:val="20"/>
          <w:szCs w:val="20"/>
          <w:lang w:val="en-US"/>
        </w:rPr>
        <w:t xml:space="preserve">Kovaljova, O. N., &amp; Ashcheulova, T. V. (2002). </w:t>
      </w:r>
      <w:r w:rsidRPr="00A823AD">
        <w:rPr>
          <w:rFonts w:ascii="Times New Roman" w:hAnsi="Times New Roman" w:cs="Times New Roman"/>
          <w:sz w:val="20"/>
          <w:szCs w:val="20"/>
          <w:lang w:val="de-DE"/>
        </w:rPr>
        <w:t>Faktor nekroza opuholej-</w:t>
      </w:r>
      <w:r>
        <w:rPr>
          <w:rFonts w:ascii="Times New Roman" w:hAnsi="Times New Roman" w:cs="Times New Roman"/>
          <w:sz w:val="20"/>
          <w:szCs w:val="20"/>
          <w:lang w:val="en-US"/>
        </w:rPr>
        <w:t>α</w:t>
      </w:r>
      <w:r w:rsidRPr="00A823AD">
        <w:rPr>
          <w:rFonts w:ascii="Times New Roman" w:hAnsi="Times New Roman" w:cs="Times New Roman"/>
          <w:sz w:val="20"/>
          <w:szCs w:val="20"/>
          <w:lang w:val="de-DE"/>
        </w:rPr>
        <w:t xml:space="preserve">. </w:t>
      </w:r>
      <w:r w:rsidRPr="00270795">
        <w:rPr>
          <w:rFonts w:ascii="Times New Roman" w:hAnsi="Times New Roman" w:cs="Times New Roman"/>
          <w:sz w:val="20"/>
          <w:szCs w:val="20"/>
          <w:lang w:val="de-DE"/>
        </w:rPr>
        <w:t xml:space="preserve">Klinicheskoe issledovanie aktivnosti pri arterial’noj gipertenzii [Tumor </w:t>
      </w:r>
      <w:r>
        <w:rPr>
          <w:rFonts w:ascii="Times New Roman" w:hAnsi="Times New Roman" w:cs="Times New Roman"/>
          <w:sz w:val="20"/>
          <w:szCs w:val="20"/>
          <w:lang w:val="de-DE"/>
        </w:rPr>
        <w:t>necrosis</w:t>
      </w:r>
      <w:r w:rsidRPr="00270795">
        <w:rPr>
          <w:rFonts w:ascii="Times New Roman" w:hAnsi="Times New Roman" w:cs="Times New Roman"/>
          <w:sz w:val="20"/>
          <w:szCs w:val="20"/>
          <w:lang w:val="de-DE"/>
        </w:rPr>
        <w:t xml:space="preserve"> factor-</w:t>
      </w:r>
      <w:r w:rsidRPr="00270795">
        <w:rPr>
          <w:rFonts w:ascii="Times New Roman" w:hAnsi="Times New Roman" w:cs="Times New Roman"/>
          <w:sz w:val="20"/>
          <w:szCs w:val="20"/>
          <w:lang w:val="en-US"/>
        </w:rPr>
        <w:t>α</w:t>
      </w:r>
      <w:r>
        <w:rPr>
          <w:rFonts w:ascii="Times New Roman" w:hAnsi="Times New Roman" w:cs="Times New Roman"/>
          <w:sz w:val="20"/>
          <w:szCs w:val="20"/>
          <w:lang w:val="de-DE"/>
        </w:rPr>
        <w:t xml:space="preserve">. </w:t>
      </w:r>
      <w:r w:rsidRPr="00270795">
        <w:rPr>
          <w:rFonts w:ascii="Times New Roman" w:hAnsi="Times New Roman" w:cs="Times New Roman"/>
          <w:sz w:val="20"/>
          <w:szCs w:val="20"/>
          <w:lang w:val="en-US"/>
        </w:rPr>
        <w:t xml:space="preserve">Clinical trial of activity at arterial hypertension]. Іmunologіja ta Alergologіja, 4, 64–66 (in Russian). </w:t>
      </w:r>
    </w:p>
    <w:p w:rsidR="00270795" w:rsidRDefault="00DA1673" w:rsidP="00270795">
      <w:pPr>
        <w:pStyle w:val="a4"/>
        <w:shd w:val="clear" w:color="auto" w:fill="FFFFFF"/>
        <w:spacing w:after="48" w:line="240" w:lineRule="auto"/>
        <w:ind w:left="426" w:hanging="426"/>
        <w:rPr>
          <w:rFonts w:ascii="Times New Roman" w:hAnsi="Times New Roman" w:cs="Times New Roman"/>
          <w:sz w:val="20"/>
          <w:szCs w:val="20"/>
          <w:lang w:val="en-US"/>
        </w:rPr>
      </w:pPr>
      <w:r w:rsidRPr="00DA1673">
        <w:rPr>
          <w:rFonts w:ascii="Times New Roman" w:eastAsia="TimesNewRomanPSMT" w:hAnsi="Times New Roman" w:cs="Times New Roman"/>
          <w:sz w:val="20"/>
          <w:szCs w:val="20"/>
          <w:lang w:val="en-US"/>
        </w:rPr>
        <w:t>Kovaljova O.</w:t>
      </w:r>
      <w:r>
        <w:rPr>
          <w:rFonts w:ascii="Times New Roman" w:eastAsia="TimesNewRomanPSMT" w:hAnsi="Times New Roman" w:cs="Times New Roman"/>
          <w:sz w:val="20"/>
          <w:szCs w:val="20"/>
          <w:lang w:val="en-US"/>
        </w:rPr>
        <w:t xml:space="preserve"> </w:t>
      </w:r>
      <w:r w:rsidRPr="00DA1673">
        <w:rPr>
          <w:rFonts w:ascii="Times New Roman" w:eastAsia="TimesNewRomanPSMT" w:hAnsi="Times New Roman" w:cs="Times New Roman"/>
          <w:sz w:val="20"/>
          <w:szCs w:val="20"/>
          <w:lang w:val="en-US"/>
        </w:rPr>
        <w:t>N., Ash</w:t>
      </w:r>
      <w:r w:rsidR="00897B12">
        <w:rPr>
          <w:rFonts w:ascii="Times New Roman" w:eastAsia="TimesNewRomanPSMT" w:hAnsi="Times New Roman" w:cs="Times New Roman"/>
          <w:sz w:val="20"/>
          <w:szCs w:val="20"/>
          <w:lang w:val="en-US"/>
        </w:rPr>
        <w:t>c</w:t>
      </w:r>
      <w:r w:rsidRPr="00DA1673">
        <w:rPr>
          <w:rFonts w:ascii="Times New Roman" w:eastAsia="TimesNewRomanPSMT" w:hAnsi="Times New Roman" w:cs="Times New Roman"/>
          <w:sz w:val="20"/>
          <w:szCs w:val="20"/>
          <w:lang w:val="en-US"/>
        </w:rPr>
        <w:t>heulova T.</w:t>
      </w:r>
      <w:r>
        <w:rPr>
          <w:rFonts w:ascii="Times New Roman" w:eastAsia="TimesNewRomanPSMT" w:hAnsi="Times New Roman" w:cs="Times New Roman"/>
          <w:sz w:val="20"/>
          <w:szCs w:val="20"/>
          <w:lang w:val="en-US"/>
        </w:rPr>
        <w:t xml:space="preserve"> </w:t>
      </w:r>
      <w:r w:rsidRPr="00DA1673">
        <w:rPr>
          <w:rFonts w:ascii="Times New Roman" w:eastAsia="TimesNewRomanPSMT" w:hAnsi="Times New Roman" w:cs="Times New Roman"/>
          <w:sz w:val="20"/>
          <w:szCs w:val="20"/>
          <w:lang w:val="en-US"/>
        </w:rPr>
        <w:t xml:space="preserve">V., </w:t>
      </w:r>
      <w:r>
        <w:rPr>
          <w:rFonts w:ascii="Times New Roman" w:eastAsia="TimesNewRomanPSMT" w:hAnsi="Times New Roman" w:cs="Times New Roman"/>
          <w:sz w:val="20"/>
          <w:szCs w:val="20"/>
          <w:lang w:val="en-US"/>
        </w:rPr>
        <w:t>H</w:t>
      </w:r>
      <w:r w:rsidRPr="00DA1673">
        <w:rPr>
          <w:rFonts w:ascii="Times New Roman" w:eastAsia="TimesNewRomanPSMT" w:hAnsi="Times New Roman" w:cs="Times New Roman"/>
          <w:sz w:val="20"/>
          <w:szCs w:val="20"/>
          <w:lang w:val="en-US"/>
        </w:rPr>
        <w:t>era</w:t>
      </w:r>
      <w:r w:rsidR="00897B12">
        <w:rPr>
          <w:rFonts w:ascii="Times New Roman" w:eastAsia="TimesNewRomanPSMT" w:hAnsi="Times New Roman" w:cs="Times New Roman"/>
          <w:sz w:val="20"/>
          <w:szCs w:val="20"/>
          <w:lang w:val="en-US"/>
        </w:rPr>
        <w:t>s</w:t>
      </w:r>
      <w:r>
        <w:rPr>
          <w:rFonts w:ascii="Times New Roman" w:eastAsia="TimesNewRomanPSMT" w:hAnsi="Times New Roman" w:cs="Times New Roman"/>
          <w:sz w:val="20"/>
          <w:szCs w:val="20"/>
          <w:lang w:val="en-US"/>
        </w:rPr>
        <w:t>y</w:t>
      </w:r>
      <w:r w:rsidRPr="00DA1673">
        <w:rPr>
          <w:rFonts w:ascii="Times New Roman" w:eastAsia="TimesNewRomanPSMT" w:hAnsi="Times New Roman" w:cs="Times New Roman"/>
          <w:sz w:val="20"/>
          <w:szCs w:val="20"/>
          <w:lang w:val="en-US"/>
        </w:rPr>
        <w:t>mchuk N.</w:t>
      </w:r>
      <w:r>
        <w:rPr>
          <w:rFonts w:ascii="Times New Roman" w:eastAsia="TimesNewRomanPSMT" w:hAnsi="Times New Roman" w:cs="Times New Roman"/>
          <w:sz w:val="20"/>
          <w:szCs w:val="20"/>
          <w:lang w:val="en-US"/>
        </w:rPr>
        <w:t xml:space="preserve"> </w:t>
      </w:r>
      <w:r w:rsidRPr="00DA1673">
        <w:rPr>
          <w:rFonts w:ascii="Times New Roman" w:eastAsia="TimesNewRomanPSMT" w:hAnsi="Times New Roman" w:cs="Times New Roman"/>
          <w:sz w:val="20"/>
          <w:szCs w:val="20"/>
          <w:lang w:val="en-US"/>
        </w:rPr>
        <w:t>N., &amp;</w:t>
      </w:r>
      <w:r>
        <w:rPr>
          <w:rFonts w:ascii="Times New Roman" w:eastAsia="TimesNewRomanPSMT" w:hAnsi="Times New Roman" w:cs="Times New Roman"/>
          <w:sz w:val="20"/>
          <w:szCs w:val="20"/>
          <w:lang w:val="en-US"/>
        </w:rPr>
        <w:t xml:space="preserve"> </w:t>
      </w:r>
      <w:r w:rsidRPr="00DA1673">
        <w:rPr>
          <w:rFonts w:ascii="Times New Roman" w:eastAsia="TimesNewRomanPSMT" w:hAnsi="Times New Roman" w:cs="Times New Roman"/>
          <w:sz w:val="20"/>
          <w:szCs w:val="20"/>
          <w:lang w:val="en-US"/>
        </w:rPr>
        <w:t>Safargalina-Kornilova N</w:t>
      </w:r>
      <w:r>
        <w:rPr>
          <w:rFonts w:ascii="Times New Roman" w:eastAsia="TimesNewRomanPSMT" w:hAnsi="Times New Roman" w:cs="Times New Roman"/>
          <w:sz w:val="20"/>
          <w:szCs w:val="20"/>
          <w:lang w:val="en-US"/>
        </w:rPr>
        <w:t xml:space="preserve">. </w:t>
      </w:r>
      <w:r w:rsidRPr="00DA1673">
        <w:rPr>
          <w:rFonts w:ascii="Times New Roman" w:eastAsia="TimesNewRomanPSMT" w:hAnsi="Times New Roman" w:cs="Times New Roman"/>
          <w:sz w:val="20"/>
          <w:szCs w:val="20"/>
          <w:lang w:val="en-US"/>
        </w:rPr>
        <w:t xml:space="preserve">A. </w:t>
      </w:r>
      <w:r>
        <w:rPr>
          <w:rFonts w:ascii="Times New Roman" w:eastAsia="TimesNewRomanPSMT" w:hAnsi="Times New Roman" w:cs="Times New Roman"/>
          <w:sz w:val="20"/>
          <w:szCs w:val="20"/>
          <w:lang w:val="en-US"/>
        </w:rPr>
        <w:t>(</w:t>
      </w:r>
      <w:r w:rsidRPr="00DA1673">
        <w:rPr>
          <w:rFonts w:ascii="Times New Roman" w:eastAsia="TimesNewRomanPSMT" w:hAnsi="Times New Roman" w:cs="Times New Roman"/>
          <w:sz w:val="20"/>
          <w:szCs w:val="20"/>
          <w:lang w:val="en-US"/>
        </w:rPr>
        <w:t>2015</w:t>
      </w:r>
      <w:r>
        <w:rPr>
          <w:rFonts w:ascii="Times New Roman" w:eastAsia="TimesNewRomanPSMT" w:hAnsi="Times New Roman" w:cs="Times New Roman"/>
          <w:sz w:val="20"/>
          <w:szCs w:val="20"/>
          <w:lang w:val="en-US"/>
        </w:rPr>
        <w:t xml:space="preserve">). </w:t>
      </w:r>
      <w:r w:rsidRPr="00DA1673">
        <w:rPr>
          <w:rFonts w:ascii="Times New Roman" w:eastAsia="TimesNewRomanPSMT" w:hAnsi="Times New Roman" w:cs="Times New Roman"/>
          <w:sz w:val="20"/>
          <w:szCs w:val="20"/>
          <w:lang w:val="en-US"/>
        </w:rPr>
        <w:t xml:space="preserve">Rol' oksidativnogo stressa v stanovlenii i progressirovanii gipertonicheskoj bolezni </w:t>
      </w:r>
      <w:r>
        <w:rPr>
          <w:rFonts w:ascii="Times New Roman" w:eastAsia="TimesNewRomanPSMT" w:hAnsi="Times New Roman" w:cs="Times New Roman"/>
          <w:sz w:val="20"/>
          <w:szCs w:val="20"/>
          <w:lang w:val="en-US"/>
        </w:rPr>
        <w:t xml:space="preserve">[Role of oxidative stress in the formation </w:t>
      </w:r>
      <w:r w:rsidR="0028648A" w:rsidRPr="0052006E">
        <w:rPr>
          <w:rFonts w:ascii="Times New Roman" w:eastAsia="TimesNewRomanPSMT" w:hAnsi="Times New Roman" w:cs="Times New Roman"/>
          <w:sz w:val="20"/>
          <w:szCs w:val="20"/>
          <w:lang w:val="en-US"/>
        </w:rPr>
        <w:t xml:space="preserve">and progression of hypertensive disease]. Nauchnye Vedomosti Belgorodskogo Gosudarstvennogo Universiteta Medicina Farmacija, </w:t>
      </w:r>
      <w:r>
        <w:rPr>
          <w:rFonts w:ascii="Times New Roman" w:eastAsia="TimesNewRomanPSMT" w:hAnsi="Times New Roman" w:cs="Times New Roman"/>
          <w:sz w:val="20"/>
          <w:szCs w:val="20"/>
          <w:lang w:val="en-US"/>
        </w:rPr>
        <w:t>4(</w:t>
      </w:r>
      <w:r w:rsidR="0028648A" w:rsidRPr="0052006E">
        <w:rPr>
          <w:rFonts w:ascii="Times New Roman" w:eastAsia="TimesNewRomanPSMT" w:hAnsi="Times New Roman" w:cs="Times New Roman"/>
          <w:sz w:val="20"/>
          <w:szCs w:val="20"/>
          <w:lang w:val="en-US"/>
        </w:rPr>
        <w:t>201</w:t>
      </w:r>
      <w:r>
        <w:rPr>
          <w:rFonts w:ascii="Times New Roman" w:eastAsia="TimesNewRomanPSMT" w:hAnsi="Times New Roman" w:cs="Times New Roman"/>
          <w:sz w:val="20"/>
          <w:szCs w:val="20"/>
          <w:lang w:val="en-US"/>
        </w:rPr>
        <w:t>), 5–10 (in Russian).</w:t>
      </w:r>
      <w:r w:rsidR="00270795" w:rsidRPr="00270795">
        <w:rPr>
          <w:rFonts w:ascii="Times New Roman" w:hAnsi="Times New Roman" w:cs="Times New Roman"/>
          <w:sz w:val="20"/>
          <w:szCs w:val="20"/>
          <w:lang w:val="en-US"/>
        </w:rPr>
        <w:t xml:space="preserve"> </w:t>
      </w:r>
    </w:p>
    <w:p w:rsidR="0052006E" w:rsidRPr="0052006E" w:rsidRDefault="00DA1673" w:rsidP="00CC669E">
      <w:pPr>
        <w:pStyle w:val="a4"/>
        <w:autoSpaceDE w:val="0"/>
        <w:autoSpaceDN w:val="0"/>
        <w:adjustRightInd w:val="0"/>
        <w:spacing w:after="0" w:line="240" w:lineRule="auto"/>
        <w:ind w:left="426" w:hanging="426"/>
        <w:rPr>
          <w:rFonts w:ascii="Times New Roman" w:hAnsi="Times New Roman" w:cs="Times New Roman"/>
          <w:sz w:val="20"/>
          <w:szCs w:val="20"/>
          <w:lang w:val="en-US"/>
        </w:rPr>
      </w:pPr>
      <w:r w:rsidRPr="00A823AD">
        <w:rPr>
          <w:rFonts w:ascii="Times New Roman" w:hAnsi="Times New Roman" w:cs="Times New Roman"/>
          <w:sz w:val="20"/>
          <w:szCs w:val="20"/>
          <w:lang w:val="en-US"/>
        </w:rPr>
        <w:t xml:space="preserve">Kovaljova O. N., Belovol A. N., &amp; Zaika M. V. </w:t>
      </w:r>
      <w:r w:rsidR="00DE604D" w:rsidRPr="00A823AD">
        <w:rPr>
          <w:rFonts w:ascii="Times New Roman" w:hAnsi="Times New Roman" w:cs="Times New Roman"/>
          <w:sz w:val="20"/>
          <w:szCs w:val="20"/>
          <w:lang w:val="en-US"/>
        </w:rPr>
        <w:t xml:space="preserve">(2005). </w:t>
      </w:r>
      <w:r w:rsidRPr="00DA1673">
        <w:rPr>
          <w:rFonts w:ascii="Times New Roman" w:hAnsi="Times New Roman" w:cs="Times New Roman"/>
          <w:sz w:val="20"/>
          <w:szCs w:val="20"/>
          <w:lang w:val="en-US"/>
        </w:rPr>
        <w:t xml:space="preserve">Rol' oksidativnogo stressa v kardiovaskuljarnoj patologii </w:t>
      </w:r>
      <w:r w:rsidRPr="0052006E">
        <w:rPr>
          <w:rFonts w:ascii="Times New Roman" w:hAnsi="Times New Roman" w:cs="Times New Roman"/>
          <w:sz w:val="20"/>
          <w:szCs w:val="20"/>
          <w:lang w:val="en-US"/>
        </w:rPr>
        <w:t>[The role of oxidative str</w:t>
      </w:r>
      <w:r w:rsidR="00DE604D">
        <w:rPr>
          <w:rFonts w:ascii="Times New Roman" w:hAnsi="Times New Roman" w:cs="Times New Roman"/>
          <w:sz w:val="20"/>
          <w:szCs w:val="20"/>
          <w:lang w:val="en-US"/>
        </w:rPr>
        <w:t>ess in cardiovascular disease.]</w:t>
      </w:r>
      <w:r w:rsidRPr="00DA1673">
        <w:rPr>
          <w:rFonts w:ascii="Times New Roman" w:hAnsi="Times New Roman" w:cs="Times New Roman"/>
          <w:sz w:val="20"/>
          <w:szCs w:val="20"/>
          <w:lang w:val="en-US"/>
        </w:rPr>
        <w:t xml:space="preserve"> </w:t>
      </w:r>
      <w:r w:rsidR="00DE604D" w:rsidRPr="00DE604D">
        <w:rPr>
          <w:rFonts w:ascii="Times New Roman" w:hAnsi="Times New Roman" w:cs="Times New Roman"/>
          <w:sz w:val="20"/>
          <w:szCs w:val="20"/>
          <w:lang w:val="en-US"/>
        </w:rPr>
        <w:t>Zhurnal Akademii Medicinskih Nauk Ukrainy</w:t>
      </w:r>
      <w:r w:rsidR="00DE604D">
        <w:rPr>
          <w:rFonts w:ascii="Times New Roman" w:hAnsi="Times New Roman" w:cs="Times New Roman"/>
          <w:sz w:val="20"/>
          <w:szCs w:val="20"/>
          <w:lang w:val="en-US"/>
        </w:rPr>
        <w:t>, 11(4), 660–670 (in Russian).</w:t>
      </w:r>
    </w:p>
    <w:p w:rsidR="0028648A" w:rsidRPr="00270795" w:rsidRDefault="0028648A" w:rsidP="00270795">
      <w:pPr>
        <w:pStyle w:val="a4"/>
        <w:shd w:val="clear" w:color="auto" w:fill="FFFFFF"/>
        <w:spacing w:after="48" w:line="240" w:lineRule="auto"/>
        <w:ind w:left="426" w:hanging="426"/>
        <w:rPr>
          <w:rFonts w:ascii="Times New Roman" w:hAnsi="Times New Roman" w:cs="Times New Roman"/>
          <w:sz w:val="20"/>
          <w:szCs w:val="20"/>
          <w:lang w:val="en-US"/>
        </w:rPr>
      </w:pPr>
      <w:r w:rsidRPr="0052006E">
        <w:rPr>
          <w:rFonts w:ascii="Times New Roman" w:eastAsia="Times New Roman" w:hAnsi="Times New Roman" w:cs="Times New Roman"/>
          <w:sz w:val="20"/>
          <w:szCs w:val="20"/>
          <w:lang w:val="en-US" w:eastAsia="ru-RU"/>
        </w:rPr>
        <w:t>Lawson, J.</w:t>
      </w:r>
      <w:r w:rsidR="00270795">
        <w:rPr>
          <w:rFonts w:ascii="Times New Roman" w:eastAsia="Times New Roman" w:hAnsi="Times New Roman" w:cs="Times New Roman"/>
          <w:sz w:val="20"/>
          <w:szCs w:val="20"/>
          <w:lang w:val="en-US" w:eastAsia="ru-RU"/>
        </w:rPr>
        <w:t xml:space="preserve"> </w:t>
      </w:r>
      <w:r w:rsidRPr="0052006E">
        <w:rPr>
          <w:rFonts w:ascii="Times New Roman" w:eastAsia="Times New Roman" w:hAnsi="Times New Roman" w:cs="Times New Roman"/>
          <w:sz w:val="20"/>
          <w:szCs w:val="20"/>
          <w:lang w:val="en-US" w:eastAsia="ru-RU"/>
        </w:rPr>
        <w:t xml:space="preserve">A., Rokach, J., </w:t>
      </w:r>
      <w:r w:rsidRPr="0052006E">
        <w:rPr>
          <w:rFonts w:ascii="Times New Roman" w:eastAsia="TimesNewRomanPSMT" w:hAnsi="Times New Roman" w:cs="Times New Roman"/>
          <w:sz w:val="20"/>
          <w:szCs w:val="20"/>
          <w:lang w:val="en-US"/>
        </w:rPr>
        <w:t xml:space="preserve">&amp; </w:t>
      </w:r>
      <w:r w:rsidR="00270795">
        <w:rPr>
          <w:rFonts w:ascii="Times New Roman" w:eastAsia="Times New Roman" w:hAnsi="Times New Roman" w:cs="Times New Roman"/>
          <w:sz w:val="20"/>
          <w:szCs w:val="20"/>
          <w:lang w:val="en-US" w:eastAsia="ru-RU"/>
        </w:rPr>
        <w:t>Fitz</w:t>
      </w:r>
      <w:r w:rsidRPr="0052006E">
        <w:rPr>
          <w:rFonts w:ascii="Times New Roman" w:eastAsia="Times New Roman" w:hAnsi="Times New Roman" w:cs="Times New Roman"/>
          <w:sz w:val="20"/>
          <w:szCs w:val="20"/>
          <w:lang w:val="en-US" w:eastAsia="ru-RU"/>
        </w:rPr>
        <w:t>Gerald G.</w:t>
      </w:r>
      <w:r w:rsidR="00270795">
        <w:rPr>
          <w:rFonts w:ascii="Times New Roman" w:eastAsia="Times New Roman" w:hAnsi="Times New Roman" w:cs="Times New Roman"/>
          <w:sz w:val="20"/>
          <w:szCs w:val="20"/>
          <w:lang w:val="en-US" w:eastAsia="ru-RU"/>
        </w:rPr>
        <w:t xml:space="preserve"> </w:t>
      </w:r>
      <w:r w:rsidRPr="0052006E">
        <w:rPr>
          <w:rFonts w:ascii="Times New Roman" w:eastAsia="Times New Roman" w:hAnsi="Times New Roman" w:cs="Times New Roman"/>
          <w:sz w:val="20"/>
          <w:szCs w:val="20"/>
          <w:lang w:val="en-US" w:eastAsia="ru-RU"/>
        </w:rPr>
        <w:t>A. (1999). Isoprostanes: formation, analysis and use as indices of lipid peroxidation in vivo.</w:t>
      </w:r>
      <w:r w:rsidRPr="0052006E">
        <w:rPr>
          <w:rFonts w:ascii="Times New Roman" w:eastAsia="Times New Roman" w:hAnsi="Times New Roman" w:cs="Times New Roman"/>
          <w:i/>
          <w:sz w:val="20"/>
          <w:szCs w:val="20"/>
          <w:lang w:val="en-US" w:eastAsia="ru-RU"/>
        </w:rPr>
        <w:t xml:space="preserve"> </w:t>
      </w:r>
      <w:r w:rsidRPr="0052006E">
        <w:rPr>
          <w:rFonts w:ascii="Times New Roman" w:eastAsia="Times New Roman" w:hAnsi="Times New Roman" w:cs="Times New Roman"/>
          <w:sz w:val="20"/>
          <w:szCs w:val="20"/>
          <w:lang w:val="en-US" w:eastAsia="ru-RU"/>
        </w:rPr>
        <w:t>Journal of Biological Chemistry</w:t>
      </w:r>
      <w:r w:rsidR="00270795">
        <w:rPr>
          <w:rFonts w:ascii="Times New Roman" w:eastAsia="Times New Roman" w:hAnsi="Times New Roman" w:cs="Times New Roman"/>
          <w:sz w:val="20"/>
          <w:szCs w:val="20"/>
          <w:lang w:val="en-US" w:eastAsia="ru-RU"/>
        </w:rPr>
        <w:t>,</w:t>
      </w:r>
      <w:r w:rsidRPr="0052006E">
        <w:rPr>
          <w:rFonts w:ascii="Times New Roman" w:eastAsia="Times New Roman" w:hAnsi="Times New Roman" w:cs="Times New Roman"/>
          <w:sz w:val="20"/>
          <w:szCs w:val="20"/>
          <w:lang w:val="en-US" w:eastAsia="ru-RU"/>
        </w:rPr>
        <w:t xml:space="preserve"> 274 (35), 24441</w:t>
      </w:r>
      <w:r w:rsidR="00AB3651" w:rsidRPr="00AB3651">
        <w:rPr>
          <w:rFonts w:ascii="Times New Roman" w:eastAsia="Times New Roman" w:hAnsi="Times New Roman" w:cs="Times New Roman"/>
          <w:sz w:val="20"/>
          <w:szCs w:val="20"/>
          <w:lang w:val="en-US" w:eastAsia="ru-RU"/>
        </w:rPr>
        <w:t>–</w:t>
      </w:r>
      <w:r w:rsidRPr="0052006E">
        <w:rPr>
          <w:rFonts w:ascii="Times New Roman" w:eastAsia="Times New Roman" w:hAnsi="Times New Roman" w:cs="Times New Roman"/>
          <w:sz w:val="20"/>
          <w:szCs w:val="20"/>
          <w:lang w:val="en-US" w:eastAsia="ru-RU"/>
        </w:rPr>
        <w:t>24444.</w:t>
      </w:r>
      <w:r w:rsidRPr="0052006E">
        <w:rPr>
          <w:rFonts w:ascii="Times New Roman" w:hAnsi="Times New Roman" w:cs="Times New Roman"/>
          <w:lang w:val="en-US"/>
        </w:rPr>
        <w:t xml:space="preserve"> </w:t>
      </w:r>
      <w:r w:rsidRPr="0052006E">
        <w:rPr>
          <w:rFonts w:ascii="Times New Roman" w:eastAsia="Times New Roman" w:hAnsi="Times New Roman" w:cs="Times New Roman"/>
          <w:sz w:val="20"/>
          <w:szCs w:val="20"/>
          <w:lang w:val="en-US" w:eastAsia="ru-RU"/>
        </w:rPr>
        <w:t>doi.org/10.1074/jbc.274.35.24441</w:t>
      </w:r>
    </w:p>
    <w:p w:rsidR="0028648A" w:rsidRPr="0020167C" w:rsidRDefault="0028648A" w:rsidP="00CC669E">
      <w:pPr>
        <w:pStyle w:val="a4"/>
        <w:shd w:val="clear" w:color="auto" w:fill="FFFFFF"/>
        <w:spacing w:before="75" w:after="150" w:line="240" w:lineRule="auto"/>
        <w:ind w:left="426" w:hanging="426"/>
        <w:rPr>
          <w:rFonts w:ascii="Times New Roman" w:eastAsia="Times New Roman" w:hAnsi="Times New Roman" w:cs="Times New Roman"/>
          <w:sz w:val="20"/>
          <w:szCs w:val="20"/>
          <w:lang w:val="en-US" w:eastAsia="ru-RU"/>
        </w:rPr>
      </w:pPr>
      <w:r w:rsidRPr="00C20A9F">
        <w:rPr>
          <w:rFonts w:ascii="Times New Roman" w:eastAsia="Times New Roman" w:hAnsi="Times New Roman" w:cs="Times New Roman"/>
          <w:sz w:val="20"/>
          <w:szCs w:val="20"/>
          <w:lang w:val="de-DE" w:eastAsia="ru-RU"/>
        </w:rPr>
        <w:t>Li, Y.</w:t>
      </w:r>
      <w:r w:rsidR="00270795" w:rsidRPr="00C20A9F">
        <w:rPr>
          <w:rFonts w:ascii="Times New Roman" w:eastAsia="Times New Roman" w:hAnsi="Times New Roman" w:cs="Times New Roman"/>
          <w:sz w:val="20"/>
          <w:szCs w:val="20"/>
          <w:lang w:val="de-DE" w:eastAsia="ru-RU"/>
        </w:rPr>
        <w:t xml:space="preserve"> </w:t>
      </w:r>
      <w:r w:rsidRPr="00C20A9F">
        <w:rPr>
          <w:rFonts w:ascii="Times New Roman" w:eastAsia="Times New Roman" w:hAnsi="Times New Roman" w:cs="Times New Roman"/>
          <w:sz w:val="20"/>
          <w:szCs w:val="20"/>
          <w:lang w:val="de-DE" w:eastAsia="ru-RU"/>
        </w:rPr>
        <w:t>Y., Feng, Y.</w:t>
      </w:r>
      <w:r w:rsidR="00270795" w:rsidRPr="00C20A9F">
        <w:rPr>
          <w:rFonts w:ascii="Times New Roman" w:eastAsia="Times New Roman" w:hAnsi="Times New Roman" w:cs="Times New Roman"/>
          <w:sz w:val="20"/>
          <w:szCs w:val="20"/>
          <w:lang w:val="de-DE" w:eastAsia="ru-RU"/>
        </w:rPr>
        <w:t xml:space="preserve"> </w:t>
      </w:r>
      <w:r w:rsidRPr="00C20A9F">
        <w:rPr>
          <w:rFonts w:ascii="Times New Roman" w:eastAsia="Times New Roman" w:hAnsi="Times New Roman" w:cs="Times New Roman"/>
          <w:sz w:val="20"/>
          <w:szCs w:val="20"/>
          <w:lang w:val="de-DE" w:eastAsia="ru-RU"/>
        </w:rPr>
        <w:t>Q., Kadokami, T.</w:t>
      </w:r>
      <w:r w:rsidR="00300EBF" w:rsidRPr="00C20A9F">
        <w:rPr>
          <w:rFonts w:ascii="Times New Roman" w:eastAsia="Times New Roman" w:hAnsi="Times New Roman" w:cs="Times New Roman"/>
          <w:sz w:val="20"/>
          <w:szCs w:val="20"/>
          <w:lang w:val="de-DE" w:eastAsia="ru-RU"/>
        </w:rPr>
        <w:t>,</w:t>
      </w:r>
      <w:r w:rsidRPr="00C20A9F">
        <w:rPr>
          <w:rFonts w:ascii="Times New Roman" w:eastAsia="Times New Roman" w:hAnsi="Times New Roman" w:cs="Times New Roman"/>
          <w:sz w:val="20"/>
          <w:szCs w:val="20"/>
          <w:lang w:val="de-DE" w:eastAsia="ru-RU"/>
        </w:rPr>
        <w:t xml:space="preserve"> Mc</w:t>
      </w:r>
      <w:r w:rsidR="00300EBF" w:rsidRPr="00C20A9F">
        <w:rPr>
          <w:rFonts w:ascii="Times New Roman" w:eastAsia="Times New Roman" w:hAnsi="Times New Roman" w:cs="Times New Roman"/>
          <w:sz w:val="20"/>
          <w:szCs w:val="20"/>
          <w:lang w:val="de-DE" w:eastAsia="ru-RU"/>
        </w:rPr>
        <w:t xml:space="preserve"> T</w:t>
      </w:r>
      <w:r w:rsidRPr="00C20A9F">
        <w:rPr>
          <w:rFonts w:ascii="Times New Roman" w:eastAsia="Times New Roman" w:hAnsi="Times New Roman" w:cs="Times New Roman"/>
          <w:sz w:val="20"/>
          <w:szCs w:val="20"/>
          <w:lang w:val="de-DE" w:eastAsia="ru-RU"/>
        </w:rPr>
        <w:t>iernan, C.</w:t>
      </w:r>
      <w:r w:rsidR="00270795" w:rsidRPr="00C20A9F">
        <w:rPr>
          <w:rFonts w:ascii="Times New Roman" w:eastAsia="Times New Roman" w:hAnsi="Times New Roman" w:cs="Times New Roman"/>
          <w:sz w:val="20"/>
          <w:szCs w:val="20"/>
          <w:lang w:val="de-DE" w:eastAsia="ru-RU"/>
        </w:rPr>
        <w:t xml:space="preserve"> </w:t>
      </w:r>
      <w:r w:rsidRPr="00C20A9F">
        <w:rPr>
          <w:rFonts w:ascii="Times New Roman" w:eastAsia="Times New Roman" w:hAnsi="Times New Roman" w:cs="Times New Roman"/>
          <w:sz w:val="20"/>
          <w:szCs w:val="20"/>
          <w:lang w:val="de-DE" w:eastAsia="ru-RU"/>
        </w:rPr>
        <w:t>F., Draviam, R., Watkins, S.</w:t>
      </w:r>
      <w:r w:rsidR="00270795" w:rsidRPr="00C20A9F">
        <w:rPr>
          <w:rFonts w:ascii="Times New Roman" w:eastAsia="Times New Roman" w:hAnsi="Times New Roman" w:cs="Times New Roman"/>
          <w:sz w:val="20"/>
          <w:szCs w:val="20"/>
          <w:lang w:val="de-DE" w:eastAsia="ru-RU"/>
        </w:rPr>
        <w:t xml:space="preserve"> </w:t>
      </w:r>
      <w:r w:rsidRPr="00C20A9F">
        <w:rPr>
          <w:rFonts w:ascii="Times New Roman" w:eastAsia="Times New Roman" w:hAnsi="Times New Roman" w:cs="Times New Roman"/>
          <w:sz w:val="20"/>
          <w:szCs w:val="20"/>
          <w:lang w:val="de-DE" w:eastAsia="ru-RU"/>
        </w:rPr>
        <w:t xml:space="preserve">C., </w:t>
      </w:r>
      <w:r w:rsidR="00300EBF" w:rsidRPr="00C20A9F">
        <w:rPr>
          <w:rFonts w:ascii="Times New Roman" w:eastAsia="Times New Roman" w:hAnsi="Times New Roman" w:cs="Times New Roman"/>
          <w:sz w:val="20"/>
          <w:szCs w:val="20"/>
          <w:lang w:val="de-DE" w:eastAsia="ru-RU"/>
        </w:rPr>
        <w:t xml:space="preserve">&amp; Feldman, A. M. </w:t>
      </w:r>
      <w:r w:rsidRPr="00C20A9F">
        <w:rPr>
          <w:rFonts w:ascii="Times New Roman" w:eastAsia="Times New Roman" w:hAnsi="Times New Roman" w:cs="Times New Roman"/>
          <w:sz w:val="20"/>
          <w:szCs w:val="20"/>
          <w:lang w:val="de-DE" w:eastAsia="ru-RU"/>
        </w:rPr>
        <w:t xml:space="preserve">(2000). </w:t>
      </w:r>
      <w:r w:rsidRPr="00A34BEB">
        <w:rPr>
          <w:rFonts w:ascii="Times New Roman" w:eastAsia="Times New Roman" w:hAnsi="Times New Roman" w:cs="Times New Roman"/>
          <w:bCs/>
          <w:kern w:val="36"/>
          <w:sz w:val="20"/>
          <w:szCs w:val="20"/>
          <w:lang w:val="en-US" w:eastAsia="ru-RU"/>
        </w:rPr>
        <w:t xml:space="preserve">Myocardial extracellular matrix remodeling in transgenic mice overexpressing tumor necrosis factor </w:t>
      </w:r>
      <w:r w:rsidRPr="00A34BEB">
        <w:rPr>
          <w:rFonts w:ascii="Times New Roman" w:eastAsia="Times New Roman" w:hAnsi="Times New Roman" w:cs="Times New Roman"/>
          <w:bCs/>
          <w:kern w:val="36"/>
          <w:sz w:val="20"/>
          <w:szCs w:val="20"/>
          <w:lang w:eastAsia="ru-RU"/>
        </w:rPr>
        <w:t>α</w:t>
      </w:r>
      <w:r w:rsidRPr="00A34BEB">
        <w:rPr>
          <w:rFonts w:ascii="Times New Roman" w:eastAsia="Times New Roman" w:hAnsi="Times New Roman" w:cs="Times New Roman"/>
          <w:bCs/>
          <w:kern w:val="36"/>
          <w:sz w:val="20"/>
          <w:szCs w:val="20"/>
          <w:lang w:val="en-US" w:eastAsia="ru-RU"/>
        </w:rPr>
        <w:t xml:space="preserve"> can be modulated by anti-tumor necrosis factor </w:t>
      </w:r>
      <w:r w:rsidRPr="00A34BEB">
        <w:rPr>
          <w:rFonts w:ascii="Times New Roman" w:eastAsia="Times New Roman" w:hAnsi="Times New Roman" w:cs="Times New Roman"/>
          <w:bCs/>
          <w:kern w:val="36"/>
          <w:sz w:val="20"/>
          <w:szCs w:val="20"/>
          <w:lang w:eastAsia="ru-RU"/>
        </w:rPr>
        <w:t>α</w:t>
      </w:r>
      <w:r w:rsidRPr="00A34BEB">
        <w:rPr>
          <w:rFonts w:ascii="Times New Roman" w:eastAsia="Times New Roman" w:hAnsi="Times New Roman" w:cs="Times New Roman"/>
          <w:bCs/>
          <w:kern w:val="36"/>
          <w:sz w:val="20"/>
          <w:szCs w:val="20"/>
          <w:lang w:val="en-US" w:eastAsia="ru-RU"/>
        </w:rPr>
        <w:t xml:space="preserve"> therapy.</w:t>
      </w:r>
      <w:r w:rsidRPr="0020167C">
        <w:rPr>
          <w:rFonts w:ascii="Times New Roman" w:eastAsia="Times New Roman" w:hAnsi="Times New Roman" w:cs="Times New Roman"/>
          <w:bCs/>
          <w:i/>
          <w:kern w:val="36"/>
          <w:sz w:val="20"/>
          <w:szCs w:val="20"/>
          <w:lang w:val="en-US" w:eastAsia="ru-RU"/>
        </w:rPr>
        <w:t xml:space="preserve"> </w:t>
      </w:r>
      <w:r w:rsidRPr="004055BE">
        <w:rPr>
          <w:rFonts w:ascii="Times New Roman" w:eastAsia="Times New Roman" w:hAnsi="Times New Roman" w:cs="Times New Roman"/>
          <w:bCs/>
          <w:sz w:val="20"/>
          <w:szCs w:val="20"/>
          <w:lang w:val="en-US" w:eastAsia="ru-RU"/>
        </w:rPr>
        <w:t>Proceedings of the National Academy of Sciences</w:t>
      </w:r>
      <w:r>
        <w:rPr>
          <w:rFonts w:ascii="Times New Roman" w:eastAsia="Times New Roman" w:hAnsi="Times New Roman" w:cs="Times New Roman"/>
          <w:bCs/>
          <w:sz w:val="20"/>
          <w:szCs w:val="20"/>
          <w:lang w:val="en-US" w:eastAsia="ru-RU"/>
        </w:rPr>
        <w:t>,</w:t>
      </w:r>
      <w:r w:rsidR="00300EBF">
        <w:rPr>
          <w:rFonts w:ascii="Times New Roman" w:eastAsia="Times New Roman" w:hAnsi="Times New Roman" w:cs="Times New Roman"/>
          <w:sz w:val="20"/>
          <w:szCs w:val="20"/>
          <w:lang w:val="en-US" w:eastAsia="ru-RU"/>
        </w:rPr>
        <w:t xml:space="preserve"> </w:t>
      </w:r>
      <w:r w:rsidRPr="004055BE">
        <w:rPr>
          <w:rFonts w:ascii="Times New Roman" w:eastAsia="Times New Roman" w:hAnsi="Times New Roman" w:cs="Times New Roman"/>
          <w:sz w:val="20"/>
          <w:szCs w:val="20"/>
          <w:lang w:val="en-US" w:eastAsia="ru-RU"/>
        </w:rPr>
        <w:t>97(23)</w:t>
      </w:r>
      <w:r>
        <w:rPr>
          <w:rFonts w:ascii="Times New Roman" w:eastAsia="Times New Roman" w:hAnsi="Times New Roman" w:cs="Times New Roman"/>
          <w:sz w:val="20"/>
          <w:szCs w:val="20"/>
          <w:lang w:val="en-US" w:eastAsia="ru-RU"/>
        </w:rPr>
        <w:t>,</w:t>
      </w:r>
      <w:r w:rsidRPr="0020167C">
        <w:rPr>
          <w:rFonts w:ascii="Times New Roman" w:eastAsia="Times New Roman" w:hAnsi="Times New Roman" w:cs="Times New Roman"/>
          <w:sz w:val="20"/>
          <w:szCs w:val="20"/>
          <w:lang w:val="en-US" w:eastAsia="ru-RU"/>
        </w:rPr>
        <w:t xml:space="preserve"> 12746</w:t>
      </w:r>
      <w:r w:rsidR="00AB3651" w:rsidRPr="00AB3651">
        <w:rPr>
          <w:rFonts w:ascii="Times New Roman" w:eastAsia="Times New Roman" w:hAnsi="Times New Roman" w:cs="Times New Roman"/>
          <w:sz w:val="20"/>
          <w:szCs w:val="20"/>
          <w:lang w:val="en-US" w:eastAsia="ru-RU"/>
        </w:rPr>
        <w:t>–</w:t>
      </w:r>
      <w:r w:rsidRPr="0020167C">
        <w:rPr>
          <w:rFonts w:ascii="Times New Roman" w:eastAsia="Times New Roman" w:hAnsi="Times New Roman" w:cs="Times New Roman"/>
          <w:sz w:val="20"/>
          <w:szCs w:val="20"/>
          <w:lang w:val="en-US" w:eastAsia="ru-RU"/>
        </w:rPr>
        <w:t>12751.</w:t>
      </w:r>
      <w:r w:rsidRPr="004055BE">
        <w:rPr>
          <w:lang w:val="en-US"/>
        </w:rPr>
        <w:t xml:space="preserve"> </w:t>
      </w:r>
      <w:r w:rsidRPr="004055BE">
        <w:rPr>
          <w:rFonts w:ascii="Times New Roman" w:eastAsia="Times New Roman" w:hAnsi="Times New Roman" w:cs="Times New Roman"/>
          <w:sz w:val="20"/>
          <w:szCs w:val="20"/>
          <w:lang w:val="en-US" w:eastAsia="ru-RU"/>
        </w:rPr>
        <w:t>doi.org/10.1073/pnas.97.23.12746</w:t>
      </w:r>
    </w:p>
    <w:p w:rsidR="0028648A" w:rsidRPr="00634FB9" w:rsidRDefault="00300EBF" w:rsidP="00CC669E">
      <w:pPr>
        <w:pStyle w:val="a4"/>
        <w:autoSpaceDE w:val="0"/>
        <w:autoSpaceDN w:val="0"/>
        <w:adjustRightInd w:val="0"/>
        <w:spacing w:after="0" w:line="240" w:lineRule="auto"/>
        <w:ind w:left="426" w:hanging="426"/>
        <w:rPr>
          <w:rFonts w:ascii="Times New Roman" w:eastAsia="TimesNewRomanPSMT" w:hAnsi="Times New Roman" w:cs="Times New Roman"/>
          <w:sz w:val="20"/>
          <w:szCs w:val="20"/>
          <w:lang w:val="en-US"/>
        </w:rPr>
      </w:pPr>
      <w:r>
        <w:rPr>
          <w:rFonts w:ascii="Times New Roman" w:eastAsia="TimesNewRomanPSMT" w:hAnsi="Times New Roman" w:cs="Times New Roman"/>
          <w:sz w:val="20"/>
          <w:szCs w:val="20"/>
          <w:lang w:val="en-US"/>
        </w:rPr>
        <w:t xml:space="preserve">Mahmud, A., &amp; Feel, </w:t>
      </w:r>
      <w:r w:rsidR="0028648A" w:rsidRPr="00634FB9">
        <w:rPr>
          <w:rFonts w:ascii="Times New Roman" w:eastAsia="TimesNewRomanPSMT" w:hAnsi="Times New Roman" w:cs="Times New Roman"/>
          <w:sz w:val="20"/>
          <w:szCs w:val="20"/>
          <w:lang w:val="en-US"/>
        </w:rPr>
        <w:t>J. (2005). Arterial stiffness is Related to systemic inflammation in essential hypertension.</w:t>
      </w:r>
      <w:r w:rsidR="0028648A" w:rsidRPr="00634FB9">
        <w:rPr>
          <w:rFonts w:ascii="Times New Roman" w:eastAsia="TimesNewRomanPSMT" w:hAnsi="Times New Roman" w:cs="Times New Roman"/>
          <w:i/>
          <w:sz w:val="20"/>
          <w:szCs w:val="20"/>
          <w:lang w:val="en-US"/>
        </w:rPr>
        <w:t xml:space="preserve"> </w:t>
      </w:r>
      <w:r w:rsidR="0028648A" w:rsidRPr="00634FB9">
        <w:rPr>
          <w:rFonts w:ascii="Times New Roman" w:eastAsia="TimesNewRomanPSMT" w:hAnsi="Times New Roman" w:cs="Times New Roman"/>
          <w:sz w:val="20"/>
          <w:szCs w:val="20"/>
          <w:lang w:val="en-US"/>
        </w:rPr>
        <w:t>Hypertension,</w:t>
      </w:r>
      <w:r w:rsidR="0028648A" w:rsidRPr="00634FB9">
        <w:rPr>
          <w:rFonts w:ascii="Times New Roman" w:eastAsia="TimesNewRomanPSMT" w:hAnsi="Times New Roman" w:cs="Times New Roman"/>
          <w:i/>
          <w:sz w:val="20"/>
          <w:szCs w:val="20"/>
          <w:lang w:val="en-US"/>
        </w:rPr>
        <w:t xml:space="preserve"> </w:t>
      </w:r>
      <w:r w:rsidR="0028648A" w:rsidRPr="00634FB9">
        <w:rPr>
          <w:rFonts w:ascii="Times New Roman" w:eastAsia="TimesNewRomanPSMT" w:hAnsi="Times New Roman" w:cs="Times New Roman"/>
          <w:sz w:val="20"/>
          <w:szCs w:val="20"/>
          <w:lang w:val="en-US"/>
        </w:rPr>
        <w:t>46 (5), 1118</w:t>
      </w:r>
      <w:r w:rsidR="00AB3651" w:rsidRPr="00AB3651">
        <w:rPr>
          <w:rFonts w:ascii="Times New Roman" w:eastAsia="TimesNewRomanPSMT" w:hAnsi="Times New Roman" w:cs="Times New Roman"/>
          <w:sz w:val="20"/>
          <w:szCs w:val="20"/>
          <w:lang w:val="uk-UA"/>
        </w:rPr>
        <w:t>–</w:t>
      </w:r>
      <w:r w:rsidR="0028648A" w:rsidRPr="00634FB9">
        <w:rPr>
          <w:rFonts w:ascii="Times New Roman" w:eastAsia="TimesNewRomanPSMT" w:hAnsi="Times New Roman" w:cs="Times New Roman"/>
          <w:sz w:val="20"/>
          <w:szCs w:val="20"/>
          <w:lang w:val="en-US"/>
        </w:rPr>
        <w:t>1122.</w:t>
      </w:r>
      <w:r w:rsidR="0028648A">
        <w:rPr>
          <w:rFonts w:ascii="Times New Roman" w:eastAsia="TimesNewRomanPSMT" w:hAnsi="Times New Roman" w:cs="Times New Roman"/>
          <w:sz w:val="20"/>
          <w:szCs w:val="20"/>
          <w:lang w:val="en-US"/>
        </w:rPr>
        <w:t xml:space="preserve"> </w:t>
      </w:r>
      <w:r w:rsidR="0028648A" w:rsidRPr="0003537A">
        <w:rPr>
          <w:rFonts w:ascii="Times New Roman" w:eastAsia="TimesNewRomanPSMT" w:hAnsi="Times New Roman" w:cs="Times New Roman"/>
          <w:sz w:val="20"/>
          <w:szCs w:val="20"/>
          <w:lang w:val="en-US"/>
        </w:rPr>
        <w:t>doi.org/10.1161/01.hyp.0000185463.27209.b0</w:t>
      </w:r>
    </w:p>
    <w:p w:rsidR="0028648A" w:rsidRPr="00846715" w:rsidRDefault="0028648A" w:rsidP="00CC669E">
      <w:pPr>
        <w:pStyle w:val="lead"/>
        <w:shd w:val="clear" w:color="auto" w:fill="FFFFFF"/>
        <w:spacing w:before="0" w:beforeAutospacing="0" w:after="48" w:afterAutospacing="0"/>
        <w:ind w:left="426" w:hanging="426"/>
        <w:contextualSpacing/>
        <w:jc w:val="both"/>
        <w:rPr>
          <w:bCs/>
          <w:sz w:val="20"/>
          <w:szCs w:val="20"/>
          <w:lang w:val="en-US"/>
        </w:rPr>
      </w:pPr>
      <w:r w:rsidRPr="00846715">
        <w:rPr>
          <w:bCs/>
          <w:sz w:val="20"/>
          <w:szCs w:val="20"/>
          <w:lang w:val="en-US"/>
        </w:rPr>
        <w:t>Mel'nikov</w:t>
      </w:r>
      <w:r>
        <w:rPr>
          <w:bCs/>
          <w:sz w:val="20"/>
          <w:szCs w:val="20"/>
          <w:lang w:val="en-US"/>
        </w:rPr>
        <w:t>,</w:t>
      </w:r>
      <w:r w:rsidRPr="00846715">
        <w:rPr>
          <w:bCs/>
          <w:sz w:val="20"/>
          <w:szCs w:val="20"/>
          <w:lang w:val="en-US"/>
        </w:rPr>
        <w:t xml:space="preserve"> I.</w:t>
      </w:r>
      <w:r w:rsidR="00300EBF">
        <w:rPr>
          <w:bCs/>
          <w:sz w:val="20"/>
          <w:szCs w:val="20"/>
          <w:lang w:val="en-US"/>
        </w:rPr>
        <w:t xml:space="preserve"> </w:t>
      </w:r>
      <w:r w:rsidRPr="00846715">
        <w:rPr>
          <w:bCs/>
          <w:sz w:val="20"/>
          <w:szCs w:val="20"/>
          <w:lang w:val="en-US"/>
        </w:rPr>
        <w:t>S., Kozlov</w:t>
      </w:r>
      <w:r>
        <w:rPr>
          <w:bCs/>
          <w:sz w:val="20"/>
          <w:szCs w:val="20"/>
          <w:lang w:val="en-US"/>
        </w:rPr>
        <w:t>, S.</w:t>
      </w:r>
      <w:r w:rsidR="00300EBF">
        <w:rPr>
          <w:bCs/>
          <w:sz w:val="20"/>
          <w:szCs w:val="20"/>
          <w:lang w:val="en-US"/>
        </w:rPr>
        <w:t xml:space="preserve"> </w:t>
      </w:r>
      <w:r>
        <w:rPr>
          <w:bCs/>
          <w:sz w:val="20"/>
          <w:szCs w:val="20"/>
          <w:lang w:val="en-US"/>
        </w:rPr>
        <w:t>G.</w:t>
      </w:r>
      <w:r w:rsidRPr="00846715">
        <w:rPr>
          <w:bCs/>
          <w:sz w:val="20"/>
          <w:szCs w:val="20"/>
          <w:lang w:val="en-US"/>
        </w:rPr>
        <w:t>, Chumachenko</w:t>
      </w:r>
      <w:r>
        <w:rPr>
          <w:bCs/>
          <w:sz w:val="20"/>
          <w:szCs w:val="20"/>
          <w:lang w:val="en-US"/>
        </w:rPr>
        <w:t>, P.</w:t>
      </w:r>
      <w:r w:rsidR="00300EBF">
        <w:rPr>
          <w:bCs/>
          <w:sz w:val="20"/>
          <w:szCs w:val="20"/>
          <w:lang w:val="en-US"/>
        </w:rPr>
        <w:t xml:space="preserve"> </w:t>
      </w:r>
      <w:r>
        <w:rPr>
          <w:bCs/>
          <w:sz w:val="20"/>
          <w:szCs w:val="20"/>
          <w:lang w:val="en-US"/>
        </w:rPr>
        <w:t>V.</w:t>
      </w:r>
      <w:r w:rsidRPr="00846715">
        <w:rPr>
          <w:bCs/>
          <w:sz w:val="20"/>
          <w:szCs w:val="20"/>
          <w:lang w:val="en-US"/>
        </w:rPr>
        <w:t>, Saburova</w:t>
      </w:r>
      <w:r>
        <w:rPr>
          <w:bCs/>
          <w:sz w:val="20"/>
          <w:szCs w:val="20"/>
          <w:lang w:val="en-US"/>
        </w:rPr>
        <w:t>, O.</w:t>
      </w:r>
      <w:r w:rsidR="00300EBF">
        <w:rPr>
          <w:bCs/>
          <w:sz w:val="20"/>
          <w:szCs w:val="20"/>
          <w:lang w:val="en-US"/>
        </w:rPr>
        <w:t xml:space="preserve"> </w:t>
      </w:r>
      <w:r>
        <w:rPr>
          <w:bCs/>
          <w:sz w:val="20"/>
          <w:szCs w:val="20"/>
          <w:lang w:val="en-US"/>
        </w:rPr>
        <w:t>S., Guseva, O.</w:t>
      </w:r>
      <w:r w:rsidR="00300EBF">
        <w:rPr>
          <w:bCs/>
          <w:sz w:val="20"/>
          <w:szCs w:val="20"/>
          <w:lang w:val="en-US"/>
        </w:rPr>
        <w:t xml:space="preserve"> </w:t>
      </w:r>
      <w:r>
        <w:rPr>
          <w:bCs/>
          <w:sz w:val="20"/>
          <w:szCs w:val="20"/>
          <w:lang w:val="en-US"/>
        </w:rPr>
        <w:t>A., Prokof'eva, L.</w:t>
      </w:r>
      <w:r w:rsidR="00300EBF">
        <w:rPr>
          <w:bCs/>
          <w:sz w:val="20"/>
          <w:szCs w:val="20"/>
          <w:lang w:val="en-US"/>
        </w:rPr>
        <w:t xml:space="preserve"> </w:t>
      </w:r>
      <w:r>
        <w:rPr>
          <w:bCs/>
          <w:sz w:val="20"/>
          <w:szCs w:val="20"/>
          <w:lang w:val="en-US"/>
        </w:rPr>
        <w:t>V.</w:t>
      </w:r>
      <w:r w:rsidRPr="00846715">
        <w:rPr>
          <w:bCs/>
          <w:sz w:val="20"/>
          <w:szCs w:val="20"/>
          <w:lang w:val="en-US"/>
        </w:rPr>
        <w:t xml:space="preserve">, </w:t>
      </w:r>
      <w:r w:rsidRPr="00A34BEB">
        <w:rPr>
          <w:rFonts w:eastAsia="TimesNewRomanPSMT"/>
          <w:sz w:val="20"/>
          <w:szCs w:val="20"/>
          <w:lang w:val="en-US"/>
        </w:rPr>
        <w:t>&amp;</w:t>
      </w:r>
      <w:r w:rsidRPr="00846715">
        <w:rPr>
          <w:rFonts w:eastAsia="TimesNewRomanPSMT"/>
          <w:sz w:val="20"/>
          <w:szCs w:val="20"/>
          <w:lang w:val="en-US"/>
        </w:rPr>
        <w:t xml:space="preserve"> </w:t>
      </w:r>
      <w:r w:rsidRPr="00846715">
        <w:rPr>
          <w:bCs/>
          <w:sz w:val="20"/>
          <w:szCs w:val="20"/>
          <w:lang w:val="en-US"/>
        </w:rPr>
        <w:t>Gabbasov</w:t>
      </w:r>
      <w:r>
        <w:rPr>
          <w:bCs/>
          <w:sz w:val="20"/>
          <w:szCs w:val="20"/>
          <w:lang w:val="en-US"/>
        </w:rPr>
        <w:t>,</w:t>
      </w:r>
      <w:r w:rsidRPr="00846715">
        <w:rPr>
          <w:bCs/>
          <w:sz w:val="20"/>
          <w:szCs w:val="20"/>
          <w:lang w:val="en-US"/>
        </w:rPr>
        <w:t xml:space="preserve"> Z.</w:t>
      </w:r>
      <w:r w:rsidR="00300EBF">
        <w:rPr>
          <w:bCs/>
          <w:sz w:val="20"/>
          <w:szCs w:val="20"/>
          <w:lang w:val="en-US"/>
        </w:rPr>
        <w:t xml:space="preserve"> </w:t>
      </w:r>
      <w:r w:rsidRPr="00846715">
        <w:rPr>
          <w:bCs/>
          <w:sz w:val="20"/>
          <w:szCs w:val="20"/>
          <w:lang w:val="en-US"/>
        </w:rPr>
        <w:t>A.</w:t>
      </w:r>
      <w:r>
        <w:rPr>
          <w:bCs/>
          <w:sz w:val="20"/>
          <w:szCs w:val="20"/>
          <w:lang w:val="en-US"/>
        </w:rPr>
        <w:t>.</w:t>
      </w:r>
      <w:r w:rsidRPr="00846715">
        <w:rPr>
          <w:bCs/>
          <w:sz w:val="20"/>
          <w:szCs w:val="20"/>
          <w:lang w:val="en-US"/>
        </w:rPr>
        <w:t xml:space="preserve"> </w:t>
      </w:r>
      <w:r>
        <w:rPr>
          <w:bCs/>
          <w:sz w:val="20"/>
          <w:szCs w:val="20"/>
          <w:lang w:val="en-US"/>
        </w:rPr>
        <w:t>(</w:t>
      </w:r>
      <w:r>
        <w:rPr>
          <w:sz w:val="20"/>
          <w:szCs w:val="20"/>
          <w:lang w:val="en-US"/>
        </w:rPr>
        <w:t>2019).</w:t>
      </w:r>
      <w:r w:rsidRPr="00305403">
        <w:rPr>
          <w:sz w:val="20"/>
          <w:szCs w:val="20"/>
          <w:lang w:val="en-US"/>
        </w:rPr>
        <w:t xml:space="preserve"> </w:t>
      </w:r>
      <w:r w:rsidRPr="00846715">
        <w:rPr>
          <w:bCs/>
          <w:sz w:val="20"/>
          <w:szCs w:val="20"/>
          <w:lang w:val="en-US"/>
        </w:rPr>
        <w:t xml:space="preserve">Monomernyj C-reaktivnyj belok i lokal'naja vospalitel'naja reakcija v stenke koronarnyh arterij u bol'nyh stabil'noj ishemicheskoj bolezn'ju serdca. </w:t>
      </w:r>
      <w:r>
        <w:rPr>
          <w:bCs/>
          <w:sz w:val="20"/>
          <w:szCs w:val="20"/>
          <w:lang w:val="en-US"/>
        </w:rPr>
        <w:t>[</w:t>
      </w:r>
      <w:r w:rsidRPr="00846715">
        <w:rPr>
          <w:bCs/>
          <w:sz w:val="20"/>
          <w:szCs w:val="20"/>
          <w:lang w:val="en-US"/>
        </w:rPr>
        <w:t>Monomeric C-reactive protein and local inflammatory reaction in the wall of the coronary arteries in patients with stable coronary artery disease]</w:t>
      </w:r>
      <w:r>
        <w:rPr>
          <w:bCs/>
          <w:sz w:val="20"/>
          <w:szCs w:val="20"/>
          <w:lang w:val="en-US"/>
        </w:rPr>
        <w:t>.</w:t>
      </w:r>
      <w:r w:rsidRPr="00305403">
        <w:rPr>
          <w:sz w:val="20"/>
          <w:szCs w:val="20"/>
          <w:shd w:val="clear" w:color="auto" w:fill="FFFFFF"/>
          <w:lang w:val="en-US"/>
        </w:rPr>
        <w:t xml:space="preserve"> </w:t>
      </w:r>
      <w:r w:rsidRPr="005D34CC">
        <w:rPr>
          <w:bCs/>
          <w:sz w:val="20"/>
          <w:szCs w:val="20"/>
          <w:lang w:val="en-US"/>
        </w:rPr>
        <w:t>Russian Journal of Cardiology,</w:t>
      </w:r>
      <w:r>
        <w:rPr>
          <w:bCs/>
          <w:sz w:val="20"/>
          <w:szCs w:val="20"/>
          <w:lang w:val="en-US"/>
        </w:rPr>
        <w:t xml:space="preserve"> </w:t>
      </w:r>
      <w:r w:rsidRPr="00813BFA">
        <w:rPr>
          <w:sz w:val="20"/>
          <w:szCs w:val="20"/>
          <w:lang w:val="en-US"/>
        </w:rPr>
        <w:t>24(5), 56</w:t>
      </w:r>
      <w:r w:rsidR="00AB3651" w:rsidRPr="00AB3651">
        <w:rPr>
          <w:sz w:val="20"/>
          <w:szCs w:val="20"/>
          <w:lang w:val="en-US"/>
        </w:rPr>
        <w:t>–</w:t>
      </w:r>
      <w:r w:rsidR="00D616C1">
        <w:rPr>
          <w:sz w:val="20"/>
          <w:szCs w:val="20"/>
          <w:lang w:val="en-US"/>
        </w:rPr>
        <w:t>61</w:t>
      </w:r>
      <w:r>
        <w:rPr>
          <w:sz w:val="20"/>
          <w:szCs w:val="20"/>
          <w:lang w:val="en-US"/>
        </w:rPr>
        <w:t xml:space="preserve"> (in Russion)</w:t>
      </w:r>
      <w:r w:rsidR="00D616C1">
        <w:rPr>
          <w:sz w:val="20"/>
          <w:szCs w:val="20"/>
          <w:lang w:val="en-US"/>
        </w:rPr>
        <w:t>.</w:t>
      </w:r>
      <w:r>
        <w:rPr>
          <w:sz w:val="20"/>
          <w:szCs w:val="20"/>
          <w:lang w:val="en-US"/>
        </w:rPr>
        <w:t xml:space="preserve"> </w:t>
      </w:r>
      <w:r w:rsidRPr="00846715">
        <w:rPr>
          <w:sz w:val="20"/>
          <w:szCs w:val="20"/>
          <w:lang w:val="en-US"/>
        </w:rPr>
        <w:t>doi.org/10.15829/1560-4071-2019-5-56-61</w:t>
      </w:r>
    </w:p>
    <w:p w:rsidR="0028648A" w:rsidRPr="00DE1FD4" w:rsidRDefault="0028648A" w:rsidP="00CC669E">
      <w:pPr>
        <w:pStyle w:val="a4"/>
        <w:spacing w:line="240" w:lineRule="auto"/>
        <w:ind w:left="426" w:hanging="426"/>
        <w:rPr>
          <w:rFonts w:ascii="Times New Roman" w:eastAsia="Times New Roman" w:hAnsi="Times New Roman" w:cs="Times New Roman"/>
          <w:bCs/>
          <w:sz w:val="20"/>
          <w:szCs w:val="20"/>
          <w:lang w:val="en-US" w:eastAsia="ru-RU"/>
        </w:rPr>
      </w:pPr>
      <w:r w:rsidRPr="00DE1FD4">
        <w:rPr>
          <w:rFonts w:ascii="Times New Roman" w:eastAsia="Times New Roman" w:hAnsi="Times New Roman" w:cs="Times New Roman"/>
          <w:bCs/>
          <w:sz w:val="20"/>
          <w:szCs w:val="20"/>
          <w:lang w:val="en-US" w:eastAsia="ru-RU"/>
        </w:rPr>
        <w:t>Mel'nikov, I.</w:t>
      </w:r>
      <w:r w:rsidR="00300EBF">
        <w:rPr>
          <w:rFonts w:ascii="Times New Roman" w:eastAsia="Times New Roman" w:hAnsi="Times New Roman" w:cs="Times New Roman"/>
          <w:bCs/>
          <w:sz w:val="20"/>
          <w:szCs w:val="20"/>
          <w:lang w:val="en-US" w:eastAsia="ru-RU"/>
        </w:rPr>
        <w:t xml:space="preserve"> </w:t>
      </w:r>
      <w:r w:rsidRPr="00DE1FD4">
        <w:rPr>
          <w:rFonts w:ascii="Times New Roman" w:eastAsia="Times New Roman" w:hAnsi="Times New Roman" w:cs="Times New Roman"/>
          <w:bCs/>
          <w:sz w:val="20"/>
          <w:szCs w:val="20"/>
          <w:lang w:val="en-US" w:eastAsia="ru-RU"/>
        </w:rPr>
        <w:t>S., Kozlov, S.</w:t>
      </w:r>
      <w:r w:rsidR="00300EBF">
        <w:rPr>
          <w:rFonts w:ascii="Times New Roman" w:eastAsia="Times New Roman" w:hAnsi="Times New Roman" w:cs="Times New Roman"/>
          <w:bCs/>
          <w:sz w:val="20"/>
          <w:szCs w:val="20"/>
          <w:lang w:val="en-US" w:eastAsia="ru-RU"/>
        </w:rPr>
        <w:t xml:space="preserve"> </w:t>
      </w:r>
      <w:r w:rsidRPr="00DE1FD4">
        <w:rPr>
          <w:rFonts w:ascii="Times New Roman" w:eastAsia="Times New Roman" w:hAnsi="Times New Roman" w:cs="Times New Roman"/>
          <w:bCs/>
          <w:sz w:val="20"/>
          <w:szCs w:val="20"/>
          <w:lang w:val="en-US" w:eastAsia="ru-RU"/>
        </w:rPr>
        <w:t>G., Saburova, O.</w:t>
      </w:r>
      <w:r w:rsidR="00300EBF">
        <w:rPr>
          <w:rFonts w:ascii="Times New Roman" w:eastAsia="Times New Roman" w:hAnsi="Times New Roman" w:cs="Times New Roman"/>
          <w:bCs/>
          <w:sz w:val="20"/>
          <w:szCs w:val="20"/>
          <w:lang w:val="en-US" w:eastAsia="ru-RU"/>
        </w:rPr>
        <w:t xml:space="preserve"> </w:t>
      </w:r>
      <w:r w:rsidRPr="00DE1FD4">
        <w:rPr>
          <w:rFonts w:ascii="Times New Roman" w:eastAsia="Times New Roman" w:hAnsi="Times New Roman" w:cs="Times New Roman"/>
          <w:bCs/>
          <w:sz w:val="20"/>
          <w:szCs w:val="20"/>
          <w:lang w:val="en-US" w:eastAsia="ru-RU"/>
        </w:rPr>
        <w:t>S</w:t>
      </w:r>
      <w:r w:rsidR="005B179E">
        <w:rPr>
          <w:rFonts w:ascii="Times New Roman" w:eastAsia="Times New Roman" w:hAnsi="Times New Roman" w:cs="Times New Roman"/>
          <w:bCs/>
          <w:sz w:val="20"/>
          <w:szCs w:val="20"/>
          <w:lang w:val="en-US" w:eastAsia="ru-RU"/>
        </w:rPr>
        <w:t>.,</w:t>
      </w:r>
      <w:r w:rsidRPr="00DE1FD4">
        <w:rPr>
          <w:rFonts w:ascii="Times New Roman" w:eastAsia="Times New Roman" w:hAnsi="Times New Roman" w:cs="Times New Roman"/>
          <w:bCs/>
          <w:sz w:val="20"/>
          <w:szCs w:val="20"/>
          <w:lang w:val="en-US" w:eastAsia="ru-RU"/>
        </w:rPr>
        <w:t xml:space="preserve"> Avtaeva, J.</w:t>
      </w:r>
      <w:r w:rsidR="005B179E">
        <w:rPr>
          <w:rFonts w:ascii="Times New Roman" w:eastAsia="Times New Roman" w:hAnsi="Times New Roman" w:cs="Times New Roman"/>
          <w:bCs/>
          <w:sz w:val="20"/>
          <w:szCs w:val="20"/>
          <w:lang w:val="en-US" w:eastAsia="ru-RU"/>
        </w:rPr>
        <w:t xml:space="preserve"> </w:t>
      </w:r>
      <w:r w:rsidRPr="00DE1FD4">
        <w:rPr>
          <w:rFonts w:ascii="Times New Roman" w:eastAsia="Times New Roman" w:hAnsi="Times New Roman" w:cs="Times New Roman"/>
          <w:bCs/>
          <w:sz w:val="20"/>
          <w:szCs w:val="20"/>
          <w:lang w:val="en-US" w:eastAsia="ru-RU"/>
        </w:rPr>
        <w:t>N., Prokof'eva, L.V., &amp; Gabbasov, Z.A. Sovremennoe polozhenie o roli monomernogo S-reaktivnogo belka v patologii sosudov i aterotromboze. (2020). [Current Position on the Role of Monomeric C-reactive Protein in Vascular Pathology and Atherothrombosis]. Current Pharmaceutical Design, 26, 37</w:t>
      </w:r>
      <w:r w:rsidR="00AB3651" w:rsidRPr="00AB3651">
        <w:rPr>
          <w:rFonts w:ascii="Times New Roman" w:eastAsia="Times New Roman" w:hAnsi="Times New Roman" w:cs="Times New Roman"/>
          <w:bCs/>
          <w:sz w:val="20"/>
          <w:szCs w:val="20"/>
          <w:lang w:val="en-US" w:eastAsia="ru-RU"/>
        </w:rPr>
        <w:t>–</w:t>
      </w:r>
      <w:r w:rsidR="00D616C1">
        <w:rPr>
          <w:rFonts w:ascii="Times New Roman" w:eastAsia="Times New Roman" w:hAnsi="Times New Roman" w:cs="Times New Roman"/>
          <w:bCs/>
          <w:sz w:val="20"/>
          <w:szCs w:val="20"/>
          <w:lang w:val="en-US" w:eastAsia="ru-RU"/>
        </w:rPr>
        <w:t>43</w:t>
      </w:r>
      <w:r w:rsidRPr="00DE1FD4">
        <w:rPr>
          <w:rFonts w:ascii="Times New Roman" w:eastAsia="Times New Roman" w:hAnsi="Times New Roman" w:cs="Times New Roman"/>
          <w:bCs/>
          <w:sz w:val="20"/>
          <w:szCs w:val="20"/>
          <w:lang w:val="en-US" w:eastAsia="ru-RU"/>
        </w:rPr>
        <w:t xml:space="preserve"> (in Russion)</w:t>
      </w:r>
      <w:r w:rsidR="00D616C1">
        <w:rPr>
          <w:rFonts w:ascii="Times New Roman" w:eastAsia="Times New Roman" w:hAnsi="Times New Roman" w:cs="Times New Roman"/>
          <w:bCs/>
          <w:sz w:val="20"/>
          <w:szCs w:val="20"/>
          <w:lang w:val="en-US" w:eastAsia="ru-RU"/>
        </w:rPr>
        <w:t>.</w:t>
      </w:r>
      <w:r w:rsidRPr="00DE1FD4">
        <w:rPr>
          <w:rFonts w:ascii="Times New Roman" w:eastAsia="Times New Roman" w:hAnsi="Times New Roman" w:cs="Times New Roman"/>
          <w:bCs/>
          <w:sz w:val="20"/>
          <w:szCs w:val="20"/>
          <w:lang w:val="en-US" w:eastAsia="ru-RU"/>
        </w:rPr>
        <w:t xml:space="preserve"> doi.org/10.2174/1381612825666191216144055 </w:t>
      </w:r>
    </w:p>
    <w:p w:rsidR="0028648A" w:rsidRPr="00305403" w:rsidRDefault="0028648A" w:rsidP="00CC669E">
      <w:pPr>
        <w:pStyle w:val="a4"/>
        <w:autoSpaceDE w:val="0"/>
        <w:autoSpaceDN w:val="0"/>
        <w:adjustRightInd w:val="0"/>
        <w:spacing w:after="0" w:line="240" w:lineRule="auto"/>
        <w:ind w:left="426" w:hanging="426"/>
        <w:rPr>
          <w:rFonts w:ascii="Times New Roman" w:eastAsia="TimesNewRomanPSMT" w:hAnsi="Times New Roman" w:cs="Times New Roman"/>
          <w:sz w:val="20"/>
          <w:szCs w:val="20"/>
          <w:lang w:val="en-US"/>
        </w:rPr>
      </w:pPr>
      <w:r w:rsidRPr="00305403">
        <w:rPr>
          <w:rFonts w:ascii="Times New Roman" w:eastAsia="TimesNewRomanPSMT" w:hAnsi="Times New Roman" w:cs="Times New Roman"/>
          <w:sz w:val="20"/>
          <w:szCs w:val="20"/>
          <w:lang w:val="en-US"/>
        </w:rPr>
        <w:t>Morrow</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 xml:space="preserve"> J.</w:t>
      </w:r>
      <w:r w:rsidR="005B179E">
        <w:rPr>
          <w:rFonts w:ascii="Times New Roman" w:eastAsia="TimesNewRomanPSMT" w:hAnsi="Times New Roman" w:cs="Times New Roman"/>
          <w:sz w:val="20"/>
          <w:szCs w:val="20"/>
          <w:lang w:val="en-US"/>
        </w:rPr>
        <w:t xml:space="preserve"> </w:t>
      </w:r>
      <w:r w:rsidRPr="00305403">
        <w:rPr>
          <w:rFonts w:ascii="Times New Roman" w:eastAsia="TimesNewRomanPSMT" w:hAnsi="Times New Roman" w:cs="Times New Roman"/>
          <w:sz w:val="20"/>
          <w:szCs w:val="20"/>
          <w:lang w:val="en-US"/>
        </w:rPr>
        <w:t>D., Frei</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 xml:space="preserve"> B., Longmire</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 xml:space="preserve"> A.</w:t>
      </w:r>
      <w:r w:rsidR="005B179E">
        <w:rPr>
          <w:rFonts w:ascii="Times New Roman" w:eastAsia="TimesNewRomanPSMT" w:hAnsi="Times New Roman" w:cs="Times New Roman"/>
          <w:sz w:val="20"/>
          <w:szCs w:val="20"/>
          <w:lang w:val="en-US"/>
        </w:rPr>
        <w:t xml:space="preserve"> </w:t>
      </w:r>
      <w:r w:rsidRPr="00305403">
        <w:rPr>
          <w:rFonts w:ascii="Times New Roman" w:eastAsia="TimesNewRomanPSMT" w:hAnsi="Times New Roman" w:cs="Times New Roman"/>
          <w:sz w:val="20"/>
          <w:szCs w:val="20"/>
          <w:lang w:val="en-US"/>
        </w:rPr>
        <w:t>W., Gaziano</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 xml:space="preserve"> M.</w:t>
      </w:r>
      <w:r w:rsidR="005B179E">
        <w:rPr>
          <w:rFonts w:ascii="Times New Roman" w:eastAsia="TimesNewRomanPSMT" w:hAnsi="Times New Roman" w:cs="Times New Roman"/>
          <w:sz w:val="20"/>
          <w:szCs w:val="20"/>
          <w:lang w:val="en-US"/>
        </w:rPr>
        <w:t xml:space="preserve"> </w:t>
      </w:r>
      <w:r w:rsidRPr="00305403">
        <w:rPr>
          <w:rFonts w:ascii="Times New Roman" w:eastAsia="TimesNewRomanPSMT" w:hAnsi="Times New Roman" w:cs="Times New Roman"/>
          <w:sz w:val="20"/>
          <w:szCs w:val="20"/>
          <w:lang w:val="en-US"/>
        </w:rPr>
        <w:t>J., Lynch</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 xml:space="preserve"> S.</w:t>
      </w:r>
      <w:r w:rsidR="005B179E">
        <w:rPr>
          <w:rFonts w:ascii="Times New Roman" w:eastAsia="TimesNewRomanPSMT" w:hAnsi="Times New Roman" w:cs="Times New Roman"/>
          <w:sz w:val="20"/>
          <w:szCs w:val="20"/>
          <w:lang w:val="en-US"/>
        </w:rPr>
        <w:t xml:space="preserve"> </w:t>
      </w:r>
      <w:r w:rsidRPr="00305403">
        <w:rPr>
          <w:rFonts w:ascii="Times New Roman" w:eastAsia="TimesNewRomanPSMT" w:hAnsi="Times New Roman" w:cs="Times New Roman"/>
          <w:sz w:val="20"/>
          <w:szCs w:val="20"/>
          <w:lang w:val="en-US"/>
        </w:rPr>
        <w:t>M., Shyr.</w:t>
      </w:r>
      <w:r w:rsidR="005B179E" w:rsidRPr="005B179E">
        <w:rPr>
          <w:rFonts w:ascii="Times New Roman" w:eastAsia="TimesNewRomanPSMT" w:hAnsi="Times New Roman" w:cs="Times New Roman"/>
          <w:sz w:val="20"/>
          <w:szCs w:val="20"/>
          <w:lang w:val="en-US"/>
        </w:rPr>
        <w:t xml:space="preserve"> </w:t>
      </w:r>
      <w:r w:rsidR="005B179E">
        <w:rPr>
          <w:rFonts w:ascii="Times New Roman" w:eastAsia="TimesNewRomanPSMT" w:hAnsi="Times New Roman" w:cs="Times New Roman"/>
          <w:sz w:val="20"/>
          <w:szCs w:val="20"/>
          <w:lang w:val="en-US"/>
        </w:rPr>
        <w:t>Y.</w:t>
      </w:r>
      <w:r w:rsidRPr="00305403">
        <w:rPr>
          <w:rFonts w:ascii="Times New Roman" w:eastAsia="TimesNewRomanPSMT" w:hAnsi="Times New Roman" w:cs="Times New Roman"/>
          <w:sz w:val="20"/>
          <w:szCs w:val="20"/>
          <w:lang w:val="en-US"/>
        </w:rPr>
        <w:t xml:space="preserve">, </w:t>
      </w:r>
      <w:r w:rsidRPr="00183F8C">
        <w:rPr>
          <w:rFonts w:ascii="Times New Roman" w:eastAsia="TimesNewRomanPSMT" w:hAnsi="Times New Roman" w:cs="Times New Roman"/>
          <w:sz w:val="20"/>
          <w:szCs w:val="20"/>
          <w:lang w:val="en-US"/>
        </w:rPr>
        <w:t>Strauss</w:t>
      </w:r>
      <w:r>
        <w:rPr>
          <w:rFonts w:ascii="Times New Roman" w:eastAsia="TimesNewRomanPSMT" w:hAnsi="Times New Roman" w:cs="Times New Roman"/>
          <w:sz w:val="20"/>
          <w:szCs w:val="20"/>
          <w:lang w:val="en-US"/>
        </w:rPr>
        <w:t>,</w:t>
      </w:r>
      <w:r w:rsidRPr="00752C62">
        <w:rPr>
          <w:rFonts w:ascii="Times New Roman" w:eastAsia="TimesNewRomanPSMT" w:hAnsi="Times New Roman" w:cs="Times New Roman"/>
          <w:sz w:val="20"/>
          <w:szCs w:val="20"/>
          <w:lang w:val="en-US"/>
        </w:rPr>
        <w:t xml:space="preserve"> </w:t>
      </w:r>
      <w:r w:rsidRPr="00183F8C">
        <w:rPr>
          <w:rFonts w:ascii="Times New Roman" w:eastAsia="TimesNewRomanPSMT" w:hAnsi="Times New Roman" w:cs="Times New Roman"/>
          <w:sz w:val="20"/>
          <w:szCs w:val="20"/>
          <w:lang w:val="en-US"/>
        </w:rPr>
        <w:t>W</w:t>
      </w:r>
      <w:r>
        <w:rPr>
          <w:rFonts w:ascii="Times New Roman" w:eastAsia="TimesNewRomanPSMT" w:hAnsi="Times New Roman" w:cs="Times New Roman"/>
          <w:sz w:val="20"/>
          <w:szCs w:val="20"/>
          <w:lang w:val="en-US"/>
        </w:rPr>
        <w:t>.</w:t>
      </w:r>
      <w:r w:rsidR="00716037">
        <w:rPr>
          <w:rFonts w:ascii="Times New Roman" w:eastAsia="TimesNewRomanPSMT" w:hAnsi="Times New Roman" w:cs="Times New Roman"/>
          <w:sz w:val="20"/>
          <w:szCs w:val="20"/>
          <w:lang w:val="en-US"/>
        </w:rPr>
        <w:t xml:space="preserve"> </w:t>
      </w:r>
      <w:r w:rsidRPr="00183F8C">
        <w:rPr>
          <w:rFonts w:ascii="Times New Roman" w:eastAsia="TimesNewRomanPSMT" w:hAnsi="Times New Roman" w:cs="Times New Roman"/>
          <w:sz w:val="20"/>
          <w:szCs w:val="20"/>
          <w:lang w:val="en-US"/>
        </w:rPr>
        <w:t>E., Oates</w:t>
      </w:r>
      <w:r>
        <w:rPr>
          <w:rFonts w:ascii="Times New Roman" w:eastAsia="TimesNewRomanPSMT" w:hAnsi="Times New Roman" w:cs="Times New Roman"/>
          <w:sz w:val="20"/>
          <w:szCs w:val="20"/>
          <w:lang w:val="en-US"/>
        </w:rPr>
        <w:t>,</w:t>
      </w:r>
      <w:r w:rsidRPr="00752C62">
        <w:rPr>
          <w:rFonts w:ascii="Times New Roman" w:eastAsia="TimesNewRomanPSMT" w:hAnsi="Times New Roman" w:cs="Times New Roman"/>
          <w:sz w:val="20"/>
          <w:szCs w:val="20"/>
          <w:lang w:val="en-US"/>
        </w:rPr>
        <w:t xml:space="preserve"> </w:t>
      </w:r>
      <w:r w:rsidRPr="00183F8C">
        <w:rPr>
          <w:rFonts w:ascii="Times New Roman" w:eastAsia="TimesNewRomanPSMT" w:hAnsi="Times New Roman" w:cs="Times New Roman"/>
          <w:sz w:val="20"/>
          <w:szCs w:val="20"/>
          <w:lang w:val="en-US"/>
        </w:rPr>
        <w:t>J</w:t>
      </w:r>
      <w:r>
        <w:rPr>
          <w:rFonts w:ascii="Times New Roman" w:eastAsia="TimesNewRomanPSMT" w:hAnsi="Times New Roman" w:cs="Times New Roman"/>
          <w:sz w:val="20"/>
          <w:szCs w:val="20"/>
          <w:lang w:val="en-US"/>
        </w:rPr>
        <w:t>.</w:t>
      </w:r>
      <w:r w:rsidR="00716037">
        <w:rPr>
          <w:rFonts w:ascii="Times New Roman" w:eastAsia="TimesNewRomanPSMT" w:hAnsi="Times New Roman" w:cs="Times New Roman"/>
          <w:sz w:val="20"/>
          <w:szCs w:val="20"/>
          <w:lang w:val="en-US"/>
        </w:rPr>
        <w:t xml:space="preserve"> </w:t>
      </w:r>
      <w:r w:rsidRPr="00183F8C">
        <w:rPr>
          <w:rFonts w:ascii="Times New Roman" w:eastAsia="TimesNewRomanPSMT" w:hAnsi="Times New Roman" w:cs="Times New Roman"/>
          <w:sz w:val="20"/>
          <w:szCs w:val="20"/>
          <w:lang w:val="en-US"/>
        </w:rPr>
        <w:t>A.</w:t>
      </w:r>
      <w:r>
        <w:rPr>
          <w:rFonts w:ascii="Times New Roman" w:eastAsia="TimesNewRomanPSMT" w:hAnsi="Times New Roman" w:cs="Times New Roman"/>
          <w:sz w:val="20"/>
          <w:szCs w:val="20"/>
          <w:lang w:val="en-US"/>
        </w:rPr>
        <w:t>,</w:t>
      </w:r>
      <w:r w:rsidRPr="00752C62">
        <w:rPr>
          <w:rFonts w:eastAsia="TimesNewRomanPSMT"/>
          <w:sz w:val="20"/>
          <w:szCs w:val="20"/>
          <w:lang w:val="en-US"/>
        </w:rPr>
        <w:t xml:space="preserve"> </w:t>
      </w:r>
      <w:r w:rsidRPr="00752C62">
        <w:rPr>
          <w:rFonts w:ascii="Times New Roman" w:eastAsia="TimesNewRomanPSMT" w:hAnsi="Times New Roman" w:cs="Times New Roman"/>
          <w:sz w:val="20"/>
          <w:szCs w:val="20"/>
          <w:lang w:val="en-US"/>
        </w:rPr>
        <w:t>&amp;</w:t>
      </w:r>
      <w:r>
        <w:rPr>
          <w:rFonts w:ascii="Times New Roman" w:eastAsia="TimesNewRomanPSMT" w:hAnsi="Times New Roman" w:cs="Times New Roman"/>
          <w:sz w:val="20"/>
          <w:szCs w:val="20"/>
          <w:lang w:val="en-US"/>
        </w:rPr>
        <w:t xml:space="preserve"> </w:t>
      </w:r>
      <w:r w:rsidRPr="00183F8C">
        <w:rPr>
          <w:rFonts w:ascii="Times New Roman" w:eastAsia="TimesNewRomanPSMT" w:hAnsi="Times New Roman" w:cs="Times New Roman"/>
          <w:sz w:val="20"/>
          <w:szCs w:val="20"/>
          <w:lang w:val="en-US"/>
        </w:rPr>
        <w:t>Roberts</w:t>
      </w:r>
      <w:r>
        <w:rPr>
          <w:rFonts w:ascii="Times New Roman" w:eastAsia="TimesNewRomanPSMT" w:hAnsi="Times New Roman" w:cs="Times New Roman"/>
          <w:sz w:val="20"/>
          <w:szCs w:val="20"/>
          <w:lang w:val="en-US"/>
        </w:rPr>
        <w:t>,</w:t>
      </w:r>
      <w:r w:rsidRPr="00752C62">
        <w:rPr>
          <w:rFonts w:ascii="Times New Roman" w:eastAsia="TimesNewRomanPSMT" w:hAnsi="Times New Roman" w:cs="Times New Roman"/>
          <w:sz w:val="20"/>
          <w:szCs w:val="20"/>
          <w:lang w:val="en-US"/>
        </w:rPr>
        <w:t xml:space="preserve"> </w:t>
      </w:r>
      <w:r>
        <w:rPr>
          <w:rFonts w:ascii="Times New Roman" w:eastAsia="TimesNewRomanPSMT" w:hAnsi="Times New Roman" w:cs="Times New Roman"/>
          <w:sz w:val="20"/>
          <w:szCs w:val="20"/>
          <w:lang w:val="en-US"/>
        </w:rPr>
        <w:t>L.</w:t>
      </w:r>
      <w:r w:rsidR="00716037">
        <w:rPr>
          <w:rFonts w:ascii="Times New Roman" w:eastAsia="TimesNewRomanPSMT" w:hAnsi="Times New Roman" w:cs="Times New Roman"/>
          <w:sz w:val="20"/>
          <w:szCs w:val="20"/>
          <w:lang w:val="en-US"/>
        </w:rPr>
        <w:t xml:space="preserve"> </w:t>
      </w:r>
      <w:r w:rsidRPr="00183F8C">
        <w:rPr>
          <w:rFonts w:ascii="Times New Roman" w:eastAsia="TimesNewRomanPSMT" w:hAnsi="Times New Roman" w:cs="Times New Roman"/>
          <w:sz w:val="20"/>
          <w:szCs w:val="20"/>
          <w:lang w:val="en-US"/>
        </w:rPr>
        <w:t>J</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i/>
          <w:sz w:val="20"/>
          <w:szCs w:val="20"/>
          <w:lang w:val="en-US"/>
        </w:rPr>
        <w:t xml:space="preserve"> </w:t>
      </w:r>
      <w:r>
        <w:rPr>
          <w:rFonts w:ascii="Times New Roman" w:eastAsia="TimesNewRomanPSMT" w:hAnsi="Times New Roman" w:cs="Times New Roman"/>
          <w:i/>
          <w:sz w:val="20"/>
          <w:szCs w:val="20"/>
          <w:lang w:val="en-US"/>
        </w:rPr>
        <w:t>(</w:t>
      </w:r>
      <w:r w:rsidRPr="00305403">
        <w:rPr>
          <w:rFonts w:ascii="Times New Roman" w:eastAsia="TimesNewRomanPSMT" w:hAnsi="Times New Roman" w:cs="Times New Roman"/>
          <w:sz w:val="20"/>
          <w:szCs w:val="20"/>
          <w:lang w:val="en-US"/>
        </w:rPr>
        <w:t>1995</w:t>
      </w:r>
      <w:r>
        <w:rPr>
          <w:rFonts w:ascii="Times New Roman" w:eastAsia="TimesNewRomanPSMT" w:hAnsi="Times New Roman" w:cs="Times New Roman"/>
          <w:sz w:val="20"/>
          <w:szCs w:val="20"/>
          <w:lang w:val="en-US"/>
        </w:rPr>
        <w:t>).</w:t>
      </w:r>
      <w:r w:rsidRPr="00305403">
        <w:rPr>
          <w:rFonts w:ascii="Times New Roman" w:eastAsia="TimesNewRomanPSMT" w:hAnsi="Times New Roman" w:cs="Times New Roman"/>
          <w:sz w:val="20"/>
          <w:szCs w:val="20"/>
          <w:lang w:val="en-US"/>
        </w:rPr>
        <w:t xml:space="preserve"> </w:t>
      </w:r>
      <w:r w:rsidRPr="00752C62">
        <w:rPr>
          <w:rFonts w:ascii="Times New Roman" w:eastAsia="TimesNewRomanPSMT" w:hAnsi="Times New Roman" w:cs="Times New Roman"/>
          <w:sz w:val="20"/>
          <w:szCs w:val="20"/>
          <w:lang w:val="en-US"/>
        </w:rPr>
        <w:t xml:space="preserve">Increase in circulating products of lipid peroxidation (F2-isoprostanes) in smokers. Smoking as cause of oxidative damage. </w:t>
      </w:r>
      <w:r>
        <w:rPr>
          <w:rFonts w:ascii="Times New Roman" w:eastAsia="TimesNewRomanPSMT" w:hAnsi="Times New Roman" w:cs="Times New Roman"/>
          <w:sz w:val="20"/>
          <w:szCs w:val="20"/>
          <w:lang w:val="en-US"/>
        </w:rPr>
        <w:t xml:space="preserve">New England Journal of Medicine, </w:t>
      </w:r>
      <w:r w:rsidRPr="00752C62">
        <w:rPr>
          <w:rFonts w:ascii="Times New Roman" w:eastAsia="TimesNewRomanPSMT" w:hAnsi="Times New Roman" w:cs="Times New Roman"/>
          <w:sz w:val="20"/>
          <w:szCs w:val="20"/>
          <w:lang w:val="en-US"/>
        </w:rPr>
        <w:t>332</w:t>
      </w:r>
      <w:r>
        <w:rPr>
          <w:rFonts w:ascii="Times New Roman" w:eastAsia="TimesNewRomanPSMT" w:hAnsi="Times New Roman" w:cs="Times New Roman"/>
          <w:b/>
          <w:sz w:val="20"/>
          <w:szCs w:val="20"/>
          <w:lang w:val="en-US"/>
        </w:rPr>
        <w:t>,</w:t>
      </w:r>
      <w:r w:rsidRPr="00305403">
        <w:rPr>
          <w:rFonts w:ascii="Times New Roman" w:eastAsia="TimesNewRomanPSMT" w:hAnsi="Times New Roman" w:cs="Times New Roman"/>
          <w:sz w:val="20"/>
          <w:szCs w:val="20"/>
          <w:lang w:val="en-US"/>
        </w:rPr>
        <w:t xml:space="preserve"> 1198–1203.</w:t>
      </w:r>
      <w:r w:rsidRPr="00EB789D">
        <w:rPr>
          <w:lang w:val="en-US"/>
        </w:rPr>
        <w:t xml:space="preserve"> </w:t>
      </w:r>
      <w:r w:rsidRPr="00437EAB">
        <w:rPr>
          <w:rFonts w:ascii="Times New Roman" w:eastAsia="TimesNewRomanPSMT" w:hAnsi="Times New Roman" w:cs="Times New Roman"/>
          <w:sz w:val="20"/>
          <w:szCs w:val="20"/>
          <w:lang w:val="en-US"/>
        </w:rPr>
        <w:t>doi.org/10.1056/nejm199505043321804</w:t>
      </w:r>
    </w:p>
    <w:p w:rsidR="0028648A" w:rsidRPr="00716037" w:rsidRDefault="00716037" w:rsidP="00716037">
      <w:pPr>
        <w:shd w:val="clear" w:color="auto" w:fill="FFFFFF"/>
        <w:spacing w:after="48" w:line="240" w:lineRule="auto"/>
        <w:ind w:left="426" w:hanging="426"/>
        <w:jc w:val="left"/>
        <w:rPr>
          <w:rFonts w:ascii="Times New Roman" w:eastAsia="TimesNewRomanPSMT" w:hAnsi="Times New Roman" w:cs="Times New Roman"/>
          <w:sz w:val="20"/>
          <w:szCs w:val="20"/>
          <w:lang w:val="en-US"/>
        </w:rPr>
      </w:pPr>
      <w:r w:rsidRPr="00716037">
        <w:rPr>
          <w:rFonts w:ascii="Times New Roman" w:eastAsia="TimesNewRomanPSMT" w:hAnsi="Times New Roman" w:cs="Times New Roman"/>
          <w:sz w:val="20"/>
          <w:szCs w:val="20"/>
          <w:lang w:val="en-US"/>
        </w:rPr>
        <w:t>Onat</w:t>
      </w:r>
      <w:r w:rsidR="0028648A" w:rsidRPr="00716037">
        <w:rPr>
          <w:rFonts w:ascii="Times New Roman" w:eastAsia="TimesNewRomanPSMT" w:hAnsi="Times New Roman" w:cs="Times New Roman"/>
          <w:sz w:val="20"/>
          <w:szCs w:val="20"/>
          <w:lang w:val="en-US"/>
        </w:rPr>
        <w:t>, A., Can, G., &amp; Hergenç, G. (2008). Serum C-reactive protein is an ind</w:t>
      </w:r>
      <w:r w:rsidRPr="00716037">
        <w:rPr>
          <w:rFonts w:ascii="Times New Roman" w:eastAsia="TimesNewRomanPSMT" w:hAnsi="Times New Roman" w:cs="Times New Roman"/>
          <w:sz w:val="20"/>
          <w:szCs w:val="20"/>
          <w:lang w:val="en-US"/>
        </w:rPr>
        <w:t xml:space="preserve">ependent risk factor predicting </w:t>
      </w:r>
      <w:r w:rsidR="0028648A" w:rsidRPr="00716037">
        <w:rPr>
          <w:rFonts w:ascii="Times New Roman" w:eastAsia="TimesNewRomanPSMT" w:hAnsi="Times New Roman" w:cs="Times New Roman"/>
          <w:sz w:val="20"/>
          <w:szCs w:val="20"/>
          <w:lang w:val="en-US"/>
        </w:rPr>
        <w:t>cardiometabolic risk. Metabolism, 57(2), 207</w:t>
      </w:r>
      <w:r w:rsidR="00AB3651" w:rsidRPr="00716037">
        <w:rPr>
          <w:rFonts w:ascii="Times New Roman" w:eastAsia="TimesNewRomanPSMT" w:hAnsi="Times New Roman" w:cs="Times New Roman"/>
          <w:sz w:val="20"/>
          <w:szCs w:val="20"/>
          <w:lang w:val="en-US"/>
        </w:rPr>
        <w:t>–</w:t>
      </w:r>
      <w:r w:rsidR="0028648A" w:rsidRPr="00716037">
        <w:rPr>
          <w:rFonts w:ascii="Times New Roman" w:eastAsia="TimesNewRomanPSMT" w:hAnsi="Times New Roman" w:cs="Times New Roman"/>
          <w:sz w:val="20"/>
          <w:szCs w:val="20"/>
          <w:lang w:val="en-US"/>
        </w:rPr>
        <w:t>214.</w:t>
      </w:r>
      <w:r w:rsidR="0028648A" w:rsidRPr="00716037">
        <w:rPr>
          <w:lang w:val="en-US"/>
        </w:rPr>
        <w:t xml:space="preserve"> </w:t>
      </w:r>
      <w:r w:rsidR="0028648A" w:rsidRPr="00716037">
        <w:rPr>
          <w:rFonts w:ascii="Times New Roman" w:eastAsia="TimesNewRomanPSMT" w:hAnsi="Times New Roman" w:cs="Times New Roman"/>
          <w:sz w:val="20"/>
          <w:szCs w:val="20"/>
          <w:lang w:val="en-US"/>
        </w:rPr>
        <w:t>doi.org/10.1016/j.metabol.2007.09.002</w:t>
      </w:r>
    </w:p>
    <w:p w:rsidR="0028648A" w:rsidRPr="002268F5" w:rsidRDefault="007F019A" w:rsidP="00CC669E">
      <w:pPr>
        <w:pStyle w:val="a4"/>
        <w:autoSpaceDE w:val="0"/>
        <w:autoSpaceDN w:val="0"/>
        <w:adjustRightInd w:val="0"/>
        <w:spacing w:after="0" w:line="240" w:lineRule="auto"/>
        <w:ind w:left="426" w:hanging="426"/>
        <w:rPr>
          <w:rFonts w:ascii="Times New Roman" w:eastAsia="TimesNewRomanPSMT" w:hAnsi="Times New Roman" w:cs="Times New Roman"/>
          <w:sz w:val="20"/>
          <w:szCs w:val="20"/>
          <w:lang w:val="uk-UA"/>
        </w:rPr>
      </w:pPr>
      <w:r w:rsidRPr="007F019A">
        <w:rPr>
          <w:rFonts w:ascii="Times New Roman" w:eastAsia="TimesNewRomanPSMT" w:hAnsi="Times New Roman" w:cs="Times New Roman"/>
          <w:sz w:val="20"/>
          <w:szCs w:val="20"/>
          <w:lang w:val="uk-UA"/>
        </w:rPr>
        <w:t>Preobrazhenskij, D. V., Savchenko, M. V., Kiktev, V. G., &amp; Sidorenko, B. A. (2000). Fozinopril-pervyj predstavitel' novogo pokolenija ingibitorov angiote</w:t>
      </w:r>
      <w:r>
        <w:rPr>
          <w:rFonts w:ascii="Times New Roman" w:eastAsia="TimesNewRomanPSMT" w:hAnsi="Times New Roman" w:cs="Times New Roman"/>
          <w:sz w:val="20"/>
          <w:szCs w:val="20"/>
          <w:lang w:val="uk-UA"/>
        </w:rPr>
        <w:t>nzinprevrashhajushhego fermenta [</w:t>
      </w:r>
      <w:r w:rsidRPr="007F019A">
        <w:rPr>
          <w:rFonts w:ascii="Times New Roman" w:eastAsia="TimesNewRomanPSMT" w:hAnsi="Times New Roman" w:cs="Times New Roman"/>
          <w:sz w:val="20"/>
          <w:szCs w:val="20"/>
          <w:lang w:val="uk-UA"/>
        </w:rPr>
        <w:t>Fosinopril is the first representative of a new generation of angiotensin-converting enzyme inhibitors</w:t>
      </w:r>
      <w:r>
        <w:rPr>
          <w:rFonts w:ascii="Times New Roman" w:eastAsia="TimesNewRomanPSMT" w:hAnsi="Times New Roman" w:cs="Times New Roman"/>
          <w:sz w:val="20"/>
          <w:szCs w:val="20"/>
          <w:lang w:val="en-US"/>
        </w:rPr>
        <w:t>].</w:t>
      </w:r>
      <w:r w:rsidR="00D616C1">
        <w:rPr>
          <w:rFonts w:ascii="Times New Roman" w:eastAsia="TimesNewRomanPSMT" w:hAnsi="Times New Roman" w:cs="Times New Roman"/>
          <w:sz w:val="20"/>
          <w:szCs w:val="20"/>
          <w:lang w:val="uk-UA"/>
        </w:rPr>
        <w:t xml:space="preserve"> Kardiologija, 5, 75–-82</w:t>
      </w:r>
      <w:r w:rsidRPr="007F019A">
        <w:rPr>
          <w:rFonts w:ascii="Times New Roman" w:eastAsia="TimesNewRomanPSMT" w:hAnsi="Times New Roman" w:cs="Times New Roman"/>
          <w:sz w:val="20"/>
          <w:szCs w:val="20"/>
          <w:lang w:val="uk-UA"/>
        </w:rPr>
        <w:t xml:space="preserve"> </w:t>
      </w:r>
      <w:r w:rsidR="0028648A" w:rsidRPr="002268F5">
        <w:rPr>
          <w:rFonts w:ascii="Times New Roman" w:eastAsia="Times New Roman" w:hAnsi="Times New Roman" w:cs="Times New Roman"/>
          <w:bCs/>
          <w:sz w:val="20"/>
          <w:szCs w:val="20"/>
          <w:lang w:val="uk-UA" w:eastAsia="ru-RU"/>
        </w:rPr>
        <w:t>(</w:t>
      </w:r>
      <w:r>
        <w:rPr>
          <w:rFonts w:ascii="Times New Roman" w:eastAsia="Times New Roman" w:hAnsi="Times New Roman" w:cs="Times New Roman"/>
          <w:bCs/>
          <w:sz w:val="20"/>
          <w:szCs w:val="20"/>
          <w:lang w:val="en-US" w:eastAsia="ru-RU"/>
        </w:rPr>
        <w:t>i</w:t>
      </w:r>
      <w:r w:rsidR="0028648A" w:rsidRPr="00305403">
        <w:rPr>
          <w:rFonts w:ascii="Times New Roman" w:eastAsia="Times New Roman" w:hAnsi="Times New Roman" w:cs="Times New Roman"/>
          <w:bCs/>
          <w:sz w:val="20"/>
          <w:szCs w:val="20"/>
          <w:lang w:val="en-US" w:eastAsia="ru-RU"/>
        </w:rPr>
        <w:t>n</w:t>
      </w:r>
      <w:r w:rsidR="0028648A" w:rsidRPr="002268F5">
        <w:rPr>
          <w:rFonts w:ascii="Times New Roman" w:eastAsia="Times New Roman" w:hAnsi="Times New Roman" w:cs="Times New Roman"/>
          <w:bCs/>
          <w:sz w:val="20"/>
          <w:szCs w:val="20"/>
          <w:lang w:val="uk-UA" w:eastAsia="ru-RU"/>
        </w:rPr>
        <w:t xml:space="preserve"> </w:t>
      </w:r>
      <w:r w:rsidR="0028648A" w:rsidRPr="00305403">
        <w:rPr>
          <w:rFonts w:ascii="Times New Roman" w:eastAsia="Times New Roman" w:hAnsi="Times New Roman" w:cs="Times New Roman"/>
          <w:bCs/>
          <w:sz w:val="20"/>
          <w:szCs w:val="20"/>
          <w:lang w:val="en-US" w:eastAsia="ru-RU"/>
        </w:rPr>
        <w:t>Russian</w:t>
      </w:r>
      <w:r w:rsidR="0028648A" w:rsidRPr="002268F5">
        <w:rPr>
          <w:rFonts w:ascii="Times New Roman" w:eastAsia="Times New Roman" w:hAnsi="Times New Roman" w:cs="Times New Roman"/>
          <w:bCs/>
          <w:sz w:val="20"/>
          <w:szCs w:val="20"/>
          <w:lang w:val="uk-UA" w:eastAsia="ru-RU"/>
        </w:rPr>
        <w:t>).</w:t>
      </w:r>
    </w:p>
    <w:p w:rsidR="0028648A" w:rsidRPr="005D34CC" w:rsidRDefault="0028648A" w:rsidP="00CC669E">
      <w:pPr>
        <w:pStyle w:val="a4"/>
        <w:shd w:val="clear" w:color="auto" w:fill="FFFFFF"/>
        <w:spacing w:after="48" w:line="240" w:lineRule="auto"/>
        <w:ind w:left="426" w:hanging="426"/>
        <w:rPr>
          <w:rFonts w:ascii="Times New Roman" w:eastAsia="Times New Roman" w:hAnsi="Times New Roman" w:cs="Times New Roman"/>
          <w:bCs/>
          <w:sz w:val="20"/>
          <w:szCs w:val="20"/>
          <w:lang w:val="de-DE" w:eastAsia="ru-RU"/>
        </w:rPr>
      </w:pPr>
      <w:r w:rsidRPr="00542CB0">
        <w:rPr>
          <w:rFonts w:ascii="Times New Roman" w:eastAsia="Times New Roman" w:hAnsi="Times New Roman" w:cs="Times New Roman"/>
          <w:bCs/>
          <w:sz w:val="20"/>
          <w:szCs w:val="20"/>
          <w:lang w:val="en-US" w:eastAsia="ru-RU"/>
        </w:rPr>
        <w:t>Simbirtsev</w:t>
      </w:r>
      <w:r w:rsidRPr="002268F5">
        <w:rPr>
          <w:rFonts w:ascii="Times New Roman" w:eastAsia="Times New Roman" w:hAnsi="Times New Roman" w:cs="Times New Roman"/>
          <w:bCs/>
          <w:sz w:val="20"/>
          <w:szCs w:val="20"/>
          <w:lang w:val="uk-UA" w:eastAsia="ru-RU"/>
        </w:rPr>
        <w:t xml:space="preserve">, </w:t>
      </w:r>
      <w:r w:rsidRPr="00542CB0">
        <w:rPr>
          <w:rFonts w:ascii="Times New Roman" w:eastAsia="Times New Roman" w:hAnsi="Times New Roman" w:cs="Times New Roman"/>
          <w:bCs/>
          <w:sz w:val="20"/>
          <w:szCs w:val="20"/>
          <w:lang w:val="en-US" w:eastAsia="ru-RU"/>
        </w:rPr>
        <w:t>A</w:t>
      </w:r>
      <w:r w:rsidRPr="002268F5">
        <w:rPr>
          <w:rFonts w:ascii="Times New Roman" w:eastAsia="Times New Roman" w:hAnsi="Times New Roman" w:cs="Times New Roman"/>
          <w:bCs/>
          <w:sz w:val="20"/>
          <w:szCs w:val="20"/>
          <w:lang w:val="uk-UA" w:eastAsia="ru-RU"/>
        </w:rPr>
        <w:t>.</w:t>
      </w:r>
      <w:r w:rsidR="00D616C1" w:rsidRPr="00823C24">
        <w:rPr>
          <w:rFonts w:ascii="Times New Roman" w:eastAsia="Times New Roman" w:hAnsi="Times New Roman" w:cs="Times New Roman"/>
          <w:bCs/>
          <w:sz w:val="20"/>
          <w:szCs w:val="20"/>
          <w:lang w:val="uk-UA" w:eastAsia="ru-RU"/>
        </w:rPr>
        <w:t xml:space="preserve"> </w:t>
      </w:r>
      <w:r w:rsidRPr="00542CB0">
        <w:rPr>
          <w:rFonts w:ascii="Times New Roman" w:eastAsia="Times New Roman" w:hAnsi="Times New Roman" w:cs="Times New Roman"/>
          <w:bCs/>
          <w:sz w:val="20"/>
          <w:szCs w:val="20"/>
          <w:lang w:val="en-US" w:eastAsia="ru-RU"/>
        </w:rPr>
        <w:t>S</w:t>
      </w:r>
      <w:r w:rsidRPr="002268F5">
        <w:rPr>
          <w:rFonts w:ascii="Times New Roman" w:eastAsia="Times New Roman" w:hAnsi="Times New Roman" w:cs="Times New Roman"/>
          <w:bCs/>
          <w:sz w:val="20"/>
          <w:szCs w:val="20"/>
          <w:lang w:val="uk-UA" w:eastAsia="ru-RU"/>
        </w:rPr>
        <w:t>.</w:t>
      </w:r>
      <w:r w:rsidRPr="002268F5">
        <w:rPr>
          <w:rFonts w:ascii="Times New Roman" w:eastAsia="Calibri" w:hAnsi="Times New Roman" w:cs="Times New Roman"/>
          <w:sz w:val="20"/>
          <w:szCs w:val="20"/>
          <w:lang w:val="uk-UA"/>
        </w:rPr>
        <w:t xml:space="preserve"> (</w:t>
      </w:r>
      <w:r w:rsidRPr="002268F5">
        <w:rPr>
          <w:rFonts w:ascii="Times New Roman" w:eastAsia="Times New Roman" w:hAnsi="Times New Roman" w:cs="Times New Roman"/>
          <w:bCs/>
          <w:sz w:val="20"/>
          <w:szCs w:val="20"/>
          <w:lang w:val="uk-UA" w:eastAsia="ru-RU"/>
        </w:rPr>
        <w:t xml:space="preserve">2013). </w:t>
      </w:r>
      <w:r>
        <w:rPr>
          <w:rFonts w:ascii="Times New Roman" w:eastAsia="Times New Roman" w:hAnsi="Times New Roman" w:cs="Times New Roman"/>
          <w:bCs/>
          <w:sz w:val="20"/>
          <w:szCs w:val="20"/>
          <w:lang w:val="en-US" w:eastAsia="ru-RU"/>
        </w:rPr>
        <w:t>C</w:t>
      </w:r>
      <w:r w:rsidRPr="00542CB0">
        <w:rPr>
          <w:rFonts w:ascii="Times New Roman" w:eastAsia="Times New Roman" w:hAnsi="Times New Roman" w:cs="Times New Roman"/>
          <w:bCs/>
          <w:sz w:val="20"/>
          <w:szCs w:val="20"/>
          <w:lang w:val="en-US" w:eastAsia="ru-RU"/>
        </w:rPr>
        <w:t>zitokiny</w:t>
      </w:r>
      <w:r w:rsidRPr="002268F5">
        <w:rPr>
          <w:rFonts w:ascii="Times New Roman" w:eastAsia="Times New Roman" w:hAnsi="Times New Roman" w:cs="Times New Roman"/>
          <w:bCs/>
          <w:sz w:val="20"/>
          <w:szCs w:val="20"/>
          <w:lang w:val="uk-UA" w:eastAsia="ru-RU"/>
        </w:rPr>
        <w:t xml:space="preserve">` </w:t>
      </w:r>
      <w:r w:rsidRPr="00542CB0">
        <w:rPr>
          <w:rFonts w:ascii="Times New Roman" w:eastAsia="Times New Roman" w:hAnsi="Times New Roman" w:cs="Times New Roman"/>
          <w:bCs/>
          <w:sz w:val="20"/>
          <w:szCs w:val="20"/>
          <w:lang w:val="en-US" w:eastAsia="ru-RU"/>
        </w:rPr>
        <w:t>v</w:t>
      </w:r>
      <w:r w:rsidRPr="002268F5">
        <w:rPr>
          <w:rFonts w:ascii="Times New Roman" w:eastAsia="Times New Roman" w:hAnsi="Times New Roman" w:cs="Times New Roman"/>
          <w:bCs/>
          <w:sz w:val="20"/>
          <w:szCs w:val="20"/>
          <w:lang w:val="uk-UA" w:eastAsia="ru-RU"/>
        </w:rPr>
        <w:t xml:space="preserve"> </w:t>
      </w:r>
      <w:r w:rsidRPr="00542CB0">
        <w:rPr>
          <w:rFonts w:ascii="Times New Roman" w:eastAsia="Times New Roman" w:hAnsi="Times New Roman" w:cs="Times New Roman"/>
          <w:bCs/>
          <w:sz w:val="20"/>
          <w:szCs w:val="20"/>
          <w:lang w:val="en-US" w:eastAsia="ru-RU"/>
        </w:rPr>
        <w:t>patogeneze</w:t>
      </w:r>
      <w:r w:rsidRPr="002268F5">
        <w:rPr>
          <w:rFonts w:ascii="Times New Roman" w:eastAsia="Times New Roman" w:hAnsi="Times New Roman" w:cs="Times New Roman"/>
          <w:bCs/>
          <w:sz w:val="20"/>
          <w:szCs w:val="20"/>
          <w:lang w:val="uk-UA" w:eastAsia="ru-RU"/>
        </w:rPr>
        <w:t xml:space="preserve"> </w:t>
      </w:r>
      <w:r w:rsidRPr="00542CB0">
        <w:rPr>
          <w:rFonts w:ascii="Times New Roman" w:eastAsia="Times New Roman" w:hAnsi="Times New Roman" w:cs="Times New Roman"/>
          <w:bCs/>
          <w:sz w:val="20"/>
          <w:szCs w:val="20"/>
          <w:lang w:val="en-US" w:eastAsia="ru-RU"/>
        </w:rPr>
        <w:t>infekczionny</w:t>
      </w:r>
      <w:r w:rsidRPr="002268F5">
        <w:rPr>
          <w:rFonts w:ascii="Times New Roman" w:eastAsia="Times New Roman" w:hAnsi="Times New Roman" w:cs="Times New Roman"/>
          <w:bCs/>
          <w:sz w:val="20"/>
          <w:szCs w:val="20"/>
          <w:lang w:val="uk-UA" w:eastAsia="ru-RU"/>
        </w:rPr>
        <w:t>`</w:t>
      </w:r>
      <w:r w:rsidRPr="00542CB0">
        <w:rPr>
          <w:rFonts w:ascii="Times New Roman" w:eastAsia="Times New Roman" w:hAnsi="Times New Roman" w:cs="Times New Roman"/>
          <w:bCs/>
          <w:sz w:val="20"/>
          <w:szCs w:val="20"/>
          <w:lang w:val="en-US" w:eastAsia="ru-RU"/>
        </w:rPr>
        <w:t>kh</w:t>
      </w:r>
      <w:r w:rsidRPr="002268F5">
        <w:rPr>
          <w:rFonts w:ascii="Times New Roman" w:eastAsia="Times New Roman" w:hAnsi="Times New Roman" w:cs="Times New Roman"/>
          <w:bCs/>
          <w:sz w:val="20"/>
          <w:szCs w:val="20"/>
          <w:lang w:val="uk-UA" w:eastAsia="ru-RU"/>
        </w:rPr>
        <w:t xml:space="preserve"> </w:t>
      </w:r>
      <w:r w:rsidRPr="00542CB0">
        <w:rPr>
          <w:rFonts w:ascii="Times New Roman" w:eastAsia="Times New Roman" w:hAnsi="Times New Roman" w:cs="Times New Roman"/>
          <w:bCs/>
          <w:sz w:val="20"/>
          <w:szCs w:val="20"/>
          <w:lang w:val="en-US" w:eastAsia="ru-RU"/>
        </w:rPr>
        <w:t>i</w:t>
      </w:r>
      <w:r w:rsidRPr="002268F5">
        <w:rPr>
          <w:rFonts w:ascii="Times New Roman" w:eastAsia="Times New Roman" w:hAnsi="Times New Roman" w:cs="Times New Roman"/>
          <w:bCs/>
          <w:sz w:val="20"/>
          <w:szCs w:val="20"/>
          <w:lang w:val="uk-UA" w:eastAsia="ru-RU"/>
        </w:rPr>
        <w:t xml:space="preserve"> </w:t>
      </w:r>
      <w:r w:rsidRPr="00542CB0">
        <w:rPr>
          <w:rFonts w:ascii="Times New Roman" w:eastAsia="Times New Roman" w:hAnsi="Times New Roman" w:cs="Times New Roman"/>
          <w:bCs/>
          <w:sz w:val="20"/>
          <w:szCs w:val="20"/>
          <w:lang w:val="en-US" w:eastAsia="ru-RU"/>
        </w:rPr>
        <w:t>neinfekczionny</w:t>
      </w:r>
      <w:r w:rsidRPr="002268F5">
        <w:rPr>
          <w:rFonts w:ascii="Times New Roman" w:eastAsia="Times New Roman" w:hAnsi="Times New Roman" w:cs="Times New Roman"/>
          <w:bCs/>
          <w:sz w:val="20"/>
          <w:szCs w:val="20"/>
          <w:lang w:val="uk-UA" w:eastAsia="ru-RU"/>
        </w:rPr>
        <w:t>`</w:t>
      </w:r>
      <w:r w:rsidRPr="00542CB0">
        <w:rPr>
          <w:rFonts w:ascii="Times New Roman" w:eastAsia="Times New Roman" w:hAnsi="Times New Roman" w:cs="Times New Roman"/>
          <w:bCs/>
          <w:sz w:val="20"/>
          <w:szCs w:val="20"/>
          <w:lang w:val="en-US" w:eastAsia="ru-RU"/>
        </w:rPr>
        <w:t>kh</w:t>
      </w:r>
      <w:r w:rsidRPr="002268F5">
        <w:rPr>
          <w:rFonts w:ascii="Times New Roman" w:eastAsia="Times New Roman" w:hAnsi="Times New Roman" w:cs="Times New Roman"/>
          <w:bCs/>
          <w:sz w:val="20"/>
          <w:szCs w:val="20"/>
          <w:lang w:val="uk-UA" w:eastAsia="ru-RU"/>
        </w:rPr>
        <w:t xml:space="preserve"> </w:t>
      </w:r>
      <w:r w:rsidRPr="00542CB0">
        <w:rPr>
          <w:rFonts w:ascii="Times New Roman" w:eastAsia="Times New Roman" w:hAnsi="Times New Roman" w:cs="Times New Roman"/>
          <w:bCs/>
          <w:sz w:val="20"/>
          <w:szCs w:val="20"/>
          <w:lang w:val="en-US" w:eastAsia="ru-RU"/>
        </w:rPr>
        <w:t>zabolevanij</w:t>
      </w:r>
      <w:r w:rsidRPr="002268F5">
        <w:rPr>
          <w:rFonts w:ascii="Times New Roman" w:eastAsia="Times New Roman" w:hAnsi="Times New Roman" w:cs="Times New Roman"/>
          <w:bCs/>
          <w:sz w:val="20"/>
          <w:szCs w:val="20"/>
          <w:lang w:val="uk-UA" w:eastAsia="ru-RU"/>
        </w:rPr>
        <w:t xml:space="preserve"> </w:t>
      </w:r>
      <w:r w:rsidRPr="00542CB0">
        <w:rPr>
          <w:rFonts w:ascii="Times New Roman" w:eastAsia="Times New Roman" w:hAnsi="Times New Roman" w:cs="Times New Roman"/>
          <w:bCs/>
          <w:sz w:val="20"/>
          <w:szCs w:val="20"/>
          <w:lang w:val="en-US" w:eastAsia="ru-RU"/>
        </w:rPr>
        <w:t>cheloveka</w:t>
      </w:r>
      <w:r w:rsidRPr="002268F5">
        <w:rPr>
          <w:rFonts w:ascii="Times New Roman" w:eastAsia="Times New Roman" w:hAnsi="Times New Roman" w:cs="Times New Roman"/>
          <w:bCs/>
          <w:sz w:val="20"/>
          <w:szCs w:val="20"/>
          <w:lang w:val="uk-UA" w:eastAsia="ru-RU"/>
        </w:rPr>
        <w:t xml:space="preserve">. </w:t>
      </w:r>
      <w:r>
        <w:rPr>
          <w:rFonts w:ascii="Times New Roman" w:eastAsia="Times New Roman" w:hAnsi="Times New Roman" w:cs="Times New Roman"/>
          <w:bCs/>
          <w:sz w:val="20"/>
          <w:szCs w:val="20"/>
          <w:lang w:val="en-US" w:eastAsia="ru-RU"/>
        </w:rPr>
        <w:t>[</w:t>
      </w:r>
      <w:r w:rsidRPr="00542CB0">
        <w:rPr>
          <w:rFonts w:ascii="Times New Roman" w:eastAsia="Times New Roman" w:hAnsi="Times New Roman" w:cs="Times New Roman"/>
          <w:bCs/>
          <w:sz w:val="20"/>
          <w:szCs w:val="20"/>
          <w:lang w:val="en-US" w:eastAsia="ru-RU"/>
        </w:rPr>
        <w:t>Сytokines in the pathogenesis of infectious and noninfectious human diseases</w:t>
      </w:r>
      <w:r>
        <w:rPr>
          <w:rFonts w:ascii="Times New Roman" w:eastAsia="Times New Roman" w:hAnsi="Times New Roman" w:cs="Times New Roman"/>
          <w:bCs/>
          <w:sz w:val="20"/>
          <w:szCs w:val="20"/>
          <w:lang w:val="en-US" w:eastAsia="ru-RU"/>
        </w:rPr>
        <w:t>]</w:t>
      </w:r>
      <w:r w:rsidRPr="00542CB0">
        <w:rPr>
          <w:rFonts w:ascii="Times New Roman" w:eastAsia="Times New Roman" w:hAnsi="Times New Roman" w:cs="Times New Roman"/>
          <w:bCs/>
          <w:sz w:val="20"/>
          <w:szCs w:val="20"/>
          <w:lang w:val="en-US" w:eastAsia="ru-RU"/>
        </w:rPr>
        <w:t xml:space="preserve">. </w:t>
      </w:r>
      <w:r w:rsidRPr="005D34CC">
        <w:rPr>
          <w:rFonts w:ascii="Times New Roman" w:eastAsia="Times New Roman" w:hAnsi="Times New Roman" w:cs="Times New Roman"/>
          <w:bCs/>
          <w:sz w:val="20"/>
          <w:szCs w:val="20"/>
          <w:lang w:val="de-DE" w:eastAsia="ru-RU"/>
        </w:rPr>
        <w:t xml:space="preserve">Meditsinskii </w:t>
      </w:r>
      <w:r w:rsidR="00314DED">
        <w:rPr>
          <w:rFonts w:ascii="Times New Roman" w:eastAsia="Times New Roman" w:hAnsi="Times New Roman" w:cs="Times New Roman"/>
          <w:bCs/>
          <w:sz w:val="20"/>
          <w:szCs w:val="20"/>
          <w:lang w:val="de-DE" w:eastAsia="ru-RU"/>
        </w:rPr>
        <w:t>A</w:t>
      </w:r>
      <w:r w:rsidRPr="005D34CC">
        <w:rPr>
          <w:rFonts w:ascii="Times New Roman" w:eastAsia="Times New Roman" w:hAnsi="Times New Roman" w:cs="Times New Roman"/>
          <w:bCs/>
          <w:sz w:val="20"/>
          <w:szCs w:val="20"/>
          <w:lang w:val="de-DE" w:eastAsia="ru-RU"/>
        </w:rPr>
        <w:t xml:space="preserve">kademicheskii </w:t>
      </w:r>
      <w:r w:rsidR="00314DED">
        <w:rPr>
          <w:rFonts w:ascii="Times New Roman" w:eastAsia="Times New Roman" w:hAnsi="Times New Roman" w:cs="Times New Roman"/>
          <w:bCs/>
          <w:sz w:val="20"/>
          <w:szCs w:val="20"/>
          <w:lang w:val="de-DE" w:eastAsia="ru-RU"/>
        </w:rPr>
        <w:t>Z</w:t>
      </w:r>
      <w:r w:rsidRPr="005D34CC">
        <w:rPr>
          <w:rFonts w:ascii="Times New Roman" w:eastAsia="Times New Roman" w:hAnsi="Times New Roman" w:cs="Times New Roman"/>
          <w:bCs/>
          <w:sz w:val="20"/>
          <w:szCs w:val="20"/>
          <w:lang w:val="de-DE" w:eastAsia="ru-RU"/>
        </w:rPr>
        <w:t>hurnal, 13(3),</w:t>
      </w:r>
      <w:r w:rsidR="007F019A">
        <w:rPr>
          <w:rFonts w:ascii="Times New Roman" w:eastAsia="Times New Roman" w:hAnsi="Times New Roman" w:cs="Times New Roman"/>
          <w:bCs/>
          <w:sz w:val="20"/>
          <w:szCs w:val="20"/>
          <w:lang w:val="de-DE" w:eastAsia="ru-RU"/>
        </w:rPr>
        <w:t xml:space="preserve"> </w:t>
      </w:r>
      <w:r w:rsidRPr="005D34CC">
        <w:rPr>
          <w:rFonts w:ascii="Times New Roman" w:eastAsia="Times New Roman" w:hAnsi="Times New Roman" w:cs="Times New Roman"/>
          <w:bCs/>
          <w:sz w:val="20"/>
          <w:szCs w:val="20"/>
          <w:lang w:val="de-DE" w:eastAsia="ru-RU"/>
        </w:rPr>
        <w:t>18</w:t>
      </w:r>
      <w:r w:rsidR="00AB3651" w:rsidRPr="00AB3651">
        <w:rPr>
          <w:rFonts w:ascii="Times New Roman" w:eastAsia="Times New Roman" w:hAnsi="Times New Roman" w:cs="Times New Roman"/>
          <w:bCs/>
          <w:sz w:val="20"/>
          <w:szCs w:val="20"/>
          <w:lang w:val="de-DE" w:eastAsia="ru-RU"/>
        </w:rPr>
        <w:t>–</w:t>
      </w:r>
      <w:r w:rsidR="00D616C1">
        <w:rPr>
          <w:rFonts w:ascii="Times New Roman" w:eastAsia="Times New Roman" w:hAnsi="Times New Roman" w:cs="Times New Roman"/>
          <w:bCs/>
          <w:sz w:val="20"/>
          <w:szCs w:val="20"/>
          <w:lang w:val="de-DE" w:eastAsia="ru-RU"/>
        </w:rPr>
        <w:t>41</w:t>
      </w:r>
      <w:r w:rsidRPr="005D34CC">
        <w:rPr>
          <w:rFonts w:ascii="Times New Roman" w:eastAsia="Times New Roman" w:hAnsi="Times New Roman" w:cs="Times New Roman"/>
          <w:bCs/>
          <w:sz w:val="20"/>
          <w:szCs w:val="20"/>
          <w:lang w:val="de-DE" w:eastAsia="ru-RU"/>
        </w:rPr>
        <w:t xml:space="preserve"> (</w:t>
      </w:r>
      <w:r w:rsidR="007F019A">
        <w:rPr>
          <w:rFonts w:ascii="Times New Roman" w:eastAsia="Times New Roman" w:hAnsi="Times New Roman" w:cs="Times New Roman"/>
          <w:bCs/>
          <w:sz w:val="20"/>
          <w:szCs w:val="20"/>
          <w:lang w:val="de-DE" w:eastAsia="ru-RU"/>
        </w:rPr>
        <w:t>i</w:t>
      </w:r>
      <w:r w:rsidRPr="005D34CC">
        <w:rPr>
          <w:rFonts w:ascii="Times New Roman" w:eastAsia="Times New Roman" w:hAnsi="Times New Roman" w:cs="Times New Roman"/>
          <w:bCs/>
          <w:sz w:val="20"/>
          <w:szCs w:val="20"/>
          <w:lang w:val="de-DE" w:eastAsia="ru-RU"/>
        </w:rPr>
        <w:t>n Russian).</w:t>
      </w:r>
    </w:p>
    <w:p w:rsidR="0028648A" w:rsidRPr="00314DED" w:rsidRDefault="0028648A" w:rsidP="00314DED">
      <w:pPr>
        <w:pStyle w:val="a4"/>
        <w:autoSpaceDE w:val="0"/>
        <w:autoSpaceDN w:val="0"/>
        <w:adjustRightInd w:val="0"/>
        <w:spacing w:after="0" w:line="240" w:lineRule="auto"/>
        <w:ind w:left="426" w:hanging="426"/>
        <w:rPr>
          <w:rFonts w:ascii="Times New Roman" w:eastAsia="TimesNewRomanPSMT" w:hAnsi="Times New Roman" w:cs="Times New Roman"/>
          <w:sz w:val="20"/>
          <w:szCs w:val="20"/>
          <w:lang w:val="en-US"/>
        </w:rPr>
      </w:pPr>
      <w:r w:rsidRPr="00305403">
        <w:rPr>
          <w:rFonts w:ascii="Times New Roman" w:eastAsia="TimesNewRomanPSMT" w:hAnsi="Times New Roman" w:cs="Times New Roman"/>
          <w:sz w:val="20"/>
          <w:szCs w:val="20"/>
          <w:lang w:val="uk-UA"/>
        </w:rPr>
        <w:t>Sirenko</w:t>
      </w:r>
      <w:r w:rsidRPr="00620CAA">
        <w:rPr>
          <w:rFonts w:ascii="Times New Roman" w:eastAsia="TimesNewRomanPSMT" w:hAnsi="Times New Roman" w:cs="Times New Roman"/>
          <w:sz w:val="20"/>
          <w:szCs w:val="20"/>
          <w:lang w:val="de-DE"/>
        </w:rPr>
        <w:t>,</w:t>
      </w:r>
      <w:r w:rsidRPr="00305403">
        <w:rPr>
          <w:rFonts w:ascii="Times New Roman" w:eastAsia="TimesNewRomanPSMT" w:hAnsi="Times New Roman" w:cs="Times New Roman"/>
          <w:sz w:val="20"/>
          <w:szCs w:val="20"/>
          <w:lang w:val="uk-UA"/>
        </w:rPr>
        <w:t xml:space="preserve"> J.</w:t>
      </w:r>
      <w:r w:rsidR="00314DED" w:rsidRPr="00314DED">
        <w:rPr>
          <w:rFonts w:ascii="Times New Roman" w:eastAsia="TimesNewRomanPSMT" w:hAnsi="Times New Roman" w:cs="Times New Roman"/>
          <w:sz w:val="20"/>
          <w:szCs w:val="20"/>
          <w:lang w:val="de-DE"/>
        </w:rPr>
        <w:t xml:space="preserve"> </w:t>
      </w:r>
      <w:r w:rsidRPr="00305403">
        <w:rPr>
          <w:rFonts w:ascii="Times New Roman" w:eastAsia="TimesNewRomanPSMT" w:hAnsi="Times New Roman" w:cs="Times New Roman"/>
          <w:sz w:val="20"/>
          <w:szCs w:val="20"/>
          <w:lang w:val="uk-UA"/>
        </w:rPr>
        <w:t>N.,</w:t>
      </w:r>
      <w:r w:rsidRPr="00620CAA">
        <w:rPr>
          <w:rFonts w:ascii="Times New Roman" w:eastAsia="TimesNewRomanPSMT" w:hAnsi="Times New Roman" w:cs="Times New Roman"/>
          <w:sz w:val="20"/>
          <w:szCs w:val="20"/>
          <w:lang w:val="de-DE"/>
        </w:rPr>
        <w:t xml:space="preserve"> &amp; </w:t>
      </w:r>
      <w:r w:rsidRPr="00305403">
        <w:rPr>
          <w:rFonts w:ascii="Times New Roman" w:eastAsia="TimesNewRomanPSMT" w:hAnsi="Times New Roman" w:cs="Times New Roman"/>
          <w:sz w:val="20"/>
          <w:szCs w:val="20"/>
          <w:lang w:val="uk-UA"/>
        </w:rPr>
        <w:t>Rekovec</w:t>
      </w:r>
      <w:r w:rsidRPr="00620CAA">
        <w:rPr>
          <w:rFonts w:ascii="Times New Roman" w:eastAsia="TimesNewRomanPSMT" w:hAnsi="Times New Roman" w:cs="Times New Roman"/>
          <w:sz w:val="20"/>
          <w:szCs w:val="20"/>
          <w:lang w:val="de-DE"/>
        </w:rPr>
        <w:t>,</w:t>
      </w:r>
      <w:r>
        <w:rPr>
          <w:rFonts w:ascii="Times New Roman" w:eastAsia="TimesNewRomanPSMT" w:hAnsi="Times New Roman" w:cs="Times New Roman"/>
          <w:sz w:val="20"/>
          <w:szCs w:val="20"/>
          <w:lang w:val="uk-UA"/>
        </w:rPr>
        <w:t xml:space="preserve"> O.</w:t>
      </w:r>
      <w:r w:rsidR="00314DED" w:rsidRPr="00314DED">
        <w:rPr>
          <w:rFonts w:ascii="Times New Roman" w:eastAsia="TimesNewRomanPSMT" w:hAnsi="Times New Roman" w:cs="Times New Roman"/>
          <w:sz w:val="20"/>
          <w:szCs w:val="20"/>
          <w:lang w:val="de-DE"/>
        </w:rPr>
        <w:t xml:space="preserve"> </w:t>
      </w:r>
      <w:r>
        <w:rPr>
          <w:rFonts w:ascii="Times New Roman" w:eastAsia="TimesNewRomanPSMT" w:hAnsi="Times New Roman" w:cs="Times New Roman"/>
          <w:sz w:val="20"/>
          <w:szCs w:val="20"/>
          <w:lang w:val="uk-UA"/>
        </w:rPr>
        <w:t>L.</w:t>
      </w:r>
      <w:r w:rsidRPr="003D58F3">
        <w:rPr>
          <w:rFonts w:ascii="Times New Roman" w:eastAsia="TimesNewRomanPSMT" w:hAnsi="Times New Roman" w:cs="Times New Roman"/>
          <w:sz w:val="20"/>
          <w:szCs w:val="20"/>
          <w:lang w:val="de-DE"/>
        </w:rPr>
        <w:t xml:space="preserve"> </w:t>
      </w:r>
      <w:r w:rsidRPr="00620CAA">
        <w:rPr>
          <w:rFonts w:ascii="Times New Roman" w:eastAsia="TimesNewRomanPSMT" w:hAnsi="Times New Roman" w:cs="Times New Roman"/>
          <w:sz w:val="20"/>
          <w:szCs w:val="20"/>
          <w:lang w:val="de-DE"/>
        </w:rPr>
        <w:t>(</w:t>
      </w:r>
      <w:r w:rsidRPr="00305403">
        <w:rPr>
          <w:rFonts w:ascii="Times New Roman" w:eastAsia="TimesNewRomanPSMT" w:hAnsi="Times New Roman" w:cs="Times New Roman"/>
          <w:sz w:val="20"/>
          <w:szCs w:val="20"/>
          <w:lang w:val="uk-UA"/>
        </w:rPr>
        <w:t>2005</w:t>
      </w:r>
      <w:r w:rsidRPr="00620CAA">
        <w:rPr>
          <w:rFonts w:ascii="Times New Roman" w:eastAsia="TimesNewRomanPSMT" w:hAnsi="Times New Roman" w:cs="Times New Roman"/>
          <w:sz w:val="20"/>
          <w:szCs w:val="20"/>
          <w:lang w:val="de-DE"/>
        </w:rPr>
        <w:t xml:space="preserve">). </w:t>
      </w:r>
      <w:r w:rsidRPr="00620CAA">
        <w:rPr>
          <w:rFonts w:ascii="Times New Roman" w:eastAsia="TimesNewRomanPSMT" w:hAnsi="Times New Roman" w:cs="Times New Roman"/>
          <w:sz w:val="20"/>
          <w:szCs w:val="20"/>
          <w:lang w:val="uk-UA"/>
        </w:rPr>
        <w:t>Rol' fozinoprila v lechenii arterial'noj gipertenzii</w:t>
      </w:r>
      <w:r w:rsidR="0099692D" w:rsidRPr="00314DED">
        <w:rPr>
          <w:rFonts w:ascii="Times New Roman" w:eastAsia="TimesNewRomanPSMT" w:hAnsi="Times New Roman" w:cs="Times New Roman"/>
          <w:sz w:val="20"/>
          <w:szCs w:val="20"/>
          <w:lang w:val="en-US"/>
        </w:rPr>
        <w:t xml:space="preserve"> [</w:t>
      </w:r>
      <w:r w:rsidR="00314DED">
        <w:rPr>
          <w:rFonts w:ascii="Times New Roman" w:eastAsia="TimesNewRomanPSMT" w:hAnsi="Times New Roman" w:cs="Times New Roman"/>
          <w:sz w:val="20"/>
          <w:szCs w:val="20"/>
          <w:lang w:val="en-US"/>
        </w:rPr>
        <w:t xml:space="preserve">Role of fosinopril in treatment </w:t>
      </w:r>
      <w:r w:rsidR="00314DED" w:rsidRPr="00314DED">
        <w:rPr>
          <w:rFonts w:ascii="Times New Roman" w:eastAsia="TimesNewRomanPSMT" w:hAnsi="Times New Roman" w:cs="Times New Roman"/>
          <w:sz w:val="20"/>
          <w:szCs w:val="20"/>
          <w:lang w:val="en-US"/>
        </w:rPr>
        <w:t>arterial hypertension]</w:t>
      </w:r>
      <w:r w:rsidRPr="00314DED">
        <w:rPr>
          <w:rFonts w:ascii="Times New Roman" w:eastAsia="TimesNewRomanPSMT" w:hAnsi="Times New Roman" w:cs="Times New Roman"/>
          <w:sz w:val="20"/>
          <w:szCs w:val="20"/>
          <w:lang w:val="en-US"/>
        </w:rPr>
        <w:t xml:space="preserve"> </w:t>
      </w:r>
      <w:r w:rsidRPr="00314DED">
        <w:rPr>
          <w:rFonts w:ascii="Times New Roman" w:eastAsia="TimesNewRomanPSMT" w:hAnsi="Times New Roman" w:cs="Times New Roman"/>
          <w:sz w:val="20"/>
          <w:szCs w:val="20"/>
          <w:lang w:val="uk-UA"/>
        </w:rPr>
        <w:t xml:space="preserve">Ukrainskij </w:t>
      </w:r>
      <w:r w:rsidR="00314DED">
        <w:rPr>
          <w:rFonts w:ascii="Times New Roman" w:eastAsia="TimesNewRomanPSMT" w:hAnsi="Times New Roman" w:cs="Times New Roman"/>
          <w:sz w:val="20"/>
          <w:szCs w:val="20"/>
          <w:lang w:val="en-US"/>
        </w:rPr>
        <w:t>K</w:t>
      </w:r>
      <w:r w:rsidRPr="00314DED">
        <w:rPr>
          <w:rFonts w:ascii="Times New Roman" w:eastAsia="TimesNewRomanPSMT" w:hAnsi="Times New Roman" w:cs="Times New Roman"/>
          <w:sz w:val="20"/>
          <w:szCs w:val="20"/>
          <w:lang w:val="uk-UA"/>
        </w:rPr>
        <w:t xml:space="preserve">ardiologicheskij </w:t>
      </w:r>
      <w:r w:rsidR="00314DED">
        <w:rPr>
          <w:rFonts w:ascii="Times New Roman" w:eastAsia="TimesNewRomanPSMT" w:hAnsi="Times New Roman" w:cs="Times New Roman"/>
          <w:sz w:val="20"/>
          <w:szCs w:val="20"/>
          <w:lang w:val="en-US"/>
        </w:rPr>
        <w:t>Z</w:t>
      </w:r>
      <w:r w:rsidRPr="00314DED">
        <w:rPr>
          <w:rFonts w:ascii="Times New Roman" w:eastAsia="TimesNewRomanPSMT" w:hAnsi="Times New Roman" w:cs="Times New Roman"/>
          <w:sz w:val="20"/>
          <w:szCs w:val="20"/>
          <w:lang w:val="uk-UA"/>
        </w:rPr>
        <w:t>hurnal</w:t>
      </w:r>
      <w:r w:rsidRPr="00314DED">
        <w:rPr>
          <w:rFonts w:ascii="Times New Roman" w:eastAsia="TimesNewRomanPSMT" w:hAnsi="Times New Roman" w:cs="Times New Roman"/>
          <w:sz w:val="20"/>
          <w:szCs w:val="20"/>
          <w:lang w:val="en-US"/>
        </w:rPr>
        <w:t>,</w:t>
      </w:r>
      <w:r w:rsidRPr="00314DED">
        <w:rPr>
          <w:rFonts w:ascii="Times New Roman" w:eastAsia="TimesNewRomanPSMT" w:hAnsi="Times New Roman" w:cs="Times New Roman"/>
          <w:sz w:val="20"/>
          <w:szCs w:val="20"/>
          <w:lang w:val="uk-UA"/>
        </w:rPr>
        <w:t xml:space="preserve"> 2</w:t>
      </w:r>
      <w:r w:rsidRPr="00314DED">
        <w:rPr>
          <w:rFonts w:ascii="Times New Roman" w:eastAsia="TimesNewRomanPSMT" w:hAnsi="Times New Roman" w:cs="Times New Roman"/>
          <w:sz w:val="20"/>
          <w:szCs w:val="20"/>
          <w:lang w:val="en-US"/>
        </w:rPr>
        <w:t>,</w:t>
      </w:r>
      <w:r w:rsidRPr="00314DED">
        <w:rPr>
          <w:rFonts w:ascii="Times New Roman" w:eastAsia="TimesNewRomanPSMT" w:hAnsi="Times New Roman" w:cs="Times New Roman"/>
          <w:sz w:val="20"/>
          <w:szCs w:val="20"/>
          <w:lang w:val="uk-UA"/>
        </w:rPr>
        <w:t xml:space="preserve"> 5</w:t>
      </w:r>
      <w:r w:rsidR="00AB3651" w:rsidRPr="00314DED">
        <w:rPr>
          <w:rFonts w:ascii="Times New Roman" w:eastAsia="TimesNewRomanPSMT" w:hAnsi="Times New Roman" w:cs="Times New Roman"/>
          <w:sz w:val="20"/>
          <w:szCs w:val="20"/>
          <w:lang w:val="uk-UA"/>
        </w:rPr>
        <w:t>–</w:t>
      </w:r>
      <w:r w:rsidR="00D616C1">
        <w:rPr>
          <w:rFonts w:ascii="Times New Roman" w:eastAsia="TimesNewRomanPSMT" w:hAnsi="Times New Roman" w:cs="Times New Roman"/>
          <w:sz w:val="20"/>
          <w:szCs w:val="20"/>
          <w:lang w:val="uk-UA"/>
        </w:rPr>
        <w:t>15</w:t>
      </w:r>
      <w:r w:rsidRPr="00314DED">
        <w:rPr>
          <w:rFonts w:ascii="Times New Roman" w:eastAsia="Times New Roman" w:hAnsi="Times New Roman" w:cs="Times New Roman"/>
          <w:bCs/>
          <w:sz w:val="20"/>
          <w:szCs w:val="20"/>
          <w:lang w:val="en-US" w:eastAsia="ru-RU"/>
        </w:rPr>
        <w:t xml:space="preserve"> (</w:t>
      </w:r>
      <w:r w:rsidR="00314DED" w:rsidRPr="00314DED">
        <w:rPr>
          <w:rFonts w:ascii="Times New Roman" w:eastAsia="Times New Roman" w:hAnsi="Times New Roman" w:cs="Times New Roman"/>
          <w:bCs/>
          <w:sz w:val="20"/>
          <w:szCs w:val="20"/>
          <w:lang w:val="en-US" w:eastAsia="ru-RU"/>
        </w:rPr>
        <w:t>i</w:t>
      </w:r>
      <w:r w:rsidRPr="00314DED">
        <w:rPr>
          <w:rFonts w:ascii="Times New Roman" w:eastAsia="Times New Roman" w:hAnsi="Times New Roman" w:cs="Times New Roman"/>
          <w:bCs/>
          <w:sz w:val="20"/>
          <w:szCs w:val="20"/>
          <w:lang w:val="en-US" w:eastAsia="ru-RU"/>
        </w:rPr>
        <w:t>n Russian).</w:t>
      </w:r>
    </w:p>
    <w:p w:rsidR="0028648A" w:rsidRDefault="0028648A" w:rsidP="00CC669E">
      <w:pPr>
        <w:pStyle w:val="lead"/>
        <w:shd w:val="clear" w:color="auto" w:fill="FFFFFF"/>
        <w:spacing w:before="0" w:beforeAutospacing="0" w:after="48" w:afterAutospacing="0"/>
        <w:ind w:left="426" w:hanging="426"/>
        <w:contextualSpacing/>
        <w:jc w:val="both"/>
        <w:rPr>
          <w:bCs/>
          <w:sz w:val="20"/>
          <w:szCs w:val="20"/>
          <w:lang w:val="en-US"/>
        </w:rPr>
      </w:pPr>
      <w:r w:rsidRPr="00305403">
        <w:rPr>
          <w:bCs/>
          <w:sz w:val="20"/>
          <w:szCs w:val="20"/>
          <w:lang w:val="en-US"/>
        </w:rPr>
        <w:t>Sproston</w:t>
      </w:r>
      <w:r>
        <w:rPr>
          <w:bCs/>
          <w:sz w:val="20"/>
          <w:szCs w:val="20"/>
          <w:lang w:val="en-US"/>
        </w:rPr>
        <w:t>,</w:t>
      </w:r>
      <w:r w:rsidRPr="00305403">
        <w:rPr>
          <w:bCs/>
          <w:sz w:val="20"/>
          <w:szCs w:val="20"/>
          <w:lang w:val="en-US"/>
        </w:rPr>
        <w:t xml:space="preserve"> N.</w:t>
      </w:r>
      <w:r w:rsidR="00314DED">
        <w:rPr>
          <w:bCs/>
          <w:sz w:val="20"/>
          <w:szCs w:val="20"/>
          <w:lang w:val="en-US"/>
        </w:rPr>
        <w:t xml:space="preserve"> </w:t>
      </w:r>
      <w:r w:rsidRPr="00305403">
        <w:rPr>
          <w:bCs/>
          <w:sz w:val="20"/>
          <w:szCs w:val="20"/>
          <w:lang w:val="en-US"/>
        </w:rPr>
        <w:t xml:space="preserve">R., </w:t>
      </w:r>
      <w:r w:rsidRPr="00A34BEB">
        <w:rPr>
          <w:rFonts w:eastAsia="TimesNewRomanPSMT"/>
          <w:sz w:val="20"/>
          <w:szCs w:val="20"/>
          <w:lang w:val="en-US"/>
        </w:rPr>
        <w:t>&amp;</w:t>
      </w:r>
      <w:r>
        <w:rPr>
          <w:rFonts w:eastAsia="TimesNewRomanPSMT"/>
          <w:sz w:val="20"/>
          <w:szCs w:val="20"/>
          <w:lang w:val="en-US"/>
        </w:rPr>
        <w:t xml:space="preserve"> </w:t>
      </w:r>
      <w:r w:rsidRPr="00305403">
        <w:rPr>
          <w:bCs/>
          <w:sz w:val="20"/>
          <w:szCs w:val="20"/>
          <w:lang w:val="en-US"/>
        </w:rPr>
        <w:t>Ashworth</w:t>
      </w:r>
      <w:r>
        <w:rPr>
          <w:bCs/>
          <w:sz w:val="20"/>
          <w:szCs w:val="20"/>
          <w:lang w:val="en-US"/>
        </w:rPr>
        <w:t>,</w:t>
      </w:r>
      <w:r w:rsidRPr="00305403">
        <w:rPr>
          <w:bCs/>
          <w:sz w:val="20"/>
          <w:szCs w:val="20"/>
          <w:lang w:val="en-US"/>
        </w:rPr>
        <w:t xml:space="preserve"> J.</w:t>
      </w:r>
      <w:r w:rsidR="00314DED">
        <w:rPr>
          <w:bCs/>
          <w:sz w:val="20"/>
          <w:szCs w:val="20"/>
          <w:lang w:val="en-US"/>
        </w:rPr>
        <w:t xml:space="preserve"> </w:t>
      </w:r>
      <w:r w:rsidRPr="00305403">
        <w:rPr>
          <w:bCs/>
          <w:sz w:val="20"/>
          <w:szCs w:val="20"/>
          <w:lang w:val="en-US"/>
        </w:rPr>
        <w:t>J</w:t>
      </w:r>
      <w:r>
        <w:rPr>
          <w:bCs/>
          <w:sz w:val="20"/>
          <w:szCs w:val="20"/>
          <w:lang w:val="en-US"/>
        </w:rPr>
        <w:t>.</w:t>
      </w:r>
      <w:r w:rsidRPr="00305403">
        <w:rPr>
          <w:sz w:val="20"/>
          <w:szCs w:val="20"/>
          <w:lang w:val="en-US"/>
        </w:rPr>
        <w:t xml:space="preserve"> </w:t>
      </w:r>
      <w:r>
        <w:rPr>
          <w:sz w:val="20"/>
          <w:szCs w:val="20"/>
          <w:lang w:val="en-US"/>
        </w:rPr>
        <w:t>(</w:t>
      </w:r>
      <w:r w:rsidRPr="00305403">
        <w:rPr>
          <w:bCs/>
          <w:sz w:val="20"/>
          <w:szCs w:val="20"/>
          <w:lang w:val="en-US"/>
        </w:rPr>
        <w:t>2018</w:t>
      </w:r>
      <w:r>
        <w:rPr>
          <w:bCs/>
          <w:sz w:val="20"/>
          <w:szCs w:val="20"/>
          <w:lang w:val="en-US"/>
        </w:rPr>
        <w:t xml:space="preserve">). </w:t>
      </w:r>
      <w:r w:rsidRPr="00542CB0">
        <w:rPr>
          <w:bCs/>
          <w:sz w:val="20"/>
          <w:szCs w:val="20"/>
          <w:lang w:val="en-US"/>
        </w:rPr>
        <w:t xml:space="preserve">Role of C-Reactive Protein at </w:t>
      </w:r>
      <w:r w:rsidR="00314DED">
        <w:rPr>
          <w:bCs/>
          <w:sz w:val="20"/>
          <w:szCs w:val="20"/>
          <w:lang w:val="en-US"/>
        </w:rPr>
        <w:t>s</w:t>
      </w:r>
      <w:r w:rsidRPr="00542CB0">
        <w:rPr>
          <w:bCs/>
          <w:sz w:val="20"/>
          <w:szCs w:val="20"/>
          <w:lang w:val="en-US"/>
        </w:rPr>
        <w:t xml:space="preserve">ites of </w:t>
      </w:r>
      <w:r w:rsidR="00314DED">
        <w:rPr>
          <w:bCs/>
          <w:sz w:val="20"/>
          <w:szCs w:val="20"/>
          <w:lang w:val="en-US"/>
        </w:rPr>
        <w:t>i</w:t>
      </w:r>
      <w:r w:rsidRPr="00542CB0">
        <w:rPr>
          <w:bCs/>
          <w:sz w:val="20"/>
          <w:szCs w:val="20"/>
          <w:lang w:val="en-US"/>
        </w:rPr>
        <w:t xml:space="preserve">nflammation and </w:t>
      </w:r>
      <w:r w:rsidR="00314DED">
        <w:rPr>
          <w:bCs/>
          <w:sz w:val="20"/>
          <w:szCs w:val="20"/>
          <w:lang w:val="en-US"/>
        </w:rPr>
        <w:t>i</w:t>
      </w:r>
      <w:r w:rsidRPr="00542CB0">
        <w:rPr>
          <w:bCs/>
          <w:sz w:val="20"/>
          <w:szCs w:val="20"/>
          <w:lang w:val="en-US"/>
        </w:rPr>
        <w:t>nfection.</w:t>
      </w:r>
      <w:r>
        <w:rPr>
          <w:sz w:val="20"/>
          <w:szCs w:val="20"/>
          <w:shd w:val="clear" w:color="auto" w:fill="FFFFFF"/>
          <w:lang w:val="en-US"/>
        </w:rPr>
        <w:t xml:space="preserve"> </w:t>
      </w:r>
      <w:r w:rsidRPr="0000582B">
        <w:rPr>
          <w:sz w:val="20"/>
          <w:szCs w:val="20"/>
          <w:shd w:val="clear" w:color="auto" w:fill="FFFFFF"/>
          <w:lang w:val="en-US"/>
        </w:rPr>
        <w:t>Frontiers in Immunology</w:t>
      </w:r>
      <w:r>
        <w:rPr>
          <w:sz w:val="20"/>
          <w:szCs w:val="20"/>
          <w:shd w:val="clear" w:color="auto" w:fill="FFFFFF"/>
          <w:lang w:val="en-US"/>
        </w:rPr>
        <w:t xml:space="preserve">, </w:t>
      </w:r>
      <w:r w:rsidRPr="0000582B">
        <w:rPr>
          <w:bCs/>
          <w:sz w:val="20"/>
          <w:szCs w:val="20"/>
          <w:lang w:val="en-US"/>
        </w:rPr>
        <w:t>9, 754.</w:t>
      </w:r>
      <w:r w:rsidRPr="005D34CC">
        <w:rPr>
          <w:lang w:val="en-US"/>
        </w:rPr>
        <w:t xml:space="preserve"> </w:t>
      </w:r>
      <w:r w:rsidRPr="0000582B">
        <w:rPr>
          <w:bCs/>
          <w:sz w:val="20"/>
          <w:szCs w:val="20"/>
          <w:lang w:val="en-US"/>
        </w:rPr>
        <w:t>doi.org/10.3389/fimmu.2018.00754</w:t>
      </w:r>
    </w:p>
    <w:p w:rsidR="0028648A" w:rsidRPr="000D0325" w:rsidRDefault="0028648A" w:rsidP="00CC669E">
      <w:pPr>
        <w:pStyle w:val="a4"/>
        <w:autoSpaceDE w:val="0"/>
        <w:autoSpaceDN w:val="0"/>
        <w:adjustRightInd w:val="0"/>
        <w:spacing w:after="0" w:line="240" w:lineRule="auto"/>
        <w:ind w:left="426" w:hanging="426"/>
        <w:rPr>
          <w:rFonts w:ascii="Times New Roman" w:eastAsia="TimesNewRomanPSMT" w:hAnsi="Times New Roman" w:cs="Times New Roman"/>
          <w:sz w:val="20"/>
          <w:szCs w:val="20"/>
          <w:lang w:val="en-US"/>
        </w:rPr>
      </w:pPr>
      <w:r w:rsidRPr="000D0325">
        <w:rPr>
          <w:rFonts w:ascii="Times New Roman" w:eastAsia="TimesNewRomanPSMT" w:hAnsi="Times New Roman" w:cs="Times New Roman"/>
          <w:sz w:val="20"/>
          <w:szCs w:val="20"/>
          <w:lang w:val="en-US"/>
        </w:rPr>
        <w:t>Svischenko, E. (2002).</w:t>
      </w:r>
      <w:r w:rsidR="00314DED">
        <w:rPr>
          <w:rFonts w:ascii="Times New Roman" w:eastAsia="TimesNewRomanPSMT" w:hAnsi="Times New Roman" w:cs="Times New Roman"/>
          <w:sz w:val="20"/>
          <w:szCs w:val="20"/>
          <w:lang w:val="en-US"/>
        </w:rPr>
        <w:t xml:space="preserve"> </w:t>
      </w:r>
      <w:r w:rsidRPr="000D0325">
        <w:rPr>
          <w:rFonts w:ascii="Times New Roman" w:eastAsia="TimesNewRomanPSMT" w:hAnsi="Times New Roman" w:cs="Times New Roman"/>
          <w:sz w:val="20"/>
          <w:szCs w:val="20"/>
          <w:lang w:val="en-US"/>
        </w:rPr>
        <w:t xml:space="preserve">Anti-atherogenic effect of lacidipine: study ELSA (European Lacidipine Study on Atherosclerosis). Medicine svіtu. </w:t>
      </w:r>
    </w:p>
    <w:p w:rsidR="0028648A" w:rsidRPr="00305403" w:rsidRDefault="0028648A" w:rsidP="00CC669E">
      <w:pPr>
        <w:pStyle w:val="a4"/>
        <w:shd w:val="clear" w:color="auto" w:fill="FFFFFF"/>
        <w:spacing w:after="48" w:line="240" w:lineRule="auto"/>
        <w:ind w:left="426" w:hanging="426"/>
        <w:rPr>
          <w:rFonts w:ascii="Times New Roman" w:eastAsia="Times New Roman" w:hAnsi="Times New Roman" w:cs="Times New Roman"/>
          <w:sz w:val="20"/>
          <w:szCs w:val="20"/>
          <w:lang w:val="en-US" w:eastAsia="ru-RU"/>
        </w:rPr>
      </w:pPr>
      <w:r w:rsidRPr="0020167C">
        <w:rPr>
          <w:rFonts w:ascii="Times New Roman" w:eastAsia="Times New Roman" w:hAnsi="Times New Roman" w:cs="Times New Roman"/>
          <w:bCs/>
          <w:sz w:val="20"/>
          <w:szCs w:val="20"/>
          <w:lang w:val="en-US" w:eastAsia="ru-RU"/>
        </w:rPr>
        <w:lastRenderedPageBreak/>
        <w:t>Vasan</w:t>
      </w:r>
      <w:r>
        <w:rPr>
          <w:rFonts w:ascii="Times New Roman" w:eastAsia="Times New Roman" w:hAnsi="Times New Roman" w:cs="Times New Roman"/>
          <w:bCs/>
          <w:sz w:val="20"/>
          <w:szCs w:val="20"/>
          <w:lang w:val="en-US" w:eastAsia="ru-RU"/>
        </w:rPr>
        <w:t>,</w:t>
      </w:r>
      <w:r w:rsidRPr="0020167C">
        <w:rPr>
          <w:rFonts w:ascii="Times New Roman" w:eastAsia="Times New Roman" w:hAnsi="Times New Roman" w:cs="Times New Roman"/>
          <w:bCs/>
          <w:sz w:val="20"/>
          <w:szCs w:val="20"/>
          <w:lang w:val="en-US" w:eastAsia="ru-RU"/>
        </w:rPr>
        <w:t xml:space="preserve"> </w:t>
      </w:r>
      <w:r w:rsidRPr="0020167C">
        <w:rPr>
          <w:rFonts w:ascii="Times New Roman" w:eastAsia="Times New Roman" w:hAnsi="Times New Roman" w:cs="Times New Roman"/>
          <w:sz w:val="20"/>
          <w:szCs w:val="20"/>
          <w:lang w:val="en-US" w:eastAsia="ru-RU"/>
        </w:rPr>
        <w:t>R.</w:t>
      </w:r>
      <w:r w:rsidR="00741CFA">
        <w:rPr>
          <w:rFonts w:ascii="Times New Roman" w:eastAsia="Times New Roman" w:hAnsi="Times New Roman" w:cs="Times New Roman"/>
          <w:sz w:val="20"/>
          <w:szCs w:val="20"/>
          <w:lang w:val="en-US" w:eastAsia="ru-RU"/>
        </w:rPr>
        <w:t xml:space="preserve"> </w:t>
      </w:r>
      <w:r w:rsidRPr="0020167C">
        <w:rPr>
          <w:rFonts w:ascii="Times New Roman" w:eastAsia="Times New Roman" w:hAnsi="Times New Roman" w:cs="Times New Roman"/>
          <w:sz w:val="20"/>
          <w:szCs w:val="20"/>
          <w:lang w:val="en-US" w:eastAsia="ru-RU"/>
        </w:rPr>
        <w:t xml:space="preserve">S. </w:t>
      </w:r>
      <w:r>
        <w:rPr>
          <w:rFonts w:ascii="Times New Roman" w:eastAsia="Times New Roman" w:hAnsi="Times New Roman" w:cs="Times New Roman"/>
          <w:sz w:val="20"/>
          <w:szCs w:val="20"/>
          <w:lang w:val="en-US" w:eastAsia="ru-RU"/>
        </w:rPr>
        <w:t>(</w:t>
      </w:r>
      <w:r w:rsidRPr="00305403">
        <w:rPr>
          <w:rFonts w:ascii="Times New Roman" w:eastAsia="Times New Roman" w:hAnsi="Times New Roman" w:cs="Times New Roman"/>
          <w:bCs/>
          <w:sz w:val="20"/>
          <w:szCs w:val="20"/>
          <w:lang w:val="en-US" w:eastAsia="ru-RU"/>
        </w:rPr>
        <w:t>2006</w:t>
      </w:r>
      <w:r>
        <w:rPr>
          <w:rFonts w:ascii="Times New Roman" w:eastAsia="Times New Roman" w:hAnsi="Times New Roman" w:cs="Times New Roman"/>
          <w:bCs/>
          <w:sz w:val="20"/>
          <w:szCs w:val="20"/>
          <w:lang w:val="en-US" w:eastAsia="ru-RU"/>
        </w:rPr>
        <w:t xml:space="preserve">). </w:t>
      </w:r>
      <w:r w:rsidRPr="004055BE">
        <w:rPr>
          <w:rFonts w:ascii="Times New Roman" w:eastAsia="Times New Roman" w:hAnsi="Times New Roman" w:cs="Times New Roman"/>
          <w:bCs/>
          <w:sz w:val="20"/>
          <w:szCs w:val="20"/>
          <w:lang w:val="en-US" w:eastAsia="ru-RU"/>
        </w:rPr>
        <w:t>Biomarkers</w:t>
      </w:r>
      <w:r w:rsidRPr="004055BE">
        <w:rPr>
          <w:rFonts w:ascii="Times New Roman" w:eastAsia="Times New Roman" w:hAnsi="Times New Roman" w:cs="Times New Roman"/>
          <w:sz w:val="20"/>
          <w:szCs w:val="20"/>
          <w:lang w:val="en-US" w:eastAsia="ru-RU"/>
        </w:rPr>
        <w:t xml:space="preserve"> of Cardiovascular </w:t>
      </w:r>
      <w:r w:rsidRPr="004055BE">
        <w:rPr>
          <w:rFonts w:ascii="Times New Roman" w:eastAsia="Times New Roman" w:hAnsi="Times New Roman" w:cs="Times New Roman"/>
          <w:bCs/>
          <w:sz w:val="20"/>
          <w:szCs w:val="20"/>
          <w:lang w:val="en-US" w:eastAsia="ru-RU"/>
        </w:rPr>
        <w:t>Disease</w:t>
      </w:r>
      <w:r w:rsidRPr="004055BE">
        <w:rPr>
          <w:rFonts w:ascii="Times New Roman" w:eastAsia="Times New Roman" w:hAnsi="Times New Roman" w:cs="Times New Roman"/>
          <w:sz w:val="20"/>
          <w:szCs w:val="20"/>
          <w:lang w:val="en-US" w:eastAsia="ru-RU"/>
        </w:rPr>
        <w:t xml:space="preserve">: </w:t>
      </w:r>
      <w:r w:rsidRPr="004055BE">
        <w:rPr>
          <w:rFonts w:ascii="Times New Roman" w:eastAsia="Times New Roman" w:hAnsi="Times New Roman" w:cs="Times New Roman"/>
          <w:bCs/>
          <w:sz w:val="20"/>
          <w:szCs w:val="20"/>
          <w:lang w:val="en-US" w:eastAsia="ru-RU"/>
        </w:rPr>
        <w:t>Molecular</w:t>
      </w:r>
      <w:r w:rsidRPr="004055BE">
        <w:rPr>
          <w:rFonts w:ascii="Times New Roman" w:eastAsia="Times New Roman" w:hAnsi="Times New Roman" w:cs="Times New Roman"/>
          <w:sz w:val="20"/>
          <w:szCs w:val="20"/>
          <w:lang w:val="en-US" w:eastAsia="ru-RU"/>
        </w:rPr>
        <w:t xml:space="preserve"> </w:t>
      </w:r>
      <w:r w:rsidRPr="004055BE">
        <w:rPr>
          <w:rFonts w:ascii="Times New Roman" w:eastAsia="Times New Roman" w:hAnsi="Times New Roman" w:cs="Times New Roman"/>
          <w:bCs/>
          <w:sz w:val="20"/>
          <w:szCs w:val="20"/>
          <w:lang w:val="en-US" w:eastAsia="ru-RU"/>
        </w:rPr>
        <w:t>Basis</w:t>
      </w:r>
      <w:r w:rsidRPr="004055BE">
        <w:rPr>
          <w:rFonts w:ascii="Times New Roman" w:eastAsia="Times New Roman" w:hAnsi="Times New Roman" w:cs="Times New Roman"/>
          <w:sz w:val="20"/>
          <w:szCs w:val="20"/>
          <w:lang w:val="en-US" w:eastAsia="ru-RU"/>
        </w:rPr>
        <w:t xml:space="preserve"> and </w:t>
      </w:r>
      <w:r w:rsidRPr="004055BE">
        <w:rPr>
          <w:rFonts w:ascii="Times New Roman" w:eastAsia="Times New Roman" w:hAnsi="Times New Roman" w:cs="Times New Roman"/>
          <w:bCs/>
          <w:sz w:val="20"/>
          <w:szCs w:val="20"/>
          <w:lang w:val="en-US" w:eastAsia="ru-RU"/>
        </w:rPr>
        <w:t>Practical</w:t>
      </w:r>
      <w:r w:rsidRPr="004055BE">
        <w:rPr>
          <w:rFonts w:ascii="Times New Roman" w:eastAsia="Times New Roman" w:hAnsi="Times New Roman" w:cs="Times New Roman"/>
          <w:sz w:val="20"/>
          <w:szCs w:val="20"/>
          <w:lang w:val="en-US" w:eastAsia="ru-RU"/>
        </w:rPr>
        <w:t xml:space="preserve"> </w:t>
      </w:r>
      <w:r w:rsidRPr="004055BE">
        <w:rPr>
          <w:rFonts w:ascii="Times New Roman" w:eastAsia="Times New Roman" w:hAnsi="Times New Roman" w:cs="Times New Roman"/>
          <w:bCs/>
          <w:sz w:val="20"/>
          <w:szCs w:val="20"/>
          <w:lang w:val="en-US" w:eastAsia="ru-RU"/>
        </w:rPr>
        <w:t>Considerations.</w:t>
      </w:r>
      <w:r w:rsidRPr="0020167C">
        <w:rPr>
          <w:rFonts w:ascii="Times New Roman" w:eastAsia="Times New Roman" w:hAnsi="Times New Roman" w:cs="Times New Roman"/>
          <w:bCs/>
          <w:sz w:val="20"/>
          <w:szCs w:val="20"/>
          <w:lang w:val="en-US" w:eastAsia="ru-RU"/>
        </w:rPr>
        <w:t xml:space="preserve"> Circulation</w:t>
      </w:r>
      <w:r>
        <w:rPr>
          <w:rFonts w:ascii="Times New Roman" w:eastAsia="Times New Roman" w:hAnsi="Times New Roman" w:cs="Times New Roman"/>
          <w:bCs/>
          <w:sz w:val="20"/>
          <w:szCs w:val="20"/>
          <w:lang w:val="en-US" w:eastAsia="ru-RU"/>
        </w:rPr>
        <w:t xml:space="preserve">, </w:t>
      </w:r>
      <w:r w:rsidRPr="004055BE">
        <w:rPr>
          <w:rFonts w:ascii="Times New Roman" w:eastAsia="Times New Roman" w:hAnsi="Times New Roman" w:cs="Times New Roman"/>
          <w:bCs/>
          <w:sz w:val="20"/>
          <w:szCs w:val="20"/>
          <w:lang w:val="en-US" w:eastAsia="ru-RU"/>
        </w:rPr>
        <w:t>113</w:t>
      </w:r>
      <w:r w:rsidRPr="004055BE">
        <w:rPr>
          <w:rFonts w:ascii="Times New Roman" w:eastAsia="Times New Roman" w:hAnsi="Times New Roman" w:cs="Times New Roman"/>
          <w:sz w:val="20"/>
          <w:szCs w:val="20"/>
          <w:lang w:val="en-US" w:eastAsia="ru-RU"/>
        </w:rPr>
        <w:t>(</w:t>
      </w:r>
      <w:r w:rsidRPr="004055BE">
        <w:rPr>
          <w:rFonts w:ascii="Times New Roman" w:eastAsia="Times New Roman" w:hAnsi="Times New Roman" w:cs="Times New Roman"/>
          <w:bCs/>
          <w:sz w:val="20"/>
          <w:szCs w:val="20"/>
          <w:lang w:val="en-US" w:eastAsia="ru-RU"/>
        </w:rPr>
        <w:t>19</w:t>
      </w:r>
      <w:r w:rsidRPr="004055BE">
        <w:rPr>
          <w:rFonts w:ascii="Times New Roman" w:eastAsia="Times New Roman" w:hAnsi="Times New Roman" w:cs="Times New Roman"/>
          <w:sz w:val="20"/>
          <w:szCs w:val="20"/>
          <w:lang w:val="en-US" w:eastAsia="ru-RU"/>
        </w:rPr>
        <w:t>),</w:t>
      </w:r>
      <w:r w:rsidRPr="00305403">
        <w:rPr>
          <w:rFonts w:ascii="Times New Roman" w:eastAsia="Times New Roman" w:hAnsi="Times New Roman" w:cs="Times New Roman"/>
          <w:bCs/>
          <w:sz w:val="20"/>
          <w:szCs w:val="20"/>
          <w:lang w:val="en-US" w:eastAsia="ru-RU"/>
        </w:rPr>
        <w:t xml:space="preserve"> 2335</w:t>
      </w:r>
      <w:r w:rsidR="00AB3651" w:rsidRPr="00AB3651">
        <w:rPr>
          <w:rFonts w:ascii="Times New Roman" w:eastAsia="Times New Roman" w:hAnsi="Times New Roman" w:cs="Times New Roman"/>
          <w:sz w:val="20"/>
          <w:szCs w:val="20"/>
          <w:lang w:val="en-US" w:eastAsia="ru-RU"/>
        </w:rPr>
        <w:t>–</w:t>
      </w:r>
      <w:r w:rsidRPr="00305403">
        <w:rPr>
          <w:rFonts w:ascii="Times New Roman" w:eastAsia="Times New Roman" w:hAnsi="Times New Roman" w:cs="Times New Roman"/>
          <w:bCs/>
          <w:sz w:val="20"/>
          <w:szCs w:val="20"/>
          <w:lang w:val="en-US" w:eastAsia="ru-RU"/>
        </w:rPr>
        <w:t>2362.</w:t>
      </w:r>
      <w:r>
        <w:rPr>
          <w:rFonts w:ascii="Times New Roman" w:eastAsia="Times New Roman" w:hAnsi="Times New Roman" w:cs="Times New Roman"/>
          <w:bCs/>
          <w:sz w:val="20"/>
          <w:szCs w:val="20"/>
          <w:lang w:val="en-US" w:eastAsia="ru-RU"/>
        </w:rPr>
        <w:t xml:space="preserve"> </w:t>
      </w:r>
      <w:r w:rsidRPr="004055BE">
        <w:rPr>
          <w:rFonts w:ascii="Times New Roman" w:eastAsia="Times New Roman" w:hAnsi="Times New Roman" w:cs="Times New Roman"/>
          <w:bCs/>
          <w:sz w:val="20"/>
          <w:szCs w:val="20"/>
          <w:lang w:val="en-US" w:eastAsia="ru-RU"/>
        </w:rPr>
        <w:t>doi.org/10.1161/circulationaha.104.482570</w:t>
      </w:r>
    </w:p>
    <w:p w:rsidR="00C510D7" w:rsidRDefault="00C510D7" w:rsidP="00CC669E">
      <w:pPr>
        <w:autoSpaceDE w:val="0"/>
        <w:autoSpaceDN w:val="0"/>
        <w:adjustRightInd w:val="0"/>
        <w:spacing w:after="0" w:line="240" w:lineRule="auto"/>
        <w:ind w:left="426" w:hanging="426"/>
        <w:rPr>
          <w:rFonts w:ascii="Times New Roman" w:eastAsia="TimesNewRomanPSMT" w:hAnsi="Times New Roman" w:cs="Times New Roman"/>
          <w:b/>
          <w:sz w:val="20"/>
          <w:szCs w:val="20"/>
          <w:lang w:val="en-US"/>
        </w:rPr>
      </w:pPr>
    </w:p>
    <w:p w:rsidR="00C510D7" w:rsidRPr="00C20A9F" w:rsidRDefault="00C510D7" w:rsidP="00E54E02">
      <w:pPr>
        <w:pStyle w:val="11"/>
        <w:rPr>
          <w:rFonts w:ascii="Times New Roman" w:hAnsi="Times New Roman" w:cs="Times New Roman"/>
          <w:color w:val="1155CC"/>
          <w:sz w:val="20"/>
          <w:szCs w:val="20"/>
          <w:u w:val="single"/>
          <w:lang w:val="ru-RU"/>
        </w:rPr>
      </w:pPr>
      <w:r w:rsidRPr="005D34CC">
        <w:rPr>
          <w:rFonts w:ascii="Times New Roman" w:hAnsi="Times New Roman" w:cs="Times New Roman"/>
          <w:sz w:val="20"/>
          <w:szCs w:val="20"/>
        </w:rPr>
        <w:t>Ащеулова</w:t>
      </w:r>
      <w:r w:rsidRPr="00C20A9F">
        <w:rPr>
          <w:rFonts w:ascii="Times New Roman" w:hAnsi="Times New Roman" w:cs="Times New Roman"/>
          <w:sz w:val="20"/>
          <w:szCs w:val="20"/>
          <w:lang w:val="ru-RU"/>
        </w:rPr>
        <w:t xml:space="preserve"> </w:t>
      </w:r>
      <w:r w:rsidRPr="005D34CC">
        <w:rPr>
          <w:rFonts w:ascii="Times New Roman" w:hAnsi="Times New Roman" w:cs="Times New Roman"/>
          <w:sz w:val="20"/>
          <w:szCs w:val="20"/>
        </w:rPr>
        <w:t>Тетяна</w:t>
      </w:r>
      <w:r w:rsidRPr="00C20A9F">
        <w:rPr>
          <w:rFonts w:ascii="Times New Roman" w:hAnsi="Times New Roman" w:cs="Times New Roman"/>
          <w:sz w:val="20"/>
          <w:szCs w:val="20"/>
          <w:lang w:val="ru-RU"/>
        </w:rPr>
        <w:t xml:space="preserve"> </w:t>
      </w:r>
      <w:r w:rsidRPr="005D34CC">
        <w:rPr>
          <w:rFonts w:ascii="Times New Roman" w:hAnsi="Times New Roman" w:cs="Times New Roman"/>
          <w:sz w:val="20"/>
          <w:szCs w:val="20"/>
        </w:rPr>
        <w:t>Вадимівна</w:t>
      </w:r>
      <w:r w:rsidRPr="00C20A9F">
        <w:rPr>
          <w:rFonts w:ascii="Times New Roman" w:hAnsi="Times New Roman" w:cs="Times New Roman"/>
          <w:sz w:val="20"/>
          <w:szCs w:val="20"/>
          <w:lang w:val="ru-RU"/>
        </w:rPr>
        <w:t xml:space="preserve">  </w:t>
      </w:r>
      <w:r w:rsidRPr="005D34CC">
        <w:rPr>
          <w:rFonts w:ascii="Times New Roman" w:hAnsi="Times New Roman" w:cs="Times New Roman"/>
          <w:sz w:val="20"/>
          <w:szCs w:val="20"/>
        </w:rPr>
        <w:fldChar w:fldCharType="begin"/>
      </w:r>
      <w:r w:rsidRPr="00C20A9F">
        <w:rPr>
          <w:rFonts w:ascii="Times New Roman" w:hAnsi="Times New Roman" w:cs="Times New Roman"/>
          <w:sz w:val="20"/>
          <w:szCs w:val="20"/>
          <w:lang w:val="ru-RU"/>
        </w:rPr>
        <w:instrText xml:space="preserve"> </w:instrText>
      </w:r>
      <w:r w:rsidRPr="009F1D6D">
        <w:rPr>
          <w:rFonts w:ascii="Times New Roman" w:hAnsi="Times New Roman" w:cs="Times New Roman"/>
          <w:sz w:val="20"/>
          <w:szCs w:val="20"/>
          <w:lang w:val="en-US"/>
        </w:rPr>
        <w:instrText>HYPERLINK</w:instrText>
      </w:r>
      <w:r w:rsidRPr="00C20A9F">
        <w:rPr>
          <w:rFonts w:ascii="Times New Roman" w:hAnsi="Times New Roman" w:cs="Times New Roman"/>
          <w:sz w:val="20"/>
          <w:szCs w:val="20"/>
          <w:lang w:val="ru-RU"/>
        </w:rPr>
        <w:instrText xml:space="preserve"> "</w:instrText>
      </w:r>
      <w:r w:rsidRPr="009F1D6D">
        <w:rPr>
          <w:rFonts w:ascii="Times New Roman" w:hAnsi="Times New Roman" w:cs="Times New Roman"/>
          <w:sz w:val="20"/>
          <w:szCs w:val="20"/>
          <w:lang w:val="en-US"/>
        </w:rPr>
        <w:instrText>http</w:instrText>
      </w:r>
      <w:r w:rsidRPr="00C20A9F">
        <w:rPr>
          <w:rFonts w:ascii="Times New Roman" w:hAnsi="Times New Roman" w:cs="Times New Roman"/>
          <w:sz w:val="20"/>
          <w:szCs w:val="20"/>
          <w:lang w:val="ru-RU"/>
        </w:rPr>
        <w:instrText>://</w:instrText>
      </w:r>
      <w:r w:rsidRPr="009F1D6D">
        <w:rPr>
          <w:rFonts w:ascii="Times New Roman" w:hAnsi="Times New Roman" w:cs="Times New Roman"/>
          <w:sz w:val="20"/>
          <w:szCs w:val="20"/>
          <w:lang w:val="en-US"/>
        </w:rPr>
        <w:instrText>orcid</w:instrText>
      </w:r>
      <w:r w:rsidRPr="00C20A9F">
        <w:rPr>
          <w:rFonts w:ascii="Times New Roman" w:hAnsi="Times New Roman" w:cs="Times New Roman"/>
          <w:sz w:val="20"/>
          <w:szCs w:val="20"/>
          <w:lang w:val="ru-RU"/>
        </w:rPr>
        <w:instrText>.</w:instrText>
      </w:r>
      <w:r w:rsidRPr="009F1D6D">
        <w:rPr>
          <w:rFonts w:ascii="Times New Roman" w:hAnsi="Times New Roman" w:cs="Times New Roman"/>
          <w:sz w:val="20"/>
          <w:szCs w:val="20"/>
          <w:lang w:val="en-US"/>
        </w:rPr>
        <w:instrText>org</w:instrText>
      </w:r>
      <w:r w:rsidRPr="00C20A9F">
        <w:rPr>
          <w:rFonts w:ascii="Times New Roman" w:hAnsi="Times New Roman" w:cs="Times New Roman"/>
          <w:sz w:val="20"/>
          <w:szCs w:val="20"/>
          <w:lang w:val="ru-RU"/>
        </w:rPr>
        <w:instrText>/0000-0002-8860-652</w:instrText>
      </w:r>
      <w:r w:rsidRPr="009F1D6D">
        <w:rPr>
          <w:rFonts w:ascii="Times New Roman" w:hAnsi="Times New Roman" w:cs="Times New Roman"/>
          <w:sz w:val="20"/>
          <w:szCs w:val="20"/>
          <w:lang w:val="en-US"/>
        </w:rPr>
        <w:instrText>X</w:instrText>
      </w:r>
      <w:r w:rsidRPr="00C20A9F">
        <w:rPr>
          <w:rFonts w:ascii="Times New Roman" w:hAnsi="Times New Roman" w:cs="Times New Roman"/>
          <w:sz w:val="20"/>
          <w:szCs w:val="20"/>
          <w:lang w:val="ru-RU"/>
        </w:rPr>
        <w:instrText xml:space="preserve">" </w:instrText>
      </w:r>
      <w:r w:rsidRPr="005D34CC">
        <w:rPr>
          <w:rFonts w:ascii="Times New Roman" w:hAnsi="Times New Roman" w:cs="Times New Roman"/>
          <w:sz w:val="20"/>
          <w:szCs w:val="20"/>
        </w:rPr>
        <w:fldChar w:fldCharType="separate"/>
      </w:r>
      <w:r w:rsidRPr="009F1D6D">
        <w:rPr>
          <w:rFonts w:ascii="Times New Roman" w:hAnsi="Times New Roman" w:cs="Times New Roman"/>
          <w:color w:val="1155CC"/>
          <w:sz w:val="20"/>
          <w:szCs w:val="20"/>
          <w:u w:val="single"/>
          <w:lang w:val="en-US"/>
        </w:rPr>
        <w:t>http</w:t>
      </w:r>
      <w:r w:rsidRPr="00C20A9F">
        <w:rPr>
          <w:rFonts w:ascii="Times New Roman" w:hAnsi="Times New Roman" w:cs="Times New Roman"/>
          <w:color w:val="1155CC"/>
          <w:sz w:val="20"/>
          <w:szCs w:val="20"/>
          <w:u w:val="single"/>
          <w:lang w:val="ru-RU"/>
        </w:rPr>
        <w:t>://</w:t>
      </w:r>
      <w:r w:rsidRPr="009F1D6D">
        <w:rPr>
          <w:rFonts w:ascii="Times New Roman" w:hAnsi="Times New Roman" w:cs="Times New Roman"/>
          <w:color w:val="1155CC"/>
          <w:sz w:val="20"/>
          <w:szCs w:val="20"/>
          <w:u w:val="single"/>
          <w:lang w:val="en-US"/>
        </w:rPr>
        <w:t>orcid</w:t>
      </w:r>
      <w:r w:rsidRPr="00C20A9F">
        <w:rPr>
          <w:rFonts w:ascii="Times New Roman" w:hAnsi="Times New Roman" w:cs="Times New Roman"/>
          <w:color w:val="1155CC"/>
          <w:sz w:val="20"/>
          <w:szCs w:val="20"/>
          <w:u w:val="single"/>
          <w:lang w:val="ru-RU"/>
        </w:rPr>
        <w:t>.</w:t>
      </w:r>
      <w:r w:rsidRPr="009F1D6D">
        <w:rPr>
          <w:rFonts w:ascii="Times New Roman" w:hAnsi="Times New Roman" w:cs="Times New Roman"/>
          <w:color w:val="1155CC"/>
          <w:sz w:val="20"/>
          <w:szCs w:val="20"/>
          <w:u w:val="single"/>
          <w:lang w:val="en-US"/>
        </w:rPr>
        <w:t>org</w:t>
      </w:r>
      <w:r w:rsidRPr="00C20A9F">
        <w:rPr>
          <w:rFonts w:ascii="Times New Roman" w:hAnsi="Times New Roman" w:cs="Times New Roman"/>
          <w:color w:val="1155CC"/>
          <w:sz w:val="20"/>
          <w:szCs w:val="20"/>
          <w:u w:val="single"/>
          <w:lang w:val="ru-RU"/>
        </w:rPr>
        <w:t>/0000-0002-8860-652</w:t>
      </w:r>
      <w:r w:rsidRPr="009F1D6D">
        <w:rPr>
          <w:rFonts w:ascii="Times New Roman" w:hAnsi="Times New Roman" w:cs="Times New Roman"/>
          <w:color w:val="1155CC"/>
          <w:sz w:val="20"/>
          <w:szCs w:val="20"/>
          <w:u w:val="single"/>
          <w:lang w:val="en-US"/>
        </w:rPr>
        <w:t>X</w:t>
      </w:r>
    </w:p>
    <w:p w:rsidR="00471BB8" w:rsidRPr="005D34CC" w:rsidRDefault="00C510D7" w:rsidP="00E54E02">
      <w:pPr>
        <w:pStyle w:val="11"/>
        <w:jc w:val="both"/>
        <w:rPr>
          <w:rFonts w:ascii="Times New Roman" w:hAnsi="Times New Roman" w:cs="Times New Roman"/>
          <w:sz w:val="20"/>
          <w:szCs w:val="20"/>
          <w:lang w:val="ru-RU"/>
        </w:rPr>
      </w:pPr>
      <w:r w:rsidRPr="005D34CC">
        <w:rPr>
          <w:rFonts w:ascii="Times New Roman" w:hAnsi="Times New Roman" w:cs="Times New Roman"/>
          <w:sz w:val="20"/>
          <w:szCs w:val="20"/>
        </w:rPr>
        <w:fldChar w:fldCharType="end"/>
      </w:r>
      <w:r w:rsidRPr="005D34CC">
        <w:rPr>
          <w:rFonts w:ascii="Times New Roman" w:hAnsi="Times New Roman" w:cs="Times New Roman"/>
          <w:sz w:val="20"/>
          <w:szCs w:val="20"/>
        </w:rPr>
        <w:t>Герасимчук Ніна Миколаївна</w:t>
      </w:r>
      <w:r w:rsidR="00E54E02" w:rsidRPr="005D34CC">
        <w:rPr>
          <w:rFonts w:ascii="Times New Roman" w:hAnsi="Times New Roman" w:cs="Times New Roman"/>
          <w:sz w:val="20"/>
          <w:szCs w:val="20"/>
          <w:lang w:val="ru-RU"/>
        </w:rPr>
        <w:t xml:space="preserve">  </w:t>
      </w:r>
      <w:hyperlink r:id="rId11">
        <w:r w:rsidR="00E54E02" w:rsidRPr="005D34CC">
          <w:rPr>
            <w:rFonts w:ascii="Times New Roman" w:hAnsi="Times New Roman" w:cs="Times New Roman"/>
            <w:color w:val="1155CC"/>
            <w:sz w:val="20"/>
            <w:szCs w:val="20"/>
            <w:highlight w:val="white"/>
            <w:u w:val="single"/>
          </w:rPr>
          <w:t>http://orcid.org/0000-0002-3172-6491</w:t>
        </w:r>
      </w:hyperlink>
      <w:r w:rsidR="00E54E02" w:rsidRPr="005D34CC">
        <w:rPr>
          <w:rFonts w:ascii="Times New Roman" w:hAnsi="Times New Roman" w:cs="Times New Roman"/>
          <w:sz w:val="20"/>
          <w:szCs w:val="20"/>
          <w:lang w:val="ru-RU"/>
        </w:rPr>
        <w:t xml:space="preserve"> </w:t>
      </w:r>
    </w:p>
    <w:p w:rsidR="00E54E02" w:rsidRPr="005D34CC" w:rsidRDefault="00E54E02" w:rsidP="00E54E02">
      <w:pPr>
        <w:pStyle w:val="11"/>
        <w:rPr>
          <w:rFonts w:ascii="Times New Roman" w:hAnsi="Times New Roman" w:cs="Times New Roman"/>
          <w:color w:val="1155CC"/>
          <w:sz w:val="20"/>
          <w:szCs w:val="20"/>
          <w:highlight w:val="white"/>
          <w:u w:val="single"/>
        </w:rPr>
      </w:pPr>
      <w:r w:rsidRPr="005D34CC">
        <w:rPr>
          <w:rFonts w:ascii="Times New Roman" w:hAnsi="Times New Roman" w:cs="Times New Roman"/>
          <w:sz w:val="20"/>
          <w:szCs w:val="20"/>
        </w:rPr>
        <w:t>Ковальова Ольга Миколаївна</w:t>
      </w:r>
      <w:r w:rsidRPr="005D34CC">
        <w:rPr>
          <w:rFonts w:ascii="Times New Roman" w:hAnsi="Times New Roman" w:cs="Times New Roman"/>
          <w:sz w:val="20"/>
          <w:szCs w:val="20"/>
          <w:lang w:val="ru-RU"/>
        </w:rPr>
        <w:t xml:space="preserve"> </w:t>
      </w:r>
      <w:r w:rsidRPr="005D34CC">
        <w:rPr>
          <w:rFonts w:ascii="Times New Roman" w:hAnsi="Times New Roman" w:cs="Times New Roman"/>
          <w:sz w:val="20"/>
          <w:szCs w:val="20"/>
        </w:rPr>
        <w:fldChar w:fldCharType="begin"/>
      </w:r>
      <w:r w:rsidRPr="005D34CC">
        <w:rPr>
          <w:rFonts w:ascii="Times New Roman" w:hAnsi="Times New Roman" w:cs="Times New Roman"/>
          <w:sz w:val="20"/>
          <w:szCs w:val="20"/>
        </w:rPr>
        <w:instrText xml:space="preserve"> HYPERLINK "https://orcid.org/0000-0003-3410-6623" </w:instrText>
      </w:r>
      <w:r w:rsidRPr="005D34CC">
        <w:rPr>
          <w:rFonts w:ascii="Times New Roman" w:hAnsi="Times New Roman" w:cs="Times New Roman"/>
          <w:sz w:val="20"/>
          <w:szCs w:val="20"/>
        </w:rPr>
        <w:fldChar w:fldCharType="separate"/>
      </w:r>
      <w:r w:rsidRPr="005D34CC">
        <w:rPr>
          <w:rFonts w:ascii="Times New Roman" w:hAnsi="Times New Roman" w:cs="Times New Roman"/>
          <w:color w:val="1155CC"/>
          <w:sz w:val="20"/>
          <w:szCs w:val="20"/>
          <w:highlight w:val="white"/>
          <w:u w:val="single"/>
        </w:rPr>
        <w:t>https://orcid.org/0000-0003-3410-6623</w:t>
      </w:r>
    </w:p>
    <w:p w:rsidR="00E54E02" w:rsidRPr="005D34CC" w:rsidRDefault="00E54E02" w:rsidP="00E54E02">
      <w:pPr>
        <w:pStyle w:val="11"/>
        <w:rPr>
          <w:rFonts w:ascii="Times New Roman" w:hAnsi="Times New Roman" w:cs="Times New Roman"/>
          <w:color w:val="494A4C"/>
          <w:sz w:val="20"/>
          <w:szCs w:val="20"/>
          <w:highlight w:val="white"/>
        </w:rPr>
      </w:pPr>
      <w:r w:rsidRPr="005D34CC">
        <w:rPr>
          <w:rFonts w:ascii="Times New Roman" w:hAnsi="Times New Roman" w:cs="Times New Roman"/>
          <w:sz w:val="20"/>
          <w:szCs w:val="20"/>
        </w:rPr>
        <w:fldChar w:fldCharType="end"/>
      </w:r>
      <w:r w:rsidR="00D616C1">
        <w:rPr>
          <w:rFonts w:ascii="Times New Roman" w:hAnsi="Times New Roman" w:cs="Times New Roman"/>
          <w:sz w:val="20"/>
          <w:szCs w:val="20"/>
        </w:rPr>
        <w:t>Гончар</w:t>
      </w:r>
      <w:r w:rsidR="002D6909">
        <w:rPr>
          <w:rFonts w:ascii="Times New Roman" w:hAnsi="Times New Roman" w:cs="Times New Roman"/>
          <w:sz w:val="20"/>
          <w:szCs w:val="20"/>
          <w:lang w:val="ru-RU"/>
        </w:rPr>
        <w:t>ь</w:t>
      </w:r>
      <w:r w:rsidRPr="005D34CC">
        <w:rPr>
          <w:rFonts w:ascii="Times New Roman" w:hAnsi="Times New Roman" w:cs="Times New Roman"/>
          <w:sz w:val="20"/>
          <w:szCs w:val="20"/>
        </w:rPr>
        <w:t xml:space="preserve"> Олексій Володимирович</w:t>
      </w:r>
      <w:r w:rsidRPr="005D34CC">
        <w:rPr>
          <w:rFonts w:ascii="Times New Roman" w:hAnsi="Times New Roman" w:cs="Times New Roman"/>
          <w:sz w:val="20"/>
          <w:szCs w:val="20"/>
          <w:lang w:val="ru-RU"/>
        </w:rPr>
        <w:t xml:space="preserve"> </w:t>
      </w:r>
      <w:r w:rsidRPr="005D34CC">
        <w:rPr>
          <w:rFonts w:ascii="Times New Roman" w:hAnsi="Times New Roman" w:cs="Times New Roman"/>
          <w:sz w:val="20"/>
          <w:szCs w:val="20"/>
        </w:rPr>
        <w:t xml:space="preserve"> </w:t>
      </w:r>
      <w:hyperlink r:id="rId12">
        <w:r w:rsidRPr="005D34CC">
          <w:rPr>
            <w:rFonts w:ascii="Times New Roman" w:hAnsi="Times New Roman" w:cs="Times New Roman"/>
            <w:color w:val="1155CC"/>
            <w:sz w:val="20"/>
            <w:szCs w:val="20"/>
            <w:highlight w:val="white"/>
            <w:u w:val="single"/>
          </w:rPr>
          <w:t>https://orcid.org/0000-0001-6834-8845</w:t>
        </w:r>
      </w:hyperlink>
    </w:p>
    <w:p w:rsidR="00E54E02" w:rsidRPr="005D34CC" w:rsidRDefault="00E54E02" w:rsidP="00E54E02">
      <w:pPr>
        <w:pStyle w:val="11"/>
        <w:rPr>
          <w:rFonts w:ascii="Times New Roman" w:hAnsi="Times New Roman" w:cs="Times New Roman"/>
          <w:color w:val="494A4C"/>
          <w:sz w:val="20"/>
          <w:szCs w:val="20"/>
          <w:highlight w:val="white"/>
        </w:rPr>
      </w:pPr>
      <w:r w:rsidRPr="005D34CC">
        <w:rPr>
          <w:rFonts w:ascii="Times New Roman" w:hAnsi="Times New Roman" w:cs="Times New Roman"/>
          <w:sz w:val="20"/>
          <w:szCs w:val="20"/>
        </w:rPr>
        <w:t>Компанієць Кіра Миколаївна</w:t>
      </w:r>
      <w:r w:rsidRPr="005D34CC">
        <w:rPr>
          <w:rFonts w:ascii="Times New Roman" w:hAnsi="Times New Roman" w:cs="Times New Roman"/>
          <w:sz w:val="20"/>
          <w:szCs w:val="20"/>
          <w:lang w:val="ru-RU"/>
        </w:rPr>
        <w:t xml:space="preserve"> </w:t>
      </w:r>
      <w:hyperlink r:id="rId13">
        <w:r w:rsidRPr="005D34CC">
          <w:rPr>
            <w:rFonts w:ascii="Times New Roman" w:hAnsi="Times New Roman" w:cs="Times New Roman"/>
            <w:color w:val="1155CC"/>
            <w:sz w:val="20"/>
            <w:szCs w:val="20"/>
            <w:highlight w:val="white"/>
            <w:u w:val="single"/>
          </w:rPr>
          <w:t>https://orcid.org/0000-0001-7653-9596</w:t>
        </w:r>
      </w:hyperlink>
    </w:p>
    <w:p w:rsidR="00A40EE5" w:rsidRPr="005D34CC" w:rsidRDefault="00A40EE5" w:rsidP="00E54E02">
      <w:pPr>
        <w:pStyle w:val="11"/>
        <w:rPr>
          <w:rFonts w:ascii="Times New Roman" w:hAnsi="Times New Roman" w:cs="Times New Roman"/>
          <w:sz w:val="20"/>
          <w:szCs w:val="20"/>
        </w:rPr>
      </w:pPr>
    </w:p>
    <w:sectPr w:rsidR="00A40EE5" w:rsidRPr="005D34CC" w:rsidSect="005347BD">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BD8" w:rsidRDefault="00472BD8">
      <w:pPr>
        <w:spacing w:after="0" w:line="240" w:lineRule="auto"/>
      </w:pPr>
      <w:r>
        <w:separator/>
      </w:r>
    </w:p>
  </w:endnote>
  <w:endnote w:type="continuationSeparator" w:id="0">
    <w:p w:rsidR="00472BD8" w:rsidRDefault="0047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141166"/>
      <w:docPartObj>
        <w:docPartGallery w:val="Page Numbers (Bottom of Page)"/>
        <w:docPartUnique/>
      </w:docPartObj>
    </w:sdtPr>
    <w:sdtEndPr/>
    <w:sdtContent>
      <w:p w:rsidR="00620D9A" w:rsidRDefault="00620D9A">
        <w:pPr>
          <w:pStyle w:val="a6"/>
          <w:jc w:val="right"/>
        </w:pPr>
        <w:r>
          <w:fldChar w:fldCharType="begin"/>
        </w:r>
        <w:r>
          <w:instrText>PAGE   \* MERGEFORMAT</w:instrText>
        </w:r>
        <w:r>
          <w:fldChar w:fldCharType="separate"/>
        </w:r>
        <w:r w:rsidR="00C20A9F">
          <w:rPr>
            <w:noProof/>
          </w:rPr>
          <w:t>3</w:t>
        </w:r>
        <w:r>
          <w:rPr>
            <w:noProof/>
          </w:rPr>
          <w:fldChar w:fldCharType="end"/>
        </w:r>
      </w:p>
    </w:sdtContent>
  </w:sdt>
  <w:p w:rsidR="00620D9A" w:rsidRDefault="00620D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BD8" w:rsidRDefault="00472BD8">
      <w:pPr>
        <w:spacing w:after="0" w:line="240" w:lineRule="auto"/>
      </w:pPr>
      <w:r>
        <w:separator/>
      </w:r>
    </w:p>
  </w:footnote>
  <w:footnote w:type="continuationSeparator" w:id="0">
    <w:p w:rsidR="00472BD8" w:rsidRDefault="00472B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B5DC7"/>
    <w:multiLevelType w:val="hybridMultilevel"/>
    <w:tmpl w:val="B11C2214"/>
    <w:lvl w:ilvl="0" w:tplc="E03616EA">
      <w:start w:val="1"/>
      <w:numFmt w:val="decimal"/>
      <w:lvlText w:val="%1."/>
      <w:lvlJc w:val="left"/>
      <w:pPr>
        <w:tabs>
          <w:tab w:val="num" w:pos="550"/>
        </w:tabs>
        <w:ind w:left="550" w:hanging="408"/>
      </w:pPr>
      <w:rPr>
        <w:rFonts w:hint="default"/>
        <w:w w:val="150"/>
      </w:rPr>
    </w:lvl>
    <w:lvl w:ilvl="1" w:tplc="0419000F">
      <w:start w:val="1"/>
      <w:numFmt w:val="decimal"/>
      <w:lvlText w:val="%2."/>
      <w:lvlJc w:val="left"/>
      <w:pPr>
        <w:tabs>
          <w:tab w:val="num" w:pos="1078"/>
        </w:tabs>
        <w:ind w:left="1078" w:hanging="360"/>
      </w:pPr>
      <w:rPr>
        <w:rFonts w:hint="default"/>
        <w:w w:val="150"/>
      </w:rPr>
    </w:lvl>
    <w:lvl w:ilvl="2" w:tplc="0419001B" w:tentative="1">
      <w:start w:val="1"/>
      <w:numFmt w:val="lowerRoman"/>
      <w:lvlText w:val="%3."/>
      <w:lvlJc w:val="right"/>
      <w:pPr>
        <w:tabs>
          <w:tab w:val="num" w:pos="1798"/>
        </w:tabs>
        <w:ind w:left="1798" w:hanging="180"/>
      </w:pPr>
    </w:lvl>
    <w:lvl w:ilvl="3" w:tplc="0419000F" w:tentative="1">
      <w:start w:val="1"/>
      <w:numFmt w:val="decimal"/>
      <w:lvlText w:val="%4."/>
      <w:lvlJc w:val="left"/>
      <w:pPr>
        <w:tabs>
          <w:tab w:val="num" w:pos="2518"/>
        </w:tabs>
        <w:ind w:left="2518" w:hanging="360"/>
      </w:pPr>
    </w:lvl>
    <w:lvl w:ilvl="4" w:tplc="04190019" w:tentative="1">
      <w:start w:val="1"/>
      <w:numFmt w:val="lowerLetter"/>
      <w:lvlText w:val="%5."/>
      <w:lvlJc w:val="left"/>
      <w:pPr>
        <w:tabs>
          <w:tab w:val="num" w:pos="3238"/>
        </w:tabs>
        <w:ind w:left="3238" w:hanging="360"/>
      </w:pPr>
    </w:lvl>
    <w:lvl w:ilvl="5" w:tplc="0419001B" w:tentative="1">
      <w:start w:val="1"/>
      <w:numFmt w:val="lowerRoman"/>
      <w:lvlText w:val="%6."/>
      <w:lvlJc w:val="right"/>
      <w:pPr>
        <w:tabs>
          <w:tab w:val="num" w:pos="3958"/>
        </w:tabs>
        <w:ind w:left="3958" w:hanging="180"/>
      </w:pPr>
    </w:lvl>
    <w:lvl w:ilvl="6" w:tplc="0419000F" w:tentative="1">
      <w:start w:val="1"/>
      <w:numFmt w:val="decimal"/>
      <w:lvlText w:val="%7."/>
      <w:lvlJc w:val="left"/>
      <w:pPr>
        <w:tabs>
          <w:tab w:val="num" w:pos="4678"/>
        </w:tabs>
        <w:ind w:left="4678" w:hanging="360"/>
      </w:pPr>
    </w:lvl>
    <w:lvl w:ilvl="7" w:tplc="04190019" w:tentative="1">
      <w:start w:val="1"/>
      <w:numFmt w:val="lowerLetter"/>
      <w:lvlText w:val="%8."/>
      <w:lvlJc w:val="left"/>
      <w:pPr>
        <w:tabs>
          <w:tab w:val="num" w:pos="5398"/>
        </w:tabs>
        <w:ind w:left="5398" w:hanging="360"/>
      </w:pPr>
    </w:lvl>
    <w:lvl w:ilvl="8" w:tplc="0419001B" w:tentative="1">
      <w:start w:val="1"/>
      <w:numFmt w:val="lowerRoman"/>
      <w:lvlText w:val="%9."/>
      <w:lvlJc w:val="right"/>
      <w:pPr>
        <w:tabs>
          <w:tab w:val="num" w:pos="6118"/>
        </w:tabs>
        <w:ind w:left="6118" w:hanging="180"/>
      </w:pPr>
    </w:lvl>
  </w:abstractNum>
  <w:abstractNum w:abstractNumId="1" w15:restartNumberingAfterBreak="0">
    <w:nsid w:val="3CAD6F7D"/>
    <w:multiLevelType w:val="hybridMultilevel"/>
    <w:tmpl w:val="65A26B62"/>
    <w:lvl w:ilvl="0" w:tplc="C20CC1B2">
      <w:start w:val="5"/>
      <w:numFmt w:val="bullet"/>
      <w:lvlText w:val=""/>
      <w:lvlJc w:val="left"/>
      <w:pPr>
        <w:ind w:left="393" w:hanging="360"/>
      </w:pPr>
      <w:rPr>
        <w:rFonts w:ascii="Wingdings" w:eastAsia="TimesNewRomanPSMT" w:hAnsi="Wingdings" w:cs="Times New Roman" w:hint="default"/>
        <w:color w:val="000000"/>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 w15:restartNumberingAfterBreak="0">
    <w:nsid w:val="3D9E20FB"/>
    <w:multiLevelType w:val="hybridMultilevel"/>
    <w:tmpl w:val="D9C02E62"/>
    <w:lvl w:ilvl="0" w:tplc="AE081D7E">
      <w:start w:val="5"/>
      <w:numFmt w:val="bullet"/>
      <w:lvlText w:val=""/>
      <w:lvlJc w:val="left"/>
      <w:pPr>
        <w:ind w:left="753" w:hanging="360"/>
      </w:pPr>
      <w:rPr>
        <w:rFonts w:ascii="Wingdings" w:eastAsia="TimesNewRomanPSMT" w:hAnsi="Wingdings" w:cs="Times New Roman" w:hint="default"/>
        <w:color w:val="000000"/>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 w15:restartNumberingAfterBreak="0">
    <w:nsid w:val="40AA0799"/>
    <w:multiLevelType w:val="hybridMultilevel"/>
    <w:tmpl w:val="9CAE2FEA"/>
    <w:lvl w:ilvl="0" w:tplc="1AC2FE12">
      <w:start w:val="1"/>
      <w:numFmt w:val="decimal"/>
      <w:lvlText w:val="%1)"/>
      <w:lvlJc w:val="left"/>
      <w:pPr>
        <w:ind w:left="544" w:hanging="360"/>
      </w:pPr>
      <w:rPr>
        <w:rFonts w:hint="default"/>
      </w:rPr>
    </w:lvl>
    <w:lvl w:ilvl="1" w:tplc="04090019" w:tentative="1">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4" w15:restartNumberingAfterBreak="0">
    <w:nsid w:val="69714FE1"/>
    <w:multiLevelType w:val="hybridMultilevel"/>
    <w:tmpl w:val="9CAE2FEA"/>
    <w:lvl w:ilvl="0" w:tplc="1AC2FE12">
      <w:start w:val="1"/>
      <w:numFmt w:val="decimal"/>
      <w:lvlText w:val="%1)"/>
      <w:lvlJc w:val="left"/>
      <w:pPr>
        <w:ind w:left="544" w:hanging="360"/>
      </w:pPr>
      <w:rPr>
        <w:rFonts w:hint="default"/>
      </w:rPr>
    </w:lvl>
    <w:lvl w:ilvl="1" w:tplc="04090019" w:tentative="1">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5" w15:restartNumberingAfterBreak="0">
    <w:nsid w:val="714078E2"/>
    <w:multiLevelType w:val="hybridMultilevel"/>
    <w:tmpl w:val="4A7A8EBC"/>
    <w:lvl w:ilvl="0" w:tplc="AA2E5C10">
      <w:start w:val="1"/>
      <w:numFmt w:val="decimal"/>
      <w:lvlText w:val="%1."/>
      <w:lvlJc w:val="left"/>
      <w:pPr>
        <w:ind w:left="163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1940208"/>
    <w:multiLevelType w:val="hybridMultilevel"/>
    <w:tmpl w:val="4A7A8EBC"/>
    <w:lvl w:ilvl="0" w:tplc="AA2E5C10">
      <w:start w:val="1"/>
      <w:numFmt w:val="decimal"/>
      <w:lvlText w:val="%1."/>
      <w:lvlJc w:val="left"/>
      <w:pPr>
        <w:ind w:left="2203"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092A"/>
    <w:rsid w:val="00000128"/>
    <w:rsid w:val="0000582B"/>
    <w:rsid w:val="00016256"/>
    <w:rsid w:val="00022E33"/>
    <w:rsid w:val="0003537A"/>
    <w:rsid w:val="00055366"/>
    <w:rsid w:val="0005615A"/>
    <w:rsid w:val="000641C7"/>
    <w:rsid w:val="00070105"/>
    <w:rsid w:val="000760B3"/>
    <w:rsid w:val="0008424D"/>
    <w:rsid w:val="0008480E"/>
    <w:rsid w:val="00087E99"/>
    <w:rsid w:val="00094707"/>
    <w:rsid w:val="00094779"/>
    <w:rsid w:val="000A63CB"/>
    <w:rsid w:val="000B0C93"/>
    <w:rsid w:val="000B1236"/>
    <w:rsid w:val="000C0081"/>
    <w:rsid w:val="000C73FC"/>
    <w:rsid w:val="000D0325"/>
    <w:rsid w:val="000D217B"/>
    <w:rsid w:val="000D5085"/>
    <w:rsid w:val="000D53B1"/>
    <w:rsid w:val="000D62FB"/>
    <w:rsid w:val="000D76A7"/>
    <w:rsid w:val="000E699F"/>
    <w:rsid w:val="000F198D"/>
    <w:rsid w:val="000F5698"/>
    <w:rsid w:val="001043FD"/>
    <w:rsid w:val="00110365"/>
    <w:rsid w:val="00111C66"/>
    <w:rsid w:val="00120250"/>
    <w:rsid w:val="001268AC"/>
    <w:rsid w:val="0012702B"/>
    <w:rsid w:val="00127B5B"/>
    <w:rsid w:val="0013206A"/>
    <w:rsid w:val="00136557"/>
    <w:rsid w:val="00141C85"/>
    <w:rsid w:val="00141DB5"/>
    <w:rsid w:val="00143D84"/>
    <w:rsid w:val="00153A04"/>
    <w:rsid w:val="00156FDB"/>
    <w:rsid w:val="00165CA2"/>
    <w:rsid w:val="00170B26"/>
    <w:rsid w:val="00174CB1"/>
    <w:rsid w:val="00183F8C"/>
    <w:rsid w:val="00191CD6"/>
    <w:rsid w:val="001924D9"/>
    <w:rsid w:val="00194972"/>
    <w:rsid w:val="00195589"/>
    <w:rsid w:val="001976DE"/>
    <w:rsid w:val="001A1054"/>
    <w:rsid w:val="001A2EC9"/>
    <w:rsid w:val="001A44FF"/>
    <w:rsid w:val="001A7EC1"/>
    <w:rsid w:val="001B1605"/>
    <w:rsid w:val="001B26CC"/>
    <w:rsid w:val="001C4451"/>
    <w:rsid w:val="001C7E16"/>
    <w:rsid w:val="001D1DD2"/>
    <w:rsid w:val="001D6677"/>
    <w:rsid w:val="001D77F0"/>
    <w:rsid w:val="001E15FF"/>
    <w:rsid w:val="0020167C"/>
    <w:rsid w:val="002105C0"/>
    <w:rsid w:val="00225FA5"/>
    <w:rsid w:val="002268F5"/>
    <w:rsid w:val="00234EFC"/>
    <w:rsid w:val="00250329"/>
    <w:rsid w:val="00253296"/>
    <w:rsid w:val="00254FC4"/>
    <w:rsid w:val="0025674B"/>
    <w:rsid w:val="00256829"/>
    <w:rsid w:val="0026065A"/>
    <w:rsid w:val="0026357C"/>
    <w:rsid w:val="002635EC"/>
    <w:rsid w:val="00263BBD"/>
    <w:rsid w:val="0026658E"/>
    <w:rsid w:val="00270795"/>
    <w:rsid w:val="00275169"/>
    <w:rsid w:val="002754AA"/>
    <w:rsid w:val="002849AD"/>
    <w:rsid w:val="0028648A"/>
    <w:rsid w:val="002907EC"/>
    <w:rsid w:val="0029389C"/>
    <w:rsid w:val="00294CDC"/>
    <w:rsid w:val="00296846"/>
    <w:rsid w:val="00297918"/>
    <w:rsid w:val="002A011F"/>
    <w:rsid w:val="002A2900"/>
    <w:rsid w:val="002A5446"/>
    <w:rsid w:val="002B0405"/>
    <w:rsid w:val="002B574A"/>
    <w:rsid w:val="002B590B"/>
    <w:rsid w:val="002B63BD"/>
    <w:rsid w:val="002C0A13"/>
    <w:rsid w:val="002C43DE"/>
    <w:rsid w:val="002C6A3D"/>
    <w:rsid w:val="002D1640"/>
    <w:rsid w:val="002D6909"/>
    <w:rsid w:val="002D6C70"/>
    <w:rsid w:val="002E055F"/>
    <w:rsid w:val="002E0760"/>
    <w:rsid w:val="002E23A7"/>
    <w:rsid w:val="002E276E"/>
    <w:rsid w:val="002E4D66"/>
    <w:rsid w:val="002E5DE5"/>
    <w:rsid w:val="002F42A3"/>
    <w:rsid w:val="002F442F"/>
    <w:rsid w:val="003000D5"/>
    <w:rsid w:val="00300EBF"/>
    <w:rsid w:val="00305403"/>
    <w:rsid w:val="00314DED"/>
    <w:rsid w:val="0031675F"/>
    <w:rsid w:val="00316BB2"/>
    <w:rsid w:val="00322C50"/>
    <w:rsid w:val="003247B0"/>
    <w:rsid w:val="00326DCA"/>
    <w:rsid w:val="00333755"/>
    <w:rsid w:val="0033476E"/>
    <w:rsid w:val="00346053"/>
    <w:rsid w:val="00350AE8"/>
    <w:rsid w:val="0035209C"/>
    <w:rsid w:val="00357823"/>
    <w:rsid w:val="003602BD"/>
    <w:rsid w:val="003619B0"/>
    <w:rsid w:val="00362CA0"/>
    <w:rsid w:val="00380768"/>
    <w:rsid w:val="0038323F"/>
    <w:rsid w:val="00385E96"/>
    <w:rsid w:val="00391131"/>
    <w:rsid w:val="003970C4"/>
    <w:rsid w:val="003A30B1"/>
    <w:rsid w:val="003A5B43"/>
    <w:rsid w:val="003C5AE0"/>
    <w:rsid w:val="003C7DF7"/>
    <w:rsid w:val="003D0E97"/>
    <w:rsid w:val="003D3639"/>
    <w:rsid w:val="003D3943"/>
    <w:rsid w:val="003D58F3"/>
    <w:rsid w:val="003F0C38"/>
    <w:rsid w:val="003F5A25"/>
    <w:rsid w:val="003F748C"/>
    <w:rsid w:val="00400171"/>
    <w:rsid w:val="0040405F"/>
    <w:rsid w:val="004055BE"/>
    <w:rsid w:val="00406FD8"/>
    <w:rsid w:val="00407266"/>
    <w:rsid w:val="00411927"/>
    <w:rsid w:val="00413878"/>
    <w:rsid w:val="00421597"/>
    <w:rsid w:val="00431103"/>
    <w:rsid w:val="00436B0F"/>
    <w:rsid w:val="00437DAC"/>
    <w:rsid w:val="00437EAB"/>
    <w:rsid w:val="004419FB"/>
    <w:rsid w:val="00454368"/>
    <w:rsid w:val="00464BE7"/>
    <w:rsid w:val="00471227"/>
    <w:rsid w:val="00471BB8"/>
    <w:rsid w:val="00472BD8"/>
    <w:rsid w:val="00474EF1"/>
    <w:rsid w:val="004756BD"/>
    <w:rsid w:val="00481317"/>
    <w:rsid w:val="004850C1"/>
    <w:rsid w:val="00486577"/>
    <w:rsid w:val="00491176"/>
    <w:rsid w:val="004922CF"/>
    <w:rsid w:val="00492ADB"/>
    <w:rsid w:val="004933FC"/>
    <w:rsid w:val="004A11D5"/>
    <w:rsid w:val="004A252C"/>
    <w:rsid w:val="004B0F6C"/>
    <w:rsid w:val="004C0478"/>
    <w:rsid w:val="004C062C"/>
    <w:rsid w:val="004C1E24"/>
    <w:rsid w:val="004C21BF"/>
    <w:rsid w:val="004C6D68"/>
    <w:rsid w:val="004D361C"/>
    <w:rsid w:val="004D564A"/>
    <w:rsid w:val="004E3544"/>
    <w:rsid w:val="00502CE6"/>
    <w:rsid w:val="00506DEB"/>
    <w:rsid w:val="00512114"/>
    <w:rsid w:val="00512240"/>
    <w:rsid w:val="00512B35"/>
    <w:rsid w:val="0051548B"/>
    <w:rsid w:val="0052006E"/>
    <w:rsid w:val="005274E6"/>
    <w:rsid w:val="00532596"/>
    <w:rsid w:val="00532BCC"/>
    <w:rsid w:val="00532CDB"/>
    <w:rsid w:val="0053365C"/>
    <w:rsid w:val="005347BD"/>
    <w:rsid w:val="00542CB0"/>
    <w:rsid w:val="00560A7F"/>
    <w:rsid w:val="005625D1"/>
    <w:rsid w:val="00563F03"/>
    <w:rsid w:val="00564DEC"/>
    <w:rsid w:val="00566FB1"/>
    <w:rsid w:val="00574490"/>
    <w:rsid w:val="00580D1A"/>
    <w:rsid w:val="00582CC0"/>
    <w:rsid w:val="00586A18"/>
    <w:rsid w:val="00587CF7"/>
    <w:rsid w:val="00593396"/>
    <w:rsid w:val="005B179E"/>
    <w:rsid w:val="005B437D"/>
    <w:rsid w:val="005B4BFE"/>
    <w:rsid w:val="005B522D"/>
    <w:rsid w:val="005B55B9"/>
    <w:rsid w:val="005B6B84"/>
    <w:rsid w:val="005C1657"/>
    <w:rsid w:val="005D1939"/>
    <w:rsid w:val="005D22A3"/>
    <w:rsid w:val="005D34CC"/>
    <w:rsid w:val="005F096A"/>
    <w:rsid w:val="005F497E"/>
    <w:rsid w:val="005F5BCF"/>
    <w:rsid w:val="005F759E"/>
    <w:rsid w:val="00601E19"/>
    <w:rsid w:val="006038BF"/>
    <w:rsid w:val="00607681"/>
    <w:rsid w:val="006117FB"/>
    <w:rsid w:val="00613B93"/>
    <w:rsid w:val="00614971"/>
    <w:rsid w:val="00620CAA"/>
    <w:rsid w:val="00620D9A"/>
    <w:rsid w:val="006210B1"/>
    <w:rsid w:val="00631E4B"/>
    <w:rsid w:val="00634FB9"/>
    <w:rsid w:val="00637389"/>
    <w:rsid w:val="006410AE"/>
    <w:rsid w:val="00652B05"/>
    <w:rsid w:val="006550F4"/>
    <w:rsid w:val="006573CD"/>
    <w:rsid w:val="00660C5B"/>
    <w:rsid w:val="00662E5F"/>
    <w:rsid w:val="00677FDE"/>
    <w:rsid w:val="00686EBD"/>
    <w:rsid w:val="006A2248"/>
    <w:rsid w:val="006A6D7B"/>
    <w:rsid w:val="006A6E09"/>
    <w:rsid w:val="006B2C74"/>
    <w:rsid w:val="006B7083"/>
    <w:rsid w:val="006C4D8E"/>
    <w:rsid w:val="006D6628"/>
    <w:rsid w:val="006E0676"/>
    <w:rsid w:val="006F51C5"/>
    <w:rsid w:val="006F6A2A"/>
    <w:rsid w:val="006F761D"/>
    <w:rsid w:val="007029CF"/>
    <w:rsid w:val="00716037"/>
    <w:rsid w:val="00716397"/>
    <w:rsid w:val="007178C1"/>
    <w:rsid w:val="00720A81"/>
    <w:rsid w:val="00722369"/>
    <w:rsid w:val="007331D6"/>
    <w:rsid w:val="007410BD"/>
    <w:rsid w:val="00741CFA"/>
    <w:rsid w:val="00752C62"/>
    <w:rsid w:val="00765803"/>
    <w:rsid w:val="0077390A"/>
    <w:rsid w:val="0078448D"/>
    <w:rsid w:val="00785EFD"/>
    <w:rsid w:val="00790173"/>
    <w:rsid w:val="00794689"/>
    <w:rsid w:val="00797C3C"/>
    <w:rsid w:val="007A3248"/>
    <w:rsid w:val="007A58D9"/>
    <w:rsid w:val="007B0EAE"/>
    <w:rsid w:val="007B2A63"/>
    <w:rsid w:val="007C3925"/>
    <w:rsid w:val="007F019A"/>
    <w:rsid w:val="007F0CEA"/>
    <w:rsid w:val="007F18AE"/>
    <w:rsid w:val="007F67FC"/>
    <w:rsid w:val="008018A4"/>
    <w:rsid w:val="00802308"/>
    <w:rsid w:val="00803CA9"/>
    <w:rsid w:val="00812172"/>
    <w:rsid w:val="00813BFA"/>
    <w:rsid w:val="00823C24"/>
    <w:rsid w:val="00827491"/>
    <w:rsid w:val="00830992"/>
    <w:rsid w:val="008314E3"/>
    <w:rsid w:val="00843E56"/>
    <w:rsid w:val="00845DC2"/>
    <w:rsid w:val="00846715"/>
    <w:rsid w:val="008473CA"/>
    <w:rsid w:val="008501DA"/>
    <w:rsid w:val="00854B06"/>
    <w:rsid w:val="00856282"/>
    <w:rsid w:val="0085735A"/>
    <w:rsid w:val="0086185F"/>
    <w:rsid w:val="00864FC5"/>
    <w:rsid w:val="00873E87"/>
    <w:rsid w:val="00876C85"/>
    <w:rsid w:val="00880E41"/>
    <w:rsid w:val="00884679"/>
    <w:rsid w:val="00887859"/>
    <w:rsid w:val="00891659"/>
    <w:rsid w:val="00892AEA"/>
    <w:rsid w:val="0089347D"/>
    <w:rsid w:val="008942D3"/>
    <w:rsid w:val="00897B12"/>
    <w:rsid w:val="008A1880"/>
    <w:rsid w:val="008B3468"/>
    <w:rsid w:val="008B40CA"/>
    <w:rsid w:val="008C01E2"/>
    <w:rsid w:val="008C3225"/>
    <w:rsid w:val="008C4430"/>
    <w:rsid w:val="008C5497"/>
    <w:rsid w:val="008C7E93"/>
    <w:rsid w:val="008E1E4C"/>
    <w:rsid w:val="008E67E1"/>
    <w:rsid w:val="008E6B00"/>
    <w:rsid w:val="008E73AD"/>
    <w:rsid w:val="008F08D9"/>
    <w:rsid w:val="008F44EC"/>
    <w:rsid w:val="008F6059"/>
    <w:rsid w:val="00902013"/>
    <w:rsid w:val="00903CF4"/>
    <w:rsid w:val="00905982"/>
    <w:rsid w:val="0090612F"/>
    <w:rsid w:val="00912049"/>
    <w:rsid w:val="009170A2"/>
    <w:rsid w:val="00922867"/>
    <w:rsid w:val="0092385D"/>
    <w:rsid w:val="00926C9E"/>
    <w:rsid w:val="0093647F"/>
    <w:rsid w:val="009460E8"/>
    <w:rsid w:val="00946373"/>
    <w:rsid w:val="00946AD4"/>
    <w:rsid w:val="00950319"/>
    <w:rsid w:val="00954CBE"/>
    <w:rsid w:val="00975BB0"/>
    <w:rsid w:val="009771B0"/>
    <w:rsid w:val="00980F6A"/>
    <w:rsid w:val="00983FDC"/>
    <w:rsid w:val="00986A3D"/>
    <w:rsid w:val="00990C75"/>
    <w:rsid w:val="00992E61"/>
    <w:rsid w:val="0099692D"/>
    <w:rsid w:val="009A393B"/>
    <w:rsid w:val="009A4A41"/>
    <w:rsid w:val="009C3C8C"/>
    <w:rsid w:val="009C3D85"/>
    <w:rsid w:val="009C768F"/>
    <w:rsid w:val="009C7C3D"/>
    <w:rsid w:val="009D41C3"/>
    <w:rsid w:val="009D479D"/>
    <w:rsid w:val="009D63C0"/>
    <w:rsid w:val="009F1D6D"/>
    <w:rsid w:val="009F3BB7"/>
    <w:rsid w:val="009F670F"/>
    <w:rsid w:val="00A002E3"/>
    <w:rsid w:val="00A003BD"/>
    <w:rsid w:val="00A10566"/>
    <w:rsid w:val="00A1652A"/>
    <w:rsid w:val="00A2306A"/>
    <w:rsid w:val="00A25DE3"/>
    <w:rsid w:val="00A34BEB"/>
    <w:rsid w:val="00A40EE5"/>
    <w:rsid w:val="00A4456F"/>
    <w:rsid w:val="00A55783"/>
    <w:rsid w:val="00A823AD"/>
    <w:rsid w:val="00A96580"/>
    <w:rsid w:val="00AA1EAF"/>
    <w:rsid w:val="00AA5025"/>
    <w:rsid w:val="00AB3651"/>
    <w:rsid w:val="00AB7662"/>
    <w:rsid w:val="00AC4422"/>
    <w:rsid w:val="00AD48FA"/>
    <w:rsid w:val="00AD7671"/>
    <w:rsid w:val="00AD7744"/>
    <w:rsid w:val="00B1299F"/>
    <w:rsid w:val="00B20CB3"/>
    <w:rsid w:val="00B41DAF"/>
    <w:rsid w:val="00B420BA"/>
    <w:rsid w:val="00B462BF"/>
    <w:rsid w:val="00B47E71"/>
    <w:rsid w:val="00B5541A"/>
    <w:rsid w:val="00B568A0"/>
    <w:rsid w:val="00B63CFD"/>
    <w:rsid w:val="00B6481F"/>
    <w:rsid w:val="00B64867"/>
    <w:rsid w:val="00B65584"/>
    <w:rsid w:val="00B76878"/>
    <w:rsid w:val="00B77593"/>
    <w:rsid w:val="00B87824"/>
    <w:rsid w:val="00B963D9"/>
    <w:rsid w:val="00BA10F8"/>
    <w:rsid w:val="00BB2B10"/>
    <w:rsid w:val="00BB5749"/>
    <w:rsid w:val="00BB5EC7"/>
    <w:rsid w:val="00BC337F"/>
    <w:rsid w:val="00BD50AF"/>
    <w:rsid w:val="00BD7F60"/>
    <w:rsid w:val="00BE220D"/>
    <w:rsid w:val="00BF05F3"/>
    <w:rsid w:val="00C15273"/>
    <w:rsid w:val="00C17701"/>
    <w:rsid w:val="00C20A22"/>
    <w:rsid w:val="00C20A9F"/>
    <w:rsid w:val="00C2470B"/>
    <w:rsid w:val="00C247AF"/>
    <w:rsid w:val="00C260DA"/>
    <w:rsid w:val="00C275BE"/>
    <w:rsid w:val="00C312C1"/>
    <w:rsid w:val="00C31F75"/>
    <w:rsid w:val="00C349A9"/>
    <w:rsid w:val="00C358D9"/>
    <w:rsid w:val="00C3791D"/>
    <w:rsid w:val="00C442D2"/>
    <w:rsid w:val="00C50318"/>
    <w:rsid w:val="00C510D7"/>
    <w:rsid w:val="00C53999"/>
    <w:rsid w:val="00C543B6"/>
    <w:rsid w:val="00C669FE"/>
    <w:rsid w:val="00C71CF5"/>
    <w:rsid w:val="00CA0FE5"/>
    <w:rsid w:val="00CB132C"/>
    <w:rsid w:val="00CB49B7"/>
    <w:rsid w:val="00CB5A93"/>
    <w:rsid w:val="00CC2907"/>
    <w:rsid w:val="00CC6069"/>
    <w:rsid w:val="00CC669E"/>
    <w:rsid w:val="00CC684B"/>
    <w:rsid w:val="00CD5A3E"/>
    <w:rsid w:val="00CD767F"/>
    <w:rsid w:val="00CF3E22"/>
    <w:rsid w:val="00D01464"/>
    <w:rsid w:val="00D157EC"/>
    <w:rsid w:val="00D223E9"/>
    <w:rsid w:val="00D241C6"/>
    <w:rsid w:val="00D31BCB"/>
    <w:rsid w:val="00D33F8F"/>
    <w:rsid w:val="00D35E73"/>
    <w:rsid w:val="00D43AF8"/>
    <w:rsid w:val="00D47C05"/>
    <w:rsid w:val="00D54AB1"/>
    <w:rsid w:val="00D55AED"/>
    <w:rsid w:val="00D616C1"/>
    <w:rsid w:val="00D61C67"/>
    <w:rsid w:val="00D64467"/>
    <w:rsid w:val="00D65A5D"/>
    <w:rsid w:val="00D6628A"/>
    <w:rsid w:val="00D72F9F"/>
    <w:rsid w:val="00D74BDD"/>
    <w:rsid w:val="00D81A12"/>
    <w:rsid w:val="00D82975"/>
    <w:rsid w:val="00D837AA"/>
    <w:rsid w:val="00D8548E"/>
    <w:rsid w:val="00D877F8"/>
    <w:rsid w:val="00D97117"/>
    <w:rsid w:val="00DA1673"/>
    <w:rsid w:val="00DA327B"/>
    <w:rsid w:val="00DA40B5"/>
    <w:rsid w:val="00DB0535"/>
    <w:rsid w:val="00DB30BF"/>
    <w:rsid w:val="00DB5B5E"/>
    <w:rsid w:val="00DC4B11"/>
    <w:rsid w:val="00DD2A40"/>
    <w:rsid w:val="00DD2BE7"/>
    <w:rsid w:val="00DD3257"/>
    <w:rsid w:val="00DE1FD4"/>
    <w:rsid w:val="00DE50D3"/>
    <w:rsid w:val="00DE604D"/>
    <w:rsid w:val="00DF4EC3"/>
    <w:rsid w:val="00DF7F14"/>
    <w:rsid w:val="00E02EE6"/>
    <w:rsid w:val="00E1531E"/>
    <w:rsid w:val="00E23AF7"/>
    <w:rsid w:val="00E3256F"/>
    <w:rsid w:val="00E3524A"/>
    <w:rsid w:val="00E36517"/>
    <w:rsid w:val="00E40AFB"/>
    <w:rsid w:val="00E50DD2"/>
    <w:rsid w:val="00E54E02"/>
    <w:rsid w:val="00E64690"/>
    <w:rsid w:val="00E67704"/>
    <w:rsid w:val="00E77AFA"/>
    <w:rsid w:val="00E80CEE"/>
    <w:rsid w:val="00E80E5F"/>
    <w:rsid w:val="00E87AE1"/>
    <w:rsid w:val="00E9413C"/>
    <w:rsid w:val="00E97021"/>
    <w:rsid w:val="00EA2F7C"/>
    <w:rsid w:val="00EB2518"/>
    <w:rsid w:val="00EB789D"/>
    <w:rsid w:val="00EC0E93"/>
    <w:rsid w:val="00EC0FA9"/>
    <w:rsid w:val="00ED0E27"/>
    <w:rsid w:val="00ED3163"/>
    <w:rsid w:val="00ED413B"/>
    <w:rsid w:val="00ED5005"/>
    <w:rsid w:val="00EE02A1"/>
    <w:rsid w:val="00EE0942"/>
    <w:rsid w:val="00EE10A0"/>
    <w:rsid w:val="00EE440C"/>
    <w:rsid w:val="00EF636A"/>
    <w:rsid w:val="00F027EC"/>
    <w:rsid w:val="00F053A7"/>
    <w:rsid w:val="00F05974"/>
    <w:rsid w:val="00F070CA"/>
    <w:rsid w:val="00F16282"/>
    <w:rsid w:val="00F3092A"/>
    <w:rsid w:val="00F33C0A"/>
    <w:rsid w:val="00F4511B"/>
    <w:rsid w:val="00F47A8D"/>
    <w:rsid w:val="00F56D75"/>
    <w:rsid w:val="00F57E5D"/>
    <w:rsid w:val="00F65521"/>
    <w:rsid w:val="00F90CC6"/>
    <w:rsid w:val="00FA1672"/>
    <w:rsid w:val="00FA24D4"/>
    <w:rsid w:val="00FA67C9"/>
    <w:rsid w:val="00FB06E2"/>
    <w:rsid w:val="00FB3094"/>
    <w:rsid w:val="00FB4783"/>
    <w:rsid w:val="00FB6CE8"/>
    <w:rsid w:val="00FC18C5"/>
    <w:rsid w:val="00FF3BB6"/>
    <w:rsid w:val="00FF5066"/>
    <w:rsid w:val="00FF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E0562-17E6-4A0F-9D1C-7EAE4210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62C"/>
    <w:pPr>
      <w:spacing w:after="200" w:line="360" w:lineRule="auto"/>
      <w:ind w:left="181" w:firstLine="709"/>
      <w:jc w:val="both"/>
    </w:pPr>
  </w:style>
  <w:style w:type="paragraph" w:styleId="1">
    <w:name w:val="heading 1"/>
    <w:basedOn w:val="a"/>
    <w:next w:val="a"/>
    <w:link w:val="10"/>
    <w:uiPriority w:val="9"/>
    <w:qFormat/>
    <w:rsid w:val="00813B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062C"/>
    <w:pPr>
      <w:autoSpaceDE w:val="0"/>
      <w:autoSpaceDN w:val="0"/>
      <w:adjustRightInd w:val="0"/>
      <w:spacing w:after="0" w:line="240" w:lineRule="auto"/>
    </w:pPr>
    <w:rPr>
      <w:rFonts w:ascii="Georgia" w:hAnsi="Georgia" w:cs="Georgia"/>
      <w:color w:val="000000"/>
      <w:sz w:val="24"/>
      <w:szCs w:val="24"/>
    </w:rPr>
  </w:style>
  <w:style w:type="paragraph" w:customStyle="1" w:styleId="Pa2">
    <w:name w:val="Pa2"/>
    <w:basedOn w:val="Default"/>
    <w:next w:val="Default"/>
    <w:uiPriority w:val="99"/>
    <w:rsid w:val="004C062C"/>
    <w:pPr>
      <w:spacing w:line="201" w:lineRule="atLeast"/>
    </w:pPr>
    <w:rPr>
      <w:rFonts w:ascii="Times New Roman" w:hAnsi="Times New Roman" w:cs="Times New Roman"/>
      <w:color w:val="auto"/>
    </w:rPr>
  </w:style>
  <w:style w:type="table" w:styleId="a3">
    <w:name w:val="Table Grid"/>
    <w:basedOn w:val="a1"/>
    <w:rsid w:val="004C062C"/>
    <w:pPr>
      <w:spacing w:after="0" w:line="240" w:lineRule="auto"/>
      <w:ind w:left="181"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062C"/>
    <w:pPr>
      <w:ind w:left="720"/>
      <w:contextualSpacing/>
    </w:pPr>
  </w:style>
  <w:style w:type="character" w:customStyle="1" w:styleId="hl">
    <w:name w:val="hl"/>
    <w:basedOn w:val="a0"/>
    <w:rsid w:val="004C062C"/>
  </w:style>
  <w:style w:type="paragraph" w:customStyle="1" w:styleId="lead">
    <w:name w:val="lead"/>
    <w:basedOn w:val="a"/>
    <w:rsid w:val="004C062C"/>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paragraph" w:styleId="a5">
    <w:name w:val="Normal (Web)"/>
    <w:basedOn w:val="a"/>
    <w:uiPriority w:val="99"/>
    <w:semiHidden/>
    <w:rsid w:val="004C062C"/>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C06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062C"/>
  </w:style>
  <w:style w:type="character" w:styleId="a8">
    <w:name w:val="Hyperlink"/>
    <w:basedOn w:val="a0"/>
    <w:uiPriority w:val="99"/>
    <w:unhideWhenUsed/>
    <w:rsid w:val="00B20CB3"/>
    <w:rPr>
      <w:color w:val="0563C1" w:themeColor="hyperlink"/>
      <w:u w:val="single"/>
    </w:rPr>
  </w:style>
  <w:style w:type="paragraph" w:customStyle="1" w:styleId="FR3">
    <w:name w:val="FR3"/>
    <w:rsid w:val="00B76878"/>
    <w:pPr>
      <w:widowControl w:val="0"/>
      <w:spacing w:after="0" w:line="240" w:lineRule="auto"/>
      <w:jc w:val="both"/>
    </w:pPr>
    <w:rPr>
      <w:rFonts w:ascii="Times New Roman" w:eastAsia="Times New Roman" w:hAnsi="Times New Roman" w:cs="Times New Roman"/>
      <w:sz w:val="16"/>
      <w:szCs w:val="16"/>
      <w:lang w:val="uk-UA" w:eastAsia="ru-RU"/>
    </w:rPr>
  </w:style>
  <w:style w:type="paragraph" w:styleId="a9">
    <w:name w:val="Balloon Text"/>
    <w:basedOn w:val="a"/>
    <w:link w:val="aa"/>
    <w:uiPriority w:val="99"/>
    <w:semiHidden/>
    <w:unhideWhenUsed/>
    <w:rsid w:val="0041192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1927"/>
    <w:rPr>
      <w:rFonts w:ascii="Segoe UI" w:hAnsi="Segoe UI" w:cs="Segoe UI"/>
      <w:sz w:val="18"/>
      <w:szCs w:val="18"/>
    </w:rPr>
  </w:style>
  <w:style w:type="paragraph" w:styleId="ab">
    <w:name w:val="header"/>
    <w:basedOn w:val="a"/>
    <w:link w:val="ac"/>
    <w:rsid w:val="00864FC5"/>
    <w:pPr>
      <w:tabs>
        <w:tab w:val="center" w:pos="4153"/>
        <w:tab w:val="right" w:pos="8306"/>
      </w:tabs>
      <w:spacing w:after="0" w:line="240" w:lineRule="auto"/>
      <w:ind w:left="0" w:firstLine="0"/>
      <w:jc w:val="left"/>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864FC5"/>
    <w:rPr>
      <w:rFonts w:ascii="Times New Roman" w:eastAsia="Times New Roman" w:hAnsi="Times New Roman" w:cs="Times New Roman"/>
      <w:sz w:val="20"/>
      <w:szCs w:val="20"/>
      <w:lang w:eastAsia="ru-RU"/>
    </w:rPr>
  </w:style>
  <w:style w:type="paragraph" w:styleId="3">
    <w:name w:val="Body Text Indent 3"/>
    <w:basedOn w:val="a"/>
    <w:link w:val="30"/>
    <w:unhideWhenUsed/>
    <w:rsid w:val="00B568A0"/>
    <w:pPr>
      <w:spacing w:after="0" w:line="240" w:lineRule="auto"/>
      <w:ind w:left="0" w:firstLine="697"/>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B568A0"/>
    <w:rPr>
      <w:rFonts w:ascii="Times New Roman" w:eastAsia="Times New Roman" w:hAnsi="Times New Roman" w:cs="Times New Roman"/>
      <w:sz w:val="28"/>
      <w:szCs w:val="20"/>
      <w:lang w:eastAsia="ru-RU"/>
    </w:rPr>
  </w:style>
  <w:style w:type="paragraph" w:customStyle="1" w:styleId="Pa4">
    <w:name w:val="Pa4"/>
    <w:basedOn w:val="Default"/>
    <w:next w:val="Default"/>
    <w:uiPriority w:val="99"/>
    <w:rsid w:val="00A96580"/>
    <w:pPr>
      <w:spacing w:line="201" w:lineRule="atLeast"/>
    </w:pPr>
    <w:rPr>
      <w:rFonts w:ascii="Times New Roman" w:hAnsi="Times New Roman" w:cs="Times New Roman"/>
      <w:color w:val="auto"/>
    </w:rPr>
  </w:style>
  <w:style w:type="paragraph" w:customStyle="1" w:styleId="Pa5">
    <w:name w:val="Pa5"/>
    <w:basedOn w:val="Default"/>
    <w:next w:val="Default"/>
    <w:uiPriority w:val="99"/>
    <w:rsid w:val="00A96580"/>
    <w:pPr>
      <w:spacing w:line="201" w:lineRule="atLeast"/>
    </w:pPr>
    <w:rPr>
      <w:rFonts w:ascii="Times New Roman" w:hAnsi="Times New Roman" w:cs="Times New Roman"/>
      <w:color w:val="auto"/>
    </w:rPr>
  </w:style>
  <w:style w:type="character" w:customStyle="1" w:styleId="A40">
    <w:name w:val="A4"/>
    <w:uiPriority w:val="99"/>
    <w:rsid w:val="00A96580"/>
    <w:rPr>
      <w:color w:val="000000"/>
      <w:sz w:val="11"/>
      <w:szCs w:val="11"/>
    </w:rPr>
  </w:style>
  <w:style w:type="character" w:customStyle="1" w:styleId="10">
    <w:name w:val="Заголовок 1 Знак"/>
    <w:basedOn w:val="a0"/>
    <w:link w:val="1"/>
    <w:uiPriority w:val="9"/>
    <w:rsid w:val="00813BFA"/>
    <w:rPr>
      <w:rFonts w:asciiTheme="majorHAnsi" w:eastAsiaTheme="majorEastAsia" w:hAnsiTheme="majorHAnsi" w:cstheme="majorBidi"/>
      <w:color w:val="2E74B5" w:themeColor="accent1" w:themeShade="BF"/>
      <w:sz w:val="32"/>
      <w:szCs w:val="32"/>
    </w:rPr>
  </w:style>
  <w:style w:type="paragraph" w:customStyle="1" w:styleId="11">
    <w:name w:val="Обычный1"/>
    <w:rsid w:val="00C510D7"/>
    <w:pPr>
      <w:spacing w:after="0" w:line="276" w:lineRule="auto"/>
    </w:pPr>
    <w:rPr>
      <w:rFonts w:ascii="Arial" w:eastAsia="Times New Roman" w:hAnsi="Arial" w:cs="Arial"/>
      <w:lang w:val="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666767">
      <w:bodyDiv w:val="1"/>
      <w:marLeft w:val="0"/>
      <w:marRight w:val="0"/>
      <w:marTop w:val="0"/>
      <w:marBottom w:val="0"/>
      <w:divBdr>
        <w:top w:val="none" w:sz="0" w:space="0" w:color="auto"/>
        <w:left w:val="none" w:sz="0" w:space="0" w:color="auto"/>
        <w:bottom w:val="none" w:sz="0" w:space="0" w:color="auto"/>
        <w:right w:val="none" w:sz="0" w:space="0" w:color="auto"/>
      </w:divBdr>
    </w:div>
    <w:div w:id="135608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o.gerasimchuk@gmail.com" TargetMode="External"/><Relationship Id="rId13" Type="http://schemas.openxmlformats.org/officeDocument/2006/relationships/hyperlink" Target="https://orcid.org/0000-0001-7653-95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1-6834-884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2-3172-6491?lan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C80AF-D73A-4821-B876-E3B24167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6634</TotalTime>
  <Pages>1</Pages>
  <Words>6866</Words>
  <Characters>39138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112</cp:revision>
  <cp:lastPrinted>2019-09-18T08:51:00Z</cp:lastPrinted>
  <dcterms:created xsi:type="dcterms:W3CDTF">2019-03-06T12:12:00Z</dcterms:created>
  <dcterms:modified xsi:type="dcterms:W3CDTF">2020-11-04T17:40:00Z</dcterms:modified>
</cp:coreProperties>
</file>